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E6734" w14:textId="2F8CA8A0" w:rsidR="00A83BD3" w:rsidRPr="00523559" w:rsidRDefault="00F41D15" w:rsidP="00301B1C">
      <w:pP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de fecha </w:t>
      </w:r>
      <w:r w:rsidR="00F90D2A" w:rsidRPr="00523559">
        <w:rPr>
          <w:rFonts w:ascii="Palatino Linotype" w:eastAsia="Palatino Linotype" w:hAnsi="Palatino Linotype" w:cs="Palatino Linotype"/>
        </w:rPr>
        <w:t>diecinueve de febrero</w:t>
      </w:r>
      <w:r w:rsidRPr="00523559">
        <w:rPr>
          <w:rFonts w:ascii="Palatino Linotype" w:eastAsia="Palatino Linotype" w:hAnsi="Palatino Linotype" w:cs="Palatino Linotype"/>
        </w:rPr>
        <w:t xml:space="preserve"> de dos mil veinticinco</w:t>
      </w:r>
      <w:r w:rsidRPr="00523559">
        <w:rPr>
          <w:rFonts w:ascii="Palatino Linotype" w:eastAsia="Palatino Linotype" w:hAnsi="Palatino Linotype" w:cs="Palatino Linotype"/>
          <w:color w:val="000000"/>
        </w:rPr>
        <w:t>.</w:t>
      </w:r>
    </w:p>
    <w:p w14:paraId="594A102E"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95B89D5" w14:textId="33812DE5" w:rsidR="00A83BD3" w:rsidRPr="00523559" w:rsidRDefault="00F41D15" w:rsidP="00301B1C">
      <w:pP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VISTO</w:t>
      </w:r>
      <w:r w:rsidRPr="00523559">
        <w:rPr>
          <w:rFonts w:ascii="Palatino Linotype" w:eastAsia="Palatino Linotype" w:hAnsi="Palatino Linotype" w:cs="Palatino Linotype"/>
          <w:color w:val="000000"/>
        </w:rPr>
        <w:t xml:space="preserve"> el expediente electrónico formado con motivo del recurso de revisión </w:t>
      </w:r>
      <w:r w:rsidR="00301B1C" w:rsidRPr="00523559">
        <w:rPr>
          <w:rFonts w:ascii="Palatino Linotype" w:eastAsia="Palatino Linotype" w:hAnsi="Palatino Linotype" w:cs="Palatino Linotype"/>
          <w:b/>
          <w:color w:val="000000"/>
        </w:rPr>
        <w:t>01828/INFOEM/IP/RR/2024</w:t>
      </w:r>
      <w:r w:rsidRPr="00523559">
        <w:rPr>
          <w:rFonts w:ascii="Palatino Linotype" w:eastAsia="Palatino Linotype" w:hAnsi="Palatino Linotype" w:cs="Palatino Linotype"/>
          <w:color w:val="000000"/>
        </w:rPr>
        <w:t>, promovido por</w:t>
      </w:r>
      <w:r w:rsidRPr="00523559">
        <w:rPr>
          <w:rFonts w:ascii="Palatino Linotype" w:eastAsia="Palatino Linotype" w:hAnsi="Palatino Linotype" w:cs="Palatino Linotype"/>
          <w:b/>
          <w:color w:val="000000"/>
        </w:rPr>
        <w:t xml:space="preserve"> </w:t>
      </w:r>
      <w:r w:rsidR="0055181C">
        <w:rPr>
          <w:rFonts w:ascii="Palatino Linotype" w:eastAsia="Palatino Linotype" w:hAnsi="Palatino Linotype" w:cs="Palatino Linotype"/>
        </w:rPr>
        <w:t>XXX XXXX XXXXX</w:t>
      </w:r>
      <w:r w:rsidRPr="00523559">
        <w:rPr>
          <w:rFonts w:ascii="Palatino Linotype" w:eastAsia="Palatino Linotype" w:hAnsi="Palatino Linotype" w:cs="Palatino Linotype"/>
          <w:b/>
          <w:color w:val="000000"/>
        </w:rPr>
        <w:t>,</w:t>
      </w:r>
      <w:r w:rsidRPr="00523559">
        <w:rPr>
          <w:rFonts w:ascii="Palatino Linotype" w:eastAsia="Palatino Linotype" w:hAnsi="Palatino Linotype" w:cs="Palatino Linotype"/>
          <w:color w:val="000000"/>
        </w:rPr>
        <w:t xml:space="preserve"> a quien en lo sucesivo se le identificará como </w:t>
      </w:r>
      <w:r w:rsidRPr="00523559">
        <w:rPr>
          <w:rFonts w:ascii="Palatino Linotype" w:eastAsia="Palatino Linotype" w:hAnsi="Palatino Linotype" w:cs="Palatino Linotype"/>
          <w:b/>
          <w:color w:val="000000"/>
        </w:rPr>
        <w:t>EL RECURRENTE</w:t>
      </w:r>
      <w:r w:rsidRPr="00523559">
        <w:rPr>
          <w:rFonts w:ascii="Palatino Linotype" w:eastAsia="Palatino Linotype" w:hAnsi="Palatino Linotype" w:cs="Palatino Linotype"/>
        </w:rPr>
        <w:t>,</w:t>
      </w:r>
      <w:r w:rsidRPr="00523559">
        <w:rPr>
          <w:rFonts w:ascii="Palatino Linotype" w:eastAsia="Palatino Linotype" w:hAnsi="Palatino Linotype" w:cs="Palatino Linotype"/>
          <w:color w:val="000000"/>
        </w:rPr>
        <w:t xml:space="preserve"> en contra de la respuesta del </w:t>
      </w:r>
      <w:r w:rsidR="00301B1C" w:rsidRPr="00523559">
        <w:rPr>
          <w:rFonts w:ascii="Palatino Linotype" w:eastAsia="Palatino Linotype" w:hAnsi="Palatino Linotype" w:cs="Palatino Linotype"/>
          <w:b/>
          <w:color w:val="000000"/>
        </w:rPr>
        <w:t>Ayuntamiento de Zinacantepec</w:t>
      </w:r>
      <w:r w:rsidRPr="00523559">
        <w:rPr>
          <w:rFonts w:ascii="Palatino Linotype" w:eastAsia="Palatino Linotype" w:hAnsi="Palatino Linotype" w:cs="Palatino Linotype"/>
          <w:color w:val="000000"/>
        </w:rPr>
        <w:t>, en adelante el</w:t>
      </w:r>
      <w:r w:rsidRPr="00523559">
        <w:rPr>
          <w:rFonts w:ascii="Palatino Linotype" w:eastAsia="Palatino Linotype" w:hAnsi="Palatino Linotype" w:cs="Palatino Linotype"/>
          <w:b/>
          <w:color w:val="000000"/>
        </w:rPr>
        <w:t xml:space="preserve"> SUJETO OBLIGADO</w:t>
      </w:r>
      <w:r w:rsidRPr="00523559">
        <w:rPr>
          <w:rFonts w:ascii="Palatino Linotype" w:eastAsia="Palatino Linotype" w:hAnsi="Palatino Linotype" w:cs="Palatino Linotype"/>
          <w:color w:val="000000"/>
        </w:rPr>
        <w:t>,</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se procede a dictar la presente resolución, con base en los siguientes:</w:t>
      </w:r>
    </w:p>
    <w:p w14:paraId="17C3710B"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3FD48378" w14:textId="77777777" w:rsidR="00A83BD3" w:rsidRPr="00523559" w:rsidRDefault="00F41D15" w:rsidP="00301B1C">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A N T E C E D E N T E S</w:t>
      </w:r>
    </w:p>
    <w:p w14:paraId="56C46F94"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48F96A9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treinta y uno de enero de dos mil veinticuatro, </w:t>
      </w:r>
      <w:r w:rsidRPr="00523559">
        <w:rPr>
          <w:rFonts w:ascii="Palatino Linotype" w:eastAsia="Palatino Linotype" w:hAnsi="Palatino Linotype" w:cs="Palatino Linotype"/>
          <w:b/>
          <w:color w:val="000000"/>
        </w:rPr>
        <w:t>EL RECURRENTE</w:t>
      </w:r>
      <w:r w:rsidRPr="00523559">
        <w:rPr>
          <w:rFonts w:ascii="Palatino Linotype" w:eastAsia="Palatino Linotype" w:hAnsi="Palatino Linotype" w:cs="Palatino Linotype"/>
          <w:color w:val="000000"/>
        </w:rPr>
        <w:t xml:space="preserve"> presentó, ante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vía sistema de solicitudes de acceso a la información de la PNT, la solicitud de información pública registrada con el número </w:t>
      </w:r>
      <w:r w:rsidR="00301B1C" w:rsidRPr="00523559">
        <w:rPr>
          <w:rFonts w:ascii="Palatino Linotype" w:eastAsia="Palatino Linotype" w:hAnsi="Palatino Linotype" w:cs="Palatino Linotype"/>
          <w:b/>
          <w:color w:val="000000"/>
        </w:rPr>
        <w:t>00071/ZINACANT/IP/2024</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rPr>
        <w:t xml:space="preserve">en la que se </w:t>
      </w:r>
      <w:r w:rsidRPr="00523559">
        <w:rPr>
          <w:rFonts w:ascii="Palatino Linotype" w:eastAsia="Palatino Linotype" w:hAnsi="Palatino Linotype" w:cs="Palatino Linotype"/>
          <w:color w:val="000000"/>
        </w:rPr>
        <w:t>solicitó lo siguiente:</w:t>
      </w:r>
      <w:r w:rsidRPr="00523559">
        <w:rPr>
          <w:rFonts w:ascii="Palatino Linotype" w:eastAsia="Palatino Linotype" w:hAnsi="Palatino Linotype" w:cs="Palatino Linotype"/>
          <w:b/>
          <w:color w:val="000000"/>
        </w:rPr>
        <w:t xml:space="preserve"> </w:t>
      </w:r>
    </w:p>
    <w:p w14:paraId="237A0270"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1ABC3A49" w14:textId="77777777" w:rsidR="00A83BD3" w:rsidRPr="00523559" w:rsidRDefault="00F41D15" w:rsidP="00301B1C">
      <w:pPr>
        <w:spacing w:line="360" w:lineRule="auto"/>
        <w:ind w:left="426"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1. Solícito conocer el número de policías municipales con el que cuenta el ayuntamiento, clasificado por áreas o departamentos. 2. El sueldo bruto y neto que reciben los policías según su categoría, así como un histórico del sueldo que ha recibido desde 2022 y en caso de que se contemple un aumento salarial, especificar el monto y él recuso con el que se estará pagando. 3. El gasto que ejerció el municipio en el periodo fiscal 2022 y 2023 para </w:t>
      </w:r>
      <w:r w:rsidRPr="00523559">
        <w:rPr>
          <w:rFonts w:ascii="Palatino Linotype" w:eastAsia="Palatino Linotype" w:hAnsi="Palatino Linotype" w:cs="Palatino Linotype"/>
          <w:i/>
          <w:color w:val="000000"/>
        </w:rPr>
        <w:lastRenderedPageBreak/>
        <w:t xml:space="preserve">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4. El gasto que ejercerá el municipio en el periodo fiscal 2024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5. 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6. El número de elementos incluidos en la Licencia Oficial Colectiva al corte de octubre de 2023, así mismo el número de elementos programados para ser incluidos durante el 2024 en la LOC. 7. Respecto a la carrera policial, el número de elementos que cuentan con Certificado Único Policial, así mismo el número de elementos que tienen el curso de formación inicial, el número de elementos que tienen el curso de competencias básicas y la última fecha en la que se realizó evaluación de desempeño, en este rubro solicito que se informe el promedio general de las evaluaciones en la corporación. 8. ¿Cuántos elementos estarán </w:t>
      </w:r>
      <w:bookmarkStart w:id="0" w:name="_GoBack"/>
      <w:r w:rsidRPr="00523559">
        <w:rPr>
          <w:rFonts w:ascii="Palatino Linotype" w:eastAsia="Palatino Linotype" w:hAnsi="Palatino Linotype" w:cs="Palatino Linotype"/>
          <w:i/>
          <w:color w:val="000000"/>
        </w:rPr>
        <w:t>programados para acudir al curso de competencias básicas y formación inicial en el año 2024?</w:t>
      </w:r>
    </w:p>
    <w:bookmarkEnd w:id="0"/>
    <w:p w14:paraId="4214D3D1"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340ED5D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Señaló como modalidad de entrega de la información a través </w:t>
      </w:r>
      <w:r w:rsidR="00301B1C" w:rsidRPr="00523559">
        <w:rPr>
          <w:rFonts w:ascii="Palatino Linotype" w:eastAsia="Palatino Linotype" w:hAnsi="Palatino Linotype" w:cs="Palatino Linotype"/>
        </w:rPr>
        <w:t>del</w:t>
      </w:r>
      <w:r w:rsidRPr="00523559">
        <w:rPr>
          <w:rFonts w:ascii="Palatino Linotype" w:eastAsia="Palatino Linotype" w:hAnsi="Palatino Linotype" w:cs="Palatino Linotype"/>
          <w:color w:val="000000"/>
        </w:rPr>
        <w:t xml:space="preserve"> Sistema de Acceso a la Información Mexiquense (SAIMEX).</w:t>
      </w:r>
    </w:p>
    <w:p w14:paraId="382E5593" w14:textId="77777777" w:rsidR="00301B1C" w:rsidRPr="00523559" w:rsidRDefault="00301B1C"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495B248" w14:textId="77777777" w:rsidR="00221A64"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El Sujeto Obligado, el doce de febrero de dos mil veinticuatro,  el Sujeto Obligado dio respuesta a</w:t>
      </w:r>
      <w:r w:rsidR="00221A64" w:rsidRPr="00523559">
        <w:rPr>
          <w:rFonts w:ascii="Palatino Linotype" w:eastAsia="Palatino Linotype" w:hAnsi="Palatino Linotype" w:cs="Palatino Linotype"/>
          <w:color w:val="000000"/>
        </w:rPr>
        <w:t xml:space="preserve"> través de los archivos electrónicos, a saber:</w:t>
      </w:r>
    </w:p>
    <w:p w14:paraId="5DE551BD" w14:textId="77777777" w:rsidR="00221A64" w:rsidRPr="00523559" w:rsidRDefault="00221A64" w:rsidP="00221A64">
      <w:pPr>
        <w:pStyle w:val="Prrafodelista"/>
        <w:rPr>
          <w:rFonts w:ascii="Palatino Linotype" w:eastAsia="Palatino Linotype" w:hAnsi="Palatino Linotype" w:cs="Palatino Linotype"/>
          <w:color w:val="000000"/>
        </w:rPr>
      </w:pPr>
    </w:p>
    <w:p w14:paraId="417DBAD8" w14:textId="77777777" w:rsidR="00221A64" w:rsidRPr="00523559" w:rsidRDefault="00301B1C"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 xml:space="preserve">FOLIO 00071-24.pdf, </w:t>
      </w:r>
      <w:r w:rsidR="00221A64" w:rsidRPr="00523559">
        <w:rPr>
          <w:rFonts w:ascii="Palatino Linotype" w:eastAsia="Palatino Linotype" w:hAnsi="Palatino Linotype" w:cs="Palatino Linotype"/>
          <w:color w:val="000000"/>
        </w:rPr>
        <w:t>que corresponde oficio signado por el Director de Seguridad Pública y Tránsito del Ayuntamiento de Zinacantepec, mediante el cual informa que relativo al numeral 4 de las incidencias delictivas en el municipio, declara incompetencia para atender el requerimiento, derivado que los datos estadísticos relativos a incidencia delictiva son proporcionados directamente por el Centro de Control, Comando, Comunicación, Computo y Calidad (C5).</w:t>
      </w:r>
    </w:p>
    <w:p w14:paraId="0F75BBA0" w14:textId="77777777" w:rsidR="00221A64" w:rsidRPr="00523559" w:rsidRDefault="00221A64"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lo que respecta al numeral 5 de las acciones emprendidas en materia de seguridad, informo que participa diariamente en la Mesa de la Construcción de la Paz, donde Coordinadamente con el Presidente Municipal, representantes de los diferentes ministerios públicos, la Comisión de Derechos Humanos, la Policía Estatal, Secretaria de Seguridad, Guardia Nacional, personal de SEDENA, así como presidente municipales de la región, se establecen estrategias coordinadas para el combate a la delincuencia.</w:t>
      </w:r>
    </w:p>
    <w:p w14:paraId="32ABA3B8" w14:textId="77777777" w:rsidR="00221A64" w:rsidRPr="00523559" w:rsidRDefault="00221A64"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Respecto del punto 6, elementos incluidos en la Licencia Oficial Colectiva al corte de octubre de 2023, se informa que en el informe emitido a la Secretaria de Seguridad del Estado de México se reportaron al mes de octubre del 2023, 154 elementos dentro de la Licencia Oficial Colectiva. Respecto de lo programado para la renovación de la licencia del año 2024, se declara incompetencia, toda vez que se </w:t>
      </w:r>
      <w:r w:rsidRPr="00523559">
        <w:rPr>
          <w:rFonts w:ascii="Palatino Linotype" w:eastAsia="Palatino Linotype" w:hAnsi="Palatino Linotype" w:cs="Palatino Linotype"/>
          <w:color w:val="000000"/>
        </w:rPr>
        <w:lastRenderedPageBreak/>
        <w:t>manifiesta el trámite corresponde a la Secretaria Técnica del Consejo Municipal de Seguridad Pública.</w:t>
      </w:r>
    </w:p>
    <w:p w14:paraId="2CD70077" w14:textId="77777777" w:rsidR="007171B9" w:rsidRPr="00523559" w:rsidRDefault="007171B9"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DB4A554" w14:textId="03D8BCFE" w:rsidR="00221A64" w:rsidRPr="00523559" w:rsidRDefault="00221A64"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Relativo al numeral 7, tocante a la carrera municipal y, 8, elementos programados para acudir al concurso de competencias básicas, declara incompetencia, toda vez que se expone corresponde a la Secretaria Técnica del Consejo Municipal de Seguridad Publica</w:t>
      </w:r>
      <w:r w:rsidR="00DF2E3D" w:rsidRPr="00523559">
        <w:rPr>
          <w:rFonts w:ascii="Palatino Linotype" w:eastAsia="Palatino Linotype" w:hAnsi="Palatino Linotype" w:cs="Palatino Linotype"/>
          <w:color w:val="000000"/>
        </w:rPr>
        <w:t>.</w:t>
      </w:r>
    </w:p>
    <w:p w14:paraId="16377F67" w14:textId="77777777" w:rsidR="00DF2E3D" w:rsidRPr="00523559" w:rsidRDefault="00DF2E3D"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A1F5DDE" w14:textId="77777777" w:rsidR="00F859EE" w:rsidRPr="00523559" w:rsidRDefault="00301B1C" w:rsidP="00F859E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SOL 71.pdf</w:t>
      </w:r>
      <w:r w:rsidRPr="00523559">
        <w:rPr>
          <w:rFonts w:ascii="Palatino Linotype" w:eastAsia="Palatino Linotype" w:hAnsi="Palatino Linotype" w:cs="Palatino Linotype"/>
          <w:color w:val="000000"/>
        </w:rPr>
        <w:t xml:space="preserve">, </w:t>
      </w:r>
      <w:r w:rsidR="00F859EE" w:rsidRPr="00523559">
        <w:rPr>
          <w:rFonts w:ascii="Palatino Linotype" w:eastAsia="Palatino Linotype" w:hAnsi="Palatino Linotype" w:cs="Palatino Linotype"/>
          <w:color w:val="000000"/>
        </w:rPr>
        <w:t>que corresponde a un oficio signado por el Director de Administración, mediante el cual se remite un recuadro del número de trabajadores adscritos al área de Dirección de Seguridad Publica y Transito.</w:t>
      </w:r>
    </w:p>
    <w:p w14:paraId="50610A7A" w14:textId="77777777" w:rsidR="00221A64" w:rsidRPr="00523559" w:rsidRDefault="00F859EE" w:rsidP="00F859E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Respecto del numeral 2 relativo a los recibos de nómina, se informa que derivado del volumen que implican los soportes documentales requeridos, se ponen en consulta directa, en virtud que de cada ejercicio fiscal se generaron 24 emisiones de nómina, por lo que las 24 nominas, multiplicadas por los dos ejercicios fiscales que se requieren dan un total de 48 emisiones por trabajador, lo que ascendería a 3.283 gigabytes o un aproximado de 8,400 fojas, del cual se debe realizar una versión pública.</w:t>
      </w:r>
    </w:p>
    <w:p w14:paraId="35DBDBB0" w14:textId="77777777" w:rsidR="00DF2E3D" w:rsidRPr="00523559" w:rsidRDefault="00DF2E3D" w:rsidP="00F859E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E87C1F5" w14:textId="77777777" w:rsidR="00A83BD3" w:rsidRPr="00523559" w:rsidRDefault="00301B1C"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 xml:space="preserve">Oficio 0502 Solicitud 000071.pdf, </w:t>
      </w:r>
      <w:r w:rsidR="00F859EE" w:rsidRPr="00523559">
        <w:rPr>
          <w:rFonts w:ascii="Palatino Linotype" w:eastAsia="Palatino Linotype" w:hAnsi="Palatino Linotype" w:cs="Palatino Linotype"/>
          <w:color w:val="000000"/>
        </w:rPr>
        <w:t xml:space="preserve">que corresponde a un oficio signado por el Tesorero Municipal, mediante el cual informa, que lo solicitado no se puede entregar por ser de uso restringido que compromete la seguridad de los </w:t>
      </w:r>
      <w:proofErr w:type="spellStart"/>
      <w:r w:rsidR="00F859EE" w:rsidRPr="00523559">
        <w:rPr>
          <w:rFonts w:ascii="Palatino Linotype" w:eastAsia="Palatino Linotype" w:hAnsi="Palatino Linotype" w:cs="Palatino Linotype"/>
          <w:color w:val="000000"/>
        </w:rPr>
        <w:lastRenderedPageBreak/>
        <w:t>Zinacantepenses</w:t>
      </w:r>
      <w:proofErr w:type="spellEnd"/>
      <w:r w:rsidR="00F859EE" w:rsidRPr="00523559">
        <w:rPr>
          <w:rFonts w:ascii="Palatino Linotype" w:eastAsia="Palatino Linotype" w:hAnsi="Palatino Linotype" w:cs="Palatino Linotype"/>
          <w:color w:val="000000"/>
        </w:rPr>
        <w:t xml:space="preserve"> y puede causar daño u obstruir la prevención o persecución de delitos.</w:t>
      </w:r>
    </w:p>
    <w:p w14:paraId="7A751651" w14:textId="77777777" w:rsidR="003F3D7E" w:rsidRPr="00523559" w:rsidRDefault="003F3D7E" w:rsidP="00221A6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928B7B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w:t>
      </w:r>
      <w:r w:rsidR="00F859EE" w:rsidRPr="00523559">
        <w:rPr>
          <w:rFonts w:ascii="Palatino Linotype" w:eastAsia="Palatino Linotype" w:hAnsi="Palatino Linotype" w:cs="Palatino Linotype"/>
          <w:color w:val="000000"/>
        </w:rPr>
        <w:t>nueve de abril</w:t>
      </w:r>
      <w:r w:rsidRPr="00523559">
        <w:rPr>
          <w:rFonts w:ascii="Palatino Linotype" w:eastAsia="Palatino Linotype" w:hAnsi="Palatino Linotype" w:cs="Palatino Linotype"/>
          <w:color w:val="000000"/>
        </w:rPr>
        <w:t xml:space="preserve"> de dos mil veinticuatro,   </w:t>
      </w:r>
      <w:r w:rsidRPr="00523559">
        <w:rPr>
          <w:rFonts w:ascii="Palatino Linotype" w:eastAsia="Palatino Linotype" w:hAnsi="Palatino Linotype" w:cs="Palatino Linotype"/>
          <w:b/>
          <w:color w:val="000000"/>
        </w:rPr>
        <w:t>EL RECURRENTE</w:t>
      </w:r>
      <w:r w:rsidRPr="00523559">
        <w:rPr>
          <w:rFonts w:ascii="Palatino Linotype" w:eastAsia="Palatino Linotype" w:hAnsi="Palatino Linotype" w:cs="Palatino Linotype"/>
          <w:color w:val="000000"/>
        </w:rPr>
        <w:t xml:space="preserve"> interpuso el  recurso de revisión, en contra de la respuesta y, señaló:</w:t>
      </w:r>
    </w:p>
    <w:p w14:paraId="3A1D7812" w14:textId="77777777" w:rsidR="00A83BD3" w:rsidRPr="00523559" w:rsidRDefault="00F41D15"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ACTO IMPUGNADO</w:t>
      </w:r>
      <w:r w:rsidRPr="00523559">
        <w:rPr>
          <w:rFonts w:ascii="Palatino Linotype" w:eastAsia="Palatino Linotype" w:hAnsi="Palatino Linotype" w:cs="Palatino Linotype"/>
          <w:b/>
          <w:color w:val="000000"/>
        </w:rPr>
        <w:tab/>
      </w:r>
    </w:p>
    <w:p w14:paraId="17941D0A" w14:textId="77777777" w:rsidR="00A83BD3" w:rsidRPr="00523559" w:rsidRDefault="00F41D15"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r w:rsidR="00F859EE" w:rsidRPr="00523559">
        <w:rPr>
          <w:rFonts w:ascii="Palatino Linotype" w:eastAsia="Palatino Linotype" w:hAnsi="Palatino Linotype" w:cs="Palatino Linotype"/>
          <w:i/>
          <w:color w:val="000000"/>
        </w:rPr>
        <w:t xml:space="preserve">no dio la </w:t>
      </w:r>
      <w:proofErr w:type="spellStart"/>
      <w:r w:rsidR="00F859EE" w:rsidRPr="00523559">
        <w:rPr>
          <w:rFonts w:ascii="Palatino Linotype" w:eastAsia="Palatino Linotype" w:hAnsi="Palatino Linotype" w:cs="Palatino Linotype"/>
          <w:i/>
          <w:color w:val="000000"/>
        </w:rPr>
        <w:t>informacionm</w:t>
      </w:r>
      <w:proofErr w:type="spellEnd"/>
      <w:r w:rsidR="00F859EE" w:rsidRPr="00523559">
        <w:rPr>
          <w:rFonts w:ascii="Palatino Linotype" w:eastAsia="Palatino Linotype" w:hAnsi="Palatino Linotype" w:cs="Palatino Linotype"/>
          <w:i/>
          <w:color w:val="000000"/>
        </w:rPr>
        <w:t xml:space="preserve"> solicitada</w:t>
      </w:r>
      <w:r w:rsidRPr="00523559">
        <w:rPr>
          <w:rFonts w:ascii="Palatino Linotype" w:eastAsia="Palatino Linotype" w:hAnsi="Palatino Linotype" w:cs="Palatino Linotype"/>
          <w:i/>
          <w:color w:val="000000"/>
        </w:rPr>
        <w:t>”</w:t>
      </w:r>
    </w:p>
    <w:p w14:paraId="282ABB96" w14:textId="77777777" w:rsidR="00F859EE" w:rsidRPr="00523559" w:rsidRDefault="00F859EE"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p>
    <w:p w14:paraId="0A6B30C1" w14:textId="77777777" w:rsidR="00F859EE" w:rsidRPr="00523559" w:rsidRDefault="00F859EE" w:rsidP="00F859EE">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RAZONES O MOTIVOS DE LA INCONFORMIDAD</w:t>
      </w:r>
      <w:r w:rsidRPr="00523559">
        <w:rPr>
          <w:rFonts w:ascii="Palatino Linotype" w:eastAsia="Palatino Linotype" w:hAnsi="Palatino Linotype" w:cs="Palatino Linotype"/>
          <w:b/>
          <w:color w:val="000000"/>
        </w:rPr>
        <w:tab/>
      </w:r>
    </w:p>
    <w:p w14:paraId="4D3A05A0" w14:textId="77777777" w:rsidR="00F859EE" w:rsidRPr="00523559" w:rsidRDefault="00F859EE" w:rsidP="00F859EE">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“no dio la </w:t>
      </w:r>
      <w:proofErr w:type="spellStart"/>
      <w:r w:rsidRPr="00523559">
        <w:rPr>
          <w:rFonts w:ascii="Palatino Linotype" w:eastAsia="Palatino Linotype" w:hAnsi="Palatino Linotype" w:cs="Palatino Linotype"/>
          <w:i/>
          <w:color w:val="000000"/>
        </w:rPr>
        <w:t>informacion</w:t>
      </w:r>
      <w:proofErr w:type="spellEnd"/>
      <w:r w:rsidRPr="00523559">
        <w:rPr>
          <w:rFonts w:ascii="Palatino Linotype" w:eastAsia="Palatino Linotype" w:hAnsi="Palatino Linotype" w:cs="Palatino Linotype"/>
          <w:i/>
          <w:color w:val="000000"/>
        </w:rPr>
        <w:t xml:space="preserve"> solicitada”</w:t>
      </w:r>
    </w:p>
    <w:p w14:paraId="45F696BA" w14:textId="77777777" w:rsidR="00F859EE" w:rsidRPr="00523559" w:rsidRDefault="00F859EE"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p>
    <w:p w14:paraId="200141F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w:t>
      </w:r>
      <w:r w:rsidRPr="00523559">
        <w:rPr>
          <w:rFonts w:ascii="Palatino Linotype" w:eastAsia="Palatino Linotype" w:hAnsi="Palatino Linotype" w:cs="Palatino Linotype"/>
        </w:rPr>
        <w:t>turna</w:t>
      </w:r>
      <w:r w:rsidRPr="00523559">
        <w:rPr>
          <w:rFonts w:ascii="Palatino Linotype" w:eastAsia="Palatino Linotype" w:hAnsi="Palatino Linotype" w:cs="Palatino Linotype"/>
          <w:color w:val="000000"/>
        </w:rPr>
        <w:t xml:space="preserve"> a la Comisionada María del Rosario Mejía Ayala, con el objeto de su análisis.</w:t>
      </w:r>
    </w:p>
    <w:p w14:paraId="6B4CD694"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7DD0E5E5"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diecinueve de febrero de dos mil veinticuatro,  puso a disposición de las partes el expediente electrónico vía SAIMEX a efecto de que en un plazo máximo de siete días </w:t>
      </w:r>
      <w:r w:rsidRPr="00523559">
        <w:rPr>
          <w:rFonts w:ascii="Palatino Linotype" w:eastAsia="Palatino Linotype" w:hAnsi="Palatino Linotype" w:cs="Palatino Linotype"/>
        </w:rPr>
        <w:t>manifestara</w:t>
      </w:r>
      <w:r w:rsidRPr="00523559">
        <w:rPr>
          <w:rFonts w:ascii="Palatino Linotype" w:eastAsia="Palatino Linotype" w:hAnsi="Palatino Linotype" w:cs="Palatino Linotype"/>
          <w:color w:val="000000"/>
        </w:rPr>
        <w:t xml:space="preserve"> lo que a derecho </w:t>
      </w:r>
      <w:r w:rsidRPr="00523559">
        <w:rPr>
          <w:rFonts w:ascii="Palatino Linotype" w:eastAsia="Palatino Linotype" w:hAnsi="Palatino Linotype" w:cs="Palatino Linotype"/>
        </w:rPr>
        <w:t>conviniera</w:t>
      </w:r>
      <w:r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rPr>
        <w:t>ofreciera</w:t>
      </w:r>
      <w:r w:rsidRPr="00523559">
        <w:rPr>
          <w:rFonts w:ascii="Palatino Linotype" w:eastAsia="Palatino Linotype" w:hAnsi="Palatino Linotype" w:cs="Palatino Linotype"/>
          <w:color w:val="000000"/>
        </w:rPr>
        <w:t xml:space="preserve"> pruebas y alegatos según </w:t>
      </w:r>
      <w:r w:rsidRPr="00523559">
        <w:rPr>
          <w:rFonts w:ascii="Palatino Linotype" w:eastAsia="Palatino Linotype" w:hAnsi="Palatino Linotype" w:cs="Palatino Linotype"/>
          <w:color w:val="000000"/>
        </w:rPr>
        <w:lastRenderedPageBreak/>
        <w:t xml:space="preserve">corresponda al caso concreto, de esta forma para que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rPr>
        <w:t>presentará</w:t>
      </w:r>
      <w:r w:rsidRPr="00523559">
        <w:rPr>
          <w:rFonts w:ascii="Palatino Linotype" w:eastAsia="Palatino Linotype" w:hAnsi="Palatino Linotype" w:cs="Palatino Linotype"/>
          <w:color w:val="000000"/>
        </w:rPr>
        <w:t xml:space="preserve"> el informe justificado procedente. </w:t>
      </w:r>
    </w:p>
    <w:p w14:paraId="52108564" w14:textId="77777777" w:rsidR="00A83BD3" w:rsidRPr="00523559" w:rsidRDefault="00A83BD3" w:rsidP="00301B1C">
      <w:pPr>
        <w:tabs>
          <w:tab w:val="left" w:pos="284"/>
        </w:tabs>
        <w:spacing w:line="360" w:lineRule="auto"/>
        <w:ind w:right="49"/>
        <w:jc w:val="both"/>
        <w:rPr>
          <w:rFonts w:ascii="Palatino Linotype" w:eastAsia="Palatino Linotype" w:hAnsi="Palatino Linotype" w:cs="Palatino Linotype"/>
          <w:i/>
          <w:color w:val="000000"/>
        </w:rPr>
      </w:pPr>
    </w:p>
    <w:p w14:paraId="5EDA2943" w14:textId="77777777" w:rsidR="00A83BD3" w:rsidRPr="00523559" w:rsidRDefault="00F41D15" w:rsidP="00301B1C">
      <w:pPr>
        <w:numPr>
          <w:ilvl w:val="0"/>
          <w:numId w:val="11"/>
        </w:numPr>
        <w:tabs>
          <w:tab w:val="left" w:pos="284"/>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w:t>
      </w:r>
      <w:r w:rsidRPr="00523559">
        <w:rPr>
          <w:rFonts w:ascii="Palatino Linotype" w:eastAsia="Palatino Linotype" w:hAnsi="Palatino Linotype" w:cs="Palatino Linotype"/>
          <w:b/>
          <w:color w:val="000000"/>
        </w:rPr>
        <w:t xml:space="preserve">SUJETO OBLIGADO no rindió informe justificado. </w:t>
      </w:r>
      <w:r w:rsidRPr="00523559">
        <w:rPr>
          <w:rFonts w:ascii="Palatino Linotype" w:eastAsia="Palatino Linotype" w:hAnsi="Palatino Linotype" w:cs="Palatino Linotype"/>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26DEAAB" w14:textId="77777777" w:rsidR="00A83BD3" w:rsidRPr="00523559" w:rsidRDefault="00F41D15" w:rsidP="00DF2E3D">
      <w:pPr>
        <w:pBdr>
          <w:top w:val="nil"/>
          <w:left w:val="nil"/>
          <w:bottom w:val="nil"/>
          <w:right w:val="nil"/>
          <w:between w:val="nil"/>
        </w:pBdr>
        <w:tabs>
          <w:tab w:val="left" w:pos="284"/>
        </w:tabs>
        <w:spacing w:line="360" w:lineRule="auto"/>
        <w:ind w:left="567" w:right="616"/>
        <w:jc w:val="both"/>
        <w:rPr>
          <w:rFonts w:ascii="Palatino Linotype" w:eastAsia="Palatino Linotype" w:hAnsi="Palatino Linotype" w:cs="Palatino Linotype"/>
          <w:i/>
          <w:color w:val="222222"/>
        </w:rPr>
      </w:pPr>
      <w:r w:rsidRPr="00523559">
        <w:rPr>
          <w:rFonts w:ascii="Palatino Linotype" w:eastAsia="Palatino Linotype" w:hAnsi="Palatino Linotype" w:cs="Palatino Linotype"/>
          <w:b/>
          <w:i/>
          <w:color w:val="222222"/>
        </w:rPr>
        <w:t>QUEJA, RECURSO DE. LA OMISION DE RENDIR EL INFORME RESPECTIVO NO IMPIDE QUE SE RESUELV</w:t>
      </w:r>
      <w:r w:rsidRPr="00523559">
        <w:rPr>
          <w:rFonts w:ascii="Palatino Linotype" w:eastAsia="Palatino Linotype" w:hAnsi="Palatino Linotype" w:cs="Palatino Linotype"/>
          <w:i/>
          <w:color w:val="222222"/>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w:t>
      </w:r>
    </w:p>
    <w:p w14:paraId="7DD0A192" w14:textId="77777777" w:rsidR="00A83BD3" w:rsidRPr="00523559" w:rsidRDefault="00A83BD3" w:rsidP="00301B1C">
      <w:pPr>
        <w:pBdr>
          <w:top w:val="nil"/>
          <w:left w:val="nil"/>
          <w:bottom w:val="nil"/>
          <w:right w:val="nil"/>
          <w:between w:val="nil"/>
        </w:pBdr>
        <w:tabs>
          <w:tab w:val="left" w:pos="284"/>
        </w:tabs>
        <w:spacing w:line="360" w:lineRule="auto"/>
        <w:ind w:left="567" w:right="49"/>
        <w:jc w:val="both"/>
        <w:rPr>
          <w:rFonts w:ascii="Palatino Linotype" w:eastAsia="Palatino Linotype" w:hAnsi="Palatino Linotype" w:cs="Palatino Linotype"/>
          <w:i/>
          <w:color w:val="222222"/>
        </w:rPr>
      </w:pPr>
    </w:p>
    <w:p w14:paraId="47D35D31" w14:textId="77777777" w:rsidR="00A83BD3" w:rsidRPr="00523559" w:rsidRDefault="00F41D15" w:rsidP="00301B1C">
      <w:pPr>
        <w:numPr>
          <w:ilvl w:val="0"/>
          <w:numId w:val="11"/>
        </w:numPr>
        <w:tabs>
          <w:tab w:val="left" w:pos="284"/>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222222"/>
        </w:rPr>
        <w:t>Por lo cual se reitera, que la falta de informe justificado no impide que este Órgano Garante conozca y resuelva el recurso de revisión, solo propicia que el </w:t>
      </w:r>
      <w:r w:rsidRPr="00523559">
        <w:rPr>
          <w:rFonts w:ascii="Palatino Linotype" w:eastAsia="Palatino Linotype" w:hAnsi="Palatino Linotype" w:cs="Palatino Linotype"/>
          <w:b/>
          <w:color w:val="222222"/>
        </w:rPr>
        <w:t>SUJETO OBLIGADO</w:t>
      </w:r>
      <w:r w:rsidRPr="00523559">
        <w:rPr>
          <w:rFonts w:ascii="Palatino Linotype" w:eastAsia="Palatino Linotype" w:hAnsi="Palatino Linotype" w:cs="Palatino Linotype"/>
          <w:color w:val="222222"/>
        </w:rPr>
        <w:t> pierda la oportunidad de justificar su respuesta y manifestar lo que a su derecho convenga.</w:t>
      </w:r>
    </w:p>
    <w:p w14:paraId="12AB0415" w14:textId="77777777" w:rsidR="00A83BD3" w:rsidRPr="00523559" w:rsidRDefault="00A83BD3" w:rsidP="00301B1C">
      <w:pPr>
        <w:tabs>
          <w:tab w:val="left" w:pos="284"/>
        </w:tabs>
        <w:spacing w:line="360" w:lineRule="auto"/>
        <w:ind w:right="49"/>
        <w:jc w:val="both"/>
        <w:rPr>
          <w:rFonts w:ascii="Palatino Linotype" w:eastAsia="Palatino Linotype" w:hAnsi="Palatino Linotype" w:cs="Palatino Linotype"/>
          <w:i/>
          <w:color w:val="000000"/>
        </w:rPr>
      </w:pPr>
    </w:p>
    <w:p w14:paraId="45C866F4" w14:textId="77777777" w:rsidR="00A83BD3" w:rsidRPr="00523559" w:rsidRDefault="00F41D15" w:rsidP="00301B1C">
      <w:pPr>
        <w:numPr>
          <w:ilvl w:val="0"/>
          <w:numId w:val="11"/>
        </w:numPr>
        <w:tabs>
          <w:tab w:val="left" w:pos="284"/>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El seis de septiembre de dos mil veinticuatro, con fundamento en el artículo 181, tercer párrafo, de la Ley de Transparencia y Acceso a la Información Pública del Estado de México y Municipios se notificó que el plazo de treinta días para resolver el recurso de revisión sería ampliado por un periodo de quince días hábiles adicionales.</w:t>
      </w:r>
    </w:p>
    <w:p w14:paraId="342289DD"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i/>
          <w:color w:val="000000"/>
        </w:rPr>
      </w:pPr>
    </w:p>
    <w:p w14:paraId="2C0FBA5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dieciséis de enero de dos mil veinticinco, la Comisionada Ponente decretó el cierre de instrucción, por lo que </w:t>
      </w:r>
      <w:r w:rsidRPr="00523559">
        <w:rPr>
          <w:rFonts w:ascii="Palatino Linotype" w:eastAsia="Palatino Linotype" w:hAnsi="Palatino Linotype" w:cs="Palatino Linotype"/>
        </w:rPr>
        <w:t>tornó</w:t>
      </w:r>
      <w:r w:rsidRPr="00523559">
        <w:rPr>
          <w:rFonts w:ascii="Palatino Linotype" w:eastAsia="Palatino Linotype" w:hAnsi="Palatino Linotype" w:cs="Palatino Linotype"/>
          <w:color w:val="000000"/>
        </w:rPr>
        <w:t xml:space="preserve"> la presente resolución para su aprobación.</w:t>
      </w:r>
    </w:p>
    <w:p w14:paraId="726CEB14"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57835D0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659555B9"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D06752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w:t>
      </w:r>
      <w:r w:rsidRPr="00523559">
        <w:rPr>
          <w:rFonts w:ascii="Palatino Linotype" w:eastAsia="Palatino Linotype" w:hAnsi="Palatino Linotype" w:cs="Palatino Linotype"/>
          <w:color w:val="000000"/>
        </w:rPr>
        <w:lastRenderedPageBreak/>
        <w:t>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BC9E017"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3AA6BAA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5392E1"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6367F0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3B41FB5"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60315FB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14:paraId="6132883C" w14:textId="77777777" w:rsidR="00A83BD3" w:rsidRPr="00523559" w:rsidRDefault="00F41D15" w:rsidP="00301B1C">
      <w:pPr>
        <w:numPr>
          <w:ilvl w:val="2"/>
          <w:numId w:val="11"/>
        </w:numPr>
        <w:pBdr>
          <w:top w:val="nil"/>
          <w:left w:val="nil"/>
          <w:bottom w:val="nil"/>
          <w:right w:val="nil"/>
          <w:between w:val="nil"/>
        </w:pBdr>
        <w:spacing w:line="360" w:lineRule="auto"/>
        <w:ind w:left="1134"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6AA156F0" w14:textId="77777777" w:rsidR="00A83BD3" w:rsidRPr="00523559" w:rsidRDefault="00F41D15" w:rsidP="00301B1C">
      <w:pPr>
        <w:numPr>
          <w:ilvl w:val="2"/>
          <w:numId w:val="11"/>
        </w:numPr>
        <w:pBdr>
          <w:top w:val="nil"/>
          <w:left w:val="nil"/>
          <w:bottom w:val="nil"/>
          <w:right w:val="nil"/>
          <w:between w:val="nil"/>
        </w:pBdr>
        <w:spacing w:line="360" w:lineRule="auto"/>
        <w:ind w:left="1134"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Actividad Procesal del interesado: Acciones u omisiones del interesado.</w:t>
      </w:r>
    </w:p>
    <w:p w14:paraId="4A9119AB" w14:textId="77777777" w:rsidR="00A83BD3" w:rsidRPr="00523559" w:rsidRDefault="00F41D15" w:rsidP="00301B1C">
      <w:pPr>
        <w:numPr>
          <w:ilvl w:val="2"/>
          <w:numId w:val="11"/>
        </w:numPr>
        <w:pBdr>
          <w:top w:val="nil"/>
          <w:left w:val="nil"/>
          <w:bottom w:val="nil"/>
          <w:right w:val="nil"/>
          <w:between w:val="nil"/>
        </w:pBdr>
        <w:spacing w:line="360" w:lineRule="auto"/>
        <w:ind w:left="1134"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Conducta de la Autoridad: Las Acciones u omisiones realizadas en el procedimiento. Así como si la autoridad actuó con la debida diligencia.</w:t>
      </w:r>
    </w:p>
    <w:p w14:paraId="3B927EDA" w14:textId="77777777" w:rsidR="00A83BD3" w:rsidRPr="00523559" w:rsidRDefault="00F41D15" w:rsidP="00301B1C">
      <w:pPr>
        <w:numPr>
          <w:ilvl w:val="2"/>
          <w:numId w:val="11"/>
        </w:numPr>
        <w:pBdr>
          <w:top w:val="nil"/>
          <w:left w:val="nil"/>
          <w:bottom w:val="nil"/>
          <w:right w:val="nil"/>
          <w:between w:val="nil"/>
        </w:pBdr>
        <w:spacing w:line="360" w:lineRule="auto"/>
        <w:ind w:left="1134"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7E1940D7" w14:textId="77777777" w:rsidR="00A83BD3" w:rsidRPr="00523559" w:rsidRDefault="00A83BD3" w:rsidP="00301B1C">
      <w:pPr>
        <w:pBdr>
          <w:top w:val="nil"/>
          <w:left w:val="nil"/>
          <w:bottom w:val="nil"/>
          <w:right w:val="nil"/>
          <w:between w:val="nil"/>
        </w:pBdr>
        <w:spacing w:line="360" w:lineRule="auto"/>
        <w:ind w:left="1134" w:right="49"/>
        <w:jc w:val="both"/>
        <w:rPr>
          <w:rFonts w:ascii="Palatino Linotype" w:eastAsia="Palatino Linotype" w:hAnsi="Palatino Linotype" w:cs="Palatino Linotype"/>
          <w:color w:val="000000"/>
        </w:rPr>
      </w:pPr>
    </w:p>
    <w:p w14:paraId="29D97B8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764DAF6"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1330DEF2"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Argumento que encuentra sustento en la jurisprudencia P</w:t>
      </w:r>
      <w:proofErr w:type="gramStart"/>
      <w:r w:rsidRPr="00523559">
        <w:rPr>
          <w:rFonts w:ascii="Palatino Linotype" w:eastAsia="Palatino Linotype" w:hAnsi="Palatino Linotype" w:cs="Palatino Linotype"/>
          <w:color w:val="000000"/>
        </w:rPr>
        <w:t>./</w:t>
      </w:r>
      <w:proofErr w:type="gramEnd"/>
      <w:r w:rsidRPr="00523559">
        <w:rPr>
          <w:rFonts w:ascii="Palatino Linotype" w:eastAsia="Palatino Linotype" w:hAnsi="Palatino Linotype" w:cs="Palatino Linotype"/>
          <w:color w:val="000000"/>
        </w:rPr>
        <w:t xml:space="preserve">J. 32/92 emitida por el Pleno de la Suprema Corte de Justicia de la Nación </w:t>
      </w:r>
      <w:r w:rsidRPr="00523559">
        <w:rPr>
          <w:rFonts w:ascii="Palatino Linotype" w:eastAsia="Palatino Linotype" w:hAnsi="Palatino Linotype" w:cs="Palatino Linotype"/>
        </w:rPr>
        <w:t>del rubro</w:t>
      </w:r>
      <w:r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b/>
          <w:color w:val="000000"/>
        </w:rPr>
        <w:t>“TÉRMINOS PROCESALES. PARA DETERMINAR SI UN FUNCIONARIO JUDICIAL ACTUÓ INDEBIDAMENTE POR NO RESPETARLOS SE DEBE ATENDER AL PRESUPUESTO QUE CONSIDERÓ EL LEGISLADOR AL FIJARLOS Y LAS CARACTERÍSTICAS DEL CASO.”,</w:t>
      </w:r>
      <w:r w:rsidRPr="00523559">
        <w:rPr>
          <w:rFonts w:ascii="Palatino Linotype" w:eastAsia="Palatino Linotype" w:hAnsi="Palatino Linotype" w:cs="Palatino Linotype"/>
          <w:color w:val="000000"/>
        </w:rPr>
        <w:t xml:space="preserve"> visible en la Gaceta del </w:t>
      </w:r>
      <w:r w:rsidRPr="00523559">
        <w:rPr>
          <w:rFonts w:ascii="Palatino Linotype" w:eastAsia="Palatino Linotype" w:hAnsi="Palatino Linotype" w:cs="Palatino Linotype"/>
        </w:rPr>
        <w:t>Semanario</w:t>
      </w:r>
      <w:r w:rsidRPr="00523559">
        <w:rPr>
          <w:rFonts w:ascii="Palatino Linotype" w:eastAsia="Palatino Linotype" w:hAnsi="Palatino Linotype" w:cs="Palatino Linotype"/>
          <w:color w:val="000000"/>
        </w:rPr>
        <w:t xml:space="preserve"> Judicial de la Federación con el registro digital 205635.</w:t>
      </w:r>
    </w:p>
    <w:p w14:paraId="54E599A4"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7441D7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523559">
        <w:rPr>
          <w:rFonts w:ascii="Palatino Linotype" w:eastAsia="Palatino Linotype" w:hAnsi="Palatino Linotype" w:cs="Palatino Linotype"/>
          <w:color w:val="000000"/>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2B45DB"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color w:val="000000"/>
        </w:rPr>
      </w:pPr>
    </w:p>
    <w:p w14:paraId="2623C46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4532F8E3" w14:textId="77777777" w:rsidR="00A83BD3" w:rsidRPr="00523559" w:rsidRDefault="00F41D15" w:rsidP="00301B1C">
      <w:pPr>
        <w:pBdr>
          <w:top w:val="nil"/>
          <w:left w:val="nil"/>
          <w:bottom w:val="nil"/>
          <w:right w:val="nil"/>
          <w:between w:val="nil"/>
        </w:pBdr>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w:t>
      </w:r>
      <w:r w:rsidRPr="00523559">
        <w:rPr>
          <w:rFonts w:ascii="Palatino Linotype" w:eastAsia="Palatino Linotype" w:hAnsi="Palatino Linotype" w:cs="Palatino Linotype"/>
          <w:b/>
          <w:color w:val="000000"/>
        </w:rPr>
        <w:t>PLAZO RAZONABLE PARA RESOLVER. DIMENSIÓN Y EFECTOS DE ESTE CONCEPTO CUANDO SE ADUCE EXCESIVA CARGA DE TRABAJO</w:t>
      </w:r>
      <w:r w:rsidRPr="00523559">
        <w:rPr>
          <w:rFonts w:ascii="Palatino Linotype" w:eastAsia="Palatino Linotype" w:hAnsi="Palatino Linotype" w:cs="Palatino Linotype"/>
          <w:color w:val="000000"/>
        </w:rPr>
        <w:t>.” consultable en el Sem</w:t>
      </w:r>
      <w:r w:rsidRPr="00523559">
        <w:rPr>
          <w:rFonts w:ascii="Palatino Linotype" w:eastAsia="Palatino Linotype" w:hAnsi="Palatino Linotype" w:cs="Palatino Linotype"/>
        </w:rPr>
        <w:t>a</w:t>
      </w:r>
      <w:r w:rsidRPr="00523559">
        <w:rPr>
          <w:rFonts w:ascii="Palatino Linotype" w:eastAsia="Palatino Linotype" w:hAnsi="Palatino Linotype" w:cs="Palatino Linotype"/>
          <w:color w:val="000000"/>
        </w:rPr>
        <w:t>nario Judicial de la Federación y su gaceta, con el registro digital 2002351.</w:t>
      </w:r>
    </w:p>
    <w:p w14:paraId="4F830943" w14:textId="77777777" w:rsidR="00A83BD3" w:rsidRPr="00523559" w:rsidRDefault="00A83BD3" w:rsidP="00301B1C">
      <w:pPr>
        <w:pBdr>
          <w:top w:val="nil"/>
          <w:left w:val="nil"/>
          <w:bottom w:val="nil"/>
          <w:right w:val="nil"/>
          <w:between w:val="nil"/>
        </w:pBdr>
        <w:spacing w:line="360" w:lineRule="auto"/>
        <w:ind w:left="284" w:right="49"/>
        <w:jc w:val="both"/>
        <w:rPr>
          <w:rFonts w:ascii="Palatino Linotype" w:eastAsia="Palatino Linotype" w:hAnsi="Palatino Linotype" w:cs="Palatino Linotype"/>
          <w:color w:val="000000"/>
        </w:rPr>
      </w:pPr>
    </w:p>
    <w:p w14:paraId="71071F49" w14:textId="77777777" w:rsidR="00A83BD3" w:rsidRPr="00523559" w:rsidRDefault="00F41D15" w:rsidP="00301B1C">
      <w:pPr>
        <w:pBdr>
          <w:top w:val="nil"/>
          <w:left w:val="nil"/>
          <w:bottom w:val="nil"/>
          <w:right w:val="nil"/>
          <w:between w:val="nil"/>
        </w:pBdr>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w:t>
      </w:r>
      <w:r w:rsidRPr="00523559">
        <w:rPr>
          <w:rFonts w:ascii="Palatino Linotype" w:eastAsia="Palatino Linotype" w:hAnsi="Palatino Linotype" w:cs="Palatino Linotype"/>
          <w:b/>
          <w:color w:val="000000"/>
        </w:rPr>
        <w:t>PLAZO RAZONABLE PARA RESOLVER. CONCEPTO Y ELEMENTOS QUE LO INTEGRAN A LA LUZ DEL DERECHO INTERNACIONAL DE LOS DERECHOS HUMANOS.</w:t>
      </w:r>
      <w:r w:rsidRPr="00523559">
        <w:rPr>
          <w:rFonts w:ascii="Palatino Linotype" w:eastAsia="Palatino Linotype" w:hAnsi="Palatino Linotype" w:cs="Palatino Linotype"/>
          <w:color w:val="000000"/>
        </w:rPr>
        <w:t>”, visible en el Sem</w:t>
      </w:r>
      <w:r w:rsidRPr="00523559">
        <w:rPr>
          <w:rFonts w:ascii="Palatino Linotype" w:eastAsia="Palatino Linotype" w:hAnsi="Palatino Linotype" w:cs="Palatino Linotype"/>
        </w:rPr>
        <w:t>a</w:t>
      </w:r>
      <w:r w:rsidRPr="00523559">
        <w:rPr>
          <w:rFonts w:ascii="Palatino Linotype" w:eastAsia="Palatino Linotype" w:hAnsi="Palatino Linotype" w:cs="Palatino Linotype"/>
          <w:color w:val="000000"/>
        </w:rPr>
        <w:t xml:space="preserve">nario Judicial de la Federación y su gaceta, con el registro digital 2002350. </w:t>
      </w:r>
    </w:p>
    <w:p w14:paraId="39482C74"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20DE3E9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09135E7A"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71C3654" w14:textId="77777777" w:rsidR="00A83BD3" w:rsidRPr="00523559" w:rsidRDefault="00F41D15" w:rsidP="00301B1C">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C O N S I D E R A N D O</w:t>
      </w:r>
    </w:p>
    <w:p w14:paraId="205CFD59" w14:textId="77777777" w:rsidR="00A83BD3" w:rsidRPr="00523559" w:rsidRDefault="00F41D15" w:rsidP="00301B1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PRIMERO. De la competencia</w:t>
      </w:r>
    </w:p>
    <w:p w14:paraId="2A70081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6F31C25"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78B7D59" w14:textId="77777777" w:rsidR="00A83BD3" w:rsidRPr="00523559" w:rsidRDefault="00F41D15" w:rsidP="00301B1C">
      <w:pPr>
        <w:pBdr>
          <w:top w:val="nil"/>
          <w:left w:val="nil"/>
          <w:bottom w:val="nil"/>
          <w:right w:val="nil"/>
          <w:between w:val="nil"/>
        </w:pBdr>
        <w:spacing w:line="360" w:lineRule="auto"/>
        <w:ind w:right="49"/>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SEGUNDO. De la oportunidad y procedencia.</w:t>
      </w:r>
    </w:p>
    <w:p w14:paraId="1D54AB3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Los medios de impugnación fueron presentados a través del </w:t>
      </w:r>
      <w:r w:rsidRPr="00523559">
        <w:rPr>
          <w:rFonts w:ascii="Palatino Linotype" w:eastAsia="Palatino Linotype" w:hAnsi="Palatino Linotype" w:cs="Palatino Linotype"/>
          <w:b/>
          <w:color w:val="000000"/>
        </w:rPr>
        <w:t>SAIMEX</w:t>
      </w:r>
      <w:r w:rsidRPr="00523559">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entregó respuesta el  </w:t>
      </w:r>
      <w:r w:rsidR="00DF2E3D" w:rsidRPr="00523559">
        <w:rPr>
          <w:rFonts w:ascii="Palatino Linotype" w:eastAsia="Palatino Linotype" w:hAnsi="Palatino Linotype" w:cs="Palatino Linotype"/>
          <w:color w:val="000000"/>
        </w:rPr>
        <w:t>nueve de abril</w:t>
      </w:r>
      <w:r w:rsidRPr="00523559">
        <w:rPr>
          <w:rFonts w:ascii="Palatino Linotype" w:eastAsia="Palatino Linotype" w:hAnsi="Palatino Linotype" w:cs="Palatino Linotype"/>
          <w:color w:val="000000"/>
        </w:rPr>
        <w:t xml:space="preserve"> de dos mil veinticuatro, de tal forma que el plazo para interponer el recurso de revisión transcurrió del </w:t>
      </w:r>
      <w:r w:rsidR="00DF2E3D" w:rsidRPr="00523559">
        <w:rPr>
          <w:rFonts w:ascii="Palatino Linotype" w:eastAsia="Palatino Linotype" w:hAnsi="Palatino Linotype" w:cs="Palatino Linotype"/>
          <w:color w:val="000000"/>
        </w:rPr>
        <w:t xml:space="preserve">diez al treinta </w:t>
      </w:r>
      <w:r w:rsidRPr="00523559">
        <w:rPr>
          <w:rFonts w:ascii="Palatino Linotype" w:eastAsia="Palatino Linotype" w:hAnsi="Palatino Linotype" w:cs="Palatino Linotype"/>
          <w:color w:val="000000"/>
        </w:rPr>
        <w:t xml:space="preserve">de </w:t>
      </w:r>
      <w:r w:rsidR="00DF2E3D" w:rsidRPr="00523559">
        <w:rPr>
          <w:rFonts w:ascii="Palatino Linotype" w:eastAsia="Palatino Linotype" w:hAnsi="Palatino Linotype" w:cs="Palatino Linotype"/>
          <w:color w:val="000000"/>
        </w:rPr>
        <w:t>abril</w:t>
      </w:r>
      <w:r w:rsidRPr="00523559">
        <w:rPr>
          <w:rFonts w:ascii="Palatino Linotype" w:eastAsia="Palatino Linotype" w:hAnsi="Palatino Linotype" w:cs="Palatino Linotype"/>
          <w:color w:val="000000"/>
        </w:rPr>
        <w:t xml:space="preserve"> de dos mil veinticuatro,  el recurso de revisión fue interpuesto el </w:t>
      </w:r>
      <w:r w:rsidR="00DF2E3D" w:rsidRPr="00523559">
        <w:rPr>
          <w:rFonts w:ascii="Palatino Linotype" w:eastAsia="Palatino Linotype" w:hAnsi="Palatino Linotype" w:cs="Palatino Linotype"/>
          <w:color w:val="000000"/>
        </w:rPr>
        <w:t>nueve de abril</w:t>
      </w:r>
      <w:r w:rsidRPr="00523559">
        <w:rPr>
          <w:rFonts w:ascii="Palatino Linotype" w:eastAsia="Palatino Linotype" w:hAnsi="Palatino Linotype" w:cs="Palatino Linotype"/>
          <w:color w:val="000000"/>
        </w:rPr>
        <w:t xml:space="preserve"> de dos mil veinticuatro, por lo que se encuentra dentro de los márgenes temporales previstos en el artículo 178 </w:t>
      </w:r>
      <w:r w:rsidRPr="00523559">
        <w:rPr>
          <w:rFonts w:ascii="Palatino Linotype" w:eastAsia="Palatino Linotype" w:hAnsi="Palatino Linotype" w:cs="Palatino Linotype"/>
          <w:color w:val="000000"/>
        </w:rPr>
        <w:lastRenderedPageBreak/>
        <w:t xml:space="preserve">de la Ley de Transparencia y Acceso a la Información Pública del Estado de México y Municipios vigente. </w:t>
      </w:r>
    </w:p>
    <w:p w14:paraId="5439BF7D"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673FC12"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color w:val="000000"/>
        </w:rPr>
      </w:pPr>
    </w:p>
    <w:p w14:paraId="6A9A1A53" w14:textId="77777777" w:rsidR="00A83BD3" w:rsidRPr="00523559" w:rsidRDefault="00F41D15" w:rsidP="00301B1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TERCERO. Planteamiento de la </w:t>
      </w:r>
      <w:r w:rsidRPr="00523559">
        <w:rPr>
          <w:rFonts w:ascii="Palatino Linotype" w:eastAsia="Palatino Linotype" w:hAnsi="Palatino Linotype" w:cs="Palatino Linotype"/>
          <w:b/>
          <w:i/>
          <w:color w:val="000000"/>
        </w:rPr>
        <w:t>Litis</w:t>
      </w:r>
    </w:p>
    <w:p w14:paraId="34F0CF8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El recurrente solicitó la siguiente información:</w:t>
      </w:r>
    </w:p>
    <w:p w14:paraId="15570F32"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Número de policías municipales con el que cuenta el ayuntamiento, clasificado por áreas o departamentos. </w:t>
      </w:r>
    </w:p>
    <w:p w14:paraId="47EEA2C4"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Sueldo bruto y neto que reciben los policías según su categoría, así como un histórico del sueldo que ha recibido desde 2022 y en caso de que se contemple un aumento salarial, especificar el monto y él </w:t>
      </w:r>
      <w:r w:rsidRPr="00523559">
        <w:rPr>
          <w:rFonts w:ascii="Palatino Linotype" w:eastAsia="Palatino Linotype" w:hAnsi="Palatino Linotype" w:cs="Palatino Linotype"/>
        </w:rPr>
        <w:t>recurso</w:t>
      </w:r>
      <w:r w:rsidRPr="00523559">
        <w:rPr>
          <w:rFonts w:ascii="Palatino Linotype" w:eastAsia="Palatino Linotype" w:hAnsi="Palatino Linotype" w:cs="Palatino Linotype"/>
          <w:color w:val="000000"/>
        </w:rPr>
        <w:t xml:space="preserve"> con el que se estará pagando. </w:t>
      </w:r>
    </w:p>
    <w:p w14:paraId="28E71C7C"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gasto que ejerció el municipio en el periodo fiscal 2022 y 2023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w:t>
      </w:r>
    </w:p>
    <w:p w14:paraId="453C8E5F"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El gasto que ejercerá el municipio en el periodo fiscal 2024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w:t>
      </w:r>
    </w:p>
    <w:p w14:paraId="3F2EBDBC"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14:paraId="7F31AC5C"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El número de elementos incluidos en la Licencia Oficial Colectiva al corte de octubre de 2023, así mismo el número de elementos programados para ser incluidos durante el 2024 en la LOC.</w:t>
      </w:r>
    </w:p>
    <w:p w14:paraId="2FAE482C"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Respecto a la carrera policial, el número de elementos que cuentan con Certificado Único Policial, así mismo el número de elementos que tienen el curso de formación inicial, el número de elementos que tienen el curso de competencias básicas y la última fecha en la que se realizó evaluación de desempeño, en este rubro </w:t>
      </w:r>
      <w:r w:rsidRPr="00523559">
        <w:rPr>
          <w:rFonts w:ascii="Palatino Linotype" w:eastAsia="Palatino Linotype" w:hAnsi="Palatino Linotype" w:cs="Palatino Linotype"/>
        </w:rPr>
        <w:t>solicitó</w:t>
      </w:r>
      <w:r w:rsidRPr="00523559">
        <w:rPr>
          <w:rFonts w:ascii="Palatino Linotype" w:eastAsia="Palatino Linotype" w:hAnsi="Palatino Linotype" w:cs="Palatino Linotype"/>
          <w:color w:val="000000"/>
        </w:rPr>
        <w:t xml:space="preserve"> que se informe el promedio general de las evaluaciones en la corporación.</w:t>
      </w:r>
    </w:p>
    <w:p w14:paraId="4C139879" w14:textId="77777777" w:rsidR="00A83BD3" w:rsidRPr="00523559" w:rsidRDefault="00F41D15" w:rsidP="00301B1C">
      <w:pPr>
        <w:numPr>
          <w:ilvl w:val="0"/>
          <w:numId w:val="5"/>
        </w:numPr>
        <w:pBdr>
          <w:top w:val="nil"/>
          <w:left w:val="nil"/>
          <w:bottom w:val="nil"/>
          <w:right w:val="nil"/>
          <w:between w:val="nil"/>
        </w:pBdr>
        <w:tabs>
          <w:tab w:val="left" w:pos="851"/>
        </w:tabs>
        <w:spacing w:line="360" w:lineRule="auto"/>
        <w:ind w:left="851" w:right="49" w:hanging="425"/>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¿Cuántos elementos </w:t>
      </w:r>
      <w:r w:rsidRPr="00523559">
        <w:rPr>
          <w:rFonts w:ascii="Palatino Linotype" w:eastAsia="Palatino Linotype" w:hAnsi="Palatino Linotype" w:cs="Palatino Linotype"/>
        </w:rPr>
        <w:t>están</w:t>
      </w:r>
      <w:r w:rsidRPr="00523559">
        <w:rPr>
          <w:rFonts w:ascii="Palatino Linotype" w:eastAsia="Palatino Linotype" w:hAnsi="Palatino Linotype" w:cs="Palatino Linotype"/>
          <w:color w:val="000000"/>
        </w:rPr>
        <w:t xml:space="preserve"> programados para acudir al curso de competencias básicas y formación inicial en el año 2024?</w:t>
      </w:r>
    </w:p>
    <w:p w14:paraId="26CD47A7"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2C42A88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En respuesta </w:t>
      </w:r>
      <w:r w:rsidR="00DF2E3D" w:rsidRPr="00523559">
        <w:rPr>
          <w:rFonts w:ascii="Palatino Linotype" w:eastAsia="Palatino Linotype" w:hAnsi="Palatino Linotype" w:cs="Palatino Linotype"/>
          <w:color w:val="000000"/>
        </w:rPr>
        <w:t>entrego la información ya descrita en el anterior Párrafo 2</w:t>
      </w:r>
      <w:r w:rsidRPr="00523559">
        <w:rPr>
          <w:rFonts w:ascii="Palatino Linotype" w:eastAsia="Palatino Linotype" w:hAnsi="Palatino Linotype" w:cs="Palatino Linotype"/>
          <w:color w:val="000000"/>
        </w:rPr>
        <w:t xml:space="preserve">. Al respecto, el Recurrente se </w:t>
      </w:r>
      <w:r w:rsidRPr="00523559">
        <w:rPr>
          <w:rFonts w:ascii="Palatino Linotype" w:eastAsia="Palatino Linotype" w:hAnsi="Palatino Linotype" w:cs="Palatino Linotype"/>
        </w:rPr>
        <w:t>inconformó</w:t>
      </w:r>
      <w:r w:rsidRPr="00523559">
        <w:rPr>
          <w:rFonts w:ascii="Palatino Linotype" w:eastAsia="Palatino Linotype" w:hAnsi="Palatino Linotype" w:cs="Palatino Linotype"/>
          <w:color w:val="000000"/>
        </w:rPr>
        <w:t xml:space="preserve"> </w:t>
      </w:r>
      <w:r w:rsidR="00DF2E3D" w:rsidRPr="00523559">
        <w:rPr>
          <w:rFonts w:ascii="Palatino Linotype" w:eastAsia="Palatino Linotype" w:hAnsi="Palatino Linotype" w:cs="Palatino Linotype"/>
          <w:color w:val="000000"/>
        </w:rPr>
        <w:t xml:space="preserve">porque a su decir el </w:t>
      </w:r>
      <w:r w:rsidR="00DF2E3D" w:rsidRPr="00523559">
        <w:rPr>
          <w:rFonts w:ascii="Palatino Linotype" w:eastAsia="Palatino Linotype" w:hAnsi="Palatino Linotype" w:cs="Palatino Linotype"/>
          <w:b/>
          <w:color w:val="000000"/>
        </w:rPr>
        <w:t xml:space="preserve">SUJETO OBLIGADO, </w:t>
      </w:r>
      <w:r w:rsidR="00DF2E3D" w:rsidRPr="00523559">
        <w:rPr>
          <w:rFonts w:ascii="Palatino Linotype" w:eastAsia="Palatino Linotype" w:hAnsi="Palatino Linotype" w:cs="Palatino Linotype"/>
          <w:color w:val="000000"/>
        </w:rPr>
        <w:t>no dio la información.</w:t>
      </w:r>
    </w:p>
    <w:p w14:paraId="1447711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lo tanto, el presente recurso de revisión se circunscribe en determinar si se actualiza las causales de procedencia contenidas en el artículo 179 </w:t>
      </w:r>
      <w:proofErr w:type="gramStart"/>
      <w:r w:rsidRPr="00523559">
        <w:rPr>
          <w:rFonts w:ascii="Palatino Linotype" w:eastAsia="Palatino Linotype" w:hAnsi="Palatino Linotype" w:cs="Palatino Linotype"/>
          <w:color w:val="000000"/>
        </w:rPr>
        <w:t>fracci</w:t>
      </w:r>
      <w:r w:rsidR="00DF2E3D" w:rsidRPr="00523559">
        <w:rPr>
          <w:rFonts w:ascii="Palatino Linotype" w:eastAsia="Palatino Linotype" w:hAnsi="Palatino Linotype" w:cs="Palatino Linotype"/>
          <w:color w:val="000000"/>
        </w:rPr>
        <w:t>ón</w:t>
      </w:r>
      <w:proofErr w:type="gramEnd"/>
      <w:r w:rsidR="00DF2E3D"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color w:val="000000"/>
        </w:rPr>
        <w:t>I</w:t>
      </w:r>
      <w:r w:rsidR="005502C2" w:rsidRPr="00523559">
        <w:rPr>
          <w:rFonts w:ascii="Palatino Linotype" w:eastAsia="Palatino Linotype" w:hAnsi="Palatino Linotype" w:cs="Palatino Linotype"/>
          <w:color w:val="000000"/>
        </w:rPr>
        <w:t>,</w:t>
      </w:r>
      <w:r w:rsidRPr="00523559">
        <w:rPr>
          <w:rFonts w:ascii="Palatino Linotype" w:eastAsia="Palatino Linotype" w:hAnsi="Palatino Linotype" w:cs="Palatino Linotype"/>
          <w:color w:val="000000"/>
        </w:rPr>
        <w:t xml:space="preserve"> relativa a la </w:t>
      </w:r>
      <w:r w:rsidR="00DF2E3D" w:rsidRPr="00523559">
        <w:rPr>
          <w:rFonts w:ascii="Palatino Linotype" w:eastAsia="Palatino Linotype" w:hAnsi="Palatino Linotype" w:cs="Palatino Linotype"/>
          <w:color w:val="000000"/>
        </w:rPr>
        <w:t>negativa de la información solicitada</w:t>
      </w:r>
      <w:r w:rsidRPr="00523559">
        <w:rPr>
          <w:rFonts w:ascii="Palatino Linotype" w:eastAsia="Palatino Linotype" w:hAnsi="Palatino Linotype" w:cs="Palatino Linotype"/>
          <w:color w:val="000000"/>
        </w:rPr>
        <w:t>, de la Ley de Transparencia y Acceso a la Información Pública del Estado de México y Municipios.</w:t>
      </w:r>
    </w:p>
    <w:p w14:paraId="13C9A452"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39B19D07" w14:textId="77777777" w:rsidR="00A83BD3" w:rsidRPr="00523559" w:rsidRDefault="00F41D15" w:rsidP="00301B1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CUARTO. Estudio y Resolución del asunto.</w:t>
      </w:r>
    </w:p>
    <w:p w14:paraId="6DE1FB11" w14:textId="77777777" w:rsidR="00A83BD3" w:rsidRPr="00523559" w:rsidRDefault="00F41D15" w:rsidP="00301B1C">
      <w:pPr>
        <w:numPr>
          <w:ilvl w:val="3"/>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De la atención a la solicitud de información.</w:t>
      </w:r>
    </w:p>
    <w:p w14:paraId="1169C01A" w14:textId="77777777" w:rsidR="00A83BD3" w:rsidRPr="00523559" w:rsidRDefault="00F41D15" w:rsidP="00301B1C">
      <w:pPr>
        <w:pBdr>
          <w:top w:val="nil"/>
          <w:left w:val="nil"/>
          <w:bottom w:val="nil"/>
          <w:right w:val="nil"/>
          <w:between w:val="nil"/>
        </w:pBdr>
        <w:spacing w:line="360" w:lineRule="auto"/>
        <w:ind w:left="284"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a) De la fuente obligacional</w:t>
      </w:r>
    </w:p>
    <w:p w14:paraId="20FB61E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14:paraId="66E817E3"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70E93D0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w:t>
      </w:r>
      <w:r w:rsidRPr="00523559">
        <w:rPr>
          <w:rFonts w:ascii="Palatino Linotype" w:eastAsia="Palatino Linotype" w:hAnsi="Palatino Linotype" w:cs="Palatino Linotype"/>
        </w:rPr>
        <w:t>languidecerá</w:t>
      </w:r>
      <w:r w:rsidRPr="00523559">
        <w:rPr>
          <w:rFonts w:ascii="Palatino Linotype" w:eastAsia="Palatino Linotype" w:hAnsi="Palatino Linotype" w:cs="Palatino Linotype"/>
          <w:color w:val="000000"/>
        </w:rPr>
        <w:t xml:space="preserve"> y la participación en el gobierno </w:t>
      </w:r>
      <w:r w:rsidRPr="00523559">
        <w:rPr>
          <w:rFonts w:ascii="Palatino Linotype" w:eastAsia="Palatino Linotype" w:hAnsi="Palatino Linotype" w:cs="Palatino Linotype"/>
        </w:rPr>
        <w:t>permanece</w:t>
      </w:r>
      <w:r w:rsidRPr="00523559">
        <w:rPr>
          <w:rFonts w:ascii="Palatino Linotype" w:eastAsia="Palatino Linotype" w:hAnsi="Palatino Linotype" w:cs="Palatino Linotype"/>
          <w:color w:val="000000"/>
        </w:rPr>
        <w:t xml:space="preserve"> fragmentada.</w:t>
      </w:r>
    </w:p>
    <w:p w14:paraId="3ED7F08B"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7D33CFA5"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Se deduce que el derecho de acceso a la información pública es un derecho humano constitucionalmente reconocido, en consecuencia, todas las autoridades en el ámbito de sus competencias, funciones y atribuciones tienen la obligación de respetarlo, protegerlo y </w:t>
      </w:r>
      <w:r w:rsidRPr="00523559">
        <w:rPr>
          <w:rFonts w:ascii="Palatino Linotype" w:eastAsia="Palatino Linotype" w:hAnsi="Palatino Linotype" w:cs="Palatino Linotype"/>
        </w:rPr>
        <w:t>garantizar</w:t>
      </w:r>
      <w:r w:rsidRPr="00523559">
        <w:rPr>
          <w:rFonts w:ascii="Palatino Linotype" w:eastAsia="Palatino Linotype" w:hAnsi="Palatino Linotype" w:cs="Palatino Linotype"/>
          <w:color w:val="000000"/>
        </w:rPr>
        <w:t>.</w:t>
      </w:r>
    </w:p>
    <w:p w14:paraId="47B1F443"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10F489F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w:t>
      </w:r>
      <w:r w:rsidRPr="00523559">
        <w:rPr>
          <w:rFonts w:ascii="Palatino Linotype" w:eastAsia="Palatino Linotype" w:hAnsi="Palatino Linotype" w:cs="Palatino Linotype"/>
          <w:color w:val="000000"/>
        </w:rPr>
        <w:lastRenderedPageBreak/>
        <w:t xml:space="preserve">auxilio y orientación a los particulares, contemplando el derecho de las personas con discapacidad y hablantes de lengua indígena. </w:t>
      </w:r>
    </w:p>
    <w:p w14:paraId="105E1B48"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5495C5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A69595D"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66962F1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Establecido lo anterior, resulta evidente que las razones o motivos de inconformidad hechos valer en el recurso de revisión resultan fundadas y procedentes, debido a que el SUJETO OBLIGADO proporcionó información que no corresponde con lo solicitado.</w:t>
      </w:r>
    </w:p>
    <w:p w14:paraId="2A9A1559"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7431B87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w:t>
      </w:r>
      <w:r w:rsidRPr="00523559">
        <w:rPr>
          <w:rFonts w:ascii="Palatino Linotype" w:eastAsia="Palatino Linotype" w:hAnsi="Palatino Linotype" w:cs="Palatino Linotype"/>
          <w:color w:val="000000"/>
        </w:rPr>
        <w:lastRenderedPageBreak/>
        <w:t>Periódico Oficial del Gobierno del Estado Libre y Soberano de México “Gaceta del Gobierno” el diecinueve de octubre de dos mil once, cuyo rubro y texto dispone:</w:t>
      </w:r>
    </w:p>
    <w:p w14:paraId="327DC156"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color w:val="000000"/>
        </w:rPr>
        <w:t>“CRITERIO 0002-11</w:t>
      </w:r>
    </w:p>
    <w:p w14:paraId="1D6EC481"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523559">
        <w:rPr>
          <w:rFonts w:ascii="Palatino Linotype" w:eastAsia="Palatino Linotype" w:hAnsi="Palatino Linotype" w:cs="Palatino Linotype"/>
          <w:i/>
          <w:color w:val="000000"/>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754E8C"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En consecuencia el acceso a la información se refiere a que se cumplan cualquiera de los siguientes tres supuestos:</w:t>
      </w:r>
    </w:p>
    <w:p w14:paraId="585327DA"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14:paraId="092CAB9E"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14:paraId="11C08293"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14:paraId="215E0165"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2E6837D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 para darnos un mejor panorama:</w:t>
      </w:r>
    </w:p>
    <w:p w14:paraId="6F320246"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XI. Documento:</w:t>
      </w:r>
      <w:r w:rsidRPr="00523559">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C8E1DDB"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231C401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DD36AA1" w14:textId="77777777" w:rsidR="005502C2" w:rsidRPr="00523559" w:rsidRDefault="005502C2" w:rsidP="005502C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2AE65C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w:t>
      </w:r>
      <w:r w:rsidRPr="00523559">
        <w:rPr>
          <w:rFonts w:ascii="Palatino Linotype" w:eastAsia="Palatino Linotype" w:hAnsi="Palatino Linotype" w:cs="Palatino Linotype"/>
          <w:color w:val="000000"/>
        </w:rPr>
        <w:lastRenderedPageBreak/>
        <w:t>desde su origen la eventual publicidad y reutilización de la información que generen, posean o administren.</w:t>
      </w:r>
    </w:p>
    <w:p w14:paraId="77833B1D"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07FADBE"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14:paraId="3D391349"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Artículo 4.</w:t>
      </w:r>
      <w:r w:rsidRPr="00523559">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A5B960"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DC585B8"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A7C89E"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28C8615E"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14:paraId="2A4C1251"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4367659F"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lastRenderedPageBreak/>
        <w:t>Artículo 12.</w:t>
      </w:r>
      <w:r w:rsidRPr="00523559">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70B26771"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07373C5C"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D1354E2"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19AC5C8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466C61F"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75CB384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03ACB4C"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lastRenderedPageBreak/>
        <w:t>ACCESO A LA INFORMACIÓN. IMPLICACIÓN DEL PRINCIPIO DE MÁXIMA PUBLICIDAD EN EL DERECHO FUNDAMENTAL RELATIVO.</w:t>
      </w:r>
      <w:r w:rsidRPr="00523559">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w:t>
      </w:r>
      <w:r w:rsidRPr="00523559">
        <w:rPr>
          <w:rFonts w:ascii="Palatino Linotype" w:eastAsia="Palatino Linotype" w:hAnsi="Palatino Linotype" w:cs="Palatino Linotype"/>
          <w:i/>
          <w:color w:val="000000"/>
        </w:rPr>
        <w:lastRenderedPageBreak/>
        <w:t xml:space="preserve">justificados bajo determinadas circunstancias, se podrá clasificar como confidencial o reservada, esto es, considerarla con una calidad diversa. </w:t>
      </w:r>
    </w:p>
    <w:p w14:paraId="3A95CB72"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14:paraId="1FAAAE08"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71E325A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14:paraId="32291D3D"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“Artículo 6o.</w:t>
      </w:r>
      <w:r w:rsidRPr="00523559">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E537A69"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138BF267"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7ADF0E64"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A37FC47"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Para efectos de lo dispuesto en el presente artículo se observará lo siguiente:</w:t>
      </w:r>
    </w:p>
    <w:p w14:paraId="30D603A4"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1D5667DF" w14:textId="77777777" w:rsidR="00A83BD3" w:rsidRPr="00523559" w:rsidRDefault="00F41D15" w:rsidP="00301B1C">
      <w:pPr>
        <w:numPr>
          <w:ilvl w:val="4"/>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Para el ejercicio del derecho de acceso a la información, la Federación, los Estados y el Distrito Federal, en el ámbito de sus respectivas competencias, se regirán por los siguientes principios y bases:</w:t>
      </w:r>
    </w:p>
    <w:p w14:paraId="16DB9FD2"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028EEB8C"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EF0C70"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0BCEF78"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La información que se refiere a la vida privada y los datos personales será protegida en los términos y con las excepciones que fijen las leyes.</w:t>
      </w:r>
    </w:p>
    <w:p w14:paraId="7B3BA3B6"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14:paraId="3A046425"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582AFFD"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Se establecerán mecanismos de acceso a la información y procedimientos de revisión expeditos que se sustanciarán ante los organismos autónomos especializados e imparciales que establece esta Constitución.</w:t>
      </w:r>
    </w:p>
    <w:p w14:paraId="11A660DE"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36DEE3F7"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FDC40DE"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FB138B9"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2CD9F444"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407C8D20"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w:t>
      </w:r>
    </w:p>
    <w:p w14:paraId="053ED5DA"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9EBBC6"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229681E2"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La ley establecerá aquella información que se considere reservada o confidencial.”</w:t>
      </w:r>
    </w:p>
    <w:p w14:paraId="0301849C"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6C490F6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49E13EEF"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color w:val="000000"/>
        </w:rPr>
        <w:t xml:space="preserve">“Artículo 5. … </w:t>
      </w:r>
    </w:p>
    <w:p w14:paraId="6138371B"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El derecho a la información será garantizado por el Estado</w:t>
      </w:r>
      <w:r w:rsidRPr="00523559">
        <w:rPr>
          <w:rFonts w:ascii="Palatino Linotype" w:eastAsia="Palatino Linotype" w:hAnsi="Palatino Linotype" w:cs="Palatino Linotype"/>
          <w:i/>
          <w:color w:val="000000"/>
        </w:rPr>
        <w:t xml:space="preserve">. La ley establecerá las previsiones que permitan asegurar la protección, el respeto y la difusión de este derecho. </w:t>
      </w:r>
    </w:p>
    <w:p w14:paraId="44A6F04F"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5DD6F2"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520BF05C"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Este derecho se regirá por los principios y bases siguientes:</w:t>
      </w:r>
    </w:p>
    <w:p w14:paraId="2F10C939"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32045458"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Toda la información en posesión de cualquier autoridad</w:t>
      </w:r>
      <w:r w:rsidRPr="00523559">
        <w:rPr>
          <w:rFonts w:ascii="Palatino Linotype" w:eastAsia="Palatino Linotype" w:hAnsi="Palatino Linotype" w:cs="Palatino Linotype"/>
          <w:i/>
          <w:color w:val="000000"/>
        </w:rPr>
        <w:t xml:space="preserve">, entidad, órgano y organismos de los Poderes Ejecutivo, Legislativo y Judicial, órganos autónomos, partidos políticos, fideicomisos y fondos públicos estatales y municipales, </w:t>
      </w:r>
      <w:r w:rsidRPr="00523559">
        <w:rPr>
          <w:rFonts w:ascii="Palatino Linotype" w:eastAsia="Palatino Linotype" w:hAnsi="Palatino Linotype" w:cs="Palatino Linotype"/>
          <w:b/>
          <w:i/>
          <w:color w:val="000000"/>
        </w:rPr>
        <w:t>así como del gobierno y de la administración pública municipal y sus organismos descentralizados</w:t>
      </w:r>
      <w:r w:rsidRPr="00523559">
        <w:rPr>
          <w:rFonts w:ascii="Palatino Linotype" w:eastAsia="Palatino Linotype" w:hAnsi="Palatino Linotype" w:cs="Palatino Linotype"/>
          <w:i/>
          <w:color w:val="000000"/>
        </w:rPr>
        <w:t xml:space="preserve">, asimismo de cualquier persona física, jurídica colectiva o sindicato que reciba y ejerza recursos públicos o realice actos de autoridad en el ámbito estatal y municipal, </w:t>
      </w:r>
      <w:r w:rsidRPr="00523559">
        <w:rPr>
          <w:rFonts w:ascii="Palatino Linotype" w:eastAsia="Palatino Linotype" w:hAnsi="Palatino Linotype" w:cs="Palatino Linotype"/>
          <w:b/>
          <w:i/>
          <w:color w:val="000000"/>
        </w:rPr>
        <w:t>es pública</w:t>
      </w:r>
      <w:r w:rsidRPr="00523559">
        <w:rPr>
          <w:rFonts w:ascii="Palatino Linotype" w:eastAsia="Palatino Linotype" w:hAnsi="Palatino Linotype" w:cs="Palatino Linotype"/>
          <w:i/>
          <w:color w:val="000000"/>
        </w:rPr>
        <w:t xml:space="preserve"> y sólo podrá ser reservada temporalmente por razones previstas en la Constitución Política de los Estados Unidos Mexicanos de interés público y </w:t>
      </w:r>
      <w:r w:rsidRPr="00523559">
        <w:rPr>
          <w:rFonts w:ascii="Palatino Linotype" w:eastAsia="Palatino Linotype" w:hAnsi="Palatino Linotype" w:cs="Palatino Linotype"/>
          <w:i/>
          <w:color w:val="000000"/>
        </w:rPr>
        <w:lastRenderedPageBreak/>
        <w:t>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B247621"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La información referente a la intimidad de la vida privada y la imagen de las personas será protegida a través de un marco jurídico rígido de tratamiento y manejo de datos personales, con las excepciones que establezca la ley reglamentaria.</w:t>
      </w:r>
    </w:p>
    <w:p w14:paraId="70D4B8BC"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14:paraId="2BC0021A"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Se establecerán mecanismos de acceso a la información y procedimientos de revisión expeditos que se sustanciarán ante el organismo autónomo especializado e imparcial que establece esta Constitución.</w:t>
      </w:r>
    </w:p>
    <w:p w14:paraId="001D7864"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5A038BF"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 xml:space="preserve">Los sujetos obligados deberán preservar sus documentos en archivos administrativos actualizados y publicarán, a través de los medios electrónicos disponibles, la información completa y actualizada sobre el </w:t>
      </w:r>
      <w:r w:rsidRPr="00523559">
        <w:rPr>
          <w:rFonts w:ascii="Palatino Linotype" w:eastAsia="Palatino Linotype" w:hAnsi="Palatino Linotype" w:cs="Palatino Linotype"/>
          <w:b/>
          <w:i/>
          <w:color w:val="000000"/>
        </w:rPr>
        <w:lastRenderedPageBreak/>
        <w:t>ejercicio de los recursos públicos</w:t>
      </w:r>
      <w:r w:rsidRPr="00523559">
        <w:rPr>
          <w:rFonts w:ascii="Palatino Linotype" w:eastAsia="Palatino Linotype" w:hAnsi="Palatino Linotype" w:cs="Palatino Linotype"/>
          <w:i/>
          <w:color w:val="000000"/>
        </w:rPr>
        <w:t xml:space="preserve"> y los indicadores que permitan rendir cuenta del cumplimiento de sus objetivos y los resultados obtenidos.</w:t>
      </w:r>
    </w:p>
    <w:p w14:paraId="6EADB580" w14:textId="77777777" w:rsidR="00A83BD3" w:rsidRPr="00523559" w:rsidRDefault="00F41D15" w:rsidP="00301B1C">
      <w:pPr>
        <w:numPr>
          <w:ilvl w:val="3"/>
          <w:numId w:val="1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La ley reglamentaria, determinará la manera en que los sujetos obligados deberán hacer pública la información relativa a los recursos públicos que entreguen a personas físicas o jurídicas colectivas.”</w:t>
      </w:r>
    </w:p>
    <w:p w14:paraId="1918EDF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14:paraId="6C6DF72B"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“Artículo 23.</w:t>
      </w:r>
      <w:r w:rsidRPr="00523559">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14:paraId="51B00FAD"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6A563EC8"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I. El Poder Ejecutivo del Estado de México, las dependencias, organismos auxiliares, órganos, entidades, fideicomisos y fondos públicos, así como la Fiscalía General de Justicia del Estado de México; </w:t>
      </w:r>
    </w:p>
    <w:p w14:paraId="09B35DD2"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4122E8A0"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34329D3" w14:textId="77777777" w:rsidR="00A83BD3" w:rsidRPr="00523559" w:rsidRDefault="00A83BD3" w:rsidP="00301B1C">
      <w:pPr>
        <w:spacing w:line="360" w:lineRule="auto"/>
        <w:ind w:left="567" w:right="49"/>
        <w:jc w:val="both"/>
        <w:rPr>
          <w:rFonts w:ascii="Palatino Linotype" w:eastAsia="Palatino Linotype" w:hAnsi="Palatino Linotype" w:cs="Palatino Linotype"/>
          <w:i/>
          <w:color w:val="000000"/>
        </w:rPr>
      </w:pPr>
    </w:p>
    <w:p w14:paraId="72A86C79" w14:textId="77777777" w:rsidR="00A83BD3" w:rsidRPr="00523559" w:rsidRDefault="00F41D15"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Los servidores públicos deberán transparentar sus acciones así como garantizar y respetar el derecho de acceso a la información pública.”</w:t>
      </w:r>
    </w:p>
    <w:p w14:paraId="425662A8"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071394E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31B3020" w14:textId="77777777" w:rsidR="00EC3571" w:rsidRPr="00523559" w:rsidRDefault="00EC3571" w:rsidP="00EC357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543716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lo anterior, es de referir que, el </w:t>
      </w:r>
      <w:r w:rsidR="00301B1C" w:rsidRPr="00523559">
        <w:rPr>
          <w:rFonts w:ascii="Palatino Linotype" w:eastAsia="Palatino Linotype" w:hAnsi="Palatino Linotype" w:cs="Palatino Linotype"/>
          <w:b/>
          <w:color w:val="000000"/>
        </w:rPr>
        <w:t>Ayuntamiento de Zinacantepec</w:t>
      </w:r>
      <w:r w:rsidRPr="00523559">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14:paraId="57615075"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4B587783" w14:textId="77777777" w:rsidR="00A83BD3" w:rsidRPr="00523559" w:rsidRDefault="00F41D15" w:rsidP="00301B1C">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II. De las actuaciones de las partes.</w:t>
      </w:r>
    </w:p>
    <w:p w14:paraId="1BEDC2B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 continuación se realiza el  análisis de la información solicitada:</w:t>
      </w:r>
    </w:p>
    <w:p w14:paraId="0B53D66D" w14:textId="77777777" w:rsidR="00A83BD3" w:rsidRPr="00523559" w:rsidRDefault="00F41D15" w:rsidP="00301B1C">
      <w:pP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Número de policías municipales con el que cuenta el ayuntamiento, clasificado por áreas o departamentos.</w:t>
      </w:r>
    </w:p>
    <w:p w14:paraId="2A55D550" w14:textId="77777777" w:rsidR="00A83BD3" w:rsidRPr="00523559" w:rsidRDefault="00F41D15" w:rsidP="00301B1C">
      <w:pP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 </w:t>
      </w:r>
    </w:p>
    <w:p w14:paraId="39E51D0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El particular solicitó conocer el número de elementos de seguridad con los que cuenta actualmente el </w:t>
      </w:r>
      <w:r w:rsidR="00301B1C" w:rsidRPr="00523559">
        <w:rPr>
          <w:rFonts w:ascii="Palatino Linotype" w:eastAsia="Palatino Linotype" w:hAnsi="Palatino Linotype" w:cs="Palatino Linotype"/>
          <w:color w:val="000000"/>
        </w:rPr>
        <w:t>Ayuntamiento de Zinacantepec</w:t>
      </w:r>
      <w:r w:rsidRPr="00523559">
        <w:rPr>
          <w:rFonts w:ascii="Palatino Linotype" w:eastAsia="Palatino Linotype" w:hAnsi="Palatino Linotype" w:cs="Palatino Linotype"/>
          <w:color w:val="000000"/>
        </w:rPr>
        <w:t xml:space="preserve">. Es de vital importancia destacar que los requerimientos formulados por el particular, van encaminados a conocer un </w:t>
      </w:r>
      <w:r w:rsidRPr="00523559">
        <w:rPr>
          <w:rFonts w:ascii="Palatino Linotype" w:eastAsia="Palatino Linotype" w:hAnsi="Palatino Linotype" w:cs="Palatino Linotype"/>
          <w:b/>
          <w:color w:val="000000"/>
        </w:rPr>
        <w:t>dato estadístico</w:t>
      </w:r>
      <w:r w:rsidRPr="00523559">
        <w:rPr>
          <w:rFonts w:ascii="Palatino Linotype" w:eastAsia="Palatino Linotype" w:hAnsi="Palatino Linotype" w:cs="Palatino Linotype"/>
          <w:color w:val="000000"/>
        </w:rPr>
        <w:t>, luego entonces en términos de los criterios emitidos por el Instituto Federal de Transparencia, Acceso a la Información Pública y Protección de Datos Personales ahora Instituto Nacional de Transparencia, Acceso a la Información Pública y Protección de Datos Personales:</w:t>
      </w:r>
    </w:p>
    <w:p w14:paraId="25967905" w14:textId="77777777" w:rsidR="00A83BD3" w:rsidRPr="00523559" w:rsidRDefault="00A83BD3" w:rsidP="00301B1C">
      <w:pPr>
        <w:spacing w:line="360" w:lineRule="auto"/>
        <w:ind w:right="49"/>
        <w:rPr>
          <w:rFonts w:ascii="Palatino Linotype" w:eastAsia="Palatino Linotype" w:hAnsi="Palatino Linotype" w:cs="Palatino Linotype"/>
        </w:rPr>
      </w:pPr>
    </w:p>
    <w:p w14:paraId="18AD7D80" w14:textId="77777777" w:rsidR="00A83BD3" w:rsidRPr="00523559" w:rsidRDefault="00F41D15" w:rsidP="00301B1C">
      <w:pPr>
        <w:spacing w:line="360" w:lineRule="auto"/>
        <w:ind w:left="426"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b/>
          <w:i/>
          <w:color w:val="000000"/>
        </w:rPr>
        <w:t xml:space="preserve">“Bases de datos. Deberá otorgarse acceso a las mismas, en el formato en el que obren en los archivos de los sujetos obligados, a fin de garantizar la libre explotación, manipulación y reutilización de la información que contienen. </w:t>
      </w:r>
      <w:r w:rsidRPr="00523559">
        <w:rPr>
          <w:rFonts w:ascii="Palatino Linotype" w:eastAsia="Palatino Linotype" w:hAnsi="Palatino Linotype" w:cs="Palatino Linotype"/>
          <w:i/>
          <w:color w:val="000000"/>
        </w:rPr>
        <w:t>Uno de los objetivos de la Ley Federal de Transparencia y Acceso a la Información Pública Gubernamental, previsto en el artículo 4, fracción I, es garantizar el acceso a la información en posesión de los sujetos obligados. En este sentido, al amparo de la Ley es posible solicitar acceso a la información contenida en documentos, en el sentido más amplio  del  término,  en el formato  en  el  que  se  encuentren  en  los  archivos  de  las dependencias y entidades, el cual puede ser escrito, impreso, sonoro, visual, electrónico, informático u holográfico, de conformidad con lo dispuesto en las fracciones III y V del artículo 3 de la Ley. En este contexto y de conformidad con lo dispuesto en el artículo 42 de dicho ordenamiento legal que establece que las dependencias y entidades están obligadas a proporcionar la información que se encuentra en sus archivos, en la forma en que lo permita el documento de que se trate, ante solicitudes de acceso en las que se requieran bases de datos, o información pública contenida en éstas, deberá otorgarse acceso a las mismas, por tratarse de documentos en archivo electrónico a partir de los cuales se recoge, genera, transforma o conserva información de los sujetos obligados. La entrega de dicha información no constituye la elaboración de un documento ad hoc, ni resulta una carga para las autoridades, pues consiste, simplemente, en poner a disposición de los particulares las bases de datos, o el repositorio de las mismas, en el formato en el que obran en sus archivos, garantizando a los solicitantes la libre explotación, manipulación y reutilización de la información gubernamental.</w:t>
      </w:r>
    </w:p>
    <w:p w14:paraId="52B45251" w14:textId="77777777" w:rsidR="00A83BD3" w:rsidRPr="00523559" w:rsidRDefault="00F41D15" w:rsidP="00301B1C">
      <w:pPr>
        <w:spacing w:line="360" w:lineRule="auto"/>
        <w:ind w:left="426"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i/>
          <w:color w:val="000000"/>
        </w:rPr>
        <w:lastRenderedPageBreak/>
        <w:t xml:space="preserve">La información estadística es de naturaleza pública, independientemente de la materia con la que se encuentre vinculada. </w:t>
      </w:r>
      <w:r w:rsidRPr="00523559">
        <w:rPr>
          <w:rFonts w:ascii="Palatino Linotype" w:eastAsia="Palatino Linotype" w:hAnsi="Palatino Linotype" w:cs="Palatino Linotype"/>
          <w:i/>
          <w:color w:val="000000"/>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6AC6DDD1"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rPr>
      </w:pPr>
    </w:p>
    <w:p w14:paraId="6A388672"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Es así que, la información estadística, independientemente de la materia con la que se encuentre vinculada, no es susceptible de ser clasificada, por lo que debe ordenarse su entrega. </w:t>
      </w:r>
    </w:p>
    <w:p w14:paraId="158AB66F" w14:textId="77777777" w:rsidR="00A83BD3" w:rsidRPr="00523559" w:rsidRDefault="00A83BD3" w:rsidP="00301B1C">
      <w:pPr>
        <w:pBdr>
          <w:top w:val="nil"/>
          <w:left w:val="nil"/>
          <w:bottom w:val="nil"/>
          <w:right w:val="nil"/>
          <w:between w:val="nil"/>
        </w:pBdr>
        <w:tabs>
          <w:tab w:val="left" w:pos="567"/>
        </w:tabs>
        <w:spacing w:line="360" w:lineRule="auto"/>
        <w:ind w:right="49"/>
        <w:jc w:val="both"/>
        <w:rPr>
          <w:rFonts w:ascii="Palatino Linotype" w:eastAsia="Palatino Linotype" w:hAnsi="Palatino Linotype" w:cs="Palatino Linotype"/>
          <w:color w:val="000000"/>
        </w:rPr>
      </w:pPr>
    </w:p>
    <w:p w14:paraId="05856CD6" w14:textId="77777777" w:rsidR="00A83BD3" w:rsidRPr="00523559" w:rsidRDefault="00294287" w:rsidP="00294287">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esa tesitura es que se tiene por colmado el rubro en comento </w:t>
      </w:r>
      <w:r w:rsidR="00AC1888" w:rsidRPr="00523559">
        <w:rPr>
          <w:rFonts w:ascii="Palatino Linotype" w:eastAsia="Palatino Linotype" w:hAnsi="Palatino Linotype" w:cs="Palatino Linotype"/>
          <w:color w:val="000000"/>
        </w:rPr>
        <w:t>e</w:t>
      </w:r>
      <w:r w:rsidRPr="00523559">
        <w:rPr>
          <w:rFonts w:ascii="Palatino Linotype" w:eastAsia="Palatino Linotype" w:hAnsi="Palatino Linotype" w:cs="Palatino Linotype"/>
          <w:color w:val="000000"/>
        </w:rPr>
        <w:t>l Director de Administración, mediante el cual se remite un recuadro del número de trabajadores adscritos al área de Dirección de Seguridad Publica y Transito.</w:t>
      </w:r>
    </w:p>
    <w:p w14:paraId="6AACFD2B" w14:textId="77777777" w:rsidR="00624ADA" w:rsidRPr="00523559" w:rsidRDefault="00624ADA" w:rsidP="00624ADA">
      <w:pPr>
        <w:pStyle w:val="Prrafodelista"/>
        <w:rPr>
          <w:rFonts w:ascii="Palatino Linotype" w:eastAsia="Palatino Linotype" w:hAnsi="Palatino Linotype" w:cs="Palatino Linotype"/>
          <w:color w:val="000000"/>
        </w:rPr>
      </w:pPr>
    </w:p>
    <w:p w14:paraId="09795A01" w14:textId="77777777" w:rsidR="00624ADA" w:rsidRPr="00523559" w:rsidRDefault="00AC1888" w:rsidP="00AC1888">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rPr>
        <w:t xml:space="preserve">Pronunciamiento del cual </w:t>
      </w:r>
      <w:r w:rsidR="00624ADA" w:rsidRPr="00523559">
        <w:rPr>
          <w:rFonts w:ascii="Palatino Linotype" w:eastAsia="Palatino Linotype" w:hAnsi="Palatino Linotype" w:cs="Palatino Linotype"/>
        </w:rPr>
        <w:t xml:space="preserve">es necesario señalar que éste Órgano Garante no está facultado para </w:t>
      </w:r>
      <w:r w:rsidR="00624ADA" w:rsidRPr="00523559">
        <w:rPr>
          <w:rFonts w:ascii="Palatino Linotype" w:eastAsia="Palatino Linotype" w:hAnsi="Palatino Linotype" w:cs="Palatino Linotype"/>
          <w:color w:val="000000"/>
        </w:rPr>
        <w:t>pronunciarse</w:t>
      </w:r>
      <w:r w:rsidR="00624ADA" w:rsidRPr="00523559">
        <w:rPr>
          <w:rFonts w:ascii="Palatino Linotype" w:eastAsia="Palatino Linotype" w:hAnsi="Palatino Linotype" w:cs="Palatino Linotype"/>
        </w:rPr>
        <w:t xml:space="preserve"> sobre la veracidad de la información que los </w:t>
      </w:r>
      <w:r w:rsidR="00624ADA" w:rsidRPr="00523559">
        <w:rPr>
          <w:rFonts w:ascii="Palatino Linotype" w:eastAsia="Palatino Linotype" w:hAnsi="Palatino Linotype" w:cs="Palatino Linotype"/>
        </w:rPr>
        <w:lastRenderedPageBreak/>
        <w:t xml:space="preserve">Sujetos Obligados ponen a disposición de los solicitantes; situación que se aleja de las atribuciones de este Instituto </w:t>
      </w:r>
      <w:r w:rsidR="00624ADA" w:rsidRPr="00523559">
        <w:rPr>
          <w:rFonts w:ascii="Palatino Linotype" w:eastAsia="Palatino Linotype" w:hAnsi="Palatino Linotype" w:cs="Palatino Linotype"/>
          <w:color w:val="000000"/>
        </w:rPr>
        <w:t>máxime que al momento que ponen a disposición ésta, la misma tiene el carácter oficial y se presume veraz, tan es así que la misma queda registrada en el Sistema de Acceso a la Información Mexiquense (SAIMEX).</w:t>
      </w:r>
    </w:p>
    <w:p w14:paraId="0F7E83C0" w14:textId="77777777" w:rsidR="00624ADA" w:rsidRPr="00523559" w:rsidRDefault="00624ADA" w:rsidP="00624ADA">
      <w:pPr>
        <w:spacing w:line="360" w:lineRule="auto"/>
        <w:jc w:val="both"/>
        <w:rPr>
          <w:rFonts w:ascii="Palatino Linotype" w:eastAsia="Palatino Linotype" w:hAnsi="Palatino Linotype" w:cs="Palatino Linotype"/>
          <w:color w:val="000000"/>
        </w:rPr>
      </w:pPr>
    </w:p>
    <w:p w14:paraId="039116C0" w14:textId="77777777" w:rsidR="00624ADA" w:rsidRPr="00523559" w:rsidRDefault="00192E27" w:rsidP="00192E27">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En ese sentido</w:t>
      </w:r>
      <w:r w:rsidR="00624ADA" w:rsidRPr="00523559">
        <w:rPr>
          <w:rFonts w:ascii="Palatino Linotype" w:eastAsia="Palatino Linotype" w:hAnsi="Palatino Linotype" w:cs="Palatino Linotype"/>
        </w:rPr>
        <w:t xml:space="preserve">, la </w:t>
      </w:r>
      <w:r w:rsidR="00624ADA" w:rsidRPr="00523559">
        <w:rPr>
          <w:rFonts w:ascii="Palatino Linotype" w:eastAsia="Palatino Linotype" w:hAnsi="Palatino Linotype" w:cs="Palatino Linotype"/>
          <w:b/>
        </w:rPr>
        <w:t xml:space="preserve">Ley de Transparencia y Acceso a la Información Pública del Estado </w:t>
      </w:r>
      <w:r w:rsidR="00624ADA" w:rsidRPr="00523559">
        <w:rPr>
          <w:rFonts w:ascii="Palatino Linotype" w:eastAsia="Palatino Linotype" w:hAnsi="Palatino Linotype" w:cs="Palatino Linotype"/>
        </w:rPr>
        <w:t>de</w:t>
      </w:r>
      <w:r w:rsidR="00624ADA" w:rsidRPr="00523559">
        <w:rPr>
          <w:rFonts w:ascii="Palatino Linotype" w:eastAsia="Palatino Linotype" w:hAnsi="Palatino Linotype" w:cs="Palatino Linotype"/>
          <w:b/>
        </w:rPr>
        <w:t xml:space="preserve"> México y Municipios</w:t>
      </w:r>
      <w:r w:rsidR="00624ADA" w:rsidRPr="00523559">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022677D" w14:textId="77777777" w:rsidR="00624ADA" w:rsidRPr="00523559" w:rsidRDefault="00624ADA" w:rsidP="00192E27">
      <w:pPr>
        <w:pBdr>
          <w:top w:val="nil"/>
          <w:left w:val="nil"/>
          <w:bottom w:val="nil"/>
          <w:right w:val="nil"/>
          <w:between w:val="nil"/>
        </w:pBdr>
        <w:spacing w:line="360" w:lineRule="auto"/>
        <w:ind w:left="644" w:right="616"/>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i/>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23559">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14:paraId="72E918E6" w14:textId="77777777" w:rsidR="00624ADA" w:rsidRPr="00523559" w:rsidRDefault="00624ADA" w:rsidP="00624ADA">
      <w:pPr>
        <w:spacing w:line="360" w:lineRule="auto"/>
        <w:jc w:val="both"/>
        <w:rPr>
          <w:rFonts w:ascii="Palatino Linotype" w:eastAsia="Palatino Linotype" w:hAnsi="Palatino Linotype" w:cs="Palatino Linotype"/>
          <w:b/>
          <w:i/>
        </w:rPr>
      </w:pPr>
    </w:p>
    <w:p w14:paraId="736D1E5F" w14:textId="77777777" w:rsidR="00624ADA" w:rsidRPr="00523559" w:rsidRDefault="00624ADA" w:rsidP="00192E27">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Numerales que compelen al </w:t>
      </w:r>
      <w:r w:rsidRPr="00523559">
        <w:rPr>
          <w:rFonts w:ascii="Palatino Linotype" w:eastAsia="Palatino Linotype" w:hAnsi="Palatino Linotype" w:cs="Palatino Linotype"/>
          <w:b/>
        </w:rPr>
        <w:t>SUJETO OBLIGADO</w:t>
      </w:r>
      <w:r w:rsidRPr="00523559">
        <w:rPr>
          <w:rFonts w:ascii="Palatino Linotype" w:eastAsia="Palatino Linotype" w:hAnsi="Palatino Linotype" w:cs="Palatino Linotype"/>
        </w:rPr>
        <w:t xml:space="preserve"> a apegarse en todo momento a los criterios ya expuestos, impidiendo a este Órgano Colegiado cuestionar la veracidad de la información. En ese contexto, en razón del artículo 166 </w:t>
      </w:r>
      <w:r w:rsidRPr="00523559">
        <w:rPr>
          <w:rFonts w:ascii="Palatino Linotype" w:eastAsia="Palatino Linotype" w:hAnsi="Palatino Linotype" w:cs="Palatino Linotype"/>
        </w:rPr>
        <w:lastRenderedPageBreak/>
        <w:t xml:space="preserve">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14:paraId="3C33153A" w14:textId="77777777" w:rsidR="00A83BD3" w:rsidRPr="00523559" w:rsidRDefault="00F41D15" w:rsidP="00301B1C">
      <w:pPr>
        <w:numPr>
          <w:ilvl w:val="0"/>
          <w:numId w:val="7"/>
        </w:num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El sueldo bruto y neto que reciben los policías según su categoría, así como un histórico del sueldo que ha recibido desde 2022 y en caso de que se contemple un aumento salarial, especificar el monto y él recu</w:t>
      </w:r>
      <w:r w:rsidR="00431C89" w:rsidRPr="00523559">
        <w:rPr>
          <w:rFonts w:ascii="Palatino Linotype" w:eastAsia="Palatino Linotype" w:hAnsi="Palatino Linotype" w:cs="Palatino Linotype"/>
          <w:b/>
          <w:color w:val="000000"/>
        </w:rPr>
        <w:t>r</w:t>
      </w:r>
      <w:r w:rsidRPr="00523559">
        <w:rPr>
          <w:rFonts w:ascii="Palatino Linotype" w:eastAsia="Palatino Linotype" w:hAnsi="Palatino Linotype" w:cs="Palatino Linotype"/>
          <w:b/>
          <w:color w:val="000000"/>
        </w:rPr>
        <w:t xml:space="preserve">so con el que se estará pagando. </w:t>
      </w:r>
    </w:p>
    <w:p w14:paraId="0EC22F82" w14:textId="77777777" w:rsidR="00192E27" w:rsidRPr="00523559" w:rsidRDefault="00192E27" w:rsidP="00192E27">
      <w:p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p>
    <w:p w14:paraId="4AA5551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color w:val="000000"/>
        </w:rPr>
        <w:t xml:space="preserve">En relación al salario bruto, salario neto, salario integrado, gratificaciones y compensaciones es importante traer a contexto lo estipulado en la fracción XXXII del artículo 3 del Código Financiero del Estado de México y Municipios establece que </w:t>
      </w:r>
      <w:r w:rsidRPr="00523559">
        <w:rPr>
          <w:rFonts w:ascii="Palatino Linotype" w:eastAsia="Palatino Linotype" w:hAnsi="Palatino Linotype" w:cs="Palatino Linotype"/>
          <w:b/>
          <w:color w:val="000000"/>
        </w:rPr>
        <w:t>la remuneración consiste en los pagos hechos por concepto de sueldo, compensaciones, gratificaciones, habitación, primas, comisiones, prestaciones, en especie y cualquier otra percepción o prestación que se entregue al servidor por su trabajo.</w:t>
      </w:r>
    </w:p>
    <w:p w14:paraId="43BEE691"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Artículo 3.- Para efectos de este Código, Ley de Ingresos del Estado y del Presupuesto de Egresos se entenderá por:</w:t>
      </w:r>
    </w:p>
    <w:p w14:paraId="0DA028E3"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44D48A2"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XXXII. Remuneración: A los pagos hechos por concepto de sueldo, compensaciones, gratificaciones, habitación, primas, comisiones, prestaciones en especie y cualquier otra percepción o prestación que se entregue al servidor público por su trabajo. Esta </w:t>
      </w:r>
      <w:r w:rsidRPr="00523559">
        <w:rPr>
          <w:rFonts w:ascii="Palatino Linotype" w:eastAsia="Palatino Linotype" w:hAnsi="Palatino Linotype" w:cs="Palatino Linotype"/>
          <w:i/>
        </w:rPr>
        <w:lastRenderedPageBreak/>
        <w:t>definición no será aplicable para los efectos del Impuesto sobre Erogaciones por Remuneraciones al Trabajo Personal;</w:t>
      </w:r>
    </w:p>
    <w:p w14:paraId="33E84339"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7067A969" w14:textId="77777777" w:rsidR="00A83BD3" w:rsidRPr="00523559" w:rsidRDefault="00A83BD3" w:rsidP="00301B1C">
      <w:pPr>
        <w:spacing w:line="360" w:lineRule="auto"/>
        <w:ind w:left="864" w:right="49"/>
        <w:jc w:val="both"/>
        <w:rPr>
          <w:rFonts w:ascii="Palatino Linotype" w:eastAsia="Palatino Linotype" w:hAnsi="Palatino Linotype" w:cs="Palatino Linotype"/>
          <w:i/>
        </w:rPr>
      </w:pPr>
    </w:p>
    <w:p w14:paraId="53DB1AD4"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 igual forma, la Ley del Trabajo de los Servidores Públicos del Estado y Municipios, en su artículo 220 K, establece los documentos que tiene la obligación de conservar </w:t>
      </w:r>
      <w:r w:rsidRPr="00523559">
        <w:rPr>
          <w:rFonts w:ascii="Palatino Linotype" w:eastAsia="Palatino Linotype" w:hAnsi="Palatino Linotype" w:cs="Palatino Linotype"/>
          <w:b/>
          <w:color w:val="000000"/>
        </w:rPr>
        <w:t>EL SUJETO OBLIGADO,</w:t>
      </w:r>
      <w:r w:rsidRPr="00523559">
        <w:rPr>
          <w:rFonts w:ascii="Palatino Linotype" w:eastAsia="Palatino Linotype" w:hAnsi="Palatino Linotype" w:cs="Palatino Linotype"/>
          <w:color w:val="000000"/>
        </w:rPr>
        <w:t xml:space="preserve"> entre los que se encuentran los recibos de pagos, por lo tanto, se inserta lo siguiente: </w:t>
      </w:r>
    </w:p>
    <w:p w14:paraId="17A11042" w14:textId="77777777" w:rsidR="00A83BD3" w:rsidRPr="00523559" w:rsidRDefault="00192E27"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b/>
          <w:i/>
        </w:rPr>
        <w:t>“</w:t>
      </w:r>
      <w:r w:rsidR="00F41D15" w:rsidRPr="00523559">
        <w:rPr>
          <w:rFonts w:ascii="Palatino Linotype" w:eastAsia="Palatino Linotype" w:hAnsi="Palatino Linotype" w:cs="Palatino Linotype"/>
          <w:b/>
          <w:i/>
        </w:rPr>
        <w:t>ARTÍCULO 220 K.-</w:t>
      </w:r>
      <w:r w:rsidR="00F41D15" w:rsidRPr="00523559">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18F97445"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t>I. Contratos, Nombramientos o Formato Único de Movimientos de Personal, cuando no exista Convenio de condiciones generales de trabajo aplicable</w:t>
      </w:r>
      <w:r w:rsidRPr="00523559">
        <w:rPr>
          <w:rFonts w:ascii="Palatino Linotype" w:eastAsia="Palatino Linotype" w:hAnsi="Palatino Linotype" w:cs="Palatino Linotype"/>
          <w:b/>
          <w:i/>
        </w:rPr>
        <w:t>;</w:t>
      </w:r>
    </w:p>
    <w:p w14:paraId="34EE28B3" w14:textId="77777777" w:rsidR="00A83BD3" w:rsidRPr="00523559" w:rsidRDefault="00F41D15" w:rsidP="00192E27">
      <w:pPr>
        <w:spacing w:line="360" w:lineRule="auto"/>
        <w:ind w:left="567" w:right="616"/>
        <w:jc w:val="both"/>
        <w:rPr>
          <w:rFonts w:ascii="Palatino Linotype" w:eastAsia="Palatino Linotype" w:hAnsi="Palatino Linotype" w:cs="Palatino Linotype"/>
          <w:b/>
          <w:i/>
          <w:u w:val="single"/>
        </w:rPr>
      </w:pPr>
      <w:r w:rsidRPr="00523559">
        <w:rPr>
          <w:rFonts w:ascii="Palatino Linotype" w:eastAsia="Palatino Linotype" w:hAnsi="Palatino Linotype" w:cs="Palatino Linotype"/>
          <w:b/>
          <w:i/>
          <w:u w:val="single"/>
        </w:rPr>
        <w:t>II. Recibos de pagos de salarios o las constancias documentales del pago de salario  cuando sea por depósito o mediante información electrónica;</w:t>
      </w:r>
    </w:p>
    <w:p w14:paraId="2F9C2642"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t>III. Controles de asistencia o la información magnética o electrónica de asistencia de los servidores públicos;</w:t>
      </w:r>
    </w:p>
    <w:p w14:paraId="1474738B"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52814C80"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t>V. Los demás que señalen las leyes.</w:t>
      </w:r>
    </w:p>
    <w:p w14:paraId="45609C66" w14:textId="77777777" w:rsidR="00A83BD3" w:rsidRPr="00523559" w:rsidRDefault="00A83BD3" w:rsidP="00192E27">
      <w:pPr>
        <w:spacing w:line="360" w:lineRule="auto"/>
        <w:ind w:left="567" w:right="616"/>
        <w:jc w:val="both"/>
        <w:rPr>
          <w:rFonts w:ascii="Palatino Linotype" w:eastAsia="Palatino Linotype" w:hAnsi="Palatino Linotype" w:cs="Palatino Linotype"/>
          <w:i/>
        </w:rPr>
      </w:pPr>
    </w:p>
    <w:p w14:paraId="265CBCFD"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 xml:space="preserve">Los documentos señalados en la fracción I de este artículo, deberán conservarse mientras dure la relación laboral y hasta un año después; </w:t>
      </w:r>
      <w:r w:rsidRPr="00523559">
        <w:rPr>
          <w:rFonts w:ascii="Palatino Linotype" w:eastAsia="Palatino Linotype" w:hAnsi="Palatino Linotype" w:cs="Palatino Linotype"/>
          <w:b/>
          <w:i/>
        </w:rPr>
        <w:t>los señalados por las fracciones II, III, IV durante el último año y un año después de que se extinga la relación laboral</w:t>
      </w:r>
      <w:r w:rsidRPr="00523559">
        <w:rPr>
          <w:rFonts w:ascii="Palatino Linotype" w:eastAsia="Palatino Linotype" w:hAnsi="Palatino Linotype" w:cs="Palatino Linotype"/>
          <w:i/>
        </w:rPr>
        <w:t xml:space="preserve">, y los mencionados en la fracción V, conforme lo señalen las leyes que los rijan. </w:t>
      </w:r>
    </w:p>
    <w:p w14:paraId="4ECAF7C6" w14:textId="77777777" w:rsidR="00A83BD3" w:rsidRPr="00523559" w:rsidRDefault="00F41D15" w:rsidP="00192E27">
      <w:pPr>
        <w:spacing w:line="360" w:lineRule="auto"/>
        <w:ind w:left="567" w:right="616"/>
        <w:jc w:val="both"/>
        <w:rPr>
          <w:rFonts w:ascii="Palatino Linotype" w:eastAsia="Palatino Linotype" w:hAnsi="Palatino Linotype" w:cs="Palatino Linotype"/>
          <w:b/>
          <w:i/>
        </w:rPr>
      </w:pPr>
      <w:r w:rsidRPr="00523559">
        <w:rPr>
          <w:rFonts w:ascii="Palatino Linotype" w:eastAsia="Palatino Linotype" w:hAnsi="Palatino Linotype" w:cs="Palatino Linotype"/>
          <w:i/>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5B9033CE" w14:textId="77777777" w:rsidR="00A83BD3" w:rsidRPr="00523559" w:rsidRDefault="00F41D15" w:rsidP="00192E27">
      <w:pPr>
        <w:spacing w:line="360" w:lineRule="auto"/>
        <w:ind w:left="567" w:right="616"/>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00192E27" w:rsidRPr="00523559">
        <w:rPr>
          <w:rFonts w:ascii="Palatino Linotype" w:eastAsia="Palatino Linotype" w:hAnsi="Palatino Linotype" w:cs="Palatino Linotype"/>
          <w:i/>
        </w:rPr>
        <w:t>”</w:t>
      </w:r>
    </w:p>
    <w:p w14:paraId="46204D9D"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604E497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3665345F"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396E7B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Asimismo, es importante mencionar que dicha </w:t>
      </w:r>
      <w:r w:rsidRPr="00523559">
        <w:rPr>
          <w:rFonts w:ascii="Palatino Linotype" w:eastAsia="Palatino Linotype" w:hAnsi="Palatino Linotype" w:cs="Palatino Linotype"/>
        </w:rPr>
        <w:t>información se</w:t>
      </w:r>
      <w:r w:rsidRPr="00523559">
        <w:rPr>
          <w:rFonts w:ascii="Palatino Linotype" w:eastAsia="Palatino Linotype" w:hAnsi="Palatino Linotype" w:cs="Palatino Linotype"/>
          <w:color w:val="000000"/>
        </w:rPr>
        <w:t xml:space="preserve"> remite de manera digital al Órgano Superior de Fiscalización del Estado de México, el cual tiene como objetivo establecer las especificaciones necesarias que las entidades fiscalizables deben cumplir para la elaboración y presentación de los informes trimestrales. </w:t>
      </w:r>
    </w:p>
    <w:p w14:paraId="2F436092"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46DC90C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Este formato es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16AA6CDF"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231F6D4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Se advierte el análisis que nos ocupa, específicamente el </w:t>
      </w:r>
      <w:proofErr w:type="spellStart"/>
      <w:r w:rsidRPr="00523559">
        <w:rPr>
          <w:rFonts w:ascii="Palatino Linotype" w:eastAsia="Palatino Linotype" w:hAnsi="Palatino Linotype" w:cs="Palatino Linotype"/>
          <w:color w:val="000000"/>
        </w:rPr>
        <w:t>Submódulo</w:t>
      </w:r>
      <w:proofErr w:type="spellEnd"/>
      <w:r w:rsidRPr="00523559">
        <w:rPr>
          <w:rFonts w:ascii="Palatino Linotype" w:eastAsia="Palatino Linotype" w:hAnsi="Palatino Linotype" w:cs="Palatino Linotype"/>
          <w:color w:val="000000"/>
        </w:rPr>
        <w:t>-Nómina y Comprobantes localizable en el Módulo 4</w:t>
      </w:r>
      <w:r w:rsidRPr="00523559">
        <w:rPr>
          <w:rFonts w:ascii="Palatino Linotype" w:eastAsia="Palatino Linotype" w:hAnsi="Palatino Linotype" w:cs="Palatino Linotype"/>
          <w:color w:val="000000"/>
          <w:vertAlign w:val="superscript"/>
        </w:rPr>
        <w:footnoteReference w:id="1"/>
      </w:r>
      <w:r w:rsidRPr="00523559">
        <w:rPr>
          <w:rFonts w:ascii="Palatino Linotype" w:eastAsia="Palatino Linotype" w:hAnsi="Palatino Linotype" w:cs="Palatino Linotype"/>
          <w:color w:val="000000"/>
        </w:rPr>
        <w:t>, relativo a la información de nómina, el cual describe cómo debe llevarse a cabo la presentación de la información tal y como se muestra en las siguientes imágenes:</w:t>
      </w:r>
    </w:p>
    <w:p w14:paraId="07B0BEA0" w14:textId="77777777" w:rsidR="00A83BD3" w:rsidRPr="00523559" w:rsidRDefault="00F41D15" w:rsidP="00301B1C">
      <w:pPr>
        <w:spacing w:line="360" w:lineRule="auto"/>
        <w:ind w:right="49"/>
        <w:jc w:val="center"/>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2750E12A" wp14:editId="64DADFEC">
            <wp:extent cx="3886200" cy="4857750"/>
            <wp:effectExtent l="0" t="0" r="0" b="0"/>
            <wp:docPr id="17415212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40733" t="12811" r="23233" b="6966"/>
                    <a:stretch>
                      <a:fillRect/>
                    </a:stretch>
                  </pic:blipFill>
                  <pic:spPr>
                    <a:xfrm>
                      <a:off x="0" y="0"/>
                      <a:ext cx="3886200" cy="4857750"/>
                    </a:xfrm>
                    <a:prstGeom prst="rect">
                      <a:avLst/>
                    </a:prstGeom>
                    <a:ln/>
                  </pic:spPr>
                </pic:pic>
              </a:graphicData>
            </a:graphic>
          </wp:inline>
        </w:drawing>
      </w:r>
      <w:r w:rsidRPr="00523559">
        <w:rPr>
          <w:rFonts w:ascii="Palatino Linotype" w:hAnsi="Palatino Linotype"/>
          <w:noProof/>
        </w:rPr>
        <mc:AlternateContent>
          <mc:Choice Requires="wps">
            <w:drawing>
              <wp:anchor distT="0" distB="0" distL="114300" distR="114300" simplePos="0" relativeHeight="251658240" behindDoc="0" locked="0" layoutInCell="1" hidden="0" allowOverlap="1" wp14:anchorId="3BCD4E81" wp14:editId="4E4988AC">
                <wp:simplePos x="0" y="0"/>
                <wp:positionH relativeFrom="column">
                  <wp:posOffset>876300</wp:posOffset>
                </wp:positionH>
                <wp:positionV relativeFrom="paragraph">
                  <wp:posOffset>4343400</wp:posOffset>
                </wp:positionV>
                <wp:extent cx="3861435" cy="358775"/>
                <wp:effectExtent l="0" t="0" r="0" b="0"/>
                <wp:wrapNone/>
                <wp:docPr id="1741521257" name="Rectángulo 1741521257"/>
                <wp:cNvGraphicFramePr/>
                <a:graphic xmlns:a="http://schemas.openxmlformats.org/drawingml/2006/main">
                  <a:graphicData uri="http://schemas.microsoft.com/office/word/2010/wordprocessingShape">
                    <wps:wsp>
                      <wps:cNvSpPr/>
                      <wps:spPr>
                        <a:xfrm>
                          <a:off x="3420363" y="3605375"/>
                          <a:ext cx="3851275" cy="349250"/>
                        </a:xfrm>
                        <a:prstGeom prst="rect">
                          <a:avLst/>
                        </a:prstGeom>
                        <a:noFill/>
                        <a:ln w="9525" cap="flat" cmpd="sng">
                          <a:solidFill>
                            <a:srgbClr val="FF0000"/>
                          </a:solidFill>
                          <a:prstDash val="solid"/>
                          <a:round/>
                          <a:headEnd type="none" w="sm" len="sm"/>
                          <a:tailEnd type="none" w="sm" len="sm"/>
                        </a:ln>
                      </wps:spPr>
                      <wps:txbx>
                        <w:txbxContent>
                          <w:p w14:paraId="77023F17" w14:textId="77777777" w:rsidR="00C004FA" w:rsidRDefault="00C004FA">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BCD4E81" id="Rectángulo 1741521257" o:spid="_x0000_s1026" style="position:absolute;left:0;text-align:left;margin-left:69pt;margin-top:342pt;width:304.05pt;height:28.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" filled="f" strokecolor="red">
                <v:stroke startarrowwidth="narrow" startarrowlength="short" endarrowwidth="narrow" endarrowlength="short" joinstyle="round"/>
                <v:textbox inset="2.53958mm,2.53958mm,2.53958mm,2.53958mm">
                  <w:txbxContent>
                    <w:p w14:paraId="77023F17" w14:textId="77777777" w:rsidR="00C004FA" w:rsidRDefault="00C004FA">
                      <w:pPr>
                        <w:textDirection w:val="btLr"/>
                      </w:pPr>
                    </w:p>
                  </w:txbxContent>
                </v:textbox>
              </v:rect>
            </w:pict>
          </mc:Fallback>
        </mc:AlternateContent>
      </w:r>
    </w:p>
    <w:p w14:paraId="228DB494" w14:textId="77777777" w:rsidR="00A83BD3" w:rsidRPr="00523559" w:rsidRDefault="00F41D15" w:rsidP="00301B1C">
      <w:p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760D1835" wp14:editId="6F668E68">
            <wp:extent cx="5514975" cy="7505700"/>
            <wp:effectExtent l="0" t="0" r="0" b="0"/>
            <wp:docPr id="17415212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1048" t="13370" r="25892" b="6681"/>
                    <a:stretch>
                      <a:fillRect/>
                    </a:stretch>
                  </pic:blipFill>
                  <pic:spPr>
                    <a:xfrm>
                      <a:off x="0" y="0"/>
                      <a:ext cx="5514975" cy="7505700"/>
                    </a:xfrm>
                    <a:prstGeom prst="rect">
                      <a:avLst/>
                    </a:prstGeom>
                    <a:ln/>
                  </pic:spPr>
                </pic:pic>
              </a:graphicData>
            </a:graphic>
          </wp:inline>
        </w:drawing>
      </w:r>
      <w:r w:rsidRPr="00523559">
        <w:rPr>
          <w:rFonts w:ascii="Palatino Linotype" w:hAnsi="Palatino Linotype"/>
          <w:noProof/>
        </w:rPr>
        <mc:AlternateContent>
          <mc:Choice Requires="wps">
            <w:drawing>
              <wp:anchor distT="0" distB="0" distL="114300" distR="114300" simplePos="0" relativeHeight="251659264" behindDoc="0" locked="0" layoutInCell="1" hidden="0" allowOverlap="1" wp14:anchorId="4C720E03" wp14:editId="4E906806">
                <wp:simplePos x="0" y="0"/>
                <wp:positionH relativeFrom="column">
                  <wp:posOffset>444500</wp:posOffset>
                </wp:positionH>
                <wp:positionV relativeFrom="paragraph">
                  <wp:posOffset>2654300</wp:posOffset>
                </wp:positionV>
                <wp:extent cx="5063490" cy="1463040"/>
                <wp:effectExtent l="0" t="0" r="0" b="0"/>
                <wp:wrapNone/>
                <wp:docPr id="1741521258" name="Rectángulo 1741521258"/>
                <wp:cNvGraphicFramePr/>
                <a:graphic xmlns:a="http://schemas.openxmlformats.org/drawingml/2006/main">
                  <a:graphicData uri="http://schemas.microsoft.com/office/word/2010/wordprocessingShape">
                    <wps:wsp>
                      <wps:cNvSpPr/>
                      <wps:spPr>
                        <a:xfrm>
                          <a:off x="2819018" y="3053243"/>
                          <a:ext cx="5053965" cy="1453515"/>
                        </a:xfrm>
                        <a:prstGeom prst="rect">
                          <a:avLst/>
                        </a:prstGeom>
                        <a:noFill/>
                        <a:ln w="9525" cap="flat" cmpd="sng">
                          <a:solidFill>
                            <a:srgbClr val="FF0000"/>
                          </a:solidFill>
                          <a:prstDash val="solid"/>
                          <a:round/>
                          <a:headEnd type="none" w="sm" len="sm"/>
                          <a:tailEnd type="none" w="sm" len="sm"/>
                        </a:ln>
                      </wps:spPr>
                      <wps:txbx>
                        <w:txbxContent>
                          <w:p w14:paraId="7A0F0EF9" w14:textId="77777777" w:rsidR="00C004FA" w:rsidRDefault="00C004FA">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C720E03" id="Rectángulo 1741521258" o:spid="_x0000_s1027" style="position:absolute;left:0;text-align:left;margin-left:35pt;margin-top:209pt;width:398.7pt;height:11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" filled="f" strokecolor="red">
                <v:stroke startarrowwidth="narrow" startarrowlength="short" endarrowwidth="narrow" endarrowlength="short" joinstyle="round"/>
                <v:textbox inset="2.53958mm,2.53958mm,2.53958mm,2.53958mm">
                  <w:txbxContent>
                    <w:p w14:paraId="7A0F0EF9" w14:textId="77777777" w:rsidR="00C004FA" w:rsidRDefault="00C004FA">
                      <w:pPr>
                        <w:textDirection w:val="btLr"/>
                      </w:pPr>
                    </w:p>
                  </w:txbxContent>
                </v:textbox>
              </v:rect>
            </w:pict>
          </mc:Fallback>
        </mc:AlternateContent>
      </w:r>
      <w:r w:rsidRPr="00523559">
        <w:rPr>
          <w:rFonts w:ascii="Palatino Linotype" w:hAnsi="Palatino Linotype"/>
          <w:noProof/>
        </w:rPr>
        <mc:AlternateContent>
          <mc:Choice Requires="wps">
            <w:drawing>
              <wp:anchor distT="0" distB="0" distL="114300" distR="114300" simplePos="0" relativeHeight="251660288" behindDoc="0" locked="0" layoutInCell="1" hidden="0" allowOverlap="1" wp14:anchorId="14F38D57" wp14:editId="5E82104E">
                <wp:simplePos x="0" y="0"/>
                <wp:positionH relativeFrom="column">
                  <wp:posOffset>431800</wp:posOffset>
                </wp:positionH>
                <wp:positionV relativeFrom="paragraph">
                  <wp:posOffset>6794500</wp:posOffset>
                </wp:positionV>
                <wp:extent cx="5118100" cy="351790"/>
                <wp:effectExtent l="0" t="0" r="0" b="0"/>
                <wp:wrapNone/>
                <wp:docPr id="1741521260" name="Rectángulo 1741521260"/>
                <wp:cNvGraphicFramePr/>
                <a:graphic xmlns:a="http://schemas.openxmlformats.org/drawingml/2006/main">
                  <a:graphicData uri="http://schemas.microsoft.com/office/word/2010/wordprocessingShape">
                    <wps:wsp>
                      <wps:cNvSpPr/>
                      <wps:spPr>
                        <a:xfrm>
                          <a:off x="2792030" y="3608868"/>
                          <a:ext cx="5107940" cy="342265"/>
                        </a:xfrm>
                        <a:prstGeom prst="rect">
                          <a:avLst/>
                        </a:prstGeom>
                        <a:noFill/>
                        <a:ln w="9525" cap="flat" cmpd="sng">
                          <a:solidFill>
                            <a:srgbClr val="FF0000"/>
                          </a:solidFill>
                          <a:prstDash val="solid"/>
                          <a:round/>
                          <a:headEnd type="none" w="sm" len="sm"/>
                          <a:tailEnd type="none" w="sm" len="sm"/>
                        </a:ln>
                      </wps:spPr>
                      <wps:txbx>
                        <w:txbxContent>
                          <w:p w14:paraId="58F3D909" w14:textId="77777777" w:rsidR="00C004FA" w:rsidRDefault="00C004FA">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4F38D57" id="Rectángulo 1741521260" o:spid="_x0000_s1028" style="position:absolute;left:0;text-align:left;margin-left:34pt;margin-top:535pt;width:403pt;height:2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" filled="f" strokecolor="red">
                <v:stroke startarrowwidth="narrow" startarrowlength="short" endarrowwidth="narrow" endarrowlength="short" joinstyle="round"/>
                <v:textbox inset="2.53958mm,2.53958mm,2.53958mm,2.53958mm">
                  <w:txbxContent>
                    <w:p w14:paraId="58F3D909" w14:textId="77777777" w:rsidR="00C004FA" w:rsidRDefault="00C004FA">
                      <w:pPr>
                        <w:textDirection w:val="btLr"/>
                      </w:pPr>
                    </w:p>
                  </w:txbxContent>
                </v:textbox>
              </v:rect>
            </w:pict>
          </mc:Fallback>
        </mc:AlternateContent>
      </w:r>
    </w:p>
    <w:p w14:paraId="31554AF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3028A35E"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210203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Aunado a lo anterior cabe referir que la información solicitada es de naturaleza pública, de conformidad con lo dispuesto en el artículo 92 de la Ley de Transparencia de la Entidad, que es del texto literal siguiente: </w:t>
      </w:r>
    </w:p>
    <w:p w14:paraId="5FB1D538"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LEY DE TRANSPARENCIA Y ACCESO A LA INFORMACIÓN PÚBLICA DEL ESTADO DE MÉXICO Y MUNICIPIOS</w:t>
      </w:r>
    </w:p>
    <w:p w14:paraId="444DB85C"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A6744A"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0C8370A" w14:textId="77777777" w:rsidR="00A83BD3" w:rsidRPr="00523559" w:rsidRDefault="00F41D15" w:rsidP="00301B1C">
      <w:pPr>
        <w:spacing w:line="360" w:lineRule="auto"/>
        <w:ind w:left="864" w:right="49"/>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BF453BA" w14:textId="77777777" w:rsidR="00A83BD3" w:rsidRPr="00523559" w:rsidRDefault="00F41D15" w:rsidP="00301B1C">
      <w:pPr>
        <w:spacing w:line="360" w:lineRule="auto"/>
        <w:ind w:left="86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w:t>
      </w:r>
    </w:p>
    <w:p w14:paraId="373CB8EC"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F8F11F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tal virtud, la ley otorga publicidad a la información relacionada con la remuneración de los servidores públicos; tan es así, que el artículo 23, penúltimo párrafo de la citada ley, </w:t>
      </w:r>
      <w:r w:rsidRPr="00523559">
        <w:rPr>
          <w:rFonts w:ascii="Palatino Linotype" w:eastAsia="Palatino Linotype" w:hAnsi="Palatino Linotype" w:cs="Palatino Linotype"/>
        </w:rPr>
        <w:t>disponen</w:t>
      </w:r>
      <w:r w:rsidRPr="00523559">
        <w:rPr>
          <w:rFonts w:ascii="Palatino Linotype" w:eastAsia="Palatino Linotype" w:hAnsi="Palatino Linotype" w:cs="Palatino Linotype"/>
          <w:color w:val="000000"/>
        </w:rPr>
        <w:t xml:space="preserve"> que los Sujetos Obligados deben hacer pública toda aquella información relativa a los montos y personas que por cualquier motivo </w:t>
      </w:r>
      <w:r w:rsidRPr="00523559">
        <w:rPr>
          <w:rFonts w:ascii="Palatino Linotype" w:eastAsia="Palatino Linotype" w:hAnsi="Palatino Linotype" w:cs="Palatino Linotype"/>
        </w:rPr>
        <w:t>reciba</w:t>
      </w:r>
      <w:r w:rsidRPr="00523559">
        <w:rPr>
          <w:rFonts w:ascii="Palatino Linotype" w:eastAsia="Palatino Linotype" w:hAnsi="Palatino Linotype" w:cs="Palatino Linotype"/>
          <w:color w:val="000000"/>
        </w:rPr>
        <w:t xml:space="preserve"> recursos públicos.</w:t>
      </w:r>
    </w:p>
    <w:p w14:paraId="1EB147F0" w14:textId="77777777" w:rsidR="00192E27" w:rsidRPr="00523559" w:rsidRDefault="00192E27" w:rsidP="00192E2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2218ACC" w14:textId="77777777" w:rsidR="00192E27" w:rsidRPr="00523559" w:rsidRDefault="00192E27" w:rsidP="00192E27">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Sin embargo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fue enfático no solo en conocer percepciones; sino tener acceso a los recibos de nómina, a lo que el servidor público habilitado informa que derivado del volumen que implican los soportes documentales requeridos, se ponen en consulta directa, en virtud que de cada ejercicio fiscal se generaron 24 emisiones de nómina, por lo que las 24 nominas, multiplicadas por los dos ejercicios fiscales que se requieren dan un total de 48 emisiones por trabajador, lo que ascendería a 3.283 gigabytes</w:t>
      </w:r>
      <w:r w:rsidR="00FC47D0" w:rsidRPr="00523559">
        <w:rPr>
          <w:rFonts w:ascii="Palatino Linotype" w:eastAsia="Palatino Linotype" w:hAnsi="Palatino Linotype" w:cs="Palatino Linotype"/>
          <w:color w:val="000000"/>
        </w:rPr>
        <w:t xml:space="preserve"> o un aproximado de 8,400 fojas. Sin embargo para el pretendido cambio de modalidad debieron ofrecerse todas las modalidades de entrega de la información y no limitarse únicamente a la consulta directa; asimismo tampoco se adjuntó documento que dé cuenta que se realizó el reporte de incidencia a la Dirección de Informática de este Instituto.</w:t>
      </w:r>
    </w:p>
    <w:p w14:paraId="2BD667F6" w14:textId="77777777" w:rsidR="00192E27" w:rsidRPr="00523559" w:rsidRDefault="00192E27" w:rsidP="00192E27">
      <w:pPr>
        <w:pStyle w:val="Prrafodelista"/>
        <w:rPr>
          <w:rFonts w:ascii="Palatino Linotype" w:eastAsia="Palatino Linotype" w:hAnsi="Palatino Linotype" w:cs="Palatino Linotype"/>
          <w:color w:val="000000"/>
        </w:rPr>
      </w:pPr>
    </w:p>
    <w:p w14:paraId="5B5F1684"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 xml:space="preserve">Por tal motivo, es que se dirigió un correo electrónico a la Dirección General de Informática de este Órgano Garante, para conocer si el </w:t>
      </w:r>
      <w:r w:rsidRPr="00523559">
        <w:rPr>
          <w:rFonts w:ascii="Palatino Linotype" w:hAnsi="Palatino Linotype"/>
          <w:b/>
        </w:rPr>
        <w:t xml:space="preserve">SUJETO OBLIGADO </w:t>
      </w:r>
      <w:r w:rsidRPr="00523559">
        <w:rPr>
          <w:rFonts w:ascii="Palatino Linotype" w:hAnsi="Palatino Linotype"/>
        </w:rPr>
        <w:t xml:space="preserve">había solicitado que se quedara registrada la incidencia técnica de la imposibilidad </w:t>
      </w:r>
      <w:r w:rsidRPr="00523559">
        <w:rPr>
          <w:rFonts w:ascii="Palatino Linotype" w:hAnsi="Palatino Linotype"/>
        </w:rPr>
        <w:lastRenderedPageBreak/>
        <w:t xml:space="preserve">para adjuntar la información solicitada por el </w:t>
      </w:r>
      <w:r w:rsidRPr="00523559">
        <w:rPr>
          <w:rFonts w:ascii="Palatino Linotype" w:hAnsi="Palatino Linotype"/>
          <w:b/>
        </w:rPr>
        <w:t xml:space="preserve">RECURRENTE, </w:t>
      </w:r>
      <w:r w:rsidRPr="00523559">
        <w:rPr>
          <w:rFonts w:ascii="Palatino Linotype" w:hAnsi="Palatino Linotype"/>
        </w:rPr>
        <w:t xml:space="preserve">situación de la cual se informó que el Ayuntamiento de Zinacantepec no solicitó el registro de dichas incidencias técnicas, tal y como se muestra en la siguiente captura de pantalla. </w:t>
      </w:r>
    </w:p>
    <w:p w14:paraId="69EFB119" w14:textId="77777777" w:rsidR="00FC47D0" w:rsidRPr="00523559" w:rsidRDefault="00FC47D0" w:rsidP="00FC47D0">
      <w:pPr>
        <w:spacing w:line="360" w:lineRule="auto"/>
        <w:rPr>
          <w:rFonts w:ascii="Palatino Linotype" w:hAnsi="Palatino Linotype"/>
        </w:rPr>
      </w:pPr>
    </w:p>
    <w:p w14:paraId="2B6A028C" w14:textId="77777777" w:rsidR="00FC47D0" w:rsidRPr="00523559" w:rsidRDefault="00A36F9A" w:rsidP="00FC47D0">
      <w:pPr>
        <w:spacing w:line="360" w:lineRule="auto"/>
        <w:rPr>
          <w:rFonts w:ascii="Palatino Linotype" w:hAnsi="Palatino Linotype"/>
        </w:rPr>
      </w:pPr>
      <w:r w:rsidRPr="00523559">
        <w:rPr>
          <w:rFonts w:ascii="Palatino Linotype" w:hAnsi="Palatino Linotype"/>
          <w:noProof/>
        </w:rPr>
        <w:drawing>
          <wp:inline distT="0" distB="0" distL="0" distR="0" wp14:anchorId="3EB86809" wp14:editId="437C0A18">
            <wp:extent cx="5612130" cy="12655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265555"/>
                    </a:xfrm>
                    <a:prstGeom prst="rect">
                      <a:avLst/>
                    </a:prstGeom>
                  </pic:spPr>
                </pic:pic>
              </a:graphicData>
            </a:graphic>
          </wp:inline>
        </w:drawing>
      </w:r>
    </w:p>
    <w:p w14:paraId="1CF06F02" w14:textId="77777777" w:rsidR="00FC47D0" w:rsidRPr="00523559" w:rsidRDefault="00FC47D0" w:rsidP="00FC47D0">
      <w:pPr>
        <w:pStyle w:val="Prrafodelista"/>
        <w:spacing w:line="360" w:lineRule="auto"/>
        <w:ind w:left="0"/>
        <w:contextualSpacing w:val="0"/>
        <w:jc w:val="both"/>
        <w:rPr>
          <w:rFonts w:ascii="Palatino Linotype" w:hAnsi="Palatino Linotype"/>
        </w:rPr>
      </w:pPr>
    </w:p>
    <w:p w14:paraId="4EDF5167"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 xml:space="preserve">Como se aprecia el </w:t>
      </w:r>
      <w:r w:rsidRPr="00523559">
        <w:rPr>
          <w:rFonts w:ascii="Palatino Linotype" w:hAnsi="Palatino Linotype"/>
          <w:b/>
        </w:rPr>
        <w:t xml:space="preserve">SUJETO OBLIGADO </w:t>
      </w:r>
      <w:r w:rsidRPr="00523559">
        <w:rPr>
          <w:rFonts w:ascii="Palatino Linotype" w:hAnsi="Palatino Linotype"/>
        </w:rPr>
        <w:t>no</w:t>
      </w:r>
      <w:r w:rsidRPr="00523559">
        <w:rPr>
          <w:rFonts w:ascii="Palatino Linotype" w:hAnsi="Palatino Linotype"/>
          <w:b/>
        </w:rPr>
        <w:t xml:space="preserve"> </w:t>
      </w:r>
      <w:r w:rsidRPr="00523559">
        <w:rPr>
          <w:rFonts w:ascii="Palatino Linotype" w:hAnsi="Palatino Linotype"/>
        </w:rPr>
        <w:t>aportó ningún medio de convicción que sustentara su propuesta de cambio de modalidad, en atención al alcance de información solicitada.</w:t>
      </w:r>
    </w:p>
    <w:p w14:paraId="6842C6AA" w14:textId="77777777" w:rsidR="00FC47D0" w:rsidRPr="00523559" w:rsidRDefault="00FC47D0" w:rsidP="00FC47D0">
      <w:pPr>
        <w:pStyle w:val="Prrafodelista"/>
        <w:tabs>
          <w:tab w:val="left" w:pos="851"/>
        </w:tabs>
        <w:spacing w:line="360" w:lineRule="auto"/>
        <w:ind w:left="0" w:right="49"/>
        <w:jc w:val="both"/>
        <w:rPr>
          <w:rFonts w:ascii="Palatino Linotype" w:eastAsia="Palatino Linotype" w:hAnsi="Palatino Linotype" w:cs="Palatino Linotype"/>
        </w:rPr>
      </w:pPr>
    </w:p>
    <w:p w14:paraId="64CC5753"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hAnsi="Palatino Linotype"/>
          <w:lang w:val="es-ES"/>
        </w:rPr>
        <w:t xml:space="preserve">En ese contexto, se arriba a la conclusión de que </w:t>
      </w:r>
      <w:r w:rsidR="00431C89" w:rsidRPr="00523559">
        <w:rPr>
          <w:rFonts w:ascii="Palatino Linotype" w:hAnsi="Palatino Linotype"/>
          <w:lang w:val="es-ES"/>
        </w:rPr>
        <w:t xml:space="preserve">no se colmó dicho requisito para </w:t>
      </w:r>
      <w:r w:rsidRPr="00523559">
        <w:rPr>
          <w:rFonts w:ascii="Palatino Linotype" w:hAnsi="Palatino Linotype"/>
          <w:lang w:val="es-ES"/>
        </w:rPr>
        <w:t xml:space="preserve">el cambio de modalidad, toda vez que para acreditarlo, es necesario demostrar que existe una </w:t>
      </w:r>
      <w:r w:rsidRPr="00523559">
        <w:rPr>
          <w:rFonts w:ascii="Palatino Linotype" w:hAnsi="Palatino Linotype"/>
        </w:rPr>
        <w:t>imposibilidad</w:t>
      </w:r>
      <w:r w:rsidRPr="00523559">
        <w:rPr>
          <w:rFonts w:ascii="Palatino Linotype" w:hAnsi="Palatino Linotype"/>
          <w:lang w:val="es-ES"/>
        </w:rPr>
        <w:t xml:space="preserve"> administrativa, técnica y humana para dar cumplimiento a la modalidad elegida por el particular.</w:t>
      </w:r>
    </w:p>
    <w:p w14:paraId="0E3EF6C1" w14:textId="77777777" w:rsidR="00431C89" w:rsidRPr="00523559" w:rsidRDefault="00431C89" w:rsidP="00431C89">
      <w:pPr>
        <w:pStyle w:val="Prrafodelista"/>
        <w:rPr>
          <w:rFonts w:ascii="Palatino Linotype" w:eastAsia="Palatino Linotype" w:hAnsi="Palatino Linotype" w:cs="Palatino Linotype"/>
        </w:rPr>
      </w:pPr>
    </w:p>
    <w:p w14:paraId="208CF74C" w14:textId="77777777" w:rsidR="00431C89" w:rsidRPr="00523559" w:rsidRDefault="00431C89" w:rsidP="00FC47D0">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No obstante dada la propia y especial naturaleza de lo solicitado y de los extremos del lapso temporal restablecido por el particular, resultan razonables los argumentos expuestos por el </w:t>
      </w:r>
      <w:r w:rsidRPr="00523559">
        <w:rPr>
          <w:rFonts w:ascii="Palatino Linotype" w:eastAsia="Palatino Linotype" w:hAnsi="Palatino Linotype" w:cs="Palatino Linotype"/>
          <w:b/>
        </w:rPr>
        <w:t>SUJETO OBLIGADO</w:t>
      </w:r>
      <w:r w:rsidRPr="00523559">
        <w:rPr>
          <w:rFonts w:ascii="Palatino Linotype" w:eastAsia="Palatino Linotype" w:hAnsi="Palatino Linotype" w:cs="Palatino Linotype"/>
        </w:rPr>
        <w:t>, de los cuales además, es de explorado derecho que este Instituto no puede dudar de su veracidad.</w:t>
      </w:r>
    </w:p>
    <w:p w14:paraId="5AF7E664" w14:textId="77777777" w:rsidR="00431C89" w:rsidRPr="00523559" w:rsidRDefault="00431C89" w:rsidP="00431C89">
      <w:pPr>
        <w:pStyle w:val="Prrafodelista"/>
        <w:rPr>
          <w:rFonts w:ascii="Palatino Linotype" w:eastAsia="Palatino Linotype" w:hAnsi="Palatino Linotype" w:cs="Palatino Linotype"/>
        </w:rPr>
      </w:pPr>
    </w:p>
    <w:p w14:paraId="734E649D" w14:textId="77777777" w:rsidR="00431C89" w:rsidRPr="00523559" w:rsidRDefault="00431C89" w:rsidP="00431C89">
      <w:pPr>
        <w:numPr>
          <w:ilvl w:val="0"/>
          <w:numId w:val="11"/>
        </w:numPr>
        <w:pBdr>
          <w:top w:val="nil"/>
          <w:left w:val="nil"/>
          <w:bottom w:val="nil"/>
          <w:right w:val="nil"/>
          <w:between w:val="nil"/>
        </w:pBdr>
        <w:spacing w:line="360" w:lineRule="auto"/>
        <w:ind w:left="0" w:right="49" w:firstLine="0"/>
        <w:jc w:val="both"/>
        <w:rPr>
          <w:rFonts w:ascii="Palatino Linotype" w:hAnsi="Palatino Linotype"/>
          <w:color w:val="000000"/>
        </w:rPr>
      </w:pPr>
      <w:r w:rsidRPr="00523559">
        <w:rPr>
          <w:rFonts w:ascii="Palatino Linotype" w:eastAsia="Palatino Linotype" w:hAnsi="Palatino Linotype" w:cs="Palatino Linotype"/>
        </w:rPr>
        <w:lastRenderedPageBreak/>
        <w:t xml:space="preserve">Luego entonces, </w:t>
      </w:r>
      <w:r w:rsidRPr="00523559">
        <w:rPr>
          <w:rFonts w:ascii="Palatino Linotype" w:hAnsi="Palatino Linotype" w:cs="Tahoma"/>
        </w:rPr>
        <w:t xml:space="preserve">se advierte que se constituye un hecho notorio el copioso </w:t>
      </w:r>
      <w:r w:rsidRPr="00523559">
        <w:rPr>
          <w:rFonts w:ascii="Palatino Linotype" w:eastAsia="Palatino Linotype" w:hAnsi="Palatino Linotype" w:cs="Palatino Linotype"/>
        </w:rPr>
        <w:t>soporte</w:t>
      </w:r>
      <w:r w:rsidRPr="00523559">
        <w:rPr>
          <w:rFonts w:ascii="Palatino Linotype" w:hAnsi="Palatino Linotype" w:cs="Tahoma"/>
        </w:rPr>
        <w:t xml:space="preserve"> documental que se requiere en el punto de mérito, irrefutablemente  evidente y ampliamente reconocido dado que es información que por su naturaleza si se genera, posee y administra con independencia que ya fue aceptada por el propio </w:t>
      </w:r>
      <w:r w:rsidRPr="00523559">
        <w:rPr>
          <w:rFonts w:ascii="Palatino Linotype" w:hAnsi="Palatino Linotype" w:cs="Tahoma"/>
          <w:b/>
        </w:rPr>
        <w:t>SUJETO OBLIGADO</w:t>
      </w:r>
      <w:r w:rsidRPr="00523559">
        <w:rPr>
          <w:rFonts w:ascii="Palatino Linotype" w:hAnsi="Palatino Linotype" w:cs="Tahoma"/>
        </w:rPr>
        <w:t>, por lo que no necesita prueba adicional.</w:t>
      </w:r>
    </w:p>
    <w:p w14:paraId="2176D685" w14:textId="77777777" w:rsidR="00431C89" w:rsidRPr="00523559" w:rsidRDefault="00431C89" w:rsidP="00431C89">
      <w:pPr>
        <w:pStyle w:val="Prrafodelista"/>
        <w:spacing w:line="360" w:lineRule="auto"/>
        <w:ind w:left="0"/>
        <w:jc w:val="both"/>
        <w:rPr>
          <w:rFonts w:ascii="Palatino Linotype" w:hAnsi="Palatino Linotype"/>
          <w:color w:val="000000"/>
        </w:rPr>
      </w:pPr>
    </w:p>
    <w:p w14:paraId="67106CFA" w14:textId="77777777" w:rsidR="00431C89" w:rsidRPr="00523559" w:rsidRDefault="00431C89" w:rsidP="00431C89">
      <w:pPr>
        <w:numPr>
          <w:ilvl w:val="0"/>
          <w:numId w:val="11"/>
        </w:numPr>
        <w:pBdr>
          <w:top w:val="nil"/>
          <w:left w:val="nil"/>
          <w:bottom w:val="nil"/>
          <w:right w:val="nil"/>
          <w:between w:val="nil"/>
        </w:pBdr>
        <w:spacing w:line="360" w:lineRule="auto"/>
        <w:ind w:left="0" w:right="49" w:firstLine="0"/>
        <w:jc w:val="both"/>
        <w:rPr>
          <w:rFonts w:ascii="Palatino Linotype" w:eastAsia="Times New Roman" w:hAnsi="Palatino Linotype"/>
        </w:rPr>
      </w:pPr>
      <w:r w:rsidRPr="00523559">
        <w:rPr>
          <w:rFonts w:ascii="Palatino Linotype" w:eastAsia="Times New Roman" w:hAnsi="Palatino Linotype"/>
        </w:rPr>
        <w:t>Sirven de criterios orientadores las Tesis P./J. 74/2006 y I.3o.C.102 K, emitidas por el más alto tribunal de este país, y que son del tenor literal siguiente:</w:t>
      </w:r>
    </w:p>
    <w:p w14:paraId="7C31A9A7" w14:textId="77777777" w:rsidR="00431C89" w:rsidRPr="00523559" w:rsidRDefault="00431C89" w:rsidP="00431C89">
      <w:pPr>
        <w:pStyle w:val="Prrafodelista"/>
        <w:rPr>
          <w:rFonts w:ascii="Palatino Linotype" w:eastAsia="Times New Roman" w:hAnsi="Palatino Linotype"/>
        </w:rPr>
      </w:pPr>
    </w:p>
    <w:p w14:paraId="18466F05" w14:textId="77777777" w:rsidR="00431C89" w:rsidRPr="00523559" w:rsidRDefault="00431C89" w:rsidP="00431C89">
      <w:pPr>
        <w:ind w:left="426" w:right="474"/>
        <w:jc w:val="both"/>
        <w:rPr>
          <w:rFonts w:ascii="Palatino Linotype" w:eastAsia="Times New Roman" w:hAnsi="Palatino Linotype" w:cs="Calibri"/>
          <w:b/>
          <w:bCs/>
          <w:color w:val="000000" w:themeColor="text1"/>
        </w:rPr>
      </w:pPr>
      <w:r w:rsidRPr="00523559">
        <w:rPr>
          <w:rFonts w:ascii="Palatino Linotype" w:eastAsia="Times New Roman" w:hAnsi="Palatino Linotype" w:cs="Calibri"/>
          <w:b/>
          <w:bCs/>
          <w:color w:val="000000" w:themeColor="text1"/>
        </w:rPr>
        <w:t>HECHOS NOTORIOS. CONCEPTOS GENERAL Y JURÍDICO.</w:t>
      </w:r>
    </w:p>
    <w:p w14:paraId="611DD653" w14:textId="77777777" w:rsidR="00431C89" w:rsidRPr="00523559" w:rsidRDefault="00431C89" w:rsidP="00431C89">
      <w:pPr>
        <w:ind w:left="426" w:right="474"/>
        <w:jc w:val="both"/>
        <w:rPr>
          <w:rFonts w:ascii="Palatino Linotype" w:eastAsia="Times New Roman" w:hAnsi="Palatino Linotype" w:cs="Calibri"/>
          <w:color w:val="000000" w:themeColor="text1"/>
        </w:rPr>
      </w:pPr>
      <w:r w:rsidRPr="00523559">
        <w:rPr>
          <w:rFonts w:ascii="Palatino Linotype" w:eastAsia="Times New Roman" w:hAnsi="Palatino Linotype" w:cs="Calibri"/>
          <w:color w:val="000000" w:themeColor="text1"/>
        </w:rPr>
        <w:br/>
        <w:t>Conforme al artículo </w:t>
      </w:r>
      <w:r w:rsidRPr="00523559">
        <w:rPr>
          <w:rFonts w:ascii="Palatino Linotype" w:eastAsia="Times New Roman" w:hAnsi="Palatino Linotype" w:cs="Calibri"/>
          <w:color w:val="000000" w:themeColor="text1"/>
          <w:u w:val="single"/>
        </w:rPr>
        <w:t>88 del Código Federal de Procedimientos Civiles</w:t>
      </w:r>
      <w:r w:rsidRPr="00523559">
        <w:rPr>
          <w:rFonts w:ascii="Palatino Linotype" w:eastAsia="Times New Roman" w:hAnsi="Palatino Linotype" w:cs="Calibri"/>
          <w:color w:val="000000" w:themeColor="text1"/>
        </w:rPr>
        <w:t>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0B4213E" w14:textId="77777777" w:rsidR="00431C89" w:rsidRPr="00523559" w:rsidRDefault="00431C89" w:rsidP="00431C89">
      <w:pPr>
        <w:ind w:left="426" w:right="474"/>
        <w:jc w:val="both"/>
        <w:rPr>
          <w:rFonts w:ascii="Palatino Linotype" w:eastAsia="Times New Roman" w:hAnsi="Palatino Linotype" w:cs="Calibri"/>
          <w:color w:val="000000" w:themeColor="text1"/>
          <w:sz w:val="22"/>
        </w:rPr>
      </w:pPr>
      <w:r w:rsidRPr="00523559">
        <w:rPr>
          <w:rFonts w:ascii="Palatino Linotype" w:eastAsia="Times New Roman" w:hAnsi="Palatino Linotype" w:cs="Calibri"/>
          <w:color w:val="000000" w:themeColor="text1"/>
        </w:rPr>
        <w:br/>
      </w:r>
    </w:p>
    <w:p w14:paraId="296C215D"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Referente a la capacidad administrativa, ésta es definida como la habilidad institucional de un gobierno, para formular y realizar planes, políticas, programas, actividades, operaciones u otras medidas para cumplir con los propósitos de </w:t>
      </w:r>
      <w:r w:rsidRPr="00523559">
        <w:rPr>
          <w:rFonts w:ascii="Palatino Linotype" w:hAnsi="Palatino Linotype"/>
          <w:lang w:val="es-ES"/>
        </w:rPr>
        <w:lastRenderedPageBreak/>
        <w:t xml:space="preserve">desarrollo. En palabras más simples, es la </w:t>
      </w:r>
      <w:r w:rsidRPr="00523559">
        <w:rPr>
          <w:rFonts w:ascii="Palatino Linotype" w:hAnsi="Palatino Linotype"/>
          <w:b/>
          <w:bCs/>
          <w:lang w:val="es-ES"/>
        </w:rPr>
        <w:t>eficiencia organizacional para efectuar funciones esenciales</w:t>
      </w:r>
      <w:r w:rsidRPr="00523559">
        <w:rPr>
          <w:rFonts w:ascii="Palatino Linotype" w:hAnsi="Palatino Linotype"/>
          <w:lang w:val="es-ES"/>
        </w:rPr>
        <w:t>.</w:t>
      </w:r>
    </w:p>
    <w:p w14:paraId="3448BE75" w14:textId="77777777" w:rsidR="00FC47D0" w:rsidRPr="00523559" w:rsidRDefault="00FC47D0" w:rsidP="00FC47D0">
      <w:pPr>
        <w:pStyle w:val="Prrafodelista"/>
        <w:tabs>
          <w:tab w:val="left" w:pos="426"/>
        </w:tabs>
        <w:spacing w:line="360" w:lineRule="auto"/>
        <w:ind w:left="0" w:right="51"/>
        <w:jc w:val="both"/>
        <w:rPr>
          <w:rFonts w:ascii="Palatino Linotype" w:hAnsi="Palatino Linotype"/>
          <w:lang w:val="es-ES"/>
        </w:rPr>
      </w:pPr>
    </w:p>
    <w:p w14:paraId="65BF67E4"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14:paraId="7B018A6A" w14:textId="77777777" w:rsidR="00FC47D0" w:rsidRPr="00523559" w:rsidRDefault="00FC47D0" w:rsidP="00FC47D0">
      <w:pPr>
        <w:pStyle w:val="Prrafodelista"/>
        <w:tabs>
          <w:tab w:val="left" w:pos="426"/>
        </w:tabs>
        <w:spacing w:line="360" w:lineRule="auto"/>
        <w:ind w:left="0" w:right="51"/>
        <w:jc w:val="both"/>
        <w:rPr>
          <w:rFonts w:ascii="Palatino Linotype" w:hAnsi="Palatino Linotype"/>
          <w:lang w:val="es-ES"/>
        </w:rPr>
      </w:pPr>
    </w:p>
    <w:p w14:paraId="0527F6A1"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Desde una perspectiva institucional, la </w:t>
      </w:r>
      <w:r w:rsidRPr="00523559">
        <w:rPr>
          <w:rFonts w:ascii="Palatino Linotype" w:hAnsi="Palatino Linotype"/>
          <w:b/>
          <w:bCs/>
          <w:lang w:val="es-ES"/>
        </w:rPr>
        <w:t>capacidad administrativa</w:t>
      </w:r>
      <w:r w:rsidRPr="00523559">
        <w:rPr>
          <w:rFonts w:ascii="Palatino Linotype" w:hAnsi="Palatino Linotype"/>
          <w:lang w:val="es-ES"/>
        </w:rPr>
        <w:t xml:space="preserve"> es entendida como “</w:t>
      </w:r>
      <w:r w:rsidRPr="00523559">
        <w:rPr>
          <w:rFonts w:ascii="Palatino Linotype" w:hAnsi="Palatino Linotype"/>
          <w:i/>
          <w:iCs/>
          <w:lang w:val="es-ES"/>
        </w:rPr>
        <w:t xml:space="preserve">las habilidades técnico-burocráticas del aparato estatal requeridas para alcanzar sus objetos. En este componente se ubican el nivel micro y meso de la Capacidad Institucional. El </w:t>
      </w:r>
      <w:r w:rsidRPr="00523559">
        <w:rPr>
          <w:rFonts w:ascii="Palatino Linotype" w:hAnsi="Palatino Linotype"/>
          <w:b/>
          <w:bCs/>
          <w:i/>
          <w:iCs/>
          <w:lang w:val="es-ES"/>
        </w:rPr>
        <w:t>primero</w:t>
      </w:r>
      <w:r w:rsidRPr="00523559">
        <w:rPr>
          <w:rFonts w:ascii="Palatino Linotype" w:hAnsi="Palatino Linotype"/>
          <w:i/>
          <w:iCs/>
          <w:lang w:val="es-ES"/>
        </w:rPr>
        <w:t xml:space="preserve"> hace alusión al individuo, al </w:t>
      </w:r>
      <w:r w:rsidRPr="00523559">
        <w:rPr>
          <w:rFonts w:ascii="Palatino Linotype" w:hAnsi="Palatino Linotype"/>
          <w:b/>
          <w:bCs/>
          <w:i/>
          <w:iCs/>
          <w:lang w:val="es-ES"/>
        </w:rPr>
        <w:t>recurso humano</w:t>
      </w:r>
      <w:r w:rsidRPr="00523559">
        <w:rPr>
          <w:rFonts w:ascii="Palatino Linotype" w:hAnsi="Palatino Linotype"/>
          <w:i/>
          <w:iCs/>
          <w:lang w:val="es-ES"/>
        </w:rPr>
        <w:t xml:space="preserve">. En el segundo nivel, se ubica la </w:t>
      </w:r>
      <w:r w:rsidRPr="00523559">
        <w:rPr>
          <w:rFonts w:ascii="Palatino Linotype" w:hAnsi="Palatino Linotype"/>
          <w:b/>
          <w:bCs/>
          <w:i/>
          <w:iCs/>
          <w:lang w:val="es-ES"/>
        </w:rPr>
        <w:t>capacidad de gestión</w:t>
      </w:r>
      <w:r w:rsidRPr="00523559">
        <w:rPr>
          <w:rFonts w:ascii="Palatino Linotype" w:hAnsi="Palatino Linotype"/>
          <w:i/>
          <w:iCs/>
          <w:lang w:val="es-ES"/>
        </w:rPr>
        <w:t>, el cual se centra en el fortalecimiento organizacional como área de intervención para construir capacidad; cultura organizacional, sistemas de comunicación u organización</w:t>
      </w:r>
      <w:proofErr w:type="gramStart"/>
      <w:r w:rsidRPr="00523559">
        <w:rPr>
          <w:rFonts w:ascii="Palatino Linotype" w:hAnsi="Palatino Linotype"/>
          <w:lang w:val="es-ES"/>
        </w:rPr>
        <w:t>”</w:t>
      </w:r>
      <w:r w:rsidRPr="00523559">
        <w:rPr>
          <w:rFonts w:ascii="Palatino Linotype" w:eastAsia="MS Mincho" w:hAnsi="Palatino Linotype" w:cs="Arial"/>
          <w:i/>
          <w:vertAlign w:val="superscript"/>
        </w:rPr>
        <w:t xml:space="preserve"> </w:t>
      </w:r>
      <w:proofErr w:type="gramEnd"/>
      <w:r w:rsidRPr="00523559">
        <w:rPr>
          <w:rFonts w:ascii="Palatino Linotype" w:eastAsia="MS Mincho" w:hAnsi="Palatino Linotype" w:cs="Arial"/>
          <w:i/>
          <w:vertAlign w:val="superscript"/>
        </w:rPr>
        <w:footnoteReference w:id="2"/>
      </w:r>
      <w:r w:rsidRPr="00523559">
        <w:rPr>
          <w:rFonts w:ascii="Palatino Linotype" w:hAnsi="Palatino Linotype"/>
          <w:lang w:val="es-ES"/>
        </w:rPr>
        <w:t xml:space="preserve">. </w:t>
      </w:r>
    </w:p>
    <w:p w14:paraId="692D242D" w14:textId="77777777" w:rsidR="00FC47D0" w:rsidRPr="00523559" w:rsidRDefault="00FC47D0" w:rsidP="00FC47D0">
      <w:pPr>
        <w:pStyle w:val="Prrafodelista"/>
        <w:tabs>
          <w:tab w:val="left" w:pos="426"/>
        </w:tabs>
        <w:spacing w:line="360" w:lineRule="auto"/>
        <w:ind w:left="0" w:right="51"/>
        <w:jc w:val="both"/>
        <w:rPr>
          <w:rFonts w:ascii="Palatino Linotype" w:hAnsi="Palatino Linotype"/>
          <w:lang w:val="es-ES"/>
        </w:rPr>
      </w:pPr>
    </w:p>
    <w:p w14:paraId="03D1BA34"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w:t>
      </w:r>
      <w:r w:rsidRPr="00523559">
        <w:rPr>
          <w:rFonts w:ascii="Palatino Linotype" w:hAnsi="Palatino Linotype"/>
          <w:lang w:val="es-ES"/>
        </w:rPr>
        <w:lastRenderedPageBreak/>
        <w:t xml:space="preserve">conjunto y a la medida correcta, alcanzarían que las instituciones logren la finalidad de cumplir con sus responsabilidades y funciones de manera eficaz y eficiente. </w:t>
      </w:r>
    </w:p>
    <w:p w14:paraId="1FE106ED" w14:textId="77777777" w:rsidR="00FC47D0" w:rsidRPr="00523559" w:rsidRDefault="00FC47D0" w:rsidP="00FC47D0">
      <w:pPr>
        <w:pStyle w:val="Prrafodelista"/>
        <w:tabs>
          <w:tab w:val="left" w:pos="426"/>
        </w:tabs>
        <w:spacing w:line="360" w:lineRule="auto"/>
        <w:ind w:left="0" w:right="51"/>
        <w:jc w:val="both"/>
        <w:rPr>
          <w:rFonts w:ascii="Palatino Linotype" w:hAnsi="Palatino Linotype"/>
          <w:lang w:val="es-ES"/>
        </w:rPr>
      </w:pPr>
    </w:p>
    <w:p w14:paraId="16D3881E"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Ahora bien, respecto de las capacidades humanas, vale la pena precisar lo que se denomina por </w:t>
      </w:r>
      <w:r w:rsidRPr="00523559">
        <w:rPr>
          <w:rFonts w:ascii="Palatino Linotype" w:hAnsi="Palatino Linotype"/>
          <w:b/>
          <w:bCs/>
          <w:i/>
          <w:iCs/>
          <w:lang w:val="es-ES"/>
        </w:rPr>
        <w:t>recursos humanos</w:t>
      </w:r>
      <w:r w:rsidRPr="00523559">
        <w:rPr>
          <w:rFonts w:ascii="Palatino Linotype" w:hAnsi="Palatino Linotype"/>
          <w:lang w:val="es-ES"/>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14:paraId="4C19AE74" w14:textId="77777777" w:rsidR="00FC47D0" w:rsidRPr="00523559" w:rsidRDefault="00FC47D0" w:rsidP="00FC47D0">
      <w:pPr>
        <w:pStyle w:val="Prrafodelista"/>
        <w:tabs>
          <w:tab w:val="left" w:pos="426"/>
        </w:tabs>
        <w:spacing w:line="360" w:lineRule="auto"/>
        <w:ind w:left="0" w:right="51"/>
        <w:jc w:val="both"/>
        <w:rPr>
          <w:rFonts w:ascii="Palatino Linotype" w:hAnsi="Palatino Linotype"/>
          <w:lang w:val="es-ES"/>
        </w:rPr>
      </w:pPr>
    </w:p>
    <w:p w14:paraId="104683E4"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7C3E7CF1" w14:textId="77777777" w:rsidR="00FC47D0" w:rsidRPr="00523559" w:rsidRDefault="00FC47D0" w:rsidP="00FC47D0">
      <w:pPr>
        <w:pStyle w:val="Prrafodelista"/>
        <w:rPr>
          <w:rFonts w:ascii="Palatino Linotype" w:hAnsi="Palatino Linotype"/>
          <w:lang w:val="es-ES"/>
        </w:rPr>
      </w:pPr>
    </w:p>
    <w:p w14:paraId="044C35D2" w14:textId="77777777" w:rsidR="00FC47D0" w:rsidRPr="00523559" w:rsidRDefault="00FC47D0" w:rsidP="00FC47D0">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hAnsi="Palatino Linotype"/>
          <w:lang w:val="es-ES"/>
        </w:rPr>
        <w:t xml:space="preserve">Al respecto, las </w:t>
      </w:r>
      <w:r w:rsidRPr="00523559">
        <w:rPr>
          <w:rFonts w:ascii="Palatino Linotype" w:eastAsia="Palatino Linotype" w:hAnsi="Palatino Linotype" w:cs="Palatino Linotype"/>
        </w:rPr>
        <w:t xml:space="preserve">resoluciones de los Recursos de Inconformidad, entre las cuales se encuentran el RIA 136/20, RIA 140/20, RIA 153/20 RIA 237/20, RIA 257/20, RIA 258/20, entre otros, ha considerado que no resultaba suficiente justificar una </w:t>
      </w:r>
      <w:r w:rsidRPr="00523559">
        <w:rPr>
          <w:rFonts w:ascii="Palatino Linotype" w:hAnsi="Palatino Linotype"/>
          <w:lang w:val="es-ES"/>
        </w:rPr>
        <w:t>imposibilidad</w:t>
      </w:r>
      <w:r w:rsidRPr="00523559">
        <w:rPr>
          <w:rFonts w:ascii="Palatino Linotype" w:eastAsia="Palatino Linotype" w:hAnsi="Palatino Linotype" w:cs="Palatino Linotype"/>
        </w:rPr>
        <w:t xml:space="preserve"> técnica y humana para acreditar un cambio de modalidad, sino que era necesario demostrar otros impedimentos, como la cantidad de hojas y peso, así como la descripción y elementos que contiene la información que se va a entregar</w:t>
      </w:r>
      <w:r w:rsidRPr="00523559">
        <w:rPr>
          <w:rFonts w:ascii="Palatino Linotype" w:eastAsia="Palatino Linotype" w:hAnsi="Palatino Linotype" w:cs="Palatino Linotype"/>
          <w:b/>
        </w:rPr>
        <w:t xml:space="preserve"> así como ofrecer todas las modalidades disponibles de entrega de la información</w:t>
      </w:r>
      <w:r w:rsidRPr="00523559">
        <w:rPr>
          <w:rFonts w:ascii="Palatino Linotype" w:eastAsia="Palatino Linotype" w:hAnsi="Palatino Linotype" w:cs="Palatino Linotype"/>
        </w:rPr>
        <w:t xml:space="preserve">. </w:t>
      </w:r>
    </w:p>
    <w:p w14:paraId="7AB96DF6" w14:textId="77777777" w:rsidR="00FC47D0" w:rsidRPr="00523559" w:rsidRDefault="00FC47D0" w:rsidP="00FC47D0">
      <w:pPr>
        <w:pStyle w:val="Prrafodelista"/>
        <w:spacing w:line="360" w:lineRule="auto"/>
        <w:ind w:left="0"/>
        <w:contextualSpacing w:val="0"/>
        <w:jc w:val="both"/>
        <w:rPr>
          <w:rFonts w:ascii="Palatino Linotype" w:eastAsia="Palatino Linotype" w:hAnsi="Palatino Linotype" w:cs="Palatino Linotype"/>
        </w:rPr>
      </w:pPr>
    </w:p>
    <w:p w14:paraId="36BC6ACF" w14:textId="77777777" w:rsidR="00FC47D0" w:rsidRPr="00523559" w:rsidRDefault="00FC47D0" w:rsidP="000850AB">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lastRenderedPageBreak/>
        <w:t xml:space="preserve">Por otro lado, se debe de referir que no se debe ceñir el cambio de modalidad, </w:t>
      </w:r>
      <w:r w:rsidRPr="00523559">
        <w:rPr>
          <w:rFonts w:ascii="Palatino Linotype" w:hAnsi="Palatino Linotype"/>
          <w:lang w:val="es-ES"/>
        </w:rPr>
        <w:t>directamente</w:t>
      </w:r>
      <w:r w:rsidRPr="00523559">
        <w:rPr>
          <w:rFonts w:ascii="Palatino Linotype" w:eastAsia="Palatino Linotype" w:hAnsi="Palatino Linotype" w:cs="Palatino Linotype"/>
        </w:rPr>
        <w:t xml:space="preserve"> a consulta directa, sino que los sujetos obligados, deben de buscar la posibilidad de proporcionarla en las otras formas que establecen en la Ley, ya sean electrónicas o físicas. </w:t>
      </w:r>
    </w:p>
    <w:p w14:paraId="755A4529" w14:textId="77777777" w:rsidR="00FC47D0" w:rsidRPr="00523559" w:rsidRDefault="00FC47D0" w:rsidP="00FC47D0">
      <w:pPr>
        <w:pStyle w:val="Prrafodelista"/>
        <w:tabs>
          <w:tab w:val="left" w:pos="851"/>
        </w:tabs>
        <w:spacing w:line="360" w:lineRule="auto"/>
        <w:ind w:left="0" w:right="49"/>
        <w:jc w:val="both"/>
        <w:rPr>
          <w:rFonts w:ascii="Palatino Linotype" w:eastAsia="Palatino Linotype" w:hAnsi="Palatino Linotype" w:cs="Palatino Linotype"/>
        </w:rPr>
      </w:pPr>
    </w:p>
    <w:p w14:paraId="231C3E6A" w14:textId="77777777" w:rsidR="00FC47D0" w:rsidRPr="00523559" w:rsidRDefault="00FC47D0" w:rsidP="000850AB">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hAnsi="Palatino Linotype"/>
        </w:rPr>
        <w:t xml:space="preserve">Sirve de sustento a lo anterior, el Criterio número 8/2013, y 02/2004 del </w:t>
      </w:r>
      <w:r w:rsidRPr="00523559">
        <w:rPr>
          <w:rFonts w:ascii="Palatino Linotype" w:eastAsia="Palatino Linotype" w:hAnsi="Palatino Linotype" w:cs="Palatino Linotype"/>
        </w:rPr>
        <w:t>entonces</w:t>
      </w:r>
      <w:r w:rsidRPr="00523559">
        <w:rPr>
          <w:rFonts w:ascii="Palatino Linotype" w:hAnsi="Palatino Linotype"/>
        </w:rPr>
        <w:t xml:space="preserve"> </w:t>
      </w:r>
      <w:r w:rsidRPr="00523559">
        <w:rPr>
          <w:rFonts w:ascii="Palatino Linotype" w:hAnsi="Palatino Linotype"/>
          <w:lang w:val="es-ES"/>
        </w:rPr>
        <w:t>Instituto</w:t>
      </w:r>
      <w:r w:rsidRPr="00523559">
        <w:rPr>
          <w:rFonts w:ascii="Palatino Linotype" w:hAnsi="Palatino Linotype"/>
        </w:rPr>
        <w:t xml:space="preserve"> Federal de Acceso a la Información, cuyo texto y sentido literal es el siguiente:</w:t>
      </w:r>
    </w:p>
    <w:p w14:paraId="0D93408D" w14:textId="77777777" w:rsidR="00FC47D0" w:rsidRPr="00523559" w:rsidRDefault="00FC47D0" w:rsidP="00FC47D0">
      <w:pPr>
        <w:pStyle w:val="Prrafodelista"/>
        <w:spacing w:line="360" w:lineRule="auto"/>
        <w:rPr>
          <w:rFonts w:ascii="Palatino Linotype" w:eastAsia="Palatino Linotype" w:hAnsi="Palatino Linotype" w:cs="Palatino Linotype"/>
        </w:rPr>
      </w:pPr>
    </w:p>
    <w:p w14:paraId="6520251B" w14:textId="77777777" w:rsidR="00FC47D0" w:rsidRPr="00523559" w:rsidRDefault="00FC47D0" w:rsidP="000850AB">
      <w:pPr>
        <w:tabs>
          <w:tab w:val="left" w:pos="7938"/>
        </w:tabs>
        <w:spacing w:line="360" w:lineRule="auto"/>
        <w:ind w:left="709" w:right="851"/>
        <w:jc w:val="both"/>
        <w:rPr>
          <w:rFonts w:ascii="Palatino Linotype" w:hAnsi="Palatino Linotype"/>
          <w:i/>
        </w:rPr>
      </w:pPr>
      <w:r w:rsidRPr="00523559">
        <w:rPr>
          <w:rFonts w:ascii="Palatino Linotype" w:hAnsi="Palatino Linotype"/>
          <w:b/>
          <w:bCs/>
          <w:i/>
        </w:rPr>
        <w:t xml:space="preserve">Cuando exista impedimento justificado de atender la modalidad de entrega elegida por el solicitante, procede ofrecer </w:t>
      </w:r>
      <w:r w:rsidRPr="00523559">
        <w:rPr>
          <w:rFonts w:ascii="Palatino Linotype" w:hAnsi="Palatino Linotype" w:cs="Arial"/>
          <w:b/>
          <w:bCs/>
          <w:i/>
          <w:noProof/>
        </w:rPr>
        <w:t>todas</w:t>
      </w:r>
      <w:r w:rsidRPr="00523559">
        <w:rPr>
          <w:rFonts w:ascii="Palatino Linotype" w:hAnsi="Palatino Linotype"/>
          <w:b/>
          <w:bCs/>
          <w:i/>
        </w:rPr>
        <w:t xml:space="preserve"> las demás opciones previstas en la Ley.</w:t>
      </w:r>
      <w:r w:rsidRPr="00523559">
        <w:rPr>
          <w:rFonts w:ascii="Palatino Linotype" w:hAnsi="Palatino Linotype"/>
          <w:bCs/>
          <w:i/>
        </w:rPr>
        <w:t xml:space="preserve"> </w:t>
      </w:r>
      <w:r w:rsidRPr="00523559">
        <w:rPr>
          <w:rFonts w:ascii="Palatino Linotype" w:hAnsi="Palatino Linotype"/>
          <w:i/>
          <w:u w:val="single"/>
        </w:rPr>
        <w:t xml:space="preserve">De conformidad con lo dispuesto en los artículos 42 y 44 de la </w:t>
      </w:r>
      <w:r w:rsidRPr="00523559">
        <w:rPr>
          <w:rFonts w:ascii="Palatino Linotype" w:hAnsi="Palatino Linotype"/>
          <w:i/>
          <w:iCs/>
          <w:u w:val="single"/>
        </w:rPr>
        <w:t>Ley Federal de Transparencia y Acceso a la Información Pública Gubernamental</w:t>
      </w:r>
      <w:r w:rsidRPr="00523559">
        <w:rPr>
          <w:rFonts w:ascii="Palatino Linotype" w:hAnsi="Palatino Linotype"/>
          <w:i/>
          <w:u w:val="single"/>
        </w:rPr>
        <w:t>, y 54 de su Reglamento, la entrega de la información debe hacerse, en la medida de lo posible, en la forma solicitada por el interesado</w:t>
      </w:r>
      <w:r w:rsidRPr="00523559">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523559">
        <w:rPr>
          <w:rFonts w:ascii="Palatino Linotype" w:hAnsi="Palatino Linotype"/>
          <w:i/>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w:t>
      </w:r>
      <w:r w:rsidRPr="00523559">
        <w:rPr>
          <w:rFonts w:ascii="Palatino Linotype" w:hAnsi="Palatino Linotype"/>
          <w:i/>
          <w:u w:val="single"/>
        </w:rPr>
        <w:lastRenderedPageBreak/>
        <w:t>de dicho derecho</w:t>
      </w:r>
      <w:r w:rsidRPr="00523559">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D3C6C61" w14:textId="77777777" w:rsidR="00FC47D0" w:rsidRPr="00523559" w:rsidRDefault="00FC47D0" w:rsidP="000850AB">
      <w:pPr>
        <w:tabs>
          <w:tab w:val="left" w:pos="7938"/>
        </w:tabs>
        <w:spacing w:line="360" w:lineRule="auto"/>
        <w:ind w:left="709" w:right="851"/>
        <w:jc w:val="both"/>
        <w:rPr>
          <w:rFonts w:ascii="Palatino Linotype" w:hAnsi="Palatino Linotype"/>
          <w:i/>
        </w:rPr>
      </w:pPr>
    </w:p>
    <w:p w14:paraId="32168A79" w14:textId="77777777" w:rsidR="00FC47D0" w:rsidRPr="00523559" w:rsidRDefault="00FC47D0" w:rsidP="000850AB">
      <w:pPr>
        <w:tabs>
          <w:tab w:val="left" w:pos="7938"/>
        </w:tabs>
        <w:spacing w:line="360" w:lineRule="auto"/>
        <w:ind w:left="709" w:right="851"/>
        <w:jc w:val="both"/>
        <w:rPr>
          <w:rFonts w:ascii="Palatino Linotype" w:hAnsi="Palatino Linotype"/>
          <w:i/>
        </w:rPr>
      </w:pPr>
      <w:r w:rsidRPr="00523559">
        <w:rPr>
          <w:rFonts w:ascii="Palatino Linotype" w:hAnsi="Palatino Linotype"/>
          <w:b/>
          <w:i/>
        </w:rPr>
        <w:t>Criterio 02/2004 INFORMACIÓN DISPERSA</w:t>
      </w:r>
      <w:r w:rsidRPr="00523559">
        <w:rPr>
          <w:rFonts w:ascii="Palatino Linotype" w:hAnsi="Palatino Linotype"/>
          <w:b/>
        </w:rPr>
        <w:t xml:space="preserve"> </w:t>
      </w:r>
      <w:r w:rsidRPr="00523559">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523559">
        <w:rPr>
          <w:rFonts w:ascii="Palatino Linotype" w:hAnsi="Palatino Linotype"/>
          <w:i/>
        </w:rPr>
        <w:t xml:space="preserve"> </w:t>
      </w:r>
      <w:r w:rsidRPr="00523559">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523559">
        <w:rPr>
          <w:rFonts w:ascii="Palatino Linotype" w:hAnsi="Palatino Linotype"/>
          <w:i/>
        </w:rPr>
        <w:t xml:space="preserve">como lo prevé el artículo 29 del Reglamento de la </w:t>
      </w:r>
      <w:r w:rsidRPr="00523559">
        <w:rPr>
          <w:rFonts w:ascii="Palatino Linotype" w:hAnsi="Palatino Linotype"/>
          <w:i/>
        </w:rPr>
        <w:lastRenderedPageBreak/>
        <w:t xml:space="preserve">Suprema Corte de Justicia de la Nación y del Consejo de la Judicatura Federal para la aplicación de la Ley Federal de Transparencia y Acceso a la Información Pública Gubernamental, </w:t>
      </w:r>
      <w:r w:rsidRPr="00523559">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523559">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25CB1781" w14:textId="77777777" w:rsidR="00FC47D0" w:rsidRPr="00523559" w:rsidRDefault="00FC47D0" w:rsidP="000850AB">
      <w:pPr>
        <w:tabs>
          <w:tab w:val="left" w:pos="7938"/>
        </w:tabs>
        <w:spacing w:line="360" w:lineRule="auto"/>
        <w:ind w:left="709" w:right="851"/>
        <w:jc w:val="both"/>
        <w:rPr>
          <w:rFonts w:ascii="Palatino Linotype" w:hAnsi="Palatino Linotype"/>
        </w:rPr>
      </w:pPr>
      <w:r w:rsidRPr="00523559">
        <w:rPr>
          <w:rFonts w:ascii="Palatino Linotype" w:hAnsi="Palatino Linotype"/>
        </w:rPr>
        <w:t>(Énfasis añadido)</w:t>
      </w:r>
    </w:p>
    <w:p w14:paraId="7B5177A4" w14:textId="77777777" w:rsidR="00FC47D0" w:rsidRPr="00523559" w:rsidRDefault="00FC47D0" w:rsidP="00FC47D0">
      <w:pPr>
        <w:spacing w:line="360" w:lineRule="auto"/>
        <w:ind w:left="567" w:right="567"/>
        <w:jc w:val="both"/>
        <w:rPr>
          <w:rFonts w:ascii="Palatino Linotype" w:hAnsi="Palatino Linotype"/>
          <w:i/>
        </w:rPr>
      </w:pPr>
    </w:p>
    <w:p w14:paraId="7F67CF3A" w14:textId="6B64439C" w:rsidR="00FC47D0" w:rsidRPr="00523559" w:rsidRDefault="00FC47D0" w:rsidP="000850AB">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
        </w:rPr>
      </w:pPr>
      <w:r w:rsidRPr="00523559">
        <w:rPr>
          <w:rFonts w:ascii="Palatino Linotype" w:hAnsi="Palatino Linotype"/>
          <w:lang w:val="es-ES"/>
        </w:rPr>
        <w:t>Luego entonces, es dable ordenar la entrega de la información objeto de</w:t>
      </w:r>
      <w:r w:rsidR="00D0657B" w:rsidRPr="00523559">
        <w:rPr>
          <w:rFonts w:ascii="Palatino Linotype" w:hAnsi="Palatino Linotype"/>
          <w:lang w:val="es-ES"/>
        </w:rPr>
        <w:t>l</w:t>
      </w:r>
      <w:r w:rsidRPr="00523559">
        <w:rPr>
          <w:rFonts w:ascii="Palatino Linotype" w:hAnsi="Palatino Linotype"/>
          <w:lang w:val="es-ES"/>
        </w:rPr>
        <w:t xml:space="preserve"> </w:t>
      </w:r>
      <w:r w:rsidR="00D0657B" w:rsidRPr="00523559">
        <w:rPr>
          <w:rFonts w:ascii="Palatino Linotype" w:hAnsi="Palatino Linotype"/>
          <w:lang w:val="es-ES"/>
        </w:rPr>
        <w:t xml:space="preserve">presente </w:t>
      </w:r>
      <w:r w:rsidRPr="00523559">
        <w:rPr>
          <w:rFonts w:ascii="Palatino Linotype" w:hAnsi="Palatino Linotype"/>
          <w:lang w:val="es-ES"/>
        </w:rPr>
        <w:t xml:space="preserve">recurso de </w:t>
      </w:r>
      <w:r w:rsidRPr="00523559">
        <w:rPr>
          <w:rFonts w:ascii="Palatino Linotype" w:hAnsi="Palatino Linotype"/>
        </w:rPr>
        <w:t>revisión</w:t>
      </w:r>
      <w:r w:rsidRPr="00523559">
        <w:rPr>
          <w:rFonts w:ascii="Palatino Linotype" w:hAnsi="Palatino Linotype"/>
          <w:lang w:val="es-ES"/>
        </w:rPr>
        <w:t xml:space="preserve"> en </w:t>
      </w:r>
      <w:r w:rsidR="00D0657B" w:rsidRPr="00523559">
        <w:rPr>
          <w:rFonts w:ascii="Palatino Linotype" w:hAnsi="Palatino Linotype"/>
          <w:lang w:val="es-ES"/>
        </w:rPr>
        <w:t>el</w:t>
      </w:r>
      <w:r w:rsidRPr="00523559">
        <w:rPr>
          <w:rFonts w:ascii="Palatino Linotype" w:hAnsi="Palatino Linotype"/>
          <w:lang w:val="es-ES"/>
        </w:rPr>
        <w:t xml:space="preserve"> que se propone el cambio de modalidad, la cual ya se tiene certeza de que el </w:t>
      </w:r>
      <w:r w:rsidRPr="00523559">
        <w:rPr>
          <w:rFonts w:ascii="Palatino Linotype" w:hAnsi="Palatino Linotype"/>
          <w:b/>
          <w:lang w:val="es-ES"/>
        </w:rPr>
        <w:t>SUJETO OBLIGADO</w:t>
      </w:r>
      <w:r w:rsidRPr="00523559">
        <w:rPr>
          <w:rFonts w:ascii="Palatino Linotype" w:hAnsi="Palatino Linotype"/>
          <w:lang w:val="es-ES"/>
        </w:rPr>
        <w:t xml:space="preserve"> genera, posee y administra en ejercicio de sus atribuciones de derecho público, de ser el caso de que la información </w:t>
      </w:r>
      <w:r w:rsidRPr="00523559">
        <w:rPr>
          <w:rFonts w:ascii="Palatino Linotype" w:hAnsi="Palatino Linotype"/>
          <w:lang w:val="es-ES"/>
        </w:rPr>
        <w:lastRenderedPageBreak/>
        <w:t xml:space="preserve">que se </w:t>
      </w:r>
      <w:r w:rsidRPr="00523559">
        <w:rPr>
          <w:rFonts w:ascii="Palatino Linotype" w:hAnsi="Palatino Linotype"/>
          <w:b/>
          <w:lang w:val="es-ES"/>
        </w:rPr>
        <w:t xml:space="preserve">ORDENA </w:t>
      </w:r>
      <w:r w:rsidRPr="00523559">
        <w:rPr>
          <w:rFonts w:ascii="Palatino Linotype" w:hAnsi="Palatino Linotype"/>
          <w:lang w:val="es-ES"/>
        </w:rPr>
        <w:t xml:space="preserve">entregar contenga datos personales susceptibles de clasificarse como confidenciales, el </w:t>
      </w:r>
      <w:r w:rsidRPr="00523559">
        <w:rPr>
          <w:rFonts w:ascii="Palatino Linotype" w:hAnsi="Palatino Linotype"/>
          <w:b/>
          <w:lang w:val="es-ES"/>
        </w:rPr>
        <w:t>SUJETO OBLIGADO</w:t>
      </w:r>
      <w:r w:rsidRPr="00523559">
        <w:rPr>
          <w:rFonts w:ascii="Palatino Linotype" w:hAnsi="Palatino Linotype"/>
          <w:lang w:val="es-ES"/>
        </w:rPr>
        <w:t xml:space="preserve"> </w:t>
      </w:r>
      <w:r w:rsidR="00604AA2" w:rsidRPr="00523559">
        <w:rPr>
          <w:rFonts w:ascii="Palatino Linotype" w:hAnsi="Palatino Linotype"/>
          <w:lang w:val="es-ES"/>
        </w:rPr>
        <w:t>deberá ofrecer todas las modalidades disponibles para la entrega de la información.</w:t>
      </w:r>
    </w:p>
    <w:p w14:paraId="4C85DFA0" w14:textId="77777777" w:rsidR="000850AB" w:rsidRPr="00523559" w:rsidRDefault="000850AB" w:rsidP="000850AB">
      <w:pPr>
        <w:pBdr>
          <w:top w:val="nil"/>
          <w:left w:val="nil"/>
          <w:bottom w:val="nil"/>
          <w:right w:val="nil"/>
          <w:between w:val="nil"/>
        </w:pBdr>
        <w:spacing w:line="360" w:lineRule="auto"/>
        <w:ind w:right="49"/>
        <w:jc w:val="both"/>
        <w:rPr>
          <w:rFonts w:ascii="Palatino Linotype" w:hAnsi="Palatino Linotype"/>
          <w:lang w:val="es-ES"/>
        </w:rPr>
      </w:pPr>
    </w:p>
    <w:p w14:paraId="5F9E08E7" w14:textId="159C0F3A" w:rsidR="00C004FA" w:rsidRPr="00523559" w:rsidRDefault="00C004FA" w:rsidP="00C004FA">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 xml:space="preserve">Para ello </w:t>
      </w:r>
      <w:r w:rsidRPr="00523559">
        <w:rPr>
          <w:rFonts w:ascii="Palatino Linotype" w:hAnsi="Palatino Linotype"/>
          <w:b/>
          <w:bCs/>
        </w:rPr>
        <w:t>SUJETO OBLIGADO</w:t>
      </w:r>
      <w:r w:rsidRPr="00523559">
        <w:rPr>
          <w:rFonts w:ascii="Palatino Linotype" w:hAnsi="Palatino Linotype"/>
        </w:rPr>
        <w:t xml:space="preserve"> deberá ofrecer otras modalidades digitales para entregar la información al particular, tales como, de manera enunciativa mas no limitativa, habilitar una liga electrónica para que descargue los archivos a través de un servicio de nube;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14:paraId="5E1EA608" w14:textId="77777777" w:rsidR="00C004FA" w:rsidRPr="00523559" w:rsidRDefault="00C004FA" w:rsidP="00C004FA">
      <w:pPr>
        <w:pStyle w:val="Prrafodelista"/>
        <w:rPr>
          <w:rFonts w:ascii="Palatino Linotype" w:eastAsia="Palatino Linotype" w:hAnsi="Palatino Linotype" w:cs="Palatino Linotype"/>
          <w:color w:val="000000"/>
        </w:rPr>
      </w:pPr>
    </w:p>
    <w:p w14:paraId="59E96750" w14:textId="77777777" w:rsidR="00C004FA" w:rsidRPr="00523559" w:rsidRDefault="00C004FA" w:rsidP="00C004FA">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 xml:space="preserve">Asimismo, conviene traer a estudio </w:t>
      </w:r>
      <w:r w:rsidRPr="00523559">
        <w:rPr>
          <w:rFonts w:ascii="Palatino Linotype" w:eastAsia="Palatino Linotype" w:hAnsi="Palatino Linotype" w:cs="Palatino Linotype"/>
        </w:rPr>
        <w:t xml:space="preserve">lo establecido en el Capítulo X de </w:t>
      </w:r>
      <w:r w:rsidRPr="00523559">
        <w:rPr>
          <w:rFonts w:ascii="Palatino Linotype" w:eastAsia="Palatino Linotype" w:hAnsi="Palatino Linotype" w:cs="Palatino Linotype"/>
          <w:i/>
          <w:iCs/>
        </w:rPr>
        <w:t>Lineamientos Generales en Materia de Clasificación y Desclasificación de la Información, así como para la Elaboración de Versiones Públicas</w:t>
      </w:r>
      <w:r w:rsidRPr="00523559">
        <w:rPr>
          <w:rFonts w:ascii="Palatino Linotype" w:eastAsia="Palatino Linotype" w:hAnsi="Palatino Linotype" w:cs="Palatino Linotype"/>
        </w:rPr>
        <w:t>, relativo a la Consulta Directa, mismo que se transcribe a continuación:</w:t>
      </w:r>
    </w:p>
    <w:p w14:paraId="6A2D583A" w14:textId="77777777" w:rsidR="00C004FA" w:rsidRPr="00523559" w:rsidRDefault="00C004FA" w:rsidP="00C004FA">
      <w:pPr>
        <w:pStyle w:val="Prrafodelista"/>
        <w:tabs>
          <w:tab w:val="left" w:pos="426"/>
        </w:tabs>
        <w:spacing w:line="360" w:lineRule="auto"/>
        <w:ind w:left="0" w:right="51"/>
        <w:jc w:val="both"/>
        <w:rPr>
          <w:rFonts w:ascii="Palatino Linotype" w:hAnsi="Palatino Linotype"/>
        </w:rPr>
      </w:pPr>
    </w:p>
    <w:p w14:paraId="689EA60C"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b/>
          <w:bCs/>
          <w:i/>
          <w:iCs/>
          <w:sz w:val="22"/>
        </w:rPr>
      </w:pPr>
      <w:r w:rsidRPr="00523559">
        <w:rPr>
          <w:rFonts w:ascii="Palatino Linotype" w:hAnsi="Palatino Linotype"/>
          <w:i/>
          <w:iCs/>
          <w:sz w:val="22"/>
        </w:rPr>
        <w:t>“</w:t>
      </w:r>
      <w:r w:rsidRPr="00523559">
        <w:rPr>
          <w:rFonts w:ascii="Palatino Linotype" w:hAnsi="Palatino Linotype"/>
          <w:b/>
          <w:bCs/>
          <w:i/>
          <w:iCs/>
          <w:sz w:val="22"/>
        </w:rPr>
        <w:t xml:space="preserve">CAPÍTULO X </w:t>
      </w:r>
    </w:p>
    <w:p w14:paraId="295519AA"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b/>
          <w:bCs/>
          <w:i/>
          <w:iCs/>
          <w:sz w:val="22"/>
        </w:rPr>
      </w:pPr>
      <w:r w:rsidRPr="00523559">
        <w:rPr>
          <w:rFonts w:ascii="Palatino Linotype" w:hAnsi="Palatino Linotype"/>
          <w:b/>
          <w:bCs/>
          <w:i/>
          <w:iCs/>
          <w:sz w:val="22"/>
        </w:rPr>
        <w:t xml:space="preserve">DE LA CONSULTA DIRECTA </w:t>
      </w:r>
    </w:p>
    <w:p w14:paraId="40C65989"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1465C140"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Sexagésimo séptimo.</w:t>
      </w:r>
      <w:r w:rsidRPr="00523559">
        <w:rPr>
          <w:rFonts w:ascii="Palatino Linotype" w:hAnsi="Palatino Linotype"/>
          <w:i/>
          <w:iCs/>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w:t>
      </w:r>
      <w:r w:rsidRPr="00523559">
        <w:rPr>
          <w:rFonts w:ascii="Palatino Linotype" w:hAnsi="Palatino Linotype"/>
          <w:i/>
          <w:iCs/>
          <w:sz w:val="22"/>
        </w:rPr>
        <w:lastRenderedPageBreak/>
        <w:t xml:space="preserve">la resolución en la que funde y motive la clasificación de las partes o secciones que no podrán dejarse a la vista del solicitante. </w:t>
      </w:r>
    </w:p>
    <w:p w14:paraId="1EB37DFB"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66F4D5D5"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Sexagésimo octavo.</w:t>
      </w:r>
      <w:r w:rsidRPr="00523559">
        <w:rPr>
          <w:rFonts w:ascii="Palatino Linotype" w:hAnsi="Palatino Linotype"/>
          <w:i/>
          <w:iCs/>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59BC2970"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228E9E75"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Sexagésimo noveno.</w:t>
      </w:r>
      <w:r w:rsidRPr="00523559">
        <w:rPr>
          <w:rFonts w:ascii="Palatino Linotype" w:hAnsi="Palatino Linotype"/>
          <w:i/>
          <w:iCs/>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461B024"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42AF336A"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Septuagésimo.</w:t>
      </w:r>
      <w:r w:rsidRPr="00523559">
        <w:rPr>
          <w:rFonts w:ascii="Palatino Linotype" w:hAnsi="Palatino Linotype"/>
          <w:i/>
          <w:iCs/>
          <w:sz w:val="22"/>
        </w:rPr>
        <w:t xml:space="preserve"> Para el desahogo de las actuaciones tendientes a permitir la consulta directa, en los casos en que ésta resulte procedente, los sujetos obligados deberán observar lo siguiente: </w:t>
      </w:r>
    </w:p>
    <w:p w14:paraId="56543748"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I.</w:t>
      </w:r>
      <w:r w:rsidRPr="00523559">
        <w:rPr>
          <w:rFonts w:ascii="Palatino Linotype" w:hAnsi="Palatino Linotype"/>
          <w:i/>
          <w:iCs/>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7D9B3D2"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II.</w:t>
      </w:r>
      <w:r w:rsidRPr="00523559">
        <w:rPr>
          <w:rFonts w:ascii="Palatino Linotype" w:hAnsi="Palatino Linotype"/>
          <w:i/>
          <w:iCs/>
          <w:sz w:val="22"/>
        </w:rPr>
        <w:t xml:space="preserve"> En su caso, la procedencia de los ajustes razonables solicitados y/o la procedencia de acceso en la lengua indígena requerida; </w:t>
      </w:r>
    </w:p>
    <w:p w14:paraId="75D48A5A"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 xml:space="preserve">III. </w:t>
      </w:r>
      <w:r w:rsidRPr="00523559">
        <w:rPr>
          <w:rFonts w:ascii="Palatino Linotype" w:hAnsi="Palatino Linotype"/>
          <w:i/>
          <w:iCs/>
          <w:sz w:val="22"/>
        </w:rPr>
        <w:t xml:space="preserve">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5CCA3B1"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 xml:space="preserve">IV. </w:t>
      </w:r>
      <w:r w:rsidRPr="00523559">
        <w:rPr>
          <w:rFonts w:ascii="Palatino Linotype" w:hAnsi="Palatino Linotype"/>
          <w:i/>
          <w:iCs/>
          <w:sz w:val="22"/>
        </w:rPr>
        <w:t>Proporcionar al solicitante las facilidades y asistencia requerida para la consulta de los documentos;</w:t>
      </w:r>
    </w:p>
    <w:p w14:paraId="46B0A706"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lastRenderedPageBreak/>
        <w:t>V.</w:t>
      </w:r>
      <w:r w:rsidRPr="00523559">
        <w:rPr>
          <w:rFonts w:ascii="Palatino Linotype" w:hAnsi="Palatino Linotype"/>
          <w:i/>
          <w:iCs/>
          <w:sz w:val="22"/>
        </w:rPr>
        <w:t xml:space="preserve"> Abstenerse de requerir al solicitante que acredite interés alguno; </w:t>
      </w:r>
    </w:p>
    <w:p w14:paraId="02047669"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VI.</w:t>
      </w:r>
      <w:r w:rsidRPr="00523559">
        <w:rPr>
          <w:rFonts w:ascii="Palatino Linotype" w:hAnsi="Palatino Linotype"/>
          <w:i/>
          <w:iCs/>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03F5CD6"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a)</w:t>
      </w:r>
      <w:r w:rsidRPr="00523559">
        <w:rPr>
          <w:rFonts w:ascii="Palatino Linotype" w:hAnsi="Palatino Linotype"/>
          <w:i/>
          <w:iCs/>
          <w:sz w:val="22"/>
        </w:rPr>
        <w:t xml:space="preserve"> Contar con instalaciones y mobiliario adecuado para asegurar tanto la integridad del documento consultado, como para proporcionar al solicitante las mejores condiciones para poder llevar a cabo la consulta directa; </w:t>
      </w:r>
    </w:p>
    <w:p w14:paraId="19D9242F"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b)</w:t>
      </w:r>
      <w:r w:rsidRPr="00523559">
        <w:rPr>
          <w:rFonts w:ascii="Palatino Linotype" w:hAnsi="Palatino Linotype"/>
          <w:i/>
          <w:iCs/>
          <w:sz w:val="22"/>
        </w:rPr>
        <w:t xml:space="preserve"> Equipo y personal de vigilancia;</w:t>
      </w:r>
    </w:p>
    <w:p w14:paraId="3A4DF084"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c)</w:t>
      </w:r>
      <w:r w:rsidRPr="00523559">
        <w:rPr>
          <w:rFonts w:ascii="Palatino Linotype" w:hAnsi="Palatino Linotype"/>
          <w:i/>
          <w:iCs/>
          <w:sz w:val="22"/>
        </w:rPr>
        <w:t xml:space="preserve"> Plan de acción contra robo o vandalismo; </w:t>
      </w:r>
    </w:p>
    <w:p w14:paraId="5B10D28A"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d)</w:t>
      </w:r>
      <w:r w:rsidRPr="00523559">
        <w:rPr>
          <w:rFonts w:ascii="Palatino Linotype" w:hAnsi="Palatino Linotype"/>
          <w:i/>
          <w:iCs/>
          <w:sz w:val="22"/>
        </w:rPr>
        <w:t xml:space="preserve"> Extintores de fuego de gas inocuo; </w:t>
      </w:r>
    </w:p>
    <w:p w14:paraId="2F69E920"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e)</w:t>
      </w:r>
      <w:r w:rsidRPr="00523559">
        <w:rPr>
          <w:rFonts w:ascii="Palatino Linotype" w:hAnsi="Palatino Linotype"/>
          <w:i/>
          <w:iCs/>
          <w:sz w:val="22"/>
        </w:rPr>
        <w:t xml:space="preserve"> Registro e identificación del personal autorizado para el tratamiento de los documentos o expedientes a revisar;</w:t>
      </w:r>
    </w:p>
    <w:p w14:paraId="0D21472C"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f)</w:t>
      </w:r>
      <w:r w:rsidRPr="00523559">
        <w:rPr>
          <w:rFonts w:ascii="Palatino Linotype" w:hAnsi="Palatino Linotype"/>
          <w:i/>
          <w:iCs/>
          <w:sz w:val="22"/>
        </w:rPr>
        <w:t xml:space="preserve"> Registro e identificación de los particulares autorizados para llevar a cabo la consulta directa, y </w:t>
      </w:r>
    </w:p>
    <w:p w14:paraId="50B40E98"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g)</w:t>
      </w:r>
      <w:r w:rsidRPr="00523559">
        <w:rPr>
          <w:rFonts w:ascii="Palatino Linotype" w:hAnsi="Palatino Linotype"/>
          <w:i/>
          <w:iCs/>
          <w:sz w:val="22"/>
        </w:rPr>
        <w:t xml:space="preserve"> Las demás que, a criterio de los sujetos obligados, resulten necesarias. </w:t>
      </w:r>
    </w:p>
    <w:p w14:paraId="26A0AC1F"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VII.</w:t>
      </w:r>
      <w:r w:rsidRPr="00523559">
        <w:rPr>
          <w:rFonts w:ascii="Palatino Linotype" w:hAnsi="Palatino Linotype"/>
          <w:i/>
          <w:iCs/>
          <w:sz w:val="22"/>
        </w:rPr>
        <w:t xml:space="preserve"> Hacer del conocimiento del solicitante, previo al acceso a la información, las reglas a que se sujetará la consulta para garantizar la integridad de los documentos, y</w:t>
      </w:r>
    </w:p>
    <w:p w14:paraId="7CF7DF00"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VIII.</w:t>
      </w:r>
      <w:r w:rsidRPr="00523559">
        <w:rPr>
          <w:rFonts w:ascii="Palatino Linotype" w:hAnsi="Palatino Linotype"/>
          <w:i/>
          <w:iCs/>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4C32F69D"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5A2BC95D"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 xml:space="preserve">Septuagésimo primero. </w:t>
      </w:r>
      <w:r w:rsidRPr="00523559">
        <w:rPr>
          <w:rFonts w:ascii="Palatino Linotype" w:hAnsi="Palatino Linotype"/>
          <w:i/>
          <w:iCs/>
          <w:sz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5CD8D6F1"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 xml:space="preserve">El solicitante deberá observar en todo momento las reglas que el sujeto obligado haya hecho de su conocimiento para efectos de la conservación de los documentos. </w:t>
      </w:r>
    </w:p>
    <w:p w14:paraId="05BAB372"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6682D25C"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lastRenderedPageBreak/>
        <w:t>Septuagésimo segundo.</w:t>
      </w:r>
      <w:r w:rsidRPr="00523559">
        <w:rPr>
          <w:rFonts w:ascii="Palatino Linotype" w:hAnsi="Palatino Linotype"/>
          <w:i/>
          <w:iCs/>
          <w:sz w:val="22"/>
        </w:rPr>
        <w:t xml:space="preserve"> El solicitante deberá realizar la consulta de los documentos requeridos en el lugar, horarios y con la persona destinada para tal efecto. </w:t>
      </w:r>
    </w:p>
    <w:p w14:paraId="43CD0B3B"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C34C148"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p>
    <w:p w14:paraId="7EE7C1BE"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b/>
          <w:bCs/>
          <w:i/>
          <w:iCs/>
          <w:sz w:val="22"/>
        </w:rPr>
        <w:t>Septuagésimo tercero.</w:t>
      </w:r>
      <w:r w:rsidRPr="00523559">
        <w:rPr>
          <w:rFonts w:ascii="Palatino Linotype" w:hAnsi="Palatino Linotype"/>
          <w:i/>
          <w:iCs/>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1C008705"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La información deberá ser entregada sin costo, cuando implique la entrega de no más de veinte hojas simples.”</w:t>
      </w:r>
    </w:p>
    <w:p w14:paraId="093BE5BE" w14:textId="77777777" w:rsidR="00C004FA" w:rsidRPr="00523559" w:rsidRDefault="00C004FA" w:rsidP="00C004FA">
      <w:pPr>
        <w:rPr>
          <w:rFonts w:ascii="Palatino Linotype" w:eastAsia="Palatino Linotype" w:hAnsi="Palatino Linotype" w:cs="Palatino Linotype"/>
          <w:color w:val="000000"/>
        </w:rPr>
      </w:pPr>
    </w:p>
    <w:p w14:paraId="083E9672" w14:textId="438EEB60" w:rsidR="00C004FA" w:rsidRPr="00523559" w:rsidRDefault="00C004FA" w:rsidP="00C004FA">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En ese sentido, no es ocioso enfatizar que el</w:t>
      </w:r>
      <w:r w:rsidRPr="00523559">
        <w:rPr>
          <w:rFonts w:ascii="Palatino Linotype" w:eastAsia="Palatino Linotype" w:hAnsi="Palatino Linotype" w:cs="Palatino Linotype"/>
          <w:b/>
        </w:rPr>
        <w:t xml:space="preserve"> SUJETO OBLIGADO</w:t>
      </w:r>
      <w:r w:rsidRPr="00523559">
        <w:rPr>
          <w:rFonts w:ascii="Palatino Linotype" w:eastAsia="Palatino Linotype" w:hAnsi="Palatino Linotype" w:cs="Palatino Linotype"/>
        </w:rPr>
        <w:t xml:space="preserve"> </w:t>
      </w:r>
      <w:r w:rsidR="00FE178C" w:rsidRPr="00523559">
        <w:rPr>
          <w:rFonts w:ascii="Palatino Linotype" w:eastAsia="Palatino Linotype" w:hAnsi="Palatino Linotype" w:cs="Palatino Linotype"/>
        </w:rPr>
        <w:t xml:space="preserve">también </w:t>
      </w:r>
      <w:r w:rsidRPr="00523559">
        <w:rPr>
          <w:rFonts w:ascii="Palatino Linotype" w:eastAsia="Palatino Linotype" w:hAnsi="Palatino Linotype" w:cs="Palatino Linotype"/>
        </w:rPr>
        <w:t>deberá atender lo establecido en el artículo 166 de la Ley de Transparencia y Acceso a la Información Pública del Estado de México y Municipios, el cual establece lo siguiente:</w:t>
      </w:r>
    </w:p>
    <w:p w14:paraId="641E404B"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w:t>
      </w:r>
      <w:r w:rsidRPr="00523559">
        <w:rPr>
          <w:rFonts w:ascii="Palatino Linotype" w:hAnsi="Palatino Linotype"/>
          <w:b/>
          <w:bCs/>
          <w:i/>
          <w:iCs/>
          <w:sz w:val="22"/>
        </w:rPr>
        <w:t>Artículo 166.</w:t>
      </w:r>
      <w:r w:rsidRPr="00523559">
        <w:rPr>
          <w:rFonts w:ascii="Palatino Linotype" w:hAnsi="Palatino Linotype"/>
          <w:i/>
          <w:iCs/>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779575E1"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b/>
          <w:bCs/>
          <w:i/>
          <w:iCs/>
          <w:sz w:val="22"/>
        </w:rPr>
      </w:pPr>
      <w:r w:rsidRPr="00523559">
        <w:rPr>
          <w:rFonts w:ascii="Palatino Linotype" w:hAnsi="Palatino Linotype"/>
          <w:b/>
          <w:bCs/>
          <w:i/>
          <w:iCs/>
          <w:sz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3BD82383"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6DD72C48" w14:textId="77777777" w:rsidR="00C004FA" w:rsidRPr="00523559" w:rsidRDefault="00C004FA" w:rsidP="00C004FA">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lastRenderedPageBreak/>
        <w:t>Cuando el sujeto obligado no entregue la respuesta a la solicitud dentro del plazo previsto en la Ley, la solicitud se entenderá negada y el solicitante podrá interponer el recurso de revisión previsto en este ordenamiento.</w:t>
      </w:r>
    </w:p>
    <w:p w14:paraId="7C695CBE" w14:textId="77777777" w:rsidR="00FE178C" w:rsidRPr="00523559" w:rsidRDefault="00FE178C" w:rsidP="00FE178C">
      <w:pPr>
        <w:pStyle w:val="Prrafodelista"/>
        <w:tabs>
          <w:tab w:val="left" w:pos="851"/>
        </w:tabs>
        <w:spacing w:line="276" w:lineRule="auto"/>
        <w:ind w:left="851" w:right="850"/>
        <w:jc w:val="both"/>
        <w:rPr>
          <w:rFonts w:ascii="Palatino Linotype" w:hAnsi="Palatino Linotype"/>
          <w:i/>
          <w:iCs/>
          <w:sz w:val="22"/>
        </w:rPr>
      </w:pPr>
      <w:r w:rsidRPr="00523559">
        <w:rPr>
          <w:rFonts w:ascii="Palatino Linotype" w:hAnsi="Palatino Linotype"/>
          <w:i/>
          <w:iCs/>
          <w:sz w:val="22"/>
        </w:rPr>
        <w:t xml:space="preserve">Una vez entregada la información, el solicitante acusará recibo por escrito, dándose por terminado el trámite de acceso a la información.” </w:t>
      </w:r>
    </w:p>
    <w:p w14:paraId="7117EB71" w14:textId="77777777" w:rsidR="00FE178C" w:rsidRPr="00523559" w:rsidRDefault="00FE178C" w:rsidP="00FE178C">
      <w:pPr>
        <w:pStyle w:val="Prrafodelista"/>
        <w:tabs>
          <w:tab w:val="left" w:pos="851"/>
        </w:tabs>
        <w:spacing w:line="276" w:lineRule="auto"/>
        <w:ind w:left="851" w:right="850"/>
        <w:jc w:val="both"/>
        <w:rPr>
          <w:rFonts w:ascii="Palatino Linotype" w:hAnsi="Palatino Linotype"/>
          <w:sz w:val="22"/>
        </w:rPr>
      </w:pPr>
      <w:r w:rsidRPr="00523559">
        <w:rPr>
          <w:rFonts w:ascii="Palatino Linotype" w:hAnsi="Palatino Linotype"/>
          <w:sz w:val="22"/>
        </w:rPr>
        <w:t>(Énfasis añadido)</w:t>
      </w:r>
    </w:p>
    <w:p w14:paraId="3DB04929" w14:textId="77777777" w:rsidR="00FE178C" w:rsidRPr="00523559" w:rsidRDefault="00FE178C" w:rsidP="00FE178C">
      <w:pPr>
        <w:pStyle w:val="Prrafodelista"/>
        <w:tabs>
          <w:tab w:val="left" w:pos="426"/>
        </w:tabs>
        <w:spacing w:line="360" w:lineRule="auto"/>
        <w:ind w:left="0" w:right="51"/>
        <w:jc w:val="both"/>
        <w:rPr>
          <w:rFonts w:ascii="Palatino Linotype" w:hAnsi="Palatino Linotype"/>
        </w:rPr>
      </w:pPr>
    </w:p>
    <w:p w14:paraId="2EF36E28" w14:textId="77777777" w:rsidR="00FE178C" w:rsidRPr="00523559" w:rsidRDefault="00FE178C" w:rsidP="00FE178C">
      <w:pPr>
        <w:numPr>
          <w:ilvl w:val="0"/>
          <w:numId w:val="11"/>
        </w:numPr>
        <w:pBdr>
          <w:top w:val="nil"/>
          <w:left w:val="nil"/>
          <w:bottom w:val="nil"/>
          <w:right w:val="nil"/>
          <w:between w:val="nil"/>
        </w:pBdr>
        <w:spacing w:line="360" w:lineRule="auto"/>
        <w:ind w:left="0" w:right="49" w:firstLine="0"/>
        <w:jc w:val="both"/>
        <w:rPr>
          <w:rFonts w:ascii="Palatino Linotype" w:hAnsi="Palatino Linotype"/>
        </w:rPr>
      </w:pPr>
      <w:r w:rsidRPr="00523559">
        <w:rPr>
          <w:rFonts w:ascii="Palatino Linotype" w:hAnsi="Palatino Linotype"/>
        </w:rPr>
        <w:t xml:space="preserve">Por lo anterior, a fin de dar cumplimiento a la presente resolución, será necesario que el </w:t>
      </w:r>
      <w:r w:rsidRPr="00523559">
        <w:rPr>
          <w:rFonts w:ascii="Palatino Linotype" w:hAnsi="Palatino Linotype"/>
          <w:b/>
          <w:bCs/>
        </w:rPr>
        <w:t>SUJETO OBLIGADO</w:t>
      </w:r>
      <w:r w:rsidRPr="00523559">
        <w:rPr>
          <w:rFonts w:ascii="Palatino Linotype" w:hAnsi="Palatino Linotype"/>
        </w:rPr>
        <w:t xml:space="preserve"> tenga disponible la información solicitada por el RECURRENTE, en su Unidad de Transparencia, durante un plazo </w:t>
      </w:r>
      <w:r w:rsidRPr="00523559">
        <w:rPr>
          <w:rFonts w:ascii="Palatino Linotype" w:hAnsi="Palatino Linotype"/>
          <w:b/>
          <w:bCs/>
        </w:rPr>
        <w:t>mínimo</w:t>
      </w:r>
      <w:r w:rsidRPr="00523559">
        <w:rPr>
          <w:rFonts w:ascii="Palatino Linotype" w:hAnsi="Palatino Linotype"/>
        </w:rPr>
        <w:t xml:space="preserve"> de 60 días </w:t>
      </w:r>
      <w:r w:rsidRPr="00523559">
        <w:rPr>
          <w:rFonts w:ascii="Palatino Linotype" w:hAnsi="Palatino Linotype"/>
          <w:lang w:val="es-ES_tradnl"/>
        </w:rPr>
        <w:t>naturales a partir de la notificación de la presente resolución, en términos del segundo párrafo del artículo 166 de la Ley de Transparencia y Acceso a la Información Pública del Estado de México y Municipios</w:t>
      </w:r>
      <w:r w:rsidRPr="00523559">
        <w:rPr>
          <w:rFonts w:ascii="Palatino Linotype" w:hAnsi="Palatino Linotype"/>
        </w:rPr>
        <w:t>.</w:t>
      </w:r>
    </w:p>
    <w:p w14:paraId="4BD5BA37" w14:textId="77777777" w:rsidR="00FE178C" w:rsidRPr="00523559" w:rsidRDefault="00FE178C" w:rsidP="00FE178C">
      <w:pPr>
        <w:pStyle w:val="Prrafodelista"/>
        <w:tabs>
          <w:tab w:val="left" w:pos="426"/>
        </w:tabs>
        <w:spacing w:line="360" w:lineRule="auto"/>
        <w:ind w:left="0" w:right="51"/>
        <w:jc w:val="both"/>
        <w:rPr>
          <w:rFonts w:ascii="Palatino Linotype" w:hAnsi="Palatino Linotype"/>
        </w:rPr>
      </w:pPr>
    </w:p>
    <w:p w14:paraId="6155A6F8" w14:textId="77777777" w:rsidR="00FE178C" w:rsidRPr="00523559" w:rsidRDefault="00FE178C" w:rsidP="00FE178C">
      <w:pPr>
        <w:numPr>
          <w:ilvl w:val="0"/>
          <w:numId w:val="11"/>
        </w:numPr>
        <w:pBdr>
          <w:top w:val="nil"/>
          <w:left w:val="nil"/>
          <w:bottom w:val="nil"/>
          <w:right w:val="nil"/>
          <w:between w:val="nil"/>
        </w:pBdr>
        <w:spacing w:line="360" w:lineRule="auto"/>
        <w:ind w:left="0" w:right="49" w:firstLine="0"/>
        <w:jc w:val="both"/>
        <w:rPr>
          <w:rFonts w:ascii="Palatino Linotype" w:hAnsi="Palatino Linotype"/>
          <w:lang w:val="es-ES_tradnl"/>
        </w:rPr>
      </w:pPr>
      <w:r w:rsidRPr="00523559">
        <w:rPr>
          <w:rFonts w:ascii="Palatino Linotype" w:hAnsi="Palatino Linotype"/>
          <w:lang w:val="es-ES_tradnl"/>
        </w:rPr>
        <w:t>Si dentro del transcurso del término señalado en el párrafo anterior, el Particular acude por la información, el Sujeto Obligado levantará un acta de hechos misma que debe ser remitida a este Instituto, por conducto de la Secretaría Técnica del Pleno, junto con el acuse de recibo de la información del Particular; sin embargo, si una vez fenecido el plazo, el solicitante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2DF373E0" w14:textId="77777777" w:rsidR="00FE178C" w:rsidRPr="00523559" w:rsidRDefault="00FE178C" w:rsidP="00FE178C">
      <w:pPr>
        <w:pStyle w:val="Prrafodelista"/>
        <w:tabs>
          <w:tab w:val="left" w:pos="426"/>
        </w:tabs>
        <w:spacing w:line="360" w:lineRule="auto"/>
        <w:ind w:left="0" w:right="51"/>
        <w:jc w:val="both"/>
        <w:rPr>
          <w:rFonts w:ascii="Palatino Linotype" w:hAnsi="Palatino Linotype"/>
        </w:rPr>
      </w:pPr>
    </w:p>
    <w:p w14:paraId="26B8377B" w14:textId="77777777" w:rsidR="00C004FA" w:rsidRPr="00523559" w:rsidRDefault="00C004FA" w:rsidP="00FE178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43534FE" w14:textId="77777777" w:rsidR="00C004FA" w:rsidRPr="00523559" w:rsidRDefault="00C004FA" w:rsidP="00C004FA">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6E0EB32" w14:textId="77777777" w:rsidR="00F41D15"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Respecto de las especificaciones del origen del recurso con el que se pagó, estos pueden corresponder en el caso de ayuntamientos a recursos propios </w:t>
      </w:r>
      <w:r w:rsidR="007638AE" w:rsidRPr="00523559">
        <w:rPr>
          <w:rFonts w:ascii="Palatino Linotype" w:eastAsia="Palatino Linotype" w:hAnsi="Palatino Linotype" w:cs="Palatino Linotype"/>
          <w:color w:val="000000"/>
        </w:rPr>
        <w:t>que son aquellos ingresos que genera directamente el municipio sin depender de transferencias del Estado u otras administraciones, estos recursos permiten financiar el gasto público local.</w:t>
      </w:r>
    </w:p>
    <w:p w14:paraId="3DABB07C" w14:textId="77777777" w:rsidR="007638AE" w:rsidRPr="00523559" w:rsidRDefault="007638AE" w:rsidP="00301B1C">
      <w:pPr>
        <w:pStyle w:val="Prrafodelista"/>
        <w:ind w:right="49"/>
        <w:rPr>
          <w:rFonts w:ascii="Palatino Linotype" w:eastAsia="Palatino Linotype" w:hAnsi="Palatino Linotype" w:cs="Palatino Linotype"/>
          <w:color w:val="000000"/>
        </w:rPr>
      </w:pPr>
    </w:p>
    <w:p w14:paraId="7E9E5E48"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Por lo que es necesario señalar que de conformidad con el artículo 293 del Código Financiero del Estado de México, los capítulos de gasto se dividirán en concepto, partida </w:t>
      </w:r>
      <w:r w:rsidRPr="00523559">
        <w:rPr>
          <w:rFonts w:ascii="Palatino Linotype" w:eastAsia="Palatino Linotype" w:hAnsi="Palatino Linotype" w:cs="Palatino Linotype"/>
          <w:color w:val="000000"/>
        </w:rPr>
        <w:t>genérica</w:t>
      </w:r>
      <w:r w:rsidRPr="00523559">
        <w:rPr>
          <w:rFonts w:ascii="Palatino Linotype" w:eastAsia="Palatino Linotype" w:hAnsi="Palatino Linotype" w:cs="Palatino Linotype"/>
        </w:rPr>
        <w:t xml:space="preserve"> y partida específica, que representarán las autorizaciones específicas del presupuesto, las cuales se encuentran contenidas en el clasificador por objeto de gasto que debe emitir la Tesorería, mismo que debe guardar congruencia con el clasificador que emita el Consejo Nacional de Armonización Contable y el Consejo de Armonización Contable del Estado de México, a saber:</w:t>
      </w:r>
    </w:p>
    <w:p w14:paraId="1C93FD2C" w14:textId="77777777" w:rsidR="001F3CEB" w:rsidRPr="00523559" w:rsidRDefault="001F3CEB" w:rsidP="00301B1C">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293.-</w:t>
      </w:r>
      <w:r w:rsidRPr="00523559">
        <w:rPr>
          <w:rFonts w:ascii="Palatino Linotype" w:eastAsia="Palatino Linotype" w:hAnsi="Palatino Linotype" w:cs="Palatino Linotype"/>
          <w:i/>
        </w:rPr>
        <w:t xml:space="preserve"> Los capítulos de gasto se dividirán en concepto, partida genérica y partida específica, que representarán las autorizaciones específicas del presupuesto, las cuales se encuentran contenidas en el clasificador por objeto de gasto que emita el Consejo Nacional de Armonización Contable y el Consejo de Armonización Contable del Estado de México. </w:t>
      </w:r>
    </w:p>
    <w:p w14:paraId="74645520" w14:textId="77777777" w:rsidR="001F3CEB" w:rsidRPr="00523559" w:rsidRDefault="001F3CEB" w:rsidP="00301B1C">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i/>
        </w:rPr>
      </w:pPr>
    </w:p>
    <w:p w14:paraId="4822AC27" w14:textId="77777777" w:rsidR="001F3CEB" w:rsidRPr="00523559" w:rsidRDefault="001F3CEB" w:rsidP="00301B1C">
      <w:pPr>
        <w:pStyle w:val="Prrafodelista"/>
        <w:pBdr>
          <w:top w:val="nil"/>
          <w:left w:val="nil"/>
          <w:bottom w:val="nil"/>
          <w:right w:val="nil"/>
          <w:between w:val="nil"/>
        </w:pBdr>
        <w:spacing w:line="276" w:lineRule="auto"/>
        <w:ind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En el caso de los municipios, corresponderá a su Tesorería emitir el Clasificador por Objeto del Gasto, el cual deberá guardar congruencia y homogeneidad con el señalado en el párrafo anterior.”</w:t>
      </w:r>
    </w:p>
    <w:p w14:paraId="75333400"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85ECA0D"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Con base en lo anterior el Clasificador por Objeto del Gasto, es el que se estableció en cumplimiento al artículo cuarto transitorio de la Ley General de Contabilidad Gubernamental, el Gobierno del Estado de México, ya que realiza las </w:t>
      </w:r>
      <w:r w:rsidRPr="00523559">
        <w:rPr>
          <w:rFonts w:ascii="Palatino Linotype" w:eastAsia="Palatino Linotype" w:hAnsi="Palatino Linotype" w:cs="Palatino Linotype"/>
        </w:rPr>
        <w:lastRenderedPageBreak/>
        <w:t>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w:t>
      </w:r>
    </w:p>
    <w:p w14:paraId="777A3DD8" w14:textId="77777777" w:rsidR="001F3CEB" w:rsidRPr="00523559" w:rsidRDefault="001F3CEB" w:rsidP="00301B1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7A3819B"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Consecuentemente para identificar el gasto público por su naturaleza económica, durante el proceso de programación e integración del Anteproyecto de Presupuesto, así como para su ejercicio, las unidades ejecutoras deben establecer el vínculo, por capítulo, subcapítulo, partida de gasto genérica y partida de gasto específica, con el componente de la clave presupuestaria correspondiente.</w:t>
      </w:r>
    </w:p>
    <w:p w14:paraId="46AFCDC8"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61764D84"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Para tal efecto, el Manual para la Planeación, Programación y Presupuesto de Egresos Municipal para el Ejercicio Fiscal 2022,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1288B552"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1A0C1A4"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lastRenderedPageBreak/>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F31628F"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149EC159" w14:textId="77777777" w:rsidR="001F3CEB" w:rsidRPr="00523559" w:rsidRDefault="001F3CEB" w:rsidP="00301B1C">
      <w:pPr>
        <w:pStyle w:val="Prrafodelista"/>
        <w:pBdr>
          <w:top w:val="nil"/>
          <w:left w:val="nil"/>
          <w:bottom w:val="nil"/>
          <w:right w:val="nil"/>
          <w:between w:val="nil"/>
        </w:pBdr>
        <w:spacing w:line="360" w:lineRule="auto"/>
        <w:ind w:right="49"/>
        <w:rPr>
          <w:rFonts w:ascii="Palatino Linotype" w:eastAsia="Palatino Linotype" w:hAnsi="Palatino Linotype" w:cs="Palatino Linotype"/>
        </w:rPr>
      </w:pPr>
      <w:r w:rsidRPr="00523559">
        <w:rPr>
          <w:rFonts w:ascii="Palatino Linotype" w:hAnsi="Palatino Linotype"/>
          <w:noProof/>
        </w:rPr>
        <w:drawing>
          <wp:inline distT="0" distB="0" distL="0" distR="0" wp14:anchorId="089C18FB" wp14:editId="67771BFD">
            <wp:extent cx="5324475" cy="962025"/>
            <wp:effectExtent l="0" t="0" r="0" b="0"/>
            <wp:docPr id="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324475" cy="962025"/>
                    </a:xfrm>
                    <a:prstGeom prst="rect">
                      <a:avLst/>
                    </a:prstGeom>
                    <a:ln/>
                  </pic:spPr>
                </pic:pic>
              </a:graphicData>
            </a:graphic>
          </wp:inline>
        </w:drawing>
      </w:r>
    </w:p>
    <w:p w14:paraId="296C2C0E"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5E2DBD2" w14:textId="77777777" w:rsidR="001F3CEB" w:rsidRPr="00523559" w:rsidRDefault="001F3CEB" w:rsidP="00301B1C">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rPr>
        <w:t>Debiendo definir cada una de las partes que lo integran como sigue:</w:t>
      </w:r>
    </w:p>
    <w:p w14:paraId="5B17CCBF" w14:textId="77777777" w:rsidR="001F3CEB" w:rsidRPr="00523559" w:rsidRDefault="001F3CEB" w:rsidP="00301B1C">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B16A3D6" w14:textId="77777777" w:rsidR="001F3CEB" w:rsidRPr="00523559" w:rsidRDefault="001F3CEB" w:rsidP="00301B1C">
      <w:pPr>
        <w:pStyle w:val="Prrafodelista"/>
        <w:pBdr>
          <w:top w:val="nil"/>
          <w:left w:val="nil"/>
          <w:bottom w:val="nil"/>
          <w:right w:val="nil"/>
          <w:between w:val="nil"/>
        </w:pBdr>
        <w:spacing w:line="360" w:lineRule="auto"/>
        <w:ind w:left="1134" w:right="49" w:hanging="283"/>
        <w:jc w:val="both"/>
        <w:rPr>
          <w:rFonts w:ascii="Palatino Linotype" w:eastAsia="Palatino Linotype" w:hAnsi="Palatino Linotype" w:cs="Palatino Linotype"/>
        </w:rPr>
      </w:pPr>
      <w:r w:rsidRPr="00523559">
        <w:rPr>
          <w:rFonts w:ascii="Palatino Linotype" w:eastAsia="Palatino Linotype" w:hAnsi="Palatino Linotype" w:cs="Palatino Linotype"/>
        </w:rPr>
        <w:t>●</w:t>
      </w:r>
      <w:r w:rsidRPr="00523559">
        <w:rPr>
          <w:rFonts w:ascii="Palatino Linotype" w:eastAsia="Palatino Linotype" w:hAnsi="Palatino Linotype" w:cs="Palatino Linotype"/>
        </w:rPr>
        <w:tab/>
      </w:r>
      <w:r w:rsidRPr="00523559">
        <w:rPr>
          <w:rFonts w:ascii="Palatino Linotype" w:eastAsia="Palatino Linotype" w:hAnsi="Palatino Linotype" w:cs="Palatino Linotype"/>
          <w:b/>
        </w:rPr>
        <w:t>Capítulo:</w:t>
      </w:r>
      <w:r w:rsidRPr="00523559">
        <w:rPr>
          <w:rFonts w:ascii="Palatino Linotype" w:eastAsia="Palatino Linotype" w:hAnsi="Palatino Linotype" w:cs="Palatino Linotype"/>
        </w:rPr>
        <w:t xml:space="preserve"> Es el mayor nivel de agregación que identifica el conjunto homogéneo y ordenado de los bienes y servicios requeridos por los entes públicos. </w:t>
      </w:r>
    </w:p>
    <w:p w14:paraId="6E982A85" w14:textId="77777777" w:rsidR="001F3CEB" w:rsidRPr="00523559" w:rsidRDefault="001F3CEB" w:rsidP="00301B1C">
      <w:pPr>
        <w:pStyle w:val="Prrafodelista"/>
        <w:pBdr>
          <w:top w:val="nil"/>
          <w:left w:val="nil"/>
          <w:bottom w:val="nil"/>
          <w:right w:val="nil"/>
          <w:between w:val="nil"/>
        </w:pBdr>
        <w:spacing w:line="360" w:lineRule="auto"/>
        <w:ind w:left="1134" w:right="49" w:hanging="283"/>
        <w:jc w:val="both"/>
        <w:rPr>
          <w:rFonts w:ascii="Palatino Linotype" w:eastAsia="Palatino Linotype" w:hAnsi="Palatino Linotype" w:cs="Palatino Linotype"/>
        </w:rPr>
      </w:pPr>
      <w:r w:rsidRPr="00523559">
        <w:rPr>
          <w:rFonts w:ascii="Palatino Linotype" w:eastAsia="Palatino Linotype" w:hAnsi="Palatino Linotype" w:cs="Palatino Linotype"/>
        </w:rPr>
        <w:t>●</w:t>
      </w:r>
      <w:r w:rsidRPr="00523559">
        <w:rPr>
          <w:rFonts w:ascii="Palatino Linotype" w:eastAsia="Palatino Linotype" w:hAnsi="Palatino Linotype" w:cs="Palatino Linotype"/>
        </w:rPr>
        <w:tab/>
      </w:r>
      <w:r w:rsidRPr="00523559">
        <w:rPr>
          <w:rFonts w:ascii="Palatino Linotype" w:eastAsia="Palatino Linotype" w:hAnsi="Palatino Linotype" w:cs="Palatino Linotype"/>
          <w:b/>
        </w:rPr>
        <w:t>Concepto:</w:t>
      </w:r>
      <w:r w:rsidRPr="00523559">
        <w:rPr>
          <w:rFonts w:ascii="Palatino Linotype" w:eastAsia="Palatino Linotype" w:hAnsi="Palatino Linotype" w:cs="Palatino Linotype"/>
        </w:rPr>
        <w:t xml:space="preserve"> Son subconjuntos homogéneos y ordenados en forma específica, producto de la desagregación de los bienes y servicios, incluidos en cada capítulo. </w:t>
      </w:r>
    </w:p>
    <w:p w14:paraId="5EA43217" w14:textId="77777777" w:rsidR="001F3CEB" w:rsidRPr="00523559" w:rsidRDefault="001F3CEB" w:rsidP="00301B1C">
      <w:pPr>
        <w:pStyle w:val="Prrafodelista"/>
        <w:pBdr>
          <w:top w:val="nil"/>
          <w:left w:val="nil"/>
          <w:bottom w:val="nil"/>
          <w:right w:val="nil"/>
          <w:between w:val="nil"/>
        </w:pBdr>
        <w:spacing w:line="360" w:lineRule="auto"/>
        <w:ind w:left="1134" w:right="49" w:hanging="283"/>
        <w:jc w:val="both"/>
        <w:rPr>
          <w:rFonts w:ascii="Palatino Linotype" w:eastAsia="Palatino Linotype" w:hAnsi="Palatino Linotype" w:cs="Palatino Linotype"/>
        </w:rPr>
      </w:pPr>
      <w:r w:rsidRPr="00523559">
        <w:rPr>
          <w:rFonts w:ascii="Palatino Linotype" w:eastAsia="Palatino Linotype" w:hAnsi="Palatino Linotype" w:cs="Palatino Linotype"/>
        </w:rPr>
        <w:t>●</w:t>
      </w:r>
      <w:r w:rsidRPr="00523559">
        <w:rPr>
          <w:rFonts w:ascii="Palatino Linotype" w:eastAsia="Palatino Linotype" w:hAnsi="Palatino Linotype" w:cs="Palatino Linotype"/>
        </w:rPr>
        <w:tab/>
      </w:r>
      <w:r w:rsidRPr="00523559">
        <w:rPr>
          <w:rFonts w:ascii="Palatino Linotype" w:eastAsia="Palatino Linotype" w:hAnsi="Palatino Linotype" w:cs="Palatino Linotype"/>
          <w:b/>
        </w:rPr>
        <w:t>Partida:</w:t>
      </w:r>
      <w:r w:rsidRPr="00523559">
        <w:rPr>
          <w:rFonts w:ascii="Palatino Linotype" w:eastAsia="Palatino Linotype" w:hAnsi="Palatino Linotype" w:cs="Palatino Linotype"/>
        </w:rPr>
        <w:t xml:space="preserve"> Es el nivel de agregación más específico en el cual se describen las expresiones concretas y detalladas de los bienes y servicios que se adquieren y se compone de: </w:t>
      </w:r>
    </w:p>
    <w:p w14:paraId="5C228D45" w14:textId="77777777" w:rsidR="00F41D15" w:rsidRPr="00523559" w:rsidRDefault="00F41D15" w:rsidP="00301B1C">
      <w:pPr>
        <w:pStyle w:val="Prrafodelista"/>
        <w:ind w:right="49"/>
        <w:rPr>
          <w:rFonts w:ascii="Palatino Linotype" w:eastAsia="Palatino Linotype" w:hAnsi="Palatino Linotype" w:cs="Palatino Linotype"/>
          <w:color w:val="000000"/>
        </w:rPr>
      </w:pPr>
    </w:p>
    <w:p w14:paraId="34928601" w14:textId="77777777" w:rsidR="001F3CEB" w:rsidRPr="00523559" w:rsidRDefault="001F3CE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Respecto del incremento de salarios, existen diversas expresiones documentales que pueden dar cuenta de ello; en virtud que todo incremento salarial debe documentarse formalmente para que tenga validez legal y administrativa. Algunas de las expresiones documentales que dan cuenta de un incremento </w:t>
      </w:r>
      <w:r w:rsidR="000742A2" w:rsidRPr="00523559">
        <w:rPr>
          <w:rFonts w:ascii="Palatino Linotype" w:eastAsia="Palatino Linotype" w:hAnsi="Palatino Linotype" w:cs="Palatino Linotype"/>
          <w:color w:val="000000"/>
        </w:rPr>
        <w:t>como de manera enunciativa mas no limitativa pudiera ser un c</w:t>
      </w:r>
      <w:r w:rsidRPr="00523559">
        <w:rPr>
          <w:rFonts w:ascii="Palatino Linotype" w:eastAsia="Palatino Linotype" w:hAnsi="Palatino Linotype" w:cs="Palatino Linotype"/>
          <w:color w:val="000000"/>
        </w:rPr>
        <w:t xml:space="preserve">ontrato </w:t>
      </w:r>
      <w:r w:rsidR="000742A2" w:rsidRPr="00523559">
        <w:rPr>
          <w:rFonts w:ascii="Palatino Linotype" w:eastAsia="Palatino Linotype" w:hAnsi="Palatino Linotype" w:cs="Palatino Linotype"/>
          <w:color w:val="000000"/>
        </w:rPr>
        <w:t>individual</w:t>
      </w:r>
      <w:r w:rsidRPr="00523559">
        <w:rPr>
          <w:rFonts w:ascii="Palatino Linotype" w:eastAsia="Palatino Linotype" w:hAnsi="Palatino Linotype" w:cs="Palatino Linotype"/>
          <w:color w:val="000000"/>
        </w:rPr>
        <w:t xml:space="preserve"> de </w:t>
      </w:r>
      <w:r w:rsidR="000742A2" w:rsidRPr="00523559">
        <w:rPr>
          <w:rFonts w:ascii="Palatino Linotype" w:eastAsia="Palatino Linotype" w:hAnsi="Palatino Linotype" w:cs="Palatino Linotype"/>
          <w:color w:val="000000"/>
        </w:rPr>
        <w:t>t</w:t>
      </w:r>
      <w:r w:rsidRPr="00523559">
        <w:rPr>
          <w:rFonts w:ascii="Palatino Linotype" w:eastAsia="Palatino Linotype" w:hAnsi="Palatino Linotype" w:cs="Palatino Linotype"/>
          <w:color w:val="000000"/>
        </w:rPr>
        <w:t xml:space="preserve">rabajo </w:t>
      </w:r>
      <w:r w:rsidR="000742A2" w:rsidRPr="00523559">
        <w:rPr>
          <w:rFonts w:ascii="Palatino Linotype" w:eastAsia="Palatino Linotype" w:hAnsi="Palatino Linotype" w:cs="Palatino Linotype"/>
          <w:color w:val="000000"/>
        </w:rPr>
        <w:t>ya que s</w:t>
      </w:r>
      <w:r w:rsidRPr="00523559">
        <w:rPr>
          <w:rFonts w:ascii="Palatino Linotype" w:eastAsia="Palatino Linotype" w:hAnsi="Palatino Linotype" w:cs="Palatino Linotype"/>
          <w:color w:val="000000"/>
        </w:rPr>
        <w:t xml:space="preserve">i el incremento salarial es permanente, se puede modificar el contrato del trabajador </w:t>
      </w:r>
      <w:r w:rsidR="000742A2" w:rsidRPr="00523559">
        <w:rPr>
          <w:rFonts w:ascii="Palatino Linotype" w:eastAsia="Palatino Linotype" w:hAnsi="Palatino Linotype" w:cs="Palatino Linotype"/>
          <w:color w:val="000000"/>
        </w:rPr>
        <w:t>y</w:t>
      </w:r>
      <w:r w:rsidRPr="00523559">
        <w:rPr>
          <w:rFonts w:ascii="Palatino Linotype" w:eastAsia="Palatino Linotype" w:hAnsi="Palatino Linotype" w:cs="Palatino Linotype"/>
          <w:color w:val="000000"/>
        </w:rPr>
        <w:t xml:space="preserve"> especifi</w:t>
      </w:r>
      <w:r w:rsidR="000742A2" w:rsidRPr="00523559">
        <w:rPr>
          <w:rFonts w:ascii="Palatino Linotype" w:eastAsia="Palatino Linotype" w:hAnsi="Palatino Linotype" w:cs="Palatino Linotype"/>
          <w:color w:val="000000"/>
        </w:rPr>
        <w:t>car</w:t>
      </w:r>
      <w:r w:rsidRPr="00523559">
        <w:rPr>
          <w:rFonts w:ascii="Palatino Linotype" w:eastAsia="Palatino Linotype" w:hAnsi="Palatino Linotype" w:cs="Palatino Linotype"/>
          <w:color w:val="000000"/>
        </w:rPr>
        <w:t xml:space="preserve"> el nuevo salario y la fecha de entrada en vigor.</w:t>
      </w:r>
    </w:p>
    <w:p w14:paraId="742BAA74" w14:textId="77777777" w:rsidR="000742A2" w:rsidRPr="00523559" w:rsidRDefault="000742A2"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A371907" w14:textId="77777777" w:rsidR="001F3CEB" w:rsidRPr="00523559" w:rsidRDefault="0000648A"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Diversa</w:t>
      </w:r>
      <w:r w:rsidR="000742A2" w:rsidRPr="00523559">
        <w:rPr>
          <w:rFonts w:ascii="Palatino Linotype" w:eastAsia="Palatino Linotype" w:hAnsi="Palatino Linotype" w:cs="Palatino Linotype"/>
          <w:color w:val="000000"/>
        </w:rPr>
        <w:t xml:space="preserve"> expresión documental, puede corresponder a un convenio de modificación s</w:t>
      </w:r>
      <w:r w:rsidR="001F3CEB" w:rsidRPr="00523559">
        <w:rPr>
          <w:rFonts w:ascii="Palatino Linotype" w:eastAsia="Palatino Linotype" w:hAnsi="Palatino Linotype" w:cs="Palatino Linotype"/>
          <w:color w:val="000000"/>
        </w:rPr>
        <w:t>alarial</w:t>
      </w:r>
      <w:r w:rsidR="000742A2" w:rsidRPr="00523559">
        <w:rPr>
          <w:rFonts w:ascii="Palatino Linotype" w:eastAsia="Palatino Linotype" w:hAnsi="Palatino Linotype" w:cs="Palatino Linotype"/>
          <w:color w:val="000000"/>
        </w:rPr>
        <w:t xml:space="preserve"> </w:t>
      </w:r>
      <w:r w:rsidR="001F3CEB" w:rsidRPr="00523559">
        <w:rPr>
          <w:rFonts w:ascii="Palatino Linotype" w:eastAsia="Palatino Linotype" w:hAnsi="Palatino Linotype" w:cs="Palatino Linotype"/>
          <w:color w:val="000000"/>
        </w:rPr>
        <w:t>firmado entre empleador y trabajador donde se establece el nuevo salario.</w:t>
      </w:r>
      <w:r w:rsidR="000742A2" w:rsidRPr="00523559">
        <w:rPr>
          <w:rFonts w:ascii="Palatino Linotype" w:eastAsia="Palatino Linotype" w:hAnsi="Palatino Linotype" w:cs="Palatino Linotype"/>
          <w:color w:val="000000"/>
        </w:rPr>
        <w:t xml:space="preserve"> Otro documento que dada su propia y especial naturaleza puede dar cuenta de incrementos salariales es el</w:t>
      </w:r>
      <w:r w:rsidR="001F3CEB" w:rsidRPr="00523559">
        <w:rPr>
          <w:rFonts w:ascii="Palatino Linotype" w:eastAsia="Palatino Linotype" w:hAnsi="Palatino Linotype" w:cs="Palatino Linotype"/>
          <w:color w:val="000000"/>
        </w:rPr>
        <w:t xml:space="preserve"> </w:t>
      </w:r>
      <w:r w:rsidR="000742A2" w:rsidRPr="00523559">
        <w:rPr>
          <w:rFonts w:ascii="Palatino Linotype" w:eastAsia="Palatino Linotype" w:hAnsi="Palatino Linotype" w:cs="Palatino Linotype"/>
          <w:color w:val="000000"/>
        </w:rPr>
        <w:t>r</w:t>
      </w:r>
      <w:r w:rsidR="001F3CEB" w:rsidRPr="00523559">
        <w:rPr>
          <w:rFonts w:ascii="Palatino Linotype" w:eastAsia="Palatino Linotype" w:hAnsi="Palatino Linotype" w:cs="Palatino Linotype"/>
          <w:color w:val="000000"/>
        </w:rPr>
        <w:t xml:space="preserve">ecibo de </w:t>
      </w:r>
      <w:r w:rsidR="000742A2" w:rsidRPr="00523559">
        <w:rPr>
          <w:rFonts w:ascii="Palatino Linotype" w:eastAsia="Palatino Linotype" w:hAnsi="Palatino Linotype" w:cs="Palatino Linotype"/>
          <w:color w:val="000000"/>
        </w:rPr>
        <w:t>n</w:t>
      </w:r>
      <w:r w:rsidR="001F3CEB" w:rsidRPr="00523559">
        <w:rPr>
          <w:rFonts w:ascii="Palatino Linotype" w:eastAsia="Palatino Linotype" w:hAnsi="Palatino Linotype" w:cs="Palatino Linotype"/>
          <w:color w:val="000000"/>
        </w:rPr>
        <w:t>ómina</w:t>
      </w:r>
      <w:r w:rsidR="000742A2" w:rsidRPr="00523559">
        <w:rPr>
          <w:rFonts w:ascii="Palatino Linotype" w:eastAsia="Palatino Linotype" w:hAnsi="Palatino Linotype" w:cs="Palatino Linotype"/>
          <w:color w:val="000000"/>
        </w:rPr>
        <w:t>, toda vez que e</w:t>
      </w:r>
      <w:r w:rsidR="001F3CEB" w:rsidRPr="00523559">
        <w:rPr>
          <w:rFonts w:ascii="Palatino Linotype" w:eastAsia="Palatino Linotype" w:hAnsi="Palatino Linotype" w:cs="Palatino Linotype"/>
          <w:color w:val="000000"/>
        </w:rPr>
        <w:t>s la evidencia más común de un incremento salarial, reflejado en los recibos de pago.</w:t>
      </w:r>
    </w:p>
    <w:p w14:paraId="3EC8092B" w14:textId="77777777" w:rsidR="000742A2" w:rsidRPr="00523559" w:rsidRDefault="000742A2"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B14987B" w14:textId="77777777" w:rsidR="0000648A" w:rsidRPr="00523559" w:rsidRDefault="000742A2" w:rsidP="00301B1C">
      <w:pPr>
        <w:numPr>
          <w:ilvl w:val="0"/>
          <w:numId w:val="11"/>
        </w:numPr>
        <w:pBdr>
          <w:top w:val="nil"/>
          <w:left w:val="nil"/>
          <w:bottom w:val="nil"/>
          <w:right w:val="nil"/>
          <w:between w:val="nil"/>
        </w:pBdr>
        <w:spacing w:line="360" w:lineRule="auto"/>
        <w:ind w:left="0" w:right="49" w:firstLine="0"/>
        <w:jc w:val="both"/>
        <w:rPr>
          <w:rFonts w:ascii="Palatino Linotype" w:eastAsia="MS Mincho" w:hAnsi="Palatino Linotype" w:cs="Times New Roman"/>
        </w:rPr>
      </w:pPr>
      <w:r w:rsidRPr="00523559">
        <w:rPr>
          <w:rFonts w:ascii="Palatino Linotype" w:eastAsia="Palatino Linotype" w:hAnsi="Palatino Linotype" w:cs="Palatino Linotype"/>
          <w:color w:val="000000"/>
        </w:rPr>
        <w:t>Otras expresiones documentales son el t</w:t>
      </w:r>
      <w:r w:rsidR="001F3CEB" w:rsidRPr="00523559">
        <w:rPr>
          <w:rFonts w:ascii="Palatino Linotype" w:eastAsia="Palatino Linotype" w:hAnsi="Palatino Linotype" w:cs="Palatino Linotype"/>
          <w:color w:val="000000"/>
        </w:rPr>
        <w:t xml:space="preserve">abulador </w:t>
      </w:r>
      <w:r w:rsidRPr="00523559">
        <w:rPr>
          <w:rFonts w:ascii="Palatino Linotype" w:eastAsia="Palatino Linotype" w:hAnsi="Palatino Linotype" w:cs="Palatino Linotype"/>
          <w:color w:val="000000"/>
        </w:rPr>
        <w:t>s</w:t>
      </w:r>
      <w:r w:rsidR="001F3CEB" w:rsidRPr="00523559">
        <w:rPr>
          <w:rFonts w:ascii="Palatino Linotype" w:eastAsia="Palatino Linotype" w:hAnsi="Palatino Linotype" w:cs="Palatino Linotype"/>
          <w:color w:val="000000"/>
        </w:rPr>
        <w:t xml:space="preserve">alarial, </w:t>
      </w:r>
      <w:r w:rsidRPr="00523559">
        <w:rPr>
          <w:rFonts w:ascii="Palatino Linotype" w:eastAsia="Palatino Linotype" w:hAnsi="Palatino Linotype" w:cs="Palatino Linotype"/>
          <w:color w:val="000000"/>
        </w:rPr>
        <w:t xml:space="preserve">que evidentemente refleja </w:t>
      </w:r>
      <w:r w:rsidR="001F3CEB" w:rsidRPr="00523559">
        <w:rPr>
          <w:rFonts w:ascii="Palatino Linotype" w:eastAsia="Palatino Linotype" w:hAnsi="Palatino Linotype" w:cs="Palatino Linotype"/>
          <w:color w:val="000000"/>
        </w:rPr>
        <w:t>los incrementos</w:t>
      </w:r>
      <w:r w:rsidRPr="00523559">
        <w:rPr>
          <w:rFonts w:ascii="Palatino Linotype" w:eastAsia="Palatino Linotype" w:hAnsi="Palatino Linotype" w:cs="Palatino Linotype"/>
          <w:color w:val="000000"/>
        </w:rPr>
        <w:t xml:space="preserve"> que</w:t>
      </w:r>
      <w:r w:rsidR="001F3CEB" w:rsidRPr="00523559">
        <w:rPr>
          <w:rFonts w:ascii="Palatino Linotype" w:eastAsia="Palatino Linotype" w:hAnsi="Palatino Linotype" w:cs="Palatino Linotype"/>
          <w:color w:val="000000"/>
        </w:rPr>
        <w:t xml:space="preserve"> pueden formalizarse indi</w:t>
      </w:r>
      <w:r w:rsidRPr="00523559">
        <w:rPr>
          <w:rFonts w:ascii="Palatino Linotype" w:eastAsia="Palatino Linotype" w:hAnsi="Palatino Linotype" w:cs="Palatino Linotype"/>
          <w:color w:val="000000"/>
        </w:rPr>
        <w:t>cando</w:t>
      </w:r>
      <w:r w:rsidR="001F3CEB" w:rsidRPr="00523559">
        <w:rPr>
          <w:rFonts w:ascii="Palatino Linotype" w:eastAsia="Palatino Linotype" w:hAnsi="Palatino Linotype" w:cs="Palatino Linotype"/>
          <w:color w:val="000000"/>
        </w:rPr>
        <w:t xml:space="preserve"> los nuevos</w:t>
      </w:r>
      <w:r w:rsidRPr="00523559">
        <w:rPr>
          <w:rFonts w:ascii="Palatino Linotype" w:eastAsia="Palatino Linotype" w:hAnsi="Palatino Linotype" w:cs="Palatino Linotype"/>
          <w:color w:val="000000"/>
        </w:rPr>
        <w:t xml:space="preserve"> montos según puestos y niveles; c</w:t>
      </w:r>
      <w:r w:rsidR="001F3CEB" w:rsidRPr="00523559">
        <w:rPr>
          <w:rFonts w:ascii="Palatino Linotype" w:eastAsia="Palatino Linotype" w:hAnsi="Palatino Linotype" w:cs="Palatino Linotype"/>
          <w:color w:val="000000"/>
        </w:rPr>
        <w:t xml:space="preserve">ontrato </w:t>
      </w:r>
      <w:r w:rsidRPr="00523559">
        <w:rPr>
          <w:rFonts w:ascii="Palatino Linotype" w:eastAsia="Palatino Linotype" w:hAnsi="Palatino Linotype" w:cs="Palatino Linotype"/>
          <w:color w:val="000000"/>
        </w:rPr>
        <w:t>c</w:t>
      </w:r>
      <w:r w:rsidR="001F3CEB" w:rsidRPr="00523559">
        <w:rPr>
          <w:rFonts w:ascii="Palatino Linotype" w:eastAsia="Palatino Linotype" w:hAnsi="Palatino Linotype" w:cs="Palatino Linotype"/>
          <w:color w:val="000000"/>
        </w:rPr>
        <w:t xml:space="preserve">olectivo de </w:t>
      </w:r>
      <w:r w:rsidRPr="00523559">
        <w:rPr>
          <w:rFonts w:ascii="Palatino Linotype" w:eastAsia="Palatino Linotype" w:hAnsi="Palatino Linotype" w:cs="Palatino Linotype"/>
          <w:color w:val="000000"/>
        </w:rPr>
        <w:t>t</w:t>
      </w:r>
      <w:r w:rsidR="001F3CEB" w:rsidRPr="00523559">
        <w:rPr>
          <w:rFonts w:ascii="Palatino Linotype" w:eastAsia="Palatino Linotype" w:hAnsi="Palatino Linotype" w:cs="Palatino Linotype"/>
          <w:color w:val="000000"/>
        </w:rPr>
        <w:t xml:space="preserve">rabajo (en caso de </w:t>
      </w:r>
      <w:r w:rsidRPr="00523559">
        <w:rPr>
          <w:rFonts w:ascii="Palatino Linotype" w:eastAsia="Palatino Linotype" w:hAnsi="Palatino Linotype" w:cs="Palatino Linotype"/>
          <w:color w:val="000000"/>
        </w:rPr>
        <w:t>sindicalizados</w:t>
      </w:r>
      <w:r w:rsidR="001F3CEB" w:rsidRPr="00523559">
        <w:rPr>
          <w:rFonts w:ascii="Palatino Linotype" w:eastAsia="Palatino Linotype" w:hAnsi="Palatino Linotype" w:cs="Palatino Linotype"/>
          <w:color w:val="000000"/>
        </w:rPr>
        <w:t>)</w:t>
      </w:r>
      <w:r w:rsidRPr="00523559">
        <w:rPr>
          <w:rFonts w:ascii="Palatino Linotype" w:eastAsia="Palatino Linotype" w:hAnsi="Palatino Linotype" w:cs="Palatino Linotype"/>
          <w:color w:val="000000"/>
        </w:rPr>
        <w:t xml:space="preserve">; luego entonces deberá otorgarse una expresión documental a la especificación de referencia derivado que es de explorado derecho que no existe obligatoriedad de los sujetos obligados de generar documentos </w:t>
      </w:r>
      <w:r w:rsidRPr="00523559">
        <w:rPr>
          <w:rFonts w:ascii="Palatino Linotype" w:eastAsia="Palatino Linotype" w:hAnsi="Palatino Linotype" w:cs="Palatino Linotype"/>
          <w:i/>
          <w:color w:val="000000"/>
        </w:rPr>
        <w:t xml:space="preserve">ad hoc </w:t>
      </w:r>
      <w:r w:rsidRPr="00523559">
        <w:rPr>
          <w:rFonts w:ascii="Palatino Linotype" w:eastAsia="Palatino Linotype" w:hAnsi="Palatino Linotype" w:cs="Palatino Linotype"/>
          <w:color w:val="000000"/>
        </w:rPr>
        <w:t xml:space="preserve">para colmar las pretensiones particulares de los solicitantes –aunque tampoco existe normatividad que lo impida–. Lo anterior conforme a lo dispuesto por el </w:t>
      </w:r>
      <w:r w:rsidR="0000648A" w:rsidRPr="00523559">
        <w:rPr>
          <w:rFonts w:ascii="Palatino Linotype" w:hAnsi="Palatino Linotype" w:cs="Arial"/>
          <w:color w:val="000000" w:themeColor="text1"/>
        </w:rPr>
        <w:t xml:space="preserve">con el criterio </w:t>
      </w:r>
      <w:r w:rsidR="0000648A" w:rsidRPr="00523559">
        <w:rPr>
          <w:rFonts w:ascii="Palatino Linotype" w:eastAsia="MS Mincho" w:hAnsi="Palatino Linotype" w:cs="Times New Roman"/>
        </w:rPr>
        <w:t xml:space="preserve">28/10, emitido </w:t>
      </w:r>
      <w:r w:rsidR="0000648A" w:rsidRPr="00523559">
        <w:rPr>
          <w:rFonts w:ascii="Palatino Linotype" w:eastAsia="MS Mincho" w:hAnsi="Palatino Linotype" w:cs="Times New Roman"/>
        </w:rPr>
        <w:lastRenderedPageBreak/>
        <w:t xml:space="preserve">por el entonces Instituto Federal de Acceso a la Información Pública y Protección de Datos Personales, mismo que menciona lo siguiente:  </w:t>
      </w:r>
    </w:p>
    <w:p w14:paraId="002A62B5" w14:textId="77777777" w:rsidR="0000648A" w:rsidRPr="00523559" w:rsidRDefault="0000648A" w:rsidP="00301B1C">
      <w:pPr>
        <w:spacing w:line="360" w:lineRule="auto"/>
        <w:ind w:right="49"/>
        <w:contextualSpacing/>
        <w:jc w:val="both"/>
        <w:rPr>
          <w:rFonts w:ascii="Palatino Linotype" w:eastAsia="MS Mincho" w:hAnsi="Palatino Linotype" w:cs="Times New Roman"/>
        </w:rPr>
      </w:pPr>
    </w:p>
    <w:p w14:paraId="751959D2"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i/>
        </w:rPr>
        <w:t>“</w:t>
      </w:r>
      <w:r w:rsidRPr="00523559">
        <w:rPr>
          <w:rFonts w:ascii="Palatino Linotype" w:eastAsia="MS Mincho" w:hAnsi="Palatino Linotype" w:cs="Times New Roman"/>
          <w:b/>
          <w:i/>
        </w:rPr>
        <w:t>Cuando en una solicitud de información no se identifique un documento en específico, si ésta tiene una expresión documental, el sujeto obligado deberá entregar al particular el documento en específico</w:t>
      </w:r>
      <w:r w:rsidRPr="00523559">
        <w:rPr>
          <w:rFonts w:ascii="Palatino Linotype" w:eastAsia="MS Mincho" w:hAnsi="Palatino Linotype" w:cs="Times New Roman"/>
          <w:i/>
        </w:rPr>
        <w:t xml:space="preserve">. La Ley Federal de Transparencia y Acceso a la Información Pública Gubernamental tiene por objeto </w:t>
      </w:r>
      <w:proofErr w:type="spellStart"/>
      <w:r w:rsidRPr="00523559">
        <w:rPr>
          <w:rFonts w:ascii="Palatino Linotype" w:eastAsia="MS Mincho" w:hAnsi="Palatino Linotype" w:cs="Times New Roman"/>
          <w:i/>
        </w:rPr>
        <w:t>objeto</w:t>
      </w:r>
      <w:proofErr w:type="spellEnd"/>
      <w:r w:rsidRPr="00523559">
        <w:rPr>
          <w:rFonts w:ascii="Palatino Linotype" w:eastAsia="MS Mincho" w:hAnsi="Palatino Linotype" w:cs="Times New Roman"/>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523559">
        <w:rPr>
          <w:rFonts w:ascii="Palatino Linotype" w:eastAsia="MS Mincho" w:hAnsi="Palatino Linotype" w:cs="Times New Roman"/>
        </w:rPr>
        <w:t>Sic</w:t>
      </w:r>
      <w:r w:rsidRPr="00523559">
        <w:rPr>
          <w:rFonts w:ascii="Palatino Linotype" w:eastAsia="MS Mincho" w:hAnsi="Palatino Linotype" w:cs="Times New Roman"/>
          <w:i/>
        </w:rPr>
        <w:t>).</w:t>
      </w:r>
    </w:p>
    <w:p w14:paraId="6897C39A" w14:textId="77777777" w:rsidR="0000648A" w:rsidRPr="00523559" w:rsidRDefault="0000648A" w:rsidP="00301B1C">
      <w:pPr>
        <w:ind w:left="567" w:right="49"/>
        <w:contextualSpacing/>
        <w:jc w:val="both"/>
        <w:rPr>
          <w:rFonts w:ascii="Palatino Linotype" w:eastAsia="MS Mincho" w:hAnsi="Palatino Linotype" w:cs="Times New Roman"/>
          <w:i/>
        </w:rPr>
      </w:pPr>
    </w:p>
    <w:p w14:paraId="2137CBFB" w14:textId="77777777" w:rsidR="0000648A" w:rsidRPr="00523559" w:rsidRDefault="0000648A" w:rsidP="00301B1C">
      <w:pPr>
        <w:ind w:left="567" w:right="49"/>
        <w:contextualSpacing/>
        <w:jc w:val="both"/>
        <w:rPr>
          <w:rFonts w:ascii="Palatino Linotype" w:eastAsia="MS Mincho" w:hAnsi="Palatino Linotype" w:cs="Times New Roman"/>
        </w:rPr>
      </w:pPr>
      <w:r w:rsidRPr="00523559">
        <w:rPr>
          <w:rFonts w:ascii="Palatino Linotype" w:eastAsia="MS Mincho" w:hAnsi="Palatino Linotype" w:cs="Times New Roman"/>
        </w:rPr>
        <w:t>(Énfasis añadido)</w:t>
      </w:r>
    </w:p>
    <w:p w14:paraId="74991846" w14:textId="77777777" w:rsidR="0000648A" w:rsidRPr="00523559" w:rsidRDefault="0000648A" w:rsidP="00301B1C">
      <w:pPr>
        <w:spacing w:line="360" w:lineRule="auto"/>
        <w:ind w:right="49"/>
        <w:contextualSpacing/>
        <w:jc w:val="both"/>
        <w:rPr>
          <w:rFonts w:ascii="Palatino Linotype" w:eastAsia="MS Mincho" w:hAnsi="Palatino Linotype" w:cs="Times New Roman"/>
          <w:lang w:val="es-ES"/>
        </w:rPr>
      </w:pPr>
    </w:p>
    <w:p w14:paraId="30452932" w14:textId="77777777" w:rsidR="0000648A" w:rsidRPr="00523559" w:rsidRDefault="0000648A" w:rsidP="00301B1C">
      <w:pPr>
        <w:numPr>
          <w:ilvl w:val="0"/>
          <w:numId w:val="11"/>
        </w:numPr>
        <w:pBdr>
          <w:top w:val="nil"/>
          <w:left w:val="nil"/>
          <w:bottom w:val="nil"/>
          <w:right w:val="nil"/>
          <w:between w:val="nil"/>
        </w:pBdr>
        <w:spacing w:line="360" w:lineRule="auto"/>
        <w:ind w:left="0" w:right="49" w:firstLine="0"/>
        <w:jc w:val="both"/>
        <w:rPr>
          <w:rFonts w:ascii="Palatino Linotype" w:eastAsia="MS Mincho" w:hAnsi="Palatino Linotype" w:cs="Times New Roman"/>
        </w:rPr>
      </w:pPr>
      <w:r w:rsidRPr="00523559">
        <w:rPr>
          <w:rFonts w:ascii="Palatino Linotype" w:eastAsia="MS Mincho" w:hAnsi="Palatino Linotype" w:cs="Times New Roman"/>
          <w:lang w:val="es-ES"/>
        </w:rPr>
        <w:t xml:space="preserve">Robustece lo anterior </w:t>
      </w:r>
      <w:r w:rsidRPr="00523559">
        <w:rPr>
          <w:rFonts w:ascii="Palatino Linotype" w:eastAsia="MS Mincho" w:hAnsi="Palatino Linotype" w:cs="Times New Roman"/>
        </w:rPr>
        <w:t xml:space="preserve">el criterio orientador 16/17 emitido de igual forma por el Instituto </w:t>
      </w:r>
      <w:r w:rsidRPr="00523559">
        <w:rPr>
          <w:rFonts w:ascii="Palatino Linotype" w:eastAsia="Palatino Linotype" w:hAnsi="Palatino Linotype" w:cs="Palatino Linotype"/>
          <w:color w:val="000000"/>
        </w:rPr>
        <w:t>Nacional</w:t>
      </w:r>
      <w:r w:rsidRPr="00523559">
        <w:rPr>
          <w:rFonts w:ascii="Palatino Linotype" w:eastAsia="MS Mincho" w:hAnsi="Palatino Linotype" w:cs="Times New Roman"/>
        </w:rPr>
        <w:t xml:space="preserve"> de Transparencia, Acceso a la Información y Protección de Datos Personales que a la literalidad prevé:</w:t>
      </w:r>
    </w:p>
    <w:p w14:paraId="684A2F10" w14:textId="77777777" w:rsidR="0000648A" w:rsidRPr="00523559" w:rsidRDefault="0000648A" w:rsidP="00301B1C">
      <w:pPr>
        <w:spacing w:line="360" w:lineRule="auto"/>
        <w:ind w:right="49"/>
        <w:contextualSpacing/>
        <w:jc w:val="both"/>
        <w:rPr>
          <w:rFonts w:ascii="Palatino Linotype" w:eastAsia="MS Mincho" w:hAnsi="Palatino Linotype" w:cs="Times New Roman"/>
        </w:rPr>
      </w:pPr>
    </w:p>
    <w:p w14:paraId="00FC7918"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b/>
          <w:i/>
        </w:rPr>
        <w:t>“Expresión documental</w:t>
      </w:r>
      <w:r w:rsidRPr="00523559">
        <w:rPr>
          <w:rFonts w:ascii="Palatino Linotype" w:eastAsia="MS Mincho" w:hAnsi="Palatino Linotype" w:cs="Times New Roman"/>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w:t>
      </w:r>
      <w:r w:rsidRPr="00523559">
        <w:rPr>
          <w:rFonts w:ascii="Palatino Linotype" w:eastAsia="MS Mincho" w:hAnsi="Palatino Linotype" w:cs="Times New Roman"/>
          <w:i/>
        </w:rPr>
        <w:lastRenderedPageBreak/>
        <w:t xml:space="preserve">deben dar a dichas solicitudes una interpretación que les otorgue una expresión documental. </w:t>
      </w:r>
    </w:p>
    <w:p w14:paraId="70BE3FFE" w14:textId="77777777" w:rsidR="0000648A" w:rsidRPr="00523559" w:rsidRDefault="0000648A" w:rsidP="00301B1C">
      <w:pPr>
        <w:ind w:left="567" w:right="49"/>
        <w:contextualSpacing/>
        <w:jc w:val="both"/>
        <w:rPr>
          <w:rFonts w:ascii="Palatino Linotype" w:eastAsia="MS Mincho" w:hAnsi="Palatino Linotype" w:cs="Times New Roman"/>
          <w:i/>
        </w:rPr>
      </w:pPr>
    </w:p>
    <w:p w14:paraId="4DA9EEE8"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i/>
        </w:rPr>
        <w:t>Resoluciones:</w:t>
      </w:r>
    </w:p>
    <w:p w14:paraId="0B3F146C"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i/>
        </w:rPr>
        <w:t>•</w:t>
      </w:r>
      <w:r w:rsidRPr="00523559">
        <w:rPr>
          <w:rFonts w:ascii="Palatino Linotype" w:eastAsia="MS Mincho" w:hAnsi="Palatino Linotype" w:cs="Times New Roman"/>
          <w:i/>
        </w:rPr>
        <w:tab/>
        <w:t xml:space="preserve">RRA 0774/16. Secretaría de Salud. 31 de agosto de 2016. Por unanimidad. Comisionada Ponente María Patricia </w:t>
      </w:r>
      <w:proofErr w:type="spellStart"/>
      <w:r w:rsidRPr="00523559">
        <w:rPr>
          <w:rFonts w:ascii="Palatino Linotype" w:eastAsia="MS Mincho" w:hAnsi="Palatino Linotype" w:cs="Times New Roman"/>
          <w:i/>
        </w:rPr>
        <w:t>Kurczyn</w:t>
      </w:r>
      <w:proofErr w:type="spellEnd"/>
      <w:r w:rsidRPr="00523559">
        <w:rPr>
          <w:rFonts w:ascii="Palatino Linotype" w:eastAsia="MS Mincho" w:hAnsi="Palatino Linotype" w:cs="Times New Roman"/>
          <w:i/>
        </w:rPr>
        <w:t xml:space="preserve"> Villalobos.</w:t>
      </w:r>
    </w:p>
    <w:p w14:paraId="0DFF3A6B"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i/>
        </w:rPr>
        <w:t>•</w:t>
      </w:r>
      <w:r w:rsidRPr="00523559">
        <w:rPr>
          <w:rFonts w:ascii="Palatino Linotype" w:eastAsia="MS Mincho" w:hAnsi="Palatino Linotype" w:cs="Times New Roman"/>
          <w:i/>
        </w:rPr>
        <w:tab/>
        <w:t xml:space="preserve">RRA 0143/17. Universidad Autónoma Agraria Antonio Narro. 22 de febrero de 2017. Por unanimidad. Comisionado Ponente Oscar Mauricio Guerra Ford. </w:t>
      </w:r>
    </w:p>
    <w:p w14:paraId="1370E3C8" w14:textId="77777777" w:rsidR="0000648A" w:rsidRPr="00523559" w:rsidRDefault="0000648A" w:rsidP="00301B1C">
      <w:pPr>
        <w:ind w:left="567" w:right="49"/>
        <w:contextualSpacing/>
        <w:jc w:val="both"/>
        <w:rPr>
          <w:rFonts w:ascii="Palatino Linotype" w:eastAsia="MS Mincho" w:hAnsi="Palatino Linotype" w:cs="Times New Roman"/>
          <w:i/>
        </w:rPr>
      </w:pPr>
      <w:r w:rsidRPr="00523559">
        <w:rPr>
          <w:rFonts w:ascii="Palatino Linotype" w:eastAsia="MS Mincho" w:hAnsi="Palatino Linotype" w:cs="Times New Roman"/>
          <w:i/>
        </w:rPr>
        <w:t>•</w:t>
      </w:r>
      <w:r w:rsidRPr="00523559">
        <w:rPr>
          <w:rFonts w:ascii="Palatino Linotype" w:eastAsia="MS Mincho" w:hAnsi="Palatino Linotype" w:cs="Times New Roman"/>
          <w:i/>
        </w:rPr>
        <w:tab/>
        <w:t>RRA 0540/17. Secretaría de Economía. 08 de marzo del 2017. Por unanimidad. Comisionado Ponente Francisco Javier Acuña Llamas”</w:t>
      </w:r>
    </w:p>
    <w:p w14:paraId="6CDF1904" w14:textId="77777777" w:rsidR="0000648A" w:rsidRPr="00523559" w:rsidRDefault="0000648A" w:rsidP="00301B1C">
      <w:pPr>
        <w:spacing w:line="360" w:lineRule="auto"/>
        <w:ind w:right="49"/>
        <w:contextualSpacing/>
        <w:jc w:val="both"/>
        <w:rPr>
          <w:rFonts w:ascii="Palatino Linotype" w:eastAsia="MS Mincho" w:hAnsi="Palatino Linotype" w:cs="Times New Roman"/>
        </w:rPr>
      </w:pPr>
    </w:p>
    <w:p w14:paraId="45CF927B" w14:textId="77777777" w:rsidR="0000648A" w:rsidRPr="00523559" w:rsidRDefault="0000648A" w:rsidP="00301B1C">
      <w:pPr>
        <w:numPr>
          <w:ilvl w:val="0"/>
          <w:numId w:val="11"/>
        </w:numPr>
        <w:pBdr>
          <w:top w:val="nil"/>
          <w:left w:val="nil"/>
          <w:bottom w:val="nil"/>
          <w:right w:val="nil"/>
          <w:between w:val="nil"/>
        </w:pBdr>
        <w:spacing w:line="360" w:lineRule="auto"/>
        <w:ind w:left="0" w:right="49" w:firstLine="0"/>
        <w:jc w:val="both"/>
        <w:rPr>
          <w:rFonts w:ascii="Palatino Linotype" w:eastAsia="Arial Unicode MS" w:hAnsi="Palatino Linotype" w:cs="Arial"/>
        </w:rPr>
      </w:pPr>
      <w:r w:rsidRPr="00523559">
        <w:rPr>
          <w:rFonts w:ascii="Palatino Linotype" w:eastAsia="MS Mincho" w:hAnsi="Palatino Linotype" w:cs="Times New Roman"/>
        </w:rPr>
        <w:t xml:space="preserve">Es así, que los </w:t>
      </w:r>
      <w:r w:rsidRPr="00523559">
        <w:rPr>
          <w:rFonts w:ascii="Palatino Linotype" w:eastAsia="MS Mincho" w:hAnsi="Palatino Linotype" w:cs="Times New Roman"/>
          <w:b/>
        </w:rPr>
        <w:t>Sujetos Obligados</w:t>
      </w:r>
      <w:r w:rsidRPr="00523559">
        <w:rPr>
          <w:rFonts w:ascii="Palatino Linotype" w:eastAsia="MS Mincho" w:hAnsi="Palatino Linotype" w:cs="Times New Roman"/>
        </w:rPr>
        <w:t xml:space="preserve">, </w:t>
      </w:r>
      <w:r w:rsidRPr="00523559">
        <w:rPr>
          <w:rFonts w:ascii="Palatino Linotype" w:eastAsia="MS Mincho" w:hAnsi="Palatino Linotype" w:cs="Times New Roman"/>
          <w:b/>
          <w:u w:val="single"/>
        </w:rPr>
        <w:t>deben de poner a disposición de los particulares los documentos donde conste o se aprecie la información solicitada</w:t>
      </w:r>
      <w:r w:rsidRPr="00523559">
        <w:rPr>
          <w:rFonts w:ascii="Palatino Linotype" w:eastAsia="MS Mincho" w:hAnsi="Palatino Linotype" w:cs="Times New Roman"/>
        </w:rPr>
        <w:t xml:space="preserve">, tratando en todo </w:t>
      </w:r>
      <w:r w:rsidRPr="00523559">
        <w:rPr>
          <w:rFonts w:ascii="Palatino Linotype" w:eastAsia="Arial Unicode MS" w:hAnsi="Palatino Linotype" w:cs="Arial"/>
        </w:rPr>
        <w:t xml:space="preserve">momento de privilegiar el derecho de acceso a la información pública, siendo necesario poner mayor énfasis en  la normatividad en materia de acceso a la información ya que  faculta a los </w:t>
      </w:r>
      <w:r w:rsidRPr="00523559">
        <w:rPr>
          <w:rFonts w:ascii="Palatino Linotype" w:eastAsia="MS Mincho" w:hAnsi="Palatino Linotype" w:cs="Times New Roman"/>
        </w:rPr>
        <w:t>particulares</w:t>
      </w:r>
      <w:r w:rsidRPr="00523559">
        <w:rPr>
          <w:rFonts w:ascii="Palatino Linotype" w:eastAsia="Arial Unicode MS" w:hAnsi="Palatino Linotype" w:cs="Arial"/>
        </w:rPr>
        <w:t xml:space="preserve">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14:paraId="47336568" w14:textId="77777777" w:rsidR="001F3CEB" w:rsidRPr="00523559" w:rsidRDefault="001F3CEB"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9C60FC4"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lo tanto, lo solicitado corresponde a información pública susceptible de ser entregada, en su caso, en versión pública y, por lo tanto, no es procedente su clasificación. </w:t>
      </w:r>
    </w:p>
    <w:p w14:paraId="5E578288"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5E377B5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1829916" w14:textId="77777777" w:rsidR="001F3CEB" w:rsidRPr="00523559" w:rsidRDefault="001F3CEB" w:rsidP="00301B1C">
      <w:pPr>
        <w:pStyle w:val="Prrafodelista"/>
        <w:ind w:right="49"/>
        <w:rPr>
          <w:rFonts w:ascii="Palatino Linotype" w:eastAsia="Palatino Linotype" w:hAnsi="Palatino Linotype" w:cs="Palatino Linotype"/>
          <w:color w:val="000000"/>
        </w:rPr>
      </w:pPr>
    </w:p>
    <w:p w14:paraId="5A379F7B" w14:textId="77777777" w:rsidR="00A83BD3" w:rsidRPr="00523559" w:rsidRDefault="00F41D15" w:rsidP="00F25D19">
      <w:pPr>
        <w:spacing w:line="360" w:lineRule="auto"/>
        <w:ind w:left="567" w:right="474"/>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Criterio 01/2003.</w:t>
      </w:r>
    </w:p>
    <w:p w14:paraId="22EE1E42" w14:textId="77777777" w:rsidR="00A83BD3" w:rsidRPr="00523559" w:rsidRDefault="00F41D15" w:rsidP="00F25D19">
      <w:pPr>
        <w:spacing w:line="360" w:lineRule="auto"/>
        <w:ind w:left="567"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523559">
        <w:rPr>
          <w:rFonts w:ascii="Palatino Linotype" w:eastAsia="Palatino Linotype" w:hAnsi="Palatino Linotype" w:cs="Palatino Linotype"/>
          <w:b/>
          <w:i/>
          <w:u w:val="single"/>
        </w:rPr>
        <w:t>.</w:t>
      </w:r>
      <w:r w:rsidRPr="00523559">
        <w:rPr>
          <w:rFonts w:ascii="Palatino Linotype" w:eastAsia="Palatino Linotype" w:hAnsi="Palatino Linotype" w:cs="Palatino Linotype"/>
          <w:i/>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i/>
          <w:u w:val="single"/>
        </w:rPr>
        <w:t>debe reconocerse que aun y  cuando en ese supuesto podría encuadrar la relativa a las percepciones ordinarias y extraordinaria de los servidores públicos</w:t>
      </w:r>
      <w:r w:rsidRPr="00523559">
        <w:rPr>
          <w:rFonts w:ascii="Palatino Linotype" w:eastAsia="Palatino Linotype" w:hAnsi="Palatino Linotype" w:cs="Palatino Linotype"/>
          <w:i/>
        </w:rPr>
        <w:t xml:space="preserve">, ello no obsta para reconocer que el legislador estableció en el artículo 7 de ese mismo ordenamiento que la referida información, como una obligación de trasparencia, </w:t>
      </w:r>
      <w:r w:rsidRPr="00523559">
        <w:rPr>
          <w:rFonts w:ascii="Palatino Linotype" w:eastAsia="Palatino Linotype" w:hAnsi="Palatino Linotype" w:cs="Palatino Linotype"/>
          <w:b/>
          <w:i/>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w:t>
      </w:r>
      <w:r w:rsidRPr="00523559">
        <w:rPr>
          <w:rFonts w:ascii="Palatino Linotype" w:eastAsia="Palatino Linotype" w:hAnsi="Palatino Linotype" w:cs="Palatino Linotype"/>
          <w:b/>
          <w:i/>
          <w:u w:val="single"/>
        </w:rPr>
        <w:lastRenderedPageBreak/>
        <w:t>origen en mayor medida en las contribuciones aportados por los gobernados.</w:t>
      </w:r>
    </w:p>
    <w:p w14:paraId="240B8506" w14:textId="77777777" w:rsidR="00A83BD3" w:rsidRPr="00523559" w:rsidRDefault="00A83BD3" w:rsidP="00F25D19">
      <w:pPr>
        <w:spacing w:line="360" w:lineRule="auto"/>
        <w:ind w:left="567" w:right="474"/>
        <w:jc w:val="both"/>
        <w:rPr>
          <w:rFonts w:ascii="Palatino Linotype" w:eastAsia="Palatino Linotype" w:hAnsi="Palatino Linotype" w:cs="Palatino Linotype"/>
          <w:i/>
        </w:rPr>
      </w:pPr>
    </w:p>
    <w:p w14:paraId="68FAEFC0" w14:textId="77777777" w:rsidR="00A83BD3" w:rsidRPr="00523559" w:rsidRDefault="00F41D15" w:rsidP="00F25D19">
      <w:pPr>
        <w:spacing w:line="360" w:lineRule="auto"/>
        <w:ind w:left="567" w:right="474"/>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Criterio 02/2003.</w:t>
      </w:r>
    </w:p>
    <w:p w14:paraId="7DCC77E8" w14:textId="77777777" w:rsidR="00A83BD3" w:rsidRPr="00523559" w:rsidRDefault="00F41D15" w:rsidP="00F25D19">
      <w:pPr>
        <w:spacing w:line="360" w:lineRule="auto"/>
        <w:ind w:left="567"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523559">
        <w:rPr>
          <w:rFonts w:ascii="Palatino Linotype" w:eastAsia="Palatino Linotype" w:hAnsi="Palatino Linotype" w:cs="Palatino Linotype"/>
          <w:i/>
        </w:rPr>
        <w:t xml:space="preserve"> De la interpretación sistemática de lo previsto en los artículos 3º, fracción II; 7º, 9º y 18, fracción II, de la Ley Federal de Transparencia y Acceso a la Información Pública Gubernamental </w:t>
      </w:r>
      <w:r w:rsidRPr="00523559">
        <w:rPr>
          <w:rFonts w:ascii="Palatino Linotype" w:eastAsia="Palatino Linotype" w:hAnsi="Palatino Linotype" w:cs="Palatino Linotype"/>
          <w:i/>
          <w:u w:val="single"/>
        </w:rPr>
        <w:t>se advierte que no constituye información confidencial la relativa a los ingresos que reciben los servidores públicos, ya que aun y cuando se trata de datos personales relativos a su patrimonio</w:t>
      </w:r>
      <w:r w:rsidRPr="00523559">
        <w:rPr>
          <w:rFonts w:ascii="Palatino Linotype" w:eastAsia="Palatino Linotype" w:hAnsi="Palatino Linotype" w:cs="Palatino Linotype"/>
          <w:i/>
        </w:rPr>
        <w:t xml:space="preserve">, para su difusión no se requiere consentimiento de aquellos, </w:t>
      </w:r>
      <w:r w:rsidRPr="00523559">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523559">
        <w:rPr>
          <w:rFonts w:ascii="Palatino Linotype" w:eastAsia="Palatino Linotype" w:hAnsi="Palatino Linotype" w:cs="Palatino Linotype"/>
          <w:i/>
        </w:rPr>
        <w:t xml:space="preserve"> el sistema de compensación. </w:t>
      </w:r>
    </w:p>
    <w:p w14:paraId="2820F359"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3245EB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color w:val="000000"/>
        </w:rPr>
        <w:t xml:space="preserve">Bajo ese amparo, es conducente determinar que respecto al punto que se analiza, el documento que de manera enunciativa </w:t>
      </w:r>
      <w:r w:rsidRPr="00523559">
        <w:rPr>
          <w:rFonts w:ascii="Palatino Linotype" w:eastAsia="Palatino Linotype" w:hAnsi="Palatino Linotype" w:cs="Palatino Linotype"/>
        </w:rPr>
        <w:t>más</w:t>
      </w:r>
      <w:r w:rsidRPr="00523559">
        <w:rPr>
          <w:rFonts w:ascii="Palatino Linotype" w:eastAsia="Palatino Linotype" w:hAnsi="Palatino Linotype" w:cs="Palatino Linotype"/>
          <w:color w:val="000000"/>
        </w:rPr>
        <w:t xml:space="preserve"> no limitativa se puede atender la solicitud es el denominado Conciliación de la Nómina, por lo que el Pleno de este Instituto estima procedente ordenar la entrega del documento donde conste </w:t>
      </w:r>
      <w:r w:rsidRPr="00523559">
        <w:rPr>
          <w:rFonts w:ascii="Palatino Linotype" w:eastAsia="Palatino Linotype" w:hAnsi="Palatino Linotype" w:cs="Palatino Linotype"/>
          <w:color w:val="000000"/>
        </w:rPr>
        <w:lastRenderedPageBreak/>
        <w:t xml:space="preserve">el salario bruto, salario neto </w:t>
      </w:r>
      <w:r w:rsidRPr="00523559">
        <w:rPr>
          <w:rFonts w:ascii="Palatino Linotype" w:eastAsia="Palatino Linotype" w:hAnsi="Palatino Linotype" w:cs="Palatino Linotype"/>
          <w:b/>
          <w:color w:val="000000"/>
        </w:rPr>
        <w:t>que reciben los policías por  categoría, del primero de enero dos mil veintidós al treinta y uno de enero de dos mil veinticuatro.</w:t>
      </w:r>
    </w:p>
    <w:p w14:paraId="75538ED0"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219AC211" w14:textId="77777777" w:rsidR="00A83BD3" w:rsidRPr="00523559" w:rsidRDefault="00F41D15" w:rsidP="00301B1C">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El gasto que ejerció el municipio en el periodo fiscal 2022 y 2023 para el pago de equipamiento policial, armamento, pago de patrullas (ya sea adquisición o renta), capacitación policial, desglosado por concepto de pago y especificar el número de policías beneficiados.  </w:t>
      </w:r>
    </w:p>
    <w:p w14:paraId="4913CD6F" w14:textId="77777777" w:rsidR="001F3CEB" w:rsidRPr="00523559" w:rsidRDefault="001F3CEB"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p>
    <w:p w14:paraId="17BCEB33" w14:textId="77777777" w:rsidR="007120DB" w:rsidRPr="00523559" w:rsidRDefault="007120DB"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Relativo al punto de referencia, es dable iniciar estableciendo que lo solicitado se refiere a los recursos económicos que las instituciones de seguridad pública</w:t>
      </w:r>
      <w:r w:rsidR="002621F7" w:rsidRPr="00523559">
        <w:rPr>
          <w:rFonts w:ascii="Palatino Linotype" w:eastAsia="Palatino Linotype" w:hAnsi="Palatino Linotype" w:cs="Palatino Linotype"/>
          <w:color w:val="000000"/>
        </w:rPr>
        <w:t>, en el caso concreto de nivel municipal,</w:t>
      </w:r>
      <w:r w:rsidRPr="00523559">
        <w:rPr>
          <w:rFonts w:ascii="Palatino Linotype" w:eastAsia="Palatino Linotype" w:hAnsi="Palatino Linotype" w:cs="Palatino Linotype"/>
          <w:color w:val="000000"/>
        </w:rPr>
        <w:t xml:space="preserve"> destinan para dotar a los cuerpos policiacos de los elementos necesarios para el de</w:t>
      </w:r>
      <w:r w:rsidR="002621F7" w:rsidRPr="00523559">
        <w:rPr>
          <w:rFonts w:ascii="Palatino Linotype" w:eastAsia="Palatino Linotype" w:hAnsi="Palatino Linotype" w:cs="Palatino Linotype"/>
          <w:color w:val="000000"/>
        </w:rPr>
        <w:t>sempeño de sus funciones; en ese sentido, por pago de equipamiento policial, se colige que corresponde a un concepto que abarca la adquisición de bienes y materiales necesarios para que los policías desempeñen sus funciones de manera eficaz y segura, como pueden ser de manera enunciativa mas no limitativa uniformes equipamiento táctico o equipos tecnológicos.</w:t>
      </w:r>
    </w:p>
    <w:p w14:paraId="4597CF21" w14:textId="77777777" w:rsidR="002621F7" w:rsidRPr="00523559" w:rsidRDefault="002621F7"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6BF20964" w14:textId="77777777" w:rsidR="002621F7" w:rsidRPr="00523559" w:rsidRDefault="002621F7"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pago de armamento, se refiere a la compra, mantenimiento y actualización del armamento utilizado por las fuerzas policiales, lo que incluye de manera enunciativa más no limitativa armas de fuego, accesorios de armas y mantenimiento de armas. Por otro lado, relativo al pago de patrullas, estas pueden ser por adquisición o renta, lo que hace referencia a los recursos destinados a la </w:t>
      </w:r>
      <w:r w:rsidRPr="00523559">
        <w:rPr>
          <w:rFonts w:ascii="Palatino Linotype" w:eastAsia="Palatino Linotype" w:hAnsi="Palatino Linotype" w:cs="Palatino Linotype"/>
          <w:color w:val="000000"/>
        </w:rPr>
        <w:lastRenderedPageBreak/>
        <w:t>obtención de vehículos para patrullaje, ya sea mediante compra o arrendamiento, lo que incluye de manera enunciativa mas no limitativa adquisición de patrullas (automóviles, motocicletas, camionetas y vehículos de respuesta rápida), renta de patrullas (contratos de arrendamiento con empresas privadas para el uso temporal de vehículos policiales) y mantenimiento y operación.</w:t>
      </w:r>
    </w:p>
    <w:p w14:paraId="3F5F2A74" w14:textId="77777777" w:rsidR="002621F7" w:rsidRPr="00523559" w:rsidRDefault="002621F7" w:rsidP="00301B1C">
      <w:pPr>
        <w:pStyle w:val="Prrafodelista"/>
        <w:ind w:right="49"/>
        <w:rPr>
          <w:rFonts w:ascii="Palatino Linotype" w:eastAsia="Palatino Linotype" w:hAnsi="Palatino Linotype" w:cs="Palatino Linotype"/>
          <w:color w:val="000000"/>
        </w:rPr>
      </w:pPr>
    </w:p>
    <w:p w14:paraId="40EC77FC" w14:textId="77777777" w:rsidR="002621F7" w:rsidRPr="00523559" w:rsidRDefault="002621F7"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Finalmente, respecto al pago de Capacitación Policial, se refiere a los recursos invertidos en la formación y actualización de los policías, que incluye de manera enunciativa mas no limitativa cursos de formación inicial, capacitación en derechos humanos, tácticas operativas, cursos especializados, pago que de existir son fundamentales para garantizar que los cuerpos policiales cuenten con los recursos necesarios para cumplir con su labor de seguridad pública y protección ciudadana.</w:t>
      </w:r>
    </w:p>
    <w:p w14:paraId="4AC3E233" w14:textId="77777777" w:rsidR="002621F7" w:rsidRPr="00523559" w:rsidRDefault="002621F7"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7C9AEB2" w14:textId="77777777" w:rsidR="00A83BD3" w:rsidRPr="00523559" w:rsidRDefault="002621F7"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Dicho lo anterior, e</w:t>
      </w:r>
      <w:r w:rsidR="00F41D15" w:rsidRPr="00523559">
        <w:rPr>
          <w:rFonts w:ascii="Palatino Linotype" w:eastAsia="Palatino Linotype" w:hAnsi="Palatino Linotype" w:cs="Palatino Linotype"/>
          <w:color w:val="000000"/>
        </w:rPr>
        <w:t>s de señalar que la Ley de Contratación Pública del Estado de México y Municipios y su Reglamento establecen lo siguiente:</w:t>
      </w:r>
    </w:p>
    <w:p w14:paraId="6F3FB947"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26.- Las adquisiciones, arrendamientos y servicios se adjudicarán a través de licitaciones públicas, mediante convocatoria pública. </w:t>
      </w:r>
    </w:p>
    <w:p w14:paraId="7AB3D818"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607601EF" w14:textId="77777777" w:rsidR="00A83BD3" w:rsidRPr="00523559" w:rsidRDefault="00F41D15" w:rsidP="00301B1C">
      <w:pPr>
        <w:numPr>
          <w:ilvl w:val="0"/>
          <w:numId w:val="17"/>
        </w:num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Invitación restringida. </w:t>
      </w:r>
    </w:p>
    <w:p w14:paraId="2A351959" w14:textId="77777777" w:rsidR="00A83BD3" w:rsidRPr="00523559" w:rsidRDefault="00F41D15" w:rsidP="00301B1C">
      <w:pPr>
        <w:numPr>
          <w:ilvl w:val="0"/>
          <w:numId w:val="17"/>
        </w:num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Adjudicación directa. </w:t>
      </w:r>
    </w:p>
    <w:p w14:paraId="521A37E8"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28.- La licitación pública, conforme a los medios que se utilicen, podrá ser: </w:t>
      </w:r>
    </w:p>
    <w:p w14:paraId="52DFB18C" w14:textId="77777777" w:rsidR="00A83BD3" w:rsidRPr="00523559" w:rsidRDefault="00F41D15" w:rsidP="00301B1C">
      <w:pPr>
        <w:numPr>
          <w:ilvl w:val="0"/>
          <w:numId w:val="1"/>
        </w:num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 xml:space="preserve">Presencial, en la cual los licitantes exclusivamente podrán presentar sus propuestas en forma documental y por escrito, en sobre cerrado, durante el acto de presentación y apertura de propuestas, o bien, si así se prevé en la convocatoria a la licitación, mediante el uso del servicio postal. </w:t>
      </w:r>
    </w:p>
    <w:p w14:paraId="6AAB21C5" w14:textId="77777777" w:rsidR="00A83BD3" w:rsidRPr="00523559" w:rsidRDefault="00F41D15" w:rsidP="00301B1C">
      <w:p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Bajo esta modalidad, la o las juntas de aclaraciones, el acto de presentación y la apertura de propuestas se realizarán de manera presencial, a los cuales podrán asistir los licitantes. </w:t>
      </w:r>
    </w:p>
    <w:p w14:paraId="423B8192" w14:textId="77777777" w:rsidR="00A83BD3" w:rsidRPr="00523559" w:rsidRDefault="00F41D15" w:rsidP="00301B1C">
      <w:pPr>
        <w:numPr>
          <w:ilvl w:val="0"/>
          <w:numId w:val="1"/>
        </w:num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Electrónica, en la cual exclusivamente se permitirá la participación de los licitantes a través de COMPRAMEX, se utilizarán medios de identificación electrónica, las comunicaciones producirán los efectos que señala la Ley para el Uso de Medios Electrónicos del Estado de México. </w:t>
      </w:r>
    </w:p>
    <w:p w14:paraId="7FE6934E" w14:textId="77777777" w:rsidR="00A83BD3" w:rsidRPr="00523559" w:rsidRDefault="00F41D15" w:rsidP="00301B1C">
      <w:p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Bajo esta modalidad, la o las juntas de aclaraciones, el acto de presentación, la apertura de propuestas y el acto de fallo sólo se realizarán a través de COMPRAMEX y sin la presencia de los licitantes en dichos actos, y </w:t>
      </w:r>
    </w:p>
    <w:p w14:paraId="4BAE0C4C" w14:textId="77777777" w:rsidR="00A83BD3" w:rsidRPr="00523559" w:rsidRDefault="00F41D15" w:rsidP="00301B1C">
      <w:pPr>
        <w:numPr>
          <w:ilvl w:val="0"/>
          <w:numId w:val="1"/>
        </w:numPr>
        <w:pBdr>
          <w:top w:val="nil"/>
          <w:left w:val="nil"/>
          <w:bottom w:val="nil"/>
          <w:right w:val="nil"/>
          <w:between w:val="nil"/>
        </w:pBdr>
        <w:tabs>
          <w:tab w:val="left" w:pos="709"/>
        </w:tabs>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Mixta, en la cual los licitantes, a su elección, podrán participar en forma presencial o electrónica en la o las juntas de aclaraciones, en el acto de presentación y en la apertura de propuestas, y el acto de fallo.</w:t>
      </w:r>
    </w:p>
    <w:p w14:paraId="6F1AAE47" w14:textId="77777777" w:rsidR="00A83BD3" w:rsidRPr="00523559" w:rsidRDefault="00F41D15" w:rsidP="00301B1C">
      <w:pPr>
        <w:tabs>
          <w:tab w:val="left" w:pos="709"/>
        </w:tabs>
        <w:spacing w:line="360" w:lineRule="auto"/>
        <w:ind w:left="709"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Reglamento de la Ley de Contratación Pública del Estado de México y Municipios</w:t>
      </w:r>
      <w:r w:rsidRPr="00523559">
        <w:rPr>
          <w:rFonts w:ascii="Palatino Linotype" w:eastAsia="Palatino Linotype" w:hAnsi="Palatino Linotype" w:cs="Palatino Linotype"/>
          <w:b/>
          <w:i/>
        </w:rPr>
        <w:br/>
      </w:r>
      <w:r w:rsidRPr="00523559">
        <w:rPr>
          <w:rFonts w:ascii="Palatino Linotype" w:eastAsia="Palatino Linotype" w:hAnsi="Palatino Linotype" w:cs="Palatino Linotype"/>
          <w:i/>
        </w:rPr>
        <w:t xml:space="preserve">Artículo 90.- En el procedimiento de invitación restringida se deberá observar lo siguiente: </w:t>
      </w:r>
    </w:p>
    <w:p w14:paraId="6D9CBE7E" w14:textId="77777777" w:rsidR="00A83BD3" w:rsidRPr="00523559" w:rsidRDefault="00F41D15" w:rsidP="00301B1C">
      <w:pPr>
        <w:numPr>
          <w:ilvl w:val="0"/>
          <w:numId w:val="2"/>
        </w:numPr>
        <w:pBdr>
          <w:top w:val="nil"/>
          <w:left w:val="nil"/>
          <w:bottom w:val="nil"/>
          <w:right w:val="nil"/>
          <w:between w:val="nil"/>
        </w:pBdr>
        <w:tabs>
          <w:tab w:val="left" w:pos="709"/>
        </w:tabs>
        <w:spacing w:line="360" w:lineRule="auto"/>
        <w:ind w:left="1429" w:right="49" w:hanging="720"/>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 xml:space="preserve">Se invitará a un mínimo de tres personas seleccionadas de entre las que se encuentren inscritas e 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3144ECC6" w14:textId="77777777" w:rsidR="00A83BD3" w:rsidRPr="00523559" w:rsidRDefault="00F41D15" w:rsidP="00301B1C">
      <w:pPr>
        <w:numPr>
          <w:ilvl w:val="0"/>
          <w:numId w:val="2"/>
        </w:numPr>
        <w:pBdr>
          <w:top w:val="nil"/>
          <w:left w:val="nil"/>
          <w:bottom w:val="nil"/>
          <w:right w:val="nil"/>
          <w:between w:val="nil"/>
        </w:pBdr>
        <w:tabs>
          <w:tab w:val="left" w:pos="709"/>
        </w:tabs>
        <w:spacing w:line="360" w:lineRule="auto"/>
        <w:ind w:left="1429" w:right="49" w:hanging="720"/>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i/>
          <w:color w:val="000000"/>
        </w:rPr>
        <w:t xml:space="preserve">Las bases de la invitación restringida indicarán los aspectos de la adquisición o contratación; y </w:t>
      </w:r>
    </w:p>
    <w:p w14:paraId="3C3C2B4A" w14:textId="77777777" w:rsidR="00A83BD3" w:rsidRPr="00523559" w:rsidRDefault="00F41D15" w:rsidP="00301B1C">
      <w:pPr>
        <w:numPr>
          <w:ilvl w:val="0"/>
          <w:numId w:val="2"/>
        </w:numPr>
        <w:pBdr>
          <w:top w:val="nil"/>
          <w:left w:val="nil"/>
          <w:bottom w:val="nil"/>
          <w:right w:val="nil"/>
          <w:between w:val="nil"/>
        </w:pBdr>
        <w:tabs>
          <w:tab w:val="left" w:pos="709"/>
        </w:tabs>
        <w:spacing w:line="360" w:lineRule="auto"/>
        <w:ind w:left="1429" w:right="49" w:hanging="720"/>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i/>
          <w:color w:val="000000"/>
        </w:rPr>
        <w:t>Serán aplicables, en lo conducente, las disposiciones de la licitación pública.</w:t>
      </w:r>
    </w:p>
    <w:p w14:paraId="6B559B09"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91.- La Secretaría, organismos auxiliares, tribunales administrativos y municipios podrán adquirir, arrendar o enajenar bienes, y contratar servicios, mediante el procedimiento de adjudicación directa en los términos establecidos por la Ley. </w:t>
      </w:r>
    </w:p>
    <w:p w14:paraId="4E298A5A" w14:textId="77777777" w:rsidR="00A83BD3" w:rsidRPr="00523559" w:rsidRDefault="00A83BD3" w:rsidP="00301B1C">
      <w:pPr>
        <w:tabs>
          <w:tab w:val="left" w:pos="709"/>
        </w:tabs>
        <w:spacing w:line="360" w:lineRule="auto"/>
        <w:ind w:left="708" w:right="49"/>
        <w:jc w:val="both"/>
        <w:rPr>
          <w:rFonts w:ascii="Palatino Linotype" w:eastAsia="Palatino Linotype" w:hAnsi="Palatino Linotype" w:cs="Palatino Linotype"/>
          <w:i/>
        </w:rPr>
      </w:pPr>
    </w:p>
    <w:p w14:paraId="2AAD6FB2"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92.-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w:t>
      </w:r>
    </w:p>
    <w:p w14:paraId="5AA2C0B3"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w:t>
      </w:r>
      <w:r w:rsidRPr="00523559">
        <w:rPr>
          <w:rFonts w:ascii="Palatino Linotype" w:eastAsia="Palatino Linotype" w:hAnsi="Palatino Linotype" w:cs="Palatino Linotype"/>
          <w:i/>
        </w:rPr>
        <w:lastRenderedPageBreak/>
        <w:t xml:space="preserve">al que deberán adjudicarse los bienes y servicios; analizando previamente su contenido técnico y económico para seleccionar la que presente las mejores condiciones para el Estado. </w:t>
      </w:r>
    </w:p>
    <w:p w14:paraId="30C78658" w14:textId="77777777" w:rsidR="00A83BD3" w:rsidRPr="00523559" w:rsidRDefault="00F41D15" w:rsidP="00301B1C">
      <w:pPr>
        <w:tabs>
          <w:tab w:val="left" w:pos="709"/>
        </w:tabs>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En el caso de los municipios, las cotizaciones deberán obtenerse a través de sus áreas de administración.</w:t>
      </w:r>
    </w:p>
    <w:p w14:paraId="7179A659" w14:textId="77777777" w:rsidR="00A83BD3" w:rsidRPr="00523559" w:rsidRDefault="00A83BD3" w:rsidP="00301B1C">
      <w:pPr>
        <w:tabs>
          <w:tab w:val="left" w:pos="709"/>
        </w:tabs>
        <w:spacing w:line="360" w:lineRule="auto"/>
        <w:ind w:left="708" w:right="49"/>
        <w:jc w:val="both"/>
        <w:rPr>
          <w:rFonts w:ascii="Palatino Linotype" w:eastAsia="Palatino Linotype" w:hAnsi="Palatino Linotype" w:cs="Palatino Linotype"/>
          <w:i/>
        </w:rPr>
      </w:pPr>
    </w:p>
    <w:p w14:paraId="62EF900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Bajo tal premisa, los ayuntamientos podrán realizar adquisiciones, arrendamientos y contratación de servicios mediante licitaciones públicas, así también, podrán adjudicar mediante invitación restringida y adjudicación directa; las primeras podrán ser: presenciales, en las cuales los licitantes </w:t>
      </w:r>
      <w:r w:rsidRPr="00523559">
        <w:rPr>
          <w:rFonts w:ascii="Palatino Linotype" w:eastAsia="Palatino Linotype" w:hAnsi="Palatino Linotype" w:cs="Palatino Linotype"/>
        </w:rPr>
        <w:t>presentarán</w:t>
      </w:r>
      <w:r w:rsidRPr="00523559">
        <w:rPr>
          <w:rFonts w:ascii="Palatino Linotype" w:eastAsia="Palatino Linotype" w:hAnsi="Palatino Linotype" w:cs="Palatino Linotype"/>
          <w:color w:val="000000"/>
        </w:rPr>
        <w:t xml:space="preserve"> sus propuestas en forma documental y por escrito; electrónicas, donde se </w:t>
      </w:r>
      <w:r w:rsidRPr="00523559">
        <w:rPr>
          <w:rFonts w:ascii="Palatino Linotype" w:eastAsia="Palatino Linotype" w:hAnsi="Palatino Linotype" w:cs="Palatino Linotype"/>
        </w:rPr>
        <w:t>participará</w:t>
      </w:r>
      <w:r w:rsidRPr="00523559">
        <w:rPr>
          <w:rFonts w:ascii="Palatino Linotype" w:eastAsia="Palatino Linotype" w:hAnsi="Palatino Linotype" w:cs="Palatino Linotype"/>
          <w:color w:val="000000"/>
        </w:rPr>
        <w:t xml:space="preserve"> a través de COMPRAMEX; mixta, los licitantes podrán participar en </w:t>
      </w:r>
      <w:r w:rsidRPr="00523559">
        <w:rPr>
          <w:rFonts w:ascii="Palatino Linotype" w:eastAsia="Palatino Linotype" w:hAnsi="Palatino Linotype" w:cs="Palatino Linotype"/>
        </w:rPr>
        <w:t>cualquiera</w:t>
      </w:r>
      <w:r w:rsidRPr="00523559">
        <w:rPr>
          <w:rFonts w:ascii="Palatino Linotype" w:eastAsia="Palatino Linotype" w:hAnsi="Palatino Linotype" w:cs="Palatino Linotype"/>
          <w:color w:val="000000"/>
        </w:rPr>
        <w:t xml:space="preserve"> de las dos formas anteriores.</w:t>
      </w:r>
    </w:p>
    <w:p w14:paraId="1B7450F4"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8526B45" w14:textId="77777777" w:rsidR="00A83BD3" w:rsidRPr="00523559" w:rsidRDefault="00F41D15" w:rsidP="00301B1C">
      <w:pPr>
        <w:numPr>
          <w:ilvl w:val="0"/>
          <w:numId w:val="11"/>
        </w:numPr>
        <w:pBdr>
          <w:top w:val="nil"/>
          <w:left w:val="nil"/>
          <w:bottom w:val="nil"/>
          <w:right w:val="nil"/>
          <w:between w:val="nil"/>
        </w:pBdr>
        <w:tabs>
          <w:tab w:val="left" w:pos="709"/>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 Por cuerda separada, los ayuntamientos podrán adquirir, arrendar o enajenar bienes, con excepción a la licitación pública mediante los procedimientos de invitación restringida y adjudicación directa, el primero se invitara a un mínimo de tres personas que se encuentren en el catálogo de proveedores y prestadores de servicios, por su parte el segundo se deberá de celebrar contrato pedido el cual no será necesario observar las disposiciones en los demás artículos de esta Sección.</w:t>
      </w:r>
    </w:p>
    <w:p w14:paraId="6CEA0C9B" w14:textId="77777777" w:rsidR="00A83BD3" w:rsidRPr="00523559" w:rsidRDefault="00A83BD3" w:rsidP="00301B1C">
      <w:pPr>
        <w:pBdr>
          <w:top w:val="nil"/>
          <w:left w:val="nil"/>
          <w:bottom w:val="nil"/>
          <w:right w:val="nil"/>
          <w:between w:val="nil"/>
        </w:pBdr>
        <w:tabs>
          <w:tab w:val="left" w:pos="709"/>
        </w:tabs>
        <w:spacing w:line="360" w:lineRule="auto"/>
        <w:ind w:right="49"/>
        <w:jc w:val="both"/>
        <w:rPr>
          <w:rFonts w:ascii="Palatino Linotype" w:eastAsia="Palatino Linotype" w:hAnsi="Palatino Linotype" w:cs="Palatino Linotype"/>
          <w:color w:val="000000"/>
        </w:rPr>
      </w:pPr>
    </w:p>
    <w:p w14:paraId="69F28EA4" w14:textId="77777777" w:rsidR="00A83BD3" w:rsidRPr="00523559" w:rsidRDefault="00F41D15" w:rsidP="00301B1C">
      <w:pPr>
        <w:numPr>
          <w:ilvl w:val="0"/>
          <w:numId w:val="11"/>
        </w:numPr>
        <w:pBdr>
          <w:top w:val="nil"/>
          <w:left w:val="nil"/>
          <w:bottom w:val="nil"/>
          <w:right w:val="nil"/>
          <w:between w:val="nil"/>
        </w:pBdr>
        <w:tabs>
          <w:tab w:val="left" w:pos="709"/>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lo que corresponde al punto 2, la Ley Orgánica Municipal del Estado de México señala:</w:t>
      </w:r>
    </w:p>
    <w:p w14:paraId="19571EFE"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Artículo 53.- Los síndicos tendrán las siguientes atribuciones:</w:t>
      </w:r>
    </w:p>
    <w:p w14:paraId="3E4CC1F4"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21B972A7"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62702F4E"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04D3BDD9"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14:paraId="4A26E0A2"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0848689"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Artículo 112. El órgano interno de control municipal, tendrá a su cargo las funciones siguientes:</w:t>
      </w:r>
    </w:p>
    <w:p w14:paraId="072A0DE4"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w:t>
      </w:r>
    </w:p>
    <w:p w14:paraId="73638851"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XV. Participar en la elaboración y actualización del inventario general de los bienes muebles e inmuebles propiedad del municipio, que expresará las características de identificación y destino de los mismos;</w:t>
      </w:r>
    </w:p>
    <w:p w14:paraId="4C7176DF"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7EA3522" w14:textId="77777777" w:rsidR="00A83BD3" w:rsidRPr="00523559" w:rsidRDefault="00A83BD3" w:rsidP="00301B1C">
      <w:pPr>
        <w:spacing w:line="360" w:lineRule="auto"/>
        <w:ind w:left="708" w:right="49"/>
        <w:jc w:val="both"/>
        <w:rPr>
          <w:rFonts w:ascii="Palatino Linotype" w:eastAsia="Palatino Linotype" w:hAnsi="Palatino Linotype" w:cs="Palatino Linotype"/>
          <w:i/>
        </w:rPr>
      </w:pPr>
    </w:p>
    <w:p w14:paraId="2F05375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Así también, la Ley de Bienes del Estado de México y sus Municipios reza:</w:t>
      </w:r>
    </w:p>
    <w:p w14:paraId="7627C95B"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5.- Corresponde al Ejecutivo del Estado por conducto de la Secretaría de Finanzas y a los ayuntamientos: </w:t>
      </w:r>
    </w:p>
    <w:p w14:paraId="6F64AB55" w14:textId="77777777" w:rsidR="00A83BD3" w:rsidRPr="00523559" w:rsidRDefault="00F41D15" w:rsidP="00301B1C">
      <w:pPr>
        <w:numPr>
          <w:ilvl w:val="0"/>
          <w:numId w:val="3"/>
        </w:numPr>
        <w:pBdr>
          <w:top w:val="nil"/>
          <w:left w:val="nil"/>
          <w:bottom w:val="nil"/>
          <w:right w:val="nil"/>
          <w:between w:val="nil"/>
        </w:pBdr>
        <w:spacing w:line="360" w:lineRule="auto"/>
        <w:ind w:left="1788" w:right="49"/>
        <w:jc w:val="both"/>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color w:val="000000"/>
        </w:rPr>
        <w:t xml:space="preserve">La elaboración del padrón de bienes del dominio público y privado del Estado y de los ayuntamientos; </w:t>
      </w:r>
    </w:p>
    <w:p w14:paraId="040DBEB7" w14:textId="77777777" w:rsidR="00A83BD3" w:rsidRPr="00523559" w:rsidRDefault="00F41D15" w:rsidP="00301B1C">
      <w:pPr>
        <w:numPr>
          <w:ilvl w:val="0"/>
          <w:numId w:val="3"/>
        </w:num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Declarar cuando un bien determinado forma parte del dominio público; </w:t>
      </w:r>
    </w:p>
    <w:p w14:paraId="1E5A1613" w14:textId="77777777" w:rsidR="00A83BD3" w:rsidRPr="00523559" w:rsidRDefault="00F41D15" w:rsidP="00301B1C">
      <w:pPr>
        <w:numPr>
          <w:ilvl w:val="0"/>
          <w:numId w:val="3"/>
        </w:num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 xml:space="preserve"> Determinar cuándo un bien del domino privado se incorpora al dominio público;</w:t>
      </w:r>
    </w:p>
    <w:p w14:paraId="010D9519" w14:textId="77777777" w:rsidR="00A83BD3" w:rsidRPr="00523559" w:rsidRDefault="00F41D15" w:rsidP="00301B1C">
      <w:pPr>
        <w:numPr>
          <w:ilvl w:val="0"/>
          <w:numId w:val="3"/>
        </w:num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011D8A6C" w14:textId="77777777" w:rsidR="00A83BD3" w:rsidRPr="00523559" w:rsidRDefault="00A83BD3" w:rsidP="00301B1C">
      <w:p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p>
    <w:p w14:paraId="6553F666"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11.- Corresponde a cada una de las dependencias, organismos auxiliares y entidades de la administración pública estatal y municipal: </w:t>
      </w:r>
    </w:p>
    <w:p w14:paraId="61208FFD" w14:textId="77777777" w:rsidR="00A83BD3" w:rsidRPr="00523559" w:rsidRDefault="00F41D15" w:rsidP="00301B1C">
      <w:pPr>
        <w:numPr>
          <w:ilvl w:val="0"/>
          <w:numId w:val="4"/>
        </w:num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Administrar, controlar y utilizar adecuadamente los bienes muebles e inmuebles que detenten o tengan asignados;</w:t>
      </w:r>
    </w:p>
    <w:p w14:paraId="3940C1D7" w14:textId="77777777" w:rsidR="00A83BD3" w:rsidRPr="00523559" w:rsidRDefault="00F41D15" w:rsidP="00301B1C">
      <w:pPr>
        <w:numPr>
          <w:ilvl w:val="0"/>
          <w:numId w:val="4"/>
        </w:num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04592249" w14:textId="77777777" w:rsidR="00A83BD3" w:rsidRPr="00523559" w:rsidRDefault="00A83BD3" w:rsidP="00301B1C">
      <w:pPr>
        <w:pBdr>
          <w:top w:val="nil"/>
          <w:left w:val="nil"/>
          <w:bottom w:val="nil"/>
          <w:right w:val="nil"/>
          <w:between w:val="nil"/>
        </w:pBdr>
        <w:spacing w:line="360" w:lineRule="auto"/>
        <w:ind w:left="1788" w:right="49"/>
        <w:jc w:val="both"/>
        <w:rPr>
          <w:rFonts w:ascii="Palatino Linotype" w:eastAsia="Palatino Linotype" w:hAnsi="Palatino Linotype" w:cs="Palatino Linotype"/>
          <w:i/>
          <w:color w:val="000000"/>
        </w:rPr>
      </w:pPr>
    </w:p>
    <w:p w14:paraId="6A85017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 Así también, no pasando de óptica que lo relativo a la información sobre los procesos y resultados sobre los procedimientos de adjudicación directa, invitación restringida y licitación de cualquier naturaleza, deberán de estar publicados en su portal IPOMEX, de conformidad con la fracción XXIX del numeral 92 de la Ley de Transparencia y Acceso a la Información Pública del Estado de México y Municipios, por lo que se entiende que dichas facturas ya deben de encontrarse digitalizadas</w:t>
      </w:r>
    </w:p>
    <w:p w14:paraId="0B952B5D" w14:textId="77777777" w:rsidR="00A83BD3" w:rsidRPr="00523559" w:rsidRDefault="00F41D15" w:rsidP="00301B1C">
      <w:pPr>
        <w:spacing w:line="360" w:lineRule="auto"/>
        <w:ind w:left="708" w:right="49"/>
        <w:jc w:val="both"/>
        <w:rPr>
          <w:rFonts w:ascii="Palatino Linotype" w:eastAsia="Palatino Linotype" w:hAnsi="Palatino Linotype" w:cs="Palatino Linotype"/>
          <w:i/>
          <w:color w:val="000000"/>
        </w:rPr>
      </w:pPr>
      <w:r w:rsidRPr="00523559">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AD440E" w14:textId="77777777" w:rsidR="00A83BD3" w:rsidRPr="00523559" w:rsidRDefault="00F41D15" w:rsidP="00301B1C">
      <w:pPr>
        <w:spacing w:line="360" w:lineRule="auto"/>
        <w:ind w:left="708"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618D2E9" w14:textId="77777777" w:rsidR="00A83BD3" w:rsidRPr="00523559" w:rsidRDefault="00F41D15" w:rsidP="00301B1C">
      <w:pPr>
        <w:spacing w:line="360" w:lineRule="auto"/>
        <w:ind w:left="1416"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 De licitaciones públicas o procedimientos de invitación restringida: </w:t>
      </w:r>
    </w:p>
    <w:p w14:paraId="715FF801"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 La convocatoria o invitación emitida, así como los fundamentos legales aplicados para llevarla a cabo; </w:t>
      </w:r>
    </w:p>
    <w:p w14:paraId="09BA2385"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2) Los nombres de los participantes o invitados; </w:t>
      </w:r>
    </w:p>
    <w:p w14:paraId="44F1612F"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3) El nombre del ganador y las razones que lo justifican; </w:t>
      </w:r>
    </w:p>
    <w:p w14:paraId="7B2A26EE"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4) El área solicitante y la responsable de su ejecución;</w:t>
      </w:r>
    </w:p>
    <w:p w14:paraId="1B247704"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5) Las convocatorias e invitaciones emitidas; </w:t>
      </w:r>
    </w:p>
    <w:p w14:paraId="60F6A659"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 xml:space="preserve">6) Los dictámenes y fallo de adjudicación; </w:t>
      </w:r>
    </w:p>
    <w:p w14:paraId="715892A0"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7) El contrato y, en su caso, sus anexos; </w:t>
      </w:r>
    </w:p>
    <w:p w14:paraId="6DFDEC59"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416105A6"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9) La partida presupuestal, de conformidad con el clasificador por objeto del gasto, en el caso de ser aplicable; </w:t>
      </w:r>
    </w:p>
    <w:p w14:paraId="422279C3"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14:paraId="3FA5FA1E"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11) Los convenios modificatorios que, en su caso, sean firmados, precisando el objeto y la fecha de celebración; </w:t>
      </w:r>
    </w:p>
    <w:p w14:paraId="5D79274A"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12) Los informes de avance físico y financiero sobre las obras o servicios contratados; </w:t>
      </w:r>
    </w:p>
    <w:p w14:paraId="0BE52C49"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13) El convenio de terminación; y </w:t>
      </w:r>
    </w:p>
    <w:p w14:paraId="71E09D4C"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14) El finiquito. </w:t>
      </w:r>
    </w:p>
    <w:p w14:paraId="50FF4FF7" w14:textId="77777777" w:rsidR="00A83BD3" w:rsidRPr="00523559" w:rsidRDefault="00F41D15" w:rsidP="00301B1C">
      <w:pPr>
        <w:spacing w:line="360" w:lineRule="auto"/>
        <w:ind w:left="1416"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b) De las adjudicaciones directas: </w:t>
      </w:r>
    </w:p>
    <w:p w14:paraId="6DAB8B2C"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 La propuesta enviada por el participante; </w:t>
      </w:r>
    </w:p>
    <w:p w14:paraId="69070C05"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2) Los motivos y fundamentos legales aplicados para llevarla a cabo; </w:t>
      </w:r>
    </w:p>
    <w:p w14:paraId="4E651187"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3) La autorización del ejercicio de la opción; </w:t>
      </w:r>
    </w:p>
    <w:p w14:paraId="165E4F99"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4) En su caso, las cotizaciones consideradas, especificando los nombres de los proveedores y sus montos; </w:t>
      </w:r>
    </w:p>
    <w:p w14:paraId="3B20551B"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5) El nombre de la persona física o jurídica colectiva adjudicada; </w:t>
      </w:r>
    </w:p>
    <w:p w14:paraId="626DD34F"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 xml:space="preserve">6) La unidad administrativa solicitante y la responsable de su ejecución; </w:t>
      </w:r>
    </w:p>
    <w:p w14:paraId="2A506A1F"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7) El número, fecha, el monto del contrato y el plazo de entrega o de ejecución de los servicios u obra; </w:t>
      </w:r>
    </w:p>
    <w:p w14:paraId="6A03FABB"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14:paraId="35B6BF1C"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9) Los informes de avance sobre las obras o servicios contratados; </w:t>
      </w:r>
    </w:p>
    <w:p w14:paraId="3ECE7395"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10) El convenio de terminación; y </w:t>
      </w:r>
    </w:p>
    <w:p w14:paraId="1134EFE0" w14:textId="77777777" w:rsidR="00A83BD3" w:rsidRPr="00523559" w:rsidRDefault="00F41D15" w:rsidP="00301B1C">
      <w:pPr>
        <w:spacing w:line="360" w:lineRule="auto"/>
        <w:ind w:left="2124"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11) El finiquito.</w:t>
      </w:r>
    </w:p>
    <w:p w14:paraId="36E32890" w14:textId="77777777" w:rsidR="00A83BD3" w:rsidRPr="00523559" w:rsidRDefault="00A83BD3" w:rsidP="00301B1C">
      <w:pPr>
        <w:spacing w:line="360" w:lineRule="auto"/>
        <w:ind w:left="2124" w:right="49"/>
        <w:jc w:val="both"/>
        <w:rPr>
          <w:rFonts w:ascii="Palatino Linotype" w:eastAsia="Palatino Linotype" w:hAnsi="Palatino Linotype" w:cs="Palatino Linotype"/>
          <w:color w:val="000000"/>
        </w:rPr>
      </w:pPr>
    </w:p>
    <w:p w14:paraId="4397DB07"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 mayor abundamiento los Lineamientos para Elaboración y Presentación del Informe Mensual Municipal, establecen en sus Disco 1 y Disco 5 el directorio general de pólizas, catálogo de pólizas y las pólizas de las operaciones realizadas con su respectivo soporte documental que ampare dicha actividad, documentos con los cuales de manera enunciativa </w:t>
      </w:r>
      <w:r w:rsidRPr="00523559">
        <w:rPr>
          <w:rFonts w:ascii="Palatino Linotype" w:eastAsia="Palatino Linotype" w:hAnsi="Palatino Linotype" w:cs="Palatino Linotype"/>
        </w:rPr>
        <w:t>más</w:t>
      </w:r>
      <w:r w:rsidRPr="00523559">
        <w:rPr>
          <w:rFonts w:ascii="Palatino Linotype" w:eastAsia="Palatino Linotype" w:hAnsi="Palatino Linotype" w:cs="Palatino Linotype"/>
          <w:color w:val="000000"/>
        </w:rPr>
        <w:t xml:space="preserve"> no limitativa pueden colmar con lo solicitado como se desprende de las siguientes imágenes.</w:t>
      </w:r>
    </w:p>
    <w:p w14:paraId="33BA76A8" w14:textId="77777777" w:rsidR="00A83BD3" w:rsidRPr="00523559" w:rsidRDefault="00A83BD3" w:rsidP="00301B1C">
      <w:pPr>
        <w:tabs>
          <w:tab w:val="left" w:pos="709"/>
        </w:tabs>
        <w:spacing w:line="360" w:lineRule="auto"/>
        <w:ind w:right="49"/>
        <w:jc w:val="both"/>
        <w:rPr>
          <w:rFonts w:ascii="Palatino Linotype" w:eastAsia="Palatino Linotype" w:hAnsi="Palatino Linotype" w:cs="Palatino Linotype"/>
        </w:rPr>
      </w:pPr>
    </w:p>
    <w:p w14:paraId="1366E014" w14:textId="77777777" w:rsidR="00A83BD3" w:rsidRPr="00523559" w:rsidRDefault="00F41D15" w:rsidP="00301B1C">
      <w:pPr>
        <w:tabs>
          <w:tab w:val="left" w:pos="709"/>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5F79ABB3" wp14:editId="59BCD65B">
            <wp:extent cx="5692607" cy="2942966"/>
            <wp:effectExtent l="0" t="0" r="0" b="0"/>
            <wp:docPr id="17415212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9766" t="25028" r="20928" b="11876"/>
                    <a:stretch>
                      <a:fillRect/>
                    </a:stretch>
                  </pic:blipFill>
                  <pic:spPr>
                    <a:xfrm>
                      <a:off x="0" y="0"/>
                      <a:ext cx="5692607" cy="2942966"/>
                    </a:xfrm>
                    <a:prstGeom prst="rect">
                      <a:avLst/>
                    </a:prstGeom>
                    <a:ln/>
                  </pic:spPr>
                </pic:pic>
              </a:graphicData>
            </a:graphic>
          </wp:inline>
        </w:drawing>
      </w:r>
    </w:p>
    <w:p w14:paraId="6CAF18F5" w14:textId="77777777" w:rsidR="00A83BD3" w:rsidRPr="00523559" w:rsidRDefault="00F41D15" w:rsidP="00301B1C">
      <w:pPr>
        <w:tabs>
          <w:tab w:val="left" w:pos="709"/>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drawing>
          <wp:inline distT="0" distB="0" distL="0" distR="0" wp14:anchorId="3C784337" wp14:editId="6CB76CDE">
            <wp:extent cx="5768654" cy="3835477"/>
            <wp:effectExtent l="0" t="0" r="0" b="0"/>
            <wp:docPr id="1741521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0067" t="14642" r="20630" b="24649"/>
                    <a:stretch>
                      <a:fillRect/>
                    </a:stretch>
                  </pic:blipFill>
                  <pic:spPr>
                    <a:xfrm>
                      <a:off x="0" y="0"/>
                      <a:ext cx="5768654" cy="3835477"/>
                    </a:xfrm>
                    <a:prstGeom prst="rect">
                      <a:avLst/>
                    </a:prstGeom>
                    <a:ln/>
                  </pic:spPr>
                </pic:pic>
              </a:graphicData>
            </a:graphic>
          </wp:inline>
        </w:drawing>
      </w:r>
    </w:p>
    <w:p w14:paraId="145D69F7" w14:textId="77777777" w:rsidR="00A83BD3" w:rsidRPr="00523559" w:rsidRDefault="00F41D15" w:rsidP="00301B1C">
      <w:pPr>
        <w:tabs>
          <w:tab w:val="left" w:pos="709"/>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53D88353" wp14:editId="3432D89A">
            <wp:extent cx="5694982" cy="3572891"/>
            <wp:effectExtent l="0" t="0" r="0" b="0"/>
            <wp:docPr id="17415212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0216" t="35716" r="21375" b="28914"/>
                    <a:stretch>
                      <a:fillRect/>
                    </a:stretch>
                  </pic:blipFill>
                  <pic:spPr>
                    <a:xfrm>
                      <a:off x="0" y="0"/>
                      <a:ext cx="5694982" cy="3572891"/>
                    </a:xfrm>
                    <a:prstGeom prst="rect">
                      <a:avLst/>
                    </a:prstGeom>
                    <a:ln/>
                  </pic:spPr>
                </pic:pic>
              </a:graphicData>
            </a:graphic>
          </wp:inline>
        </w:drawing>
      </w:r>
      <w:r w:rsidRPr="00523559">
        <w:rPr>
          <w:rFonts w:ascii="Palatino Linotype" w:hAnsi="Palatino Linotype"/>
          <w:noProof/>
        </w:rPr>
        <mc:AlternateContent>
          <mc:Choice Requires="wpg">
            <w:drawing>
              <wp:anchor distT="0" distB="0" distL="114300" distR="114300" simplePos="0" relativeHeight="251661312" behindDoc="0" locked="0" layoutInCell="1" hidden="0" allowOverlap="1" wp14:anchorId="1DAC506F" wp14:editId="7696668C">
                <wp:simplePos x="0" y="0"/>
                <wp:positionH relativeFrom="column">
                  <wp:posOffset>1</wp:posOffset>
                </wp:positionH>
                <wp:positionV relativeFrom="paragraph">
                  <wp:posOffset>3784600</wp:posOffset>
                </wp:positionV>
                <wp:extent cx="5650230" cy="3334616"/>
                <wp:effectExtent l="0" t="0" r="0" b="0"/>
                <wp:wrapNone/>
                <wp:docPr id="1741521259" name="Conector recto de flecha 1741521259"/>
                <wp:cNvGraphicFramePr/>
                <a:graphic xmlns:a="http://schemas.openxmlformats.org/drawingml/2006/main">
                  <a:graphicData uri="http://schemas.microsoft.com/office/word/2010/wordprocessingShape">
                    <wps:wsp>
                      <wps:cNvCnPr/>
                      <wps:spPr>
                        <a:xfrm>
                          <a:off x="2525648" y="2117455"/>
                          <a:ext cx="5640705" cy="3325091"/>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3784600</wp:posOffset>
                </wp:positionV>
                <wp:extent cx="5650230" cy="3334616"/>
                <wp:effectExtent b="0" l="0" r="0" t="0"/>
                <wp:wrapNone/>
                <wp:docPr id="1741521259"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5650230" cy="3334616"/>
                        </a:xfrm>
                        <a:prstGeom prst="rect"/>
                        <a:ln/>
                      </pic:spPr>
                    </pic:pic>
                  </a:graphicData>
                </a:graphic>
              </wp:anchor>
            </w:drawing>
          </mc:Fallback>
        </mc:AlternateContent>
      </w:r>
    </w:p>
    <w:p w14:paraId="5EB6DF0D" w14:textId="77777777" w:rsidR="00A83BD3" w:rsidRPr="00523559" w:rsidRDefault="00F41D15" w:rsidP="00301B1C">
      <w:pPr>
        <w:tabs>
          <w:tab w:val="left" w:pos="709"/>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02E8F9DB" wp14:editId="3EC5F6BD">
            <wp:extent cx="5692891" cy="6969248"/>
            <wp:effectExtent l="0" t="0" r="0" b="0"/>
            <wp:docPr id="17415212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26655" t="9850" r="28266" b="3884"/>
                    <a:stretch>
                      <a:fillRect/>
                    </a:stretch>
                  </pic:blipFill>
                  <pic:spPr>
                    <a:xfrm>
                      <a:off x="0" y="0"/>
                      <a:ext cx="5692891" cy="6969248"/>
                    </a:xfrm>
                    <a:prstGeom prst="rect">
                      <a:avLst/>
                    </a:prstGeom>
                    <a:ln/>
                  </pic:spPr>
                </pic:pic>
              </a:graphicData>
            </a:graphic>
          </wp:inline>
        </w:drawing>
      </w:r>
      <w:r w:rsidRPr="00523559">
        <w:rPr>
          <w:rFonts w:ascii="Palatino Linotype" w:eastAsia="Palatino Linotype" w:hAnsi="Palatino Linotype" w:cs="Palatino Linotype"/>
        </w:rPr>
        <w:t xml:space="preserve"> </w:t>
      </w:r>
    </w:p>
    <w:p w14:paraId="2897EA03" w14:textId="77777777" w:rsidR="00A83BD3" w:rsidRPr="00523559" w:rsidRDefault="00F41D15" w:rsidP="00301B1C">
      <w:pPr>
        <w:tabs>
          <w:tab w:val="left" w:pos="709"/>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4B9782A2" wp14:editId="0E7B66C2">
            <wp:extent cx="5666986" cy="5167522"/>
            <wp:effectExtent l="0" t="0" r="0" b="0"/>
            <wp:docPr id="17415212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28003" t="13843" r="27817" b="14534"/>
                    <a:stretch>
                      <a:fillRect/>
                    </a:stretch>
                  </pic:blipFill>
                  <pic:spPr>
                    <a:xfrm>
                      <a:off x="0" y="0"/>
                      <a:ext cx="5666986" cy="5167522"/>
                    </a:xfrm>
                    <a:prstGeom prst="rect">
                      <a:avLst/>
                    </a:prstGeom>
                    <a:ln/>
                  </pic:spPr>
                </pic:pic>
              </a:graphicData>
            </a:graphic>
          </wp:inline>
        </w:drawing>
      </w:r>
    </w:p>
    <w:p w14:paraId="66F94B55" w14:textId="77777777" w:rsidR="00A83BD3" w:rsidRPr="00523559" w:rsidRDefault="00A83BD3" w:rsidP="00301B1C">
      <w:pPr>
        <w:tabs>
          <w:tab w:val="left" w:pos="709"/>
        </w:tabs>
        <w:spacing w:line="360" w:lineRule="auto"/>
        <w:ind w:right="49"/>
        <w:jc w:val="both"/>
        <w:rPr>
          <w:rFonts w:ascii="Palatino Linotype" w:eastAsia="Palatino Linotype" w:hAnsi="Palatino Linotype" w:cs="Palatino Linotype"/>
        </w:rPr>
      </w:pPr>
    </w:p>
    <w:p w14:paraId="04CBD85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Luego entonces, de los Lineamientos plasmados se puede apreciar que los sujetos obligados deberán de entregar al Órgano Superior de Fiscalización del Estado de México información referente a las pólizas que deberán de contar con su respectivo soporte documental que comprobaran y justificaran el pago realizado, así también, los comprobantes fiscales por internet se </w:t>
      </w:r>
      <w:r w:rsidRPr="00523559">
        <w:rPr>
          <w:rFonts w:ascii="Palatino Linotype" w:eastAsia="Palatino Linotype" w:hAnsi="Palatino Linotype" w:cs="Palatino Linotype"/>
        </w:rPr>
        <w:t>tomarán</w:t>
      </w:r>
      <w:r w:rsidRPr="00523559">
        <w:rPr>
          <w:rFonts w:ascii="Palatino Linotype" w:eastAsia="Palatino Linotype" w:hAnsi="Palatino Linotype" w:cs="Palatino Linotype"/>
          <w:color w:val="000000"/>
        </w:rPr>
        <w:t xml:space="preserve"> como documentación </w:t>
      </w:r>
      <w:r w:rsidRPr="00523559">
        <w:rPr>
          <w:rFonts w:ascii="Palatino Linotype" w:eastAsia="Palatino Linotype" w:hAnsi="Palatino Linotype" w:cs="Palatino Linotype"/>
          <w:color w:val="000000"/>
        </w:rPr>
        <w:lastRenderedPageBreak/>
        <w:t>soporte de cada una de las pólizas, tanto de ingresos, como egresos, diario, cheque y cuentas por pagar.</w:t>
      </w:r>
    </w:p>
    <w:p w14:paraId="1B3760FE"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690AC84"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Derivado de lo anterior, se arriba a la conclusión que el sujeto obligado cuenta con documentos con los cuales puede amparar en que se ha gastado el presupuesto designado junto con sus respectivos soportes que aprueben dichos gastos y que como ya se mencionó los soportes documentales podrían ser de manera enunciativa </w:t>
      </w:r>
      <w:r w:rsidRPr="00523559">
        <w:rPr>
          <w:rFonts w:ascii="Palatino Linotype" w:eastAsia="Palatino Linotype" w:hAnsi="Palatino Linotype" w:cs="Palatino Linotype"/>
        </w:rPr>
        <w:t>más</w:t>
      </w:r>
      <w:r w:rsidRPr="00523559">
        <w:rPr>
          <w:rFonts w:ascii="Palatino Linotype" w:eastAsia="Palatino Linotype" w:hAnsi="Palatino Linotype" w:cs="Palatino Linotype"/>
          <w:color w:val="000000"/>
        </w:rPr>
        <w:t xml:space="preserve"> no limitativa, facturas, recibos de pago, contratos, licitaciones, </w:t>
      </w:r>
      <w:proofErr w:type="spellStart"/>
      <w:r w:rsidRPr="00523559">
        <w:rPr>
          <w:rFonts w:ascii="Palatino Linotype" w:eastAsia="Palatino Linotype" w:hAnsi="Palatino Linotype" w:cs="Palatino Linotype"/>
          <w:color w:val="000000"/>
        </w:rPr>
        <w:t>etc</w:t>
      </w:r>
      <w:proofErr w:type="spellEnd"/>
      <w:r w:rsidRPr="00523559">
        <w:rPr>
          <w:rFonts w:ascii="Palatino Linotype" w:eastAsia="Palatino Linotype" w:hAnsi="Palatino Linotype" w:cs="Palatino Linotype"/>
          <w:color w:val="000000"/>
        </w:rPr>
        <w:t xml:space="preserve">, los cuales pueden contener datos que pueden ser susceptibles de clasificarse, razón por la cual se deberá de emitir el acuerdo de clasificación por motivo de la versión pública debidamente fundado y motivado. </w:t>
      </w:r>
    </w:p>
    <w:p w14:paraId="67371F4A" w14:textId="77777777" w:rsidR="00A83BD3" w:rsidRPr="00523559" w:rsidRDefault="00F41D15" w:rsidP="00301B1C">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Gasto que ejercerá el municipio en el periodo fiscal 2024 para el pago de equipamiento policial, armamento, pago de patrullas (ya sea adquisición o renta), capacitación policial, desglosado por concepto de pago y especificar el número de policías beneficiados. "Ejemplo: Armamento: $25,000, con el que se benefició a 3 policías. "Uniformes: $54,000, que benefició a 2 policías" </w:t>
      </w:r>
    </w:p>
    <w:p w14:paraId="48B843D5"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600F1612" w14:textId="77777777" w:rsidR="00A83BD3" w:rsidRPr="00523559" w:rsidRDefault="00F41D15" w:rsidP="00301B1C">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14:paraId="3DCEAC9F" w14:textId="77777777" w:rsidR="00A83BD3" w:rsidRPr="00523559" w:rsidRDefault="00F41D15" w:rsidP="00F25D19">
      <w:pPr>
        <w:numPr>
          <w:ilvl w:val="0"/>
          <w:numId w:val="1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Ahora bien, en alusión a los requerimientos formulados por el </w:t>
      </w:r>
      <w:r w:rsidRPr="00523559">
        <w:rPr>
          <w:rFonts w:ascii="Palatino Linotype" w:eastAsia="Palatino Linotype" w:hAnsi="Palatino Linotype" w:cs="Palatino Linotype"/>
          <w:b/>
          <w:color w:val="000000"/>
        </w:rPr>
        <w:t>RECURRENTE</w:t>
      </w:r>
      <w:r w:rsidR="00F25D19" w:rsidRPr="00523559">
        <w:rPr>
          <w:rFonts w:ascii="Palatino Linotype" w:eastAsia="Palatino Linotype" w:hAnsi="Palatino Linotype" w:cs="Palatino Linotype"/>
          <w:b/>
          <w:color w:val="000000"/>
        </w:rPr>
        <w:t xml:space="preserve"> </w:t>
      </w:r>
      <w:r w:rsidR="00F25D19" w:rsidRPr="00523559">
        <w:rPr>
          <w:rFonts w:ascii="Palatino Linotype" w:eastAsia="Palatino Linotype" w:hAnsi="Palatino Linotype" w:cs="Palatino Linotype"/>
          <w:color w:val="000000"/>
        </w:rPr>
        <w:t>si bien es cierto se señaló que corresponden a datos estadísticos relativos a incidencia delictiva son proporcionados directamente por el Centro de Control, Comando, Comunicación, Computo y Calidad (C5).</w:t>
      </w:r>
      <w:r w:rsidRPr="00523559">
        <w:rPr>
          <w:rFonts w:ascii="Palatino Linotype" w:eastAsia="Palatino Linotype" w:hAnsi="Palatino Linotype" w:cs="Palatino Linotype"/>
          <w:color w:val="000000"/>
        </w:rPr>
        <w:t xml:space="preserve"> </w:t>
      </w:r>
      <w:r w:rsidR="00F25D19" w:rsidRPr="00523559">
        <w:rPr>
          <w:rFonts w:ascii="Palatino Linotype" w:eastAsia="Palatino Linotype" w:hAnsi="Palatino Linotype" w:cs="Palatino Linotype"/>
          <w:color w:val="000000"/>
        </w:rPr>
        <w:t>R</w:t>
      </w:r>
      <w:r w:rsidRPr="00523559">
        <w:rPr>
          <w:rFonts w:ascii="Palatino Linotype" w:eastAsia="Palatino Linotype" w:hAnsi="Palatino Linotype" w:cs="Palatino Linotype"/>
          <w:color w:val="000000"/>
        </w:rPr>
        <w:t>esulta oportuno traer a colación los artículos 5, fracción II, XVII, 7, fracción IX, 19, fracción I, 39, inciso b), fracción VI y XI, 118 de la Ley General del Sistema Nacional de Seguridad Pública; así como, el artículo 125, fracción VIII y 142 de la Ley Orgánica Municipal del Estado de México:</w:t>
      </w:r>
    </w:p>
    <w:p w14:paraId="3CC121CF" w14:textId="77777777" w:rsidR="00A83BD3" w:rsidRPr="00523559" w:rsidRDefault="00F41D15" w:rsidP="00301B1C">
      <w:pPr>
        <w:spacing w:line="360" w:lineRule="auto"/>
        <w:ind w:left="567" w:right="49"/>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LEY GENERAL DEL SISTEMA NACIONAL DE SEGURIDAD PÚBLICA</w:t>
      </w:r>
    </w:p>
    <w:p w14:paraId="583AD811" w14:textId="77777777" w:rsidR="00A83BD3" w:rsidRPr="00523559" w:rsidRDefault="00A83BD3" w:rsidP="00301B1C">
      <w:pPr>
        <w:spacing w:line="360" w:lineRule="auto"/>
        <w:ind w:left="567" w:right="49"/>
        <w:jc w:val="both"/>
        <w:rPr>
          <w:rFonts w:ascii="Palatino Linotype" w:eastAsia="Palatino Linotype" w:hAnsi="Palatino Linotype" w:cs="Palatino Linotype"/>
          <w:i/>
        </w:rPr>
      </w:pPr>
    </w:p>
    <w:p w14:paraId="647FE428"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5.-</w:t>
      </w:r>
      <w:r w:rsidRPr="00523559">
        <w:rPr>
          <w:rFonts w:ascii="Palatino Linotype" w:eastAsia="Palatino Linotype" w:hAnsi="Palatino Linotype" w:cs="Palatino Linotype"/>
          <w:i/>
        </w:rPr>
        <w:t xml:space="preserve"> Para los efectos de esta Ley, se entenderá por:</w:t>
      </w:r>
    </w:p>
    <w:p w14:paraId="1960C686"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0ACBD0D"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 Bases de Datos:</w:t>
      </w:r>
      <w:r w:rsidRPr="00523559">
        <w:rPr>
          <w:rFonts w:ascii="Palatino Linotype" w:eastAsia="Palatino Linotype" w:hAnsi="Palatino Linotype" w:cs="Palatino Linotype"/>
          <w:i/>
        </w:rPr>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6DDD624D"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61112838"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XVII. Sistema Nacional de Información:</w:t>
      </w:r>
      <w:r w:rsidRPr="00523559">
        <w:rPr>
          <w:rFonts w:ascii="Palatino Linotype" w:eastAsia="Palatino Linotype" w:hAnsi="Palatino Linotype" w:cs="Palatino Linotype"/>
          <w:i/>
        </w:rPr>
        <w:t xml:space="preserve">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6A40DD1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56F632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7.-</w:t>
      </w:r>
      <w:r w:rsidRPr="00523559">
        <w:rPr>
          <w:rFonts w:ascii="Palatino Linotype" w:eastAsia="Palatino Linotype" w:hAnsi="Palatino Linotype" w:cs="Palatino Linotype"/>
          <w:i/>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2D3C6D5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23AB09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IX.</w:t>
      </w:r>
      <w:r w:rsidRPr="00523559">
        <w:rPr>
          <w:rFonts w:ascii="Palatino Linotype" w:eastAsia="Palatino Linotype" w:hAnsi="Palatino Linotype" w:cs="Palatino Linotype"/>
          <w:i/>
        </w:rPr>
        <w:t xml:space="preserve"> Generar, compartir, intercambiar, ingresar, almacenar y proveer información, archivos y contenidos a las Bases de Datos que integran el Sistema Nacional de Información, de conformidad con lo dispuesto en la legislación en la materia. </w:t>
      </w:r>
    </w:p>
    <w:p w14:paraId="209472F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Tratándose de manejo de datos que provengan del Registro Nacional de Detenciones se atendrá a lo dispuesto en la Ley Nacional del Registro de Detenciones;</w:t>
      </w:r>
    </w:p>
    <w:p w14:paraId="7A0BEBE3"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665591A" w14:textId="77777777" w:rsidR="00A83BD3" w:rsidRPr="00523559" w:rsidRDefault="00A83BD3" w:rsidP="00301B1C">
      <w:pPr>
        <w:spacing w:line="360" w:lineRule="auto"/>
        <w:ind w:left="567" w:right="49"/>
        <w:jc w:val="both"/>
        <w:rPr>
          <w:rFonts w:ascii="Palatino Linotype" w:eastAsia="Palatino Linotype" w:hAnsi="Palatino Linotype" w:cs="Palatino Linotype"/>
          <w:i/>
        </w:rPr>
      </w:pPr>
    </w:p>
    <w:p w14:paraId="69181B2D"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19.-</w:t>
      </w:r>
      <w:r w:rsidRPr="00523559">
        <w:rPr>
          <w:rFonts w:ascii="Palatino Linotype" w:eastAsia="Palatino Linotype" w:hAnsi="Palatino Linotype" w:cs="Palatino Linotype"/>
          <w:i/>
        </w:rPr>
        <w:t xml:space="preserve"> El Centro Nacional de Información será el responsable de regular el Sistema Nacional de Información y tendrá, entre otras, las siguientes atribuciones: </w:t>
      </w:r>
    </w:p>
    <w:p w14:paraId="5CD77A4B"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I.</w:t>
      </w:r>
      <w:r w:rsidRPr="00523559">
        <w:rPr>
          <w:rFonts w:ascii="Palatino Linotype" w:eastAsia="Palatino Linotype" w:hAnsi="Palatino Linotype" w:cs="Palatino Linotype"/>
          <w:i/>
        </w:rPr>
        <w:t xml:space="preserve"> Determinar los criterios técnicos y de homologación de las Bases de Datos que conforman el Sistema Nacional de Información;</w:t>
      </w:r>
    </w:p>
    <w:p w14:paraId="517B6D21"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7167BAF"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Artículo 39.-</w:t>
      </w:r>
      <w:r w:rsidRPr="00523559">
        <w:rPr>
          <w:rFonts w:ascii="Palatino Linotype" w:eastAsia="Palatino Linotype" w:hAnsi="Palatino Linotype" w:cs="Palatino Linotype"/>
          <w:i/>
        </w:rPr>
        <w:t xml:space="preserve"> La concurrencia de facultades entre la Federación, las entidades federativas y los Municipios, quedará distribuida conforme a lo siguiente:</w:t>
      </w:r>
    </w:p>
    <w:p w14:paraId="0493A33F"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2EEA63FB"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B.</w:t>
      </w:r>
      <w:r w:rsidRPr="00523559">
        <w:rPr>
          <w:rFonts w:ascii="Palatino Linotype" w:eastAsia="Palatino Linotype" w:hAnsi="Palatino Linotype" w:cs="Palatino Linotype"/>
          <w:i/>
        </w:rPr>
        <w:t xml:space="preserve"> Corresponde a la Federación, a las entidades federativas y a los Municipios, en el ámbito de sus respectivas competencias:</w:t>
      </w:r>
    </w:p>
    <w:p w14:paraId="710A6195" w14:textId="77777777" w:rsidR="00A83BD3" w:rsidRPr="00523559" w:rsidRDefault="00F41D15" w:rsidP="00301B1C">
      <w:pPr>
        <w:spacing w:line="360" w:lineRule="auto"/>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64E8352" w14:textId="77777777" w:rsidR="00A83BD3" w:rsidRPr="00523559" w:rsidRDefault="00F41D15" w:rsidP="00301B1C">
      <w:pPr>
        <w:spacing w:line="360" w:lineRule="auto"/>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VI.</w:t>
      </w:r>
      <w:r w:rsidRPr="00523559">
        <w:rPr>
          <w:rFonts w:ascii="Palatino Linotype" w:eastAsia="Palatino Linotype" w:hAnsi="Palatino Linotype" w:cs="Palatino Linotype"/>
          <w:i/>
        </w:rPr>
        <w:t xml:space="preserve"> Designar a un responsable del control, suministro y adecuado manejo de la información a que se refiere esta Ley;</w:t>
      </w:r>
    </w:p>
    <w:p w14:paraId="7D10B3BB" w14:textId="77777777" w:rsidR="00A83BD3" w:rsidRPr="00523559" w:rsidRDefault="00F41D15" w:rsidP="00301B1C">
      <w:pPr>
        <w:spacing w:line="360" w:lineRule="auto"/>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4CC1010" w14:textId="77777777" w:rsidR="00A83BD3" w:rsidRPr="00523559" w:rsidRDefault="00F41D15" w:rsidP="00301B1C">
      <w:pPr>
        <w:spacing w:line="360" w:lineRule="auto"/>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XI.</w:t>
      </w:r>
      <w:r w:rsidRPr="00523559">
        <w:rPr>
          <w:rFonts w:ascii="Palatino Linotype" w:eastAsia="Palatino Linotype" w:hAnsi="Palatino Linotype" w:cs="Palatino Linotype"/>
          <w:i/>
        </w:rPr>
        <w:t xml:space="preserve"> Integrar y consultar la información relativa a la operación y Desarrollo Policial para el registro y seguimiento en el Sistema Nacional de Información; </w:t>
      </w:r>
    </w:p>
    <w:p w14:paraId="2390E47F" w14:textId="77777777" w:rsidR="00A83BD3" w:rsidRPr="00523559" w:rsidRDefault="00F41D15" w:rsidP="00301B1C">
      <w:pPr>
        <w:spacing w:line="360" w:lineRule="auto"/>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89A95D6" w14:textId="77777777" w:rsidR="00A83BD3" w:rsidRPr="00523559" w:rsidRDefault="00A83BD3" w:rsidP="00301B1C">
      <w:pPr>
        <w:spacing w:line="360" w:lineRule="auto"/>
        <w:ind w:left="567" w:right="49"/>
        <w:jc w:val="both"/>
        <w:rPr>
          <w:rFonts w:ascii="Palatino Linotype" w:eastAsia="Palatino Linotype" w:hAnsi="Palatino Linotype" w:cs="Palatino Linotype"/>
          <w:b/>
          <w:i/>
          <w:u w:val="single"/>
        </w:rPr>
      </w:pPr>
    </w:p>
    <w:p w14:paraId="2D72E0F9" w14:textId="77777777" w:rsidR="00A83BD3" w:rsidRPr="00523559" w:rsidRDefault="00F41D15" w:rsidP="00301B1C">
      <w:pPr>
        <w:spacing w:line="360" w:lineRule="auto"/>
        <w:ind w:left="567" w:right="49"/>
        <w:jc w:val="both"/>
        <w:rPr>
          <w:rFonts w:ascii="Palatino Linotype" w:eastAsia="Palatino Linotype" w:hAnsi="Palatino Linotype" w:cs="Palatino Linotype"/>
          <w:b/>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 xml:space="preserve">Artículo 118.- Las Bases de Datos que integran el Sistema Nacional de Información se actualizarán permanentemente y serán de consulta obligatoria para garantizar la efectividad en las actividades de Seguridad Pública. </w:t>
      </w:r>
    </w:p>
    <w:p w14:paraId="2B2D8D1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0D89B280" w14:textId="77777777" w:rsidR="00A83BD3" w:rsidRPr="00523559" w:rsidRDefault="00F41D15" w:rsidP="00301B1C">
      <w:pPr>
        <w:spacing w:line="360" w:lineRule="auto"/>
        <w:ind w:left="567" w:right="49"/>
        <w:jc w:val="both"/>
        <w:rPr>
          <w:rFonts w:ascii="Palatino Linotype" w:eastAsia="Palatino Linotype" w:hAnsi="Palatino Linotype" w:cs="Palatino Linotype"/>
          <w:b/>
          <w:i/>
        </w:rPr>
      </w:pPr>
      <w:r w:rsidRPr="00523559">
        <w:rPr>
          <w:rFonts w:ascii="Palatino Linotype" w:eastAsia="Palatino Linotype" w:hAnsi="Palatino Linotype" w:cs="Palatino Linotype"/>
          <w:i/>
        </w:rPr>
        <w:lastRenderedPageBreak/>
        <w:t>El Registro Nacional de Detenciones se vinculará con las Bases de Datos a que se refiere el presente artículo, mediante el número de identificación al que hace referencia la ley de la materia.”</w:t>
      </w:r>
    </w:p>
    <w:p w14:paraId="76918C7F" w14:textId="77777777" w:rsidR="00A83BD3" w:rsidRPr="00523559" w:rsidRDefault="00A83BD3" w:rsidP="00301B1C">
      <w:pPr>
        <w:spacing w:line="360" w:lineRule="auto"/>
        <w:ind w:left="567" w:right="49"/>
        <w:rPr>
          <w:rFonts w:ascii="Palatino Linotype" w:eastAsia="Palatino Linotype" w:hAnsi="Palatino Linotype" w:cs="Palatino Linotype"/>
          <w:b/>
          <w:i/>
        </w:rPr>
      </w:pPr>
    </w:p>
    <w:p w14:paraId="48C7E696" w14:textId="77777777" w:rsidR="00A83BD3" w:rsidRPr="00523559" w:rsidRDefault="00F41D15" w:rsidP="00301B1C">
      <w:pPr>
        <w:spacing w:line="360" w:lineRule="auto"/>
        <w:ind w:left="567" w:right="49"/>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LEY ORGÁNICA MUNICIPAL DEL ESTADO DE MÉXICO</w:t>
      </w:r>
    </w:p>
    <w:p w14:paraId="37E5EB79" w14:textId="77777777" w:rsidR="00A83BD3" w:rsidRPr="00523559" w:rsidRDefault="00A83BD3" w:rsidP="00301B1C">
      <w:pPr>
        <w:spacing w:line="360" w:lineRule="auto"/>
        <w:ind w:left="567" w:right="49"/>
        <w:jc w:val="both"/>
        <w:rPr>
          <w:rFonts w:ascii="Palatino Linotype" w:eastAsia="Palatino Linotype" w:hAnsi="Palatino Linotype" w:cs="Palatino Linotype"/>
          <w:i/>
        </w:rPr>
      </w:pPr>
    </w:p>
    <w:p w14:paraId="0A8758C7"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125.-</w:t>
      </w:r>
      <w:r w:rsidRPr="00523559">
        <w:rPr>
          <w:rFonts w:ascii="Palatino Linotype" w:eastAsia="Palatino Linotype" w:hAnsi="Palatino Linotype" w:cs="Palatino Linotype"/>
          <w:i/>
        </w:rPr>
        <w:t xml:space="preserve"> Los municipios tendrán a su cargo la prestación, explotación, administración y conservación de los servicios públicos municipales, considerándose enunciativa y no limitativamente, los siguientes:</w:t>
      </w:r>
    </w:p>
    <w:p w14:paraId="05657947"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20EA4800"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VIII. Seguridad pública y tránsito;</w:t>
      </w:r>
    </w:p>
    <w:p w14:paraId="56D8EC1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AE6CC48" w14:textId="77777777" w:rsidR="00A83BD3" w:rsidRPr="00523559" w:rsidRDefault="00A83BD3" w:rsidP="00301B1C">
      <w:pPr>
        <w:spacing w:line="360" w:lineRule="auto"/>
        <w:ind w:left="567" w:right="49"/>
        <w:jc w:val="both"/>
        <w:rPr>
          <w:rFonts w:ascii="Palatino Linotype" w:eastAsia="Palatino Linotype" w:hAnsi="Palatino Linotype" w:cs="Palatino Linotype"/>
          <w:i/>
        </w:rPr>
      </w:pPr>
    </w:p>
    <w:p w14:paraId="6337C563"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142.-</w:t>
      </w:r>
      <w:r w:rsidRPr="00523559">
        <w:rPr>
          <w:rFonts w:ascii="Palatino Linotype" w:eastAsia="Palatino Linotype" w:hAnsi="Palatino Linotype" w:cs="Palatino Linotype"/>
          <w:i/>
        </w:rPr>
        <w:t xml:space="preserv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6D9C61FF"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 En cada municipio se deberán integrar cuerpos de seguridad pública, de bomberos y, en su caso, de tránsito, estos servidores públicos preferentemente serán vecinos del municipio, de los cuales el presidente municipal será el jefe inmediato” </w:t>
      </w:r>
    </w:p>
    <w:p w14:paraId="23685738"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74E6C240" w14:textId="77777777" w:rsidR="00A83BD3" w:rsidRPr="00523559" w:rsidRDefault="00F41D15" w:rsidP="00301B1C">
      <w:pPr>
        <w:numPr>
          <w:ilvl w:val="0"/>
          <w:numId w:val="1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este sentido, la Ley General del Sistema Nacional de Seguridad Pública prevé un esquema de distribución de competencias entre la Federación, los Estados y los </w:t>
      </w:r>
      <w:r w:rsidRPr="00523559">
        <w:rPr>
          <w:rFonts w:ascii="Palatino Linotype" w:eastAsia="Palatino Linotype" w:hAnsi="Palatino Linotype" w:cs="Palatino Linotype"/>
          <w:b/>
          <w:color w:val="000000"/>
        </w:rPr>
        <w:lastRenderedPageBreak/>
        <w:t>Municipios</w:t>
      </w:r>
      <w:r w:rsidRPr="00523559">
        <w:rPr>
          <w:rFonts w:ascii="Palatino Linotype" w:eastAsia="Palatino Linotype" w:hAnsi="Palatino Linotype" w:cs="Palatino Linotype"/>
          <w:color w:val="000000"/>
        </w:rPr>
        <w:t xml:space="preserve">. Destacando, con relación a estos últimos, la integración y actualización de diversas </w:t>
      </w:r>
      <w:r w:rsidRPr="00523559">
        <w:rPr>
          <w:rFonts w:ascii="Palatino Linotype" w:eastAsia="Palatino Linotype" w:hAnsi="Palatino Linotype" w:cs="Palatino Linotype"/>
          <w:b/>
          <w:color w:val="000000"/>
        </w:rPr>
        <w:t>Bases de Datos</w:t>
      </w:r>
      <w:r w:rsidRPr="00523559">
        <w:rPr>
          <w:rFonts w:ascii="Palatino Linotype" w:eastAsia="Palatino Linotype" w:hAnsi="Palatino Linotype" w:cs="Palatino Linotype"/>
          <w:color w:val="000000"/>
        </w:rPr>
        <w:t>. Luego entonces, 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53B7195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Artículo 24.</w:t>
      </w:r>
      <w:r w:rsidRPr="00523559">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w:t>
      </w:r>
    </w:p>
    <w:p w14:paraId="3253333C" w14:textId="77777777" w:rsidR="00A83BD3" w:rsidRPr="00523559" w:rsidRDefault="00F41D15" w:rsidP="00301B1C">
      <w:pPr>
        <w:tabs>
          <w:tab w:val="left" w:pos="1287"/>
        </w:tabs>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3CE15379"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XII.</w:t>
      </w:r>
      <w:r w:rsidRPr="00523559">
        <w:rPr>
          <w:rFonts w:ascii="Palatino Linotype" w:eastAsia="Palatino Linotype" w:hAnsi="Palatino Linotype" w:cs="Palatino Linotype"/>
          <w:i/>
        </w:rPr>
        <w:t xml:space="preserve"> Publicar y mantener actualizada la información relativa a las obligaciones generales de transparencia previstas en la presente Ley o determinadas así por el Instituto, y en general aquella que sea de interés público;</w:t>
      </w:r>
    </w:p>
    <w:p w14:paraId="2B4C1828"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21479026" w14:textId="77777777" w:rsidR="00F25D19" w:rsidRPr="00523559" w:rsidRDefault="00F25D19" w:rsidP="00301B1C">
      <w:pPr>
        <w:spacing w:line="360" w:lineRule="auto"/>
        <w:ind w:left="567" w:right="49"/>
        <w:jc w:val="both"/>
        <w:rPr>
          <w:rFonts w:ascii="Palatino Linotype" w:eastAsia="Palatino Linotype" w:hAnsi="Palatino Linotype" w:cs="Palatino Linotype"/>
          <w:i/>
        </w:rPr>
      </w:pPr>
    </w:p>
    <w:p w14:paraId="5171BE9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92.</w:t>
      </w:r>
      <w:r w:rsidRPr="00523559">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A8CCCB"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4DC554D9"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XXXIV.</w:t>
      </w:r>
      <w:r w:rsidRPr="00523559">
        <w:rPr>
          <w:rFonts w:ascii="Palatino Linotype" w:eastAsia="Palatino Linotype" w:hAnsi="Palatino Linotype" w:cs="Palatino Linotype"/>
          <w:i/>
        </w:rPr>
        <w:t xml:space="preserve"> Las estadísticas que generen en cumplimiento de sus facultades, competencias o funciones con la mayor desagregación posible;</w:t>
      </w:r>
    </w:p>
    <w:p w14:paraId="2654DF27"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 xml:space="preserve">(…)” </w:t>
      </w:r>
    </w:p>
    <w:p w14:paraId="2101983D" w14:textId="77777777" w:rsidR="00A83BD3" w:rsidRPr="00523559" w:rsidRDefault="00A83BD3" w:rsidP="00301B1C">
      <w:pPr>
        <w:tabs>
          <w:tab w:val="left" w:pos="426"/>
        </w:tabs>
        <w:spacing w:line="360" w:lineRule="auto"/>
        <w:ind w:right="49"/>
        <w:jc w:val="center"/>
        <w:rPr>
          <w:rFonts w:ascii="Palatino Linotype" w:eastAsia="Palatino Linotype" w:hAnsi="Palatino Linotype" w:cs="Palatino Linotype"/>
          <w:color w:val="000000"/>
        </w:rPr>
      </w:pPr>
    </w:p>
    <w:p w14:paraId="553A110F" w14:textId="77777777" w:rsidR="00A83BD3" w:rsidRPr="00523559" w:rsidRDefault="00F41D15" w:rsidP="00301B1C">
      <w:pPr>
        <w:numPr>
          <w:ilvl w:val="0"/>
          <w:numId w:val="1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Correlativo a lo anterior, el Criterio 11/09 emitido por el hoy Instituto Nacional de Transparencia, Acceso a la Información y Protección de Datos Personales; refiere lo siguiente: </w:t>
      </w:r>
    </w:p>
    <w:p w14:paraId="2FAD4F6E" w14:textId="77777777" w:rsidR="00A83BD3" w:rsidRPr="00523559" w:rsidRDefault="00F41D15" w:rsidP="00E2036E">
      <w:pPr>
        <w:spacing w:line="360" w:lineRule="auto"/>
        <w:ind w:left="426" w:right="474"/>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i/>
          <w:color w:val="000000"/>
        </w:rPr>
        <w:t>LA INFORMACIÓN ESTADÍSTICA ES DE NATURALEZA PÚBLICA, INDEPENDIENTEMENTE DE LA MATERIA CON LA QUE SE ENCUENTRE VINCULADA</w:t>
      </w:r>
      <w:r w:rsidRPr="00523559">
        <w:rPr>
          <w:rFonts w:ascii="Palatino Linotype" w:eastAsia="Palatino Linotype" w:hAnsi="Palatino Linotype" w:cs="Palatino Linotype"/>
          <w:i/>
          <w:color w:val="000000"/>
        </w:rPr>
        <w:t>.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6CD06C7" w14:textId="77777777" w:rsidR="00A83BD3" w:rsidRPr="00523559" w:rsidRDefault="00A83BD3" w:rsidP="00301B1C">
      <w:pPr>
        <w:tabs>
          <w:tab w:val="left" w:pos="426"/>
        </w:tabs>
        <w:spacing w:line="360" w:lineRule="auto"/>
        <w:ind w:right="49"/>
        <w:jc w:val="both"/>
        <w:rPr>
          <w:rFonts w:ascii="Palatino Linotype" w:eastAsia="Palatino Linotype" w:hAnsi="Palatino Linotype" w:cs="Palatino Linotype"/>
          <w:color w:val="000000"/>
        </w:rPr>
      </w:pPr>
    </w:p>
    <w:p w14:paraId="2289D5A3" w14:textId="77777777" w:rsidR="00A83BD3" w:rsidRPr="00523559" w:rsidRDefault="00F41D15" w:rsidP="00301B1C">
      <w:pPr>
        <w:numPr>
          <w:ilvl w:val="0"/>
          <w:numId w:val="1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este sentido, se concluye que al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le compete generar, poseer y administrar estadística de la </w:t>
      </w:r>
      <w:r w:rsidRPr="00523559">
        <w:rPr>
          <w:rFonts w:ascii="Palatino Linotype" w:eastAsia="Palatino Linotype" w:hAnsi="Palatino Linotype" w:cs="Palatino Linotype"/>
          <w:b/>
          <w:color w:val="000000"/>
        </w:rPr>
        <w:t>“</w:t>
      </w:r>
      <w:r w:rsidRPr="00523559">
        <w:rPr>
          <w:rFonts w:ascii="Palatino Linotype" w:eastAsia="Palatino Linotype" w:hAnsi="Palatino Linotype" w:cs="Palatino Linotype"/>
          <w:b/>
          <w:i/>
          <w:color w:val="000000"/>
        </w:rPr>
        <w:t>incidencia delictiva</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 xml:space="preserve">que ocurre en el </w:t>
      </w:r>
      <w:r w:rsidRPr="00523559">
        <w:rPr>
          <w:rFonts w:ascii="Palatino Linotype" w:eastAsia="Palatino Linotype" w:hAnsi="Palatino Linotype" w:cs="Palatino Linotype"/>
          <w:color w:val="000000"/>
        </w:rPr>
        <w:lastRenderedPageBreak/>
        <w:t>territorio municipal, asimismo</w:t>
      </w:r>
      <w:r w:rsidRPr="00523559">
        <w:rPr>
          <w:rFonts w:ascii="Palatino Linotype" w:eastAsia="Palatino Linotype" w:hAnsi="Palatino Linotype" w:cs="Palatino Linotype"/>
          <w:b/>
          <w:color w:val="000000"/>
        </w:rPr>
        <w:t>, esta información es susceptible de ser publicada oficiosamente.</w:t>
      </w:r>
    </w:p>
    <w:p w14:paraId="1CD5A3C9" w14:textId="77777777" w:rsidR="00A83BD3" w:rsidRPr="00523559" w:rsidRDefault="00A83BD3" w:rsidP="00301B1C">
      <w:pPr>
        <w:tabs>
          <w:tab w:val="left" w:pos="426"/>
        </w:tabs>
        <w:spacing w:line="360" w:lineRule="auto"/>
        <w:ind w:right="49"/>
        <w:jc w:val="both"/>
        <w:rPr>
          <w:rFonts w:ascii="Palatino Linotype" w:eastAsia="Palatino Linotype" w:hAnsi="Palatino Linotype" w:cs="Palatino Linotype"/>
          <w:color w:val="000000"/>
        </w:rPr>
      </w:pPr>
    </w:p>
    <w:p w14:paraId="4AF91A21"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Precisado lo anterior,  se advierte que los documentos generados por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que contienen la información solicitada, consisten en los </w:t>
      </w:r>
      <w:r w:rsidRPr="00523559">
        <w:rPr>
          <w:rFonts w:ascii="Palatino Linotype" w:eastAsia="Palatino Linotype" w:hAnsi="Palatino Linotype" w:cs="Palatino Linotype"/>
          <w:b/>
          <w:color w:val="000000"/>
        </w:rPr>
        <w:t xml:space="preserve">Informes Policiales Homologados (IPH), </w:t>
      </w:r>
      <w:r w:rsidRPr="00523559">
        <w:rPr>
          <w:rFonts w:ascii="Palatino Linotype" w:eastAsia="Palatino Linotype" w:hAnsi="Palatino Linotype" w:cs="Palatino Linotype"/>
          <w:color w:val="000000"/>
        </w:rPr>
        <w:t xml:space="preserve">para hechos probablemente delictivos. </w:t>
      </w:r>
    </w:p>
    <w:p w14:paraId="516C4219"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41309851"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Al respecto, no se omite mencionar que el ocho (08) de julio de dos mil diez, se publicó en el Diario Oficial de la Federación, el </w:t>
      </w:r>
      <w:r w:rsidRPr="00523559">
        <w:rPr>
          <w:rFonts w:ascii="Palatino Linotype" w:eastAsia="Palatino Linotype" w:hAnsi="Palatino Linotype" w:cs="Palatino Linotype"/>
          <w:i/>
          <w:color w:val="000000"/>
        </w:rPr>
        <w:t>ACUERDO por el que se dan a conocer los Lineamientos para la integración, captura, revisión y envío del Informe Policial Homologado (IPH), previsto en la Ley General del Sistema Nacional de Seguridad Pública</w:t>
      </w:r>
      <w:r w:rsidRPr="00523559">
        <w:rPr>
          <w:rFonts w:ascii="Palatino Linotype" w:eastAsia="Palatino Linotype" w:hAnsi="Palatino Linotype" w:cs="Palatino Linotype"/>
          <w:color w:val="000000"/>
        </w:rPr>
        <w:t>, por lo que la generación de información estadística relacionada con la incidencia delictiva comenzó a generarse a partir de esa fecha.</w:t>
      </w:r>
    </w:p>
    <w:p w14:paraId="00503019"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1F51EC4D"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este sentido, se advierte que, si bien es procedente la clasificación del Informe Policial Homologado como información reservada, también lo es que, de éstos, 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debe elaborar informes y los comúnmente conocidos como </w:t>
      </w:r>
      <w:r w:rsidRPr="00523559">
        <w:rPr>
          <w:rFonts w:ascii="Palatino Linotype" w:eastAsia="Palatino Linotype" w:hAnsi="Palatino Linotype" w:cs="Palatino Linotype"/>
          <w:b/>
          <w:color w:val="000000"/>
        </w:rPr>
        <w:t>“partes de novedades y partes informativos”.</w:t>
      </w:r>
    </w:p>
    <w:p w14:paraId="24E308D0"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34D5D653"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relación a lo anterior, el artículo 6 de la Ley de Seguridad del Estado de México, establece que se entenderá por Instituciones de Seguridad Pública a todas aquellas Instituciones Policiales encargadas de la seguridad pública a nivel estatal y </w:t>
      </w:r>
      <w:r w:rsidRPr="00523559">
        <w:rPr>
          <w:rFonts w:ascii="Palatino Linotype" w:eastAsia="Palatino Linotype" w:hAnsi="Palatino Linotype" w:cs="Palatino Linotype"/>
          <w:b/>
          <w:color w:val="000000"/>
        </w:rPr>
        <w:t>municipal</w:t>
      </w:r>
      <w:r w:rsidRPr="00523559">
        <w:rPr>
          <w:rFonts w:ascii="Palatino Linotype" w:eastAsia="Palatino Linotype" w:hAnsi="Palatino Linotype" w:cs="Palatino Linotype"/>
          <w:color w:val="000000"/>
        </w:rPr>
        <w:t>; como se transcribe:</w:t>
      </w:r>
    </w:p>
    <w:p w14:paraId="0A8C01ED"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w:t>
      </w:r>
      <w:r w:rsidRPr="00523559">
        <w:rPr>
          <w:rFonts w:ascii="Palatino Linotype" w:eastAsia="Palatino Linotype" w:hAnsi="Palatino Linotype" w:cs="Palatino Linotype"/>
          <w:b/>
          <w:i/>
        </w:rPr>
        <w:t>Artículo 6.-</w:t>
      </w:r>
      <w:r w:rsidRPr="00523559">
        <w:rPr>
          <w:rFonts w:ascii="Palatino Linotype" w:eastAsia="Palatino Linotype" w:hAnsi="Palatino Linotype" w:cs="Palatino Linotype"/>
          <w:i/>
        </w:rPr>
        <w:t xml:space="preserve"> Para los efectos de esta Ley, se entenderá por:</w:t>
      </w:r>
    </w:p>
    <w:p w14:paraId="3832976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7E7D82A"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XI. Instituciones Policiales</w:t>
      </w:r>
      <w:r w:rsidRPr="00523559">
        <w:rPr>
          <w:rFonts w:ascii="Palatino Linotype" w:eastAsia="Palatino Linotype" w:hAnsi="Palatino Linotype" w:cs="Palatino Linotype"/>
          <w:i/>
        </w:rPr>
        <w:t xml:space="preserve">: a los cuerpos de policía, de vigilancia y custodia de los establecimientos penitenciarios, de detención preventiva y de centros de arraigos; y </w:t>
      </w:r>
      <w:r w:rsidRPr="00523559">
        <w:rPr>
          <w:rFonts w:ascii="Palatino Linotype" w:eastAsia="Palatino Linotype" w:hAnsi="Palatino Linotype" w:cs="Palatino Linotype"/>
          <w:b/>
          <w:i/>
        </w:rPr>
        <w:t xml:space="preserve">en general todas las dependencias encargadas de la seguridad pública a nivel estatal y </w:t>
      </w:r>
      <w:r w:rsidRPr="00523559">
        <w:rPr>
          <w:rFonts w:ascii="Palatino Linotype" w:eastAsia="Palatino Linotype" w:hAnsi="Palatino Linotype" w:cs="Palatino Linotype"/>
          <w:b/>
          <w:i/>
          <w:u w:val="single"/>
        </w:rPr>
        <w:t>municipal</w:t>
      </w:r>
      <w:r w:rsidRPr="00523559">
        <w:rPr>
          <w:rFonts w:ascii="Palatino Linotype" w:eastAsia="Palatino Linotype" w:hAnsi="Palatino Linotype" w:cs="Palatino Linotype"/>
          <w:i/>
        </w:rPr>
        <w:t xml:space="preserve">, que realicen funciones similares; </w:t>
      </w:r>
    </w:p>
    <w:p w14:paraId="645C7323"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49B9E22D"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XII. Instituciones de Seguridad Pública</w:t>
      </w:r>
      <w:r w:rsidRPr="00523559">
        <w:rPr>
          <w:rFonts w:ascii="Palatino Linotype" w:eastAsia="Palatino Linotype" w:hAnsi="Palatino Linotype" w:cs="Palatino Linotype"/>
          <w:i/>
        </w:rPr>
        <w:t xml:space="preserve">: a las Instituciones Policiales, de Procuración de Justicia, del Sistema Penitenciario y </w:t>
      </w:r>
      <w:r w:rsidRPr="00523559">
        <w:rPr>
          <w:rFonts w:ascii="Palatino Linotype" w:eastAsia="Palatino Linotype" w:hAnsi="Palatino Linotype" w:cs="Palatino Linotype"/>
          <w:b/>
          <w:i/>
        </w:rPr>
        <w:t xml:space="preserve">dependencias encargadas de la seguridad pública a nivel estatal y </w:t>
      </w:r>
      <w:r w:rsidRPr="00523559">
        <w:rPr>
          <w:rFonts w:ascii="Palatino Linotype" w:eastAsia="Palatino Linotype" w:hAnsi="Palatino Linotype" w:cs="Palatino Linotype"/>
          <w:i/>
        </w:rPr>
        <w:t>municipal</w:t>
      </w:r>
      <w:r w:rsidRPr="00523559">
        <w:rPr>
          <w:rFonts w:ascii="Palatino Linotype" w:eastAsia="Palatino Linotype" w:hAnsi="Palatino Linotype" w:cs="Palatino Linotype"/>
          <w:b/>
          <w:i/>
        </w:rPr>
        <w:t xml:space="preserve">; </w:t>
      </w:r>
    </w:p>
    <w:p w14:paraId="7B26B7BA"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 </w:t>
      </w:r>
    </w:p>
    <w:p w14:paraId="1763638B" w14:textId="77777777" w:rsidR="00A83BD3" w:rsidRPr="00523559" w:rsidRDefault="00A83BD3" w:rsidP="00301B1C">
      <w:pPr>
        <w:spacing w:line="360" w:lineRule="auto"/>
        <w:ind w:right="49"/>
        <w:jc w:val="both"/>
        <w:rPr>
          <w:rFonts w:ascii="Palatino Linotype" w:eastAsia="Palatino Linotype" w:hAnsi="Palatino Linotype" w:cs="Palatino Linotype"/>
          <w:i/>
        </w:rPr>
      </w:pPr>
    </w:p>
    <w:p w14:paraId="5AEE8078"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ese mismo orden de ideas, la Ley en comento, en su artículo 138 fracción IX, X y XI, otorga facultades a dichas Instituciones para dar cabal cumplimiento a sus funciones, dentro de las cuales se encuentra el </w:t>
      </w:r>
      <w:r w:rsidRPr="00523559">
        <w:rPr>
          <w:rFonts w:ascii="Palatino Linotype" w:eastAsia="Palatino Linotype" w:hAnsi="Palatino Linotype" w:cs="Palatino Linotype"/>
          <w:b/>
          <w:color w:val="000000"/>
        </w:rPr>
        <w:t>emitir informes, partes policiales y entre otras, las siguientes:</w:t>
      </w:r>
    </w:p>
    <w:p w14:paraId="0AC3658C"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138.-</w:t>
      </w:r>
      <w:r w:rsidRPr="00523559">
        <w:rPr>
          <w:rFonts w:ascii="Palatino Linotype" w:eastAsia="Palatino Linotype" w:hAnsi="Palatino Linotype" w:cs="Palatino Linotype"/>
          <w:i/>
        </w:rPr>
        <w:t xml:space="preserve"> Las unidades de policía encargadas de la investigación científica de los delitos </w:t>
      </w:r>
      <w:r w:rsidRPr="00523559">
        <w:rPr>
          <w:rFonts w:ascii="Palatino Linotype" w:eastAsia="Palatino Linotype" w:hAnsi="Palatino Linotype" w:cs="Palatino Linotype"/>
          <w:b/>
          <w:i/>
        </w:rPr>
        <w:t>se coordinarán en los términos de esta Ley</w:t>
      </w:r>
      <w:r w:rsidRPr="00523559">
        <w:rPr>
          <w:rFonts w:ascii="Palatino Linotype" w:eastAsia="Palatino Linotype" w:hAnsi="Palatino Linotype" w:cs="Palatino Linotype"/>
          <w:i/>
        </w:rPr>
        <w:t xml:space="preserve"> y demás disposiciones aplicables, </w:t>
      </w:r>
      <w:r w:rsidRPr="00523559">
        <w:rPr>
          <w:rFonts w:ascii="Palatino Linotype" w:eastAsia="Palatino Linotype" w:hAnsi="Palatino Linotype" w:cs="Palatino Linotype"/>
          <w:b/>
          <w:i/>
        </w:rPr>
        <w:t>para el efectivo cumplimiento de sus funciones</w:t>
      </w:r>
      <w:r w:rsidRPr="00523559">
        <w:rPr>
          <w:rFonts w:ascii="Palatino Linotype" w:eastAsia="Palatino Linotype" w:hAnsi="Palatino Linotype" w:cs="Palatino Linotype"/>
          <w:i/>
        </w:rPr>
        <w:t xml:space="preserve">, y tendrán, entre otras, las facultades siguientes: </w:t>
      </w:r>
    </w:p>
    <w:p w14:paraId="051B5932"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5398286"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IX</w:t>
      </w:r>
      <w:r w:rsidRPr="00523559">
        <w:rPr>
          <w:rFonts w:ascii="Palatino Linotype" w:eastAsia="Palatino Linotype" w:hAnsi="Palatino Linotype" w:cs="Palatino Linotype"/>
          <w:i/>
        </w:rPr>
        <w:t>. Proponer al ministerio público que requiera a las autoridades competentes, informes y documentos para fines de la investigación, cuando se trate de aquellos que sólo pueda solicitar por conducto de éste;</w:t>
      </w:r>
    </w:p>
    <w:p w14:paraId="0A50FA5E"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w:t>
      </w:r>
      <w:r w:rsidRPr="00523559">
        <w:rPr>
          <w:rFonts w:ascii="Palatino Linotype" w:eastAsia="Palatino Linotype" w:hAnsi="Palatino Linotype" w:cs="Palatino Linotype"/>
          <w:i/>
        </w:rPr>
        <w:t xml:space="preserve">. Dejar constancia de cada una de sus actuaciones, así como llevar un control y seguimiento de éstas. Durante el curso de la investigación </w:t>
      </w:r>
      <w:r w:rsidRPr="00523559">
        <w:rPr>
          <w:rFonts w:ascii="Palatino Linotype" w:eastAsia="Palatino Linotype" w:hAnsi="Palatino Linotype" w:cs="Palatino Linotype"/>
          <w:b/>
          <w:i/>
        </w:rPr>
        <w:t>deberán elaborar informes sobre el desarrollo de la misma, y rendirlos al ministerio público</w:t>
      </w:r>
      <w:r w:rsidRPr="00523559">
        <w:rPr>
          <w:rFonts w:ascii="Palatino Linotype" w:eastAsia="Palatino Linotype" w:hAnsi="Palatino Linotype" w:cs="Palatino Linotype"/>
          <w:i/>
        </w:rPr>
        <w:t>, sin perjuicio de los informes que éste le requiera;</w:t>
      </w:r>
    </w:p>
    <w:p w14:paraId="5FA197A7"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XI</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Emitir los informes, partes policiales y demás documentos que se generen, con los requisitos de fondo y forma</w:t>
      </w:r>
      <w:r w:rsidRPr="00523559">
        <w:rPr>
          <w:rFonts w:ascii="Palatino Linotype" w:eastAsia="Palatino Linotype" w:hAnsi="Palatino Linotype" w:cs="Palatino Linotype"/>
          <w:i/>
        </w:rPr>
        <w:t xml:space="preserve"> que establezcan las disposiciones aplicables, para tal efecto se podrán apoyar en los conocimientos que resulten necesarios;</w:t>
      </w:r>
    </w:p>
    <w:p w14:paraId="5543C1A6"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2368F14C" w14:textId="77777777" w:rsidR="00A83BD3" w:rsidRPr="00523559" w:rsidRDefault="00F41D15" w:rsidP="00301B1C">
      <w:pPr>
        <w:spacing w:line="360" w:lineRule="auto"/>
        <w:ind w:left="567" w:right="49"/>
        <w:jc w:val="both"/>
        <w:rPr>
          <w:rFonts w:ascii="Palatino Linotype" w:eastAsia="Palatino Linotype" w:hAnsi="Palatino Linotype" w:cs="Palatino Linotype"/>
        </w:rPr>
      </w:pPr>
      <w:r w:rsidRPr="00523559">
        <w:rPr>
          <w:rFonts w:ascii="Palatino Linotype" w:eastAsia="Palatino Linotype" w:hAnsi="Palatino Linotype" w:cs="Palatino Linotype"/>
        </w:rPr>
        <w:t>(Énfasis añadido)</w:t>
      </w:r>
    </w:p>
    <w:p w14:paraId="0BFDAAFB"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D9525C5"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En esa tesitura, cabe señalar la distinción entre los partes de novedades y los partes informativos a que se hace referencia en el párrafo que antecede.</w:t>
      </w:r>
    </w:p>
    <w:p w14:paraId="7DD6AE16" w14:textId="77777777" w:rsidR="00A83BD3" w:rsidRPr="00523559" w:rsidRDefault="00F41D15" w:rsidP="00301B1C">
      <w:pPr>
        <w:tabs>
          <w:tab w:val="left" w:pos="426"/>
        </w:tabs>
        <w:spacing w:line="360" w:lineRule="auto"/>
        <w:ind w:left="567"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i/>
          <w:color w:val="000000"/>
        </w:rPr>
        <w:t xml:space="preserve">“El </w:t>
      </w:r>
      <w:r w:rsidRPr="00523559">
        <w:rPr>
          <w:rFonts w:ascii="Palatino Linotype" w:eastAsia="Palatino Linotype" w:hAnsi="Palatino Linotype" w:cs="Palatino Linotype"/>
          <w:b/>
          <w:i/>
          <w:color w:val="000000"/>
        </w:rPr>
        <w:t>PARTE DE NOVEDADES</w:t>
      </w:r>
      <w:r w:rsidRPr="00523559">
        <w:rPr>
          <w:rFonts w:ascii="Palatino Linotype" w:eastAsia="Palatino Linotype" w:hAnsi="Palatino Linotype" w:cs="Palatino Linotype"/>
          <w:i/>
          <w:color w:val="000000"/>
        </w:rPr>
        <w:t xml:space="preserve"> es la </w:t>
      </w:r>
      <w:r w:rsidRPr="00523559">
        <w:rPr>
          <w:rFonts w:ascii="Palatino Linotype" w:eastAsia="Palatino Linotype" w:hAnsi="Palatino Linotype" w:cs="Palatino Linotype"/>
          <w:b/>
          <w:i/>
          <w:color w:val="000000"/>
        </w:rPr>
        <w:t>presentación por escrito de los hechos relevantes del turno</w:t>
      </w:r>
      <w:r w:rsidRPr="00523559">
        <w:rPr>
          <w:rFonts w:ascii="Palatino Linotype" w:eastAsia="Palatino Linotype" w:hAnsi="Palatino Linotype" w:cs="Palatino Linotype"/>
          <w:i/>
          <w:color w:val="000000"/>
        </w:rPr>
        <w:t>.</w:t>
      </w:r>
    </w:p>
    <w:p w14:paraId="2FE172B0" w14:textId="77777777" w:rsidR="00A83BD3" w:rsidRPr="00523559" w:rsidRDefault="00A83BD3" w:rsidP="00301B1C">
      <w:pPr>
        <w:spacing w:line="360" w:lineRule="auto"/>
        <w:ind w:left="567" w:right="49"/>
        <w:jc w:val="both"/>
        <w:rPr>
          <w:rFonts w:ascii="Palatino Linotype" w:eastAsia="Palatino Linotype" w:hAnsi="Palatino Linotype" w:cs="Palatino Linotype"/>
          <w:i/>
        </w:rPr>
      </w:pPr>
    </w:p>
    <w:p w14:paraId="76F9849A" w14:textId="77777777" w:rsidR="00A83BD3" w:rsidRPr="00523559" w:rsidRDefault="00F41D15" w:rsidP="00301B1C">
      <w:pPr>
        <w:spacing w:line="360" w:lineRule="auto"/>
        <w:ind w:left="567"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El </w:t>
      </w:r>
      <w:r w:rsidRPr="00523559">
        <w:rPr>
          <w:rFonts w:ascii="Palatino Linotype" w:eastAsia="Palatino Linotype" w:hAnsi="Palatino Linotype" w:cs="Palatino Linotype"/>
          <w:b/>
          <w:i/>
        </w:rPr>
        <w:t>PARTE INFORMATIVO</w:t>
      </w:r>
      <w:r w:rsidRPr="00523559">
        <w:rPr>
          <w:rFonts w:ascii="Palatino Linotype" w:eastAsia="Palatino Linotype" w:hAnsi="Palatino Linotype" w:cs="Palatino Linotype"/>
          <w:i/>
        </w:rPr>
        <w:t xml:space="preserve"> es la presentación por escrito de una </w:t>
      </w:r>
      <w:r w:rsidRPr="00523559">
        <w:rPr>
          <w:rFonts w:ascii="Palatino Linotype" w:eastAsia="Palatino Linotype" w:hAnsi="Palatino Linotype" w:cs="Palatino Linotype"/>
          <w:b/>
          <w:i/>
        </w:rPr>
        <w:t>relación de los hechos involucrados en un hecho específico</w:t>
      </w:r>
      <w:r w:rsidRPr="00523559">
        <w:rPr>
          <w:rFonts w:ascii="Palatino Linotype" w:eastAsia="Palatino Linotype" w:hAnsi="Palatino Linotype" w:cs="Palatino Linotype"/>
          <w:i/>
        </w:rPr>
        <w:t>, como un accidente, una detención o cualquier otra intervención del policía en el ejercicio de sus funciones. El parte informativo normalmente forma parte del inicio de una acción legal y es leído por personas que no estuvieron en el lugar de los hechos”</w:t>
      </w:r>
    </w:p>
    <w:p w14:paraId="5D6110C3"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En ese sentido, el parte informativo pudiera contener la información peticionada al describir un hecho especifico, </w:t>
      </w:r>
      <w:r w:rsidRPr="00523559">
        <w:rPr>
          <w:rFonts w:ascii="Palatino Linotype" w:eastAsia="Palatino Linotype" w:hAnsi="Palatino Linotype" w:cs="Palatino Linotype"/>
          <w:color w:val="000000"/>
          <w:u w:val="single"/>
        </w:rPr>
        <w:t xml:space="preserve">por lo que éste Órgano garante advierte que podría ser procedente la clasificación de la información únicamente respecto a el </w:t>
      </w:r>
      <w:r w:rsidRPr="00523559">
        <w:rPr>
          <w:rFonts w:ascii="Palatino Linotype" w:eastAsia="Palatino Linotype" w:hAnsi="Palatino Linotype" w:cs="Palatino Linotype"/>
          <w:b/>
          <w:color w:val="000000"/>
          <w:u w:val="single"/>
        </w:rPr>
        <w:t>estado de fuerza</w:t>
      </w:r>
      <w:r w:rsidRPr="00523559">
        <w:rPr>
          <w:rFonts w:ascii="Palatino Linotype" w:eastAsia="Palatino Linotype" w:hAnsi="Palatino Linotype" w:cs="Palatino Linotype"/>
          <w:color w:val="000000"/>
          <w:u w:val="single"/>
        </w:rPr>
        <w:t xml:space="preserve"> utilizado en los operativos realizados en el periodo del cual se solicita la información, toda vez que podría producirse un daño con la publicación de la información y pudiera comprometer la seguridad pública municipal</w:t>
      </w:r>
      <w:r w:rsidRPr="00523559">
        <w:rPr>
          <w:rFonts w:ascii="Palatino Linotype" w:eastAsia="Palatino Linotype" w:hAnsi="Palatino Linotype" w:cs="Palatino Linotype"/>
          <w:color w:val="000000"/>
        </w:rPr>
        <w:t xml:space="preserve">; sin embargo, datos estadísticos como, por ejemplo, los resultados obtenidos, horarios y ubicaciones de hechos que ya fueron consumados, no podrían violar la secrecía del Estado, y tampoco revelaría información concerniente a procesos de investigación, y </w:t>
      </w:r>
      <w:r w:rsidRPr="00523559">
        <w:rPr>
          <w:rFonts w:ascii="Palatino Linotype" w:eastAsia="Palatino Linotype" w:hAnsi="Palatino Linotype" w:cs="Palatino Linotype"/>
          <w:b/>
          <w:color w:val="000000"/>
        </w:rPr>
        <w:t>de ninguna forma revelarían protocolos de operación, o datos personales</w:t>
      </w:r>
      <w:r w:rsidRPr="00523559">
        <w:rPr>
          <w:rFonts w:ascii="Palatino Linotype" w:eastAsia="Palatino Linotype" w:hAnsi="Palatino Linotype" w:cs="Palatino Linotype"/>
          <w:color w:val="000000"/>
        </w:rPr>
        <w:t xml:space="preserve"> de los servidores públicos que se encuentran al mando de la seguridad pública municipal como, por ejemplo, domicilio o número telefónico particular.</w:t>
      </w:r>
    </w:p>
    <w:p w14:paraId="6FCCFCC0" w14:textId="77777777" w:rsidR="00A83BD3" w:rsidRPr="00523559" w:rsidRDefault="00A83BD3" w:rsidP="00301B1C">
      <w:pPr>
        <w:tabs>
          <w:tab w:val="left" w:pos="426"/>
        </w:tabs>
        <w:spacing w:line="360" w:lineRule="auto"/>
        <w:ind w:right="49"/>
        <w:jc w:val="both"/>
        <w:rPr>
          <w:rFonts w:ascii="Palatino Linotype" w:eastAsia="Palatino Linotype" w:hAnsi="Palatino Linotype" w:cs="Palatino Linotype"/>
          <w:color w:val="000000"/>
        </w:rPr>
      </w:pPr>
    </w:p>
    <w:p w14:paraId="260951E1" w14:textId="77777777" w:rsidR="00A83BD3" w:rsidRPr="00523559" w:rsidRDefault="00F41D15" w:rsidP="00301B1C">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Número de elementos incluidos en la Licencia Oficial Colectiva al corte de octubre de 2023, así mismo el número de elementos programados para ser incluidos durante el 2024 en la Licencia Oficial Colectiva.</w:t>
      </w:r>
    </w:p>
    <w:p w14:paraId="4E96EF97"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rPr>
        <w:t xml:space="preserve">Por </w:t>
      </w:r>
      <w:r w:rsidRPr="00523559">
        <w:rPr>
          <w:rFonts w:ascii="Palatino Linotype" w:eastAsia="Palatino Linotype" w:hAnsi="Palatino Linotype" w:cs="Palatino Linotype"/>
          <w:color w:val="000000"/>
        </w:rPr>
        <w:t>cuanto</w:t>
      </w:r>
      <w:r w:rsidRPr="00523559">
        <w:rPr>
          <w:rFonts w:ascii="Palatino Linotype" w:eastAsia="Palatino Linotype" w:hAnsi="Palatino Linotype" w:cs="Palatino Linotype"/>
        </w:rPr>
        <w:t xml:space="preserve"> hace a la licencia de portación de arma, la Ley Federal de Armas de Fuego y Explosivos y su Reglamento señalan lo relativo a la expedición de las Licencias de portación de armas, responsables y sujetos a quienes les pueden ser otorgadas y bajo qué modalidad en los siguientes términos:</w:t>
      </w:r>
    </w:p>
    <w:p w14:paraId="0F725F4E" w14:textId="77777777" w:rsidR="00A83BD3" w:rsidRPr="00523559" w:rsidRDefault="00F41D15" w:rsidP="00301B1C">
      <w:pPr>
        <w:spacing w:line="360" w:lineRule="auto"/>
        <w:ind w:left="425" w:right="49"/>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Ley Federal de Armas de Fuego y Explosivos</w:t>
      </w:r>
    </w:p>
    <w:p w14:paraId="31BEF8F2" w14:textId="77777777" w:rsidR="00A83BD3" w:rsidRPr="00523559" w:rsidRDefault="00A83BD3" w:rsidP="00301B1C">
      <w:pPr>
        <w:spacing w:line="360" w:lineRule="auto"/>
        <w:ind w:left="425" w:right="49"/>
        <w:jc w:val="both"/>
        <w:rPr>
          <w:rFonts w:ascii="Palatino Linotype" w:eastAsia="Palatino Linotype" w:hAnsi="Palatino Linotype" w:cs="Palatino Linotype"/>
          <w:b/>
          <w:i/>
        </w:rPr>
      </w:pPr>
    </w:p>
    <w:p w14:paraId="06612BF1"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24.- Para portar armas se requiere la licencia respectiva</w:t>
      </w:r>
      <w:r w:rsidRPr="00523559">
        <w:rPr>
          <w:rFonts w:ascii="Palatino Linotype" w:eastAsia="Palatino Linotype" w:hAnsi="Palatino Linotype" w:cs="Palatino Linotype"/>
          <w:i/>
        </w:rPr>
        <w:t>.</w:t>
      </w:r>
    </w:p>
    <w:p w14:paraId="58DF6FBA"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ECE0EBC"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Los miembros del Ejército, Armada y Fuerza Aérea quedan exceptuados de lo anterior, en los casos y condiciones que señalen las leyes y reglamentos aplicables.</w:t>
      </w:r>
    </w:p>
    <w:p w14:paraId="121805CF"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3EA3A2ED"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Los integrantes de las </w:t>
      </w:r>
      <w:r w:rsidRPr="00523559">
        <w:rPr>
          <w:rFonts w:ascii="Palatino Linotype" w:eastAsia="Palatino Linotype" w:hAnsi="Palatino Linotype" w:cs="Palatino Linotype"/>
          <w:b/>
          <w:i/>
        </w:rPr>
        <w:t>instituciones policiales</w:t>
      </w:r>
      <w:r w:rsidRPr="00523559">
        <w:rPr>
          <w:rFonts w:ascii="Palatino Linotype" w:eastAsia="Palatino Linotype" w:hAnsi="Palatino Linotype" w:cs="Palatino Linotype"/>
          <w:i/>
        </w:rPr>
        <w:t xml:space="preserve">, federales, estatales, del Distrito Federal y </w:t>
      </w:r>
      <w:r w:rsidRPr="00523559">
        <w:rPr>
          <w:rFonts w:ascii="Palatino Linotype" w:eastAsia="Palatino Linotype" w:hAnsi="Palatino Linotype" w:cs="Palatino Linotype"/>
          <w:b/>
          <w:i/>
        </w:rPr>
        <w:t>municipales</w:t>
      </w:r>
      <w:r w:rsidRPr="00523559">
        <w:rPr>
          <w:rFonts w:ascii="Palatino Linotype" w:eastAsia="Palatino Linotype" w:hAnsi="Palatino Linotype" w:cs="Palatino Linotype"/>
          <w:i/>
        </w:rPr>
        <w:t xml:space="preserve">, así como de los servicios privados de seguridad, </w:t>
      </w:r>
      <w:r w:rsidRPr="00523559">
        <w:rPr>
          <w:rFonts w:ascii="Palatino Linotype" w:eastAsia="Palatino Linotype" w:hAnsi="Palatino Linotype" w:cs="Palatino Linotype"/>
          <w:b/>
          <w:i/>
        </w:rPr>
        <w:t>podrán portar armas en los casos, condiciones y requisitos que establecen la presente ley</w:t>
      </w:r>
      <w:r w:rsidRPr="00523559">
        <w:rPr>
          <w:rFonts w:ascii="Palatino Linotype" w:eastAsia="Palatino Linotype" w:hAnsi="Palatino Linotype" w:cs="Palatino Linotype"/>
          <w:i/>
        </w:rPr>
        <w:t xml:space="preserve"> y las demás disposiciones legales aplicables.</w:t>
      </w:r>
    </w:p>
    <w:p w14:paraId="26AE37F0"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4A4C3DD"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25</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Las licencias</w:t>
      </w:r>
      <w:r w:rsidRPr="00523559">
        <w:rPr>
          <w:rFonts w:ascii="Palatino Linotype" w:eastAsia="Palatino Linotype" w:hAnsi="Palatino Linotype" w:cs="Palatino Linotype"/>
          <w:i/>
        </w:rPr>
        <w:t xml:space="preserve"> para la portación de armas </w:t>
      </w:r>
      <w:r w:rsidRPr="00523559">
        <w:rPr>
          <w:rFonts w:ascii="Palatino Linotype" w:eastAsia="Palatino Linotype" w:hAnsi="Palatino Linotype" w:cs="Palatino Linotype"/>
          <w:b/>
          <w:i/>
        </w:rPr>
        <w:t>serán de dos clases</w:t>
      </w:r>
      <w:r w:rsidRPr="00523559">
        <w:rPr>
          <w:rFonts w:ascii="Palatino Linotype" w:eastAsia="Palatino Linotype" w:hAnsi="Palatino Linotype" w:cs="Palatino Linotype"/>
          <w:i/>
        </w:rPr>
        <w:t>:</w:t>
      </w:r>
    </w:p>
    <w:p w14:paraId="3FFAA850"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E17D34A"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 Particulares; que deberán revalidarse cada dos años, y</w:t>
      </w:r>
    </w:p>
    <w:p w14:paraId="431189A3"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II.- </w:t>
      </w:r>
      <w:r w:rsidRPr="00523559">
        <w:rPr>
          <w:rFonts w:ascii="Palatino Linotype" w:eastAsia="Palatino Linotype" w:hAnsi="Palatino Linotype" w:cs="Palatino Linotype"/>
          <w:b/>
          <w:i/>
        </w:rPr>
        <w:t>Oficiales</w:t>
      </w:r>
      <w:r w:rsidRPr="00523559">
        <w:rPr>
          <w:rFonts w:ascii="Palatino Linotype" w:eastAsia="Palatino Linotype" w:hAnsi="Palatino Linotype" w:cs="Palatino Linotype"/>
          <w:i/>
        </w:rPr>
        <w:t xml:space="preserve">, que </w:t>
      </w:r>
      <w:r w:rsidRPr="00523559">
        <w:rPr>
          <w:rFonts w:ascii="Palatino Linotype" w:eastAsia="Palatino Linotype" w:hAnsi="Palatino Linotype" w:cs="Palatino Linotype"/>
          <w:b/>
          <w:i/>
        </w:rPr>
        <w:t>tendrán validez mientras se desempeñe el cargo</w:t>
      </w:r>
      <w:r w:rsidRPr="00523559">
        <w:rPr>
          <w:rFonts w:ascii="Palatino Linotype" w:eastAsia="Palatino Linotype" w:hAnsi="Palatino Linotype" w:cs="Palatino Linotype"/>
          <w:i/>
        </w:rPr>
        <w:t xml:space="preserve"> o empleo que las motivó</w:t>
      </w:r>
    </w:p>
    <w:p w14:paraId="12D9FE32"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FF97EAF"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29.-</w:t>
      </w:r>
      <w:r w:rsidRPr="00523559">
        <w:rPr>
          <w:rFonts w:ascii="Palatino Linotype" w:eastAsia="Palatino Linotype" w:hAnsi="Palatino Linotype" w:cs="Palatino Linotype"/>
          <w:i/>
        </w:rPr>
        <w:t xml:space="preserve"> Las licencias oficiales para la portación de armas pueden ser </w:t>
      </w:r>
      <w:r w:rsidRPr="00523559">
        <w:rPr>
          <w:rFonts w:ascii="Palatino Linotype" w:eastAsia="Palatino Linotype" w:hAnsi="Palatino Linotype" w:cs="Palatino Linotype"/>
          <w:b/>
          <w:i/>
        </w:rPr>
        <w:t>colectivas</w:t>
      </w:r>
      <w:r w:rsidRPr="00523559">
        <w:rPr>
          <w:rFonts w:ascii="Palatino Linotype" w:eastAsia="Palatino Linotype" w:hAnsi="Palatino Linotype" w:cs="Palatino Linotype"/>
          <w:i/>
        </w:rPr>
        <w:t xml:space="preserve"> o individuales.</w:t>
      </w:r>
    </w:p>
    <w:p w14:paraId="317DD418"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33E725D"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 Las licencias colectivas podrán expedirse a:</w:t>
      </w:r>
    </w:p>
    <w:p w14:paraId="4DB624DD"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 Las dependencias oficiales y organismos públicos federales a cuyo cargo se encuentran las instalaciones estratégicas del país.</w:t>
      </w:r>
    </w:p>
    <w:p w14:paraId="5FB10C46"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2630B90A"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Los titulares de las licencias colectivas expedirán credenciales foliadas de identificación personal, que contendrán los datos de la licencia colectiva y se renovarán semestralmente.</w:t>
      </w:r>
    </w:p>
    <w:p w14:paraId="363785C8"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B1418A2"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B. Las instituciones policiales</w:t>
      </w:r>
      <w:r w:rsidRPr="00523559">
        <w:rPr>
          <w:rFonts w:ascii="Palatino Linotype" w:eastAsia="Palatino Linotype" w:hAnsi="Palatino Linotype" w:cs="Palatino Linotype"/>
          <w:i/>
        </w:rPr>
        <w:t>. Estas licencias se sujetarán a los lineamientos siguientes:</w:t>
      </w:r>
    </w:p>
    <w:p w14:paraId="1D01C390"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67B83471"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a) Dichas instituciones deberán cumplir con las disposiciones legales de orden federal o local que resulten aplicables.</w:t>
      </w:r>
    </w:p>
    <w:p w14:paraId="20C0B7AF"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1C5365E1"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b) La Secretaría de Gobernación será el conducto para solicitar a la Secretaría de la Defensa Nacional la expedición de licencia colectiva a las instituciones policiales, mismas que sólo se solicitarán para las personas que integren su organización operativa y que figuren en las nóminas de pago respectivas, debiéndose notificar a estas secretarías cualquier cambio en su plantilla laboral. </w:t>
      </w:r>
    </w:p>
    <w:p w14:paraId="46783025"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BDBD941"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Las autoridades competentes resolverán dentro de los sesenta días siguientes a la presentación de la solicitud ante la Secretaría de Gobernación, y</w:t>
      </w:r>
    </w:p>
    <w:p w14:paraId="0C2A55FA"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F31169C" w14:textId="77777777" w:rsidR="00A83BD3" w:rsidRPr="00523559" w:rsidRDefault="00F41D15" w:rsidP="00301B1C">
      <w:pPr>
        <w:spacing w:line="360" w:lineRule="auto"/>
        <w:ind w:left="425" w:right="49"/>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c) Los titulares de las instituciones policiales, expedirán a su personal operativo, inscrito en el registro que establezca la ley de la materia, credenciales foliadas de identificación personal, por lapsos semestrales</w:t>
      </w:r>
      <w:r w:rsidRPr="00523559">
        <w:rPr>
          <w:rFonts w:ascii="Palatino Linotype" w:eastAsia="Palatino Linotype" w:hAnsi="Palatino Linotype" w:cs="Palatino Linotype"/>
          <w:i/>
        </w:rPr>
        <w:t xml:space="preserve">, las </w:t>
      </w:r>
      <w:r w:rsidRPr="00523559">
        <w:rPr>
          <w:rFonts w:ascii="Palatino Linotype" w:eastAsia="Palatino Linotype" w:hAnsi="Palatino Linotype" w:cs="Palatino Linotype"/>
          <w:b/>
          <w:i/>
        </w:rPr>
        <w:t>cuales, durante su vigencia, se asimilarán a licencias individuales.</w:t>
      </w:r>
    </w:p>
    <w:p w14:paraId="293D40C1"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C. 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p>
    <w:p w14:paraId="2DE9FD0A"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49D22B5"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D. Las autoridades competentes se coordinarán con los Gobiernos de los Estados para obtener, con oportunidad y exactitud, la información necesaria para el cumplimiento de esta ley. </w:t>
      </w:r>
    </w:p>
    <w:p w14:paraId="1B492477"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6008B13C"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E. La Secretaría de la Defensa Nacional inspeccionará periódicamente el armamento, sólo para efectos de su control, sin tener autoridad alguna sobre el personal.</w:t>
      </w:r>
    </w:p>
    <w:p w14:paraId="488439FE"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13B18E08"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II. Las licencias individuales se expedirán a quienes desempeñen cargos o empleos en la Federación o en las Entidades Federativas, que para el cumplimiento de sus obligaciones requieran, en opinión de la autoridad competente, la portación de armas.</w:t>
      </w:r>
    </w:p>
    <w:p w14:paraId="1DA28AB2"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III. Los servidores públicos a que se refiere este artículo deberán cumplir, además, con los requisitos establecidos en los cinco primeros incisos de la fracción I del artículo 26 de esta ley</w:t>
      </w:r>
    </w:p>
    <w:p w14:paraId="7FAF9492"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DE390F0"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30.-</w:t>
      </w:r>
      <w:r w:rsidRPr="00523559">
        <w:rPr>
          <w:rFonts w:ascii="Palatino Linotype" w:eastAsia="Palatino Linotype" w:hAnsi="Palatino Linotype" w:cs="Palatino Linotype"/>
          <w:i/>
        </w:rPr>
        <w:t xml:space="preserve"> Corresponde a la Secretaría de la Defensa Nacional, con la salvedad señalada en el artículo 32 de esta Ley, </w:t>
      </w:r>
      <w:r w:rsidRPr="00523559">
        <w:rPr>
          <w:rFonts w:ascii="Palatino Linotype" w:eastAsia="Palatino Linotype" w:hAnsi="Palatino Linotype" w:cs="Palatino Linotype"/>
          <w:b/>
          <w:i/>
        </w:rPr>
        <w:t>la expedición, suspensión y cancelación de las licencias de portación de armas</w:t>
      </w:r>
      <w:r w:rsidRPr="00523559">
        <w:rPr>
          <w:rFonts w:ascii="Palatino Linotype" w:eastAsia="Palatino Linotype" w:hAnsi="Palatino Linotype" w:cs="Palatino Linotype"/>
          <w:i/>
        </w:rPr>
        <w:t xml:space="preserve">, así como su registro, control y vigilancia. </w:t>
      </w:r>
    </w:p>
    <w:p w14:paraId="6E3C103D"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1147F830"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La propia Secretaría comunicará oportunamente a la de Gobernación, las licencias que autorice, suspenda o cancele.</w:t>
      </w:r>
    </w:p>
    <w:p w14:paraId="1108FF04" w14:textId="77777777" w:rsidR="00A83BD3" w:rsidRPr="00523559" w:rsidRDefault="00A83BD3" w:rsidP="00301B1C">
      <w:pPr>
        <w:spacing w:line="360" w:lineRule="auto"/>
        <w:ind w:left="425" w:right="49"/>
        <w:jc w:val="center"/>
        <w:rPr>
          <w:rFonts w:ascii="Palatino Linotype" w:eastAsia="Palatino Linotype" w:hAnsi="Palatino Linotype" w:cs="Palatino Linotype"/>
          <w:b/>
          <w:i/>
        </w:rPr>
      </w:pPr>
    </w:p>
    <w:p w14:paraId="212BEB10" w14:textId="77777777" w:rsidR="00A83BD3" w:rsidRPr="00523559" w:rsidRDefault="00F41D15" w:rsidP="00301B1C">
      <w:pPr>
        <w:spacing w:line="360" w:lineRule="auto"/>
        <w:ind w:left="425" w:right="49"/>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Reglamento de la Ley Federal de Armas de Fuego y Explosivos</w:t>
      </w:r>
    </w:p>
    <w:p w14:paraId="2CE5778A"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7A27C1D8"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7o.- La portación de armas</w:t>
      </w:r>
      <w:r w:rsidRPr="00523559">
        <w:rPr>
          <w:rFonts w:ascii="Palatino Linotype" w:eastAsia="Palatino Linotype" w:hAnsi="Palatino Linotype" w:cs="Palatino Linotype"/>
          <w:i/>
        </w:rPr>
        <w:t xml:space="preserve"> se ajustará estrictamente a lo dispuesto en las </w:t>
      </w:r>
      <w:r w:rsidRPr="00523559">
        <w:rPr>
          <w:rFonts w:ascii="Palatino Linotype" w:eastAsia="Palatino Linotype" w:hAnsi="Palatino Linotype" w:cs="Palatino Linotype"/>
          <w:b/>
          <w:i/>
        </w:rPr>
        <w:t>licencias respectivas.</w:t>
      </w:r>
      <w:r w:rsidRPr="00523559">
        <w:rPr>
          <w:rFonts w:ascii="Palatino Linotype" w:eastAsia="Palatino Linotype" w:hAnsi="Palatino Linotype" w:cs="Palatino Linotype"/>
          <w:i/>
        </w:rPr>
        <w:t xml:space="preserve"> </w:t>
      </w:r>
    </w:p>
    <w:p w14:paraId="62447E11"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78A54317"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22.- Las licencias</w:t>
      </w:r>
      <w:r w:rsidRPr="00523559">
        <w:rPr>
          <w:rFonts w:ascii="Palatino Linotype" w:eastAsia="Palatino Linotype" w:hAnsi="Palatino Linotype" w:cs="Palatino Linotype"/>
          <w:i/>
        </w:rPr>
        <w:t xml:space="preserve"> particulares y las </w:t>
      </w:r>
      <w:r w:rsidRPr="00523559">
        <w:rPr>
          <w:rFonts w:ascii="Palatino Linotype" w:eastAsia="Palatino Linotype" w:hAnsi="Palatino Linotype" w:cs="Palatino Linotype"/>
          <w:b/>
          <w:i/>
        </w:rPr>
        <w:t>oficiales colectivas</w:t>
      </w:r>
      <w:r w:rsidRPr="00523559">
        <w:rPr>
          <w:rFonts w:ascii="Palatino Linotype" w:eastAsia="Palatino Linotype" w:hAnsi="Palatino Linotype" w:cs="Palatino Linotype"/>
          <w:i/>
        </w:rPr>
        <w:t xml:space="preserve"> para la portación de armas, </w:t>
      </w:r>
      <w:r w:rsidRPr="00523559">
        <w:rPr>
          <w:rFonts w:ascii="Palatino Linotype" w:eastAsia="Palatino Linotype" w:hAnsi="Palatino Linotype" w:cs="Palatino Linotype"/>
          <w:b/>
          <w:i/>
        </w:rPr>
        <w:t>serán expedidas exclusivamente por la Secretaría</w:t>
      </w:r>
      <w:r w:rsidRPr="00523559">
        <w:rPr>
          <w:rFonts w:ascii="Palatino Linotype" w:eastAsia="Palatino Linotype" w:hAnsi="Palatino Linotype" w:cs="Palatino Linotype"/>
          <w:i/>
        </w:rPr>
        <w:t>.</w:t>
      </w:r>
    </w:p>
    <w:p w14:paraId="770BBF4A"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18B6767E"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Para las licencias particulares se cubrirán anticipadamente los derechos que procedan.</w:t>
      </w:r>
    </w:p>
    <w:p w14:paraId="2AEC75F3"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Los Generales, Jefes y Oficiales del Ejército, Fuerza Aérea y Armada de México, que vestidos de civil porten armas, deberán identificarse con su credencial, cuantas veces sean requeridos para ello por autoridad competente.</w:t>
      </w:r>
    </w:p>
    <w:p w14:paraId="4C75AB44"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59382E30"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Los individuos de tropa en actos fuera del servicio, sólo podrán portar armas cuando tengan autorización escrita de la Secretaría de la Defensa Nacional o de Marina, en su caso.</w:t>
      </w:r>
    </w:p>
    <w:p w14:paraId="5B50C326"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45B6F3B"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28</w:t>
      </w:r>
      <w:r w:rsidRPr="00523559">
        <w:rPr>
          <w:rFonts w:ascii="Palatino Linotype" w:eastAsia="Palatino Linotype" w:hAnsi="Palatino Linotype" w:cs="Palatino Linotype"/>
          <w:i/>
        </w:rPr>
        <w:t xml:space="preserve">.- Las </w:t>
      </w:r>
      <w:r w:rsidRPr="00523559">
        <w:rPr>
          <w:rFonts w:ascii="Palatino Linotype" w:eastAsia="Palatino Linotype" w:hAnsi="Palatino Linotype" w:cs="Palatino Linotype"/>
          <w:b/>
          <w:i/>
        </w:rPr>
        <w:t>licencias oficiales</w:t>
      </w:r>
      <w:r w:rsidRPr="00523559">
        <w:rPr>
          <w:rFonts w:ascii="Palatino Linotype" w:eastAsia="Palatino Linotype" w:hAnsi="Palatino Linotype" w:cs="Palatino Linotype"/>
          <w:i/>
        </w:rPr>
        <w:t xml:space="preserve"> y las que se gestionen para empleos o cargos de los Estados o </w:t>
      </w:r>
      <w:r w:rsidRPr="00523559">
        <w:rPr>
          <w:rFonts w:ascii="Palatino Linotype" w:eastAsia="Palatino Linotype" w:hAnsi="Palatino Linotype" w:cs="Palatino Linotype"/>
          <w:b/>
          <w:i/>
        </w:rPr>
        <w:t>de los Municipios</w:t>
      </w:r>
      <w:r w:rsidRPr="00523559">
        <w:rPr>
          <w:rFonts w:ascii="Palatino Linotype" w:eastAsia="Palatino Linotype" w:hAnsi="Palatino Linotype" w:cs="Palatino Linotype"/>
          <w:i/>
        </w:rPr>
        <w:t xml:space="preserve">, se expedirán </w:t>
      </w:r>
      <w:r w:rsidRPr="00523559">
        <w:rPr>
          <w:rFonts w:ascii="Palatino Linotype" w:eastAsia="Palatino Linotype" w:hAnsi="Palatino Linotype" w:cs="Palatino Linotype"/>
          <w:b/>
          <w:i/>
        </w:rPr>
        <w:t>previa petición de la autoridad de quien dependa el interesado</w:t>
      </w:r>
      <w:r w:rsidRPr="00523559">
        <w:rPr>
          <w:rFonts w:ascii="Palatino Linotype" w:eastAsia="Palatino Linotype" w:hAnsi="Palatino Linotype" w:cs="Palatino Linotype"/>
          <w:i/>
        </w:rPr>
        <w:t xml:space="preserve">; en las colectivas, se acompañará, además, constancia o </w:t>
      </w:r>
      <w:r w:rsidRPr="00523559">
        <w:rPr>
          <w:rFonts w:ascii="Palatino Linotype" w:eastAsia="Palatino Linotype" w:hAnsi="Palatino Linotype" w:cs="Palatino Linotype"/>
          <w:i/>
        </w:rPr>
        <w:lastRenderedPageBreak/>
        <w:t>certificado de que el personal para el que se pretende la licencia, figura en nóminas de pago.</w:t>
      </w:r>
    </w:p>
    <w:p w14:paraId="02C70FE4"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29B94F0F"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Del precepto anterior, tenemos que será la Secretaría de la Defensa Nacional (SEDENA) la única Autoridad competente para emitir las licencias para portación de armas de fuego, y estas serán para los efectos que nos ocupan las correspondientes a las Licencias Oficiales Colectivas, cuyo trámite es a cargo del Titular del Ejecutivo de cada entidad como lo señalan los procedimientos descritos en su portal de internet oficial de la SEDENA, que puede ser consultada a través de la siguiente liga electrónica </w:t>
      </w:r>
      <w:hyperlink r:id="rId22">
        <w:r w:rsidRPr="00523559">
          <w:rPr>
            <w:rFonts w:ascii="Palatino Linotype" w:eastAsia="Palatino Linotype" w:hAnsi="Palatino Linotype" w:cs="Palatino Linotype"/>
            <w:color w:val="0000FF"/>
            <w:u w:val="single"/>
          </w:rPr>
          <w:t>https://www.gob.mx/sedena/documentos/expedicion-de-una-licencia-oficial-colectiva</w:t>
        </w:r>
      </w:hyperlink>
      <w:r w:rsidRPr="00523559">
        <w:rPr>
          <w:rFonts w:ascii="Palatino Linotype" w:eastAsia="Palatino Linotype" w:hAnsi="Palatino Linotype" w:cs="Palatino Linotype"/>
        </w:rPr>
        <w:t>:</w:t>
      </w:r>
    </w:p>
    <w:p w14:paraId="451AB2E4"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2C4DA767" w14:textId="77777777" w:rsidR="00A83BD3" w:rsidRPr="00523559" w:rsidRDefault="00F41D15" w:rsidP="00301B1C">
      <w:p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noProof/>
        </w:rPr>
        <w:lastRenderedPageBreak/>
        <w:drawing>
          <wp:inline distT="0" distB="0" distL="0" distR="0" wp14:anchorId="2F21D527" wp14:editId="3FFB073E">
            <wp:extent cx="5610225" cy="3667125"/>
            <wp:effectExtent l="0" t="0" r="0" b="0"/>
            <wp:docPr id="17415212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610225" cy="3667125"/>
                    </a:xfrm>
                    <a:prstGeom prst="rect">
                      <a:avLst/>
                    </a:prstGeom>
                    <a:ln/>
                  </pic:spPr>
                </pic:pic>
              </a:graphicData>
            </a:graphic>
          </wp:inline>
        </w:drawing>
      </w:r>
    </w:p>
    <w:p w14:paraId="3A1BD457"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58ADD0BD" w14:textId="77777777" w:rsidR="00A83BD3" w:rsidRPr="00523559" w:rsidRDefault="00F41D15" w:rsidP="00301B1C">
      <w:pPr>
        <w:spacing w:line="360" w:lineRule="auto"/>
        <w:ind w:left="425" w:right="49"/>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¿Cómo puedo tramitar la expedición de una Licencia Oficial Colectiva?</w:t>
      </w:r>
    </w:p>
    <w:p w14:paraId="1F2DD946" w14:textId="77777777" w:rsidR="00A83BD3" w:rsidRPr="00523559" w:rsidRDefault="00A83BD3" w:rsidP="00301B1C">
      <w:pPr>
        <w:spacing w:line="360" w:lineRule="auto"/>
        <w:ind w:left="425" w:right="49"/>
        <w:jc w:val="both"/>
        <w:rPr>
          <w:rFonts w:ascii="Palatino Linotype" w:eastAsia="Palatino Linotype" w:hAnsi="Palatino Linotype" w:cs="Palatino Linotype"/>
          <w:b/>
          <w:i/>
        </w:rPr>
      </w:pPr>
    </w:p>
    <w:p w14:paraId="3CF51A83"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PASO 1.  Reúne todos los requisitos.</w:t>
      </w:r>
    </w:p>
    <w:p w14:paraId="2206E364"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7D4E37F6"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PASO 2. Ingrésalos en la Zona Militar que te corresponda o en el Módulo de Atención al Público del Registro Federal de Armas de Fuego y Control de Explosivos.</w:t>
      </w:r>
    </w:p>
    <w:p w14:paraId="3CC5C0E5"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985D3A8"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¿Qué documentos necesito y cuáles deben ser sus características?</w:t>
      </w:r>
    </w:p>
    <w:p w14:paraId="6E158BED"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BA5F045" w14:textId="77777777" w:rsidR="00A83BD3" w:rsidRPr="00523559" w:rsidRDefault="00F41D15" w:rsidP="00301B1C">
      <w:pPr>
        <w:numPr>
          <w:ilvl w:val="3"/>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Solicitud de quien sea titular de la gubernatura de la entidad federativa, anexando el acuerdo presidencial en donde se autoriza la creación de una nueva Corporación</w:t>
      </w:r>
      <w:r w:rsidRPr="00523559">
        <w:rPr>
          <w:rFonts w:ascii="Palatino Linotype" w:eastAsia="Palatino Linotype" w:hAnsi="Palatino Linotype" w:cs="Palatino Linotype"/>
          <w:i/>
        </w:rPr>
        <w:t>.</w:t>
      </w:r>
    </w:p>
    <w:p w14:paraId="37FF5392" w14:textId="77777777" w:rsidR="00A83BD3" w:rsidRPr="00523559" w:rsidRDefault="00F41D15" w:rsidP="00301B1C">
      <w:pPr>
        <w:numPr>
          <w:ilvl w:val="3"/>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u w:val="single"/>
        </w:rPr>
        <w:t>Relación del personal y armamento que estará amparado en la Licencia Oficial Colectiva</w:t>
      </w:r>
      <w:r w:rsidRPr="00523559">
        <w:rPr>
          <w:rFonts w:ascii="Palatino Linotype" w:eastAsia="Palatino Linotype" w:hAnsi="Palatino Linotype" w:cs="Palatino Linotype"/>
          <w:i/>
        </w:rPr>
        <w:t xml:space="preserve"> conforme al modelo 1, 2 y 3, en original y cuatro copias (se anexan formatos), en caso de no contar con armamento deberá </w:t>
      </w:r>
      <w:proofErr w:type="spellStart"/>
      <w:r w:rsidRPr="00523559">
        <w:rPr>
          <w:rFonts w:ascii="Palatino Linotype" w:eastAsia="Palatino Linotype" w:hAnsi="Palatino Linotype" w:cs="Palatino Linotype"/>
          <w:i/>
        </w:rPr>
        <w:t>requisitar</w:t>
      </w:r>
      <w:proofErr w:type="spellEnd"/>
      <w:r w:rsidRPr="00523559">
        <w:rPr>
          <w:rFonts w:ascii="Palatino Linotype" w:eastAsia="Palatino Linotype" w:hAnsi="Palatino Linotype" w:cs="Palatino Linotype"/>
          <w:i/>
        </w:rPr>
        <w:t xml:space="preserve"> los espacios correspondientes con el número cero.</w:t>
      </w:r>
    </w:p>
    <w:p w14:paraId="5935CCF9" w14:textId="77777777" w:rsidR="00A83BD3" w:rsidRPr="00523559" w:rsidRDefault="00F41D15" w:rsidP="00301B1C">
      <w:pPr>
        <w:numPr>
          <w:ilvl w:val="3"/>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Archivo electrónico de los modelos citados en programa Excel, sin ningún tipo de protección en celdas, campos, Etc., con el fin de hacer las consultas necesarias.</w:t>
      </w:r>
    </w:p>
    <w:p w14:paraId="00054A7F" w14:textId="77777777" w:rsidR="00A83BD3" w:rsidRPr="00523559" w:rsidRDefault="00F41D15" w:rsidP="00301B1C">
      <w:pPr>
        <w:numPr>
          <w:ilvl w:val="3"/>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El personal operativo a considerar en la Licencia Oficial Colectiva, deberá cumplir en todo momento con la totalidad de los primeros 5 requisitos establecidos en el Art. 26 </w:t>
      </w:r>
      <w:proofErr w:type="spellStart"/>
      <w:r w:rsidRPr="00523559">
        <w:rPr>
          <w:rFonts w:ascii="Palatino Linotype" w:eastAsia="Palatino Linotype" w:hAnsi="Palatino Linotype" w:cs="Palatino Linotype"/>
          <w:i/>
        </w:rPr>
        <w:t>Fracc</w:t>
      </w:r>
      <w:proofErr w:type="spellEnd"/>
      <w:r w:rsidRPr="00523559">
        <w:rPr>
          <w:rFonts w:ascii="Palatino Linotype" w:eastAsia="Palatino Linotype" w:hAnsi="Palatino Linotype" w:cs="Palatino Linotype"/>
          <w:i/>
        </w:rPr>
        <w:t>. I de la Ley Federal de Armas de Fuego y Explosivos, mismos que a continuación se describen:</w:t>
      </w:r>
    </w:p>
    <w:p w14:paraId="66079C09"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CFA046C"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Tener un modo honesto de vivir.</w:t>
      </w:r>
    </w:p>
    <w:p w14:paraId="2E88944D"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Haber cumplido los obligados con el Servicio Militar Nacional.</w:t>
      </w:r>
    </w:p>
    <w:p w14:paraId="48AE2B7C"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No tener impedimento físico y mental para el manejo de las armas.</w:t>
      </w:r>
    </w:p>
    <w:p w14:paraId="5CC701E5"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No haber sido condenado por delito cometido con el empleo de armas de fuego.</w:t>
      </w:r>
    </w:p>
    <w:p w14:paraId="59A0A3D4"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No consumir drogas enervantes o psicotrópicos.</w:t>
      </w:r>
    </w:p>
    <w:p w14:paraId="02B9DC9A"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En caso de contar con armamento deberá remitir copia de los folios de manifestación “C” y “D” del armamento registrado a nombre de la corporación de que se trate.</w:t>
      </w:r>
    </w:p>
    <w:p w14:paraId="2F50B898"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Los certificados médico, físico, psicológico y toxicológico, deberán ser elaborados de conformidad con los formatos publicados en el Diario Oficial de la Federación el 12 de enero de 2004.</w:t>
      </w:r>
    </w:p>
    <w:p w14:paraId="46C65EFC"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Formato de la credencial que se expedirá al personal operativo.</w:t>
      </w:r>
    </w:p>
    <w:p w14:paraId="4336CA21" w14:textId="77777777" w:rsidR="00A83BD3" w:rsidRPr="00523559" w:rsidRDefault="00F41D15" w:rsidP="00301B1C">
      <w:pPr>
        <w:numPr>
          <w:ilvl w:val="4"/>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Aprobar la visita de inspección que realice el personal militar a las instalaciones en donde se resguarda o resguardara el armamento, a fin de determinar si cumplen con las medidas de seguridad y control necesarias para tal fin.</w:t>
      </w:r>
    </w:p>
    <w:p w14:paraId="27F53300"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04B246C5" w14:textId="77777777" w:rsidR="00A83BD3" w:rsidRPr="00523559" w:rsidRDefault="00F41D15" w:rsidP="00301B1C">
      <w:pPr>
        <w:spacing w:line="360" w:lineRule="auto"/>
        <w:ind w:left="425"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¿Qué procedimiento deberás seguir?</w:t>
      </w:r>
    </w:p>
    <w:p w14:paraId="465196C8" w14:textId="77777777" w:rsidR="00A83BD3" w:rsidRPr="00523559" w:rsidRDefault="00A83BD3" w:rsidP="00301B1C">
      <w:pPr>
        <w:spacing w:line="360" w:lineRule="auto"/>
        <w:ind w:left="425" w:right="49"/>
        <w:jc w:val="both"/>
        <w:rPr>
          <w:rFonts w:ascii="Palatino Linotype" w:eastAsia="Palatino Linotype" w:hAnsi="Palatino Linotype" w:cs="Palatino Linotype"/>
          <w:i/>
        </w:rPr>
      </w:pPr>
    </w:p>
    <w:p w14:paraId="43125EBB" w14:textId="77777777" w:rsidR="00A83BD3" w:rsidRPr="00523559" w:rsidRDefault="00F41D15" w:rsidP="00301B1C">
      <w:pPr>
        <w:numPr>
          <w:ilvl w:val="6"/>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14:paraId="32C9113D" w14:textId="77777777" w:rsidR="00A83BD3" w:rsidRPr="00523559" w:rsidRDefault="00F41D15" w:rsidP="00301B1C">
      <w:pPr>
        <w:numPr>
          <w:ilvl w:val="6"/>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En la Zona Militar o en el Módulo de Atención al Público recaba el acuse de recibo de tu trámite, mediante el sello correspondiente.</w:t>
      </w:r>
    </w:p>
    <w:p w14:paraId="66A71AD0" w14:textId="77777777" w:rsidR="00A83BD3" w:rsidRPr="00523559" w:rsidRDefault="00F41D15" w:rsidP="00301B1C">
      <w:pPr>
        <w:numPr>
          <w:ilvl w:val="6"/>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Consulta directamente en el Módulo de Atención al Público o a través de los medios electrónicos, sobre el curso de tu trámite.</w:t>
      </w:r>
    </w:p>
    <w:p w14:paraId="33BC8C9B" w14:textId="77777777" w:rsidR="00A83BD3" w:rsidRPr="00523559" w:rsidRDefault="00F41D15" w:rsidP="00301B1C">
      <w:pPr>
        <w:numPr>
          <w:ilvl w:val="6"/>
          <w:numId w:val="16"/>
        </w:numPr>
        <w:spacing w:line="360" w:lineRule="auto"/>
        <w:ind w:left="425" w:right="49" w:firstLine="0"/>
        <w:jc w:val="both"/>
        <w:rPr>
          <w:rFonts w:ascii="Palatino Linotype" w:eastAsia="Palatino Linotype" w:hAnsi="Palatino Linotype" w:cs="Palatino Linotype"/>
          <w:i/>
        </w:rPr>
      </w:pPr>
      <w:r w:rsidRPr="00523559">
        <w:rPr>
          <w:rFonts w:ascii="Palatino Linotype" w:eastAsia="Palatino Linotype" w:hAnsi="Palatino Linotype" w:cs="Palatino Linotype"/>
          <w:i/>
        </w:rPr>
        <w:t>En caso de que se te comunique que el trámite resultó autorizado, asiste al Módulo de Atención al Público del Registro Federal de Armas de Fuego y Control de Explosivos con identificación oficial vigente para recoger el oficio de autorización de la Licencia.</w:t>
      </w:r>
    </w:p>
    <w:p w14:paraId="636AF77D" w14:textId="77777777" w:rsidR="00A83BD3" w:rsidRPr="00523559" w:rsidRDefault="00A83BD3" w:rsidP="00301B1C">
      <w:pPr>
        <w:spacing w:line="360" w:lineRule="auto"/>
        <w:ind w:right="49"/>
        <w:jc w:val="both"/>
        <w:rPr>
          <w:rFonts w:ascii="Palatino Linotype" w:eastAsia="Palatino Linotype" w:hAnsi="Palatino Linotype" w:cs="Palatino Linotype"/>
          <w:i/>
        </w:rPr>
      </w:pPr>
    </w:p>
    <w:p w14:paraId="19A566CE"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lastRenderedPageBreak/>
        <w:t xml:space="preserve">De esta forma podemos relacionar lo descrito con anterioridad, con el </w:t>
      </w:r>
      <w:r w:rsidRPr="00523559">
        <w:rPr>
          <w:rFonts w:ascii="Palatino Linotype" w:eastAsia="Palatino Linotype" w:hAnsi="Palatino Linotype" w:cs="Palatino Linotype"/>
          <w:i/>
        </w:rPr>
        <w:t>Acuerdo por el que se establecen los lineamientos para la Adquisición, Asignación, Uso y Custodia, Portación y Baja de armamento incluido en la Licencia Oficial Colectiva número 139</w:t>
      </w:r>
      <w:r w:rsidRPr="00523559">
        <w:rPr>
          <w:rFonts w:ascii="Palatino Linotype" w:eastAsia="Palatino Linotype" w:hAnsi="Palatino Linotype" w:cs="Palatino Linotype"/>
        </w:rPr>
        <w:t xml:space="preserve"> particularmente con lo señalado en el considerando tercero y cuarto, mismos que disponen:</w:t>
      </w:r>
    </w:p>
    <w:p w14:paraId="7965B1FE" w14:textId="77777777" w:rsidR="00A83BD3" w:rsidRPr="00523559" w:rsidRDefault="00F41D15" w:rsidP="00301B1C">
      <w:pPr>
        <w:spacing w:line="360" w:lineRule="auto"/>
        <w:ind w:left="709"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“Que en términos de lo dispuesto por la </w:t>
      </w:r>
      <w:r w:rsidRPr="00523559">
        <w:rPr>
          <w:rFonts w:ascii="Palatino Linotype" w:eastAsia="Palatino Linotype" w:hAnsi="Palatino Linotype" w:cs="Palatino Linotype"/>
          <w:b/>
          <w:i/>
        </w:rPr>
        <w:t>Ley de Seguridad Pública Preventiva del Estado de México, la Dirección General de Segundad Pública y Tránsito del Estado de México, es una autoridad estatal en materia de seguridad pública preventiva</w:t>
      </w:r>
      <w:r w:rsidRPr="00523559">
        <w:rPr>
          <w:rFonts w:ascii="Palatino Linotype" w:eastAsia="Palatino Linotype" w:hAnsi="Palatino Linotype" w:cs="Palatino Linotype"/>
          <w:i/>
        </w:rPr>
        <w:t xml:space="preserve">, a la cual le corresponde, entre otras atribuciones, vigilar el cumplimiento de las leyes, reglamentos, acuerdos, convenios y demás disposiciones referentes a la Seguridad Pública Preventiva </w:t>
      </w:r>
    </w:p>
    <w:p w14:paraId="4D6A5037" w14:textId="77777777" w:rsidR="00A83BD3" w:rsidRPr="00523559" w:rsidRDefault="00A83BD3" w:rsidP="00301B1C">
      <w:pPr>
        <w:spacing w:line="360" w:lineRule="auto"/>
        <w:ind w:left="709" w:right="49"/>
        <w:jc w:val="both"/>
        <w:rPr>
          <w:rFonts w:ascii="Palatino Linotype" w:eastAsia="Palatino Linotype" w:hAnsi="Palatino Linotype" w:cs="Palatino Linotype"/>
          <w:i/>
        </w:rPr>
      </w:pPr>
    </w:p>
    <w:p w14:paraId="02941A09" w14:textId="77777777" w:rsidR="00A83BD3" w:rsidRPr="00523559" w:rsidRDefault="00F41D15" w:rsidP="00301B1C">
      <w:pPr>
        <w:spacing w:line="360" w:lineRule="auto"/>
        <w:ind w:left="709"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 xml:space="preserve">Que en el marco de la Ley Federal de Armas de Fuego y Explosivos, </w:t>
      </w:r>
      <w:r w:rsidRPr="00523559">
        <w:rPr>
          <w:rFonts w:ascii="Palatino Linotype" w:eastAsia="Palatino Linotype" w:hAnsi="Palatino Linotype" w:cs="Palatino Linotype"/>
          <w:b/>
          <w:i/>
        </w:rPr>
        <w:t>la Secretaría de la Defensa Nacional otorgó al Gobierno del Estado de México, a través de la Dirección General de Seguridad Pública y Tránsito, la Licencia Oficial Colectiva No. 139</w:t>
      </w:r>
      <w:r w:rsidRPr="00523559">
        <w:rPr>
          <w:rFonts w:ascii="Palatino Linotype" w:eastAsia="Palatino Linotype" w:hAnsi="Palatino Linotype" w:cs="Palatino Linotype"/>
          <w:i/>
        </w:rPr>
        <w:t xml:space="preserve"> mediante la cual se concede el permiso para la portación de armas de fuego a los Cuerpos de Seguridad Pública Preventiva.”</w:t>
      </w:r>
    </w:p>
    <w:p w14:paraId="06B78CC3"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4A9FBEE0"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Así, se advierte que el Gobierno del Estado de México cuenta con una Licencia Oficial Colectiva para la portación y uso de armas de fuego, lo cual es coincidente con el requerimiento del particular; por lo que debemos atender lo que disponen los diversos cuerpos normativos que regulan la portación de armas en el Estado de México y sus Municipios.</w:t>
      </w:r>
    </w:p>
    <w:p w14:paraId="6D6A8462" w14:textId="77777777" w:rsidR="00A83BD3" w:rsidRPr="00523559" w:rsidRDefault="00A83BD3" w:rsidP="00301B1C">
      <w:pPr>
        <w:tabs>
          <w:tab w:val="left" w:pos="426"/>
        </w:tabs>
        <w:spacing w:line="360" w:lineRule="auto"/>
        <w:ind w:left="720" w:right="49"/>
        <w:jc w:val="both"/>
        <w:rPr>
          <w:rFonts w:ascii="Palatino Linotype" w:eastAsia="Palatino Linotype" w:hAnsi="Palatino Linotype" w:cs="Palatino Linotype"/>
        </w:rPr>
      </w:pPr>
    </w:p>
    <w:p w14:paraId="2A659F89"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Dicho lo anterior, la Ley de Seguridad del Estado de México establece en su artículo 21 que son atribuciones de los Presidentes Municipales, la de satisfacer oportunamente los requerimientos que le sean solicitados por la Secretaría, para el registro y actualización de la licencia colectiva para la portación de armas de fuego de los integrantes de las instituciones policiales a su cargo; así como que, los Ayuntamientos deberán considerar en su estructura orgánica una unidad administrativa denominada </w:t>
      </w:r>
      <w:r w:rsidRPr="00523559">
        <w:rPr>
          <w:rFonts w:ascii="Palatino Linotype" w:eastAsia="Palatino Linotype" w:hAnsi="Palatino Linotype" w:cs="Palatino Linotype"/>
          <w:b/>
        </w:rPr>
        <w:t>Secretaría Técnica del Consejo Municipal de Seguridad Pública</w:t>
      </w:r>
      <w:r w:rsidRPr="00523559">
        <w:rPr>
          <w:rFonts w:ascii="Palatino Linotype" w:eastAsia="Palatino Linotype" w:hAnsi="Palatino Linotype" w:cs="Palatino Linotype"/>
        </w:rPr>
        <w:t>, cuyo o cuya titular será a propuesta del Presidente Municipal y aprobado en sesión de cabildo el o la cual tendrá las facultades y atribuciones previstas por esta Ley y los demás ordenamientos aplicables, dándole a su vez facultades para fungir como enlace ante la Secretaría de Seguridad para dar seguimiento al registro y actualización de la licencia colectiva para la portación de armas de fuego.</w:t>
      </w:r>
    </w:p>
    <w:p w14:paraId="17A60F08"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589B6B97" w14:textId="77777777" w:rsidR="00A83BD3" w:rsidRPr="00523559" w:rsidRDefault="00F41D15" w:rsidP="00301B1C">
      <w:pPr>
        <w:numPr>
          <w:ilvl w:val="0"/>
          <w:numId w:val="11"/>
        </w:numPr>
        <w:tabs>
          <w:tab w:val="left" w:pos="426"/>
        </w:tabs>
        <w:spacing w:line="360" w:lineRule="auto"/>
        <w:ind w:left="0" w:right="49" w:firstLine="0"/>
        <w:jc w:val="both"/>
        <w:rPr>
          <w:rFonts w:ascii="Palatino Linotype" w:eastAsia="Palatino Linotype" w:hAnsi="Palatino Linotype" w:cs="Palatino Linotype"/>
        </w:rPr>
      </w:pPr>
      <w:r w:rsidRPr="00523559">
        <w:rPr>
          <w:rFonts w:ascii="Palatino Linotype" w:eastAsia="Palatino Linotype" w:hAnsi="Palatino Linotype" w:cs="Palatino Linotype"/>
        </w:rPr>
        <w:t xml:space="preserve">Dichas facultades serán ejecutadas por el Departamento de Prestaciones de la Secretaría de Seguridad que es quien cuenta con las facultades para controlar y administrar la expedición de credenciales para la portación de armas de fuego del personal, incluido en la Licencia Oficial Colectiva vigente de la Secretaría de Seguridad Ciudadana y de los </w:t>
      </w:r>
      <w:r w:rsidRPr="00523559">
        <w:rPr>
          <w:rFonts w:ascii="Palatino Linotype" w:eastAsia="Palatino Linotype" w:hAnsi="Palatino Linotype" w:cs="Palatino Linotype"/>
          <w:b/>
        </w:rPr>
        <w:t>Municipios.</w:t>
      </w:r>
      <w:r w:rsidRPr="00523559">
        <w:rPr>
          <w:rFonts w:ascii="Palatino Linotype" w:eastAsia="Palatino Linotype" w:hAnsi="Palatino Linotype" w:cs="Palatino Linotype"/>
        </w:rPr>
        <w:t xml:space="preserve"> </w:t>
      </w:r>
    </w:p>
    <w:p w14:paraId="5D7B56D9"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5FBF984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 lo anterior podemos concluir que </w:t>
      </w:r>
      <w:r w:rsidRPr="00523559">
        <w:rPr>
          <w:rFonts w:ascii="Palatino Linotype" w:eastAsia="Palatino Linotype" w:hAnsi="Palatino Linotype" w:cs="Palatino Linotype"/>
          <w:b/>
          <w:color w:val="000000"/>
        </w:rPr>
        <w:t xml:space="preserve">el Sujeto Obligado </w:t>
      </w:r>
      <w:r w:rsidRPr="00523559">
        <w:rPr>
          <w:rFonts w:ascii="Palatino Linotype" w:eastAsia="Palatino Linotype" w:hAnsi="Palatino Linotype" w:cs="Palatino Linotype"/>
          <w:color w:val="000000"/>
        </w:rPr>
        <w:t xml:space="preserve">no cuenta con la Licencia Oficial Colectiva para portación y uso de armas de fuego en específico para </w:t>
      </w:r>
      <w:r w:rsidRPr="00523559">
        <w:rPr>
          <w:rFonts w:ascii="Palatino Linotype" w:eastAsia="Palatino Linotype" w:hAnsi="Palatino Linotype" w:cs="Palatino Linotype"/>
          <w:color w:val="000000"/>
        </w:rPr>
        <w:lastRenderedPageBreak/>
        <w:t xml:space="preserve">el Municipio de </w:t>
      </w:r>
      <w:r w:rsidR="00294287" w:rsidRPr="00523559">
        <w:rPr>
          <w:rFonts w:ascii="Palatino Linotype" w:eastAsia="Palatino Linotype" w:hAnsi="Palatino Linotype" w:cs="Palatino Linotype"/>
          <w:color w:val="000000"/>
        </w:rPr>
        <w:t>Zinacantepec</w:t>
      </w:r>
      <w:r w:rsidRPr="00523559">
        <w:rPr>
          <w:rFonts w:ascii="Palatino Linotype" w:eastAsia="Palatino Linotype" w:hAnsi="Palatino Linotype" w:cs="Palatino Linotype"/>
          <w:color w:val="000000"/>
        </w:rPr>
        <w:t xml:space="preserve">, sino que el personal adscrito a sus cuerpos de seguridad pública tendrá que ser inscritos en la Licencia Oficial Colectiva para el Estado de México a los que se les otorgarán las debidas credenciales y </w:t>
      </w:r>
      <w:r w:rsidRPr="00523559">
        <w:rPr>
          <w:rFonts w:ascii="Palatino Linotype" w:eastAsia="Palatino Linotype" w:hAnsi="Palatino Linotype" w:cs="Palatino Linotype"/>
          <w:b/>
          <w:color w:val="000000"/>
        </w:rPr>
        <w:t xml:space="preserve">el Sujeto Obligado </w:t>
      </w:r>
      <w:r w:rsidRPr="00523559">
        <w:rPr>
          <w:rFonts w:ascii="Palatino Linotype" w:eastAsia="Palatino Linotype" w:hAnsi="Palatino Linotype" w:cs="Palatino Linotype"/>
          <w:color w:val="000000"/>
        </w:rPr>
        <w:t>contará con los documentos que avalen el trámite ante la autoridad competente (expedientes), de la revalidación de la licencia oficial colectiva de portación de armas de fuego, que por sus funciones requieran de ello.</w:t>
      </w:r>
    </w:p>
    <w:p w14:paraId="5440ABC9" w14:textId="77777777" w:rsidR="000F4D17" w:rsidRPr="00523559" w:rsidRDefault="000F4D17" w:rsidP="000F4D17">
      <w:pPr>
        <w:pStyle w:val="Prrafodelista"/>
        <w:rPr>
          <w:rFonts w:ascii="Palatino Linotype" w:eastAsia="Palatino Linotype" w:hAnsi="Palatino Linotype" w:cs="Palatino Linotype"/>
          <w:color w:val="000000"/>
        </w:rPr>
      </w:pPr>
    </w:p>
    <w:p w14:paraId="500B245F" w14:textId="77777777" w:rsidR="000F4D17" w:rsidRPr="00523559" w:rsidRDefault="000F4D17" w:rsidP="000F4D17">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ahí que se haya informado portaron al mes de octubre del 2023, 154 elementos son los considerados dentro de la Licencia Oficial Colectiva. Luego entonces respecto de lo programado para la renovación de la licencia del año 2024, deberá emitir un pronunciamiento en los términos precisado</w:t>
      </w:r>
    </w:p>
    <w:p w14:paraId="567F2EFF"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683AC859" w14:textId="77777777" w:rsidR="00A83BD3" w:rsidRPr="00523559" w:rsidRDefault="00F41D15" w:rsidP="00301B1C">
      <w:pPr>
        <w:numPr>
          <w:ilvl w:val="0"/>
          <w:numId w:val="8"/>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Número de elementos que cuentan con Certificado Único Policial, número de elementos que tienen el curso de formación inicial, número de elementos que tienen el curso de competencias básicas y la última fecha en la que se realizó evaluación de desempeño, y el promedio general de las evaluaciones en la corporación y número de elementos programados para acudir al curso de competencias básicas y formación inicial en el año 2024.</w:t>
      </w:r>
    </w:p>
    <w:p w14:paraId="3224E4C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Derivado de la naturaleza de la información requerida, es necesario traer a contexto la Ley General del Sistema Nacional de Seguridad Pública en el artículo 66 y el diverso 109 de la Ley de Seguridad del Estado de México, establecen que la certificación es el proceso por el cual </w:t>
      </w:r>
      <w:r w:rsidRPr="00523559">
        <w:rPr>
          <w:rFonts w:ascii="Palatino Linotype" w:eastAsia="Palatino Linotype" w:hAnsi="Palatino Linotype" w:cs="Palatino Linotype"/>
          <w:b/>
          <w:color w:val="000000"/>
        </w:rPr>
        <w:t>los integrantes de las instituciones de seguridad pública o de procuración de justicia se someten a las evaluaciones establecidas por el Centro de Control de Confianza del Estado de México.</w:t>
      </w:r>
    </w:p>
    <w:p w14:paraId="4C68CBEE" w14:textId="77777777" w:rsidR="00A83BD3" w:rsidRPr="00523559" w:rsidRDefault="00F41D15" w:rsidP="00301B1C">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En ese contexto, el Centro de Control de Confianza del Estado de México, es un organismo público descentralizado, con personalidad jurídica y patrimonio propios, sectorizado de la Secretaría de Seguridad, cuyo objeto es realizar las evaluaciones permanentes de control de confianza, de desempeño, poligrafía, entorno social y psicológico, así como exámenes toxicológicos a los aspirante e integrantes de las instituciones de seguridad pública y privada, estatal y municipal, </w:t>
      </w:r>
      <w:r w:rsidRPr="00523559">
        <w:rPr>
          <w:rFonts w:ascii="Palatino Linotype" w:eastAsia="Palatino Linotype" w:hAnsi="Palatino Linotype" w:cs="Palatino Linotype"/>
          <w:b/>
          <w:color w:val="000000"/>
        </w:rPr>
        <w:t>a fin de emitir la certificación correspondiente.</w:t>
      </w:r>
    </w:p>
    <w:p w14:paraId="6B64410D"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00207687" w14:textId="77777777" w:rsidR="00A83BD3" w:rsidRPr="00523559" w:rsidRDefault="00F41D15" w:rsidP="00301B1C">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Además, que </w:t>
      </w:r>
      <w:r w:rsidRPr="00523559">
        <w:rPr>
          <w:rFonts w:ascii="Palatino Linotype" w:eastAsia="Palatino Linotype" w:hAnsi="Palatino Linotype" w:cs="Palatino Linotype"/>
          <w:b/>
          <w:color w:val="000000"/>
        </w:rPr>
        <w:t>ninguna persona podrá ingresar o permanecer en las instituciones de seguridad pública sin contar con el Certificado y registro vigentes.</w:t>
      </w:r>
    </w:p>
    <w:p w14:paraId="786FD49C"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753C4E05" w14:textId="77777777" w:rsidR="00A83BD3" w:rsidRPr="00523559" w:rsidRDefault="00F41D15" w:rsidP="00301B1C">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En ese contexto, el artículo 5°, fracciones VIII, IX y X, de la Ley General del Sistema Nacional de Seguridad Pública y el diverso 6°, fracciones XI y XII, de la Ley de Seguridad del Estado de México, establece lo siguiente:</w:t>
      </w:r>
    </w:p>
    <w:p w14:paraId="258A0CE1" w14:textId="77777777" w:rsidR="00A83BD3" w:rsidRPr="00523559" w:rsidRDefault="00F41D15" w:rsidP="00301B1C">
      <w:pPr>
        <w:numPr>
          <w:ilvl w:val="0"/>
          <w:numId w:val="12"/>
        </w:num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t>Instituciones Policiales:</w:t>
      </w:r>
      <w:r w:rsidRPr="00523559">
        <w:rPr>
          <w:rFonts w:ascii="Palatino Linotype" w:eastAsia="Palatino Linotype" w:hAnsi="Palatino Linotype" w:cs="Palatino Linotype"/>
        </w:rPr>
        <w:t xml:space="preserve"> Son los cuerpos de policía, de vigilancia y custodia de los establecimientos penitenciarios, detención preventiva, centros de arraigo y en general, todas las dependencias encargadas de la seguridad pública a nivel federal, estatal y municipal.</w:t>
      </w:r>
    </w:p>
    <w:p w14:paraId="3C1CDF57" w14:textId="77777777" w:rsidR="00A83BD3" w:rsidRPr="00523559" w:rsidRDefault="00F41D15" w:rsidP="00301B1C">
      <w:pPr>
        <w:numPr>
          <w:ilvl w:val="0"/>
          <w:numId w:val="12"/>
        </w:num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t xml:space="preserve">Instituciones de Procuración de Justicia: </w:t>
      </w:r>
      <w:r w:rsidRPr="00523559">
        <w:rPr>
          <w:rFonts w:ascii="Palatino Linotype" w:eastAsia="Palatino Linotype" w:hAnsi="Palatino Linotype" w:cs="Palatino Linotype"/>
        </w:rPr>
        <w:t>Son aquellas de la Federación y Entidades Federativas que integran el Ministerio Público, los servicios periciales, policías de investigación y auxiliares.</w:t>
      </w:r>
    </w:p>
    <w:p w14:paraId="3AB0F103" w14:textId="77777777" w:rsidR="00A83BD3" w:rsidRPr="00523559" w:rsidRDefault="00F41D15" w:rsidP="00301B1C">
      <w:pPr>
        <w:numPr>
          <w:ilvl w:val="0"/>
          <w:numId w:val="12"/>
        </w:num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lastRenderedPageBreak/>
        <w:t>Instituciones de Seguridad Pública:</w:t>
      </w:r>
      <w:r w:rsidRPr="00523559">
        <w:rPr>
          <w:rFonts w:ascii="Palatino Linotype" w:eastAsia="Palatino Linotype" w:hAnsi="Palatino Linotype" w:cs="Palatino Linotype"/>
        </w:rPr>
        <w:t xml:space="preserve"> Instituciones Policiales, de Procuración de Justicia, del Sistema Penitenciario y dependencias encargadas de la seguridad pública a nivel federal, estatal y municipal.</w:t>
      </w:r>
    </w:p>
    <w:p w14:paraId="311AC2DA" w14:textId="77777777" w:rsidR="00A83BD3" w:rsidRPr="00523559" w:rsidRDefault="00A83BD3" w:rsidP="00301B1C">
      <w:pPr>
        <w:spacing w:line="360" w:lineRule="auto"/>
        <w:ind w:right="49"/>
        <w:rPr>
          <w:rFonts w:ascii="Palatino Linotype" w:eastAsia="Palatino Linotype" w:hAnsi="Palatino Linotype" w:cs="Palatino Linotype"/>
        </w:rPr>
      </w:pPr>
    </w:p>
    <w:p w14:paraId="6AB1F8F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Sobre lo anterior, el Instructivo de llenado del Formato “Personal de Seguridad Pública”, del Secretariado Ejecutivo del Sistema Nacional de Seguridad Pública establece que las instituciones de seguridad pública, se integran por los siguientes categorizaciones de puestos:</w:t>
      </w:r>
    </w:p>
    <w:p w14:paraId="48A8F86B" w14:textId="77777777" w:rsidR="00A83BD3" w:rsidRPr="00523559" w:rsidRDefault="00F41D15" w:rsidP="00301B1C">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Mando: </w:t>
      </w:r>
      <w:r w:rsidRPr="00523559">
        <w:rPr>
          <w:rFonts w:ascii="Palatino Linotype" w:eastAsia="Palatino Linotype" w:hAnsi="Palatino Linotype" w:cs="Palatino Linotype"/>
          <w:color w:val="000000"/>
        </w:rPr>
        <w:t>Se conforma por el personal con funciones de dirección, coordinación y supervisión, es decir, los altos mandos y mandos medios y superiores.</w:t>
      </w:r>
    </w:p>
    <w:p w14:paraId="154EEECD" w14:textId="77777777" w:rsidR="00A83BD3" w:rsidRPr="00523559" w:rsidRDefault="00F41D15" w:rsidP="00301B1C">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Operativos: </w:t>
      </w:r>
      <w:r w:rsidRPr="00523559">
        <w:rPr>
          <w:rFonts w:ascii="Palatino Linotype" w:eastAsia="Palatino Linotype" w:hAnsi="Palatino Linotype" w:cs="Palatino Linotype"/>
          <w:color w:val="000000"/>
        </w:rPr>
        <w:t>Integrado por el personal que desempeña funciones de campo (policiacas, especializadas y no tienen funciones de mando), tales como la Policía Ministerial, Judicial, Estatal Preventiva, Municipal, escoltas, grupos antisecuestro, terrorismo, inteligencia, grupos de reacción o equivalentes.</w:t>
      </w:r>
    </w:p>
    <w:p w14:paraId="102BDE5B" w14:textId="77777777" w:rsidR="00A83BD3" w:rsidRPr="00523559" w:rsidRDefault="00F41D15" w:rsidP="00301B1C">
      <w:pPr>
        <w:numPr>
          <w:ilvl w:val="0"/>
          <w:numId w:val="1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Administrativos: </w:t>
      </w:r>
      <w:r w:rsidRPr="00523559">
        <w:rPr>
          <w:rFonts w:ascii="Palatino Linotype" w:eastAsia="Palatino Linotype" w:hAnsi="Palatino Linotype" w:cs="Palatino Linotype"/>
          <w:color w:val="000000"/>
        </w:rPr>
        <w:t>Conformado por el personal de apoyo.</w:t>
      </w:r>
    </w:p>
    <w:p w14:paraId="7DFDFF27" w14:textId="77777777" w:rsidR="000F4D17" w:rsidRPr="00523559" w:rsidRDefault="000F4D17" w:rsidP="000F4D17">
      <w:pPr>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p>
    <w:p w14:paraId="143280EB" w14:textId="77777777" w:rsidR="00A83BD3" w:rsidRPr="00523559" w:rsidRDefault="00F41D15" w:rsidP="00301B1C">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su parte, el Centro Nacional de Certificación y Acreditación</w:t>
      </w:r>
      <w:r w:rsidRPr="00523559">
        <w:rPr>
          <w:rFonts w:ascii="Palatino Linotype" w:eastAsia="Palatino Linotype" w:hAnsi="Palatino Linotype" w:cs="Palatino Linotype"/>
          <w:color w:val="000000"/>
          <w:vertAlign w:val="superscript"/>
        </w:rPr>
        <w:footnoteReference w:id="3"/>
      </w:r>
      <w:r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rPr>
        <w:t>Para</w:t>
      </w:r>
      <w:r w:rsidRPr="00523559">
        <w:rPr>
          <w:rFonts w:ascii="Palatino Linotype" w:eastAsia="Palatino Linotype" w:hAnsi="Palatino Linotype" w:cs="Palatino Linotype"/>
          <w:color w:val="000000"/>
        </w:rPr>
        <w:t xml:space="preserve"> obtener el certificado es obligatorio que los elementos </w:t>
      </w:r>
      <w:r w:rsidRPr="00523559">
        <w:rPr>
          <w:rFonts w:ascii="Palatino Linotype" w:eastAsia="Palatino Linotype" w:hAnsi="Palatino Linotype" w:cs="Palatino Linotype"/>
          <w:b/>
          <w:color w:val="000000"/>
          <w:u w:val="single"/>
        </w:rPr>
        <w:t>acrediten contar con evaluación de control y confianza</w:t>
      </w:r>
      <w:r w:rsidRPr="00523559">
        <w:rPr>
          <w:rFonts w:ascii="Palatino Linotype" w:eastAsia="Palatino Linotype" w:hAnsi="Palatino Linotype" w:cs="Palatino Linotype"/>
          <w:color w:val="000000"/>
        </w:rPr>
        <w:t>, formación inicial o equivalente, evaluación de competencias básicas o profesionales y la evaluación del desempeño.</w:t>
      </w:r>
    </w:p>
    <w:p w14:paraId="708873B0" w14:textId="77777777" w:rsidR="00A83BD3" w:rsidRPr="00523559" w:rsidRDefault="00F41D15" w:rsidP="00301B1C">
      <w:pPr>
        <w:numPr>
          <w:ilvl w:val="0"/>
          <w:numId w:val="1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 En ese sentido, es de destacar que el objetivo del certificado es garantizar que la población cuente con policías confiables que tengan como único objetivo el de velar por la seguridad, por ello, que toda vez que </w:t>
      </w:r>
      <w:r w:rsidRPr="00523559">
        <w:rPr>
          <w:rFonts w:ascii="Palatino Linotype" w:eastAsia="Palatino Linotype" w:hAnsi="Palatino Linotype" w:cs="Palatino Linotype"/>
          <w:b/>
          <w:color w:val="000000"/>
        </w:rPr>
        <w:t>es un requisito el contar con el Certificado Único Policial para estar adscrito a la Dirección de Seguridad Ciudadana del Municipio</w:t>
      </w:r>
      <w:r w:rsidRPr="00523559">
        <w:rPr>
          <w:rFonts w:ascii="Palatino Linotype" w:eastAsia="Palatino Linotype" w:hAnsi="Palatino Linotype" w:cs="Palatino Linotype"/>
          <w:color w:val="000000"/>
        </w:rPr>
        <w:t xml:space="preserve"> y para esto, </w:t>
      </w:r>
      <w:r w:rsidRPr="00523559">
        <w:rPr>
          <w:rFonts w:ascii="Palatino Linotype" w:eastAsia="Palatino Linotype" w:hAnsi="Palatino Linotype" w:cs="Palatino Linotype"/>
          <w:b/>
          <w:color w:val="000000"/>
        </w:rPr>
        <w:t>es necesario contar con la acreditación de la evaluación de control y confianza.</w:t>
      </w:r>
      <w:r w:rsidRPr="00523559">
        <w:rPr>
          <w:rFonts w:ascii="Palatino Linotype" w:eastAsia="Palatino Linotype" w:hAnsi="Palatino Linotype" w:cs="Palatino Linotype"/>
          <w:color w:val="000000"/>
        </w:rPr>
        <w:t xml:space="preserve"> </w:t>
      </w:r>
    </w:p>
    <w:p w14:paraId="3DCB093E"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312E755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Sobre el Certificado Único Policial (CUP) es necesario traer a colación el artículo 1° de los Lineamientos para la Emisión del Certificado Único Policial, que establece que dicho documento acredita a los policías como aptos para ingresar o permanecer en las instituciones de seguridad pública, y que cuentan con los conocimientos, el perfil, las habilidades y las aptitudes necesarias para el desempeño de su cargo. </w:t>
      </w:r>
    </w:p>
    <w:p w14:paraId="5E58D1C3" w14:textId="77777777" w:rsidR="00A83BD3" w:rsidRPr="00523559" w:rsidRDefault="00A83BD3" w:rsidP="00301B1C">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p>
    <w:p w14:paraId="10741E67"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ese orden de ideas, los artículos 41, fracción V, y 85, fracción II, de la Ley General del Sistema Nacional de Seguridad Pública, establece que los integrantes de las Instituciones Policiales tienen la obligación de obtener y mantener actualizado su Certificado Único Policial que expedirá el centro de control de confianza respectivo. </w:t>
      </w:r>
    </w:p>
    <w:p w14:paraId="51BF12DC"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2A4359AA"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el mismo sentido, los artículos 21, fracción XVIII, 22, fracción XI, y 100, fracción IV, inciso i) de la Ley de Seguridad del Estado de México, establece que los integrantes de las Instituciones de Seguridad Pública tienen la obligación de obtener </w:t>
      </w:r>
      <w:r w:rsidRPr="00523559">
        <w:rPr>
          <w:rFonts w:ascii="Palatino Linotype" w:eastAsia="Palatino Linotype" w:hAnsi="Palatino Linotype" w:cs="Palatino Linotype"/>
          <w:color w:val="000000"/>
        </w:rPr>
        <w:lastRenderedPageBreak/>
        <w:t>y mantener actualizado su Certificado Único Policial; por lo que, los Presidentes Municipales tienen la atribución de verificar que los integrantes de las instituciones policiales a su cargo se sometan a las evaluaciones de control de confianza y cuenten con el Certificado Único Policial; además, que el Director de Seguridad Pública Municipal, será el encargado de informar al Presidente Municipal de los resultados y procesos de verificación y evaluaciones de confianza a los que se sometan los integrantes de las instituciones policiales a su cargo.</w:t>
      </w:r>
    </w:p>
    <w:p w14:paraId="74D39D21"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753FFB0A"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Ahora bien, cabe señalar que de conformidad con el artículo 29, fracción XIV, de la Ley en cita, establece que la Conferencia Nacional de Secretarios de Seguridad Pública tiene entre sus funciones, la de proponer los requisitos que debe contener el Certificado Único Policial. </w:t>
      </w:r>
    </w:p>
    <w:p w14:paraId="328E98CF"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2388FF83"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Al respecto, dada la naturaleza de la información que se analiza, es oportuno hacer referencia en el presente estudio, al Anexo del Acuerdo 07/XL/16, a través del cual el Consejo Nacional de Seguridad Pública, en cumplimiento al Acuerdo CNSP 13/XXXIX/15, aprueba los Lineamientos para la emisión, desarrollo e implementación del Certificado Único Policial, los cuales precisan lo siguiente:</w:t>
      </w:r>
    </w:p>
    <w:p w14:paraId="59BF14E9" w14:textId="77777777" w:rsidR="00A83BD3" w:rsidRPr="00523559" w:rsidRDefault="00F41D15" w:rsidP="00301B1C">
      <w:pPr>
        <w:numPr>
          <w:ilvl w:val="0"/>
          <w:numId w:val="14"/>
        </w:numPr>
        <w:pBdr>
          <w:top w:val="nil"/>
          <w:left w:val="nil"/>
          <w:bottom w:val="nil"/>
          <w:right w:val="nil"/>
          <w:between w:val="nil"/>
        </w:pBdr>
        <w:tabs>
          <w:tab w:val="left" w:pos="7513"/>
        </w:tabs>
        <w:spacing w:line="360" w:lineRule="auto"/>
        <w:ind w:left="567"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Que el Certificado Único Policial permitirá acreditar que el servidor público resultó aprobado para ingresar o permanecer en las Instituciones Policiales que cuenta con las competencias necesarias para el desempeño de su cargo; </w:t>
      </w:r>
    </w:p>
    <w:p w14:paraId="1292240F" w14:textId="77777777" w:rsidR="00A83BD3" w:rsidRPr="00523559" w:rsidRDefault="00F41D15" w:rsidP="00301B1C">
      <w:pPr>
        <w:numPr>
          <w:ilvl w:val="0"/>
          <w:numId w:val="14"/>
        </w:numPr>
        <w:pBdr>
          <w:top w:val="nil"/>
          <w:left w:val="nil"/>
          <w:bottom w:val="nil"/>
          <w:right w:val="nil"/>
          <w:between w:val="nil"/>
        </w:pBdr>
        <w:tabs>
          <w:tab w:val="left" w:pos="7513"/>
        </w:tabs>
        <w:spacing w:line="360" w:lineRule="auto"/>
        <w:ind w:left="567"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Que el Certificado Único Policial es requisito de permanencia para los integrantes de las instituciones policiales, mientras que el certificado previsto </w:t>
      </w:r>
      <w:r w:rsidRPr="00523559">
        <w:rPr>
          <w:rFonts w:ascii="Palatino Linotype" w:eastAsia="Palatino Linotype" w:hAnsi="Palatino Linotype" w:cs="Palatino Linotype"/>
          <w:color w:val="000000"/>
        </w:rPr>
        <w:lastRenderedPageBreak/>
        <w:t xml:space="preserve">en el artículo 65 de la Ley General del Sistema Nacional de Seguridad Pública establece que es requisito de ingreso y permanencia en las Instituciones de Procuración de Justicia; </w:t>
      </w:r>
    </w:p>
    <w:p w14:paraId="0B7E1F21" w14:textId="77777777" w:rsidR="00A83BD3" w:rsidRPr="00523559" w:rsidRDefault="00F41D15" w:rsidP="00301B1C">
      <w:pPr>
        <w:numPr>
          <w:ilvl w:val="0"/>
          <w:numId w:val="14"/>
        </w:numPr>
        <w:pBdr>
          <w:top w:val="nil"/>
          <w:left w:val="nil"/>
          <w:bottom w:val="nil"/>
          <w:right w:val="nil"/>
          <w:between w:val="nil"/>
        </w:pBdr>
        <w:tabs>
          <w:tab w:val="left" w:pos="7513"/>
        </w:tabs>
        <w:spacing w:line="360" w:lineRule="auto"/>
        <w:ind w:left="567"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Que en términos del artículo 76 de la Ley General del Sistema Nacional de Seguridad Pública, los policías de investigación que forman parte de la estructura orgánica de las Instituciones de Procuración de Justicia deben obtener el Certificado Único Policial;</w:t>
      </w:r>
    </w:p>
    <w:p w14:paraId="007CFA00" w14:textId="77777777" w:rsidR="00A83BD3" w:rsidRPr="00523559" w:rsidRDefault="00F41D15" w:rsidP="00301B1C">
      <w:pPr>
        <w:numPr>
          <w:ilvl w:val="0"/>
          <w:numId w:val="14"/>
        </w:numPr>
        <w:pBdr>
          <w:top w:val="nil"/>
          <w:left w:val="nil"/>
          <w:bottom w:val="nil"/>
          <w:right w:val="nil"/>
          <w:between w:val="nil"/>
        </w:pBdr>
        <w:tabs>
          <w:tab w:val="left" w:pos="7513"/>
        </w:tabs>
        <w:spacing w:line="360" w:lineRule="auto"/>
        <w:ind w:left="567"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Que el Consejo Nacional de Seguridad Pública en su Trigésima Novena Sesión Ordinaria, mediante Acuerdo 13/XXXIX/15 ratificó el</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Acuerdo 2, adoptado en la XIV Sesión Ordinaria de la Conferencia Nacional de Secretarios de Seguridad Pública, el cual establece los requisitos que debe tener el Certificado Único Policial: evaluación de control de confianza, formación inicial y/o equivalente, evaluación del desempeño y evaluación de competencias policiales básicas (habilidades, destrezas y conocimientos de la función policial); así como instruyó al Secretariado Ejecutivo del Sistema Nacional de Seguridad Pública a establecer un grupo de trabajo interinstitucional, para determinar los lineamientos y políticas generales para la emisión, desarrollo e implementación del Certificado Único Policial.</w:t>
      </w:r>
    </w:p>
    <w:p w14:paraId="558F90A4" w14:textId="77777777" w:rsidR="00A83BD3" w:rsidRPr="00523559" w:rsidRDefault="00A83BD3" w:rsidP="00301B1C">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color w:val="000000"/>
        </w:rPr>
      </w:pPr>
    </w:p>
    <w:p w14:paraId="7FACB7B8"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relación con lo expuesto, el artículo 6°, fracción V, de los Lineamientos citados, establece que para la emisión del Certificado Único Policial, el integrante de las Instituciones deberá acreditar: </w:t>
      </w:r>
    </w:p>
    <w:p w14:paraId="201118D7" w14:textId="77777777" w:rsidR="00A83BD3" w:rsidRPr="00523559" w:rsidRDefault="00F41D15" w:rsidP="00301B1C">
      <w:pPr>
        <w:pBdr>
          <w:top w:val="nil"/>
          <w:left w:val="nil"/>
          <w:bottom w:val="nil"/>
          <w:right w:val="nil"/>
          <w:between w:val="nil"/>
        </w:pBdr>
        <w:tabs>
          <w:tab w:val="left" w:pos="7513"/>
        </w:tabs>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 El proceso de evaluación de control de confianza; </w:t>
      </w:r>
    </w:p>
    <w:p w14:paraId="4AF2A17C" w14:textId="77777777" w:rsidR="00A83BD3" w:rsidRPr="00523559" w:rsidRDefault="00F41D15" w:rsidP="00301B1C">
      <w:pPr>
        <w:pBdr>
          <w:top w:val="nil"/>
          <w:left w:val="nil"/>
          <w:bottom w:val="nil"/>
          <w:right w:val="nil"/>
          <w:between w:val="nil"/>
        </w:pBdr>
        <w:tabs>
          <w:tab w:val="left" w:pos="7513"/>
        </w:tabs>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b) La evaluación de competencias básicas o profesionales; </w:t>
      </w:r>
    </w:p>
    <w:p w14:paraId="5929E06C" w14:textId="77777777" w:rsidR="00A83BD3" w:rsidRPr="00523559" w:rsidRDefault="00F41D15" w:rsidP="00301B1C">
      <w:pPr>
        <w:pBdr>
          <w:top w:val="nil"/>
          <w:left w:val="nil"/>
          <w:bottom w:val="nil"/>
          <w:right w:val="nil"/>
          <w:between w:val="nil"/>
        </w:pBdr>
        <w:tabs>
          <w:tab w:val="left" w:pos="7513"/>
        </w:tabs>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 La evaluación del desempeño o del desempeño académico, y </w:t>
      </w:r>
    </w:p>
    <w:p w14:paraId="369368ED" w14:textId="77777777" w:rsidR="00A83BD3" w:rsidRPr="00523559" w:rsidRDefault="00F41D15" w:rsidP="00301B1C">
      <w:pPr>
        <w:pBdr>
          <w:top w:val="nil"/>
          <w:left w:val="nil"/>
          <w:bottom w:val="nil"/>
          <w:right w:val="nil"/>
          <w:between w:val="nil"/>
        </w:pBdr>
        <w:tabs>
          <w:tab w:val="left" w:pos="7513"/>
        </w:tabs>
        <w:spacing w:line="360" w:lineRule="auto"/>
        <w:ind w:left="284"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 La formación inicial o su equivalente. </w:t>
      </w:r>
    </w:p>
    <w:p w14:paraId="502D0FD5" w14:textId="77777777" w:rsidR="00A83BD3" w:rsidRPr="00523559" w:rsidRDefault="00A83BD3" w:rsidP="00301B1C">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p>
    <w:p w14:paraId="6BC54002"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Lo anterior, se robustece con el Diagnóstico Nacional sobre las Policías Preventivas de las Entidades Federativas, establece que el Certificado Único Policial, es una herramienta que permite certificar que el personal que integra las instituciones de seguridad pública, tenga el perfil, los conocimientos, la experiencia, las habilidades y las aptitudes necesarias para el desempeño de sus funciones; además que, para obtener dicho documento, los policías municipales deberán contar con un resultado aprobatorio y vigente, lo siguiente:</w:t>
      </w:r>
    </w:p>
    <w:p w14:paraId="09358092" w14:textId="77777777" w:rsidR="00A83BD3" w:rsidRPr="00523559" w:rsidRDefault="00F41D15" w:rsidP="00301B1C">
      <w:pPr>
        <w:numPr>
          <w:ilvl w:val="0"/>
          <w:numId w:val="15"/>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Evaluación de control de confianza;</w:t>
      </w:r>
    </w:p>
    <w:p w14:paraId="64920D9F" w14:textId="77777777" w:rsidR="00A83BD3" w:rsidRPr="00523559" w:rsidRDefault="00F41D15" w:rsidP="00301B1C">
      <w:pPr>
        <w:numPr>
          <w:ilvl w:val="0"/>
          <w:numId w:val="15"/>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Evaluación de competencias básicas o profesionales;</w:t>
      </w:r>
    </w:p>
    <w:p w14:paraId="52216986" w14:textId="77777777" w:rsidR="00A83BD3" w:rsidRPr="00523559" w:rsidRDefault="00F41D15" w:rsidP="00301B1C">
      <w:pPr>
        <w:numPr>
          <w:ilvl w:val="0"/>
          <w:numId w:val="15"/>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Evaluación del desempeño, y</w:t>
      </w:r>
    </w:p>
    <w:p w14:paraId="66DA0E92" w14:textId="77777777" w:rsidR="00A83BD3" w:rsidRPr="00523559" w:rsidRDefault="00F41D15" w:rsidP="00301B1C">
      <w:pPr>
        <w:numPr>
          <w:ilvl w:val="0"/>
          <w:numId w:val="15"/>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Formación inicial o equivalente.</w:t>
      </w:r>
    </w:p>
    <w:p w14:paraId="566DEF86" w14:textId="77777777" w:rsidR="00A83BD3" w:rsidRPr="00523559" w:rsidRDefault="00A83BD3" w:rsidP="00301B1C">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color w:val="000000"/>
        </w:rPr>
      </w:pPr>
    </w:p>
    <w:p w14:paraId="528AC484"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Así, el Certificado Único Policial que emite el Centro de Control de Confianza del Estado de México, acredita que el personal dedicado a la seguridad pública cumple con las evaluaciones y formación, para ocupar un cargo de seguridad pública; por lo que, es un requisito indispensable, para poder entrar y permanecer en una institución de seguridad pública.</w:t>
      </w:r>
    </w:p>
    <w:p w14:paraId="30A1D7D1"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4BE13AED"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Precisado lo anterior, de una revisión al expediente que nos ocupa dentro del Sistema de Acceso a la Información Mexiquense, se advierte que en respuesta no se desprende pronunciamiento del servidor público habilitado.</w:t>
      </w:r>
    </w:p>
    <w:p w14:paraId="1A9E7350"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color w:val="000000"/>
        </w:rPr>
      </w:pPr>
    </w:p>
    <w:p w14:paraId="4BBA760A"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color w:val="000000"/>
        </w:rPr>
        <w:t xml:space="preserve">Atento a lo anterior debe </w:t>
      </w:r>
      <w:r w:rsidRPr="00523559">
        <w:rPr>
          <w:rFonts w:ascii="Palatino Linotype" w:eastAsia="Palatino Linotype" w:hAnsi="Palatino Linotype" w:cs="Palatino Linotype"/>
        </w:rPr>
        <w:t>hacerse</w:t>
      </w:r>
      <w:r w:rsidRPr="00523559">
        <w:rPr>
          <w:rFonts w:ascii="Palatino Linotype" w:eastAsia="Palatino Linotype" w:hAnsi="Palatino Linotype" w:cs="Palatino Linotype"/>
          <w:color w:val="000000"/>
        </w:rPr>
        <w:t xml:space="preserve"> alusión al procedimiento de turno de servidor público habilitado, por ello si bien es cierto, el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523559">
        <w:rPr>
          <w:rFonts w:ascii="Palatino Linotype" w:eastAsia="Palatino Linotype" w:hAnsi="Palatino Linotype" w:cs="Palatino Linotype"/>
          <w:b/>
          <w:color w:val="000000"/>
        </w:rPr>
        <w:t xml:space="preserve"> </w:t>
      </w:r>
    </w:p>
    <w:p w14:paraId="4B4F3D64" w14:textId="77777777" w:rsidR="00A83BD3" w:rsidRPr="00523559" w:rsidRDefault="00F41D15" w:rsidP="00301B1C">
      <w:pPr>
        <w:tabs>
          <w:tab w:val="left" w:pos="709"/>
        </w:tabs>
        <w:spacing w:line="360" w:lineRule="auto"/>
        <w:ind w:left="851" w:right="49"/>
        <w:jc w:val="center"/>
        <w:rPr>
          <w:rFonts w:ascii="Palatino Linotype" w:eastAsia="Palatino Linotype" w:hAnsi="Palatino Linotype" w:cs="Palatino Linotype"/>
          <w:b/>
          <w:i/>
        </w:rPr>
      </w:pPr>
      <w:r w:rsidRPr="00523559">
        <w:rPr>
          <w:rFonts w:ascii="Palatino Linotype" w:eastAsia="Palatino Linotype" w:hAnsi="Palatino Linotype" w:cs="Palatino Linotype"/>
          <w:b/>
        </w:rPr>
        <w:t>“Ley de Transparencia y Acceso a la Información Pública del Estado de México y Municipios</w:t>
      </w:r>
    </w:p>
    <w:p w14:paraId="39F3046A"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3AFD1D3E"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523559">
        <w:rPr>
          <w:rFonts w:ascii="Palatino Linotype" w:eastAsia="Palatino Linotype" w:hAnsi="Palatino Linotype" w:cs="Palatino Linotype"/>
          <w:b/>
          <w:i/>
          <w:u w:val="single"/>
        </w:rPr>
        <w:t>Dicha Unidad será la encargada de tramitar internamente la solicitud de información</w:t>
      </w:r>
      <w:r w:rsidRPr="00523559">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w:t>
      </w:r>
      <w:r w:rsidRPr="00523559">
        <w:rPr>
          <w:rFonts w:ascii="Palatino Linotype" w:eastAsia="Palatino Linotype" w:hAnsi="Palatino Linotype" w:cs="Palatino Linotype"/>
          <w:i/>
        </w:rPr>
        <w:lastRenderedPageBreak/>
        <w:t>necesarias para gestionar la atención a las solicitudes de información en los términos de la Ley General y la presente Ley.</w:t>
      </w:r>
    </w:p>
    <w:p w14:paraId="1B5798FC"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0A94BDA3"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Artículo 53. Las Unidades de Transparencia tendrán las siguientes funciones:</w:t>
      </w:r>
    </w:p>
    <w:p w14:paraId="073BD1A3"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1CE60F44"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II. Recibir, tramitar y dar respuesta a las solicitudes de acceso a la información; </w:t>
      </w:r>
    </w:p>
    <w:p w14:paraId="40E46E42"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1666A98E"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b/>
          <w:i/>
          <w:u w:val="single"/>
        </w:rPr>
      </w:pPr>
      <w:r w:rsidRPr="00523559">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7B835C50"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V. Entregar, en su caso, a los particulares la información solicitada; </w:t>
      </w:r>
    </w:p>
    <w:p w14:paraId="79795DF3" w14:textId="77777777" w:rsidR="00A83BD3" w:rsidRPr="00523559" w:rsidRDefault="00F41D15" w:rsidP="00301B1C">
      <w:pPr>
        <w:tabs>
          <w:tab w:val="left" w:pos="709"/>
        </w:tabs>
        <w:spacing w:line="360" w:lineRule="auto"/>
        <w:ind w:left="851" w:right="49"/>
        <w:rPr>
          <w:rFonts w:ascii="Palatino Linotype" w:eastAsia="Palatino Linotype" w:hAnsi="Palatino Linotype" w:cs="Palatino Linotype"/>
          <w:i/>
        </w:rPr>
      </w:pPr>
      <w:r w:rsidRPr="00523559">
        <w:rPr>
          <w:rFonts w:ascii="Palatino Linotype" w:eastAsia="Palatino Linotype" w:hAnsi="Palatino Linotype" w:cs="Palatino Linotype"/>
          <w:i/>
        </w:rPr>
        <w:t>VI. Efectuar las notificaciones a los solicitantes;” (Sic)</w:t>
      </w:r>
    </w:p>
    <w:p w14:paraId="40161AE7" w14:textId="77777777" w:rsidR="00A83BD3" w:rsidRPr="00523559" w:rsidRDefault="00A83BD3" w:rsidP="00301B1C">
      <w:pPr>
        <w:tabs>
          <w:tab w:val="left" w:pos="709"/>
        </w:tabs>
        <w:spacing w:line="360" w:lineRule="auto"/>
        <w:ind w:left="851" w:right="49"/>
        <w:rPr>
          <w:rFonts w:ascii="Palatino Linotype" w:eastAsia="Palatino Linotype" w:hAnsi="Palatino Linotype" w:cs="Palatino Linotype"/>
        </w:rPr>
      </w:pPr>
    </w:p>
    <w:p w14:paraId="2B12F1DA"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Aunado a lo anterior, se debe señalar que aunque la solicitud de información y la respuesta estén dirigidas y atendidas por un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0D4FB2F"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b/>
          <w:i/>
        </w:rPr>
        <w:t>“Artículo 3.</w:t>
      </w:r>
      <w:r w:rsidRPr="00523559">
        <w:rPr>
          <w:rFonts w:ascii="Palatino Linotype" w:eastAsia="Palatino Linotype" w:hAnsi="Palatino Linotype" w:cs="Palatino Linotype"/>
          <w:i/>
        </w:rPr>
        <w:t xml:space="preserve"> Para los efectos de la presente Ley se entenderá por:</w:t>
      </w:r>
    </w:p>
    <w:p w14:paraId="55B4FC62"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w:t>
      </w:r>
    </w:p>
    <w:p w14:paraId="1B43324A"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b/>
          <w:i/>
        </w:rPr>
        <w:t xml:space="preserve">XXXIX. Servidor público habilitado: </w:t>
      </w:r>
      <w:r w:rsidRPr="00523559">
        <w:rPr>
          <w:rFonts w:ascii="Palatino Linotype" w:eastAsia="Palatino Linotype" w:hAnsi="Palatino Linotype" w:cs="Palatino Linotype"/>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BED0FEE"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0890F80" w14:textId="77777777" w:rsidR="00A83BD3" w:rsidRPr="00523559" w:rsidRDefault="00A83BD3" w:rsidP="00301B1C">
      <w:pPr>
        <w:spacing w:line="360" w:lineRule="auto"/>
        <w:ind w:left="567" w:right="49"/>
        <w:rPr>
          <w:rFonts w:ascii="Palatino Linotype" w:eastAsia="Palatino Linotype" w:hAnsi="Palatino Linotype" w:cs="Palatino Linotype"/>
          <w:i/>
        </w:rPr>
      </w:pPr>
    </w:p>
    <w:p w14:paraId="35248D06"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b/>
          <w:i/>
        </w:rPr>
        <w:t>Artículo 58.</w:t>
      </w:r>
      <w:r w:rsidRPr="00523559">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5642EBC1"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b/>
          <w:i/>
        </w:rPr>
        <w:t>Artículo 59.</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u w:val="single"/>
        </w:rPr>
        <w:t>Los servidores públicos habilitados</w:t>
      </w:r>
      <w:r w:rsidRPr="00523559">
        <w:rPr>
          <w:rFonts w:ascii="Palatino Linotype" w:eastAsia="Palatino Linotype" w:hAnsi="Palatino Linotype" w:cs="Palatino Linotype"/>
          <w:i/>
        </w:rPr>
        <w:t xml:space="preserve"> tendrán las funciones siguientes:</w:t>
      </w:r>
    </w:p>
    <w:p w14:paraId="605B3D61"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I. </w:t>
      </w:r>
      <w:r w:rsidRPr="00523559">
        <w:rPr>
          <w:rFonts w:ascii="Palatino Linotype" w:eastAsia="Palatino Linotype" w:hAnsi="Palatino Linotype" w:cs="Palatino Linotype"/>
          <w:b/>
          <w:i/>
          <w:u w:val="single"/>
        </w:rPr>
        <w:t>Localizar la información que le solicite la Unidad de Transparencia</w:t>
      </w:r>
      <w:r w:rsidRPr="00523559">
        <w:rPr>
          <w:rFonts w:ascii="Palatino Linotype" w:eastAsia="Palatino Linotype" w:hAnsi="Palatino Linotype" w:cs="Palatino Linotype"/>
          <w:i/>
        </w:rPr>
        <w:t>;</w:t>
      </w:r>
    </w:p>
    <w:p w14:paraId="274E8C27"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 xml:space="preserve">II. </w:t>
      </w:r>
      <w:r w:rsidRPr="00523559">
        <w:rPr>
          <w:rFonts w:ascii="Palatino Linotype" w:eastAsia="Palatino Linotype" w:hAnsi="Palatino Linotype" w:cs="Palatino Linotype"/>
          <w:b/>
          <w:i/>
          <w:u w:val="single"/>
        </w:rPr>
        <w:t>Proporcionar la información que obre en los archivos y que le sea solicitada por la Unidad de Transparencia</w:t>
      </w:r>
      <w:r w:rsidRPr="00523559">
        <w:rPr>
          <w:rFonts w:ascii="Palatino Linotype" w:eastAsia="Palatino Linotype" w:hAnsi="Palatino Linotype" w:cs="Palatino Linotype"/>
          <w:i/>
        </w:rPr>
        <w:t>;</w:t>
      </w:r>
    </w:p>
    <w:p w14:paraId="0B638CD0"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III. Apoyar a la Unidad de Transparencia en lo que esta le solicite para el cumplimiento de sus funciones;</w:t>
      </w:r>
    </w:p>
    <w:p w14:paraId="051DB679"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IV. Proporcionar a la Unidad de Transparencia, las modificaciones a la información pública de oficio que obre en su poder;</w:t>
      </w:r>
    </w:p>
    <w:p w14:paraId="5FEDE831"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44F18E65"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lastRenderedPageBreak/>
        <w:t>VI. Verificar, una vez analizado el contenido de la información, que no se encuentre en los supuestos de información clasificada; y</w:t>
      </w:r>
    </w:p>
    <w:p w14:paraId="01F0966E"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VII. Dar cuenta a la Unidad de Transparencia del vencimiento de los plazos de reserva.” (Sic)</w:t>
      </w:r>
    </w:p>
    <w:p w14:paraId="05C7B65B" w14:textId="77777777" w:rsidR="00A83BD3" w:rsidRPr="00523559" w:rsidRDefault="00A83BD3" w:rsidP="00301B1C">
      <w:pPr>
        <w:spacing w:line="360" w:lineRule="auto"/>
        <w:ind w:left="567" w:right="49"/>
        <w:rPr>
          <w:rFonts w:ascii="Palatino Linotype" w:eastAsia="Palatino Linotype" w:hAnsi="Palatino Linotype" w:cs="Palatino Linotype"/>
          <w:i/>
        </w:rPr>
      </w:pPr>
    </w:p>
    <w:p w14:paraId="59AB83F8"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No obstante, dentro de la solicitud de información se advierte que </w:t>
      </w:r>
      <w:r w:rsidRPr="00523559">
        <w:rPr>
          <w:rFonts w:ascii="Palatino Linotype" w:eastAsia="Palatino Linotype" w:hAnsi="Palatino Linotype" w:cs="Palatino Linotype"/>
          <w:b/>
          <w:color w:val="000000"/>
        </w:rPr>
        <w:t>LA PARTE RECURRENTE</w:t>
      </w:r>
      <w:r w:rsidRPr="00523559">
        <w:rPr>
          <w:rFonts w:ascii="Palatino Linotype" w:eastAsia="Palatino Linotype" w:hAnsi="Palatino Linotype" w:cs="Palatino Linotype"/>
          <w:color w:val="000000"/>
        </w:rPr>
        <w:t xml:space="preserve"> pide información relativa al presupuesto asignado para al rubro de seguridad pública, por ello esta se debió turnar al área de </w:t>
      </w:r>
      <w:r w:rsidRPr="00523559">
        <w:rPr>
          <w:rFonts w:ascii="Palatino Linotype" w:eastAsia="Palatino Linotype" w:hAnsi="Palatino Linotype" w:cs="Palatino Linotype"/>
          <w:b/>
          <w:color w:val="000000"/>
        </w:rPr>
        <w:t>Tesorería; e</w:t>
      </w:r>
      <w:r w:rsidRPr="00523559">
        <w:rPr>
          <w:rFonts w:ascii="Palatino Linotype" w:eastAsia="Palatino Linotype" w:hAnsi="Palatino Linotype" w:cs="Palatino Linotype"/>
          <w:color w:val="000000"/>
        </w:rPr>
        <w:t>n otras palabras, no se cumplió con lo que, para tal efecto, dispone el artículo 162 de la Ley de Transparencia y Acceso a la Información Pública del Estado de México y Municipios, que índica:</w:t>
      </w:r>
    </w:p>
    <w:p w14:paraId="23F2B9CC" w14:textId="77777777" w:rsidR="00A83BD3" w:rsidRPr="00523559" w:rsidRDefault="00F41D15" w:rsidP="00301B1C">
      <w:pPr>
        <w:spacing w:line="360" w:lineRule="auto"/>
        <w:ind w:left="567" w:right="49"/>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 xml:space="preserve">Artículo 162. </w:t>
      </w:r>
      <w:r w:rsidRPr="00523559">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23559">
        <w:rPr>
          <w:rFonts w:ascii="Palatino Linotype" w:eastAsia="Palatino Linotype" w:hAnsi="Palatino Linotype" w:cs="Palatino Linotype"/>
          <w:i/>
        </w:rPr>
        <w:t xml:space="preserve">” </w:t>
      </w:r>
    </w:p>
    <w:p w14:paraId="31CE8334" w14:textId="77777777" w:rsidR="00A83BD3" w:rsidRPr="00523559" w:rsidRDefault="00A83BD3" w:rsidP="00301B1C">
      <w:pPr>
        <w:spacing w:line="360" w:lineRule="auto"/>
        <w:ind w:left="567" w:right="49"/>
        <w:rPr>
          <w:rFonts w:ascii="Palatino Linotype" w:eastAsia="Palatino Linotype" w:hAnsi="Palatino Linotype" w:cs="Palatino Linotype"/>
          <w:i/>
        </w:rPr>
      </w:pPr>
    </w:p>
    <w:p w14:paraId="5A8C2F4A"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Para reforzar lo expuesto se trae a colación las atribuciones de las </w:t>
      </w:r>
      <w:r w:rsidRPr="00523559">
        <w:rPr>
          <w:rFonts w:ascii="Palatino Linotype" w:eastAsia="Palatino Linotype" w:hAnsi="Palatino Linotype" w:cs="Palatino Linotype"/>
        </w:rPr>
        <w:t>tareas</w:t>
      </w:r>
      <w:r w:rsidRPr="00523559">
        <w:rPr>
          <w:rFonts w:ascii="Palatino Linotype" w:eastAsia="Palatino Linotype" w:hAnsi="Palatino Linotype" w:cs="Palatino Linotype"/>
          <w:color w:val="000000"/>
        </w:rPr>
        <w:t xml:space="preserve"> de Seguridad Pública y Tesorería que se encuentran en Ley Orgánica Municipal del Estado de México como se advierte a continuación:</w:t>
      </w:r>
    </w:p>
    <w:p w14:paraId="4EFF1C13"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color w:val="000000"/>
        </w:rPr>
        <w:t>Artículo 22.- Son atribuciones del Director de Seguridad Pública Municipal:</w:t>
      </w:r>
    </w:p>
    <w:p w14:paraId="2BE4D7D9" w14:textId="77777777" w:rsidR="00A83BD3" w:rsidRPr="00523559" w:rsidRDefault="00A83BD3"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p>
    <w:p w14:paraId="05397C99"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I. Participar en la elaboración del Programa Municipal de Seguridad Pública y del Programa Municipal de Prevención Social de la Violencia y la Delincuencia con Participación Ciudadana;</w:t>
      </w:r>
    </w:p>
    <w:p w14:paraId="096DA81E"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II. Organizar, operar, supervisar y controlar a los integrantes de las instituciones policiales a su cargo;</w:t>
      </w:r>
    </w:p>
    <w:p w14:paraId="4ED732A8"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III. Aplicar las directrices que conforme a sus atribuciones expresas dicten las autoridades competentes para la prestación del servicio, coordinación, funcionamiento, normatividad técnica y disciplina de los integrantes de las instituciones policiales a su cargo;</w:t>
      </w:r>
    </w:p>
    <w:p w14:paraId="30BF33DE"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IV. Proponer programas para mejorar y ampliar la cobertura del servicio de seguridad pública;</w:t>
      </w:r>
    </w:p>
    <w:p w14:paraId="3235A783"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V. Contar con las estadísticas delictivas y efectuar la supervisión de las acciones de seguridad pública municipal;</w:t>
      </w:r>
    </w:p>
    <w:p w14:paraId="4F681A97"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VI. Promover la capacitación técnica y práctica de las o los integrantes de las instituciones policiales a su cargo;</w:t>
      </w:r>
    </w:p>
    <w:p w14:paraId="67D0F010"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VII. Informar a las autoridades competentes sobre los movimientos de altas y bajas de los integrantes de las instituciones policiales a su cargo, así como de sus vehículos, armamento, municiones y equipo;</w:t>
      </w:r>
    </w:p>
    <w:p w14:paraId="55969484"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VIII. Denunciar oportunamente ante las autoridades competentes el extravío o robo de armamento a su cargo para los efectos legales correspondientes;</w:t>
      </w:r>
    </w:p>
    <w:p w14:paraId="0CCC6BB7"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IX. Proporcionar a la Secretaría los informes que le sean solicitados;</w:t>
      </w:r>
    </w:p>
    <w:p w14:paraId="194D0434"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color w:val="000000"/>
        </w:rPr>
      </w:pPr>
      <w:r w:rsidRPr="00523559">
        <w:rPr>
          <w:rFonts w:ascii="Palatino Linotype" w:eastAsia="Palatino Linotype" w:hAnsi="Palatino Linotype" w:cs="Palatino Linotype"/>
          <w:i/>
          <w:color w:val="000000"/>
        </w:rPr>
        <w:t>X. Auxiliar a las autoridades federales y de otras entidades federativas cuando sea requerido para ello; y</w:t>
      </w:r>
      <w:r w:rsidRPr="00523559">
        <w:rPr>
          <w:rFonts w:ascii="Palatino Linotype" w:eastAsia="Palatino Linotype" w:hAnsi="Palatino Linotype" w:cs="Palatino Linotype"/>
          <w:color w:val="000000"/>
        </w:rPr>
        <w:t xml:space="preserve"> </w:t>
      </w:r>
    </w:p>
    <w:p w14:paraId="3AA705A0"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XI. Informar al Presidente o Presidenta Municipal de los resultados y procesos de verificación y evaluaciones de confianza a los que se sometan los integrantes de las instituciones policiales a su cargo, y</w:t>
      </w:r>
    </w:p>
    <w:p w14:paraId="348F9096"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color w:val="000000"/>
        </w:rPr>
      </w:pPr>
      <w:r w:rsidRPr="00523559">
        <w:rPr>
          <w:rFonts w:ascii="Palatino Linotype" w:eastAsia="Palatino Linotype" w:hAnsi="Palatino Linotype" w:cs="Palatino Linotype"/>
          <w:i/>
          <w:color w:val="000000"/>
        </w:rPr>
        <w:t>XII. Las demás que les confieran otras leyes.</w:t>
      </w:r>
      <w:r w:rsidRPr="00523559">
        <w:rPr>
          <w:rFonts w:ascii="Palatino Linotype" w:eastAsia="Palatino Linotype" w:hAnsi="Palatino Linotype" w:cs="Palatino Linotype"/>
          <w:color w:val="000000"/>
        </w:rPr>
        <w:t xml:space="preserve"> </w:t>
      </w:r>
    </w:p>
    <w:p w14:paraId="02AA8C95" w14:textId="77777777" w:rsidR="00A83BD3" w:rsidRPr="00523559" w:rsidRDefault="00A83BD3" w:rsidP="00301B1C">
      <w:pPr>
        <w:pBdr>
          <w:top w:val="nil"/>
          <w:left w:val="nil"/>
          <w:bottom w:val="nil"/>
          <w:right w:val="nil"/>
          <w:between w:val="nil"/>
        </w:pBdr>
        <w:spacing w:line="360" w:lineRule="auto"/>
        <w:ind w:left="851" w:right="49"/>
        <w:rPr>
          <w:rFonts w:ascii="Palatino Linotype" w:eastAsia="Palatino Linotype" w:hAnsi="Palatino Linotype" w:cs="Palatino Linotype"/>
          <w:color w:val="000000"/>
        </w:rPr>
      </w:pPr>
    </w:p>
    <w:p w14:paraId="63DFEB8C" w14:textId="77777777" w:rsidR="00A83BD3" w:rsidRPr="00523559" w:rsidRDefault="00F41D15" w:rsidP="00301B1C">
      <w:pPr>
        <w:pBdr>
          <w:top w:val="nil"/>
          <w:left w:val="nil"/>
          <w:bottom w:val="nil"/>
          <w:right w:val="nil"/>
          <w:between w:val="nil"/>
        </w:pBdr>
        <w:spacing w:line="360" w:lineRule="auto"/>
        <w:ind w:left="851" w:right="49"/>
        <w:jc w:val="center"/>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rPr>
        <w:t>CAPÍTULO</w:t>
      </w:r>
      <w:r w:rsidRPr="00523559">
        <w:rPr>
          <w:rFonts w:ascii="Palatino Linotype" w:eastAsia="Palatino Linotype" w:hAnsi="Palatino Linotype" w:cs="Palatino Linotype"/>
          <w:b/>
          <w:i/>
          <w:color w:val="000000"/>
        </w:rPr>
        <w:t xml:space="preserve"> SEGUNDO</w:t>
      </w:r>
    </w:p>
    <w:p w14:paraId="205C3547" w14:textId="77777777" w:rsidR="00A83BD3" w:rsidRPr="00523559" w:rsidRDefault="00F41D15" w:rsidP="00301B1C">
      <w:pPr>
        <w:pBdr>
          <w:top w:val="nil"/>
          <w:left w:val="nil"/>
          <w:bottom w:val="nil"/>
          <w:right w:val="nil"/>
          <w:between w:val="nil"/>
        </w:pBdr>
        <w:spacing w:line="360" w:lineRule="auto"/>
        <w:ind w:left="851" w:right="49"/>
        <w:jc w:val="center"/>
        <w:rPr>
          <w:rFonts w:ascii="Palatino Linotype" w:eastAsia="Palatino Linotype" w:hAnsi="Palatino Linotype" w:cs="Palatino Linotype"/>
          <w:b/>
          <w:i/>
          <w:color w:val="000000"/>
        </w:rPr>
      </w:pPr>
      <w:r w:rsidRPr="00523559">
        <w:rPr>
          <w:rFonts w:ascii="Palatino Linotype" w:eastAsia="Palatino Linotype" w:hAnsi="Palatino Linotype" w:cs="Palatino Linotype"/>
          <w:b/>
          <w:i/>
          <w:color w:val="000000"/>
        </w:rPr>
        <w:t>De la Tesorería Municipal</w:t>
      </w:r>
    </w:p>
    <w:p w14:paraId="0C749FFD"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Artículo 93.- La tesorería municipal es el órgano encargado de la recaudación de los ingresos municipales y responsable de realizar las erogaciones que haga el ayuntamiento.</w:t>
      </w:r>
    </w:p>
    <w:p w14:paraId="712A736A" w14:textId="77777777" w:rsidR="00A83BD3" w:rsidRPr="00523559" w:rsidRDefault="00A83BD3"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p>
    <w:p w14:paraId="049AA6CB"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3BFD61D5" w14:textId="77777777" w:rsidR="00A83BD3" w:rsidRPr="00523559" w:rsidRDefault="00A83BD3"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p>
    <w:p w14:paraId="029F090A"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Artículo 95.- Son atribuciones del tesorero municipal:</w:t>
      </w:r>
    </w:p>
    <w:p w14:paraId="2A2A8440"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 Administrar la hacienda pública municipal, de conformidad con las disposiciones legales aplicables;</w:t>
      </w:r>
    </w:p>
    <w:p w14:paraId="3C2046E5"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w:t>
      </w:r>
    </w:p>
    <w:p w14:paraId="3D4CA026"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t>IV. Llevar los registros contables, financieros y administrativos de los ingresos, egresos, e inventarios;</w:t>
      </w:r>
    </w:p>
    <w:p w14:paraId="3FA8AD4B" w14:textId="77777777" w:rsidR="00A83BD3" w:rsidRPr="00523559" w:rsidRDefault="00F41D15" w:rsidP="00301B1C">
      <w:pPr>
        <w:pBdr>
          <w:top w:val="nil"/>
          <w:left w:val="nil"/>
          <w:bottom w:val="nil"/>
          <w:right w:val="nil"/>
          <w:between w:val="nil"/>
        </w:pBdr>
        <w:spacing w:line="360" w:lineRule="auto"/>
        <w:ind w:left="851" w:right="49"/>
        <w:rPr>
          <w:rFonts w:ascii="Palatino Linotype" w:eastAsia="Palatino Linotype" w:hAnsi="Palatino Linotype" w:cs="Palatino Linotype"/>
          <w:i/>
          <w:color w:val="000000"/>
        </w:rPr>
      </w:pPr>
      <w:r w:rsidRPr="00523559">
        <w:rPr>
          <w:rFonts w:ascii="Palatino Linotype" w:eastAsia="Palatino Linotype" w:hAnsi="Palatino Linotype" w:cs="Palatino Linotype"/>
          <w:i/>
          <w:color w:val="000000"/>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450CE7C5" w14:textId="77777777" w:rsidR="00A83BD3" w:rsidRPr="00523559" w:rsidRDefault="00A83BD3" w:rsidP="00301B1C">
      <w:pPr>
        <w:spacing w:line="360" w:lineRule="auto"/>
        <w:ind w:right="49"/>
        <w:rPr>
          <w:rFonts w:ascii="Palatino Linotype" w:eastAsia="Palatino Linotype" w:hAnsi="Palatino Linotype" w:cs="Palatino Linotype"/>
        </w:rPr>
      </w:pPr>
    </w:p>
    <w:p w14:paraId="1B243C06"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 lo anterior se advierte que las atribuciones del </w:t>
      </w:r>
      <w:r w:rsidRPr="00523559">
        <w:rPr>
          <w:rFonts w:ascii="Palatino Linotype" w:eastAsia="Palatino Linotype" w:hAnsi="Palatino Linotype" w:cs="Palatino Linotype"/>
          <w:b/>
          <w:color w:val="000000"/>
        </w:rPr>
        <w:t xml:space="preserve">Director de Seguridad Pública </w:t>
      </w:r>
      <w:r w:rsidRPr="00523559">
        <w:rPr>
          <w:rFonts w:ascii="Palatino Linotype" w:eastAsia="Palatino Linotype" w:hAnsi="Palatino Linotype" w:cs="Palatino Linotype"/>
          <w:color w:val="000000"/>
        </w:rPr>
        <w:t xml:space="preserve">lo es Prevenir la comisión de infracciones, mantener la seguridad, el orden público y la tranquilidad de las personas, por ello se considera el servidor público habilitado idóneo para proporcionar la información solicitada; no obstante ello también de debió turnar la solicitud de información al área de </w:t>
      </w:r>
      <w:r w:rsidRPr="00523559">
        <w:rPr>
          <w:rFonts w:ascii="Palatino Linotype" w:eastAsia="Palatino Linotype" w:hAnsi="Palatino Linotype" w:cs="Palatino Linotype"/>
          <w:b/>
          <w:color w:val="000000"/>
        </w:rPr>
        <w:t>Tesorería</w:t>
      </w:r>
      <w:r w:rsidRPr="00523559">
        <w:rPr>
          <w:rFonts w:ascii="Palatino Linotype" w:eastAsia="Palatino Linotype" w:hAnsi="Palatino Linotype" w:cs="Palatino Linotype"/>
          <w:color w:val="000000"/>
        </w:rPr>
        <w:t xml:space="preserve">, pues esta área es encargada de proporcionar oportunamente al ayuntamiento todos los datos o informes que sean necesarios para la formulación del Presupuesto de Egresos Municipales; por ello se ordena se turne de nueva cuenta al </w:t>
      </w:r>
      <w:r w:rsidRPr="00523559">
        <w:rPr>
          <w:rFonts w:ascii="Palatino Linotype" w:eastAsia="Palatino Linotype" w:hAnsi="Palatino Linotype" w:cs="Palatino Linotype"/>
          <w:b/>
          <w:color w:val="000000"/>
        </w:rPr>
        <w:t>Director de Seguridad Pública</w:t>
      </w:r>
      <w:r w:rsidRPr="00523559">
        <w:rPr>
          <w:rFonts w:ascii="Palatino Linotype" w:eastAsia="Palatino Linotype" w:hAnsi="Palatino Linotype" w:cs="Palatino Linotype"/>
          <w:color w:val="000000"/>
        </w:rPr>
        <w:t>, relativo a los rubros del  gasto que ejerció el municipio para el pago de equipamiento policial, armamento, pago de patrullas (ya sea adquisición o renta), capacitación policial, desglosado por concepto de pago y especificar el número de policías beneficiados; y también al área de Tesorería para que previa búsqueda exhaustiva en sus archivos de la información haga entrega de la misma.</w:t>
      </w:r>
    </w:p>
    <w:p w14:paraId="581F6248" w14:textId="77777777" w:rsidR="00A83BD3" w:rsidRPr="00523559" w:rsidRDefault="00A83BD3" w:rsidP="00301B1C">
      <w:pPr>
        <w:spacing w:line="360" w:lineRule="auto"/>
        <w:ind w:right="49"/>
        <w:rPr>
          <w:rFonts w:ascii="Palatino Linotype" w:eastAsia="Palatino Linotype" w:hAnsi="Palatino Linotype" w:cs="Palatino Linotype"/>
        </w:rPr>
      </w:pPr>
    </w:p>
    <w:p w14:paraId="470A5586" w14:textId="77777777" w:rsidR="00A83BD3" w:rsidRPr="00523559" w:rsidRDefault="00F41D15" w:rsidP="00301B1C">
      <w:pPr>
        <w:numPr>
          <w:ilvl w:val="0"/>
          <w:numId w:val="11"/>
        </w:numPr>
        <w:pBdr>
          <w:top w:val="nil"/>
          <w:left w:val="nil"/>
          <w:bottom w:val="nil"/>
          <w:right w:val="nil"/>
          <w:between w:val="nil"/>
        </w:pBdr>
        <w:tabs>
          <w:tab w:val="left" w:pos="567"/>
        </w:tabs>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Conforme a lo anterior, se logra vislumbrar que la pretensión de </w:t>
      </w:r>
      <w:r w:rsidRPr="00523559">
        <w:rPr>
          <w:rFonts w:ascii="Palatino Linotype" w:eastAsia="Palatino Linotype" w:hAnsi="Palatino Linotype" w:cs="Palatino Linotype"/>
          <w:b/>
          <w:color w:val="000000"/>
        </w:rPr>
        <w:t>la parte Recurrente</w:t>
      </w:r>
      <w:r w:rsidRPr="00523559">
        <w:rPr>
          <w:rFonts w:ascii="Palatino Linotype" w:eastAsia="Palatino Linotype" w:hAnsi="Palatino Linotype" w:cs="Palatino Linotype"/>
          <w:color w:val="000000"/>
        </w:rPr>
        <w:t xml:space="preserve">, es obtener, el certificado único policial, el cual es un requisito para el ingreso y permanencia dentro de las Instituciones de Seguridad Pública, por lo que </w:t>
      </w:r>
      <w:r w:rsidRPr="00523559">
        <w:rPr>
          <w:rFonts w:ascii="Palatino Linotype" w:eastAsia="Palatino Linotype" w:hAnsi="Palatino Linotype" w:cs="Palatino Linotype"/>
          <w:color w:val="000000"/>
        </w:rPr>
        <w:lastRenderedPageBreak/>
        <w:t>se determina que la información obra en posesión del Sujeto Obligado, por lo que se ORDENA entregar el soporte documental correspondiente.</w:t>
      </w:r>
    </w:p>
    <w:p w14:paraId="727FC8B3"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B435EC2"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ser el caso de que la información que se ORDENA entregar contenga datos personales susceptibles de clasificarse como información confidencial, el Sujeto Obligado estará a lo dispuesto en el Considerando QUINTO de la presente resolución.</w:t>
      </w:r>
    </w:p>
    <w:p w14:paraId="52970953"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color w:val="000000"/>
        </w:rPr>
      </w:pPr>
    </w:p>
    <w:p w14:paraId="074D8E9F" w14:textId="77777777" w:rsidR="00A83BD3" w:rsidRPr="00523559" w:rsidRDefault="00F41D15" w:rsidP="00301B1C">
      <w:pPr>
        <w:spacing w:line="360" w:lineRule="auto"/>
        <w:ind w:right="49"/>
        <w:jc w:val="both"/>
        <w:rPr>
          <w:rFonts w:ascii="Palatino Linotype" w:eastAsia="Palatino Linotype" w:hAnsi="Palatino Linotype" w:cs="Palatino Linotype"/>
          <w:b/>
        </w:rPr>
      </w:pPr>
      <w:bookmarkStart w:id="1" w:name="_heading=h.gjdgxs" w:colFirst="0" w:colLast="0"/>
      <w:bookmarkEnd w:id="1"/>
      <w:r w:rsidRPr="00523559">
        <w:rPr>
          <w:rFonts w:ascii="Palatino Linotype" w:eastAsia="Palatino Linotype" w:hAnsi="Palatino Linotype" w:cs="Palatino Linotype"/>
        </w:rPr>
        <w:t xml:space="preserve"> </w:t>
      </w:r>
      <w:r w:rsidRPr="00523559">
        <w:rPr>
          <w:rFonts w:ascii="Palatino Linotype" w:eastAsia="Palatino Linotype" w:hAnsi="Palatino Linotype" w:cs="Palatino Linotype"/>
          <w:b/>
        </w:rPr>
        <w:t>QUINTO. De la versión pública.</w:t>
      </w:r>
    </w:p>
    <w:p w14:paraId="45651898"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Con relación a la </w:t>
      </w:r>
      <w:r w:rsidRPr="00523559">
        <w:rPr>
          <w:rFonts w:ascii="Palatino Linotype" w:eastAsia="Palatino Linotype" w:hAnsi="Palatino Linotype" w:cs="Palatino Linotype"/>
          <w:b/>
          <w:color w:val="000000"/>
        </w:rPr>
        <w:t xml:space="preserve">versión pública </w:t>
      </w:r>
      <w:r w:rsidRPr="00523559">
        <w:rPr>
          <w:rFonts w:ascii="Palatino Linotype" w:eastAsia="Palatino Linotype" w:hAnsi="Palatino Linotype" w:cs="Palatino Linotype"/>
          <w:color w:val="000000"/>
        </w:rPr>
        <w:t xml:space="preserve">de la información de la que se ordena su entrega, en términos del artículo 143, fracción I y II de la Ley de Transparencia y Acceso a la Información Pública del Estado de México y Municipios, deberá omitirse, eliminarse o suprimirse la información </w:t>
      </w:r>
      <w:r w:rsidRPr="00523559">
        <w:rPr>
          <w:rFonts w:ascii="Palatino Linotype" w:eastAsia="Palatino Linotype" w:hAnsi="Palatino Linotype" w:cs="Palatino Linotype"/>
          <w:b/>
          <w:color w:val="000000"/>
        </w:rPr>
        <w:t>confidencial</w:t>
      </w:r>
      <w:r w:rsidRPr="00523559">
        <w:rPr>
          <w:rFonts w:ascii="Palatino Linotype" w:eastAsia="Palatino Linotype" w:hAnsi="Palatino Linotype" w:cs="Palatino Linotype"/>
          <w:color w:val="000000"/>
        </w:rPr>
        <w:t xml:space="preserve">. </w:t>
      </w:r>
    </w:p>
    <w:p w14:paraId="526D46D9"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4543E58C"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523559">
        <w:rPr>
          <w:rFonts w:ascii="Palatino Linotype" w:eastAsia="Palatino Linotype" w:hAnsi="Palatino Linotype" w:cs="Palatino Linotype"/>
          <w:b/>
          <w:color w:val="000000"/>
        </w:rPr>
        <w:t>SUJETO OBLIGADO</w:t>
      </w:r>
      <w:r w:rsidRPr="00523559">
        <w:rPr>
          <w:rFonts w:ascii="Palatino Linotype" w:eastAsia="Palatino Linotype" w:hAnsi="Palatino Linotype" w:cs="Palatino Linotype"/>
          <w:color w:val="000000"/>
        </w:rPr>
        <w:t xml:space="preserve"> emita el Acuerdo de Clasificación correspondiente debidamente fundado y motivado, en el cual se sustente la versión pública, misma que deberá cumplir cabalmente con las formalidades de los </w:t>
      </w:r>
      <w:r w:rsidRPr="00523559">
        <w:rPr>
          <w:rFonts w:ascii="Palatino Linotype" w:eastAsia="Palatino Linotype" w:hAnsi="Palatino Linotype" w:cs="Palatino Linotype"/>
          <w:color w:val="000000"/>
          <w:u w:val="single"/>
        </w:rPr>
        <w:t>lineamientos generales en materia de clasificación y desclasificación de la información; así como, para la elaboración de versiones públicas</w:t>
      </w:r>
      <w:r w:rsidRPr="00523559">
        <w:rPr>
          <w:rFonts w:ascii="Palatino Linotype" w:eastAsia="Palatino Linotype" w:hAnsi="Palatino Linotype" w:cs="Palatino Linotype"/>
          <w:color w:val="000000"/>
        </w:rPr>
        <w:t xml:space="preserve">, publicados en el Diario Oficial de la Federación en fecha 15 de abril de 2016, mediante Acuerdo del Consejo Nacional del Sistema </w:t>
      </w:r>
      <w:r w:rsidRPr="00523559">
        <w:rPr>
          <w:rFonts w:ascii="Palatino Linotype" w:eastAsia="Palatino Linotype" w:hAnsi="Palatino Linotype" w:cs="Palatino Linotype"/>
          <w:color w:val="000000"/>
        </w:rPr>
        <w:lastRenderedPageBreak/>
        <w:t>Nacional de Transparencia, Acceso a la Información Pública y Protección de Datos Personales.</w:t>
      </w:r>
    </w:p>
    <w:p w14:paraId="58CA0938"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59D08F9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Así, respecto de los documentos que </w:t>
      </w:r>
      <w:r w:rsidRPr="00523559">
        <w:rPr>
          <w:rFonts w:ascii="Palatino Linotype" w:eastAsia="Palatino Linotype" w:hAnsi="Palatino Linotype" w:cs="Palatino Linotype"/>
          <w:b/>
          <w:color w:val="000000"/>
        </w:rPr>
        <w:t xml:space="preserve">EL SUJETO OBLIGADO </w:t>
      </w:r>
      <w:r w:rsidRPr="00523559">
        <w:rPr>
          <w:rFonts w:ascii="Palatino Linotype" w:eastAsia="Palatino Linotype" w:hAnsi="Palatino Linotype" w:cs="Palatino Linotype"/>
          <w:color w:val="000000"/>
        </w:rPr>
        <w:t xml:space="preserve">ha de </w:t>
      </w:r>
      <w:r w:rsidRPr="00523559">
        <w:rPr>
          <w:rFonts w:ascii="Palatino Linotype" w:eastAsia="Palatino Linotype" w:hAnsi="Palatino Linotype" w:cs="Palatino Linotype"/>
          <w:b/>
          <w:color w:val="000000"/>
        </w:rPr>
        <w:t>entregar</w:t>
      </w:r>
      <w:r w:rsidRPr="00523559">
        <w:rPr>
          <w:rFonts w:ascii="Palatino Linotype" w:eastAsia="Palatino Linotype" w:hAnsi="Palatino Linotype" w:cs="Palatino Linotype"/>
          <w:color w:val="000000"/>
        </w:rPr>
        <w:t xml:space="preserve"> en </w:t>
      </w:r>
      <w:r w:rsidRPr="00523559">
        <w:rPr>
          <w:rFonts w:ascii="Palatino Linotype" w:eastAsia="Palatino Linotype" w:hAnsi="Palatino Linotype" w:cs="Palatino Linotype"/>
          <w:b/>
          <w:color w:val="000000"/>
        </w:rPr>
        <w:t>versión pública</w:t>
      </w:r>
      <w:r w:rsidRPr="00523559">
        <w:rPr>
          <w:rFonts w:ascii="Palatino Linotype" w:eastAsia="Palatino Linotype" w:hAnsi="Palatino Linotype" w:cs="Palatino Linotype"/>
          <w:color w:val="000000"/>
        </w:rPr>
        <w:t>, se deberá omitir, eliminar o suprimir la información personal de los servidores públicos, como lo es (de manera enunciativa más no limitativa), el Registro Federal de Contribuyentes (RFC), Clave única de Registro de Población (CURP), clave del Instituto de Seguridad Social del Estado de México y Municipios (</w:t>
      </w:r>
      <w:proofErr w:type="spellStart"/>
      <w:r w:rsidRPr="00523559">
        <w:rPr>
          <w:rFonts w:ascii="Palatino Linotype" w:eastAsia="Palatino Linotype" w:hAnsi="Palatino Linotype" w:cs="Palatino Linotype"/>
          <w:color w:val="000000"/>
        </w:rPr>
        <w:t>ISSEMyM</w:t>
      </w:r>
      <w:proofErr w:type="spellEnd"/>
      <w:r w:rsidRPr="00523559">
        <w:rPr>
          <w:rFonts w:ascii="Palatino Linotype" w:eastAsia="Palatino Linotype" w:hAnsi="Palatino Linotype" w:cs="Palatino Linotype"/>
          <w:color w:val="000000"/>
        </w:rPr>
        <w:t>),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31229E47"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81EE9A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523559">
        <w:rPr>
          <w:rFonts w:ascii="Palatino Linotype" w:eastAsia="Palatino Linotype" w:hAnsi="Palatino Linotype" w:cs="Palatino Linotype"/>
          <w:color w:val="000000"/>
        </w:rPr>
        <w:t>homoclave</w:t>
      </w:r>
      <w:proofErr w:type="spellEnd"/>
      <w:r w:rsidRPr="00523559">
        <w:rPr>
          <w:rFonts w:ascii="Palatino Linotype" w:eastAsia="Palatino Linotype" w:hAnsi="Palatino Linotype" w:cs="Palatino Linotype"/>
          <w:color w:val="000000"/>
        </w:rPr>
        <w:t>, la cual para su obtención es necesario acreditar personalidad con documentos oficiales.</w:t>
      </w:r>
    </w:p>
    <w:p w14:paraId="74F5852D"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color w:val="000000"/>
        </w:rPr>
      </w:pPr>
    </w:p>
    <w:p w14:paraId="0A02F85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color w:val="000000"/>
        </w:rPr>
        <w:lastRenderedPageBreak/>
        <w:t>Al respecto, es aplicable el Criterio 19/17 de la Segunda Época, emitido por el INAI, que dice:</w:t>
      </w:r>
      <w:r w:rsidRPr="00523559">
        <w:rPr>
          <w:rFonts w:ascii="Palatino Linotype" w:eastAsia="Palatino Linotype" w:hAnsi="Palatino Linotype" w:cs="Palatino Linotype"/>
          <w:b/>
          <w:color w:val="000000"/>
        </w:rPr>
        <w:t xml:space="preserve"> </w:t>
      </w:r>
    </w:p>
    <w:p w14:paraId="2EFD4E10" w14:textId="77777777" w:rsidR="00A83BD3" w:rsidRPr="00523559" w:rsidRDefault="00F41D15" w:rsidP="00301B1C">
      <w:pPr>
        <w:tabs>
          <w:tab w:val="left" w:pos="7655"/>
        </w:tabs>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Registro Federal de Contribuyentes (RFC) de personas físicas. El RFC es una clave</w:t>
      </w:r>
      <w:r w:rsidRPr="00523559">
        <w:rPr>
          <w:rFonts w:ascii="Palatino Linotype" w:eastAsia="Palatino Linotype" w:hAnsi="Palatino Linotype" w:cs="Palatino Linotype"/>
          <w:i/>
        </w:rPr>
        <w:t xml:space="preserve"> de carácter fiscal, única e irrepetible, </w:t>
      </w:r>
      <w:r w:rsidRPr="00523559">
        <w:rPr>
          <w:rFonts w:ascii="Palatino Linotype" w:eastAsia="Palatino Linotype" w:hAnsi="Palatino Linotype" w:cs="Palatino Linotype"/>
          <w:b/>
          <w:i/>
        </w:rPr>
        <w:t>que permite identificar al titular, su edad y fecha de nacimiento</w:t>
      </w:r>
      <w:r w:rsidRPr="00523559">
        <w:rPr>
          <w:rFonts w:ascii="Palatino Linotype" w:eastAsia="Palatino Linotype" w:hAnsi="Palatino Linotype" w:cs="Palatino Linotype"/>
          <w:i/>
        </w:rPr>
        <w:t xml:space="preserve">, por lo que </w:t>
      </w:r>
      <w:r w:rsidRPr="00523559">
        <w:rPr>
          <w:rFonts w:ascii="Palatino Linotype" w:eastAsia="Palatino Linotype" w:hAnsi="Palatino Linotype" w:cs="Palatino Linotype"/>
          <w:b/>
          <w:i/>
        </w:rPr>
        <w:t>es un dato personal de carácter confidencial</w:t>
      </w:r>
      <w:r w:rsidRPr="00523559">
        <w:rPr>
          <w:rFonts w:ascii="Palatino Linotype" w:eastAsia="Palatino Linotype" w:hAnsi="Palatino Linotype" w:cs="Palatino Linotype"/>
          <w:i/>
        </w:rPr>
        <w:t xml:space="preserve">.” </w:t>
      </w:r>
    </w:p>
    <w:p w14:paraId="46A88159" w14:textId="77777777" w:rsidR="00A83BD3" w:rsidRPr="00523559" w:rsidRDefault="00A83BD3" w:rsidP="00301B1C">
      <w:pPr>
        <w:tabs>
          <w:tab w:val="left" w:pos="7655"/>
        </w:tabs>
        <w:ind w:left="851" w:right="49"/>
        <w:jc w:val="both"/>
        <w:rPr>
          <w:rFonts w:ascii="Palatino Linotype" w:eastAsia="Palatino Linotype" w:hAnsi="Palatino Linotype" w:cs="Palatino Linotype"/>
        </w:rPr>
      </w:pPr>
    </w:p>
    <w:p w14:paraId="4976FC6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74BD3F9F"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B3EB8E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cuanto hace a la CURP</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constituye un dato personal, que tiene como fin llevar registro de cada a cada una de las personas que integran la población del país, se tiene como sustento los artículos 86 y 91 de la Ley General de Población, la cual señala lo siguiente:</w:t>
      </w:r>
    </w:p>
    <w:p w14:paraId="5048B01D"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 xml:space="preserve">Artículo 86. </w:t>
      </w:r>
      <w:r w:rsidRPr="00523559">
        <w:rPr>
          <w:rFonts w:ascii="Palatino Linotype" w:eastAsia="Palatino Linotype" w:hAnsi="Palatino Linotype" w:cs="Palatino Linotype"/>
          <w:i/>
        </w:rPr>
        <w:t>El Registro Nacional de Población tiene como finalidad registrar a cada una de las personas que integran la población del país, con los datos que permitan certificar y acreditar fehacientemente su identidad.</w:t>
      </w:r>
    </w:p>
    <w:p w14:paraId="0F9930D7"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Artículo 91. Al incorporar a una persona en el Registro Nacional de Población</w:t>
      </w:r>
      <w:r w:rsidRPr="00523559">
        <w:rPr>
          <w:rFonts w:ascii="Palatino Linotype" w:eastAsia="Palatino Linotype" w:hAnsi="Palatino Linotype" w:cs="Palatino Linotype"/>
          <w:i/>
        </w:rPr>
        <w:t xml:space="preserve">, se le asignará una clave </w:t>
      </w:r>
      <w:r w:rsidRPr="00523559">
        <w:rPr>
          <w:rFonts w:ascii="Palatino Linotype" w:eastAsia="Palatino Linotype" w:hAnsi="Palatino Linotype" w:cs="Palatino Linotype"/>
          <w:b/>
          <w:i/>
        </w:rPr>
        <w:t>que se denominará Clave Única de Registro de Población</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Esta servirá para</w:t>
      </w:r>
      <w:r w:rsidRPr="00523559">
        <w:rPr>
          <w:rFonts w:ascii="Palatino Linotype" w:eastAsia="Palatino Linotype" w:hAnsi="Palatino Linotype" w:cs="Palatino Linotype"/>
          <w:i/>
        </w:rPr>
        <w:t xml:space="preserve"> registrarla e </w:t>
      </w:r>
      <w:r w:rsidRPr="00523559">
        <w:rPr>
          <w:rFonts w:ascii="Palatino Linotype" w:eastAsia="Palatino Linotype" w:hAnsi="Palatino Linotype" w:cs="Palatino Linotype"/>
          <w:b/>
          <w:i/>
        </w:rPr>
        <w:t>identificarla en forma individual</w:t>
      </w:r>
      <w:r w:rsidRPr="00523559">
        <w:rPr>
          <w:rFonts w:ascii="Palatino Linotype" w:eastAsia="Palatino Linotype" w:hAnsi="Palatino Linotype" w:cs="Palatino Linotype"/>
          <w:i/>
        </w:rPr>
        <w:t xml:space="preserve">.” </w:t>
      </w:r>
    </w:p>
    <w:p w14:paraId="02F35597" w14:textId="77777777" w:rsidR="00A83BD3" w:rsidRPr="00523559" w:rsidRDefault="00F41D15" w:rsidP="00301B1C">
      <w:pPr>
        <w:spacing w:after="240"/>
        <w:ind w:left="851" w:right="49"/>
        <w:jc w:val="both"/>
        <w:rPr>
          <w:rFonts w:ascii="Palatino Linotype" w:eastAsia="Palatino Linotype" w:hAnsi="Palatino Linotype" w:cs="Palatino Linotype"/>
        </w:rPr>
      </w:pPr>
      <w:r w:rsidRPr="00523559">
        <w:rPr>
          <w:rFonts w:ascii="Palatino Linotype" w:eastAsia="Palatino Linotype" w:hAnsi="Palatino Linotype" w:cs="Palatino Linotype"/>
        </w:rPr>
        <w:lastRenderedPageBreak/>
        <w:t>(Énfasis añadido)</w:t>
      </w:r>
    </w:p>
    <w:p w14:paraId="4C273F25" w14:textId="77777777" w:rsidR="00A83BD3" w:rsidRPr="00523559" w:rsidRDefault="00A83BD3" w:rsidP="00301B1C">
      <w:pPr>
        <w:ind w:left="851" w:right="49"/>
        <w:jc w:val="both"/>
        <w:rPr>
          <w:rFonts w:ascii="Palatino Linotype" w:eastAsia="Palatino Linotype" w:hAnsi="Palatino Linotype" w:cs="Palatino Linotype"/>
        </w:rPr>
      </w:pPr>
    </w:p>
    <w:p w14:paraId="18AE5E9D"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7470744A"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92A311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Al respecto, el INAI, a través del Criterio 18/17 de la Segunda Época, señala lo siguiente:</w:t>
      </w:r>
    </w:p>
    <w:p w14:paraId="02AB3E05" w14:textId="77777777" w:rsidR="00A83BD3" w:rsidRPr="00523559" w:rsidRDefault="00F41D15" w:rsidP="00301B1C">
      <w:pPr>
        <w:ind w:left="851" w:right="49"/>
        <w:jc w:val="both"/>
        <w:rPr>
          <w:rFonts w:ascii="Palatino Linotype" w:eastAsia="Palatino Linotype" w:hAnsi="Palatino Linotype" w:cs="Palatino Linotype"/>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Clave Única de Registro de Población (CURP).</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La Clave Única de Registro de Población se integra por datos personales que sólo conciernen al particular titular</w:t>
      </w:r>
      <w:r w:rsidRPr="00523559">
        <w:rPr>
          <w:rFonts w:ascii="Palatino Linotype" w:eastAsia="Palatino Linotype" w:hAnsi="Palatino Linotype" w:cs="Palatino Linotype"/>
          <w:i/>
        </w:rPr>
        <w:t xml:space="preserve"> de la misma, </w:t>
      </w:r>
      <w:r w:rsidRPr="00523559">
        <w:rPr>
          <w:rFonts w:ascii="Palatino Linotype" w:eastAsia="Palatino Linotype" w:hAnsi="Palatino Linotype" w:cs="Palatino Linotype"/>
          <w:b/>
          <w:i/>
        </w:rPr>
        <w:t>como lo son su nombre, apellidos, fecha de nacimiento, lugar de nacimiento y sexo</w:t>
      </w:r>
      <w:r w:rsidRPr="00523559">
        <w:rPr>
          <w:rFonts w:ascii="Palatino Linotype" w:eastAsia="Palatino Linotype" w:hAnsi="Palatino Linotype" w:cs="Palatino Linotype"/>
          <w:i/>
        </w:rPr>
        <w:t xml:space="preserve">. Dichos datos, constituyen información que distingue plenamente a una persona física del resto de los habitantes del país, </w:t>
      </w:r>
      <w:r w:rsidRPr="00523559">
        <w:rPr>
          <w:rFonts w:ascii="Palatino Linotype" w:eastAsia="Palatino Linotype" w:hAnsi="Palatino Linotype" w:cs="Palatino Linotype"/>
          <w:b/>
          <w:i/>
        </w:rPr>
        <w:t>por lo que la CURP está considerada como información confidencial</w:t>
      </w:r>
      <w:r w:rsidRPr="00523559">
        <w:rPr>
          <w:rFonts w:ascii="Palatino Linotype" w:eastAsia="Palatino Linotype" w:hAnsi="Palatino Linotype" w:cs="Palatino Linotype"/>
          <w:i/>
        </w:rPr>
        <w:t xml:space="preserve">. ” </w:t>
      </w:r>
    </w:p>
    <w:p w14:paraId="7E76EB6D" w14:textId="77777777" w:rsidR="00A83BD3" w:rsidRPr="00523559" w:rsidRDefault="00A83BD3" w:rsidP="00301B1C">
      <w:pPr>
        <w:ind w:left="851" w:right="49"/>
        <w:jc w:val="both"/>
        <w:rPr>
          <w:rFonts w:ascii="Palatino Linotype" w:eastAsia="Palatino Linotype" w:hAnsi="Palatino Linotype" w:cs="Palatino Linotype"/>
        </w:rPr>
      </w:pPr>
    </w:p>
    <w:p w14:paraId="3332BBD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w:t>
      </w:r>
      <w:r w:rsidRPr="00523559">
        <w:rPr>
          <w:rFonts w:ascii="Palatino Linotype" w:eastAsia="Palatino Linotype" w:hAnsi="Palatino Linotype" w:cs="Palatino Linotype"/>
          <w:color w:val="000000"/>
        </w:rPr>
        <w:lastRenderedPageBreak/>
        <w:t>Información Pública del Estado de México y Municipios y 4, fracción XI de la Ley de Protección de Datos Personales en Posesión de Sujetos Obligados del Estado de México y Municipios.</w:t>
      </w:r>
    </w:p>
    <w:p w14:paraId="3C5D38FE"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F6034D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8D85B1A"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6F2BA7FE"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w:t>
      </w:r>
      <w:r w:rsidRPr="00523559">
        <w:rPr>
          <w:rFonts w:ascii="Palatino Linotype" w:eastAsia="Palatino Linotype" w:hAnsi="Palatino Linotype" w:cs="Palatino Linotype"/>
        </w:rPr>
        <w:t>violentaba</w:t>
      </w:r>
      <w:r w:rsidRPr="00523559">
        <w:rPr>
          <w:rFonts w:ascii="Palatino Linotype" w:eastAsia="Palatino Linotype" w:hAnsi="Palatino Linotype" w:cs="Palatino Linotype"/>
          <w:color w:val="000000"/>
        </w:rPr>
        <w:t xml:space="preserve"> la protección de información confidencial, porque incide en la intimidad de un individuo identificado.</w:t>
      </w:r>
    </w:p>
    <w:p w14:paraId="78D8BA46"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2D6F0B2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Por su parte, el artículo 84 de la Ley del Trabajo de los Servidores Públicos del Estado y Municipios, señala:</w:t>
      </w:r>
    </w:p>
    <w:p w14:paraId="180B135C" w14:textId="77777777" w:rsidR="00A83BD3" w:rsidRPr="00523559" w:rsidRDefault="00A83BD3" w:rsidP="00301B1C">
      <w:pPr>
        <w:ind w:right="49"/>
        <w:jc w:val="both"/>
        <w:rPr>
          <w:rFonts w:ascii="Palatino Linotype" w:eastAsia="Palatino Linotype" w:hAnsi="Palatino Linotype" w:cs="Palatino Linotype"/>
        </w:rPr>
      </w:pPr>
    </w:p>
    <w:p w14:paraId="7BF27B7F" w14:textId="77777777" w:rsidR="00A83BD3" w:rsidRPr="00523559" w:rsidRDefault="00F41D15" w:rsidP="00301B1C">
      <w:pPr>
        <w:ind w:left="851" w:right="49"/>
        <w:jc w:val="both"/>
        <w:rPr>
          <w:rFonts w:ascii="Palatino Linotype" w:eastAsia="Palatino Linotype" w:hAnsi="Palatino Linotype" w:cs="Palatino Linotype"/>
          <w:b/>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ARTÍCULO 84. Sólo podrán hacerse retenciones, descuentos o deducciones al sueldo de los servidores públicos por concepto de:</w:t>
      </w:r>
    </w:p>
    <w:p w14:paraId="2078B77E"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 Gravámenes fiscales relacionados con el sueldo;</w:t>
      </w:r>
    </w:p>
    <w:p w14:paraId="52241618"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 Deudas contraídas con las instituciones públicas o dependencias</w:t>
      </w:r>
      <w:r w:rsidRPr="00523559">
        <w:rPr>
          <w:rFonts w:ascii="Palatino Linotype" w:eastAsia="Palatino Linotype" w:hAnsi="Palatino Linotype" w:cs="Palatino Linotype"/>
          <w:i/>
        </w:rPr>
        <w:t xml:space="preserve"> por concepto de anticipos de sueldo, pagos hechos con exceso, errores o pérdidas debidamente comprobados;</w:t>
      </w:r>
    </w:p>
    <w:p w14:paraId="4D706ED5"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III. Cuotas sindicales</w:t>
      </w:r>
      <w:r w:rsidRPr="00523559">
        <w:rPr>
          <w:rFonts w:ascii="Palatino Linotype" w:eastAsia="Palatino Linotype" w:hAnsi="Palatino Linotype" w:cs="Palatino Linotype"/>
          <w:i/>
        </w:rPr>
        <w:t>;</w:t>
      </w:r>
    </w:p>
    <w:p w14:paraId="6D58D298"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0393FCAC"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F50F1E1" w14:textId="77777777" w:rsidR="00A83BD3" w:rsidRPr="00523559" w:rsidRDefault="00F41D15" w:rsidP="00301B1C">
      <w:pPr>
        <w:ind w:left="851" w:right="49"/>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VI. Obligaciones a cargo del servidor público con las que haya consentido</w:t>
      </w:r>
      <w:r w:rsidRPr="00523559">
        <w:rPr>
          <w:rFonts w:ascii="Palatino Linotype" w:eastAsia="Palatino Linotype" w:hAnsi="Palatino Linotype" w:cs="Palatino Linotype"/>
          <w:i/>
        </w:rPr>
        <w:t>, derivadas de la adquisición o del uso de habitaciones consideradas como de interés social;</w:t>
      </w:r>
    </w:p>
    <w:p w14:paraId="3F5C22B3"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i/>
        </w:rPr>
        <w:t>VII. Faltas de puntualidad o de asistencia injustificadas;</w:t>
      </w:r>
    </w:p>
    <w:p w14:paraId="4CABFE53" w14:textId="77777777" w:rsidR="00A83BD3" w:rsidRPr="00523559" w:rsidRDefault="00F41D15" w:rsidP="00301B1C">
      <w:pPr>
        <w:ind w:left="851" w:right="49"/>
        <w:jc w:val="both"/>
        <w:rPr>
          <w:rFonts w:ascii="Palatino Linotype" w:eastAsia="Palatino Linotype" w:hAnsi="Palatino Linotype" w:cs="Palatino Linotype"/>
          <w:i/>
        </w:rPr>
      </w:pPr>
      <w:r w:rsidRPr="00523559">
        <w:rPr>
          <w:rFonts w:ascii="Palatino Linotype" w:eastAsia="Palatino Linotype" w:hAnsi="Palatino Linotype" w:cs="Palatino Linotype"/>
          <w:b/>
          <w:i/>
        </w:rPr>
        <w:t>VIII. Pensiones alimenticias ordenadas por la autoridad judicial;</w:t>
      </w:r>
      <w:r w:rsidRPr="00523559">
        <w:rPr>
          <w:rFonts w:ascii="Palatino Linotype" w:eastAsia="Palatino Linotype" w:hAnsi="Palatino Linotype" w:cs="Palatino Linotype"/>
          <w:i/>
        </w:rPr>
        <w:t xml:space="preserve"> o</w:t>
      </w:r>
    </w:p>
    <w:p w14:paraId="7D48930F" w14:textId="77777777" w:rsidR="00A83BD3" w:rsidRPr="00523559" w:rsidRDefault="00F41D15" w:rsidP="00301B1C">
      <w:pPr>
        <w:ind w:left="851" w:right="49"/>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IX. Cualquier otro convenido con instituciones de servicios y aceptado por el servidor público.</w:t>
      </w:r>
    </w:p>
    <w:p w14:paraId="643EAFA4" w14:textId="77777777" w:rsidR="00A83BD3" w:rsidRPr="00523559" w:rsidRDefault="00F41D15" w:rsidP="00301B1C">
      <w:pPr>
        <w:ind w:left="851" w:right="49"/>
        <w:jc w:val="both"/>
        <w:rPr>
          <w:rFonts w:ascii="Palatino Linotype" w:eastAsia="Palatino Linotype" w:hAnsi="Palatino Linotype" w:cs="Palatino Linotype"/>
        </w:rPr>
      </w:pPr>
      <w:r w:rsidRPr="00523559">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3E516E5" w14:textId="77777777" w:rsidR="00A83BD3" w:rsidRPr="00523559" w:rsidRDefault="00A83BD3" w:rsidP="00301B1C">
      <w:pPr>
        <w:spacing w:before="240"/>
        <w:ind w:left="851" w:right="49"/>
        <w:jc w:val="both"/>
        <w:rPr>
          <w:rFonts w:ascii="Palatino Linotype" w:eastAsia="Palatino Linotype" w:hAnsi="Palatino Linotype" w:cs="Palatino Linotype"/>
        </w:rPr>
      </w:pPr>
    </w:p>
    <w:p w14:paraId="16AC33BF"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En atención a lo anterior, la ley establece claramente cuáles son esos descuentos o gravámenes que directamente se relacionan con las obligaciones adquiridas como servidores públicos y aquéllos que </w:t>
      </w:r>
      <w:r w:rsidRPr="00523559">
        <w:rPr>
          <w:rFonts w:ascii="Palatino Linotype" w:eastAsia="Palatino Linotype" w:hAnsi="Palatino Linotype" w:cs="Palatino Linotype"/>
          <w:b/>
          <w:color w:val="000000"/>
        </w:rPr>
        <w:t>únicamente inciden en su vida privada</w:t>
      </w:r>
      <w:r w:rsidRPr="00523559">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14:paraId="6749F715"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B98D28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No obstante, esta Autoridad reitera que </w:t>
      </w:r>
      <w:r w:rsidRPr="00523559">
        <w:rPr>
          <w:rFonts w:ascii="Palatino Linotype" w:eastAsia="Palatino Linotype" w:hAnsi="Palatino Linotype" w:cs="Palatino Linotype"/>
          <w:b/>
          <w:color w:val="000000"/>
        </w:rPr>
        <w:t>EL SUJETO OBLIGADO</w:t>
      </w:r>
      <w:r w:rsidRPr="00523559">
        <w:rPr>
          <w:rFonts w:ascii="Palatino Linotype" w:eastAsia="Palatino Linotype" w:hAnsi="Palatino Linotype" w:cs="Palatino Linotype"/>
          <w:color w:val="000000"/>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50D115C0"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003C5400"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Al mismo tiempo, </w:t>
      </w:r>
      <w:r w:rsidRPr="00523559">
        <w:rPr>
          <w:rFonts w:ascii="Palatino Linotype" w:eastAsia="Palatino Linotype" w:hAnsi="Palatino Linotype" w:cs="Palatino Linotype"/>
          <w:b/>
          <w:color w:val="000000"/>
        </w:rPr>
        <w:t>EL SUJETO OBLIGADO</w:t>
      </w:r>
      <w:r w:rsidRPr="00523559">
        <w:rPr>
          <w:rFonts w:ascii="Palatino Linotype" w:eastAsia="Palatino Linotype" w:hAnsi="Palatino Linotype" w:cs="Palatino Linotype"/>
          <w:color w:val="000000"/>
        </w:rPr>
        <w:t xml:space="preserve"> deberá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6F3109" w14:textId="77777777" w:rsidR="00A83BD3" w:rsidRPr="00523559" w:rsidRDefault="00F41D15" w:rsidP="000F4D17">
      <w:pPr>
        <w:ind w:left="426" w:right="474"/>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Ley de Transparencia y Acceso a la Información Pública del Estado de México y Municipios</w:t>
      </w:r>
    </w:p>
    <w:p w14:paraId="35B8E01E" w14:textId="77777777" w:rsidR="00A83BD3" w:rsidRPr="00523559" w:rsidRDefault="00A83BD3" w:rsidP="000F4D17">
      <w:pPr>
        <w:ind w:left="426" w:right="474"/>
        <w:jc w:val="center"/>
        <w:rPr>
          <w:rFonts w:ascii="Palatino Linotype" w:eastAsia="Palatino Linotype" w:hAnsi="Palatino Linotype" w:cs="Palatino Linotype"/>
          <w:b/>
          <w:i/>
        </w:rPr>
      </w:pPr>
    </w:p>
    <w:p w14:paraId="107AA975"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 xml:space="preserve">Artículo 49. </w:t>
      </w:r>
      <w:r w:rsidRPr="00523559">
        <w:rPr>
          <w:rFonts w:ascii="Palatino Linotype" w:eastAsia="Palatino Linotype" w:hAnsi="Palatino Linotype" w:cs="Palatino Linotype"/>
          <w:i/>
        </w:rPr>
        <w:t>Los Comités de Transparencia tendrán las siguientes atribuciones:</w:t>
      </w:r>
    </w:p>
    <w:p w14:paraId="4CC396B7"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VIII.</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Aprobar</w:t>
      </w:r>
      <w:r w:rsidRPr="00523559">
        <w:rPr>
          <w:rFonts w:ascii="Palatino Linotype" w:eastAsia="Palatino Linotype" w:hAnsi="Palatino Linotype" w:cs="Palatino Linotype"/>
          <w:i/>
        </w:rPr>
        <w:t>, modificar o revocar la clasificación de la información;</w:t>
      </w:r>
    </w:p>
    <w:p w14:paraId="0679C094" w14:textId="77777777" w:rsidR="00A83BD3" w:rsidRPr="00523559" w:rsidRDefault="00F41D15" w:rsidP="000F4D17">
      <w:pPr>
        <w:ind w:left="426" w:right="474"/>
        <w:jc w:val="both"/>
        <w:rPr>
          <w:rFonts w:ascii="Palatino Linotype" w:eastAsia="Palatino Linotype" w:hAnsi="Palatino Linotype" w:cs="Palatino Linotype"/>
          <w:b/>
          <w:i/>
        </w:rPr>
      </w:pPr>
      <w:r w:rsidRPr="00523559">
        <w:rPr>
          <w:rFonts w:ascii="Palatino Linotype" w:eastAsia="Palatino Linotype" w:hAnsi="Palatino Linotype" w:cs="Palatino Linotype"/>
          <w:b/>
          <w:i/>
        </w:rPr>
        <w:t>Artículo 132.</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La clasificación de la información se llevará a cabo en el momento en que:</w:t>
      </w:r>
    </w:p>
    <w:p w14:paraId="07DD95EE"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p>
    <w:p w14:paraId="5ACD8CB9"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w:t>
      </w:r>
      <w:r w:rsidRPr="00523559">
        <w:rPr>
          <w:rFonts w:ascii="Palatino Linotype" w:eastAsia="Palatino Linotype" w:hAnsi="Palatino Linotype" w:cs="Palatino Linotype"/>
          <w:i/>
        </w:rPr>
        <w:t xml:space="preserve"> Se determine mediante resolución de autoridad competente; o</w:t>
      </w:r>
    </w:p>
    <w:p w14:paraId="1A9C7711"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III</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Se generen versiones públicas para dar cumplimiento a las obligaciones de transparencia previstas en esta Ley</w:t>
      </w:r>
      <w:r w:rsidRPr="00523559">
        <w:rPr>
          <w:rFonts w:ascii="Palatino Linotype" w:eastAsia="Palatino Linotype" w:hAnsi="Palatino Linotype" w:cs="Palatino Linotype"/>
          <w:i/>
        </w:rPr>
        <w:t>.”</w:t>
      </w:r>
    </w:p>
    <w:p w14:paraId="7F908331" w14:textId="77777777" w:rsidR="00A83BD3" w:rsidRPr="00523559" w:rsidRDefault="00A83BD3" w:rsidP="000F4D17">
      <w:pPr>
        <w:ind w:left="426" w:right="474"/>
        <w:jc w:val="both"/>
        <w:rPr>
          <w:rFonts w:ascii="Palatino Linotype" w:eastAsia="Palatino Linotype" w:hAnsi="Palatino Linotype" w:cs="Palatino Linotype"/>
          <w:i/>
        </w:rPr>
      </w:pPr>
    </w:p>
    <w:p w14:paraId="6605DB98" w14:textId="77777777" w:rsidR="00A83BD3" w:rsidRPr="00523559" w:rsidRDefault="00F41D15" w:rsidP="000F4D17">
      <w:pPr>
        <w:ind w:left="426" w:right="474"/>
        <w:jc w:val="center"/>
        <w:rPr>
          <w:rFonts w:ascii="Palatino Linotype" w:eastAsia="Palatino Linotype" w:hAnsi="Palatino Linotype" w:cs="Palatino Linotype"/>
          <w:b/>
          <w:i/>
        </w:rPr>
      </w:pPr>
      <w:r w:rsidRPr="00523559">
        <w:rPr>
          <w:rFonts w:ascii="Palatino Linotype" w:eastAsia="Palatino Linotype" w:hAnsi="Palatino Linotype" w:cs="Palatino Linotype"/>
          <w:b/>
          <w:i/>
        </w:rPr>
        <w:t>Lineamientos Generales en materia de Clasificación y Desclasificación de la Información</w:t>
      </w:r>
    </w:p>
    <w:p w14:paraId="09C64C89" w14:textId="77777777" w:rsidR="00A83BD3" w:rsidRPr="00523559" w:rsidRDefault="00A83BD3" w:rsidP="000F4D17">
      <w:pPr>
        <w:ind w:left="426" w:right="474"/>
        <w:jc w:val="center"/>
        <w:rPr>
          <w:rFonts w:ascii="Palatino Linotype" w:eastAsia="Palatino Linotype" w:hAnsi="Palatino Linotype" w:cs="Palatino Linotype"/>
          <w:b/>
          <w:i/>
        </w:rPr>
      </w:pPr>
    </w:p>
    <w:p w14:paraId="1772CFFB"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w:t>
      </w:r>
      <w:r w:rsidRPr="00523559">
        <w:rPr>
          <w:rFonts w:ascii="Palatino Linotype" w:eastAsia="Palatino Linotype" w:hAnsi="Palatino Linotype" w:cs="Palatino Linotype"/>
          <w:b/>
          <w:i/>
        </w:rPr>
        <w:t>Segundo.-</w:t>
      </w:r>
      <w:r w:rsidRPr="00523559">
        <w:rPr>
          <w:rFonts w:ascii="Palatino Linotype" w:eastAsia="Palatino Linotype" w:hAnsi="Palatino Linotype" w:cs="Palatino Linotype"/>
          <w:i/>
        </w:rPr>
        <w:t xml:space="preserve"> Para efectos de los presentes Lineamientos Generales, se entenderá por:</w:t>
      </w:r>
    </w:p>
    <w:p w14:paraId="2AA18A1B"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XVIII.</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Versión pública:</w:t>
      </w:r>
      <w:r w:rsidRPr="0052355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523559">
        <w:rPr>
          <w:rFonts w:ascii="Palatino Linotype" w:eastAsia="Palatino Linotype" w:hAnsi="Palatino Linotype" w:cs="Palatino Linotype"/>
          <w:b/>
          <w:i/>
        </w:rPr>
        <w:t>fundando y motivando la</w:t>
      </w:r>
      <w:r w:rsidRPr="00523559">
        <w:rPr>
          <w:rFonts w:ascii="Palatino Linotype" w:eastAsia="Palatino Linotype" w:hAnsi="Palatino Linotype" w:cs="Palatino Linotype"/>
          <w:i/>
        </w:rPr>
        <w:t xml:space="preserve"> reserva o </w:t>
      </w:r>
      <w:r w:rsidRPr="00523559">
        <w:rPr>
          <w:rFonts w:ascii="Palatino Linotype" w:eastAsia="Palatino Linotype" w:hAnsi="Palatino Linotype" w:cs="Palatino Linotype"/>
          <w:b/>
          <w:i/>
        </w:rPr>
        <w:t>confidencialidad</w:t>
      </w:r>
      <w:r w:rsidRPr="00523559">
        <w:rPr>
          <w:rFonts w:ascii="Palatino Linotype" w:eastAsia="Palatino Linotype" w:hAnsi="Palatino Linotype" w:cs="Palatino Linotype"/>
          <w:i/>
        </w:rPr>
        <w:t>, a través de la resolución que para tal efecto emita el Comité de Transparencia.</w:t>
      </w:r>
    </w:p>
    <w:p w14:paraId="123BF0F3"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Cuarto.</w:t>
      </w:r>
      <w:r w:rsidRPr="00523559">
        <w:rPr>
          <w:rFonts w:ascii="Palatino Linotype" w:eastAsia="Palatino Linotype" w:hAnsi="Palatino Linotype" w:cs="Palatino Linotype"/>
          <w:i/>
        </w:rPr>
        <w:t xml:space="preserve"> </w:t>
      </w:r>
      <w:r w:rsidRPr="00523559">
        <w:rPr>
          <w:rFonts w:ascii="Palatino Linotype" w:eastAsia="Palatino Linotype" w:hAnsi="Palatino Linotype" w:cs="Palatino Linotype"/>
          <w:b/>
          <w:i/>
        </w:rPr>
        <w:t>Para clasificar la información como</w:t>
      </w:r>
      <w:r w:rsidRPr="00523559">
        <w:rPr>
          <w:rFonts w:ascii="Palatino Linotype" w:eastAsia="Palatino Linotype" w:hAnsi="Palatino Linotype" w:cs="Palatino Linotype"/>
          <w:i/>
        </w:rPr>
        <w:t xml:space="preserve"> reservada o </w:t>
      </w:r>
      <w:r w:rsidRPr="00523559">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523559">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97442A"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61EC756" w14:textId="77777777" w:rsidR="00A83BD3" w:rsidRPr="00523559" w:rsidRDefault="00A83BD3" w:rsidP="000F4D17">
      <w:pPr>
        <w:ind w:left="426" w:right="474"/>
        <w:jc w:val="both"/>
        <w:rPr>
          <w:rFonts w:ascii="Palatino Linotype" w:eastAsia="Palatino Linotype" w:hAnsi="Palatino Linotype" w:cs="Palatino Linotype"/>
          <w:i/>
        </w:rPr>
      </w:pPr>
    </w:p>
    <w:p w14:paraId="45D22467"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Quinto.</w:t>
      </w:r>
      <w:r w:rsidRPr="0052355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523559">
        <w:rPr>
          <w:rFonts w:ascii="Palatino Linotype" w:eastAsia="Palatino Linotype" w:hAnsi="Palatino Linotype" w:cs="Palatino Linotype"/>
          <w:i/>
        </w:rPr>
        <w:lastRenderedPageBreak/>
        <w:t>públicas para dar cumplimiento a las obligaciones de transparencia, observando lo dispuesto en la Ley General y las demás disposiciones aplicables en la materia.</w:t>
      </w:r>
    </w:p>
    <w:p w14:paraId="29CB6E6B" w14:textId="77777777" w:rsidR="00A83BD3" w:rsidRPr="00523559" w:rsidRDefault="00A83BD3" w:rsidP="000F4D17">
      <w:pPr>
        <w:ind w:left="426" w:right="474"/>
        <w:jc w:val="both"/>
        <w:rPr>
          <w:rFonts w:ascii="Palatino Linotype" w:eastAsia="Palatino Linotype" w:hAnsi="Palatino Linotype" w:cs="Palatino Linotype"/>
          <w:i/>
        </w:rPr>
      </w:pPr>
    </w:p>
    <w:p w14:paraId="7C57C108"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Sexto.</w:t>
      </w:r>
      <w:r w:rsidRPr="00523559">
        <w:rPr>
          <w:rFonts w:ascii="Palatino Linotype" w:eastAsia="Palatino Linotype" w:hAnsi="Palatino Linotype" w:cs="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D9538A8"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La clasificación de información se realizará conforme a un análisis caso por caso, mediante la aplicación de la prueba de daño y de interés público.</w:t>
      </w:r>
    </w:p>
    <w:p w14:paraId="70AB5C78" w14:textId="77777777" w:rsidR="00A83BD3" w:rsidRPr="00523559" w:rsidRDefault="00A83BD3" w:rsidP="000F4D17">
      <w:pPr>
        <w:ind w:left="426" w:right="474"/>
        <w:jc w:val="both"/>
        <w:rPr>
          <w:rFonts w:ascii="Palatino Linotype" w:eastAsia="Palatino Linotype" w:hAnsi="Palatino Linotype" w:cs="Palatino Linotype"/>
          <w:i/>
        </w:rPr>
      </w:pPr>
    </w:p>
    <w:p w14:paraId="790766D2"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Séptimo.</w:t>
      </w:r>
      <w:r w:rsidRPr="00523559">
        <w:rPr>
          <w:rFonts w:ascii="Palatino Linotype" w:eastAsia="Palatino Linotype" w:hAnsi="Palatino Linotype" w:cs="Palatino Linotype"/>
          <w:i/>
        </w:rPr>
        <w:t xml:space="preserve"> La clasificación de la información se llevará a cabo en el momento en que:</w:t>
      </w:r>
    </w:p>
    <w:p w14:paraId="2C00709D"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w:t>
      </w:r>
      <w:r w:rsidRPr="00523559">
        <w:rPr>
          <w:rFonts w:ascii="Palatino Linotype" w:eastAsia="Palatino Linotype" w:hAnsi="Palatino Linotype" w:cs="Palatino Linotype"/>
          <w:i/>
        </w:rPr>
        <w:t xml:space="preserve"> Se reciba una solicitud de acceso a la información;</w:t>
      </w:r>
    </w:p>
    <w:p w14:paraId="27ED0749"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w:t>
      </w:r>
      <w:r w:rsidRPr="00523559">
        <w:rPr>
          <w:rFonts w:ascii="Palatino Linotype" w:eastAsia="Palatino Linotype" w:hAnsi="Palatino Linotype" w:cs="Palatino Linotype"/>
          <w:i/>
        </w:rPr>
        <w:t xml:space="preserve"> Se determine mediante resolución de autoridad competente, o</w:t>
      </w:r>
    </w:p>
    <w:p w14:paraId="4B3D439A"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III.</w:t>
      </w:r>
      <w:r w:rsidRPr="00523559">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8573ABF"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15757606" w14:textId="77777777" w:rsidR="00A83BD3" w:rsidRPr="00523559" w:rsidRDefault="00A83BD3" w:rsidP="000F4D17">
      <w:pPr>
        <w:ind w:left="426" w:right="474"/>
        <w:jc w:val="both"/>
        <w:rPr>
          <w:rFonts w:ascii="Palatino Linotype" w:eastAsia="Palatino Linotype" w:hAnsi="Palatino Linotype" w:cs="Palatino Linotype"/>
          <w:i/>
        </w:rPr>
      </w:pPr>
    </w:p>
    <w:p w14:paraId="563D8657"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Octavo.</w:t>
      </w:r>
      <w:r w:rsidRPr="0052355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157A05C"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9AF9A59"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En caso de referirse a información reservada, la motivación de la clasificación también deberá comprender las circunstancias que justifican el establecimiento de determinado plazo de reserva.</w:t>
      </w:r>
    </w:p>
    <w:p w14:paraId="10C139A0" w14:textId="77777777" w:rsidR="00A83BD3" w:rsidRPr="00523559" w:rsidRDefault="00A83BD3" w:rsidP="000F4D17">
      <w:pPr>
        <w:ind w:left="426" w:right="474"/>
        <w:jc w:val="both"/>
        <w:rPr>
          <w:rFonts w:ascii="Palatino Linotype" w:eastAsia="Palatino Linotype" w:hAnsi="Palatino Linotype" w:cs="Palatino Linotype"/>
          <w:i/>
        </w:rPr>
      </w:pPr>
    </w:p>
    <w:p w14:paraId="5FCC7B2D"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429E5533"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Los documentos contenidos en los archivos históricos y los identificados como históricos confidenciales no serán susceptibles de clasificación como reservados.</w:t>
      </w:r>
    </w:p>
    <w:p w14:paraId="4F3755ED"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Noveno.</w:t>
      </w:r>
      <w:r w:rsidRPr="0052355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8E83B1E" w14:textId="77777777" w:rsidR="00A83BD3" w:rsidRPr="00523559" w:rsidRDefault="00A83BD3" w:rsidP="000F4D17">
      <w:pPr>
        <w:ind w:left="426" w:right="474"/>
        <w:jc w:val="both"/>
        <w:rPr>
          <w:rFonts w:ascii="Palatino Linotype" w:eastAsia="Palatino Linotype" w:hAnsi="Palatino Linotype" w:cs="Palatino Linotype"/>
          <w:i/>
        </w:rPr>
      </w:pPr>
    </w:p>
    <w:p w14:paraId="2030B575"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Décimo.</w:t>
      </w:r>
      <w:r w:rsidRPr="0052355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AE0EE4"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3B7DFBF2" w14:textId="77777777" w:rsidR="00A83BD3" w:rsidRPr="00523559" w:rsidRDefault="00A83BD3" w:rsidP="000F4D17">
      <w:pPr>
        <w:ind w:left="426" w:right="474"/>
        <w:jc w:val="both"/>
        <w:rPr>
          <w:rFonts w:ascii="Palatino Linotype" w:eastAsia="Palatino Linotype" w:hAnsi="Palatino Linotype" w:cs="Palatino Linotype"/>
          <w:i/>
        </w:rPr>
      </w:pPr>
    </w:p>
    <w:p w14:paraId="6B3758D0" w14:textId="77777777" w:rsidR="00A83BD3" w:rsidRPr="00523559" w:rsidRDefault="00F41D15" w:rsidP="000F4D17">
      <w:pPr>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t>Décimo primero.</w:t>
      </w:r>
      <w:r w:rsidRPr="0052355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55724F7" w14:textId="77777777" w:rsidR="000F4D17" w:rsidRPr="00523559" w:rsidRDefault="000F4D17" w:rsidP="000F4D17">
      <w:pPr>
        <w:ind w:left="426" w:right="474"/>
        <w:jc w:val="both"/>
        <w:rPr>
          <w:rFonts w:ascii="Palatino Linotype" w:eastAsia="Palatino Linotype" w:hAnsi="Palatino Linotype" w:cs="Palatino Linotype"/>
          <w:i/>
        </w:rPr>
      </w:pPr>
    </w:p>
    <w:p w14:paraId="3B31E5E2"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Ahora bien, tal como se precisó en párrafos anteriores, </w:t>
      </w:r>
      <w:r w:rsidRPr="00523559">
        <w:rPr>
          <w:rFonts w:ascii="Palatino Linotype" w:eastAsia="Palatino Linotype" w:hAnsi="Palatino Linotype" w:cs="Palatino Linotype"/>
          <w:b/>
          <w:color w:val="000000"/>
        </w:rPr>
        <w:t xml:space="preserve">los datos de servidores públicos, entre los que se encuentran el nombre de los trabajadores, por regla general, </w:t>
      </w:r>
      <w:r w:rsidRPr="00523559">
        <w:rPr>
          <w:rFonts w:ascii="Palatino Linotype" w:eastAsia="Palatino Linotype" w:hAnsi="Palatino Linotype" w:cs="Palatino Linotype"/>
          <w:color w:val="000000"/>
        </w:rPr>
        <w:t>son de naturaleza pública, ya que su publicidad orienta a cumplir los objetivos que persigue la Ley.</w:t>
      </w:r>
    </w:p>
    <w:p w14:paraId="044CD3E4"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2697B91"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73B623D1" w14:textId="77777777" w:rsidR="00A83BD3" w:rsidRPr="00523559" w:rsidRDefault="00F41D15" w:rsidP="000F4D17">
      <w:pPr>
        <w:tabs>
          <w:tab w:val="left" w:pos="4962"/>
        </w:tabs>
        <w:ind w:left="426" w:right="474"/>
        <w:jc w:val="both"/>
        <w:rPr>
          <w:rFonts w:ascii="Palatino Linotype" w:eastAsia="Palatino Linotype" w:hAnsi="Palatino Linotype" w:cs="Palatino Linotype"/>
          <w:i/>
        </w:rPr>
      </w:pPr>
      <w:r w:rsidRPr="00523559">
        <w:rPr>
          <w:rFonts w:ascii="Palatino Linotype" w:eastAsia="Palatino Linotype" w:hAnsi="Palatino Linotype" w:cs="Palatino Linotype"/>
          <w:b/>
          <w:i/>
        </w:rPr>
        <w:lastRenderedPageBreak/>
        <w:t>Nombres de servidores públicos dedicados a actividades en materia de seguridad, por excepción pueden considerarse información reservada.</w:t>
      </w:r>
      <w:r w:rsidRPr="00523559">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D890755" w14:textId="77777777" w:rsidR="00A83BD3" w:rsidRPr="00523559" w:rsidRDefault="00A83BD3" w:rsidP="00301B1C">
      <w:pPr>
        <w:ind w:right="49"/>
        <w:jc w:val="both"/>
        <w:rPr>
          <w:rFonts w:ascii="Palatino Linotype" w:eastAsia="Palatino Linotype" w:hAnsi="Palatino Linotype" w:cs="Palatino Linotype"/>
        </w:rPr>
      </w:pPr>
    </w:p>
    <w:p w14:paraId="7CEB0BD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0320747"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7A4E166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 xml:space="preserve">En ese orden de ideas, si bien por regla general los nombres de los trabajadores gubernamentales son información pública de oficio, existe una excepción relativa a </w:t>
      </w:r>
      <w:r w:rsidRPr="00523559">
        <w:rPr>
          <w:rFonts w:ascii="Palatino Linotype" w:eastAsia="Palatino Linotype" w:hAnsi="Palatino Linotype" w:cs="Palatino Linotype"/>
          <w:b/>
          <w:color w:val="000000"/>
        </w:rPr>
        <w:t>aquellos que realicen actividades operativas en materia de seguridad,</w:t>
      </w:r>
      <w:r w:rsidRPr="00523559">
        <w:rPr>
          <w:rFonts w:ascii="Palatino Linotype" w:eastAsia="Palatino Linotype" w:hAnsi="Palatino Linotype" w:cs="Palatino Linotype"/>
          <w:color w:val="000000"/>
        </w:rPr>
        <w:t xml:space="preserve"> como es el caso de los elementos operativos y la policía municipal.</w:t>
      </w:r>
    </w:p>
    <w:p w14:paraId="20BEE8BB"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56F30A1A"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44D75BD1"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4EA28A3"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En ese contexto, el artículo 6, fracciones XI y XII de dicho ordenamiento jurídico, establece los siguientes conceptos:</w:t>
      </w:r>
    </w:p>
    <w:p w14:paraId="7625A22B"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CCB4B3A" w14:textId="77777777" w:rsidR="00A83BD3" w:rsidRPr="00523559" w:rsidRDefault="00F41D15" w:rsidP="00301B1C">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Instituciones Policiales: </w:t>
      </w:r>
      <w:r w:rsidRPr="00523559">
        <w:rPr>
          <w:rFonts w:ascii="Palatino Linotype" w:eastAsia="Palatino Linotype" w:hAnsi="Palatino Linotype" w:cs="Palatino Linotype"/>
          <w:color w:val="000000"/>
        </w:rPr>
        <w:t xml:space="preserve">Son los cuerpos de policía, de vigilancia y custodia de los establecimientos penitenciarios, detención preventiva, centros de arraigo y en general, </w:t>
      </w:r>
      <w:r w:rsidRPr="00523559">
        <w:rPr>
          <w:rFonts w:ascii="Palatino Linotype" w:eastAsia="Palatino Linotype" w:hAnsi="Palatino Linotype" w:cs="Palatino Linotype"/>
          <w:b/>
          <w:color w:val="000000"/>
        </w:rPr>
        <w:t>todas las dependencias encargadas de la seguridad pública a nivel</w:t>
      </w:r>
      <w:r w:rsidRPr="00523559">
        <w:rPr>
          <w:rFonts w:ascii="Palatino Linotype" w:eastAsia="Palatino Linotype" w:hAnsi="Palatino Linotype" w:cs="Palatino Linotype"/>
          <w:color w:val="000000"/>
        </w:rPr>
        <w:t xml:space="preserve"> estatal y </w:t>
      </w:r>
      <w:r w:rsidRPr="00523559">
        <w:rPr>
          <w:rFonts w:ascii="Palatino Linotype" w:eastAsia="Palatino Linotype" w:hAnsi="Palatino Linotype" w:cs="Palatino Linotype"/>
          <w:b/>
          <w:color w:val="000000"/>
        </w:rPr>
        <w:t>municipal.</w:t>
      </w:r>
    </w:p>
    <w:p w14:paraId="3E11B06F" w14:textId="77777777" w:rsidR="00A83BD3" w:rsidRPr="00523559" w:rsidRDefault="00F41D15" w:rsidP="00301B1C">
      <w:pPr>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 xml:space="preserve">Instituciones de Seguridad Pública: </w:t>
      </w:r>
      <w:r w:rsidRPr="00523559">
        <w:rPr>
          <w:rFonts w:ascii="Palatino Linotype" w:eastAsia="Palatino Linotype" w:hAnsi="Palatino Linotype" w:cs="Palatino Linotype"/>
          <w:color w:val="000000"/>
        </w:rPr>
        <w:t xml:space="preserve">Instituciones Policiales, Procuración de Justicia, Sistema Penitenciario y </w:t>
      </w:r>
      <w:r w:rsidRPr="00523559">
        <w:rPr>
          <w:rFonts w:ascii="Palatino Linotype" w:eastAsia="Palatino Linotype" w:hAnsi="Palatino Linotype" w:cs="Palatino Linotype"/>
          <w:b/>
          <w:color w:val="000000"/>
        </w:rPr>
        <w:t xml:space="preserve">dependencias encargadas de la seguridad pública a nivel </w:t>
      </w:r>
      <w:r w:rsidRPr="00523559">
        <w:rPr>
          <w:rFonts w:ascii="Palatino Linotype" w:eastAsia="Palatino Linotype" w:hAnsi="Palatino Linotype" w:cs="Palatino Linotype"/>
          <w:color w:val="000000"/>
        </w:rPr>
        <w:t xml:space="preserve">estatal y </w:t>
      </w:r>
      <w:r w:rsidRPr="00523559">
        <w:rPr>
          <w:rFonts w:ascii="Palatino Linotype" w:eastAsia="Palatino Linotype" w:hAnsi="Palatino Linotype" w:cs="Palatino Linotype"/>
          <w:b/>
          <w:color w:val="000000"/>
        </w:rPr>
        <w:t>municipal.</w:t>
      </w:r>
    </w:p>
    <w:p w14:paraId="47AA6D49"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lastRenderedPageBreak/>
        <w:t>Conforme a lo anterior,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702F76FD"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67F4B035"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Además, el Instructivo de llenado del Formato “Personal de Seguridad Pública”, del Secretariado Ejecutivo del Sistema Nacional de Seguridad Pública (consultado el veinte de abril de dos mil veintidós, a las dieciocho horas, en la liga electrónica </w:t>
      </w:r>
      <w:hyperlink r:id="rId24">
        <w:r w:rsidRPr="00523559">
          <w:rPr>
            <w:rFonts w:ascii="Palatino Linotype" w:eastAsia="Palatino Linotype" w:hAnsi="Palatino Linotype" w:cs="Palatino Linotype"/>
            <w:color w:val="0563C1"/>
            <w:u w:val="single"/>
          </w:rPr>
          <w:t>http://secretariadoejecutivo.gob.mx/work/models/SecretariadoEjecutivo/Resource/328/1/images/instructivo_final_edo_fuerza(1).pdf</w:t>
        </w:r>
      </w:hyperlink>
      <w:r w:rsidRPr="00523559">
        <w:rPr>
          <w:rFonts w:ascii="Palatino Linotype" w:eastAsia="Palatino Linotype" w:hAnsi="Palatino Linotype" w:cs="Palatino Linotype"/>
          <w:color w:val="000000"/>
        </w:rPr>
        <w:t xml:space="preserve">), establece que los elementos operativos de seguridad pública, son aquellos que desempeñan funciones de campo (policiacas, especializadas o equivalentes y que no </w:t>
      </w:r>
      <w:r w:rsidRPr="00523559">
        <w:rPr>
          <w:rFonts w:ascii="Palatino Linotype" w:eastAsia="Palatino Linotype" w:hAnsi="Palatino Linotype" w:cs="Palatino Linotype"/>
          <w:b/>
          <w:color w:val="000000"/>
        </w:rPr>
        <w:t>desempeña funciones de mando</w:t>
      </w:r>
      <w:r w:rsidRPr="00523559">
        <w:rPr>
          <w:rFonts w:ascii="Palatino Linotype" w:eastAsia="Palatino Linotype" w:hAnsi="Palatino Linotype" w:cs="Palatino Linotype"/>
          <w:color w:val="000000"/>
        </w:rPr>
        <w:t xml:space="preserve">), entre los cuales, se encuentra </w:t>
      </w:r>
      <w:r w:rsidRPr="00523559">
        <w:rPr>
          <w:rFonts w:ascii="Palatino Linotype" w:eastAsia="Palatino Linotype" w:hAnsi="Palatino Linotype" w:cs="Palatino Linotype"/>
          <w:b/>
          <w:color w:val="000000"/>
        </w:rPr>
        <w:t>la Policía Municipal</w:t>
      </w:r>
      <w:r w:rsidRPr="00523559">
        <w:rPr>
          <w:rFonts w:ascii="Palatino Linotype" w:eastAsia="Palatino Linotype" w:hAnsi="Palatino Linotype" w:cs="Palatino Linotype"/>
          <w:color w:val="000000"/>
        </w:rPr>
        <w:t>.</w:t>
      </w:r>
    </w:p>
    <w:p w14:paraId="3118DB77" w14:textId="77777777" w:rsidR="00A83BD3" w:rsidRPr="00523559" w:rsidRDefault="00A83BD3" w:rsidP="00301B1C">
      <w:pPr>
        <w:tabs>
          <w:tab w:val="left" w:pos="4962"/>
        </w:tabs>
        <w:spacing w:line="360" w:lineRule="auto"/>
        <w:ind w:right="49"/>
        <w:jc w:val="both"/>
        <w:rPr>
          <w:rFonts w:ascii="Palatino Linotype" w:eastAsia="Palatino Linotype" w:hAnsi="Palatino Linotype" w:cs="Palatino Linotype"/>
        </w:rPr>
      </w:pPr>
    </w:p>
    <w:p w14:paraId="21A8218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Además, que las Instituciones Policiales, se conforman del personal administrativo, que son los trabajadores de apoyo (chofer, personal de mantenimiento, servicios generales y área </w:t>
      </w:r>
      <w:r w:rsidRPr="00523559">
        <w:rPr>
          <w:rFonts w:ascii="Palatino Linotype" w:eastAsia="Palatino Linotype" w:hAnsi="Palatino Linotype" w:cs="Palatino Linotype"/>
        </w:rPr>
        <w:t>secretaría</w:t>
      </w:r>
      <w:r w:rsidRPr="00523559">
        <w:rPr>
          <w:rFonts w:ascii="Palatino Linotype" w:eastAsia="Palatino Linotype" w:hAnsi="Palatino Linotype" w:cs="Palatino Linotype"/>
          <w:color w:val="000000"/>
        </w:rPr>
        <w:t xml:space="preserve">);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w:t>
      </w:r>
      <w:r w:rsidRPr="00523559">
        <w:rPr>
          <w:rFonts w:ascii="Palatino Linotype" w:eastAsia="Palatino Linotype" w:hAnsi="Palatino Linotype" w:cs="Palatino Linotype"/>
          <w:color w:val="000000"/>
        </w:rPr>
        <w:lastRenderedPageBreak/>
        <w:t>(policía municipal) y por otra, los administrativos, de apoyo y personal de mando, los cuales no realizan funciones operativas.</w:t>
      </w:r>
    </w:p>
    <w:p w14:paraId="4A1ADB7C"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0362FAA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73724B4"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6987B1CE"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15BD1051"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rPr>
      </w:pPr>
      <w:r w:rsidRPr="00523559">
        <w:rPr>
          <w:rFonts w:ascii="Palatino Linotype" w:eastAsia="Palatino Linotype" w:hAnsi="Palatino Linotype" w:cs="Palatino Linotype"/>
          <w:color w:val="000000"/>
        </w:rPr>
        <w:lastRenderedPageBreak/>
        <w:t xml:space="preserve">Por tales consideraciones, resulta procedente la reserva del nombre de los elementos operativos de la Dirección de Seguridad Pública Municipal, en términos del artículo 140, fracción IV, </w:t>
      </w:r>
      <w:r w:rsidRPr="00523559">
        <w:rPr>
          <w:rFonts w:ascii="Palatino Linotype" w:eastAsia="Palatino Linotype" w:hAnsi="Palatino Linotype" w:cs="Palatino Linotype"/>
        </w:rPr>
        <w:t>de</w:t>
      </w:r>
      <w:r w:rsidRPr="00523559">
        <w:rPr>
          <w:rFonts w:ascii="Palatino Linotype" w:eastAsia="Palatino Linotype" w:hAnsi="Palatino Linotype" w:cs="Palatino Linotype"/>
          <w:color w:val="000000"/>
        </w:rPr>
        <w:t xml:space="preserve"> la Ley de Transparencia y Acceso a la Información Pública del Estado de México y Municipios.</w:t>
      </w:r>
    </w:p>
    <w:p w14:paraId="1127BD29" w14:textId="77777777" w:rsidR="00FA1083" w:rsidRPr="00523559" w:rsidRDefault="00FA1083" w:rsidP="00301B1C">
      <w:pPr>
        <w:pStyle w:val="Prrafodelista"/>
        <w:ind w:right="49"/>
        <w:rPr>
          <w:rFonts w:ascii="Palatino Linotype" w:eastAsia="Palatino Linotype" w:hAnsi="Palatino Linotype" w:cs="Palatino Linotype"/>
          <w:color w:val="000000"/>
        </w:rPr>
      </w:pPr>
    </w:p>
    <w:p w14:paraId="3C90772E"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Finalmente existe información relacionada a equipo policiaco que eventualmente contenga especificaciones técnicas de su equipamiento; es decir los requisitos, características y estándares con que cuentan los equipos, vestimenta, armamento y vehículos utilizados por los cuerpos de seguridad para garantizar su funcionalidad, resistencia, seguridad y cumplimiento normativo.</w:t>
      </w:r>
    </w:p>
    <w:p w14:paraId="0D38FCC6" w14:textId="77777777" w:rsidR="00FA1083" w:rsidRPr="00523559" w:rsidRDefault="00FA1083" w:rsidP="00301B1C">
      <w:pPr>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14:paraId="5E460255"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Estas especificaciones incluyen detalles como materiales de fabricación, niveles de resistencia, dimensiones, peso, capacidades técnicas y certificaciones establecidas por organismos nacionales e internacionales, en México por la Secretaría de Seguridad y Protección Ciudadana.</w:t>
      </w:r>
    </w:p>
    <w:p w14:paraId="3ED45EE1" w14:textId="77777777" w:rsidR="00FA1083" w:rsidRPr="00523559" w:rsidRDefault="00FA1083" w:rsidP="00301B1C">
      <w:pPr>
        <w:pStyle w:val="Prrafodelista"/>
        <w:ind w:right="49"/>
        <w:rPr>
          <w:rFonts w:ascii="Palatino Linotype" w:eastAsia="Palatino Linotype" w:hAnsi="Palatino Linotype" w:cs="Palatino Linotype"/>
          <w:color w:val="000000"/>
        </w:rPr>
      </w:pPr>
    </w:p>
    <w:p w14:paraId="7448BC12"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hAnsi="Palatino Linotype" w:cs="Bookman Old Style"/>
        </w:rPr>
      </w:pPr>
      <w:r w:rsidRPr="00523559">
        <w:rPr>
          <w:rFonts w:ascii="Palatino Linotype" w:eastAsia="Calibri" w:hAnsi="Palatino Linotype" w:cs="Arial"/>
        </w:rPr>
        <w:t xml:space="preserve">Como hemos señalado, el Recurrente desea conocer los pagos erogados relacionados con la </w:t>
      </w:r>
      <w:r w:rsidRPr="00523559">
        <w:rPr>
          <w:rFonts w:ascii="Palatino Linotype" w:eastAsia="Palatino Linotype" w:hAnsi="Palatino Linotype" w:cs="Palatino Linotype"/>
          <w:color w:val="000000"/>
        </w:rPr>
        <w:t>adquisición</w:t>
      </w:r>
      <w:r w:rsidRPr="00523559">
        <w:rPr>
          <w:rFonts w:ascii="Palatino Linotype" w:eastAsia="Calibri" w:hAnsi="Palatino Linotype" w:cs="Arial"/>
        </w:rPr>
        <w:t xml:space="preserve"> de bienes, tales como vehículos, material de oficina, equipamientos tácticos y uniformes de tal forma que, lo que busca el particular es conocer en que se han utilizado los recursos públicos.</w:t>
      </w:r>
    </w:p>
    <w:p w14:paraId="2563F2AE" w14:textId="77777777" w:rsidR="00FA1083" w:rsidRPr="00523559" w:rsidRDefault="00FA1083" w:rsidP="00301B1C">
      <w:pPr>
        <w:pStyle w:val="Prrafodelista"/>
        <w:ind w:right="49"/>
        <w:rPr>
          <w:rFonts w:ascii="Palatino Linotype" w:eastAsia="Calibri" w:hAnsi="Palatino Linotype" w:cs="Arial"/>
        </w:rPr>
      </w:pPr>
    </w:p>
    <w:p w14:paraId="0661C5AC"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hAnsi="Palatino Linotype" w:cs="Bookman Old Style"/>
        </w:rPr>
      </w:pPr>
      <w:r w:rsidRPr="00523559">
        <w:rPr>
          <w:rFonts w:ascii="Palatino Linotype" w:eastAsia="Calibri" w:hAnsi="Palatino Linotype" w:cs="Arial"/>
        </w:rPr>
        <w:t xml:space="preserve">En razón de lo anterior, el permitir el acceso a la información en su versión pública permitirá conocer la información de interés para el Recurrente. Con dicha </w:t>
      </w:r>
      <w:r w:rsidRPr="00523559">
        <w:rPr>
          <w:rFonts w:ascii="Palatino Linotype" w:eastAsia="Calibri" w:hAnsi="Palatino Linotype" w:cs="Arial"/>
        </w:rPr>
        <w:lastRenderedPageBreak/>
        <w:t>información se colma el derecho del Recurrente al tiempo que se protege la vida e integridad de los policías.</w:t>
      </w:r>
    </w:p>
    <w:p w14:paraId="6FE8FD65" w14:textId="77777777" w:rsidR="00A83BD3" w:rsidRPr="00523559" w:rsidRDefault="00A83BD3" w:rsidP="00301B1C">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14:paraId="584E0872"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Sin embargo, </w:t>
      </w:r>
      <w:r w:rsidRPr="00523559">
        <w:rPr>
          <w:rFonts w:ascii="Palatino Linotype" w:eastAsia="Calibri" w:hAnsi="Palatino Linotype" w:cs="Arial"/>
        </w:rPr>
        <w:t>por cuanto hace a las especificaciones detalladas relacionadas con especificaciones que hacen únicos a los uniformes de policía, especificaciones de los candados de mano, tamaño para el cargador, porta cargador, porta pistola, el armamento que puede portar el chaleco táctico, nivel del escudo balístico, nivel de blindaje del casco y chaleco antibalas, porta pistola, y especificaciones de pistolas, si bien no puede sustituirse por información diversa, también lo es que, al realizarse una versión pública la información adicional a la que se pretende clasificar, colma el derecho del Recurrente.</w:t>
      </w:r>
    </w:p>
    <w:p w14:paraId="44A6E7E3" w14:textId="77777777" w:rsidR="00FA1083" w:rsidRPr="00523559" w:rsidRDefault="00FA1083" w:rsidP="00301B1C">
      <w:pPr>
        <w:pBdr>
          <w:top w:val="nil"/>
          <w:left w:val="nil"/>
          <w:bottom w:val="nil"/>
          <w:right w:val="nil"/>
          <w:between w:val="nil"/>
        </w:pBdr>
        <w:spacing w:line="360" w:lineRule="auto"/>
        <w:ind w:right="49"/>
        <w:rPr>
          <w:rFonts w:ascii="Palatino Linotype" w:eastAsia="Palatino Linotype" w:hAnsi="Palatino Linotype" w:cs="Palatino Linotype"/>
          <w:color w:val="000000"/>
        </w:rPr>
      </w:pPr>
    </w:p>
    <w:p w14:paraId="521ACD93"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523559">
        <w:rPr>
          <w:rFonts w:ascii="Palatino Linotype" w:eastAsia="Calibri" w:hAnsi="Palatino Linotype" w:cs="Arial"/>
        </w:rPr>
        <w:t xml:space="preserve">A través de una versión pública que proteja la información que, su uso indebido, </w:t>
      </w:r>
      <w:r w:rsidRPr="00523559">
        <w:rPr>
          <w:rFonts w:ascii="Palatino Linotype" w:eastAsia="Palatino Linotype" w:hAnsi="Palatino Linotype" w:cs="Palatino Linotype"/>
          <w:color w:val="000000"/>
        </w:rPr>
        <w:t>pone</w:t>
      </w:r>
      <w:r w:rsidRPr="00523559">
        <w:rPr>
          <w:rFonts w:ascii="Palatino Linotype" w:eastAsia="Calibri" w:hAnsi="Palatino Linotype" w:cs="Arial"/>
        </w:rPr>
        <w:t xml:space="preserve"> en riesgo la vida de los elementos de policía, garantiza la protección del bien jurídico tutelado al tiempo que resulta una medida proporcional porque deja al conocimiento del Recurrente información de su interés, como lo es el gasto erogado por la adquisición de los bienes. </w:t>
      </w:r>
    </w:p>
    <w:p w14:paraId="694D5FA2" w14:textId="77777777" w:rsidR="00FA1083" w:rsidRPr="00523559" w:rsidRDefault="00FA1083" w:rsidP="00301B1C">
      <w:pPr>
        <w:pStyle w:val="Prrafodelista"/>
        <w:ind w:right="49"/>
        <w:rPr>
          <w:rFonts w:ascii="Palatino Linotype" w:eastAsia="Calibri" w:hAnsi="Palatino Linotype" w:cs="Arial"/>
        </w:rPr>
      </w:pPr>
    </w:p>
    <w:p w14:paraId="585AC4E2"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523559">
        <w:rPr>
          <w:rFonts w:ascii="Palatino Linotype" w:hAnsi="Palatino Linotype" w:cs="Bookman Old Style"/>
        </w:rPr>
        <w:t>Ya que al tratarse del armamento mediante el cual los policías ejercen sus funciones de seguridad pública y son parte fundamental para su día a día, son también una herramienta indispensable para usarse al encontrarse en situaciones de riesgo, detener personas que tengan conductas antijurídicas y por supuesto, realizar acciones para salvar su vida e integridad.</w:t>
      </w:r>
    </w:p>
    <w:p w14:paraId="2D3FF5AF" w14:textId="77777777" w:rsidR="00FA1083" w:rsidRPr="00523559" w:rsidRDefault="00FA1083" w:rsidP="00301B1C">
      <w:pPr>
        <w:pStyle w:val="Prrafodelista"/>
        <w:ind w:right="49"/>
        <w:rPr>
          <w:rFonts w:ascii="Palatino Linotype" w:eastAsia="Calibri" w:hAnsi="Palatino Linotype" w:cs="Arial"/>
        </w:rPr>
      </w:pPr>
    </w:p>
    <w:p w14:paraId="09C0FD6A" w14:textId="77777777" w:rsidR="00FA1083" w:rsidRPr="00523559" w:rsidRDefault="00FA1083" w:rsidP="00301B1C">
      <w:pPr>
        <w:numPr>
          <w:ilvl w:val="0"/>
          <w:numId w:val="11"/>
        </w:numPr>
        <w:pBdr>
          <w:top w:val="nil"/>
          <w:left w:val="nil"/>
          <w:bottom w:val="nil"/>
          <w:right w:val="nil"/>
          <w:between w:val="nil"/>
        </w:pBdr>
        <w:spacing w:line="360" w:lineRule="auto"/>
        <w:ind w:left="0" w:right="49" w:firstLine="0"/>
        <w:jc w:val="both"/>
        <w:rPr>
          <w:rFonts w:ascii="Palatino Linotype" w:eastAsia="Calibri" w:hAnsi="Palatino Linotype" w:cs="Arial"/>
        </w:rPr>
      </w:pPr>
      <w:r w:rsidRPr="00523559">
        <w:rPr>
          <w:rFonts w:ascii="Palatino Linotype" w:eastAsia="Calibri" w:hAnsi="Palatino Linotype" w:cs="Arial"/>
        </w:rPr>
        <w:lastRenderedPageBreak/>
        <w:t>Por ello, se determina que la medida que más se adecua al presente asunto en particular para satisfacer los requerimientos planteados, así como garantizar la protección del bien jurídico tutelado, es entregar los contratos remitidos en informe justificado mediante una versión pública que proteja la información que se ha detallado en líneas anteriores.</w:t>
      </w:r>
    </w:p>
    <w:p w14:paraId="4BC67FE2" w14:textId="77777777" w:rsidR="00A83BD3" w:rsidRPr="00523559" w:rsidRDefault="00A83BD3"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924D9AB"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bookmarkStart w:id="2" w:name="_heading=h.30j0zll" w:colFirst="0" w:colLast="0"/>
      <w:bookmarkEnd w:id="2"/>
      <w:r w:rsidRPr="00523559">
        <w:rPr>
          <w:rFonts w:ascii="Palatino Linotype" w:eastAsia="Palatino Linotype" w:hAnsi="Palatino Linotype" w:cs="Palatino Linotype"/>
          <w:color w:val="000000"/>
        </w:rPr>
        <w:t>Expuesto todo lo anterior</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 xml:space="preserve">en términos de lo dispuesto en el artículo 186, fracción III de la Ley de Transparencia y Acceso a la Información Pública del Estado de México y Municipios, el Pleno de este Instituto, estima que las razones o motivos de inconformidad planteadas por </w:t>
      </w:r>
      <w:r w:rsidRPr="00523559">
        <w:rPr>
          <w:rFonts w:ascii="Palatino Linotype" w:eastAsia="Palatino Linotype" w:hAnsi="Palatino Linotype" w:cs="Palatino Linotype"/>
          <w:b/>
          <w:color w:val="000000"/>
        </w:rPr>
        <w:t>EL RECURRENTE</w:t>
      </w:r>
      <w:r w:rsidRPr="00523559">
        <w:rPr>
          <w:rFonts w:ascii="Palatino Linotype" w:eastAsia="Palatino Linotype" w:hAnsi="Palatino Linotype" w:cs="Palatino Linotype"/>
          <w:color w:val="000000"/>
        </w:rPr>
        <w:t xml:space="preserve">, resultan fundadas; en consecuencia, este Órgano Garante determina </w:t>
      </w:r>
      <w:r w:rsidR="000F4D17" w:rsidRPr="00523559">
        <w:rPr>
          <w:rFonts w:ascii="Palatino Linotype" w:eastAsia="Palatino Linotype" w:hAnsi="Palatino Linotype" w:cs="Palatino Linotype"/>
          <w:b/>
          <w:color w:val="000000"/>
        </w:rPr>
        <w:t>MODIFICAR</w:t>
      </w:r>
      <w:r w:rsidRPr="00523559">
        <w:rPr>
          <w:rFonts w:ascii="Palatino Linotype" w:eastAsia="Palatino Linotype" w:hAnsi="Palatino Linotype" w:cs="Palatino Linotype"/>
          <w:color w:val="000000"/>
        </w:rPr>
        <w:t xml:space="preserve"> la respuesta otorgada por </w:t>
      </w:r>
      <w:r w:rsidRPr="00523559">
        <w:rPr>
          <w:rFonts w:ascii="Palatino Linotype" w:eastAsia="Palatino Linotype" w:hAnsi="Palatino Linotype" w:cs="Palatino Linotype"/>
          <w:b/>
          <w:color w:val="000000"/>
        </w:rPr>
        <w:t>EL SUJETO OBLIGADO</w:t>
      </w:r>
      <w:r w:rsidRPr="00523559">
        <w:rPr>
          <w:rFonts w:ascii="Palatino Linotype" w:eastAsia="Palatino Linotype" w:hAnsi="Palatino Linotype" w:cs="Palatino Linotype"/>
          <w:color w:val="000000"/>
        </w:rPr>
        <w:t xml:space="preserve"> a la solicitud de información que dio trámite al Recurso de Revisión número: </w:t>
      </w:r>
      <w:r w:rsidR="00301B1C" w:rsidRPr="00523559">
        <w:rPr>
          <w:rFonts w:ascii="Palatino Linotype" w:eastAsia="Palatino Linotype" w:hAnsi="Palatino Linotype" w:cs="Palatino Linotype"/>
          <w:b/>
          <w:color w:val="000000"/>
        </w:rPr>
        <w:t>01828/INFOEM/IP/RR/2024</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color w:val="000000"/>
        </w:rPr>
        <w:t>y ordenar la entrega de los previsto en el presente Considerando.</w:t>
      </w:r>
    </w:p>
    <w:p w14:paraId="35BF436C" w14:textId="77777777" w:rsidR="00A83BD3" w:rsidRPr="00523559" w:rsidRDefault="00A83BD3" w:rsidP="00301B1C">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058A58F6" w14:textId="77777777" w:rsidR="00A83BD3" w:rsidRPr="00523559" w:rsidRDefault="00F41D15" w:rsidP="00301B1C">
      <w:pPr>
        <w:numPr>
          <w:ilvl w:val="0"/>
          <w:numId w:val="1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222222"/>
        </w:rPr>
        <w:t xml:space="preserve">Por lo anteriormente expuesto y fundado, este </w:t>
      </w:r>
      <w:r w:rsidRPr="00523559">
        <w:rPr>
          <w:rFonts w:ascii="Palatino Linotype" w:eastAsia="Palatino Linotype" w:hAnsi="Palatino Linotype" w:cs="Palatino Linotype"/>
          <w:b/>
          <w:color w:val="222222"/>
        </w:rPr>
        <w:t>ÓRGANO GARANTE</w:t>
      </w:r>
      <w:r w:rsidRPr="00523559">
        <w:rPr>
          <w:rFonts w:ascii="Palatino Linotype" w:eastAsia="Palatino Linotype" w:hAnsi="Palatino Linotype" w:cs="Palatino Linotype"/>
          <w:color w:val="222222"/>
        </w:rPr>
        <w:t xml:space="preserve"> emite los siguientes:</w:t>
      </w:r>
    </w:p>
    <w:p w14:paraId="278376DD" w14:textId="77777777" w:rsidR="00A83BD3" w:rsidRPr="00523559" w:rsidRDefault="00A83BD3" w:rsidP="00301B1C">
      <w:pPr>
        <w:pBdr>
          <w:top w:val="nil"/>
          <w:left w:val="nil"/>
          <w:bottom w:val="nil"/>
          <w:right w:val="nil"/>
          <w:between w:val="nil"/>
        </w:pBdr>
        <w:spacing w:line="360" w:lineRule="auto"/>
        <w:ind w:left="720" w:right="49"/>
        <w:rPr>
          <w:rFonts w:ascii="Palatino Linotype" w:eastAsia="Palatino Linotype" w:hAnsi="Palatino Linotype" w:cs="Palatino Linotype"/>
          <w:i/>
          <w:color w:val="000000"/>
        </w:rPr>
      </w:pPr>
    </w:p>
    <w:p w14:paraId="7973B72D" w14:textId="77777777" w:rsidR="00A83BD3" w:rsidRPr="00523559" w:rsidRDefault="00F41D15" w:rsidP="00301B1C">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rPr>
      </w:pPr>
      <w:r w:rsidRPr="00523559">
        <w:rPr>
          <w:rFonts w:ascii="Palatino Linotype" w:eastAsia="Palatino Linotype" w:hAnsi="Palatino Linotype" w:cs="Palatino Linotype"/>
          <w:b/>
          <w:color w:val="000000"/>
        </w:rPr>
        <w:t>R E S O L U T I V O S</w:t>
      </w:r>
    </w:p>
    <w:p w14:paraId="674730B5" w14:textId="77777777" w:rsidR="00A83BD3" w:rsidRPr="00523559" w:rsidRDefault="00A83BD3" w:rsidP="00301B1C">
      <w:pPr>
        <w:spacing w:line="360" w:lineRule="auto"/>
        <w:ind w:right="49"/>
        <w:jc w:val="both"/>
        <w:rPr>
          <w:rFonts w:ascii="Palatino Linotype" w:eastAsia="Palatino Linotype" w:hAnsi="Palatino Linotype" w:cs="Palatino Linotype"/>
          <w:color w:val="000000"/>
        </w:rPr>
      </w:pPr>
    </w:p>
    <w:p w14:paraId="3124773B" w14:textId="77777777" w:rsidR="00A83BD3" w:rsidRPr="00523559" w:rsidRDefault="00F41D15" w:rsidP="00301B1C">
      <w:p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t xml:space="preserve">PRIMERO. </w:t>
      </w:r>
      <w:r w:rsidRPr="00523559">
        <w:rPr>
          <w:rFonts w:ascii="Palatino Linotype" w:eastAsia="Palatino Linotype" w:hAnsi="Palatino Linotype" w:cs="Palatino Linotype"/>
        </w:rPr>
        <w:t xml:space="preserve">Resultan </w:t>
      </w:r>
      <w:r w:rsidR="000F4D17" w:rsidRPr="00523559">
        <w:rPr>
          <w:rFonts w:ascii="Palatino Linotype" w:eastAsia="Palatino Linotype" w:hAnsi="Palatino Linotype" w:cs="Palatino Linotype"/>
        </w:rPr>
        <w:t xml:space="preserve">parcialmente </w:t>
      </w:r>
      <w:r w:rsidRPr="00523559">
        <w:rPr>
          <w:rFonts w:ascii="Palatino Linotype" w:eastAsia="Palatino Linotype" w:hAnsi="Palatino Linotype" w:cs="Palatino Linotype"/>
        </w:rPr>
        <w:t>fundadas las</w:t>
      </w:r>
      <w:r w:rsidRPr="00523559">
        <w:rPr>
          <w:rFonts w:ascii="Palatino Linotype" w:eastAsia="Palatino Linotype" w:hAnsi="Palatino Linotype" w:cs="Palatino Linotype"/>
          <w:b/>
        </w:rPr>
        <w:t xml:space="preserve"> </w:t>
      </w:r>
      <w:r w:rsidRPr="00523559">
        <w:rPr>
          <w:rFonts w:ascii="Palatino Linotype" w:eastAsia="Palatino Linotype" w:hAnsi="Palatino Linotype" w:cs="Palatino Linotype"/>
        </w:rPr>
        <w:t>razones o motivos de inconformidad hechos valer en el Recurso de Revisión</w:t>
      </w:r>
      <w:r w:rsidRPr="00523559">
        <w:rPr>
          <w:rFonts w:ascii="Palatino Linotype" w:eastAsia="Palatino Linotype" w:hAnsi="Palatino Linotype" w:cs="Palatino Linotype"/>
          <w:b/>
        </w:rPr>
        <w:t xml:space="preserve"> </w:t>
      </w:r>
      <w:r w:rsidR="00301B1C" w:rsidRPr="00523559">
        <w:rPr>
          <w:rFonts w:ascii="Palatino Linotype" w:eastAsia="Palatino Linotype" w:hAnsi="Palatino Linotype" w:cs="Palatino Linotype"/>
          <w:b/>
        </w:rPr>
        <w:t>01828/INFOEM/IP/RR/2024</w:t>
      </w:r>
      <w:r w:rsidRPr="00523559">
        <w:rPr>
          <w:rFonts w:ascii="Palatino Linotype" w:eastAsia="Palatino Linotype" w:hAnsi="Palatino Linotype" w:cs="Palatino Linotype"/>
          <w:b/>
        </w:rPr>
        <w:t xml:space="preserve"> </w:t>
      </w:r>
      <w:r w:rsidRPr="00523559">
        <w:rPr>
          <w:rFonts w:ascii="Palatino Linotype" w:eastAsia="Palatino Linotype" w:hAnsi="Palatino Linotype" w:cs="Palatino Linotype"/>
        </w:rPr>
        <w:t>en términos de los</w:t>
      </w:r>
      <w:r w:rsidRPr="00523559">
        <w:rPr>
          <w:rFonts w:ascii="Palatino Linotype" w:eastAsia="Palatino Linotype" w:hAnsi="Palatino Linotype" w:cs="Palatino Linotype"/>
          <w:b/>
        </w:rPr>
        <w:t xml:space="preserve"> Considerandos</w:t>
      </w:r>
      <w:r w:rsidRPr="00523559">
        <w:rPr>
          <w:rFonts w:ascii="Palatino Linotype" w:eastAsia="Palatino Linotype" w:hAnsi="Palatino Linotype" w:cs="Palatino Linotype"/>
        </w:rPr>
        <w:t xml:space="preserve"> </w:t>
      </w:r>
      <w:r w:rsidRPr="00523559">
        <w:rPr>
          <w:rFonts w:ascii="Palatino Linotype" w:eastAsia="Palatino Linotype" w:hAnsi="Palatino Linotype" w:cs="Palatino Linotype"/>
          <w:b/>
        </w:rPr>
        <w:t>CUARTO y QUINTO</w:t>
      </w:r>
      <w:r w:rsidRPr="00523559">
        <w:rPr>
          <w:rFonts w:ascii="Palatino Linotype" w:eastAsia="Palatino Linotype" w:hAnsi="Palatino Linotype" w:cs="Palatino Linotype"/>
        </w:rPr>
        <w:t xml:space="preserve"> de la presente Resolución.</w:t>
      </w:r>
    </w:p>
    <w:p w14:paraId="5EFEE65A" w14:textId="6592510D" w:rsidR="00A83BD3" w:rsidRPr="00523559" w:rsidRDefault="00F41D15" w:rsidP="00301B1C">
      <w:pPr>
        <w:spacing w:line="360" w:lineRule="auto"/>
        <w:ind w:right="49"/>
        <w:jc w:val="both"/>
        <w:rPr>
          <w:rFonts w:ascii="Palatino Linotype" w:eastAsia="Palatino Linotype" w:hAnsi="Palatino Linotype" w:cs="Palatino Linotype"/>
          <w:bCs/>
        </w:rPr>
      </w:pPr>
      <w:r w:rsidRPr="00523559">
        <w:rPr>
          <w:rFonts w:ascii="Palatino Linotype" w:eastAsia="Palatino Linotype" w:hAnsi="Palatino Linotype" w:cs="Palatino Linotype"/>
          <w:b/>
        </w:rPr>
        <w:lastRenderedPageBreak/>
        <w:t xml:space="preserve">SEGUNDO. </w:t>
      </w:r>
      <w:r w:rsidRPr="00523559">
        <w:rPr>
          <w:rFonts w:ascii="Palatino Linotype" w:eastAsia="Palatino Linotype" w:hAnsi="Palatino Linotype" w:cs="Palatino Linotype"/>
        </w:rPr>
        <w:t xml:space="preserve">Se </w:t>
      </w:r>
      <w:r w:rsidR="000F4D17" w:rsidRPr="00523559">
        <w:rPr>
          <w:rFonts w:ascii="Palatino Linotype" w:eastAsia="Palatino Linotype" w:hAnsi="Palatino Linotype" w:cs="Palatino Linotype"/>
          <w:b/>
        </w:rPr>
        <w:t>MODIFI</w:t>
      </w:r>
      <w:r w:rsidRPr="00523559">
        <w:rPr>
          <w:rFonts w:ascii="Palatino Linotype" w:eastAsia="Palatino Linotype" w:hAnsi="Palatino Linotype" w:cs="Palatino Linotype"/>
          <w:b/>
        </w:rPr>
        <w:t xml:space="preserve">CA </w:t>
      </w:r>
      <w:r w:rsidRPr="00523559">
        <w:rPr>
          <w:rFonts w:ascii="Palatino Linotype" w:eastAsia="Palatino Linotype" w:hAnsi="Palatino Linotype" w:cs="Palatino Linotype"/>
        </w:rPr>
        <w:t xml:space="preserve">la respuesta a la solicitud  </w:t>
      </w:r>
      <w:r w:rsidR="00301B1C" w:rsidRPr="00523559">
        <w:rPr>
          <w:rFonts w:ascii="Palatino Linotype" w:eastAsia="Palatino Linotype" w:hAnsi="Palatino Linotype" w:cs="Palatino Linotype"/>
          <w:b/>
          <w:color w:val="000000"/>
        </w:rPr>
        <w:t>00071/ZINACANT/IP/2024</w:t>
      </w:r>
      <w:r w:rsidRPr="00523559">
        <w:rPr>
          <w:rFonts w:ascii="Palatino Linotype" w:eastAsia="Palatino Linotype" w:hAnsi="Palatino Linotype" w:cs="Palatino Linotype"/>
          <w:b/>
          <w:color w:val="000000"/>
        </w:rPr>
        <w:t xml:space="preserve"> </w:t>
      </w:r>
      <w:r w:rsidRPr="00523559">
        <w:rPr>
          <w:rFonts w:ascii="Palatino Linotype" w:eastAsia="Palatino Linotype" w:hAnsi="Palatino Linotype" w:cs="Palatino Linotype"/>
        </w:rPr>
        <w:t>emitida por el</w:t>
      </w:r>
      <w:r w:rsidRPr="00523559">
        <w:rPr>
          <w:rFonts w:ascii="Palatino Linotype" w:eastAsia="Palatino Linotype" w:hAnsi="Palatino Linotype" w:cs="Palatino Linotype"/>
          <w:b/>
        </w:rPr>
        <w:t xml:space="preserve"> </w:t>
      </w:r>
      <w:r w:rsidR="00301B1C" w:rsidRPr="00523559">
        <w:rPr>
          <w:rFonts w:ascii="Palatino Linotype" w:eastAsia="Palatino Linotype" w:hAnsi="Palatino Linotype" w:cs="Palatino Linotype"/>
          <w:b/>
        </w:rPr>
        <w:t>Ayuntamiento de Zinacantepec</w:t>
      </w:r>
      <w:r w:rsidRPr="00523559">
        <w:rPr>
          <w:rFonts w:ascii="Palatino Linotype" w:eastAsia="Palatino Linotype" w:hAnsi="Palatino Linotype" w:cs="Palatino Linotype"/>
          <w:b/>
        </w:rPr>
        <w:t xml:space="preserve"> </w:t>
      </w:r>
      <w:r w:rsidR="006B392A" w:rsidRPr="00523559">
        <w:rPr>
          <w:rFonts w:ascii="Palatino Linotype" w:eastAsia="Palatino Linotype" w:hAnsi="Palatino Linotype" w:cs="Palatino Linotype"/>
          <w:b/>
        </w:rPr>
        <w:t xml:space="preserve">y se ORDENA </w:t>
      </w:r>
      <w:r w:rsidR="006B392A" w:rsidRPr="00523559">
        <w:rPr>
          <w:rFonts w:ascii="Palatino Linotype" w:eastAsia="Palatino Linotype" w:hAnsi="Palatino Linotype" w:cs="Palatino Linotype"/>
          <w:bCs/>
        </w:rPr>
        <w:t>poner a disposición 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de ser procedente en versión pública, la siguiente información:</w:t>
      </w:r>
    </w:p>
    <w:p w14:paraId="73D7F551"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5AE3C919" w14:textId="38A49839" w:rsidR="00664427" w:rsidRPr="00523559" w:rsidRDefault="00AB3911" w:rsidP="00664427">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Recibos de nómina de los policías adscritos al Ayuntamiento, del primero de enero de dos mil veintidós al veintiocho de febrero dos mil veinticuatro</w:t>
      </w:r>
      <w:r w:rsidR="006B392A" w:rsidRPr="00523559">
        <w:rPr>
          <w:rFonts w:ascii="Palatino Linotype" w:eastAsia="Palatino Linotype" w:hAnsi="Palatino Linotype" w:cs="Palatino Linotype"/>
          <w:color w:val="000000"/>
        </w:rPr>
        <w:t>.</w:t>
      </w:r>
    </w:p>
    <w:p w14:paraId="09873967" w14:textId="77777777" w:rsidR="00510FA4" w:rsidRPr="00523559" w:rsidRDefault="00510FA4" w:rsidP="00510FA4">
      <w:p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p>
    <w:p w14:paraId="6FA6A76F" w14:textId="77777777" w:rsidR="00A83BD3" w:rsidRPr="00523559" w:rsidRDefault="00AB3911"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Monto de a</w:t>
      </w:r>
      <w:r w:rsidR="00F41D15" w:rsidRPr="00523559">
        <w:rPr>
          <w:rFonts w:ascii="Palatino Linotype" w:eastAsia="Palatino Linotype" w:hAnsi="Palatino Linotype" w:cs="Palatino Linotype"/>
          <w:color w:val="000000"/>
        </w:rPr>
        <w:t>umento</w:t>
      </w:r>
      <w:r w:rsidRPr="00523559">
        <w:rPr>
          <w:rFonts w:ascii="Palatino Linotype" w:eastAsia="Palatino Linotype" w:hAnsi="Palatino Linotype" w:cs="Palatino Linotype"/>
          <w:color w:val="000000"/>
        </w:rPr>
        <w:t>s</w:t>
      </w:r>
      <w:r w:rsidR="00F41D15" w:rsidRPr="00523559">
        <w:rPr>
          <w:rFonts w:ascii="Palatino Linotype" w:eastAsia="Palatino Linotype" w:hAnsi="Palatino Linotype" w:cs="Palatino Linotype"/>
          <w:color w:val="000000"/>
        </w:rPr>
        <w:t xml:space="preserve"> salarial</w:t>
      </w:r>
      <w:r w:rsidRPr="00523559">
        <w:rPr>
          <w:rFonts w:ascii="Palatino Linotype" w:eastAsia="Palatino Linotype" w:hAnsi="Palatino Linotype" w:cs="Palatino Linotype"/>
          <w:color w:val="000000"/>
        </w:rPr>
        <w:t>es a policías por categoría</w:t>
      </w:r>
      <w:r w:rsidR="00F41D15" w:rsidRPr="00523559">
        <w:rPr>
          <w:rFonts w:ascii="Palatino Linotype" w:eastAsia="Palatino Linotype" w:hAnsi="Palatino Linotype" w:cs="Palatino Linotype"/>
          <w:color w:val="000000"/>
        </w:rPr>
        <w:t xml:space="preserve"> y</w:t>
      </w:r>
      <w:r w:rsidRPr="00523559">
        <w:rPr>
          <w:rFonts w:ascii="Palatino Linotype" w:eastAsia="Palatino Linotype" w:hAnsi="Palatino Linotype" w:cs="Palatino Linotype"/>
          <w:color w:val="000000"/>
        </w:rPr>
        <w:t>,</w:t>
      </w:r>
      <w:r w:rsidR="00F41D15" w:rsidRPr="00523559">
        <w:rPr>
          <w:rFonts w:ascii="Palatino Linotype" w:eastAsia="Palatino Linotype" w:hAnsi="Palatino Linotype" w:cs="Palatino Linotype"/>
          <w:color w:val="000000"/>
        </w:rPr>
        <w:t xml:space="preserve"> recurso con el que se pagó</w:t>
      </w:r>
      <w:r w:rsidR="007E1F37" w:rsidRPr="00523559">
        <w:rPr>
          <w:rFonts w:ascii="Palatino Linotype" w:eastAsia="Palatino Linotype" w:hAnsi="Palatino Linotype" w:cs="Palatino Linotype"/>
          <w:color w:val="000000"/>
        </w:rPr>
        <w:t>, al veintiocho de febrero dos mil veinticuatro</w:t>
      </w:r>
      <w:r w:rsidR="00F41D15" w:rsidRPr="00523559">
        <w:rPr>
          <w:rFonts w:ascii="Palatino Linotype" w:eastAsia="Palatino Linotype" w:hAnsi="Palatino Linotype" w:cs="Palatino Linotype"/>
          <w:color w:val="000000"/>
        </w:rPr>
        <w:t xml:space="preserve">. </w:t>
      </w:r>
    </w:p>
    <w:p w14:paraId="677247FB"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rPr>
      </w:pPr>
    </w:p>
    <w:p w14:paraId="26404F5D"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Gasto ejercido en el periodo fiscal 2022 y 2023 para el pago de equipamiento policial, armamento, pago de patrullas (ya sea adquisición o renta), capacitación policial, desglosado por concepto de pago y número de policías beneficiados.  </w:t>
      </w:r>
    </w:p>
    <w:p w14:paraId="0C315AD6"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rPr>
      </w:pPr>
    </w:p>
    <w:p w14:paraId="5C76721F"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Gasto programado en el periodo fiscal 2024 para el pago de equipamiento policial, armamento, pago de patrullas (ya sea adquisición o renta), capacitación policial, desglosado por concepto de pago y especificar el </w:t>
      </w:r>
      <w:r w:rsidRPr="00523559">
        <w:rPr>
          <w:rFonts w:ascii="Palatino Linotype" w:eastAsia="Palatino Linotype" w:hAnsi="Palatino Linotype" w:cs="Palatino Linotype"/>
          <w:color w:val="000000"/>
        </w:rPr>
        <w:lastRenderedPageBreak/>
        <w:t xml:space="preserve">número de policías beneficiados, 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rPr>
        <w:t xml:space="preserve">. </w:t>
      </w:r>
    </w:p>
    <w:p w14:paraId="4704F9CF"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rPr>
      </w:pPr>
    </w:p>
    <w:p w14:paraId="24F05F48"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color w:val="000000"/>
        </w:rPr>
        <w:t xml:space="preserve">Las incidencias delictivas presentadas en el municipio en los años 2022 y 2023 por histórico mensual de los siguientes delitos: abuso sexual, acoso sexual, homicidio culposo, homicidio doloso, lesiones, narcomenudeo, robo con violencia, robo sin violencia, robo a casa habitación, robo a negocio, robo de vehículos, secuestro, violación, violencia de género, violencia familiar. </w:t>
      </w:r>
    </w:p>
    <w:p w14:paraId="348401E8"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themeColor="text1"/>
        </w:rPr>
      </w:pPr>
    </w:p>
    <w:p w14:paraId="4749F653"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t xml:space="preserve">Número de elementos programados para ser incluidos </w:t>
      </w:r>
      <w:r w:rsidR="00E9335B" w:rsidRPr="00523559">
        <w:rPr>
          <w:rFonts w:ascii="Palatino Linotype" w:eastAsia="Palatino Linotype" w:hAnsi="Palatino Linotype" w:cs="Palatino Linotype"/>
          <w:color w:val="000000" w:themeColor="text1"/>
        </w:rPr>
        <w:t>para el ejercicio</w:t>
      </w:r>
      <w:r w:rsidRPr="00523559">
        <w:rPr>
          <w:rFonts w:ascii="Palatino Linotype" w:eastAsia="Palatino Linotype" w:hAnsi="Palatino Linotype" w:cs="Palatino Linotype"/>
          <w:color w:val="000000" w:themeColor="text1"/>
        </w:rPr>
        <w:t xml:space="preserve"> 2024 en la Licencia Oficial Colectiva, 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 xml:space="preserve">. </w:t>
      </w:r>
    </w:p>
    <w:p w14:paraId="7B7BAE35"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themeColor="text1"/>
        </w:rPr>
      </w:pPr>
    </w:p>
    <w:p w14:paraId="52D72236"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t xml:space="preserve">Número de elementos que cuentan con Certificado Único Policial, </w:t>
      </w:r>
      <w:r w:rsidR="00D20E0A" w:rsidRPr="00523559">
        <w:rPr>
          <w:rFonts w:ascii="Palatino Linotype" w:eastAsia="Palatino Linotype" w:hAnsi="Palatino Linotype" w:cs="Palatino Linotype"/>
          <w:color w:val="000000" w:themeColor="text1"/>
        </w:rPr>
        <w:t xml:space="preserve">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w:t>
      </w:r>
    </w:p>
    <w:p w14:paraId="22484E4E" w14:textId="77777777" w:rsidR="00A83BD3" w:rsidRPr="00523559" w:rsidRDefault="00A83BD3" w:rsidP="00301B1C">
      <w:pPr>
        <w:pBdr>
          <w:top w:val="nil"/>
          <w:left w:val="nil"/>
          <w:bottom w:val="nil"/>
          <w:right w:val="nil"/>
          <w:between w:val="nil"/>
        </w:pBdr>
        <w:ind w:left="720" w:right="49"/>
        <w:rPr>
          <w:rFonts w:ascii="Palatino Linotype" w:eastAsia="Palatino Linotype" w:hAnsi="Palatino Linotype" w:cs="Palatino Linotype"/>
          <w:color w:val="000000" w:themeColor="text1"/>
        </w:rPr>
      </w:pPr>
    </w:p>
    <w:p w14:paraId="4AF0D443"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t>Número de elementos con curso de formación inicial</w:t>
      </w:r>
      <w:r w:rsidR="00D20E0A" w:rsidRPr="00523559">
        <w:rPr>
          <w:rFonts w:ascii="Palatino Linotype" w:eastAsia="Palatino Linotype" w:hAnsi="Palatino Linotype" w:cs="Palatino Linotype"/>
          <w:color w:val="000000" w:themeColor="text1"/>
        </w:rPr>
        <w:t>,</w:t>
      </w:r>
      <w:r w:rsidRPr="00523559">
        <w:rPr>
          <w:rFonts w:ascii="Palatino Linotype" w:eastAsia="Palatino Linotype" w:hAnsi="Palatino Linotype" w:cs="Palatino Linotype"/>
          <w:color w:val="000000" w:themeColor="text1"/>
        </w:rPr>
        <w:t xml:space="preserve"> 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w:t>
      </w:r>
    </w:p>
    <w:p w14:paraId="140BE496"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themeColor="text1"/>
        </w:rPr>
      </w:pPr>
    </w:p>
    <w:p w14:paraId="274D0498"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t>Número de elementos con curso de competencias básicas</w:t>
      </w:r>
      <w:r w:rsidR="00D20E0A" w:rsidRPr="00523559">
        <w:rPr>
          <w:rFonts w:ascii="Palatino Linotype" w:eastAsia="Palatino Linotype" w:hAnsi="Palatino Linotype" w:cs="Palatino Linotype"/>
          <w:color w:val="000000" w:themeColor="text1"/>
        </w:rPr>
        <w:t>,</w:t>
      </w:r>
      <w:r w:rsidRPr="00523559">
        <w:rPr>
          <w:rFonts w:ascii="Palatino Linotype" w:eastAsia="Palatino Linotype" w:hAnsi="Palatino Linotype" w:cs="Palatino Linotype"/>
          <w:color w:val="000000" w:themeColor="text1"/>
        </w:rPr>
        <w:t xml:space="preserve"> 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w:t>
      </w:r>
    </w:p>
    <w:p w14:paraId="50B5F43D" w14:textId="77777777" w:rsidR="00E9335B" w:rsidRPr="00523559" w:rsidRDefault="00E9335B" w:rsidP="00301B1C">
      <w:pPr>
        <w:pStyle w:val="Prrafodelista"/>
        <w:ind w:right="49"/>
        <w:rPr>
          <w:rFonts w:ascii="Palatino Linotype" w:eastAsia="Palatino Linotype" w:hAnsi="Palatino Linotype" w:cs="Palatino Linotype"/>
          <w:color w:val="000000" w:themeColor="text1"/>
        </w:rPr>
      </w:pPr>
    </w:p>
    <w:p w14:paraId="6F67AAC3"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lastRenderedPageBreak/>
        <w:t xml:space="preserve">Fecha de última evaluación de desempeño, y el promedio general de las evaluaciones en la corporación, 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 xml:space="preserve">. </w:t>
      </w:r>
    </w:p>
    <w:p w14:paraId="770EFC8A" w14:textId="77777777" w:rsidR="00A83BD3" w:rsidRPr="00523559" w:rsidRDefault="00A83BD3" w:rsidP="00301B1C">
      <w:pPr>
        <w:spacing w:line="360" w:lineRule="auto"/>
        <w:ind w:left="851" w:right="49"/>
        <w:jc w:val="both"/>
        <w:rPr>
          <w:rFonts w:ascii="Palatino Linotype" w:eastAsia="Palatino Linotype" w:hAnsi="Palatino Linotype" w:cs="Palatino Linotype"/>
          <w:color w:val="000000" w:themeColor="text1"/>
        </w:rPr>
      </w:pPr>
    </w:p>
    <w:p w14:paraId="14FB2429" w14:textId="77777777" w:rsidR="00A83BD3" w:rsidRPr="00523559" w:rsidRDefault="00F41D15" w:rsidP="00301B1C">
      <w:pPr>
        <w:numPr>
          <w:ilvl w:val="0"/>
          <w:numId w:val="10"/>
        </w:numPr>
        <w:pBdr>
          <w:top w:val="nil"/>
          <w:left w:val="nil"/>
          <w:bottom w:val="nil"/>
          <w:right w:val="nil"/>
          <w:between w:val="nil"/>
        </w:pBdr>
        <w:spacing w:line="360" w:lineRule="auto"/>
        <w:ind w:left="851" w:right="49"/>
        <w:jc w:val="both"/>
        <w:rPr>
          <w:rFonts w:ascii="Palatino Linotype" w:eastAsia="Palatino Linotype" w:hAnsi="Palatino Linotype" w:cs="Palatino Linotype"/>
          <w:color w:val="000000" w:themeColor="text1"/>
        </w:rPr>
      </w:pPr>
      <w:r w:rsidRPr="00523559">
        <w:rPr>
          <w:rFonts w:ascii="Palatino Linotype" w:eastAsia="Palatino Linotype" w:hAnsi="Palatino Linotype" w:cs="Palatino Linotype"/>
          <w:color w:val="000000" w:themeColor="text1"/>
        </w:rPr>
        <w:t>Número de elementos progra</w:t>
      </w:r>
      <w:r w:rsidR="00E9335B" w:rsidRPr="00523559">
        <w:rPr>
          <w:rFonts w:ascii="Palatino Linotype" w:eastAsia="Palatino Linotype" w:hAnsi="Palatino Linotype" w:cs="Palatino Linotype"/>
          <w:color w:val="000000" w:themeColor="text1"/>
        </w:rPr>
        <w:t xml:space="preserve">mados para ser incluidos </w:t>
      </w:r>
      <w:r w:rsidR="007120DB" w:rsidRPr="00523559">
        <w:rPr>
          <w:rFonts w:ascii="Palatino Linotype" w:eastAsia="Palatino Linotype" w:hAnsi="Palatino Linotype" w:cs="Palatino Linotype"/>
          <w:color w:val="000000" w:themeColor="text1"/>
        </w:rPr>
        <w:t>para</w:t>
      </w:r>
      <w:r w:rsidRPr="00523559">
        <w:rPr>
          <w:rFonts w:ascii="Palatino Linotype" w:eastAsia="Palatino Linotype" w:hAnsi="Palatino Linotype" w:cs="Palatino Linotype"/>
          <w:color w:val="000000" w:themeColor="text1"/>
        </w:rPr>
        <w:t xml:space="preserve"> el</w:t>
      </w:r>
      <w:r w:rsidR="00E9335B" w:rsidRPr="00523559">
        <w:rPr>
          <w:rFonts w:ascii="Palatino Linotype" w:eastAsia="Palatino Linotype" w:hAnsi="Palatino Linotype" w:cs="Palatino Linotype"/>
          <w:color w:val="000000" w:themeColor="text1"/>
        </w:rPr>
        <w:t xml:space="preserve"> ejercicio</w:t>
      </w:r>
      <w:r w:rsidRPr="00523559">
        <w:rPr>
          <w:rFonts w:ascii="Palatino Linotype" w:eastAsia="Palatino Linotype" w:hAnsi="Palatino Linotype" w:cs="Palatino Linotype"/>
          <w:color w:val="000000" w:themeColor="text1"/>
        </w:rPr>
        <w:t xml:space="preserve"> 2024 en el curso de competencias básicas y formación inicial, </w:t>
      </w:r>
      <w:r w:rsidR="00D20E0A" w:rsidRPr="00523559">
        <w:rPr>
          <w:rFonts w:ascii="Palatino Linotype" w:eastAsia="Palatino Linotype" w:hAnsi="Palatino Linotype" w:cs="Palatino Linotype"/>
          <w:color w:val="000000" w:themeColor="text1"/>
        </w:rPr>
        <w:t xml:space="preserve">al </w:t>
      </w:r>
      <w:r w:rsidR="00D20E0A" w:rsidRPr="00523559">
        <w:rPr>
          <w:rFonts w:ascii="Palatino Linotype" w:eastAsia="Palatino Linotype" w:hAnsi="Palatino Linotype" w:cs="Palatino Linotype"/>
          <w:color w:val="000000"/>
        </w:rPr>
        <w:t>veintiocho de febrero dos mil veinticuatro</w:t>
      </w:r>
      <w:r w:rsidRPr="00523559">
        <w:rPr>
          <w:rFonts w:ascii="Palatino Linotype" w:eastAsia="Palatino Linotype" w:hAnsi="Palatino Linotype" w:cs="Palatino Linotype"/>
          <w:color w:val="000000" w:themeColor="text1"/>
        </w:rPr>
        <w:t xml:space="preserve">. </w:t>
      </w:r>
    </w:p>
    <w:p w14:paraId="01A6ED46" w14:textId="77777777" w:rsidR="00A83BD3" w:rsidRPr="00523559" w:rsidRDefault="00A83BD3" w:rsidP="00301B1C">
      <w:pPr>
        <w:pBdr>
          <w:top w:val="nil"/>
          <w:left w:val="nil"/>
          <w:bottom w:val="nil"/>
          <w:right w:val="nil"/>
          <w:between w:val="nil"/>
        </w:pBdr>
        <w:spacing w:line="360" w:lineRule="auto"/>
        <w:ind w:left="567" w:right="49"/>
        <w:jc w:val="both"/>
        <w:rPr>
          <w:rFonts w:ascii="Palatino Linotype" w:eastAsia="Palatino Linotype" w:hAnsi="Palatino Linotype" w:cs="Palatino Linotype"/>
          <w:b/>
          <w:color w:val="000000"/>
        </w:rPr>
      </w:pPr>
    </w:p>
    <w:p w14:paraId="7BE948A1" w14:textId="77777777" w:rsidR="00A83BD3" w:rsidRPr="00523559" w:rsidRDefault="00F41D15" w:rsidP="00301B1C">
      <w:p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76C8B3FA" w14:textId="77777777" w:rsidR="00510FA4" w:rsidRPr="00523559" w:rsidRDefault="00510FA4" w:rsidP="00301B1C">
      <w:pPr>
        <w:spacing w:line="360" w:lineRule="auto"/>
        <w:ind w:right="49"/>
        <w:jc w:val="both"/>
        <w:rPr>
          <w:rFonts w:ascii="Palatino Linotype" w:eastAsia="Palatino Linotype" w:hAnsi="Palatino Linotype" w:cs="Palatino Linotype"/>
        </w:rPr>
      </w:pPr>
    </w:p>
    <w:p w14:paraId="7355513E" w14:textId="77777777" w:rsidR="00510FA4" w:rsidRPr="00523559" w:rsidRDefault="00510FA4" w:rsidP="00510FA4">
      <w:pPr>
        <w:tabs>
          <w:tab w:val="left" w:pos="993"/>
        </w:tabs>
        <w:spacing w:line="360" w:lineRule="auto"/>
        <w:jc w:val="both"/>
        <w:rPr>
          <w:rFonts w:ascii="Palatino Linotype" w:eastAsia="Palatino Linotype" w:hAnsi="Palatino Linotype" w:cs="Palatino Linotype"/>
          <w:sz w:val="22"/>
          <w:szCs w:val="22"/>
        </w:rPr>
      </w:pPr>
      <w:r w:rsidRPr="00523559">
        <w:rPr>
          <w:rFonts w:ascii="Palatino Linotype" w:eastAsia="Palatino Linotype" w:hAnsi="Palatino Linotype" w:cs="Palatino Linotype"/>
          <w:sz w:val="22"/>
          <w:szCs w:val="22"/>
        </w:rPr>
        <w:t xml:space="preserve">Para lo cual deberá informar al </w:t>
      </w:r>
      <w:r w:rsidRPr="00523559">
        <w:rPr>
          <w:rFonts w:ascii="Palatino Linotype" w:eastAsia="Palatino Linotype" w:hAnsi="Palatino Linotype" w:cs="Palatino Linotype"/>
          <w:b/>
          <w:sz w:val="22"/>
          <w:szCs w:val="22"/>
        </w:rPr>
        <w:t>RECURRENTE</w:t>
      </w:r>
      <w:r w:rsidRPr="00523559">
        <w:rPr>
          <w:rFonts w:ascii="Palatino Linotype" w:eastAsia="Palatino Linotype" w:hAnsi="Palatino Linotype" w:cs="Palatino Linotype"/>
          <w:sz w:val="22"/>
          <w:szCs w:val="22"/>
        </w:rPr>
        <w:t>, a través del Sistema de Acceso a la Información Mexiquense (SAIMEX), del procedimiento que tendrá que seguir para acceder a la documentación; es decir, los pasos para realizar el pago de derechos en caso de ser procedentes, y la manera de obtener la información, como el domicilio de la Unidad de Transparencia, días y horarios de atención y el nombre del servidor público quien le atenderá. Además, deberá informar que podrá acceder de manera gratuita a la información si proporciona el medio electrónico y recoge la información en la Unidad de Transparencia.</w:t>
      </w:r>
    </w:p>
    <w:p w14:paraId="7316C88C" w14:textId="77777777" w:rsidR="00510FA4" w:rsidRPr="00523559" w:rsidRDefault="00510FA4" w:rsidP="00301B1C">
      <w:pPr>
        <w:spacing w:line="360" w:lineRule="auto"/>
        <w:ind w:right="49"/>
        <w:jc w:val="both"/>
        <w:rPr>
          <w:rFonts w:ascii="Palatino Linotype" w:eastAsia="Palatino Linotype" w:hAnsi="Palatino Linotype" w:cs="Palatino Linotype"/>
        </w:rPr>
      </w:pPr>
    </w:p>
    <w:p w14:paraId="3F943D27" w14:textId="77777777" w:rsidR="00A83BD3" w:rsidRPr="00523559" w:rsidRDefault="00A83BD3" w:rsidP="00301B1C">
      <w:pPr>
        <w:spacing w:line="360" w:lineRule="auto"/>
        <w:ind w:right="49"/>
        <w:jc w:val="both"/>
        <w:rPr>
          <w:rFonts w:ascii="Palatino Linotype" w:eastAsia="Palatino Linotype" w:hAnsi="Palatino Linotype" w:cs="Palatino Linotype"/>
        </w:rPr>
      </w:pPr>
      <w:bookmarkStart w:id="3" w:name="_heading=h.1fob9te" w:colFirst="0" w:colLast="0"/>
      <w:bookmarkEnd w:id="3"/>
    </w:p>
    <w:p w14:paraId="34FADF81" w14:textId="77777777" w:rsidR="00A83BD3" w:rsidRPr="00523559" w:rsidRDefault="00F41D15" w:rsidP="00301B1C">
      <w:pPr>
        <w:spacing w:line="360" w:lineRule="auto"/>
        <w:ind w:right="49"/>
        <w:jc w:val="both"/>
        <w:rPr>
          <w:rFonts w:ascii="Palatino Linotype" w:eastAsia="Palatino Linotype" w:hAnsi="Palatino Linotype" w:cs="Palatino Linotype"/>
          <w:color w:val="222222"/>
        </w:rPr>
      </w:pPr>
      <w:r w:rsidRPr="00523559">
        <w:rPr>
          <w:rFonts w:ascii="Palatino Linotype" w:eastAsia="Palatino Linotype" w:hAnsi="Palatino Linotype" w:cs="Palatino Linotype"/>
        </w:rPr>
        <w:lastRenderedPageBreak/>
        <w:t xml:space="preserve">Para el caso de que el </w:t>
      </w:r>
      <w:r w:rsidRPr="00523559">
        <w:rPr>
          <w:rFonts w:ascii="Palatino Linotype" w:eastAsia="Palatino Linotype" w:hAnsi="Palatino Linotype" w:cs="Palatino Linotype"/>
          <w:b/>
        </w:rPr>
        <w:t>SUJETO OBLIGADO</w:t>
      </w:r>
      <w:r w:rsidRPr="00523559">
        <w:rPr>
          <w:rFonts w:ascii="Palatino Linotype" w:eastAsia="Palatino Linotype" w:hAnsi="Palatino Linotype" w:cs="Palatino Linotype"/>
        </w:rPr>
        <w:t xml:space="preserve"> no cuente la información que se ordena en los incisos </w:t>
      </w:r>
      <w:r w:rsidRPr="00523559">
        <w:rPr>
          <w:rFonts w:ascii="Palatino Linotype" w:eastAsia="Palatino Linotype" w:hAnsi="Palatino Linotype" w:cs="Palatino Linotype"/>
          <w:b/>
        </w:rPr>
        <w:t>b)</w:t>
      </w:r>
      <w:r w:rsidRPr="00523559">
        <w:rPr>
          <w:rFonts w:ascii="Palatino Linotype" w:eastAsia="Palatino Linotype" w:hAnsi="Palatino Linotype" w:cs="Palatino Linotype"/>
        </w:rPr>
        <w:t xml:space="preserve">, </w:t>
      </w:r>
      <w:r w:rsidR="00C65DC5" w:rsidRPr="00523559">
        <w:rPr>
          <w:rFonts w:ascii="Palatino Linotype" w:eastAsia="Palatino Linotype" w:hAnsi="Palatino Linotype" w:cs="Palatino Linotype"/>
          <w:b/>
        </w:rPr>
        <w:t>c)</w:t>
      </w:r>
      <w:r w:rsidR="00C65DC5" w:rsidRPr="00523559">
        <w:rPr>
          <w:rFonts w:ascii="Palatino Linotype" w:eastAsia="Palatino Linotype" w:hAnsi="Palatino Linotype" w:cs="Palatino Linotype"/>
        </w:rPr>
        <w:t xml:space="preserve"> en su parte relativa al número de policías beneficiados, </w:t>
      </w:r>
      <w:r w:rsidRPr="00523559">
        <w:rPr>
          <w:rFonts w:ascii="Palatino Linotype" w:eastAsia="Palatino Linotype" w:hAnsi="Palatino Linotype" w:cs="Palatino Linotype"/>
          <w:b/>
        </w:rPr>
        <w:t>d)</w:t>
      </w:r>
      <w:r w:rsidRPr="00523559">
        <w:rPr>
          <w:rFonts w:ascii="Palatino Linotype" w:eastAsia="Palatino Linotype" w:hAnsi="Palatino Linotype" w:cs="Palatino Linotype"/>
        </w:rPr>
        <w:t xml:space="preserve">, </w:t>
      </w:r>
      <w:r w:rsidR="007120DB" w:rsidRPr="00523559">
        <w:rPr>
          <w:rFonts w:ascii="Palatino Linotype" w:eastAsia="Palatino Linotype" w:hAnsi="Palatino Linotype" w:cs="Palatino Linotype"/>
          <w:b/>
        </w:rPr>
        <w:t>e)</w:t>
      </w:r>
      <w:r w:rsidR="007120DB" w:rsidRPr="00523559">
        <w:rPr>
          <w:rFonts w:ascii="Palatino Linotype" w:eastAsia="Palatino Linotype" w:hAnsi="Palatino Linotype" w:cs="Palatino Linotype"/>
        </w:rPr>
        <w:t xml:space="preserve">, </w:t>
      </w:r>
      <w:r w:rsidR="00D005F5" w:rsidRPr="00523559">
        <w:rPr>
          <w:rFonts w:ascii="Palatino Linotype" w:eastAsia="Palatino Linotype" w:hAnsi="Palatino Linotype" w:cs="Palatino Linotype"/>
        </w:rPr>
        <w:t>f</w:t>
      </w:r>
      <w:r w:rsidRPr="00523559">
        <w:rPr>
          <w:rFonts w:ascii="Palatino Linotype" w:eastAsia="Palatino Linotype" w:hAnsi="Palatino Linotype" w:cs="Palatino Linotype"/>
          <w:b/>
        </w:rPr>
        <w:t>)</w:t>
      </w:r>
      <w:r w:rsidR="00C65DC5" w:rsidRPr="00523559">
        <w:rPr>
          <w:rFonts w:ascii="Palatino Linotype" w:eastAsia="Palatino Linotype" w:hAnsi="Palatino Linotype" w:cs="Palatino Linotype"/>
        </w:rPr>
        <w:t xml:space="preserve">, </w:t>
      </w:r>
      <w:r w:rsidR="00D005F5" w:rsidRPr="00523559">
        <w:rPr>
          <w:rFonts w:ascii="Palatino Linotype" w:eastAsia="Palatino Linotype" w:hAnsi="Palatino Linotype" w:cs="Palatino Linotype"/>
          <w:b/>
        </w:rPr>
        <w:t>j</w:t>
      </w:r>
      <w:r w:rsidR="00C65DC5" w:rsidRPr="00523559">
        <w:rPr>
          <w:rFonts w:ascii="Palatino Linotype" w:eastAsia="Palatino Linotype" w:hAnsi="Palatino Linotype" w:cs="Palatino Linotype"/>
          <w:b/>
        </w:rPr>
        <w:t>)</w:t>
      </w:r>
      <w:r w:rsidR="00C65DC5" w:rsidRPr="00523559">
        <w:rPr>
          <w:rFonts w:ascii="Palatino Linotype" w:eastAsia="Palatino Linotype" w:hAnsi="Palatino Linotype" w:cs="Palatino Linotype"/>
        </w:rPr>
        <w:t xml:space="preserve"> en su parte relativa al promedio general </w:t>
      </w:r>
      <w:r w:rsidRPr="00523559">
        <w:rPr>
          <w:rFonts w:ascii="Palatino Linotype" w:eastAsia="Palatino Linotype" w:hAnsi="Palatino Linotype" w:cs="Palatino Linotype"/>
        </w:rPr>
        <w:t xml:space="preserve">y, </w:t>
      </w:r>
      <w:r w:rsidR="00D005F5" w:rsidRPr="00523559">
        <w:rPr>
          <w:rFonts w:ascii="Palatino Linotype" w:eastAsia="Palatino Linotype" w:hAnsi="Palatino Linotype" w:cs="Palatino Linotype"/>
          <w:b/>
        </w:rPr>
        <w:t>k</w:t>
      </w:r>
      <w:r w:rsidRPr="00523559">
        <w:rPr>
          <w:rFonts w:ascii="Palatino Linotype" w:eastAsia="Palatino Linotype" w:hAnsi="Palatino Linotype" w:cs="Palatino Linotype"/>
          <w:b/>
        </w:rPr>
        <w:t>)</w:t>
      </w:r>
      <w:r w:rsidRPr="00523559">
        <w:rPr>
          <w:rFonts w:ascii="Palatino Linotype" w:eastAsia="Palatino Linotype" w:hAnsi="Palatino Linotype" w:cs="Palatino Linotype"/>
        </w:rPr>
        <w:t xml:space="preserve">, bastará que lo haga del conocimiento del particular </w:t>
      </w:r>
      <w:r w:rsidRPr="00523559">
        <w:rPr>
          <w:rFonts w:ascii="Palatino Linotype" w:eastAsia="Palatino Linotype" w:hAnsi="Palatino Linotype" w:cs="Palatino Linotype"/>
          <w:color w:val="222222"/>
        </w:rPr>
        <w:t>conforme al artículo 19 segundo párrafo de la Ley de Transparencia y Acceso a la Información Pública del Estado de México y Municipios.</w:t>
      </w:r>
    </w:p>
    <w:p w14:paraId="175D25A4" w14:textId="77777777" w:rsidR="00AB3911" w:rsidRPr="00523559" w:rsidRDefault="00AB3911" w:rsidP="00301B1C">
      <w:pPr>
        <w:spacing w:line="360" w:lineRule="auto"/>
        <w:ind w:right="49"/>
        <w:jc w:val="both"/>
        <w:rPr>
          <w:rFonts w:ascii="Palatino Linotype" w:eastAsia="Palatino Linotype" w:hAnsi="Palatino Linotype" w:cs="Palatino Linotype"/>
          <w:color w:val="222222"/>
        </w:rPr>
      </w:pPr>
    </w:p>
    <w:p w14:paraId="6B79CCE2" w14:textId="77777777" w:rsidR="00A83BD3" w:rsidRPr="00523559" w:rsidRDefault="00F41D15" w:rsidP="00301B1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23559">
        <w:rPr>
          <w:rFonts w:ascii="Palatino Linotype" w:eastAsia="Palatino Linotype" w:hAnsi="Palatino Linotype" w:cs="Palatino Linotype"/>
          <w:b/>
          <w:color w:val="000000"/>
        </w:rPr>
        <w:t xml:space="preserve">TERCERO. </w:t>
      </w:r>
      <w:r w:rsidRPr="00523559">
        <w:rPr>
          <w:rFonts w:ascii="Palatino Linotype" w:eastAsia="Palatino Linotype" w:hAnsi="Palatino Linotype" w:cs="Palatino Linotype"/>
          <w:b/>
          <w:color w:val="222222"/>
        </w:rPr>
        <w:t>NOTIFÍQUESE</w:t>
      </w:r>
      <w:r w:rsidRPr="00523559">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23559">
        <w:rPr>
          <w:rFonts w:ascii="Palatino Linotype" w:eastAsia="Palatino Linotype" w:hAnsi="Palatino Linotype" w:cs="Palatino Linotype"/>
          <w:b/>
          <w:color w:val="222222"/>
        </w:rPr>
        <w:t>dé cumplimiento a lo ordenado dentro del plazo de diez días hábiles,</w:t>
      </w:r>
      <w:r w:rsidRPr="00523559">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B5DECE"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6E316378" w14:textId="77777777" w:rsidR="00A83BD3" w:rsidRPr="00523559" w:rsidRDefault="00F41D15" w:rsidP="00301B1C">
      <w:pPr>
        <w:tabs>
          <w:tab w:val="left" w:pos="284"/>
          <w:tab w:val="left" w:pos="8080"/>
        </w:tabs>
        <w:spacing w:line="360" w:lineRule="auto"/>
        <w:ind w:right="49"/>
        <w:jc w:val="both"/>
        <w:rPr>
          <w:rFonts w:ascii="Palatino Linotype" w:eastAsia="Palatino Linotype" w:hAnsi="Palatino Linotype" w:cs="Palatino Linotype"/>
          <w:color w:val="222222"/>
        </w:rPr>
      </w:pPr>
      <w:r w:rsidRPr="00523559">
        <w:rPr>
          <w:rFonts w:ascii="Palatino Linotype" w:eastAsia="Palatino Linotype" w:hAnsi="Palatino Linotype" w:cs="Palatino Linotype"/>
          <w:b/>
        </w:rPr>
        <w:t xml:space="preserve">CUARTO. </w:t>
      </w:r>
      <w:r w:rsidRPr="00523559">
        <w:rPr>
          <w:rFonts w:ascii="Palatino Linotype" w:eastAsia="Palatino Linotype" w:hAnsi="Palatino Linotype" w:cs="Palatino Linotype"/>
          <w:b/>
          <w:color w:val="222222"/>
        </w:rPr>
        <w:t xml:space="preserve">Notifíquese </w:t>
      </w:r>
      <w:r w:rsidRPr="00523559">
        <w:rPr>
          <w:rFonts w:ascii="Palatino Linotype" w:eastAsia="Palatino Linotype" w:hAnsi="Palatino Linotype" w:cs="Palatino Linotype"/>
          <w:color w:val="222222"/>
        </w:rPr>
        <w:t xml:space="preserve">al </w:t>
      </w:r>
      <w:r w:rsidRPr="00523559">
        <w:rPr>
          <w:rFonts w:ascii="Palatino Linotype" w:eastAsia="Palatino Linotype" w:hAnsi="Palatino Linotype" w:cs="Palatino Linotype"/>
          <w:b/>
          <w:color w:val="222222"/>
        </w:rPr>
        <w:t xml:space="preserve">RECURRENTE </w:t>
      </w:r>
      <w:r w:rsidRPr="00523559">
        <w:rPr>
          <w:rFonts w:ascii="Palatino Linotype" w:eastAsia="Palatino Linotype" w:hAnsi="Palatino Linotype" w:cs="Palatino Linotype"/>
        </w:rPr>
        <w:t>la presente Resolución a través del Sistema de Acceso a la Información Mexiquense (SAIMEX).</w:t>
      </w:r>
    </w:p>
    <w:p w14:paraId="77C1DC3D" w14:textId="77777777" w:rsidR="00A83BD3" w:rsidRPr="00523559" w:rsidRDefault="00A83BD3" w:rsidP="00301B1C">
      <w:pPr>
        <w:tabs>
          <w:tab w:val="left" w:pos="284"/>
          <w:tab w:val="left" w:pos="8080"/>
        </w:tabs>
        <w:spacing w:line="360" w:lineRule="auto"/>
        <w:ind w:right="49"/>
        <w:jc w:val="both"/>
        <w:rPr>
          <w:rFonts w:ascii="Palatino Linotype" w:eastAsia="Palatino Linotype" w:hAnsi="Palatino Linotype" w:cs="Palatino Linotype"/>
          <w:color w:val="222222"/>
        </w:rPr>
      </w:pPr>
    </w:p>
    <w:p w14:paraId="632B14DB" w14:textId="422DBF6B" w:rsidR="00A83BD3" w:rsidRPr="00523559" w:rsidRDefault="00F41D15" w:rsidP="00301B1C">
      <w:pPr>
        <w:tabs>
          <w:tab w:val="left" w:pos="284"/>
        </w:tabs>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lastRenderedPageBreak/>
        <w:t xml:space="preserve">QUINTO. </w:t>
      </w:r>
      <w:r w:rsidRPr="00523559">
        <w:rPr>
          <w:rFonts w:ascii="Palatino Linotype" w:eastAsia="Palatino Linotype" w:hAnsi="Palatino Linotype" w:cs="Palatino Linotype"/>
        </w:rPr>
        <w:t>De conformidad con el artículo 198</w:t>
      </w:r>
      <w:r w:rsidR="00F90D2A" w:rsidRPr="00523559">
        <w:rPr>
          <w:rFonts w:ascii="Palatino Linotype" w:eastAsia="Palatino Linotype" w:hAnsi="Palatino Linotype" w:cs="Palatino Linotype"/>
        </w:rPr>
        <w:t>,</w:t>
      </w:r>
      <w:r w:rsidRPr="00523559">
        <w:rPr>
          <w:rFonts w:ascii="Palatino Linotype" w:eastAsia="Palatino Linotype" w:hAnsi="Palatino Linotype" w:cs="Palatino Linotype"/>
        </w:rPr>
        <w:t xml:space="preserve">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6CC09C7" w14:textId="77777777" w:rsidR="00A83BD3" w:rsidRPr="00523559" w:rsidRDefault="00A83BD3" w:rsidP="00301B1C">
      <w:pPr>
        <w:tabs>
          <w:tab w:val="left" w:pos="284"/>
        </w:tabs>
        <w:spacing w:line="360" w:lineRule="auto"/>
        <w:ind w:right="49"/>
        <w:jc w:val="both"/>
        <w:rPr>
          <w:rFonts w:ascii="Palatino Linotype" w:eastAsia="Palatino Linotype" w:hAnsi="Palatino Linotype" w:cs="Palatino Linotype"/>
        </w:rPr>
      </w:pPr>
    </w:p>
    <w:p w14:paraId="5C9FC034" w14:textId="77777777" w:rsidR="00A83BD3" w:rsidRPr="00523559" w:rsidRDefault="00F41D15" w:rsidP="00301B1C">
      <w:pPr>
        <w:spacing w:line="360" w:lineRule="auto"/>
        <w:ind w:right="49"/>
        <w:jc w:val="both"/>
        <w:rPr>
          <w:rFonts w:ascii="Palatino Linotype" w:eastAsia="Palatino Linotype" w:hAnsi="Palatino Linotype" w:cs="Palatino Linotype"/>
        </w:rPr>
      </w:pPr>
      <w:r w:rsidRPr="00523559">
        <w:rPr>
          <w:rFonts w:ascii="Palatino Linotype" w:eastAsia="Palatino Linotype" w:hAnsi="Palatino Linotype" w:cs="Palatino Linotype"/>
          <w:b/>
        </w:rPr>
        <w:t xml:space="preserve">SEXTO. </w:t>
      </w:r>
      <w:r w:rsidRPr="00523559">
        <w:rPr>
          <w:rFonts w:ascii="Palatino Linotype" w:eastAsia="Palatino Linotype" w:hAnsi="Palatino Linotype" w:cs="Palatino Linotype"/>
        </w:rPr>
        <w:t xml:space="preserve">Se hace del conocimiento del </w:t>
      </w:r>
      <w:r w:rsidRPr="00523559">
        <w:rPr>
          <w:rFonts w:ascii="Palatino Linotype" w:eastAsia="Palatino Linotype" w:hAnsi="Palatino Linotype" w:cs="Palatino Linotype"/>
          <w:b/>
        </w:rPr>
        <w:t>RECURRENTE</w:t>
      </w:r>
      <w:r w:rsidRPr="0052355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w:t>
      </w:r>
      <w:r w:rsidRPr="00523559">
        <w:rPr>
          <w:rFonts w:ascii="Palatino Linotype" w:eastAsia="Palatino Linotype" w:hAnsi="Palatino Linotype" w:cs="Palatino Linotype"/>
          <w:color w:val="000000"/>
        </w:rPr>
        <w:t xml:space="preserve">en caso de que considere que la resolución le cause algún perjuicio podrá </w:t>
      </w:r>
      <w:r w:rsidRPr="00523559">
        <w:rPr>
          <w:rFonts w:ascii="Palatino Linotype" w:eastAsia="Palatino Linotype" w:hAnsi="Palatino Linotype" w:cs="Palatino Linotype"/>
        </w:rPr>
        <w:t>impugnar vía</w:t>
      </w:r>
      <w:r w:rsidRPr="00523559">
        <w:rPr>
          <w:rFonts w:ascii="Palatino Linotype" w:eastAsia="Palatino Linotype" w:hAnsi="Palatino Linotype" w:cs="Palatino Linotype"/>
          <w:color w:val="000000"/>
        </w:rPr>
        <w:t xml:space="preserve"> </w:t>
      </w:r>
      <w:r w:rsidRPr="00523559">
        <w:rPr>
          <w:rFonts w:ascii="Palatino Linotype" w:eastAsia="Palatino Linotype" w:hAnsi="Palatino Linotype" w:cs="Palatino Linotype"/>
        </w:rPr>
        <w:t>juicio de amparo en los términos de las leyes aplicables.</w:t>
      </w:r>
    </w:p>
    <w:p w14:paraId="779D6B78" w14:textId="77777777" w:rsidR="00A83BD3" w:rsidRPr="00523559" w:rsidRDefault="00A83BD3" w:rsidP="00301B1C">
      <w:pPr>
        <w:spacing w:line="360" w:lineRule="auto"/>
        <w:ind w:right="49"/>
        <w:jc w:val="both"/>
        <w:rPr>
          <w:rFonts w:ascii="Palatino Linotype" w:eastAsia="Palatino Linotype" w:hAnsi="Palatino Linotype" w:cs="Palatino Linotype"/>
        </w:rPr>
      </w:pPr>
    </w:p>
    <w:p w14:paraId="1AE5F596" w14:textId="0BD99ADF" w:rsidR="00F90D2A" w:rsidRPr="003C7186" w:rsidRDefault="00F90D2A" w:rsidP="00F90D2A">
      <w:pPr>
        <w:spacing w:line="360" w:lineRule="auto"/>
        <w:ind w:right="49" w:firstLine="1"/>
        <w:jc w:val="both"/>
        <w:rPr>
          <w:rFonts w:ascii="Palatino Linotype" w:hAnsi="Palatino Linotype"/>
        </w:rPr>
      </w:pPr>
      <w:r w:rsidRPr="0052355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w:t>
      </w:r>
      <w:r w:rsidR="008432BC" w:rsidRPr="00523559">
        <w:rPr>
          <w:rFonts w:ascii="Palatino Linotype" w:hAnsi="Palatino Linotype"/>
        </w:rPr>
        <w:t>ÍNEZ; LUIS GUSTAVO PARRA NORIEGA EMITIENDO VOTO PARTICULAR</w:t>
      </w:r>
      <w:r w:rsidRPr="00523559">
        <w:rPr>
          <w:rFonts w:ascii="Palatino Linotype" w:hAnsi="Palatino Linotype"/>
        </w:rPr>
        <w:t xml:space="preserve"> Y GUADALUPE RAMÍREZ PEÑA</w:t>
      </w:r>
      <w:r w:rsidR="008432BC" w:rsidRPr="00523559">
        <w:rPr>
          <w:rFonts w:ascii="Palatino Linotype" w:hAnsi="Palatino Linotype"/>
        </w:rPr>
        <w:t xml:space="preserve"> EMITIENDO VOTO PARTICULAR</w:t>
      </w:r>
      <w:r w:rsidRPr="00523559">
        <w:rPr>
          <w:rFonts w:ascii="Palatino Linotype" w:hAnsi="Palatino Linotype"/>
        </w:rPr>
        <w:t>; EN LA SEXTA SESIÓN ORDINARIA CELEBRADA EL DIECINUEVE (19) DE FEBRERO DE DOS MIL VEINTICINCO, ANTE EL SECRETARIO TÉCNICO DEL PLENO ALEXIS TAPIA RAMÍREZ.</w:t>
      </w:r>
      <w:r w:rsidRPr="003C7186">
        <w:rPr>
          <w:rFonts w:ascii="Palatino Linotype" w:hAnsi="Palatino Linotype"/>
        </w:rPr>
        <w:t xml:space="preserve"> </w:t>
      </w:r>
    </w:p>
    <w:p w14:paraId="030B380A" w14:textId="77777777" w:rsidR="00F90D2A" w:rsidRPr="00902BA4" w:rsidRDefault="00F90D2A" w:rsidP="00F90D2A">
      <w:pPr>
        <w:widowControl w:val="0"/>
        <w:autoSpaceDE w:val="0"/>
        <w:autoSpaceDN w:val="0"/>
        <w:adjustRightInd w:val="0"/>
        <w:spacing w:after="200" w:line="276" w:lineRule="auto"/>
        <w:ind w:left="-142" w:right="-234"/>
        <w:rPr>
          <w:rFonts w:ascii="Calibri" w:hAnsi="Calibri" w:cs="Calibri"/>
        </w:rPr>
      </w:pPr>
    </w:p>
    <w:p w14:paraId="6071821E" w14:textId="77777777" w:rsidR="00F90D2A" w:rsidRDefault="00F90D2A" w:rsidP="00F90D2A">
      <w:pPr>
        <w:spacing w:before="240" w:after="240" w:line="360" w:lineRule="auto"/>
        <w:ind w:firstLine="1"/>
        <w:jc w:val="both"/>
        <w:rPr>
          <w:rFonts w:ascii="Palatino Linotype" w:hAnsi="Palatino Linotype"/>
        </w:rPr>
      </w:pPr>
      <w:bookmarkStart w:id="4" w:name="_Hlk96506827"/>
    </w:p>
    <w:bookmarkEnd w:id="4"/>
    <w:p w14:paraId="7695A810"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665D5CA1"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26B77F35"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6897CB40"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225D3C87"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6DE7DE8F"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7351F3C8"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2A0225C9"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2F7059AD"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042D0A88"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4EF9BE39"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5E038119"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477C879B"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0F6B11E3"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1999FD5F"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4399D910" w14:textId="77777777" w:rsidR="00A83BD3" w:rsidRPr="00D20E0A" w:rsidRDefault="00A83BD3" w:rsidP="00301B1C">
      <w:pPr>
        <w:spacing w:line="360" w:lineRule="auto"/>
        <w:ind w:right="49"/>
        <w:jc w:val="both"/>
        <w:rPr>
          <w:rFonts w:ascii="Palatino Linotype" w:eastAsia="Palatino Linotype" w:hAnsi="Palatino Linotype" w:cs="Palatino Linotype"/>
          <w:color w:val="000000"/>
        </w:rPr>
      </w:pPr>
    </w:p>
    <w:p w14:paraId="00291375"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p w14:paraId="42DC1E69"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p w14:paraId="118770C0"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p w14:paraId="13FD2602"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p w14:paraId="71A7CD4D"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p w14:paraId="4D7BF41D" w14:textId="77777777" w:rsidR="00D20E0A" w:rsidRPr="00D20E0A" w:rsidRDefault="00D20E0A" w:rsidP="00301B1C">
      <w:pPr>
        <w:spacing w:line="360" w:lineRule="auto"/>
        <w:ind w:right="49"/>
        <w:jc w:val="both"/>
        <w:rPr>
          <w:rFonts w:ascii="Palatino Linotype" w:eastAsia="Palatino Linotype" w:hAnsi="Palatino Linotype" w:cs="Palatino Linotype"/>
          <w:color w:val="000000"/>
        </w:rPr>
      </w:pPr>
    </w:p>
    <w:sectPr w:rsidR="00D20E0A" w:rsidRPr="00D20E0A">
      <w:headerReference w:type="default" r:id="rId25"/>
      <w:footerReference w:type="default" r:id="rId26"/>
      <w:headerReference w:type="first" r:id="rId27"/>
      <w:footerReference w:type="first" r:id="rId28"/>
      <w:pgSz w:w="12240" w:h="15840"/>
      <w:pgMar w:top="2268" w:right="1701" w:bottom="1985"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A7E04" w14:textId="77777777" w:rsidR="00A71002" w:rsidRDefault="00A71002">
      <w:r>
        <w:separator/>
      </w:r>
    </w:p>
  </w:endnote>
  <w:endnote w:type="continuationSeparator" w:id="0">
    <w:p w14:paraId="3B713F35" w14:textId="77777777" w:rsidR="00A71002" w:rsidRDefault="00A71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16647" w14:textId="77777777" w:rsidR="00C004FA" w:rsidRDefault="00C004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55181C">
      <w:rPr>
        <w:rFonts w:ascii="Palatino Linotype" w:eastAsia="Palatino Linotype" w:hAnsi="Palatino Linotype" w:cs="Palatino Linotype"/>
        <w:b/>
        <w:noProof/>
        <w:color w:val="000000"/>
        <w:sz w:val="22"/>
        <w:szCs w:val="22"/>
      </w:rPr>
      <w:t>130</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55181C">
      <w:rPr>
        <w:rFonts w:ascii="Palatino Linotype" w:eastAsia="Palatino Linotype" w:hAnsi="Palatino Linotype" w:cs="Palatino Linotype"/>
        <w:b/>
        <w:noProof/>
        <w:color w:val="000000"/>
        <w:sz w:val="22"/>
        <w:szCs w:val="22"/>
      </w:rPr>
      <w:t>131</w:t>
    </w:r>
    <w:r>
      <w:rPr>
        <w:rFonts w:ascii="Palatino Linotype" w:eastAsia="Palatino Linotype" w:hAnsi="Palatino Linotype" w:cs="Palatino Linotype"/>
        <w:b/>
        <w:color w:val="000000"/>
        <w:sz w:val="22"/>
        <w:szCs w:val="22"/>
      </w:rPr>
      <w:fldChar w:fldCharType="end"/>
    </w:r>
  </w:p>
  <w:p w14:paraId="2F3D98F8" w14:textId="77777777" w:rsidR="00C004FA" w:rsidRDefault="00C004FA">
    <w:pPr>
      <w:pBdr>
        <w:top w:val="nil"/>
        <w:left w:val="nil"/>
        <w:bottom w:val="nil"/>
        <w:right w:val="nil"/>
        <w:between w:val="nil"/>
      </w:pBdr>
      <w:tabs>
        <w:tab w:val="center" w:pos="4252"/>
        <w:tab w:val="right" w:pos="8504"/>
      </w:tabs>
      <w:rPr>
        <w:color w:val="000000"/>
      </w:rPr>
    </w:pPr>
  </w:p>
  <w:p w14:paraId="69224093" w14:textId="77777777" w:rsidR="00C004FA" w:rsidRDefault="00C004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259D8" w14:textId="77777777" w:rsidR="00C004FA" w:rsidRDefault="00C004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5181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5181C">
      <w:rPr>
        <w:rFonts w:ascii="Palatino Linotype" w:eastAsia="Palatino Linotype" w:hAnsi="Palatino Linotype" w:cs="Palatino Linotype"/>
        <w:noProof/>
        <w:color w:val="000000"/>
        <w:sz w:val="22"/>
        <w:szCs w:val="22"/>
      </w:rPr>
      <w:t>131</w:t>
    </w:r>
    <w:r>
      <w:rPr>
        <w:rFonts w:ascii="Palatino Linotype" w:eastAsia="Palatino Linotype" w:hAnsi="Palatino Linotype" w:cs="Palatino Linotype"/>
        <w:color w:val="000000"/>
        <w:sz w:val="22"/>
        <w:szCs w:val="22"/>
      </w:rPr>
      <w:fldChar w:fldCharType="end"/>
    </w:r>
  </w:p>
  <w:p w14:paraId="588D69F1" w14:textId="77777777" w:rsidR="00C004FA" w:rsidRDefault="00C004FA">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44261E6A" w14:textId="77777777" w:rsidR="00C004FA" w:rsidRDefault="00C00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D8461" w14:textId="77777777" w:rsidR="00A71002" w:rsidRDefault="00A71002">
      <w:r>
        <w:separator/>
      </w:r>
    </w:p>
  </w:footnote>
  <w:footnote w:type="continuationSeparator" w:id="0">
    <w:p w14:paraId="102D3827" w14:textId="77777777" w:rsidR="00A71002" w:rsidRDefault="00A71002">
      <w:r>
        <w:continuationSeparator/>
      </w:r>
    </w:p>
  </w:footnote>
  <w:footnote w:id="1">
    <w:p w14:paraId="35C1522F" w14:textId="77777777" w:rsidR="00C004FA" w:rsidRDefault="00C004FA">
      <w:pP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https://www.osfem.gob.mx/04_Iconografia/Ent_Fisc/Doc_Apoy/doc/2022/03_Instr4.pdf</w:t>
      </w:r>
    </w:p>
  </w:footnote>
  <w:footnote w:id="2">
    <w:p w14:paraId="547A9A88" w14:textId="77777777" w:rsidR="00C004FA" w:rsidRDefault="00C004FA" w:rsidP="00FC47D0">
      <w:pPr>
        <w:pStyle w:val="Textonotapie"/>
      </w:pPr>
      <w:r>
        <w:rPr>
          <w:rStyle w:val="Refdenotaalpie"/>
        </w:rPr>
        <w:footnoteRef/>
      </w:r>
      <w:r>
        <w:t xml:space="preserve"> Políticas Públicas y Cambio Climático. Angélica Rosas Huerta. Profesora- investigadora. Departamento Política y Cultura. División de Ciencias Sociales y Humanidades. </w:t>
      </w:r>
    </w:p>
  </w:footnote>
  <w:footnote w:id="3">
    <w:p w14:paraId="7E873BDA" w14:textId="77777777" w:rsidR="00C004FA" w:rsidRDefault="00C004F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para su consulta en </w:t>
      </w:r>
      <w:hyperlink r:id="rId1">
        <w:r>
          <w:rPr>
            <w:rFonts w:ascii="Palatino Linotype" w:eastAsia="Palatino Linotype" w:hAnsi="Palatino Linotype" w:cs="Palatino Linotype"/>
            <w:color w:val="0000FF"/>
            <w:sz w:val="20"/>
            <w:szCs w:val="20"/>
            <w:u w:val="single"/>
          </w:rPr>
          <w:t>https://www.gob.mx/cms/uploads/attachment/file/188142/6._Capacitaci_n_FORTASEG_Centro_Nacional_de_Certificaci_n_y_Acreditaci_n.pdf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35C8" w14:textId="77777777" w:rsidR="00C004FA" w:rsidRDefault="00C004FA">
    <w:pPr>
      <w:widowControl w:val="0"/>
      <w:pBdr>
        <w:top w:val="nil"/>
        <w:left w:val="nil"/>
        <w:bottom w:val="nil"/>
        <w:right w:val="nil"/>
        <w:between w:val="nil"/>
      </w:pBdr>
      <w:spacing w:line="276" w:lineRule="auto"/>
      <w:rPr>
        <w:color w:val="000000"/>
        <w:sz w:val="20"/>
        <w:szCs w:val="20"/>
      </w:rPr>
    </w:pPr>
  </w:p>
  <w:tbl>
    <w:tblPr>
      <w:tblStyle w:val="a1"/>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C004FA" w14:paraId="4ECEEA5D" w14:textId="77777777">
      <w:trPr>
        <w:trHeight w:val="138"/>
        <w:jc w:val="right"/>
      </w:trPr>
      <w:tc>
        <w:tcPr>
          <w:tcW w:w="3260" w:type="dxa"/>
          <w:vAlign w:val="center"/>
        </w:tcPr>
        <w:p w14:paraId="2E44E92A" w14:textId="77777777" w:rsidR="00C004FA" w:rsidRDefault="00C004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center"/>
        </w:tcPr>
        <w:p w14:paraId="24B1A9E1" w14:textId="77777777" w:rsidR="00C004FA" w:rsidRDefault="00C004FA" w:rsidP="00301B1C">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01828/INFOEM/IP/RR/2024</w:t>
          </w:r>
        </w:p>
      </w:tc>
    </w:tr>
    <w:tr w:rsidR="00C004FA" w14:paraId="23409B97" w14:textId="77777777">
      <w:trPr>
        <w:trHeight w:val="233"/>
        <w:jc w:val="right"/>
      </w:trPr>
      <w:tc>
        <w:tcPr>
          <w:tcW w:w="3260" w:type="dxa"/>
          <w:vAlign w:val="center"/>
        </w:tcPr>
        <w:p w14:paraId="7301D284" w14:textId="77777777" w:rsidR="00C004FA" w:rsidRDefault="00C004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vAlign w:val="center"/>
        </w:tcPr>
        <w:p w14:paraId="27F5FEE7" w14:textId="77777777" w:rsidR="00C004FA" w:rsidRDefault="00C004FA">
          <w:pPr>
            <w:pBdr>
              <w:top w:val="nil"/>
              <w:left w:val="nil"/>
              <w:bottom w:val="nil"/>
              <w:right w:val="nil"/>
              <w:between w:val="nil"/>
            </w:pBdr>
            <w:tabs>
              <w:tab w:val="center" w:pos="4252"/>
              <w:tab w:val="right" w:pos="8504"/>
            </w:tabs>
            <w:jc w:val="both"/>
            <w:rPr>
              <w:rFonts w:ascii="Palatino Linotype" w:eastAsia="Palatino Linotype" w:hAnsi="Palatino Linotype" w:cs="Palatino Linotype"/>
              <w:color w:val="000000"/>
              <w:sz w:val="22"/>
              <w:szCs w:val="22"/>
            </w:rPr>
          </w:pPr>
          <w:r w:rsidRPr="00301B1C">
            <w:rPr>
              <w:rFonts w:ascii="Palatino Linotype" w:eastAsia="Palatino Linotype" w:hAnsi="Palatino Linotype" w:cs="Palatino Linotype"/>
              <w:color w:val="000000"/>
            </w:rPr>
            <w:t>Ayuntamiento de Zinacantepec</w:t>
          </w:r>
        </w:p>
      </w:tc>
    </w:tr>
    <w:tr w:rsidR="00C004FA" w14:paraId="39A7A3EE" w14:textId="77777777">
      <w:trPr>
        <w:trHeight w:val="321"/>
        <w:jc w:val="right"/>
      </w:trPr>
      <w:tc>
        <w:tcPr>
          <w:tcW w:w="3260" w:type="dxa"/>
          <w:vAlign w:val="center"/>
        </w:tcPr>
        <w:p w14:paraId="009DC820" w14:textId="77777777" w:rsidR="00C004FA" w:rsidRDefault="00C004F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90" w:type="dxa"/>
          <w:vAlign w:val="center"/>
        </w:tcPr>
        <w:p w14:paraId="4013260D" w14:textId="77777777" w:rsidR="00C004FA" w:rsidRDefault="00C004FA">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F48B348" w14:textId="77777777" w:rsidR="00C004FA" w:rsidRDefault="00C004FA">
    <w:pPr>
      <w:pBdr>
        <w:top w:val="nil"/>
        <w:left w:val="nil"/>
        <w:bottom w:val="nil"/>
        <w:right w:val="nil"/>
        <w:between w:val="nil"/>
      </w:pBdr>
      <w:tabs>
        <w:tab w:val="center" w:pos="4252"/>
        <w:tab w:val="right" w:pos="8504"/>
      </w:tabs>
      <w:rPr>
        <w:color w:val="000000"/>
      </w:rPr>
    </w:pPr>
    <w:r>
      <w:rPr>
        <w:noProof/>
        <w:color w:val="000000"/>
      </w:rPr>
      <w:drawing>
        <wp:anchor distT="0" distB="0" distL="0" distR="0" simplePos="0" relativeHeight="251657216" behindDoc="1" locked="0" layoutInCell="1" hidden="0" allowOverlap="1" wp14:anchorId="60925F07" wp14:editId="6A546F4D">
          <wp:simplePos x="0" y="0"/>
          <wp:positionH relativeFrom="page">
            <wp:posOffset>30785</wp:posOffset>
          </wp:positionH>
          <wp:positionV relativeFrom="page">
            <wp:posOffset>30480</wp:posOffset>
          </wp:positionV>
          <wp:extent cx="7695210" cy="10020839"/>
          <wp:effectExtent l="0" t="0" r="0" b="0"/>
          <wp:wrapNone/>
          <wp:docPr id="17415212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14:paraId="5312B87B" w14:textId="77777777" w:rsidR="00C004FA" w:rsidRDefault="00C004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3B3BF" w14:textId="77777777" w:rsidR="00C004FA" w:rsidRDefault="00A71002">
    <w:pPr>
      <w:pBdr>
        <w:top w:val="nil"/>
        <w:left w:val="nil"/>
        <w:bottom w:val="nil"/>
        <w:right w:val="nil"/>
        <w:between w:val="nil"/>
      </w:pBdr>
      <w:tabs>
        <w:tab w:val="center" w:pos="4252"/>
        <w:tab w:val="right" w:pos="8504"/>
        <w:tab w:val="left" w:pos="3103"/>
      </w:tabs>
      <w:rPr>
        <w:color w:val="000000"/>
      </w:rPr>
    </w:pPr>
    <w:r>
      <w:rPr>
        <w:color w:val="000000"/>
      </w:rPr>
      <w:pict w14:anchorId="443E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18.65pt;margin-top:-128.35pt;width:663.5pt;height:12in;z-index:-251658240;mso-position-horizontal:absolute;mso-position-horizontal-relative:margin;mso-position-vertical:absolute;mso-position-vertical-relative:margin">
          <v:imagedata r:id="rId1" o:title="image3"/>
          <w10:wrap anchorx="margin" anchory="margin"/>
        </v:shape>
      </w:pict>
    </w:r>
    <w:r w:rsidR="00C004FA">
      <w:rPr>
        <w:color w:val="000000"/>
      </w:rPr>
      <w:tab/>
    </w:r>
  </w:p>
  <w:tbl>
    <w:tblPr>
      <w:tblStyle w:val="a2"/>
      <w:tblW w:w="7372"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1"/>
      <w:gridCol w:w="4111"/>
    </w:tblGrid>
    <w:tr w:rsidR="00C004FA" w14:paraId="4A472977" w14:textId="77777777">
      <w:trPr>
        <w:trHeight w:val="138"/>
        <w:jc w:val="right"/>
      </w:trPr>
      <w:tc>
        <w:tcPr>
          <w:tcW w:w="3261" w:type="dxa"/>
          <w:vAlign w:val="center"/>
        </w:tcPr>
        <w:p w14:paraId="09238BD8" w14:textId="77777777" w:rsidR="00C004FA" w:rsidRDefault="00C004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14:paraId="33B88EB3" w14:textId="77777777" w:rsidR="00C004FA" w:rsidRDefault="00C004FA">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r w:rsidRPr="00752A2F">
            <w:rPr>
              <w:rFonts w:ascii="Palatino Linotype" w:eastAsia="Palatino Linotype" w:hAnsi="Palatino Linotype" w:cs="Palatino Linotype"/>
              <w:color w:val="000000"/>
              <w:sz w:val="22"/>
              <w:szCs w:val="22"/>
            </w:rPr>
            <w:t>01828/INFOEM/IP/RR/2024</w:t>
          </w:r>
        </w:p>
      </w:tc>
    </w:tr>
    <w:tr w:rsidR="00C004FA" w14:paraId="1CBAC533" w14:textId="77777777">
      <w:trPr>
        <w:trHeight w:val="233"/>
        <w:jc w:val="right"/>
      </w:trPr>
      <w:tc>
        <w:tcPr>
          <w:tcW w:w="3261" w:type="dxa"/>
          <w:vAlign w:val="center"/>
        </w:tcPr>
        <w:p w14:paraId="270E9C2A" w14:textId="77777777" w:rsidR="00C004FA" w:rsidRDefault="00C004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tcPr>
        <w:p w14:paraId="7689BA3E" w14:textId="226A4172" w:rsidR="00C004FA" w:rsidRDefault="0055181C">
          <w:pPr>
            <w:pBdr>
              <w:top w:val="nil"/>
              <w:left w:val="nil"/>
              <w:bottom w:val="nil"/>
              <w:right w:val="nil"/>
              <w:between w:val="nil"/>
            </w:pBdr>
            <w:tabs>
              <w:tab w:val="center" w:pos="4252"/>
              <w:tab w:val="right" w:pos="8504"/>
            </w:tabs>
            <w:ind w:right="-107"/>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XXXX XXXXX XXXX</w:t>
          </w:r>
        </w:p>
      </w:tc>
    </w:tr>
    <w:tr w:rsidR="00C004FA" w14:paraId="6A3EE574" w14:textId="77777777">
      <w:trPr>
        <w:trHeight w:val="321"/>
        <w:jc w:val="right"/>
      </w:trPr>
      <w:tc>
        <w:tcPr>
          <w:tcW w:w="3261" w:type="dxa"/>
          <w:vAlign w:val="center"/>
        </w:tcPr>
        <w:p w14:paraId="442C05ED" w14:textId="77777777" w:rsidR="00C004FA" w:rsidRDefault="00C004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14:paraId="67EC2B1D" w14:textId="77777777" w:rsidR="00C004FA" w:rsidRDefault="00C004FA">
          <w:pPr>
            <w:jc w:val="both"/>
            <w:rPr>
              <w:rFonts w:ascii="Palatino Linotype" w:eastAsia="Palatino Linotype" w:hAnsi="Palatino Linotype" w:cs="Palatino Linotype"/>
            </w:rPr>
          </w:pPr>
          <w:r w:rsidRPr="00301B1C">
            <w:rPr>
              <w:rFonts w:ascii="Palatino Linotype" w:eastAsia="Palatino Linotype" w:hAnsi="Palatino Linotype" w:cs="Palatino Linotype"/>
              <w:sz w:val="22"/>
              <w:szCs w:val="22"/>
            </w:rPr>
            <w:t>Ayuntamiento de Zinacantepec</w:t>
          </w:r>
        </w:p>
      </w:tc>
    </w:tr>
    <w:tr w:rsidR="00C004FA" w14:paraId="02FE48D2" w14:textId="77777777">
      <w:trPr>
        <w:trHeight w:val="321"/>
        <w:jc w:val="right"/>
      </w:trPr>
      <w:tc>
        <w:tcPr>
          <w:tcW w:w="3261" w:type="dxa"/>
          <w:vAlign w:val="center"/>
        </w:tcPr>
        <w:p w14:paraId="09F57EE4" w14:textId="77777777" w:rsidR="00C004FA" w:rsidRDefault="00C004F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14:paraId="2A11ABF3" w14:textId="77777777" w:rsidR="00C004FA" w:rsidRDefault="00C004FA">
          <w:pPr>
            <w:pBdr>
              <w:top w:val="nil"/>
              <w:left w:val="nil"/>
              <w:bottom w:val="nil"/>
              <w:right w:val="nil"/>
              <w:between w:val="nil"/>
            </w:pBdr>
            <w:tabs>
              <w:tab w:val="center" w:pos="4252"/>
              <w:tab w:val="right" w:pos="8504"/>
            </w:tabs>
            <w:ind w:left="3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03C54F6" w14:textId="77777777" w:rsidR="00C004FA" w:rsidRDefault="00C004FA">
    <w:pPr>
      <w:pBdr>
        <w:top w:val="nil"/>
        <w:left w:val="nil"/>
        <w:bottom w:val="nil"/>
        <w:right w:val="nil"/>
        <w:between w:val="nil"/>
      </w:pBdr>
      <w:tabs>
        <w:tab w:val="center" w:pos="4252"/>
        <w:tab w:val="right" w:pos="8504"/>
        <w:tab w:val="left" w:pos="3103"/>
      </w:tabs>
      <w:rPr>
        <w:color w:val="000000"/>
      </w:rPr>
    </w:pPr>
  </w:p>
  <w:p w14:paraId="559455CF" w14:textId="77777777" w:rsidR="00C004FA" w:rsidRDefault="00C004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03E91"/>
    <w:multiLevelType w:val="multilevel"/>
    <w:tmpl w:val="1C621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3074C8"/>
    <w:multiLevelType w:val="multilevel"/>
    <w:tmpl w:val="DCBE25F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20B31B48"/>
    <w:multiLevelType w:val="multilevel"/>
    <w:tmpl w:val="BA8405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D2F32"/>
    <w:multiLevelType w:val="multilevel"/>
    <w:tmpl w:val="A35EF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417CB"/>
    <w:multiLevelType w:val="multilevel"/>
    <w:tmpl w:val="E7261E64"/>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2B674E24"/>
    <w:multiLevelType w:val="multilevel"/>
    <w:tmpl w:val="0E844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26054B"/>
    <w:multiLevelType w:val="multilevel"/>
    <w:tmpl w:val="6DD60E64"/>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36505B"/>
    <w:multiLevelType w:val="multilevel"/>
    <w:tmpl w:val="E2706DF4"/>
    <w:lvl w:ilvl="0">
      <w:start w:val="1"/>
      <w:numFmt w:val="bullet"/>
      <w:lvlText w:val="●"/>
      <w:lvlJc w:val="left"/>
      <w:pPr>
        <w:ind w:left="2705" w:hanging="360"/>
      </w:pPr>
      <w:rPr>
        <w:rFonts w:ascii="Noto Sans Symbols" w:eastAsia="Noto Sans Symbols" w:hAnsi="Noto Sans Symbols" w:cs="Noto Sans Symbols"/>
      </w:rPr>
    </w:lvl>
    <w:lvl w:ilvl="1">
      <w:start w:val="1"/>
      <w:numFmt w:val="bullet"/>
      <w:lvlText w:val="o"/>
      <w:lvlJc w:val="left"/>
      <w:pPr>
        <w:ind w:left="3425" w:hanging="360"/>
      </w:pPr>
      <w:rPr>
        <w:rFonts w:ascii="Courier New" w:eastAsia="Courier New" w:hAnsi="Courier New" w:cs="Courier New"/>
      </w:rPr>
    </w:lvl>
    <w:lvl w:ilvl="2">
      <w:start w:val="1"/>
      <w:numFmt w:val="bullet"/>
      <w:lvlText w:val="▪"/>
      <w:lvlJc w:val="left"/>
      <w:pPr>
        <w:ind w:left="4145" w:hanging="360"/>
      </w:pPr>
      <w:rPr>
        <w:rFonts w:ascii="Noto Sans Symbols" w:eastAsia="Noto Sans Symbols" w:hAnsi="Noto Sans Symbols" w:cs="Noto Sans Symbols"/>
      </w:rPr>
    </w:lvl>
    <w:lvl w:ilvl="3">
      <w:start w:val="1"/>
      <w:numFmt w:val="bullet"/>
      <w:lvlText w:val="●"/>
      <w:lvlJc w:val="left"/>
      <w:pPr>
        <w:ind w:left="4865" w:hanging="360"/>
      </w:pPr>
      <w:rPr>
        <w:rFonts w:ascii="Noto Sans Symbols" w:eastAsia="Noto Sans Symbols" w:hAnsi="Noto Sans Symbols" w:cs="Noto Sans Symbols"/>
      </w:rPr>
    </w:lvl>
    <w:lvl w:ilvl="4">
      <w:start w:val="1"/>
      <w:numFmt w:val="bullet"/>
      <w:lvlText w:val="o"/>
      <w:lvlJc w:val="left"/>
      <w:pPr>
        <w:ind w:left="5585" w:hanging="360"/>
      </w:pPr>
      <w:rPr>
        <w:rFonts w:ascii="Courier New" w:eastAsia="Courier New" w:hAnsi="Courier New" w:cs="Courier New"/>
      </w:rPr>
    </w:lvl>
    <w:lvl w:ilvl="5">
      <w:start w:val="1"/>
      <w:numFmt w:val="bullet"/>
      <w:lvlText w:val="▪"/>
      <w:lvlJc w:val="left"/>
      <w:pPr>
        <w:ind w:left="6305" w:hanging="360"/>
      </w:pPr>
      <w:rPr>
        <w:rFonts w:ascii="Noto Sans Symbols" w:eastAsia="Noto Sans Symbols" w:hAnsi="Noto Sans Symbols" w:cs="Noto Sans Symbols"/>
      </w:rPr>
    </w:lvl>
    <w:lvl w:ilvl="6">
      <w:start w:val="1"/>
      <w:numFmt w:val="bullet"/>
      <w:lvlText w:val="●"/>
      <w:lvlJc w:val="left"/>
      <w:pPr>
        <w:ind w:left="7025" w:hanging="360"/>
      </w:pPr>
      <w:rPr>
        <w:rFonts w:ascii="Noto Sans Symbols" w:eastAsia="Noto Sans Symbols" w:hAnsi="Noto Sans Symbols" w:cs="Noto Sans Symbols"/>
      </w:rPr>
    </w:lvl>
    <w:lvl w:ilvl="7">
      <w:start w:val="1"/>
      <w:numFmt w:val="bullet"/>
      <w:lvlText w:val="o"/>
      <w:lvlJc w:val="left"/>
      <w:pPr>
        <w:ind w:left="7745" w:hanging="360"/>
      </w:pPr>
      <w:rPr>
        <w:rFonts w:ascii="Courier New" w:eastAsia="Courier New" w:hAnsi="Courier New" w:cs="Courier New"/>
      </w:rPr>
    </w:lvl>
    <w:lvl w:ilvl="8">
      <w:start w:val="1"/>
      <w:numFmt w:val="bullet"/>
      <w:lvlText w:val="▪"/>
      <w:lvlJc w:val="left"/>
      <w:pPr>
        <w:ind w:left="8465" w:hanging="360"/>
      </w:pPr>
      <w:rPr>
        <w:rFonts w:ascii="Noto Sans Symbols" w:eastAsia="Noto Sans Symbols" w:hAnsi="Noto Sans Symbols" w:cs="Noto Sans Symbols"/>
      </w:rPr>
    </w:lvl>
  </w:abstractNum>
  <w:abstractNum w:abstractNumId="9" w15:restartNumberingAfterBreak="0">
    <w:nsid w:val="51881DE9"/>
    <w:multiLevelType w:val="multilevel"/>
    <w:tmpl w:val="75BC237C"/>
    <w:lvl w:ilvl="0">
      <w:start w:val="1"/>
      <w:numFmt w:val="upperRoman"/>
      <w:lvlText w:val="%1."/>
      <w:lvlJc w:val="left"/>
      <w:pPr>
        <w:ind w:left="644" w:hanging="359"/>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B552D5"/>
    <w:multiLevelType w:val="multilevel"/>
    <w:tmpl w:val="D2BC1A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177B67"/>
    <w:multiLevelType w:val="multilevel"/>
    <w:tmpl w:val="D236FA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976B64"/>
    <w:multiLevelType w:val="multilevel"/>
    <w:tmpl w:val="585E95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F121D4"/>
    <w:multiLevelType w:val="multilevel"/>
    <w:tmpl w:val="CF28F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686E04"/>
    <w:multiLevelType w:val="multilevel"/>
    <w:tmpl w:val="E1FAB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D639B5"/>
    <w:multiLevelType w:val="multilevel"/>
    <w:tmpl w:val="0D5E161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743204EE"/>
    <w:multiLevelType w:val="hybridMultilevel"/>
    <w:tmpl w:val="E476079C"/>
    <w:lvl w:ilvl="0" w:tplc="AAE0F64C">
      <w:start w:val="1"/>
      <w:numFmt w:val="decimal"/>
      <w:lvlText w:val="%1."/>
      <w:lvlJc w:val="left"/>
      <w:pPr>
        <w:ind w:left="3479"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274B21"/>
    <w:multiLevelType w:val="multilevel"/>
    <w:tmpl w:val="F3C8D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F3C7353"/>
    <w:multiLevelType w:val="multilevel"/>
    <w:tmpl w:val="EC84365C"/>
    <w:lvl w:ilvl="0">
      <w:start w:val="1"/>
      <w:numFmt w:val="lowerLetter"/>
      <w:lvlText w:val="%1)"/>
      <w:lvlJc w:val="left"/>
      <w:pPr>
        <w:ind w:left="1713" w:hanging="360"/>
      </w:pPr>
      <w:rPr>
        <w:b/>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num w:numId="1">
    <w:abstractNumId w:val="7"/>
  </w:num>
  <w:num w:numId="2">
    <w:abstractNumId w:val="4"/>
  </w:num>
  <w:num w:numId="3">
    <w:abstractNumId w:val="3"/>
  </w:num>
  <w:num w:numId="4">
    <w:abstractNumId w:val="13"/>
  </w:num>
  <w:num w:numId="5">
    <w:abstractNumId w:val="1"/>
  </w:num>
  <w:num w:numId="6">
    <w:abstractNumId w:val="8"/>
  </w:num>
  <w:num w:numId="7">
    <w:abstractNumId w:val="14"/>
  </w:num>
  <w:num w:numId="8">
    <w:abstractNumId w:val="16"/>
  </w:num>
  <w:num w:numId="9">
    <w:abstractNumId w:val="2"/>
  </w:num>
  <w:num w:numId="10">
    <w:abstractNumId w:val="20"/>
  </w:num>
  <w:num w:numId="11">
    <w:abstractNumId w:val="15"/>
  </w:num>
  <w:num w:numId="12">
    <w:abstractNumId w:val="5"/>
  </w:num>
  <w:num w:numId="13">
    <w:abstractNumId w:val="19"/>
  </w:num>
  <w:num w:numId="14">
    <w:abstractNumId w:val="17"/>
  </w:num>
  <w:num w:numId="15">
    <w:abstractNumId w:val="0"/>
  </w:num>
  <w:num w:numId="16">
    <w:abstractNumId w:val="9"/>
  </w:num>
  <w:num w:numId="17">
    <w:abstractNumId w:val="11"/>
  </w:num>
  <w:num w:numId="18">
    <w:abstractNumId w:val="6"/>
  </w:num>
  <w:num w:numId="19">
    <w:abstractNumId w:val="12"/>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D3"/>
    <w:rsid w:val="0000648A"/>
    <w:rsid w:val="000742A2"/>
    <w:rsid w:val="000850AB"/>
    <w:rsid w:val="000D75FD"/>
    <w:rsid w:val="000F4D17"/>
    <w:rsid w:val="00177C27"/>
    <w:rsid w:val="00192E27"/>
    <w:rsid w:val="001C6FEA"/>
    <w:rsid w:val="001E3755"/>
    <w:rsid w:val="001F3CEB"/>
    <w:rsid w:val="00221A64"/>
    <w:rsid w:val="002451BE"/>
    <w:rsid w:val="002621F7"/>
    <w:rsid w:val="00294287"/>
    <w:rsid w:val="002A660E"/>
    <w:rsid w:val="00301B1C"/>
    <w:rsid w:val="00326506"/>
    <w:rsid w:val="003F3D7E"/>
    <w:rsid w:val="00431C89"/>
    <w:rsid w:val="00510FA4"/>
    <w:rsid w:val="00523559"/>
    <w:rsid w:val="005502C2"/>
    <w:rsid w:val="0055181C"/>
    <w:rsid w:val="00596078"/>
    <w:rsid w:val="005E5AC4"/>
    <w:rsid w:val="005F27A1"/>
    <w:rsid w:val="00604AA2"/>
    <w:rsid w:val="00624ADA"/>
    <w:rsid w:val="00664427"/>
    <w:rsid w:val="006B392A"/>
    <w:rsid w:val="007120DB"/>
    <w:rsid w:val="007171B9"/>
    <w:rsid w:val="00752A2F"/>
    <w:rsid w:val="007638AE"/>
    <w:rsid w:val="007E1F37"/>
    <w:rsid w:val="00824242"/>
    <w:rsid w:val="008432BC"/>
    <w:rsid w:val="00A36F9A"/>
    <w:rsid w:val="00A5136B"/>
    <w:rsid w:val="00A71002"/>
    <w:rsid w:val="00A83BD3"/>
    <w:rsid w:val="00A95D05"/>
    <w:rsid w:val="00AB3911"/>
    <w:rsid w:val="00AC1888"/>
    <w:rsid w:val="00AF7166"/>
    <w:rsid w:val="00B4282D"/>
    <w:rsid w:val="00B82BB9"/>
    <w:rsid w:val="00BC40EC"/>
    <w:rsid w:val="00C004FA"/>
    <w:rsid w:val="00C65DC5"/>
    <w:rsid w:val="00D005F5"/>
    <w:rsid w:val="00D00D55"/>
    <w:rsid w:val="00D0657B"/>
    <w:rsid w:val="00D20E0A"/>
    <w:rsid w:val="00DF2E3D"/>
    <w:rsid w:val="00E1095F"/>
    <w:rsid w:val="00E2036E"/>
    <w:rsid w:val="00E9335B"/>
    <w:rsid w:val="00EC3571"/>
    <w:rsid w:val="00F25D19"/>
    <w:rsid w:val="00F41D15"/>
    <w:rsid w:val="00F716B8"/>
    <w:rsid w:val="00F859EE"/>
    <w:rsid w:val="00F90D2A"/>
    <w:rsid w:val="00FA1083"/>
    <w:rsid w:val="00FC47D0"/>
    <w:rsid w:val="00FE1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2B0768"/>
  <w15:docId w15:val="{3560DB72-EBE5-4499-9D68-920C76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A0D"/>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1"/>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13661">
      <w:bodyDiv w:val="1"/>
      <w:marLeft w:val="0"/>
      <w:marRight w:val="0"/>
      <w:marTop w:val="0"/>
      <w:marBottom w:val="0"/>
      <w:divBdr>
        <w:top w:val="none" w:sz="0" w:space="0" w:color="auto"/>
        <w:left w:val="none" w:sz="0" w:space="0" w:color="auto"/>
        <w:bottom w:val="none" w:sz="0" w:space="0" w:color="auto"/>
        <w:right w:val="none" w:sz="0" w:space="0" w:color="auto"/>
      </w:divBdr>
    </w:div>
    <w:div w:id="942961269">
      <w:bodyDiv w:val="1"/>
      <w:marLeft w:val="0"/>
      <w:marRight w:val="0"/>
      <w:marTop w:val="0"/>
      <w:marBottom w:val="0"/>
      <w:divBdr>
        <w:top w:val="none" w:sz="0" w:space="0" w:color="auto"/>
        <w:left w:val="none" w:sz="0" w:space="0" w:color="auto"/>
        <w:bottom w:val="none" w:sz="0" w:space="0" w:color="auto"/>
        <w:right w:val="none" w:sz="0" w:space="0" w:color="auto"/>
      </w:divBdr>
    </w:div>
    <w:div w:id="1510875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ob.mx/sedena/documentos/expedicion-de-una-licencia-oficial-colectiva" TargetMode="External"/><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188142/6._Capacitaci_n_FORTASEG_Centro_Nacional_de_Certificaci_n_y_Acreditaci_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Zs6oSE30VR/gPLPo+/Tcy7DGg==">CgMxLjAyCGguZ2pkZ3hzMgloLjMwajB6bGwyCWguMWZvYjl0ZTgAciExSlZXcnEtS0FOb296Y0tHdjhkem12TlV4ck95dEVMbTQ=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627F65-F01E-4130-B017-87235941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131</Pages>
  <Words>27434</Words>
  <Characters>150891</Characters>
  <Application>Microsoft Office Word</Application>
  <DocSecurity>0</DocSecurity>
  <Lines>1257</Lines>
  <Paragraphs>355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INFOEM403</cp:lastModifiedBy>
  <cp:revision>17</cp:revision>
  <cp:lastPrinted>2025-02-20T16:14:00Z</cp:lastPrinted>
  <dcterms:created xsi:type="dcterms:W3CDTF">2025-02-18T00:58:00Z</dcterms:created>
  <dcterms:modified xsi:type="dcterms:W3CDTF">2025-03-26T20:18:00Z</dcterms:modified>
</cp:coreProperties>
</file>