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933" w:rsidRPr="00252BF8" w:rsidRDefault="007E0933" w:rsidP="00A806D9">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252BF8">
        <w:rPr>
          <w:rFonts w:ascii="Palatino Linotype" w:eastAsia="Palatino Linotype" w:hAnsi="Palatino Linotype" w:cs="Palatino Linotype"/>
          <w:b/>
          <w:color w:val="000000" w:themeColor="text1"/>
        </w:rPr>
        <w:t xml:space="preserve">de fecha </w:t>
      </w:r>
      <w:r w:rsidR="00490E94" w:rsidRPr="00252BF8">
        <w:rPr>
          <w:rFonts w:ascii="Palatino Linotype" w:eastAsia="Palatino Linotype" w:hAnsi="Palatino Linotype" w:cs="Palatino Linotype"/>
          <w:b/>
          <w:color w:val="000000" w:themeColor="text1"/>
        </w:rPr>
        <w:t>ve</w:t>
      </w:r>
      <w:r w:rsidR="007551FE" w:rsidRPr="00252BF8">
        <w:rPr>
          <w:rFonts w:ascii="Palatino Linotype" w:eastAsia="Palatino Linotype" w:hAnsi="Palatino Linotype" w:cs="Palatino Linotype"/>
          <w:b/>
          <w:color w:val="000000" w:themeColor="text1"/>
        </w:rPr>
        <w:t>intiocho</w:t>
      </w:r>
      <w:r w:rsidRPr="00252BF8">
        <w:rPr>
          <w:rFonts w:ascii="Palatino Linotype" w:eastAsia="Palatino Linotype" w:hAnsi="Palatino Linotype" w:cs="Palatino Linotype"/>
          <w:b/>
          <w:color w:val="000000" w:themeColor="text1"/>
        </w:rPr>
        <w:t xml:space="preserve"> de mayo de dos mil veinticinco</w:t>
      </w:r>
      <w:r w:rsidRPr="00252BF8">
        <w:rPr>
          <w:rFonts w:ascii="Palatino Linotype" w:eastAsia="Palatino Linotype" w:hAnsi="Palatino Linotype" w:cs="Palatino Linotype"/>
          <w:color w:val="000000" w:themeColor="text1"/>
        </w:rPr>
        <w:t>.</w:t>
      </w:r>
    </w:p>
    <w:p w:rsidR="007E0933" w:rsidRPr="00252BF8" w:rsidRDefault="007E0933" w:rsidP="00A806D9">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7E0933" w:rsidRPr="00252BF8" w:rsidRDefault="008F11D2" w:rsidP="00A806D9">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0" w:name="_heading=h.gjdgxs" w:colFirst="0" w:colLast="0"/>
      <w:bookmarkEnd w:id="0"/>
      <w:r w:rsidRPr="00252BF8">
        <w:rPr>
          <w:rFonts w:ascii="Palatino Linotype" w:eastAsia="Palatino Linotype" w:hAnsi="Palatino Linotype" w:cs="Palatino Linotype"/>
          <w:b/>
          <w:color w:val="000000" w:themeColor="text1"/>
        </w:rPr>
        <w:t>VISTO</w:t>
      </w:r>
      <w:r w:rsidR="007551FE" w:rsidRPr="00252BF8">
        <w:rPr>
          <w:rFonts w:ascii="Palatino Linotype" w:eastAsia="Palatino Linotype" w:hAnsi="Palatino Linotype" w:cs="Palatino Linotype"/>
          <w:color w:val="000000" w:themeColor="text1"/>
        </w:rPr>
        <w:t xml:space="preserve"> los</w:t>
      </w:r>
      <w:r w:rsidR="007E0933" w:rsidRPr="00252BF8">
        <w:rPr>
          <w:rFonts w:ascii="Palatino Linotype" w:eastAsia="Palatino Linotype" w:hAnsi="Palatino Linotype" w:cs="Palatino Linotype"/>
          <w:color w:val="000000" w:themeColor="text1"/>
        </w:rPr>
        <w:t xml:space="preserve"> expediente</w:t>
      </w:r>
      <w:r w:rsidR="007551FE" w:rsidRPr="00252BF8">
        <w:rPr>
          <w:rFonts w:ascii="Palatino Linotype" w:eastAsia="Palatino Linotype" w:hAnsi="Palatino Linotype" w:cs="Palatino Linotype"/>
          <w:color w:val="000000" w:themeColor="text1"/>
        </w:rPr>
        <w:t>s</w:t>
      </w:r>
      <w:r w:rsidR="007E0933" w:rsidRPr="00252BF8">
        <w:rPr>
          <w:rFonts w:ascii="Palatino Linotype" w:eastAsia="Palatino Linotype" w:hAnsi="Palatino Linotype" w:cs="Palatino Linotype"/>
          <w:color w:val="000000" w:themeColor="text1"/>
        </w:rPr>
        <w:t xml:space="preserve"> electrónico</w:t>
      </w:r>
      <w:r w:rsidR="007551FE" w:rsidRPr="00252BF8">
        <w:rPr>
          <w:rFonts w:ascii="Palatino Linotype" w:eastAsia="Palatino Linotype" w:hAnsi="Palatino Linotype" w:cs="Palatino Linotype"/>
          <w:color w:val="000000" w:themeColor="text1"/>
        </w:rPr>
        <w:t>s</w:t>
      </w:r>
      <w:r w:rsidR="007E0933" w:rsidRPr="00252BF8">
        <w:rPr>
          <w:rFonts w:ascii="Palatino Linotype" w:eastAsia="Palatino Linotype" w:hAnsi="Palatino Linotype" w:cs="Palatino Linotype"/>
          <w:color w:val="000000" w:themeColor="text1"/>
        </w:rPr>
        <w:t xml:space="preserve"> formado</w:t>
      </w:r>
      <w:r w:rsidR="007551FE" w:rsidRPr="00252BF8">
        <w:rPr>
          <w:rFonts w:ascii="Palatino Linotype" w:eastAsia="Palatino Linotype" w:hAnsi="Palatino Linotype" w:cs="Palatino Linotype"/>
          <w:color w:val="000000" w:themeColor="text1"/>
        </w:rPr>
        <w:t xml:space="preserve">s </w:t>
      </w:r>
      <w:r w:rsidR="00DA18F6" w:rsidRPr="00252BF8">
        <w:rPr>
          <w:rFonts w:ascii="Palatino Linotype" w:eastAsia="Palatino Linotype" w:hAnsi="Palatino Linotype" w:cs="Palatino Linotype"/>
          <w:color w:val="000000" w:themeColor="text1"/>
        </w:rPr>
        <w:t>con motivo de los</w:t>
      </w:r>
      <w:r w:rsidR="007E0933" w:rsidRPr="00252BF8">
        <w:rPr>
          <w:rFonts w:ascii="Palatino Linotype" w:eastAsia="Palatino Linotype" w:hAnsi="Palatino Linotype" w:cs="Palatino Linotype"/>
          <w:color w:val="000000" w:themeColor="text1"/>
        </w:rPr>
        <w:t xml:space="preserve"> Recurso</w:t>
      </w:r>
      <w:r w:rsidR="00DA18F6" w:rsidRPr="00252BF8">
        <w:rPr>
          <w:rFonts w:ascii="Palatino Linotype" w:eastAsia="Palatino Linotype" w:hAnsi="Palatino Linotype" w:cs="Palatino Linotype"/>
          <w:color w:val="000000" w:themeColor="text1"/>
        </w:rPr>
        <w:t>s</w:t>
      </w:r>
      <w:r w:rsidR="007E0933" w:rsidRPr="00252BF8">
        <w:rPr>
          <w:rFonts w:ascii="Palatino Linotype" w:eastAsia="Palatino Linotype" w:hAnsi="Palatino Linotype" w:cs="Palatino Linotype"/>
          <w:color w:val="000000" w:themeColor="text1"/>
        </w:rPr>
        <w:t xml:space="preserve"> de Revisión </w:t>
      </w:r>
      <w:r w:rsidR="00490E94" w:rsidRPr="00252BF8">
        <w:rPr>
          <w:rFonts w:ascii="Palatino Linotype" w:eastAsia="Palatino Linotype" w:hAnsi="Palatino Linotype" w:cs="Palatino Linotype"/>
          <w:b/>
          <w:color w:val="000000" w:themeColor="text1"/>
        </w:rPr>
        <w:t xml:space="preserve">   04803/INFOEM/IP/RR/2025</w:t>
      </w:r>
      <w:r w:rsidR="007551FE" w:rsidRPr="00252BF8">
        <w:rPr>
          <w:rFonts w:ascii="Palatino Linotype" w:eastAsia="Palatino Linotype" w:hAnsi="Palatino Linotype" w:cs="Palatino Linotype"/>
          <w:b/>
          <w:color w:val="000000" w:themeColor="text1"/>
        </w:rPr>
        <w:t>, 04804/INFOEM/IP/RR/2025  y 04805/INFOEM/IP/RR/2025</w:t>
      </w:r>
      <w:r w:rsidRPr="00252BF8">
        <w:rPr>
          <w:rFonts w:ascii="Palatino Linotype" w:eastAsia="Palatino Linotype" w:hAnsi="Palatino Linotype" w:cs="Palatino Linotype"/>
          <w:b/>
          <w:color w:val="000000" w:themeColor="text1"/>
        </w:rPr>
        <w:t xml:space="preserve">, </w:t>
      </w:r>
      <w:r w:rsidR="007E0933" w:rsidRPr="00252BF8">
        <w:rPr>
          <w:rFonts w:ascii="Palatino Linotype" w:eastAsia="Palatino Linotype" w:hAnsi="Palatino Linotype" w:cs="Palatino Linotype"/>
          <w:color w:val="000000" w:themeColor="text1"/>
        </w:rPr>
        <w:t>promovido</w:t>
      </w:r>
      <w:r w:rsidR="00DA18F6" w:rsidRPr="00252BF8">
        <w:rPr>
          <w:rFonts w:ascii="Palatino Linotype" w:eastAsia="Palatino Linotype" w:hAnsi="Palatino Linotype" w:cs="Palatino Linotype"/>
          <w:color w:val="000000" w:themeColor="text1"/>
        </w:rPr>
        <w:t>s</w:t>
      </w:r>
      <w:r w:rsidR="007E0933" w:rsidRPr="00252BF8">
        <w:rPr>
          <w:rFonts w:ascii="Palatino Linotype" w:eastAsia="Palatino Linotype" w:hAnsi="Palatino Linotype" w:cs="Palatino Linotype"/>
          <w:color w:val="000000" w:themeColor="text1"/>
        </w:rPr>
        <w:t xml:space="preserve"> por </w:t>
      </w:r>
      <w:r w:rsidR="009F31CF">
        <w:rPr>
          <w:rFonts w:ascii="Palatino Linotype" w:eastAsia="Palatino Linotype" w:hAnsi="Palatino Linotype" w:cs="Palatino Linotype"/>
          <w:b/>
          <w:bCs/>
          <w:color w:val="000000" w:themeColor="text1"/>
        </w:rPr>
        <w:t>XXXX</w:t>
      </w:r>
      <w:r w:rsidR="007E0933" w:rsidRPr="00252BF8">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007E0933" w:rsidRPr="00252BF8">
        <w:rPr>
          <w:rFonts w:ascii="Palatino Linotype" w:eastAsia="Palatino Linotype" w:hAnsi="Palatino Linotype" w:cs="Palatino Linotype"/>
          <w:b/>
          <w:color w:val="000000" w:themeColor="text1"/>
        </w:rPr>
        <w:t>EL RECURRENTE</w:t>
      </w:r>
      <w:r w:rsidR="007E0933" w:rsidRPr="00252BF8">
        <w:rPr>
          <w:rFonts w:ascii="Palatino Linotype" w:eastAsia="Palatino Linotype" w:hAnsi="Palatino Linotype" w:cs="Palatino Linotype"/>
          <w:color w:val="000000" w:themeColor="text1"/>
        </w:rPr>
        <w:t xml:space="preserve">, en contra de las respuestas del </w:t>
      </w:r>
      <w:r w:rsidR="00490E94" w:rsidRPr="00252BF8">
        <w:rPr>
          <w:rFonts w:ascii="Palatino Linotype" w:eastAsia="Palatino Linotype" w:hAnsi="Palatino Linotype" w:cs="Palatino Linotype"/>
          <w:b/>
          <w:bCs/>
          <w:color w:val="000000" w:themeColor="text1"/>
        </w:rPr>
        <w:t>Ayuntamiento de Ixtapan del Oro</w:t>
      </w:r>
      <w:r w:rsidR="007E0933" w:rsidRPr="00252BF8">
        <w:rPr>
          <w:rFonts w:ascii="Palatino Linotype" w:eastAsia="Palatino Linotype" w:hAnsi="Palatino Linotype" w:cs="Palatino Linotype"/>
          <w:color w:val="000000" w:themeColor="text1"/>
        </w:rPr>
        <w:t xml:space="preserve">, en adelante </w:t>
      </w:r>
      <w:r w:rsidR="007E0933" w:rsidRPr="00252BF8">
        <w:rPr>
          <w:rFonts w:ascii="Palatino Linotype" w:eastAsia="Palatino Linotype" w:hAnsi="Palatino Linotype" w:cs="Palatino Linotype"/>
          <w:b/>
          <w:color w:val="000000" w:themeColor="text1"/>
        </w:rPr>
        <w:t>EL SUJETO OBLIGADO</w:t>
      </w:r>
      <w:r w:rsidR="007E0933" w:rsidRPr="00252BF8">
        <w:rPr>
          <w:rFonts w:ascii="Palatino Linotype" w:eastAsia="Palatino Linotype" w:hAnsi="Palatino Linotype" w:cs="Palatino Linotype"/>
          <w:color w:val="000000" w:themeColor="text1"/>
        </w:rPr>
        <w:t>, se procede a dictar la presente resolución, con base en los siguientes:</w:t>
      </w:r>
    </w:p>
    <w:p w:rsidR="007E0933" w:rsidRPr="00252BF8" w:rsidRDefault="007E0933" w:rsidP="00A806D9">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7E0933" w:rsidRPr="00252BF8" w:rsidRDefault="007E0933" w:rsidP="00A806D9">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252BF8">
        <w:rPr>
          <w:rFonts w:ascii="Palatino Linotype" w:eastAsia="Palatino Linotype" w:hAnsi="Palatino Linotype" w:cs="Palatino Linotype"/>
          <w:b/>
          <w:color w:val="000000" w:themeColor="text1"/>
        </w:rPr>
        <w:t>A N T E C E D E N T E S</w:t>
      </w:r>
    </w:p>
    <w:p w:rsidR="007E0933" w:rsidRPr="00252BF8" w:rsidRDefault="007E0933" w:rsidP="00A806D9">
      <w:pPr>
        <w:spacing w:line="360" w:lineRule="auto"/>
        <w:ind w:right="-7"/>
        <w:rPr>
          <w:rFonts w:ascii="Palatino Linotype" w:eastAsia="Palatino Linotype" w:hAnsi="Palatino Linotype" w:cs="Palatino Linotype"/>
          <w:color w:val="000000" w:themeColor="text1"/>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252BF8">
        <w:rPr>
          <w:rFonts w:ascii="Palatino Linotype" w:eastAsia="Palatino Linotype" w:hAnsi="Palatino Linotype" w:cs="Palatino Linotype"/>
          <w:color w:val="000000" w:themeColor="text1"/>
        </w:rPr>
        <w:t xml:space="preserve">El </w:t>
      </w:r>
      <w:r w:rsidR="00490E94" w:rsidRPr="00252BF8">
        <w:rPr>
          <w:rFonts w:ascii="Palatino Linotype" w:eastAsia="Palatino Linotype" w:hAnsi="Palatino Linotype" w:cs="Palatino Linotype"/>
          <w:b/>
          <w:color w:val="000000" w:themeColor="text1"/>
        </w:rPr>
        <w:t xml:space="preserve">dos de abril de </w:t>
      </w:r>
      <w:r w:rsidRPr="00252BF8">
        <w:rPr>
          <w:rFonts w:ascii="Palatino Linotype" w:eastAsia="Palatino Linotype" w:hAnsi="Palatino Linotype" w:cs="Palatino Linotype"/>
          <w:b/>
          <w:color w:val="000000" w:themeColor="text1"/>
        </w:rPr>
        <w:t xml:space="preserve">dos mil veinticinco, </w:t>
      </w:r>
      <w:r w:rsidRPr="00252BF8">
        <w:rPr>
          <w:rFonts w:ascii="Palatino Linotype" w:eastAsia="Palatino Linotype" w:hAnsi="Palatino Linotype" w:cs="Palatino Linotype"/>
          <w:color w:val="000000" w:themeColor="text1"/>
        </w:rPr>
        <w:t>el solicitante ingreso la</w:t>
      </w:r>
      <w:r w:rsidR="007551FE" w:rsidRPr="00252BF8">
        <w:rPr>
          <w:rFonts w:ascii="Palatino Linotype" w:eastAsia="Palatino Linotype" w:hAnsi="Palatino Linotype" w:cs="Palatino Linotype"/>
          <w:color w:val="000000" w:themeColor="text1"/>
        </w:rPr>
        <w:t>s</w:t>
      </w:r>
      <w:r w:rsidRPr="00252BF8">
        <w:rPr>
          <w:rFonts w:ascii="Palatino Linotype" w:eastAsia="Palatino Linotype" w:hAnsi="Palatino Linotype" w:cs="Palatino Linotype"/>
          <w:color w:val="000000" w:themeColor="text1"/>
        </w:rPr>
        <w:t xml:space="preserve"> solicitud</w:t>
      </w:r>
      <w:r w:rsidR="007551FE" w:rsidRPr="00252BF8">
        <w:rPr>
          <w:rFonts w:ascii="Palatino Linotype" w:eastAsia="Palatino Linotype" w:hAnsi="Palatino Linotype" w:cs="Palatino Linotype"/>
          <w:color w:val="000000" w:themeColor="text1"/>
        </w:rPr>
        <w:t>es</w:t>
      </w:r>
      <w:r w:rsidRPr="00252BF8">
        <w:rPr>
          <w:rFonts w:ascii="Palatino Linotype" w:eastAsia="Palatino Linotype" w:hAnsi="Palatino Linotype" w:cs="Palatino Linotype"/>
          <w:color w:val="000000" w:themeColor="text1"/>
        </w:rPr>
        <w:t xml:space="preserve"> de información, </w:t>
      </w:r>
      <w:r w:rsidR="007551FE" w:rsidRPr="00252BF8">
        <w:rPr>
          <w:rFonts w:ascii="Palatino Linotype" w:eastAsia="Palatino Linotype" w:hAnsi="Palatino Linotype" w:cs="Palatino Linotype"/>
          <w:color w:val="000000" w:themeColor="text1"/>
        </w:rPr>
        <w:t>mismas que quedaron registradas con los</w:t>
      </w:r>
      <w:r w:rsidRPr="00252BF8">
        <w:rPr>
          <w:rFonts w:ascii="Palatino Linotype" w:eastAsia="Palatino Linotype" w:hAnsi="Palatino Linotype" w:cs="Palatino Linotype"/>
          <w:color w:val="000000" w:themeColor="text1"/>
        </w:rPr>
        <w:t xml:space="preserve"> número</w:t>
      </w:r>
      <w:r w:rsidR="007551FE" w:rsidRPr="00252BF8">
        <w:rPr>
          <w:rFonts w:ascii="Palatino Linotype" w:eastAsia="Palatino Linotype" w:hAnsi="Palatino Linotype" w:cs="Palatino Linotype"/>
          <w:color w:val="000000" w:themeColor="text1"/>
        </w:rPr>
        <w:t>s</w:t>
      </w:r>
      <w:r w:rsidRPr="00252BF8">
        <w:rPr>
          <w:rFonts w:ascii="Palatino Linotype" w:eastAsia="Palatino Linotype" w:hAnsi="Palatino Linotype" w:cs="Palatino Linotype"/>
          <w:color w:val="000000" w:themeColor="text1"/>
        </w:rPr>
        <w:t xml:space="preserve"> </w:t>
      </w:r>
      <w:r w:rsidR="00490E94" w:rsidRPr="00252BF8">
        <w:rPr>
          <w:rFonts w:ascii="Palatino Linotype" w:eastAsia="Palatino Linotype" w:hAnsi="Palatino Linotype" w:cs="Palatino Linotype"/>
          <w:b/>
          <w:bCs/>
          <w:color w:val="000000" w:themeColor="text1"/>
        </w:rPr>
        <w:t>00014/IXTAORO/IP/2025</w:t>
      </w:r>
      <w:r w:rsidRPr="00252BF8">
        <w:rPr>
          <w:rFonts w:ascii="Palatino Linotype" w:eastAsia="Palatino Linotype" w:hAnsi="Palatino Linotype" w:cs="Palatino Linotype"/>
          <w:b/>
          <w:color w:val="000000" w:themeColor="text1"/>
        </w:rPr>
        <w:t>,</w:t>
      </w:r>
      <w:r w:rsidR="007551FE" w:rsidRPr="00252BF8">
        <w:rPr>
          <w:rFonts w:ascii="Palatino Linotype" w:hAnsi="Palatino Linotype" w:cs="Arial"/>
          <w:b/>
          <w:bCs/>
          <w:color w:val="000000" w:themeColor="text1"/>
        </w:rPr>
        <w:t xml:space="preserve"> </w:t>
      </w:r>
      <w:r w:rsidR="007551FE" w:rsidRPr="00252BF8">
        <w:rPr>
          <w:rFonts w:ascii="Palatino Linotype" w:eastAsia="Palatino Linotype" w:hAnsi="Palatino Linotype" w:cs="Palatino Linotype"/>
          <w:b/>
          <w:bCs/>
          <w:color w:val="000000" w:themeColor="text1"/>
        </w:rPr>
        <w:t xml:space="preserve"> 00013/IXTAORO/IP/2025 y </w:t>
      </w:r>
      <w:r w:rsidRPr="00252BF8">
        <w:rPr>
          <w:rFonts w:ascii="Palatino Linotype" w:eastAsia="Palatino Linotype" w:hAnsi="Palatino Linotype" w:cs="Palatino Linotype"/>
          <w:b/>
          <w:color w:val="000000" w:themeColor="text1"/>
        </w:rPr>
        <w:t xml:space="preserve"> </w:t>
      </w:r>
      <w:r w:rsidR="007551FE" w:rsidRPr="00252BF8">
        <w:rPr>
          <w:rFonts w:ascii="Palatino Linotype" w:eastAsia="Palatino Linotype" w:hAnsi="Palatino Linotype" w:cs="Palatino Linotype"/>
          <w:b/>
          <w:bCs/>
          <w:color w:val="000000" w:themeColor="text1"/>
        </w:rPr>
        <w:t xml:space="preserve">00012/IXTAORO/IP/2025, </w:t>
      </w:r>
      <w:r w:rsidR="007551FE" w:rsidRPr="00252BF8">
        <w:rPr>
          <w:rFonts w:ascii="Palatino Linotype" w:eastAsia="Palatino Linotype" w:hAnsi="Palatino Linotype" w:cs="Palatino Linotype"/>
          <w:color w:val="000000" w:themeColor="text1"/>
        </w:rPr>
        <w:t xml:space="preserve">en las </w:t>
      </w:r>
      <w:r w:rsidRPr="00252BF8">
        <w:rPr>
          <w:rFonts w:ascii="Palatino Linotype" w:eastAsia="Palatino Linotype" w:hAnsi="Palatino Linotype" w:cs="Palatino Linotype"/>
          <w:color w:val="000000" w:themeColor="text1"/>
        </w:rPr>
        <w:t>que se solicitó la siguiente información:</w:t>
      </w:r>
    </w:p>
    <w:p w:rsidR="007E0933" w:rsidRPr="00252BF8" w:rsidRDefault="007E0933" w:rsidP="00A806D9">
      <w:pPr>
        <w:ind w:right="-7"/>
        <w:jc w:val="both"/>
        <w:rPr>
          <w:rFonts w:ascii="Palatino Linotype" w:eastAsia="Palatino Linotype" w:hAnsi="Palatino Linotype" w:cs="Palatino Linotype"/>
          <w:i/>
          <w:color w:val="000000" w:themeColor="text1"/>
        </w:rPr>
      </w:pPr>
    </w:p>
    <w:p w:rsidR="007551FE" w:rsidRPr="00252BF8" w:rsidRDefault="007551FE" w:rsidP="00A806D9">
      <w:pPr>
        <w:ind w:right="-7"/>
        <w:jc w:val="both"/>
        <w:rPr>
          <w:rFonts w:ascii="Palatino Linotype" w:eastAsia="Palatino Linotype" w:hAnsi="Palatino Linotype" w:cs="Palatino Linotype"/>
          <w:i/>
          <w:color w:val="000000" w:themeColor="text1"/>
        </w:rPr>
      </w:pPr>
    </w:p>
    <w:tbl>
      <w:tblPr>
        <w:tblStyle w:val="Tablaconcuadrcula"/>
        <w:tblW w:w="9351" w:type="dxa"/>
        <w:tblLook w:val="04A0" w:firstRow="1" w:lastRow="0" w:firstColumn="1" w:lastColumn="0" w:noHBand="0" w:noVBand="1"/>
      </w:tblPr>
      <w:tblGrid>
        <w:gridCol w:w="2921"/>
        <w:gridCol w:w="6430"/>
      </w:tblGrid>
      <w:tr w:rsidR="00A806D9" w:rsidRPr="00252BF8" w:rsidTr="007551FE">
        <w:tc>
          <w:tcPr>
            <w:tcW w:w="2921" w:type="dxa"/>
            <w:shd w:val="clear" w:color="auto" w:fill="F2F2F2" w:themeFill="background1" w:themeFillShade="F2"/>
            <w:vAlign w:val="center"/>
          </w:tcPr>
          <w:p w:rsidR="007551FE" w:rsidRPr="00252BF8" w:rsidRDefault="007551FE" w:rsidP="00A806D9">
            <w:pPr>
              <w:ind w:right="-7"/>
              <w:jc w:val="center"/>
              <w:rPr>
                <w:rFonts w:ascii="Palatino Linotype" w:eastAsia="Palatino Linotype" w:hAnsi="Palatino Linotype" w:cs="Palatino Linotype"/>
                <w:b/>
                <w:color w:val="000000" w:themeColor="text1"/>
              </w:rPr>
            </w:pPr>
            <w:r w:rsidRPr="00252BF8">
              <w:rPr>
                <w:rFonts w:ascii="Palatino Linotype" w:eastAsia="Palatino Linotype" w:hAnsi="Palatino Linotype" w:cs="Palatino Linotype"/>
                <w:b/>
                <w:color w:val="000000" w:themeColor="text1"/>
              </w:rPr>
              <w:t>SOLICITUD</w:t>
            </w:r>
          </w:p>
        </w:tc>
        <w:tc>
          <w:tcPr>
            <w:tcW w:w="6430" w:type="dxa"/>
            <w:shd w:val="clear" w:color="auto" w:fill="F2F2F2" w:themeFill="background1" w:themeFillShade="F2"/>
            <w:vAlign w:val="center"/>
          </w:tcPr>
          <w:p w:rsidR="007551FE" w:rsidRPr="00252BF8" w:rsidRDefault="007551FE" w:rsidP="00A806D9">
            <w:pPr>
              <w:ind w:right="-7"/>
              <w:jc w:val="center"/>
              <w:rPr>
                <w:rFonts w:ascii="Palatino Linotype" w:eastAsia="Palatino Linotype" w:hAnsi="Palatino Linotype" w:cs="Palatino Linotype"/>
                <w:b/>
                <w:color w:val="000000" w:themeColor="text1"/>
              </w:rPr>
            </w:pPr>
          </w:p>
        </w:tc>
      </w:tr>
      <w:tr w:rsidR="00A806D9" w:rsidRPr="00252BF8" w:rsidTr="007551FE">
        <w:tc>
          <w:tcPr>
            <w:tcW w:w="2921" w:type="dxa"/>
            <w:vAlign w:val="center"/>
          </w:tcPr>
          <w:p w:rsidR="007551FE" w:rsidRPr="00252BF8" w:rsidRDefault="007551FE" w:rsidP="00A806D9">
            <w:pPr>
              <w:ind w:right="-7"/>
              <w:jc w:val="center"/>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b/>
                <w:bCs/>
                <w:color w:val="000000" w:themeColor="text1"/>
              </w:rPr>
              <w:t>00014/IXTAORO/IP/2025</w:t>
            </w:r>
          </w:p>
        </w:tc>
        <w:tc>
          <w:tcPr>
            <w:tcW w:w="6430" w:type="dxa"/>
            <w:vAlign w:val="center"/>
          </w:tcPr>
          <w:p w:rsidR="00A44B11" w:rsidRPr="00252BF8" w:rsidRDefault="00A44B11" w:rsidP="00A806D9">
            <w:pPr>
              <w:ind w:right="-7"/>
              <w:jc w:val="both"/>
              <w:rPr>
                <w:rFonts w:ascii="Palatino Linotype" w:eastAsia="Palatino Linotype" w:hAnsi="Palatino Linotype" w:cs="Palatino Linotype"/>
                <w:i/>
                <w:color w:val="000000" w:themeColor="text1"/>
              </w:rPr>
            </w:pPr>
          </w:p>
          <w:p w:rsidR="007551FE" w:rsidRPr="00252BF8" w:rsidRDefault="007551FE" w:rsidP="00A806D9">
            <w:pPr>
              <w:ind w:right="-7"/>
              <w:jc w:val="both"/>
              <w:rPr>
                <w:rFonts w:ascii="Palatino Linotype" w:eastAsia="Palatino Linotype" w:hAnsi="Palatino Linotype" w:cs="Palatino Linotype"/>
                <w:i/>
                <w:color w:val="000000" w:themeColor="text1"/>
                <w:u w:val="single"/>
              </w:rPr>
            </w:pPr>
            <w:r w:rsidRPr="00252BF8">
              <w:rPr>
                <w:rFonts w:ascii="Palatino Linotype" w:eastAsia="Palatino Linotype" w:hAnsi="Palatino Linotype" w:cs="Palatino Linotype"/>
                <w:i/>
                <w:color w:val="000000" w:themeColor="text1"/>
              </w:rPr>
              <w:t xml:space="preserve">“REQUIERO, CON FUNDAMENTO EN EL ARTICULO 92 DE LA LEY DE TRANSPARENCIA Y ACCESO A LA INFORMACIÓN PÚBLICA DEL ESTADO DE MEXICO, YA </w:t>
            </w:r>
            <w:r w:rsidRPr="00252BF8">
              <w:rPr>
                <w:rFonts w:ascii="Palatino Linotype" w:eastAsia="Palatino Linotype" w:hAnsi="Palatino Linotype" w:cs="Palatino Linotype"/>
                <w:i/>
                <w:color w:val="000000" w:themeColor="text1"/>
              </w:rPr>
              <w:lastRenderedPageBreak/>
              <w:t>QUE EN EL APARTADO DE TRANSPARENCIA DE SU PAGINA WEB SOLO APARACEN LOS TITULOS DE LAS OBLIGACIONES QUE DEBE CUMPLIR PERO NO TIENE NINGUNA INFORMACIÓN DE ESTE AÑO NI EL ANTERIOR, LO QUE ES CAUSAL DIRECTA DE INCUMPLIMIENTO A LAS OBLIGACIONES ENMARCADAS EN LA LEY GENERAL DE TRANSPARENCIA Y LEY DE TRANSPARENCIA Y ACCESO A LA INFOMACON PUBLICA DEL ESTADO DE MEXICO VERSION PUBLICA DE: 1</w:t>
            </w:r>
            <w:r w:rsidRPr="00252BF8">
              <w:rPr>
                <w:rFonts w:ascii="Palatino Linotype" w:eastAsia="Palatino Linotype" w:hAnsi="Palatino Linotype" w:cs="Palatino Linotype"/>
                <w:i/>
                <w:color w:val="000000" w:themeColor="text1"/>
                <w:u w:val="single"/>
              </w:rPr>
              <w:t>.- NOMINA AUTORIZADA DEL PERSONAL QUE LABORA EN EL AYUNTAMIENTO DEBIDAMENTE FIRMADA CORRESPONDIENTE A LA PRIMERA QUINCENA DE FEBRERO DEL 2025...”</w:t>
            </w:r>
          </w:p>
          <w:p w:rsidR="00A44B11" w:rsidRPr="00252BF8" w:rsidRDefault="00A44B11" w:rsidP="00A806D9">
            <w:pPr>
              <w:ind w:right="-7"/>
              <w:jc w:val="both"/>
              <w:rPr>
                <w:rFonts w:ascii="Palatino Linotype" w:eastAsia="Palatino Linotype" w:hAnsi="Palatino Linotype" w:cs="Palatino Linotype"/>
                <w:i/>
                <w:color w:val="000000" w:themeColor="text1"/>
              </w:rPr>
            </w:pPr>
          </w:p>
        </w:tc>
      </w:tr>
      <w:tr w:rsidR="00A806D9" w:rsidRPr="00252BF8" w:rsidTr="007551FE">
        <w:tc>
          <w:tcPr>
            <w:tcW w:w="2921" w:type="dxa"/>
            <w:vAlign w:val="center"/>
          </w:tcPr>
          <w:p w:rsidR="007551FE" w:rsidRPr="00252BF8" w:rsidRDefault="007551FE" w:rsidP="00A806D9">
            <w:pPr>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b/>
                <w:bCs/>
                <w:color w:val="000000" w:themeColor="text1"/>
              </w:rPr>
              <w:lastRenderedPageBreak/>
              <w:t>00013/IXTAORO/IP/2025</w:t>
            </w:r>
          </w:p>
        </w:tc>
        <w:tc>
          <w:tcPr>
            <w:tcW w:w="6430" w:type="dxa"/>
            <w:vAlign w:val="center"/>
          </w:tcPr>
          <w:p w:rsidR="00A44B11" w:rsidRPr="00252BF8" w:rsidRDefault="00A44B11" w:rsidP="00A806D9">
            <w:pPr>
              <w:ind w:right="-7"/>
              <w:jc w:val="both"/>
              <w:rPr>
                <w:rFonts w:ascii="Palatino Linotype" w:eastAsia="Palatino Linotype" w:hAnsi="Palatino Linotype" w:cs="Palatino Linotype"/>
                <w:i/>
                <w:color w:val="000000" w:themeColor="text1"/>
              </w:rPr>
            </w:pPr>
          </w:p>
          <w:p w:rsidR="00A44B11" w:rsidRDefault="007551FE" w:rsidP="00A806D9">
            <w:pPr>
              <w:ind w:right="-7"/>
              <w:jc w:val="both"/>
              <w:rPr>
                <w:rFonts w:ascii="Palatino Linotype" w:eastAsia="Palatino Linotype" w:hAnsi="Palatino Linotype" w:cs="Palatino Linotype"/>
                <w:i/>
                <w:color w:val="000000" w:themeColor="text1"/>
                <w:u w:val="single"/>
              </w:rPr>
            </w:pPr>
            <w:r w:rsidRPr="00252BF8">
              <w:rPr>
                <w:rFonts w:ascii="Palatino Linotype" w:eastAsia="Palatino Linotype" w:hAnsi="Palatino Linotype" w:cs="Palatino Linotype"/>
                <w:i/>
                <w:color w:val="000000" w:themeColor="text1"/>
              </w:rPr>
              <w:t>REQUIERO, CON FUNDAMENTO EN EL ARTICULO 92 DE LA LEY DE TRANSPARENCIA Y ACCESO A LA INFORMACIÓN PÚBLICA DEL ESTADO DE MEXICO, YA QUE EN EL APARTADO DE TRANSPARENCIA DE SU PAGINA WEB SOLO APARACEN LOS TITULOS DE LAS OBLIGACIONES QUE DEBE CUMPLIR PERO NO TIENE NINGUNA INFORMACIÓN DE ESTE AÑO NI EL ANTERIOR, LO QUE ES CAUSAL DIRECTA DE INCUMPLIMIENTO A LAS OBLIGACIONES ENMARCADAS EN LA LEY GENERAL DE TRANSPARENCIA Y LEY DE TRANSPARENCIA Y ACCESO A LA INFOMACON PUBLICA DEL ESTADO DE MEXICO VERSION PUBLICA DE</w:t>
            </w:r>
            <w:r w:rsidRPr="00252BF8">
              <w:rPr>
                <w:rFonts w:ascii="Palatino Linotype" w:eastAsia="Palatino Linotype" w:hAnsi="Palatino Linotype" w:cs="Palatino Linotype"/>
                <w:i/>
                <w:color w:val="000000" w:themeColor="text1"/>
                <w:u w:val="single"/>
              </w:rPr>
              <w:t>: 1.- NOMINA AUTORIZADA DE TODO EL PERSONAL QUE LABORA EN EL AYUNTAMIENTO DEBIDAMENTE FIRMADA CORRESPONDIENTE A LA SEGUNDA QUINCENA DE ENERO DEL 2025</w:t>
            </w:r>
          </w:p>
          <w:p w:rsidR="009F31CF" w:rsidRDefault="009F31CF" w:rsidP="00A806D9">
            <w:pPr>
              <w:ind w:right="-7"/>
              <w:jc w:val="both"/>
              <w:rPr>
                <w:rFonts w:ascii="Palatino Linotype" w:eastAsia="Palatino Linotype" w:hAnsi="Palatino Linotype" w:cs="Palatino Linotype"/>
                <w:i/>
                <w:color w:val="000000" w:themeColor="text1"/>
                <w:u w:val="single"/>
              </w:rPr>
            </w:pPr>
          </w:p>
          <w:p w:rsidR="009F31CF" w:rsidRPr="00252BF8" w:rsidRDefault="009F31CF" w:rsidP="00A806D9">
            <w:pPr>
              <w:ind w:right="-7"/>
              <w:jc w:val="both"/>
              <w:rPr>
                <w:rFonts w:ascii="Palatino Linotype" w:eastAsia="Palatino Linotype" w:hAnsi="Palatino Linotype" w:cs="Palatino Linotype"/>
                <w:i/>
                <w:color w:val="000000" w:themeColor="text1"/>
                <w:u w:val="single"/>
              </w:rPr>
            </w:pPr>
          </w:p>
        </w:tc>
      </w:tr>
      <w:tr w:rsidR="007551FE" w:rsidRPr="00252BF8" w:rsidTr="007551FE">
        <w:tc>
          <w:tcPr>
            <w:tcW w:w="2921" w:type="dxa"/>
            <w:vAlign w:val="center"/>
          </w:tcPr>
          <w:p w:rsidR="007551FE" w:rsidRPr="00252BF8" w:rsidRDefault="007551FE" w:rsidP="00A806D9">
            <w:pPr>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b/>
                <w:bCs/>
                <w:color w:val="000000" w:themeColor="text1"/>
              </w:rPr>
              <w:lastRenderedPageBreak/>
              <w:t>00012/IXTAORO/IP/2025</w:t>
            </w:r>
          </w:p>
        </w:tc>
        <w:tc>
          <w:tcPr>
            <w:tcW w:w="6430" w:type="dxa"/>
            <w:vAlign w:val="center"/>
          </w:tcPr>
          <w:p w:rsidR="00A44B11" w:rsidRPr="00252BF8" w:rsidRDefault="00A44B11" w:rsidP="00A806D9">
            <w:pPr>
              <w:ind w:right="-7"/>
              <w:jc w:val="both"/>
              <w:rPr>
                <w:rFonts w:ascii="Palatino Linotype" w:eastAsia="Palatino Linotype" w:hAnsi="Palatino Linotype" w:cs="Palatino Linotype"/>
                <w:i/>
                <w:color w:val="000000" w:themeColor="text1"/>
              </w:rPr>
            </w:pPr>
          </w:p>
          <w:p w:rsidR="007551FE" w:rsidRPr="00252BF8" w:rsidRDefault="007551FE" w:rsidP="00A806D9">
            <w:pPr>
              <w:ind w:right="-7"/>
              <w:jc w:val="both"/>
              <w:rPr>
                <w:rFonts w:ascii="Palatino Linotype" w:eastAsia="Palatino Linotype" w:hAnsi="Palatino Linotype" w:cs="Palatino Linotype"/>
                <w:i/>
                <w:color w:val="000000" w:themeColor="text1"/>
                <w:u w:val="single"/>
              </w:rPr>
            </w:pPr>
            <w:r w:rsidRPr="00252BF8">
              <w:rPr>
                <w:rFonts w:ascii="Palatino Linotype" w:eastAsia="Palatino Linotype" w:hAnsi="Palatino Linotype" w:cs="Palatino Linotype"/>
                <w:i/>
                <w:color w:val="000000" w:themeColor="text1"/>
              </w:rPr>
              <w:t>REQUIERO, CON FUNDAMENTO EN EL ARTICULO 92 DE LA LEY DE TRANSPARENCIA Y ACCESO A LA INFORMACIÓN PÚBLICA DEL ESTADO DE MEXICO, YA QUE EN EL APARTADO DE TRANSPARENCIA DE SU PAGINA WEB SOLO APARACEN LOS TITULOS DE LAS OBLIGACIONES QUE DEBE CUMPLIR PERO NO TIENE NINGUNA INFORMACIÓN DE ESTE AÑO NI EL ANTERIOR, LO QUE ES CAUSAL DIRECTA DE INCUMPLIMIENTO A LAS OBLIGACIONES ENMARCADAS EN LA LEY GENERAL DE TRANSPARENCIA Y LEY DE TRANSPARENCIA Y ACCESO A LA INFOMACON PUBLICA DEL ESTADO DE MEXICO VERSION PUBLICA DE:</w:t>
            </w:r>
            <w:r w:rsidRPr="00252BF8">
              <w:rPr>
                <w:rFonts w:ascii="Palatino Linotype" w:eastAsia="Palatino Linotype" w:hAnsi="Palatino Linotype" w:cs="Palatino Linotype"/>
                <w:i/>
                <w:color w:val="000000" w:themeColor="text1"/>
                <w:u w:val="single"/>
              </w:rPr>
              <w:t xml:space="preserve"> 1.- NOMINA AUTORIZADA DEL PERSONAL QUE LABORA EN EL AYUNTAMIENTO DEBIDAMENTE FIRMADA CORRESPONDIENTE A LA PRIMERA QUINCENA DE ENERO DEL 2025.</w:t>
            </w:r>
          </w:p>
          <w:p w:rsidR="00A44B11" w:rsidRPr="00252BF8" w:rsidRDefault="00A44B11" w:rsidP="00A806D9">
            <w:pPr>
              <w:ind w:right="-7"/>
              <w:jc w:val="both"/>
              <w:rPr>
                <w:rFonts w:ascii="Palatino Linotype" w:eastAsia="Palatino Linotype" w:hAnsi="Palatino Linotype" w:cs="Palatino Linotype"/>
                <w:i/>
                <w:color w:val="000000" w:themeColor="text1"/>
              </w:rPr>
            </w:pPr>
          </w:p>
        </w:tc>
      </w:tr>
    </w:tbl>
    <w:p w:rsidR="007551FE" w:rsidRPr="00252BF8" w:rsidRDefault="007551FE" w:rsidP="00A806D9">
      <w:pPr>
        <w:ind w:right="-7"/>
        <w:jc w:val="both"/>
        <w:rPr>
          <w:rFonts w:ascii="Palatino Linotype" w:eastAsia="Palatino Linotype" w:hAnsi="Palatino Linotype" w:cs="Palatino Linotype"/>
          <w:i/>
          <w:color w:val="000000" w:themeColor="text1"/>
        </w:rPr>
      </w:pPr>
    </w:p>
    <w:p w:rsidR="007E0933" w:rsidRPr="00252BF8" w:rsidRDefault="007E0933"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7E0933" w:rsidRPr="00252BF8" w:rsidRDefault="007E0933" w:rsidP="00A806D9">
      <w:pPr>
        <w:numPr>
          <w:ilvl w:val="0"/>
          <w:numId w:val="1"/>
        </w:numPr>
        <w:pBdr>
          <w:top w:val="nil"/>
          <w:left w:val="nil"/>
          <w:bottom w:val="nil"/>
          <w:right w:val="nil"/>
          <w:between w:val="nil"/>
        </w:pBdr>
        <w:spacing w:line="360" w:lineRule="auto"/>
        <w:ind w:left="0"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b/>
          <w:color w:val="000000" w:themeColor="text1"/>
        </w:rPr>
        <w:t>Modalidad de entrega</w:t>
      </w:r>
      <w:r w:rsidRPr="00252BF8">
        <w:rPr>
          <w:rFonts w:ascii="Palatino Linotype" w:eastAsia="Palatino Linotype" w:hAnsi="Palatino Linotype" w:cs="Palatino Linotype"/>
          <w:color w:val="000000" w:themeColor="text1"/>
        </w:rPr>
        <w:t>: Sistema de Acceso a la Información (SAIMEX)</w:t>
      </w:r>
    </w:p>
    <w:p w:rsidR="007E0933" w:rsidRPr="00252BF8" w:rsidRDefault="007E0933" w:rsidP="00A806D9">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A44B11"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252BF8">
        <w:rPr>
          <w:rFonts w:ascii="Palatino Linotype" w:hAnsi="Palatino Linotype"/>
          <w:color w:val="000000" w:themeColor="text1"/>
        </w:rPr>
        <w:t xml:space="preserve">El </w:t>
      </w:r>
      <w:r w:rsidR="007551FE" w:rsidRPr="00252BF8">
        <w:rPr>
          <w:rFonts w:ascii="Palatino Linotype" w:hAnsi="Palatino Linotype"/>
          <w:b/>
          <w:color w:val="000000" w:themeColor="text1"/>
        </w:rPr>
        <w:t>diez y</w:t>
      </w:r>
      <w:r w:rsidR="007551FE" w:rsidRPr="00252BF8">
        <w:rPr>
          <w:rFonts w:ascii="Palatino Linotype" w:hAnsi="Palatino Linotype"/>
          <w:color w:val="000000" w:themeColor="text1"/>
        </w:rPr>
        <w:t xml:space="preserve"> </w:t>
      </w:r>
      <w:r w:rsidR="007551FE" w:rsidRPr="00252BF8">
        <w:rPr>
          <w:rFonts w:ascii="Palatino Linotype" w:hAnsi="Palatino Linotype"/>
          <w:b/>
          <w:color w:val="000000" w:themeColor="text1"/>
        </w:rPr>
        <w:t xml:space="preserve">veintitrés de abril </w:t>
      </w:r>
      <w:r w:rsidRPr="00252BF8">
        <w:rPr>
          <w:rFonts w:ascii="Palatino Linotype" w:hAnsi="Palatino Linotype"/>
          <w:b/>
          <w:color w:val="000000" w:themeColor="text1"/>
        </w:rPr>
        <w:t xml:space="preserve"> de dos mil veinticinco, </w:t>
      </w:r>
      <w:r w:rsidRPr="00252BF8">
        <w:rPr>
          <w:rFonts w:ascii="Palatino Linotype" w:hAnsi="Palatino Linotype"/>
          <w:color w:val="000000" w:themeColor="text1"/>
        </w:rPr>
        <w:t xml:space="preserve">el </w:t>
      </w:r>
      <w:r w:rsidR="00490E94" w:rsidRPr="00252BF8">
        <w:rPr>
          <w:rFonts w:ascii="Palatino Linotype" w:hAnsi="Palatino Linotype"/>
          <w:b/>
          <w:color w:val="000000" w:themeColor="text1"/>
        </w:rPr>
        <w:t xml:space="preserve">SUJETO OBLIGADO, </w:t>
      </w:r>
      <w:r w:rsidRPr="00252BF8">
        <w:rPr>
          <w:rFonts w:ascii="Palatino Linotype" w:hAnsi="Palatino Linotype"/>
          <w:color w:val="000000" w:themeColor="text1"/>
        </w:rPr>
        <w:t xml:space="preserve">dio respuesta </w:t>
      </w:r>
      <w:r w:rsidR="00A44B11" w:rsidRPr="00252BF8">
        <w:rPr>
          <w:rFonts w:ascii="Palatino Linotype" w:hAnsi="Palatino Linotype"/>
          <w:color w:val="000000" w:themeColor="text1"/>
        </w:rPr>
        <w:t>a las solicitudes de información de la siguiente manera:</w:t>
      </w:r>
    </w:p>
    <w:tbl>
      <w:tblPr>
        <w:tblStyle w:val="Tablaconcuadrcula"/>
        <w:tblW w:w="9351" w:type="dxa"/>
        <w:tblLook w:val="04A0" w:firstRow="1" w:lastRow="0" w:firstColumn="1" w:lastColumn="0" w:noHBand="0" w:noVBand="1"/>
      </w:tblPr>
      <w:tblGrid>
        <w:gridCol w:w="2921"/>
        <w:gridCol w:w="6430"/>
      </w:tblGrid>
      <w:tr w:rsidR="00A806D9" w:rsidRPr="00252BF8" w:rsidTr="00A44B11">
        <w:tc>
          <w:tcPr>
            <w:tcW w:w="2921" w:type="dxa"/>
            <w:shd w:val="clear" w:color="auto" w:fill="F2F2F2" w:themeFill="background1" w:themeFillShade="F2"/>
            <w:vAlign w:val="center"/>
          </w:tcPr>
          <w:p w:rsidR="00A44B11" w:rsidRPr="00252BF8" w:rsidRDefault="00A44B11" w:rsidP="00A806D9">
            <w:pPr>
              <w:ind w:right="-7"/>
              <w:jc w:val="center"/>
              <w:rPr>
                <w:rFonts w:ascii="Palatino Linotype" w:eastAsia="Palatino Linotype" w:hAnsi="Palatino Linotype" w:cs="Palatino Linotype"/>
                <w:b/>
                <w:color w:val="000000" w:themeColor="text1"/>
              </w:rPr>
            </w:pPr>
            <w:r w:rsidRPr="00252BF8">
              <w:rPr>
                <w:rFonts w:ascii="Palatino Linotype" w:eastAsia="Palatino Linotype" w:hAnsi="Palatino Linotype" w:cs="Palatino Linotype"/>
                <w:b/>
                <w:color w:val="000000" w:themeColor="text1"/>
              </w:rPr>
              <w:t>SOLICITUD</w:t>
            </w:r>
          </w:p>
        </w:tc>
        <w:tc>
          <w:tcPr>
            <w:tcW w:w="6430" w:type="dxa"/>
            <w:shd w:val="clear" w:color="auto" w:fill="F2F2F2" w:themeFill="background1" w:themeFillShade="F2"/>
            <w:vAlign w:val="center"/>
          </w:tcPr>
          <w:p w:rsidR="00A44B11" w:rsidRPr="00252BF8" w:rsidRDefault="00A44B11" w:rsidP="00A806D9">
            <w:pPr>
              <w:ind w:right="-7"/>
              <w:jc w:val="center"/>
              <w:rPr>
                <w:rFonts w:ascii="Palatino Linotype" w:eastAsia="Palatino Linotype" w:hAnsi="Palatino Linotype" w:cs="Palatino Linotype"/>
                <w:b/>
                <w:color w:val="000000" w:themeColor="text1"/>
              </w:rPr>
            </w:pPr>
            <w:r w:rsidRPr="00252BF8">
              <w:rPr>
                <w:rFonts w:ascii="Palatino Linotype" w:eastAsia="Palatino Linotype" w:hAnsi="Palatino Linotype" w:cs="Palatino Linotype"/>
                <w:b/>
                <w:color w:val="000000" w:themeColor="text1"/>
              </w:rPr>
              <w:t>RESPUESTA</w:t>
            </w:r>
          </w:p>
        </w:tc>
      </w:tr>
      <w:tr w:rsidR="00A806D9" w:rsidRPr="00252BF8" w:rsidTr="00A44B11">
        <w:tc>
          <w:tcPr>
            <w:tcW w:w="2921" w:type="dxa"/>
            <w:vAlign w:val="center"/>
          </w:tcPr>
          <w:p w:rsidR="00A44B11" w:rsidRPr="00252BF8" w:rsidRDefault="00A44B11" w:rsidP="00A806D9">
            <w:pPr>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b/>
                <w:bCs/>
                <w:color w:val="000000" w:themeColor="text1"/>
              </w:rPr>
              <w:t>00014/IXTAORO/IP/2025</w:t>
            </w:r>
          </w:p>
        </w:tc>
        <w:tc>
          <w:tcPr>
            <w:tcW w:w="6430" w:type="dxa"/>
            <w:vAlign w:val="center"/>
          </w:tcPr>
          <w:p w:rsidR="00A44B11" w:rsidRPr="00252BF8" w:rsidRDefault="00A44B11" w:rsidP="00A806D9">
            <w:pPr>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 xml:space="preserve"> </w:t>
            </w:r>
          </w:p>
          <w:p w:rsidR="00A44B11" w:rsidRPr="00252BF8" w:rsidRDefault="00A44B11" w:rsidP="00A806D9">
            <w:pPr>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 xml:space="preserve">Archivo electrónico </w:t>
            </w:r>
            <w:r w:rsidRPr="00252BF8">
              <w:rPr>
                <w:rFonts w:ascii="Palatino Linotype" w:eastAsia="Palatino Linotype" w:hAnsi="Palatino Linotype" w:cs="Palatino Linotype"/>
                <w:i/>
                <w:color w:val="000000" w:themeColor="text1"/>
              </w:rPr>
              <w:t>40.pdf,</w:t>
            </w:r>
            <w:r w:rsidRPr="00252BF8">
              <w:rPr>
                <w:rFonts w:ascii="Palatino Linotype" w:eastAsia="Palatino Linotype" w:hAnsi="Palatino Linotype" w:cs="Palatino Linotype"/>
                <w:color w:val="000000" w:themeColor="text1"/>
              </w:rPr>
              <w:t xml:space="preserve"> del que no se observa contenido alguno.</w:t>
            </w:r>
          </w:p>
          <w:p w:rsidR="00A44B11" w:rsidRPr="00252BF8" w:rsidRDefault="00A44B11" w:rsidP="00A806D9">
            <w:pPr>
              <w:ind w:right="-7"/>
              <w:jc w:val="both"/>
              <w:rPr>
                <w:rFonts w:ascii="Palatino Linotype" w:eastAsia="Palatino Linotype" w:hAnsi="Palatino Linotype" w:cs="Palatino Linotype"/>
                <w:color w:val="000000" w:themeColor="text1"/>
              </w:rPr>
            </w:pPr>
          </w:p>
        </w:tc>
      </w:tr>
      <w:tr w:rsidR="00A806D9" w:rsidRPr="00252BF8" w:rsidTr="00A44B11">
        <w:tc>
          <w:tcPr>
            <w:tcW w:w="2921" w:type="dxa"/>
            <w:vAlign w:val="center"/>
          </w:tcPr>
          <w:p w:rsidR="00A44B11" w:rsidRPr="00252BF8" w:rsidRDefault="00A44B11" w:rsidP="00A806D9">
            <w:pPr>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b/>
                <w:bCs/>
                <w:color w:val="000000" w:themeColor="text1"/>
              </w:rPr>
              <w:t>00013/IXTAORO/IP/2025</w:t>
            </w:r>
          </w:p>
        </w:tc>
        <w:tc>
          <w:tcPr>
            <w:tcW w:w="6430" w:type="dxa"/>
            <w:vAlign w:val="center"/>
          </w:tcPr>
          <w:p w:rsidR="00A44B11" w:rsidRPr="00252BF8" w:rsidRDefault="00A44B11" w:rsidP="00A806D9">
            <w:pPr>
              <w:ind w:right="-7"/>
              <w:jc w:val="both"/>
              <w:rPr>
                <w:rFonts w:ascii="Palatino Linotype" w:eastAsia="Palatino Linotype" w:hAnsi="Palatino Linotype" w:cs="Palatino Linotype"/>
                <w:color w:val="000000" w:themeColor="text1"/>
              </w:rPr>
            </w:pPr>
          </w:p>
          <w:p w:rsidR="00A44B11" w:rsidRPr="00252BF8" w:rsidRDefault="00A44B11" w:rsidP="00A806D9">
            <w:pPr>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Archivo electrónico</w:t>
            </w:r>
            <w:r w:rsidRPr="00252BF8">
              <w:rPr>
                <w:rFonts w:ascii="Palatino Linotype" w:eastAsia="Palatino Linotype" w:hAnsi="Palatino Linotype" w:cs="Palatino Linotype"/>
                <w:i/>
                <w:color w:val="000000" w:themeColor="text1"/>
              </w:rPr>
              <w:t xml:space="preserve"> 9.pdf, </w:t>
            </w:r>
            <w:r w:rsidRPr="00252BF8">
              <w:rPr>
                <w:rFonts w:ascii="Palatino Linotype" w:eastAsia="Palatino Linotype" w:hAnsi="Palatino Linotype" w:cs="Palatino Linotype"/>
                <w:color w:val="000000" w:themeColor="text1"/>
              </w:rPr>
              <w:t xml:space="preserve">del que se desprende el oficio de ocho de abril de dos mil veinticinco, firmado por el </w:t>
            </w:r>
            <w:r w:rsidRPr="00252BF8">
              <w:rPr>
                <w:rFonts w:ascii="Palatino Linotype" w:eastAsia="Palatino Linotype" w:hAnsi="Palatino Linotype" w:cs="Palatino Linotype"/>
                <w:color w:val="000000" w:themeColor="text1"/>
              </w:rPr>
              <w:lastRenderedPageBreak/>
              <w:t>Tesorero del Ayuntamiento, por el que informo que, de acuerdo al alto volumen de datos, de la cual se requiere una serie de procedimientos de análisis y revisión para identificar que no contenga información confidencial o reservada sobrepasa las capacidades administrativas y humanas por lo que pone a disposición del recurrente la información en consulta directa.</w:t>
            </w:r>
          </w:p>
          <w:p w:rsidR="00A44B11" w:rsidRPr="00252BF8" w:rsidRDefault="00A44B11" w:rsidP="00A806D9">
            <w:pPr>
              <w:ind w:right="-7"/>
              <w:jc w:val="both"/>
              <w:rPr>
                <w:rFonts w:ascii="Palatino Linotype" w:eastAsia="Palatino Linotype" w:hAnsi="Palatino Linotype" w:cs="Palatino Linotype"/>
                <w:i/>
                <w:color w:val="000000" w:themeColor="text1"/>
              </w:rPr>
            </w:pPr>
          </w:p>
        </w:tc>
      </w:tr>
      <w:tr w:rsidR="00A44B11" w:rsidRPr="00252BF8" w:rsidTr="00A44B11">
        <w:tc>
          <w:tcPr>
            <w:tcW w:w="2921" w:type="dxa"/>
            <w:vAlign w:val="center"/>
          </w:tcPr>
          <w:p w:rsidR="00A44B11" w:rsidRPr="00252BF8" w:rsidRDefault="00A44B11" w:rsidP="00A806D9">
            <w:pPr>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b/>
                <w:bCs/>
                <w:color w:val="000000" w:themeColor="text1"/>
              </w:rPr>
              <w:lastRenderedPageBreak/>
              <w:t>00012/IXTAORO/IP/2025</w:t>
            </w:r>
          </w:p>
        </w:tc>
        <w:tc>
          <w:tcPr>
            <w:tcW w:w="6430" w:type="dxa"/>
            <w:vAlign w:val="center"/>
          </w:tcPr>
          <w:p w:rsidR="00A44B11" w:rsidRPr="00252BF8" w:rsidRDefault="00A44B11" w:rsidP="00A806D9">
            <w:pPr>
              <w:ind w:right="-7"/>
              <w:jc w:val="both"/>
              <w:rPr>
                <w:rFonts w:ascii="Palatino Linotype" w:eastAsia="Palatino Linotype" w:hAnsi="Palatino Linotype" w:cs="Palatino Linotype"/>
                <w:color w:val="000000" w:themeColor="text1"/>
              </w:rPr>
            </w:pPr>
          </w:p>
          <w:p w:rsidR="00A44B11" w:rsidRPr="00252BF8" w:rsidRDefault="00A44B11" w:rsidP="00A806D9">
            <w:pPr>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 xml:space="preserve">Archivo electrónico </w:t>
            </w:r>
            <w:r w:rsidRPr="00252BF8">
              <w:rPr>
                <w:rFonts w:ascii="Palatino Linotype" w:eastAsia="Palatino Linotype" w:hAnsi="Palatino Linotype" w:cs="Palatino Linotype"/>
                <w:i/>
                <w:color w:val="000000" w:themeColor="text1"/>
              </w:rPr>
              <w:t>2.pdf</w:t>
            </w:r>
            <w:r w:rsidRPr="00252BF8">
              <w:rPr>
                <w:rFonts w:ascii="Palatino Linotype" w:eastAsia="Palatino Linotype" w:hAnsi="Palatino Linotype" w:cs="Palatino Linotype"/>
                <w:color w:val="000000" w:themeColor="text1"/>
              </w:rPr>
              <w:t>, del que se desprende el oficio de ocho de abril de dos mil veinticinco, firmado por el Tesorero del Ayuntamiento, por el que informo que, de acuerdo al alto volumen de datos, de la cual se requiere una serie de procedimientos de análisis y revisión para identificar que no contenga información confidencial o reservada sobrepasa las capacidades administrativas y humanas por lo que pone a disposición del recurrente la información en consulta directa.</w:t>
            </w:r>
          </w:p>
          <w:p w:rsidR="00A44B11" w:rsidRPr="00252BF8" w:rsidRDefault="00A44B11" w:rsidP="00A806D9">
            <w:pPr>
              <w:ind w:right="-7"/>
              <w:jc w:val="both"/>
              <w:rPr>
                <w:rFonts w:ascii="Palatino Linotype" w:eastAsia="Palatino Linotype" w:hAnsi="Palatino Linotype" w:cs="Palatino Linotype"/>
                <w:color w:val="000000" w:themeColor="text1"/>
              </w:rPr>
            </w:pPr>
          </w:p>
        </w:tc>
      </w:tr>
    </w:tbl>
    <w:p w:rsidR="00A44B11" w:rsidRPr="00252BF8" w:rsidRDefault="00A44B11" w:rsidP="00A806D9">
      <w:pPr>
        <w:pBdr>
          <w:top w:val="nil"/>
          <w:left w:val="nil"/>
          <w:bottom w:val="nil"/>
          <w:right w:val="nil"/>
          <w:between w:val="nil"/>
        </w:pBdr>
        <w:spacing w:line="360" w:lineRule="auto"/>
        <w:ind w:right="-7"/>
        <w:jc w:val="both"/>
        <w:rPr>
          <w:rFonts w:ascii="Palatino Linotype" w:hAnsi="Palatino Linotype"/>
          <w:color w:val="000000" w:themeColor="text1"/>
        </w:rPr>
      </w:pPr>
    </w:p>
    <w:p w:rsidR="007E0933" w:rsidRPr="00252BF8" w:rsidRDefault="007E0933" w:rsidP="00A806D9">
      <w:pPr>
        <w:ind w:right="-7"/>
        <w:jc w:val="both"/>
        <w:rPr>
          <w:rFonts w:ascii="Palatino Linotype" w:eastAsia="Palatino Linotype" w:hAnsi="Palatino Linotype" w:cs="Palatino Linotype"/>
          <w:color w:val="000000" w:themeColor="text1"/>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252BF8">
        <w:rPr>
          <w:rFonts w:ascii="Palatino Linotype" w:eastAsia="Palatino Linotype" w:hAnsi="Palatino Linotype" w:cs="Palatino Linotype"/>
          <w:color w:val="000000" w:themeColor="text1"/>
        </w:rPr>
        <w:t xml:space="preserve">El </w:t>
      </w:r>
      <w:r w:rsidR="00490E94" w:rsidRPr="00252BF8">
        <w:rPr>
          <w:rFonts w:ascii="Palatino Linotype" w:eastAsia="Palatino Linotype" w:hAnsi="Palatino Linotype" w:cs="Palatino Linotype"/>
          <w:b/>
          <w:color w:val="000000" w:themeColor="text1"/>
        </w:rPr>
        <w:t>veinticinco de abril</w:t>
      </w:r>
      <w:r w:rsidR="000A4B49" w:rsidRPr="00252BF8">
        <w:rPr>
          <w:rFonts w:ascii="Palatino Linotype" w:eastAsia="Palatino Linotype" w:hAnsi="Palatino Linotype" w:cs="Palatino Linotype"/>
          <w:b/>
          <w:color w:val="000000" w:themeColor="text1"/>
        </w:rPr>
        <w:t xml:space="preserve"> </w:t>
      </w:r>
      <w:r w:rsidRPr="00252BF8">
        <w:rPr>
          <w:rFonts w:ascii="Palatino Linotype" w:eastAsia="Palatino Linotype" w:hAnsi="Palatino Linotype" w:cs="Palatino Linotype"/>
          <w:b/>
          <w:color w:val="000000" w:themeColor="text1"/>
        </w:rPr>
        <w:t>de dos mil veinticinco</w:t>
      </w:r>
      <w:r w:rsidRPr="00252BF8">
        <w:rPr>
          <w:rFonts w:ascii="Palatino Linotype" w:eastAsia="Palatino Linotype" w:hAnsi="Palatino Linotype" w:cs="Palatino Linotype"/>
          <w:color w:val="000000" w:themeColor="text1"/>
        </w:rPr>
        <w:t>, el solicitante interpuso</w:t>
      </w:r>
      <w:r w:rsidR="000E1360" w:rsidRPr="00252BF8">
        <w:rPr>
          <w:rFonts w:ascii="Palatino Linotype" w:eastAsia="Palatino Linotype" w:hAnsi="Palatino Linotype" w:cs="Palatino Linotype"/>
          <w:color w:val="000000" w:themeColor="text1"/>
        </w:rPr>
        <w:t xml:space="preserve"> los recursos  </w:t>
      </w:r>
      <w:r w:rsidRPr="00252BF8">
        <w:rPr>
          <w:rFonts w:ascii="Palatino Linotype" w:eastAsia="Palatino Linotype" w:hAnsi="Palatino Linotype" w:cs="Palatino Linotype"/>
          <w:color w:val="000000" w:themeColor="text1"/>
        </w:rPr>
        <w:t>de revi</w:t>
      </w:r>
      <w:r w:rsidR="000A4B49" w:rsidRPr="00252BF8">
        <w:rPr>
          <w:rFonts w:ascii="Palatino Linotype" w:eastAsia="Palatino Linotype" w:hAnsi="Palatino Linotype" w:cs="Palatino Linotype"/>
          <w:color w:val="000000" w:themeColor="text1"/>
        </w:rPr>
        <w:t xml:space="preserve">sión en contra </w:t>
      </w:r>
      <w:r w:rsidR="000E1360" w:rsidRPr="00252BF8">
        <w:rPr>
          <w:rFonts w:ascii="Palatino Linotype" w:eastAsia="Palatino Linotype" w:hAnsi="Palatino Linotype" w:cs="Palatino Linotype"/>
          <w:color w:val="000000" w:themeColor="text1"/>
        </w:rPr>
        <w:t>de las respuestas emitidas</w:t>
      </w:r>
      <w:r w:rsidRPr="00252BF8">
        <w:rPr>
          <w:rFonts w:ascii="Palatino Linotype" w:eastAsia="Palatino Linotype" w:hAnsi="Palatino Linotype" w:cs="Palatino Linotype"/>
          <w:color w:val="000000" w:themeColor="text1"/>
        </w:rPr>
        <w:t xml:space="preserve"> por el </w:t>
      </w:r>
      <w:r w:rsidRPr="00252BF8">
        <w:rPr>
          <w:rFonts w:ascii="Palatino Linotype" w:eastAsia="Palatino Linotype" w:hAnsi="Palatino Linotype" w:cs="Palatino Linotype"/>
          <w:b/>
          <w:color w:val="000000" w:themeColor="text1"/>
        </w:rPr>
        <w:t>SUJETO OBLIGADO</w:t>
      </w:r>
      <w:r w:rsidRPr="00252BF8">
        <w:rPr>
          <w:rFonts w:ascii="Palatino Linotype" w:eastAsia="Palatino Linotype" w:hAnsi="Palatino Linotype" w:cs="Palatino Linotype"/>
          <w:color w:val="000000" w:themeColor="text1"/>
        </w:rPr>
        <w:t>, señalando las siguientes razones o motivos de inconformidad:</w:t>
      </w:r>
    </w:p>
    <w:p w:rsidR="00490E94" w:rsidRPr="00252BF8" w:rsidRDefault="00490E94" w:rsidP="00A806D9">
      <w:pPr>
        <w:pBdr>
          <w:top w:val="nil"/>
          <w:left w:val="nil"/>
          <w:bottom w:val="nil"/>
          <w:right w:val="nil"/>
          <w:between w:val="nil"/>
        </w:pBdr>
        <w:spacing w:line="360" w:lineRule="auto"/>
        <w:ind w:right="-7"/>
        <w:jc w:val="both"/>
        <w:rPr>
          <w:rFonts w:ascii="Palatino Linotype" w:hAnsi="Palatino Linotype"/>
          <w:color w:val="000000" w:themeColor="text1"/>
        </w:rPr>
      </w:pPr>
    </w:p>
    <w:tbl>
      <w:tblPr>
        <w:tblStyle w:val="Tablaconcuadrcula"/>
        <w:tblW w:w="9351" w:type="dxa"/>
        <w:tblLook w:val="04A0" w:firstRow="1" w:lastRow="0" w:firstColumn="1" w:lastColumn="0" w:noHBand="0" w:noVBand="1"/>
      </w:tblPr>
      <w:tblGrid>
        <w:gridCol w:w="3176"/>
        <w:gridCol w:w="6175"/>
      </w:tblGrid>
      <w:tr w:rsidR="00A806D9" w:rsidRPr="00252BF8" w:rsidTr="00A44B11">
        <w:tc>
          <w:tcPr>
            <w:tcW w:w="2921" w:type="dxa"/>
            <w:shd w:val="clear" w:color="auto" w:fill="F2F2F2" w:themeFill="background1" w:themeFillShade="F2"/>
            <w:vAlign w:val="center"/>
          </w:tcPr>
          <w:p w:rsidR="00A44B11" w:rsidRPr="00252BF8" w:rsidRDefault="00A44B11" w:rsidP="00A806D9">
            <w:pPr>
              <w:ind w:right="-7"/>
              <w:jc w:val="center"/>
              <w:rPr>
                <w:rFonts w:ascii="Palatino Linotype" w:eastAsia="Palatino Linotype" w:hAnsi="Palatino Linotype" w:cs="Palatino Linotype"/>
                <w:b/>
                <w:color w:val="000000" w:themeColor="text1"/>
              </w:rPr>
            </w:pPr>
            <w:r w:rsidRPr="00252BF8">
              <w:rPr>
                <w:rFonts w:ascii="Palatino Linotype" w:eastAsia="Palatino Linotype" w:hAnsi="Palatino Linotype" w:cs="Palatino Linotype"/>
                <w:b/>
                <w:color w:val="000000" w:themeColor="text1"/>
              </w:rPr>
              <w:t>SOLICITUD</w:t>
            </w:r>
          </w:p>
        </w:tc>
        <w:tc>
          <w:tcPr>
            <w:tcW w:w="6430" w:type="dxa"/>
            <w:shd w:val="clear" w:color="auto" w:fill="F2F2F2" w:themeFill="background1" w:themeFillShade="F2"/>
            <w:vAlign w:val="center"/>
          </w:tcPr>
          <w:p w:rsidR="00A44B11" w:rsidRPr="00252BF8" w:rsidRDefault="00A44B11" w:rsidP="00A806D9">
            <w:pPr>
              <w:ind w:right="-7"/>
              <w:jc w:val="center"/>
              <w:rPr>
                <w:rFonts w:ascii="Palatino Linotype" w:eastAsia="Palatino Linotype" w:hAnsi="Palatino Linotype" w:cs="Palatino Linotype"/>
                <w:b/>
                <w:color w:val="000000" w:themeColor="text1"/>
              </w:rPr>
            </w:pPr>
            <w:r w:rsidRPr="00252BF8">
              <w:rPr>
                <w:rFonts w:ascii="Palatino Linotype" w:eastAsia="Palatino Linotype" w:hAnsi="Palatino Linotype" w:cs="Palatino Linotype"/>
                <w:b/>
                <w:color w:val="000000" w:themeColor="text1"/>
              </w:rPr>
              <w:t>INCONFORMIDAD</w:t>
            </w:r>
          </w:p>
        </w:tc>
      </w:tr>
      <w:tr w:rsidR="00A806D9" w:rsidRPr="00252BF8" w:rsidTr="00A44B11">
        <w:tc>
          <w:tcPr>
            <w:tcW w:w="2921" w:type="dxa"/>
            <w:vAlign w:val="center"/>
          </w:tcPr>
          <w:p w:rsidR="000E1360" w:rsidRPr="00252BF8" w:rsidRDefault="000E1360" w:rsidP="00A806D9">
            <w:pPr>
              <w:ind w:right="-7"/>
              <w:jc w:val="center"/>
              <w:rPr>
                <w:rFonts w:ascii="Palatino Linotype" w:eastAsia="Palatino Linotype" w:hAnsi="Palatino Linotype" w:cs="Palatino Linotype"/>
                <w:b/>
                <w:bCs/>
                <w:color w:val="000000" w:themeColor="text1"/>
              </w:rPr>
            </w:pPr>
          </w:p>
          <w:p w:rsidR="00A44B11" w:rsidRPr="00252BF8" w:rsidRDefault="00A44B11" w:rsidP="00A806D9">
            <w:pPr>
              <w:ind w:right="-7"/>
              <w:jc w:val="center"/>
              <w:rPr>
                <w:rFonts w:ascii="Palatino Linotype" w:eastAsia="Palatino Linotype" w:hAnsi="Palatino Linotype" w:cs="Palatino Linotype"/>
                <w:b/>
                <w:bCs/>
                <w:color w:val="000000" w:themeColor="text1"/>
              </w:rPr>
            </w:pPr>
            <w:r w:rsidRPr="00252BF8">
              <w:rPr>
                <w:rFonts w:ascii="Palatino Linotype" w:eastAsia="Palatino Linotype" w:hAnsi="Palatino Linotype" w:cs="Palatino Linotype"/>
                <w:b/>
                <w:bCs/>
                <w:color w:val="000000" w:themeColor="text1"/>
              </w:rPr>
              <w:t>00014/IXTAORO/IP/2025</w:t>
            </w:r>
          </w:p>
          <w:p w:rsidR="00A44B11" w:rsidRPr="00252BF8" w:rsidRDefault="00A44B11" w:rsidP="00A806D9">
            <w:pPr>
              <w:ind w:right="-7"/>
              <w:jc w:val="center"/>
              <w:rPr>
                <w:rFonts w:ascii="Palatino Linotype" w:eastAsia="Palatino Linotype" w:hAnsi="Palatino Linotype" w:cs="Palatino Linotype"/>
                <w:bCs/>
                <w:color w:val="000000" w:themeColor="text1"/>
              </w:rPr>
            </w:pPr>
            <w:r w:rsidRPr="00252BF8">
              <w:rPr>
                <w:rFonts w:ascii="Palatino Linotype" w:eastAsia="Palatino Linotype" w:hAnsi="Palatino Linotype" w:cs="Palatino Linotype"/>
                <w:bCs/>
                <w:color w:val="000000" w:themeColor="text1"/>
              </w:rPr>
              <w:t>recayó</w:t>
            </w:r>
            <w:r w:rsidR="000E1360" w:rsidRPr="00252BF8">
              <w:rPr>
                <w:rFonts w:ascii="Palatino Linotype" w:eastAsia="Palatino Linotype" w:hAnsi="Palatino Linotype" w:cs="Palatino Linotype"/>
                <w:bCs/>
                <w:color w:val="000000" w:themeColor="text1"/>
              </w:rPr>
              <w:t xml:space="preserve"> el recurso de revisión</w:t>
            </w:r>
          </w:p>
          <w:p w:rsidR="000E1360" w:rsidRPr="00252BF8" w:rsidRDefault="000E1360" w:rsidP="00A806D9">
            <w:pPr>
              <w:ind w:right="-7"/>
              <w:jc w:val="center"/>
              <w:rPr>
                <w:rFonts w:ascii="Palatino Linotype" w:eastAsia="Palatino Linotype" w:hAnsi="Palatino Linotype" w:cs="Palatino Linotype"/>
                <w:b/>
                <w:bCs/>
                <w:color w:val="000000" w:themeColor="text1"/>
              </w:rPr>
            </w:pPr>
            <w:r w:rsidRPr="00252BF8">
              <w:rPr>
                <w:rFonts w:ascii="Palatino Linotype" w:eastAsia="Palatino Linotype" w:hAnsi="Palatino Linotype" w:cs="Palatino Linotype"/>
                <w:b/>
                <w:bCs/>
                <w:color w:val="000000" w:themeColor="text1"/>
              </w:rPr>
              <w:t>04803/INFOEM/IP/RR/2025</w:t>
            </w:r>
          </w:p>
        </w:tc>
        <w:tc>
          <w:tcPr>
            <w:tcW w:w="6430" w:type="dxa"/>
            <w:vAlign w:val="center"/>
          </w:tcPr>
          <w:p w:rsidR="000E1360" w:rsidRPr="00252BF8" w:rsidRDefault="000E1360" w:rsidP="00A806D9">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b/>
                <w:color w:val="000000" w:themeColor="text1"/>
              </w:rPr>
              <w:t xml:space="preserve">Acto impugnado: </w:t>
            </w:r>
            <w:r w:rsidRPr="00252BF8">
              <w:rPr>
                <w:rFonts w:ascii="Palatino Linotype" w:eastAsia="Palatino Linotype" w:hAnsi="Palatino Linotype" w:cs="Palatino Linotype"/>
                <w:i/>
                <w:color w:val="000000" w:themeColor="text1"/>
              </w:rPr>
              <w:t>“RESPUESTA DEL SUJETO OBLIGADO A LA SOLICITUD DE INFORMACION.”</w:t>
            </w:r>
          </w:p>
          <w:p w:rsidR="000E1360" w:rsidRPr="00252BF8" w:rsidRDefault="000E1360" w:rsidP="00A806D9">
            <w:pPr>
              <w:pBdr>
                <w:top w:val="nil"/>
                <w:left w:val="nil"/>
                <w:bottom w:val="nil"/>
                <w:right w:val="nil"/>
                <w:between w:val="nil"/>
              </w:pBdr>
              <w:ind w:right="-7"/>
              <w:jc w:val="both"/>
              <w:rPr>
                <w:rFonts w:ascii="Palatino Linotype" w:eastAsia="Palatino Linotype" w:hAnsi="Palatino Linotype" w:cs="Palatino Linotype"/>
                <w:color w:val="000000" w:themeColor="text1"/>
              </w:rPr>
            </w:pPr>
            <w:bookmarkStart w:id="1" w:name="_heading=h.3znysh7" w:colFirst="0" w:colLast="0"/>
            <w:bookmarkEnd w:id="1"/>
            <w:r w:rsidRPr="00252BF8">
              <w:rPr>
                <w:rFonts w:ascii="Palatino Linotype" w:eastAsia="Palatino Linotype" w:hAnsi="Palatino Linotype" w:cs="Palatino Linotype"/>
                <w:b/>
                <w:color w:val="000000" w:themeColor="text1"/>
              </w:rPr>
              <w:t xml:space="preserve">Razones o Motivos de inconformidad: </w:t>
            </w:r>
            <w:r w:rsidRPr="00252BF8">
              <w:rPr>
                <w:rFonts w:ascii="Palatino Linotype" w:eastAsia="Palatino Linotype" w:hAnsi="Palatino Linotype" w:cs="Palatino Linotype"/>
                <w:i/>
                <w:color w:val="000000" w:themeColor="text1"/>
              </w:rPr>
              <w:t xml:space="preserve">“La conducta de la autoridad constituye una forma de simulación de cumplimiento, atentando directamente contra los principios rectores de la transparencia y la buena fe, y generando los </w:t>
            </w:r>
            <w:r w:rsidRPr="00252BF8">
              <w:rPr>
                <w:rFonts w:ascii="Palatino Linotype" w:eastAsia="Palatino Linotype" w:hAnsi="Palatino Linotype" w:cs="Palatino Linotype"/>
                <w:i/>
                <w:color w:val="000000" w:themeColor="text1"/>
              </w:rPr>
              <w:lastRenderedPageBreak/>
              <w:t xml:space="preserve">siguientes agravios: Simulación de Entrega: La autoridad aparenta haber entregado la información solicitada, sin que ésta se encuentre materialmente contenida en el archivo proporcionado. Esta práctica constituye una forma de obstaculización deliberada, en contravención al artículo 4 de la LTAIPEM, que establece el principio de máxima disponibilidad y accesibilidad de la información pública. Engaño al Órgano Garante: Al subir un archivo vacío o sin datos útiles al sistema de solicitudes, se induce a error al órgano garante, simulando un cumplimiento que en realidad no se ha producido, con lo cual se vulnera el deber de veracidad, buena fe y rendición de cuentas de los sujetos obligados conforme a los artículos 2, 6, 7 y 8 de la LTAIPEM. Violación a la LGCG: La conducta también contraviene lo dispuesto en los artículos 56, 58 y 61 de la Ley General de Contabilidad Gubernamental, que establecen la obligación de publicar de manera clara, precisa y verificable los documentos relativos al Presupuesto de Egresos, a través de medios electrónicos y formatos accesibles. Negativa de Hecho: A pesar de simular una respuesta, el hecho de que el archivo esté vacío equivale a una negativa de hecho conforme a lo previsto en el artículo 148 de la LTAIPEM, ya que el solicitante no obtiene materialmente la información requerida. Este recurso se interpone al amparo de los artículos 147, 148, 149 y 150 de la Ley de Transparencia y Acceso a la Información Pública del Estado de México y Municipios. Por lo anterior, solicito a este Órgano Garante: Se tenga por no cumplida la obligación del sujeto obligado, al haberse entregado un archivo vacío o sin contenido verificable. Se requiera al Ayuntamiento de Ixtapan del Oro para que, en un plazo perentorio, remita la información solicitada en versión electrónica íntegra y legible, de manera gratuita y accesible. Compruebe ese Órgano Garante el archivo vacío y sin información en su plataforma y analice la posible conducta dolosa o negligente del sujeto obligado, y en su caso, se inicien las acciones correspondientes por incumplimiento a la Ley de </w:t>
            </w:r>
            <w:r w:rsidRPr="00252BF8">
              <w:rPr>
                <w:rFonts w:ascii="Palatino Linotype" w:eastAsia="Palatino Linotype" w:hAnsi="Palatino Linotype" w:cs="Palatino Linotype"/>
                <w:i/>
                <w:color w:val="000000" w:themeColor="text1"/>
              </w:rPr>
              <w:lastRenderedPageBreak/>
              <w:t>Transparencia. Se exhorte a la autoridad a publicar la información pública de oficio en su portal institucional, de conformidad con sus obligaciones de transparencia de oficio. Se de vista a las áreas fiscalizadoras de ese Órgano Garante y al OSFEM para los efectos procedentes.”</w:t>
            </w:r>
          </w:p>
          <w:p w:rsidR="00A44B11" w:rsidRPr="00252BF8" w:rsidRDefault="00A44B11" w:rsidP="00A806D9">
            <w:pPr>
              <w:ind w:right="-7"/>
              <w:jc w:val="both"/>
              <w:rPr>
                <w:rFonts w:ascii="Palatino Linotype" w:eastAsia="Palatino Linotype" w:hAnsi="Palatino Linotype" w:cs="Palatino Linotype"/>
                <w:color w:val="000000" w:themeColor="text1"/>
              </w:rPr>
            </w:pPr>
          </w:p>
        </w:tc>
      </w:tr>
      <w:tr w:rsidR="00A806D9" w:rsidRPr="00252BF8" w:rsidTr="00A44B11">
        <w:tc>
          <w:tcPr>
            <w:tcW w:w="2921" w:type="dxa"/>
            <w:vAlign w:val="center"/>
          </w:tcPr>
          <w:p w:rsidR="00A44B11" w:rsidRPr="00252BF8" w:rsidRDefault="00A44B11" w:rsidP="00A806D9">
            <w:pPr>
              <w:ind w:right="-7"/>
              <w:jc w:val="center"/>
              <w:rPr>
                <w:rFonts w:ascii="Palatino Linotype" w:eastAsia="Palatino Linotype" w:hAnsi="Palatino Linotype" w:cs="Palatino Linotype"/>
                <w:b/>
                <w:bCs/>
                <w:color w:val="000000" w:themeColor="text1"/>
              </w:rPr>
            </w:pPr>
            <w:r w:rsidRPr="00252BF8">
              <w:rPr>
                <w:rFonts w:ascii="Palatino Linotype" w:eastAsia="Palatino Linotype" w:hAnsi="Palatino Linotype" w:cs="Palatino Linotype"/>
                <w:b/>
                <w:bCs/>
                <w:color w:val="000000" w:themeColor="text1"/>
              </w:rPr>
              <w:lastRenderedPageBreak/>
              <w:t>00013/IXTAORO/IP/2025</w:t>
            </w:r>
          </w:p>
          <w:p w:rsidR="000E1360" w:rsidRPr="00252BF8" w:rsidRDefault="000E1360" w:rsidP="00A806D9">
            <w:pPr>
              <w:ind w:right="-7"/>
              <w:jc w:val="center"/>
              <w:rPr>
                <w:rFonts w:ascii="Palatino Linotype" w:eastAsia="Palatino Linotype" w:hAnsi="Palatino Linotype" w:cs="Palatino Linotype"/>
                <w:bCs/>
                <w:color w:val="000000" w:themeColor="text1"/>
              </w:rPr>
            </w:pPr>
            <w:r w:rsidRPr="00252BF8">
              <w:rPr>
                <w:rFonts w:ascii="Palatino Linotype" w:eastAsia="Palatino Linotype" w:hAnsi="Palatino Linotype" w:cs="Palatino Linotype"/>
                <w:bCs/>
                <w:color w:val="000000" w:themeColor="text1"/>
              </w:rPr>
              <w:t>recayó el recurso de revisión</w:t>
            </w:r>
          </w:p>
          <w:p w:rsidR="000E1360" w:rsidRPr="00252BF8" w:rsidRDefault="000E1360" w:rsidP="00A806D9">
            <w:pPr>
              <w:ind w:right="-7"/>
              <w:jc w:val="center"/>
              <w:rPr>
                <w:rFonts w:ascii="Palatino Linotype" w:eastAsia="Palatino Linotype" w:hAnsi="Palatino Linotype" w:cs="Palatino Linotype"/>
                <w:b/>
                <w:color w:val="000000" w:themeColor="text1"/>
              </w:rPr>
            </w:pPr>
            <w:r w:rsidRPr="00252BF8">
              <w:rPr>
                <w:rFonts w:ascii="Palatino Linotype" w:eastAsia="Palatino Linotype" w:hAnsi="Palatino Linotype" w:cs="Palatino Linotype"/>
                <w:b/>
                <w:color w:val="000000" w:themeColor="text1"/>
              </w:rPr>
              <w:t>04804/INFOEM/IP/RR/2025</w:t>
            </w:r>
          </w:p>
        </w:tc>
        <w:tc>
          <w:tcPr>
            <w:tcW w:w="6430" w:type="dxa"/>
            <w:vAlign w:val="center"/>
          </w:tcPr>
          <w:p w:rsidR="000E1360" w:rsidRPr="00252BF8" w:rsidRDefault="000E1360" w:rsidP="00A806D9">
            <w:pPr>
              <w:pBdr>
                <w:top w:val="nil"/>
                <w:left w:val="nil"/>
                <w:bottom w:val="nil"/>
                <w:right w:val="nil"/>
                <w:between w:val="nil"/>
              </w:pBdr>
              <w:ind w:right="-7"/>
              <w:jc w:val="both"/>
              <w:rPr>
                <w:rFonts w:ascii="Palatino Linotype" w:eastAsia="Palatino Linotype" w:hAnsi="Palatino Linotype" w:cs="Palatino Linotype"/>
                <w:b/>
                <w:color w:val="000000" w:themeColor="text1"/>
              </w:rPr>
            </w:pPr>
          </w:p>
          <w:p w:rsidR="000E1360" w:rsidRPr="00252BF8" w:rsidRDefault="000E1360" w:rsidP="00A806D9">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b/>
                <w:color w:val="000000" w:themeColor="text1"/>
              </w:rPr>
              <w:t xml:space="preserve">Acto impugnado: </w:t>
            </w:r>
            <w:r w:rsidRPr="00252BF8">
              <w:rPr>
                <w:rFonts w:ascii="Palatino Linotype" w:eastAsia="Palatino Linotype" w:hAnsi="Palatino Linotype" w:cs="Palatino Linotype"/>
                <w:i/>
                <w:color w:val="000000" w:themeColor="text1"/>
              </w:rPr>
              <w:t>“RESPUESTA DEL SUJETO OBLIGADO A LA SOLICITUD DE INFORMACION.”</w:t>
            </w:r>
          </w:p>
          <w:p w:rsidR="000E1360" w:rsidRPr="00252BF8" w:rsidRDefault="000E1360" w:rsidP="00A806D9">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A44B11" w:rsidRPr="00252BF8" w:rsidRDefault="000E1360" w:rsidP="00A806D9">
            <w:pPr>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b/>
                <w:color w:val="000000" w:themeColor="text1"/>
              </w:rPr>
              <w:t xml:space="preserve">Razones o Motivos de inconformidad: </w:t>
            </w:r>
            <w:r w:rsidRPr="00252BF8">
              <w:rPr>
                <w:rFonts w:ascii="Palatino Linotype" w:eastAsia="Palatino Linotype" w:hAnsi="Palatino Linotype" w:cs="Palatino Linotype"/>
                <w:i/>
                <w:color w:val="000000" w:themeColor="text1"/>
              </w:rPr>
              <w:t xml:space="preserve">“La respuesta emitida es violatoria de los principios de máxima publicidad, rendición de cuentas y transparencia, así como de las obligaciones de transparencia y publicación proactiva previstas en la legislación aplicable, por las siguientes razones: Conforme al artículo 92 de la LTAIPEM, la publicación de información constituye una obligación de transparencia común que debe estar disponible de manera permanente en el sitio web institucional, sin necesidad de que el solicitante acuda de manera presencial, los entes públicos están obligados a publicar su Información financiera, programática y presupuestal en formatos accesibles, homogéneos y oportunos, garantizando su disponibilidad en medios electrónicos de fácil acceso para la ciudadanía. Inexistencia de Información Confidencial o Reservada en el Presupuesto: La información financiera, programática y presupuestal, por su naturaleza jurídica y finalidad, no puede considerarse como información reservada o confidencial, toda vez que involucra recursos públicos cuya gestión y destino son de interés general, conforme a los principios de transparencia y rendición de cuentas previstos en los artículos 2, 6, 7 y 8 de la LTAIPEM. El argumento de la autoridad sobre la necesidad de revisión para detectar información reservada carece de fundamento, dado que el contenido de la información financiera, programática y presupuestal debe ser, en todo momento. La </w:t>
            </w:r>
            <w:r w:rsidRPr="00252BF8">
              <w:rPr>
                <w:rFonts w:ascii="Palatino Linotype" w:eastAsia="Palatino Linotype" w:hAnsi="Palatino Linotype" w:cs="Palatino Linotype"/>
                <w:i/>
                <w:color w:val="000000" w:themeColor="text1"/>
              </w:rPr>
              <w:lastRenderedPageBreak/>
              <w:t>negativa a proporcionar la información de manera directa y electrónica vulnera el principio de máxima publicidad, reconocido en el artículo 9 de la LTAIPEM, en perjuicio del derecho fundamental de acceso a la información pública consagrado en los artículos 6º de la Constitución Política de los Estados Unidos Mexicanos y 5º de la Constitución del Estado Libre y Soberano de México. Obstaculización del Derecho de Acceso a la Información: Al condicionar el acceso a la información a la revisión presencial en oficinas municipales, se impone una carga indebida al solicitante, en contravención al principio de facilidad y gratuidad establecido en el artículo 4 de la LTAIPEM. El presente Recurso de Revisión se fundamenta en los artículos 147, 148, 149 y 150 de la Ley de Transparencia y Acceso a la Información Pública del Estado de México y Municipios. Por lo anteriormente expuesto, solicito a este Órgano Garante: Se ordene al Ayuntamiento de Ixtapan del Oro que entregue de manera electrónica él lo la información en términos de la solicitud presentada. Se exhorte a la autoridad a cumplir con su obligación de transparencia de oficio, publicando de manera permanente dicha información en su portal institucional. Se impongan, en su caso, las medidas de apremio y sanciones que correspondan conforme a la legislación aplicable. Se de vista al área correspondiente del propio Instituto de Acceso a la Información Pública del Estado de México para que en sus revisiones de verificaciones incluya la página web del Ayuntamiento de Ixtapan del Oro y verifique su cumplimiento y al Órgano Superior de Fiscalización para que en el ámbito de su competencia verifique el cumplimiento de la Ley General de Contabilidad Gubernamental de este Ayuntamiento</w:t>
            </w:r>
          </w:p>
          <w:p w:rsidR="00A44B11" w:rsidRPr="00252BF8" w:rsidRDefault="00A44B11" w:rsidP="00A806D9">
            <w:pPr>
              <w:ind w:right="-7"/>
              <w:jc w:val="both"/>
              <w:rPr>
                <w:rFonts w:ascii="Palatino Linotype" w:eastAsia="Palatino Linotype" w:hAnsi="Palatino Linotype" w:cs="Palatino Linotype"/>
                <w:i/>
                <w:color w:val="000000" w:themeColor="text1"/>
              </w:rPr>
            </w:pPr>
          </w:p>
        </w:tc>
      </w:tr>
      <w:tr w:rsidR="00A806D9" w:rsidRPr="00252BF8" w:rsidTr="00A44B11">
        <w:tc>
          <w:tcPr>
            <w:tcW w:w="2921" w:type="dxa"/>
            <w:vAlign w:val="center"/>
          </w:tcPr>
          <w:p w:rsidR="000E1360" w:rsidRPr="00252BF8" w:rsidRDefault="000E1360" w:rsidP="00A806D9">
            <w:pPr>
              <w:ind w:right="-7"/>
              <w:rPr>
                <w:rFonts w:ascii="Palatino Linotype" w:eastAsia="Palatino Linotype" w:hAnsi="Palatino Linotype" w:cs="Palatino Linotype"/>
                <w:b/>
                <w:bCs/>
                <w:color w:val="000000" w:themeColor="text1"/>
              </w:rPr>
            </w:pPr>
          </w:p>
          <w:p w:rsidR="00A44B11" w:rsidRPr="00252BF8" w:rsidRDefault="00A44B11" w:rsidP="00A806D9">
            <w:pPr>
              <w:ind w:right="-7"/>
              <w:jc w:val="center"/>
              <w:rPr>
                <w:rFonts w:ascii="Palatino Linotype" w:eastAsia="Palatino Linotype" w:hAnsi="Palatino Linotype" w:cs="Palatino Linotype"/>
                <w:b/>
                <w:bCs/>
                <w:color w:val="000000" w:themeColor="text1"/>
              </w:rPr>
            </w:pPr>
            <w:r w:rsidRPr="00252BF8">
              <w:rPr>
                <w:rFonts w:ascii="Palatino Linotype" w:eastAsia="Palatino Linotype" w:hAnsi="Palatino Linotype" w:cs="Palatino Linotype"/>
                <w:b/>
                <w:bCs/>
                <w:color w:val="000000" w:themeColor="text1"/>
              </w:rPr>
              <w:t>00012/IXTAORO/IP/2025</w:t>
            </w:r>
          </w:p>
          <w:p w:rsidR="000E1360" w:rsidRPr="00252BF8" w:rsidRDefault="000E1360" w:rsidP="00A806D9">
            <w:pPr>
              <w:ind w:right="-7"/>
              <w:jc w:val="center"/>
              <w:rPr>
                <w:rFonts w:ascii="Palatino Linotype" w:eastAsia="Palatino Linotype" w:hAnsi="Palatino Linotype" w:cs="Palatino Linotype"/>
                <w:bCs/>
                <w:color w:val="000000" w:themeColor="text1"/>
              </w:rPr>
            </w:pPr>
            <w:r w:rsidRPr="00252BF8">
              <w:rPr>
                <w:rFonts w:ascii="Palatino Linotype" w:eastAsia="Palatino Linotype" w:hAnsi="Palatino Linotype" w:cs="Palatino Linotype"/>
                <w:bCs/>
                <w:color w:val="000000" w:themeColor="text1"/>
              </w:rPr>
              <w:t>recayó el recurso de revisión</w:t>
            </w:r>
          </w:p>
          <w:p w:rsidR="000E1360" w:rsidRPr="00252BF8" w:rsidRDefault="000E1360" w:rsidP="00A806D9">
            <w:pPr>
              <w:ind w:right="-7"/>
              <w:jc w:val="center"/>
              <w:rPr>
                <w:rFonts w:ascii="Palatino Linotype" w:eastAsia="Palatino Linotype" w:hAnsi="Palatino Linotype" w:cs="Palatino Linotype"/>
                <w:b/>
                <w:bCs/>
                <w:color w:val="000000" w:themeColor="text1"/>
              </w:rPr>
            </w:pPr>
            <w:r w:rsidRPr="00252BF8">
              <w:rPr>
                <w:rFonts w:ascii="Palatino Linotype" w:eastAsia="Palatino Linotype" w:hAnsi="Palatino Linotype" w:cs="Palatino Linotype"/>
                <w:b/>
                <w:bCs/>
                <w:color w:val="000000" w:themeColor="text1"/>
              </w:rPr>
              <w:lastRenderedPageBreak/>
              <w:t>04805/INFOEM/IP/RR/2025</w:t>
            </w:r>
          </w:p>
          <w:p w:rsidR="000E1360" w:rsidRPr="00252BF8" w:rsidRDefault="000E1360" w:rsidP="00A806D9">
            <w:pPr>
              <w:ind w:right="-7"/>
              <w:jc w:val="both"/>
              <w:rPr>
                <w:rFonts w:ascii="Palatino Linotype" w:eastAsia="Palatino Linotype" w:hAnsi="Palatino Linotype" w:cs="Palatino Linotype"/>
                <w:i/>
                <w:color w:val="000000" w:themeColor="text1"/>
              </w:rPr>
            </w:pPr>
          </w:p>
        </w:tc>
        <w:tc>
          <w:tcPr>
            <w:tcW w:w="6430" w:type="dxa"/>
            <w:vAlign w:val="center"/>
          </w:tcPr>
          <w:p w:rsidR="00A44B11" w:rsidRPr="00252BF8" w:rsidRDefault="00A44B11" w:rsidP="00A806D9">
            <w:pPr>
              <w:ind w:right="-7"/>
              <w:jc w:val="both"/>
              <w:rPr>
                <w:rFonts w:ascii="Palatino Linotype" w:eastAsia="Palatino Linotype" w:hAnsi="Palatino Linotype" w:cs="Palatino Linotype"/>
                <w:color w:val="000000" w:themeColor="text1"/>
              </w:rPr>
            </w:pPr>
          </w:p>
          <w:p w:rsidR="000E1360" w:rsidRPr="00252BF8" w:rsidRDefault="000E1360" w:rsidP="00A806D9">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b/>
                <w:color w:val="000000" w:themeColor="text1"/>
              </w:rPr>
              <w:t xml:space="preserve">Acto impugnado: </w:t>
            </w:r>
            <w:r w:rsidRPr="00252BF8">
              <w:rPr>
                <w:rFonts w:ascii="Palatino Linotype" w:eastAsia="Palatino Linotype" w:hAnsi="Palatino Linotype" w:cs="Palatino Linotype"/>
                <w:i/>
                <w:color w:val="000000" w:themeColor="text1"/>
              </w:rPr>
              <w:t>“RESPUESTA DEL SUJETO OBLIGADO A LA SOLICITUD DE INFORMACION.”</w:t>
            </w:r>
          </w:p>
          <w:p w:rsidR="000E1360" w:rsidRPr="00252BF8" w:rsidRDefault="000E1360" w:rsidP="00A806D9">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0E1360" w:rsidRPr="00252BF8" w:rsidRDefault="000E1360" w:rsidP="00A806D9">
            <w:pPr>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b/>
                <w:color w:val="000000" w:themeColor="text1"/>
              </w:rPr>
              <w:lastRenderedPageBreak/>
              <w:t xml:space="preserve">Razones o Motivos de inconformidad: </w:t>
            </w:r>
            <w:r w:rsidRPr="00252BF8">
              <w:rPr>
                <w:rFonts w:ascii="Palatino Linotype" w:eastAsia="Palatino Linotype" w:hAnsi="Palatino Linotype" w:cs="Palatino Linotype"/>
                <w:i/>
                <w:color w:val="000000" w:themeColor="text1"/>
              </w:rPr>
              <w:t xml:space="preserve">“La respuesta emitida es violatoria de los principios de máxima publicidad, rendición de cuentas y transparencia, así como de las obligaciones de transparencia y publicación proactiva previstas en la legislación aplicable, por las siguientes razones: Conforme al artículo 92 de la LTAIPEM, la publicación de información constituye una obligación de transparencia común que debe estar disponible de manera permanente en el sitio web institucional, sin necesidad de que el solicitante acuda de manera presencial, los entes públicos están obligados a publicar su Información financiera, programática y presupuestal en formatos accesibles, homogéneos y oportunos, garantizando su disponibilidad en medios electrónicos de fácil acceso para la ciudadanía. Inexistencia de Información Confidencial o Reservada en el Presupuesto: La información financiera, programática y presupuestal, por su naturaleza jurídica y finalidad, no puede considerarse como información reservada o confidencial, toda vez que involucra recursos públicos cuya gestión y destino son de interés general, conforme a los principios de transparencia y rendición de cuentas previstos en los artículos 2, 6, 7 y 8 de la LTAIPEM. El argumento de la autoridad sobre la necesidad de revisión para detectar información reservada carece de fundamento, dado que el contenido de la información financiera, programática y presupuestal debe ser, en todo momento. La negativa a proporcionar la información de manera directa y electrónica vulnera el principio de máxima publicidad, reconocido en el artículo 9 de la LTAIPEM, en perjuicio del derecho fundamental de acceso a la información pública consagrado en los artículos 6º de la Constitución Política de los Estados Unidos Mexicanos y 5º de la Constitución del Estado Libre y Soberano de México. Obstaculización del Derecho de Acceso a la Información: Al condicionar el acceso a la información a la revisión presencial en oficinas municipales, se impone una carga indebida al solicitante, en contravención </w:t>
            </w:r>
            <w:r w:rsidRPr="00252BF8">
              <w:rPr>
                <w:rFonts w:ascii="Palatino Linotype" w:eastAsia="Palatino Linotype" w:hAnsi="Palatino Linotype" w:cs="Palatino Linotype"/>
                <w:i/>
                <w:color w:val="000000" w:themeColor="text1"/>
              </w:rPr>
              <w:lastRenderedPageBreak/>
              <w:t>al principio de facilidad y gratuidad establecido en el artículo 4 de la LTAIPEM. El presente Recurso de Revisión se fundamenta en los artículos 147, 148, 149 y 150 de la Ley de Transparencia y Acceso a la Información Pública del Estado de México y Municipios. Por lo anteriormente expuesto, solicito a este Órgano Garante: Se ordene al Ayuntamiento de Ixtapan del Oro que entregue de manera electrónica él lo la información en términos de la solicitud presentada. Se exhorte a la autoridad a cumplir con su obligación de transparencia de oficio, publicando de manera permanente dicha información en su portal institucional. Se impongan, en su caso, las medidas de apremio y sanciones que correspondan conforme a la legislación aplicable. Se de vista al área correspondiente del propio Instituto de Acceso a la Información Pública del Estado de México para que en sus revisiones de verificaciones incluya la página web del Ayuntamiento de Ixtapan del Oro y verifique su cumplimiento y al Órgano Superior de Fiscalización para que en el ámbito de su competencia verifique el cumplimiento de la Ley General de Contabilidad Gubernamental de este Ayuntamiento”</w:t>
            </w:r>
          </w:p>
          <w:p w:rsidR="000E1360" w:rsidRPr="00252BF8" w:rsidRDefault="000E1360" w:rsidP="00A806D9">
            <w:pPr>
              <w:ind w:right="-7"/>
              <w:jc w:val="both"/>
              <w:rPr>
                <w:rFonts w:ascii="Palatino Linotype" w:eastAsia="Palatino Linotype" w:hAnsi="Palatino Linotype" w:cs="Palatino Linotype"/>
                <w:color w:val="000000" w:themeColor="text1"/>
              </w:rPr>
            </w:pPr>
          </w:p>
        </w:tc>
      </w:tr>
    </w:tbl>
    <w:p w:rsidR="007E0933" w:rsidRPr="00252BF8" w:rsidRDefault="007E0933" w:rsidP="00A806D9">
      <w:pPr>
        <w:ind w:right="-7"/>
        <w:jc w:val="both"/>
        <w:rPr>
          <w:rFonts w:ascii="Palatino Linotype" w:eastAsia="Palatino Linotype" w:hAnsi="Palatino Linotype" w:cs="Palatino Linotype"/>
          <w:b/>
          <w:i/>
          <w:color w:val="000000" w:themeColor="text1"/>
        </w:rPr>
      </w:pPr>
      <w:bookmarkStart w:id="2" w:name="_heading=h.1fob9te" w:colFirst="0" w:colLast="0"/>
      <w:bookmarkEnd w:id="2"/>
    </w:p>
    <w:p w:rsidR="00A806D9" w:rsidRPr="00252BF8" w:rsidRDefault="00A806D9" w:rsidP="00A806D9">
      <w:pPr>
        <w:ind w:right="-7"/>
        <w:jc w:val="both"/>
        <w:rPr>
          <w:rFonts w:ascii="Palatino Linotype" w:eastAsia="Palatino Linotype" w:hAnsi="Palatino Linotype" w:cs="Palatino Linotype"/>
          <w:b/>
          <w:i/>
          <w:color w:val="000000" w:themeColor="text1"/>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252BF8">
        <w:rPr>
          <w:rFonts w:ascii="Palatino Linotype" w:eastAsia="Palatino Linotype" w:hAnsi="Palatino Linotype" w:cs="Palatino Linotype"/>
          <w:color w:val="000000" w:themeColor="text1"/>
        </w:rPr>
        <w:t>Consecutivamente</w:t>
      </w:r>
      <w:r w:rsidRPr="00252BF8">
        <w:rPr>
          <w:rFonts w:ascii="Palatino Linotype" w:eastAsia="Palatino Linotype" w:hAnsi="Palatino Linotype" w:cs="Palatino Linotype"/>
          <w:i/>
          <w:color w:val="000000" w:themeColor="text1"/>
        </w:rPr>
        <w:t xml:space="preserve">, </w:t>
      </w:r>
      <w:r w:rsidRPr="00252BF8">
        <w:rPr>
          <w:rFonts w:ascii="Palatino Linotype" w:eastAsia="Palatino Linotype" w:hAnsi="Palatino Linotype" w:cs="Palatino Linotype"/>
          <w:color w:val="000000" w:themeColor="text1"/>
        </w:rPr>
        <w:t xml:space="preserve">con fundamento en lo dispuesto por el artículo 185 </w:t>
      </w:r>
      <w:proofErr w:type="gramStart"/>
      <w:r w:rsidRPr="00252BF8">
        <w:rPr>
          <w:rFonts w:ascii="Palatino Linotype" w:eastAsia="Palatino Linotype" w:hAnsi="Palatino Linotype" w:cs="Palatino Linotype"/>
          <w:color w:val="000000" w:themeColor="text1"/>
        </w:rPr>
        <w:t>fracción</w:t>
      </w:r>
      <w:proofErr w:type="gramEnd"/>
      <w:r w:rsidRPr="00252BF8">
        <w:rPr>
          <w:rFonts w:ascii="Palatino Linotype" w:eastAsia="Palatino Linotype" w:hAnsi="Palatino Linotype" w:cs="Palatino Linotype"/>
          <w:color w:val="000000" w:themeColor="text1"/>
        </w:rPr>
        <w:t xml:space="preserve"> I de la Ley de Transparencia y Acceso a la Información Pública del Estado de México y Municipios, el recurso fue turnado a la ponencia de la </w:t>
      </w:r>
      <w:r w:rsidRPr="00252BF8">
        <w:rPr>
          <w:rFonts w:ascii="Palatino Linotype" w:eastAsia="Palatino Linotype" w:hAnsi="Palatino Linotype" w:cs="Palatino Linotype"/>
          <w:b/>
          <w:color w:val="000000" w:themeColor="text1"/>
        </w:rPr>
        <w:t>Comisionada</w:t>
      </w:r>
      <w:r w:rsidRPr="00252BF8">
        <w:rPr>
          <w:rFonts w:ascii="Palatino Linotype" w:eastAsia="Palatino Linotype" w:hAnsi="Palatino Linotype" w:cs="Palatino Linotype"/>
          <w:color w:val="000000" w:themeColor="text1"/>
        </w:rPr>
        <w:t xml:space="preserve"> </w:t>
      </w:r>
      <w:r w:rsidRPr="00252BF8">
        <w:rPr>
          <w:rFonts w:ascii="Palatino Linotype" w:eastAsia="Palatino Linotype" w:hAnsi="Palatino Linotype" w:cs="Palatino Linotype"/>
          <w:b/>
          <w:color w:val="000000" w:themeColor="text1"/>
        </w:rPr>
        <w:t>María del Rosario Mejía Ayala</w:t>
      </w:r>
      <w:r w:rsidRPr="00252BF8">
        <w:rPr>
          <w:rFonts w:ascii="Palatino Linotype" w:eastAsia="Palatino Linotype" w:hAnsi="Palatino Linotype" w:cs="Palatino Linotype"/>
          <w:color w:val="000000" w:themeColor="text1"/>
        </w:rPr>
        <w:t>,</w:t>
      </w:r>
      <w:r w:rsidRPr="00252BF8">
        <w:rPr>
          <w:rFonts w:ascii="Palatino Linotype" w:eastAsia="Palatino Linotype" w:hAnsi="Palatino Linotype" w:cs="Palatino Linotype"/>
          <w:b/>
          <w:color w:val="000000" w:themeColor="text1"/>
        </w:rPr>
        <w:t xml:space="preserve"> </w:t>
      </w:r>
      <w:r w:rsidR="009F31CF">
        <w:rPr>
          <w:rFonts w:ascii="Palatino Linotype" w:eastAsia="Palatino Linotype" w:hAnsi="Palatino Linotype" w:cs="Palatino Linotype"/>
          <w:color w:val="000000" w:themeColor="text1"/>
        </w:rPr>
        <w:t>para</w:t>
      </w:r>
      <w:r w:rsidRPr="00252BF8">
        <w:rPr>
          <w:rFonts w:ascii="Palatino Linotype" w:eastAsia="Palatino Linotype" w:hAnsi="Palatino Linotype" w:cs="Palatino Linotype"/>
          <w:color w:val="000000" w:themeColor="text1"/>
        </w:rPr>
        <w:t xml:space="preserve"> su análisis.</w:t>
      </w:r>
    </w:p>
    <w:p w:rsidR="007E0933" w:rsidRPr="00252BF8" w:rsidRDefault="007E0933" w:rsidP="00A806D9">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252BF8">
        <w:rPr>
          <w:rFonts w:ascii="Palatino Linotype" w:eastAsia="Palatino Linotype" w:hAnsi="Palatino Linotype" w:cs="Palatino Linotype"/>
          <w:color w:val="000000" w:themeColor="text1"/>
        </w:rPr>
        <w:t>La Comisionada Ponente con fundamento en lo dispuesto por el artículo 185 fracción II de la</w:t>
      </w:r>
      <w:r w:rsidR="000E1360" w:rsidRPr="00252BF8">
        <w:rPr>
          <w:rFonts w:ascii="Palatino Linotype" w:eastAsia="Palatino Linotype" w:hAnsi="Palatino Linotype" w:cs="Palatino Linotype"/>
          <w:color w:val="000000" w:themeColor="text1"/>
        </w:rPr>
        <w:t xml:space="preserve"> ley de la materia, a través de los</w:t>
      </w:r>
      <w:r w:rsidRPr="00252BF8">
        <w:rPr>
          <w:rFonts w:ascii="Palatino Linotype" w:eastAsia="Palatino Linotype" w:hAnsi="Palatino Linotype" w:cs="Palatino Linotype"/>
          <w:color w:val="000000" w:themeColor="text1"/>
        </w:rPr>
        <w:t xml:space="preserve"> </w:t>
      </w:r>
      <w:r w:rsidRPr="00252BF8">
        <w:rPr>
          <w:rFonts w:ascii="Palatino Linotype" w:eastAsia="Palatino Linotype" w:hAnsi="Palatino Linotype" w:cs="Palatino Linotype"/>
          <w:b/>
          <w:color w:val="000000" w:themeColor="text1"/>
        </w:rPr>
        <w:t>acuerdo</w:t>
      </w:r>
      <w:r w:rsidR="000E1360" w:rsidRPr="00252BF8">
        <w:rPr>
          <w:rFonts w:ascii="Palatino Linotype" w:eastAsia="Palatino Linotype" w:hAnsi="Palatino Linotype" w:cs="Palatino Linotype"/>
          <w:b/>
          <w:color w:val="000000" w:themeColor="text1"/>
        </w:rPr>
        <w:t>s</w:t>
      </w:r>
      <w:r w:rsidRPr="00252BF8">
        <w:rPr>
          <w:rFonts w:ascii="Palatino Linotype" w:eastAsia="Palatino Linotype" w:hAnsi="Palatino Linotype" w:cs="Palatino Linotype"/>
          <w:b/>
          <w:color w:val="000000" w:themeColor="text1"/>
        </w:rPr>
        <w:t xml:space="preserve"> de admisión </w:t>
      </w:r>
      <w:r w:rsidRPr="00252BF8">
        <w:rPr>
          <w:rFonts w:ascii="Palatino Linotype" w:eastAsia="Palatino Linotype" w:hAnsi="Palatino Linotype" w:cs="Palatino Linotype"/>
          <w:color w:val="000000" w:themeColor="text1"/>
        </w:rPr>
        <w:t xml:space="preserve">del </w:t>
      </w:r>
      <w:r w:rsidR="00490E94" w:rsidRPr="00252BF8">
        <w:rPr>
          <w:rFonts w:ascii="Palatino Linotype" w:eastAsia="Palatino Linotype" w:hAnsi="Palatino Linotype" w:cs="Palatino Linotype"/>
          <w:b/>
          <w:color w:val="000000" w:themeColor="text1"/>
        </w:rPr>
        <w:t xml:space="preserve">veintinueve </w:t>
      </w:r>
      <w:r w:rsidR="000E1360" w:rsidRPr="00252BF8">
        <w:rPr>
          <w:rFonts w:ascii="Palatino Linotype" w:eastAsia="Palatino Linotype" w:hAnsi="Palatino Linotype" w:cs="Palatino Linotype"/>
          <w:b/>
          <w:color w:val="000000" w:themeColor="text1"/>
        </w:rPr>
        <w:t xml:space="preserve">y treinta </w:t>
      </w:r>
      <w:r w:rsidR="00490E94" w:rsidRPr="00252BF8">
        <w:rPr>
          <w:rFonts w:ascii="Palatino Linotype" w:eastAsia="Palatino Linotype" w:hAnsi="Palatino Linotype" w:cs="Palatino Linotype"/>
          <w:b/>
          <w:color w:val="000000" w:themeColor="text1"/>
        </w:rPr>
        <w:t xml:space="preserve">de abril </w:t>
      </w:r>
      <w:r w:rsidRPr="00252BF8">
        <w:rPr>
          <w:rFonts w:ascii="Palatino Linotype" w:eastAsia="Palatino Linotype" w:hAnsi="Palatino Linotype" w:cs="Palatino Linotype"/>
          <w:b/>
          <w:color w:val="000000" w:themeColor="text1"/>
        </w:rPr>
        <w:t xml:space="preserve">de dos mil veinticinco, </w:t>
      </w:r>
      <w:r w:rsidRPr="00252BF8">
        <w:rPr>
          <w:rFonts w:ascii="Palatino Linotype" w:eastAsia="Palatino Linotype" w:hAnsi="Palatino Linotype" w:cs="Palatino Linotype"/>
          <w:color w:val="000000" w:themeColor="text1"/>
        </w:rPr>
        <w:t xml:space="preserve">puso a disposición de las partes el expediente </w:t>
      </w:r>
      <w:r w:rsidRPr="00252BF8">
        <w:rPr>
          <w:rFonts w:ascii="Palatino Linotype" w:eastAsia="Palatino Linotype" w:hAnsi="Palatino Linotype" w:cs="Palatino Linotype"/>
          <w:color w:val="000000" w:themeColor="text1"/>
        </w:rPr>
        <w:lastRenderedPageBreak/>
        <w:t xml:space="preserve">electrónico vía SAIMEX a efecto de que en un plazo máximo de siete días manifestara lo que a su derecho conviniera, ofreciera pruebas y alegatos según corresponda al caso concreto, de esta forma para que el </w:t>
      </w:r>
      <w:r w:rsidRPr="00252BF8">
        <w:rPr>
          <w:rFonts w:ascii="Palatino Linotype" w:eastAsia="Palatino Linotype" w:hAnsi="Palatino Linotype" w:cs="Palatino Linotype"/>
          <w:b/>
          <w:color w:val="000000" w:themeColor="text1"/>
        </w:rPr>
        <w:t xml:space="preserve">SUJETO OBLIGADO </w:t>
      </w:r>
      <w:r w:rsidRPr="00252BF8">
        <w:rPr>
          <w:rFonts w:ascii="Palatino Linotype" w:eastAsia="Palatino Linotype" w:hAnsi="Palatino Linotype" w:cs="Palatino Linotype"/>
          <w:color w:val="000000" w:themeColor="text1"/>
        </w:rPr>
        <w:t>presentará el Informe Justificado procedente.</w:t>
      </w:r>
    </w:p>
    <w:p w:rsidR="007E0933" w:rsidRPr="00252BF8" w:rsidRDefault="007E0933" w:rsidP="00A806D9">
      <w:pPr>
        <w:pBdr>
          <w:top w:val="nil"/>
          <w:left w:val="nil"/>
          <w:bottom w:val="nil"/>
          <w:right w:val="nil"/>
          <w:between w:val="nil"/>
        </w:pBdr>
        <w:ind w:right="-7"/>
        <w:rPr>
          <w:rFonts w:ascii="Palatino Linotype" w:eastAsia="Palatino Linotype" w:hAnsi="Palatino Linotype" w:cs="Palatino Linotype"/>
          <w:color w:val="000000" w:themeColor="text1"/>
        </w:rPr>
      </w:pPr>
    </w:p>
    <w:p w:rsidR="00765D52" w:rsidRPr="00252BF8" w:rsidRDefault="00490E94" w:rsidP="00A806D9">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color w:val="000000" w:themeColor="text1"/>
        </w:rPr>
        <w:t>E</w:t>
      </w:r>
      <w:r w:rsidR="007E0933" w:rsidRPr="00252BF8">
        <w:rPr>
          <w:rFonts w:ascii="Palatino Linotype" w:eastAsia="Palatino Linotype" w:hAnsi="Palatino Linotype" w:cs="Palatino Linotype"/>
          <w:color w:val="000000" w:themeColor="text1"/>
        </w:rPr>
        <w:t xml:space="preserve">l </w:t>
      </w:r>
      <w:r w:rsidR="007E0933" w:rsidRPr="00252BF8">
        <w:rPr>
          <w:rFonts w:ascii="Palatino Linotype" w:eastAsia="Palatino Linotype" w:hAnsi="Palatino Linotype" w:cs="Palatino Linotype"/>
          <w:b/>
          <w:color w:val="000000" w:themeColor="text1"/>
        </w:rPr>
        <w:t xml:space="preserve">SUJETO OBLIGADO </w:t>
      </w:r>
      <w:r w:rsidRPr="00252BF8">
        <w:rPr>
          <w:rFonts w:ascii="Palatino Linotype" w:eastAsia="Palatino Linotype" w:hAnsi="Palatino Linotype" w:cs="Palatino Linotype"/>
          <w:color w:val="000000" w:themeColor="text1"/>
        </w:rPr>
        <w:t>y el</w:t>
      </w:r>
      <w:r w:rsidR="007E0933" w:rsidRPr="00252BF8">
        <w:rPr>
          <w:rFonts w:ascii="Palatino Linotype" w:eastAsia="Palatino Linotype" w:hAnsi="Palatino Linotype" w:cs="Palatino Linotype"/>
          <w:color w:val="000000" w:themeColor="text1"/>
        </w:rPr>
        <w:t xml:space="preserve"> </w:t>
      </w:r>
      <w:r w:rsidR="007E0933" w:rsidRPr="00252BF8">
        <w:rPr>
          <w:rFonts w:ascii="Palatino Linotype" w:eastAsia="Palatino Linotype" w:hAnsi="Palatino Linotype" w:cs="Palatino Linotype"/>
          <w:b/>
          <w:color w:val="000000" w:themeColor="text1"/>
        </w:rPr>
        <w:t>RECURRENTE</w:t>
      </w:r>
      <w:r w:rsidR="000A4B49" w:rsidRPr="00252BF8">
        <w:rPr>
          <w:rFonts w:ascii="Palatino Linotype" w:eastAsia="Palatino Linotype" w:hAnsi="Palatino Linotype" w:cs="Palatino Linotype"/>
          <w:b/>
          <w:color w:val="000000" w:themeColor="text1"/>
        </w:rPr>
        <w:t xml:space="preserve"> </w:t>
      </w:r>
      <w:r w:rsidRPr="00252BF8">
        <w:rPr>
          <w:rFonts w:ascii="Palatino Linotype" w:eastAsia="Palatino Linotype" w:hAnsi="Palatino Linotype" w:cs="Palatino Linotype"/>
          <w:color w:val="000000" w:themeColor="text1"/>
        </w:rPr>
        <w:t xml:space="preserve">fueron omisos en realizar manifestaciones conforme su derecho conviniera y asistiera. </w:t>
      </w:r>
    </w:p>
    <w:p w:rsidR="000E1360" w:rsidRPr="00252BF8" w:rsidRDefault="000E1360"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0E1360" w:rsidRPr="00252BF8" w:rsidRDefault="000E1360" w:rsidP="00A806D9">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Posteriormente el Pleno de este Órgano Autónomo, en la</w:t>
      </w:r>
      <w:r w:rsidRPr="00252BF8">
        <w:rPr>
          <w:rFonts w:ascii="Palatino Linotype" w:eastAsia="Palatino Linotype" w:hAnsi="Palatino Linotype" w:cs="Palatino Linotype"/>
          <w:b/>
          <w:color w:val="000000" w:themeColor="text1"/>
        </w:rPr>
        <w:t xml:space="preserve"> 17a Sesión Ordinaria </w:t>
      </w:r>
      <w:r w:rsidRPr="00252BF8">
        <w:rPr>
          <w:rFonts w:ascii="Palatino Linotype" w:eastAsia="Palatino Linotype" w:hAnsi="Palatino Linotype" w:cs="Palatino Linotype"/>
          <w:color w:val="000000" w:themeColor="text1"/>
        </w:rPr>
        <w:t>del</w:t>
      </w:r>
      <w:r w:rsidRPr="00252BF8">
        <w:rPr>
          <w:rFonts w:ascii="Palatino Linotype" w:eastAsia="Palatino Linotype" w:hAnsi="Palatino Linotype" w:cs="Palatino Linotype"/>
          <w:b/>
          <w:color w:val="000000" w:themeColor="text1"/>
        </w:rPr>
        <w:t xml:space="preserve"> </w:t>
      </w:r>
      <w:r w:rsidR="00513E2D" w:rsidRPr="00252BF8">
        <w:rPr>
          <w:rFonts w:ascii="Palatino Linotype" w:eastAsia="Palatino Linotype" w:hAnsi="Palatino Linotype" w:cs="Palatino Linotype"/>
          <w:b/>
          <w:color w:val="000000" w:themeColor="text1"/>
        </w:rPr>
        <w:t>catorce de mayo de dos mil veinticinco</w:t>
      </w:r>
      <w:r w:rsidRPr="00252BF8">
        <w:rPr>
          <w:rFonts w:ascii="Palatino Linotype" w:eastAsia="Palatino Linotype" w:hAnsi="Palatino Linotype" w:cs="Palatino Linotype"/>
          <w:color w:val="000000" w:themeColor="text1"/>
        </w:rPr>
        <w:t xml:space="preserve">; y notificado a las partes el </w:t>
      </w:r>
      <w:r w:rsidR="00513E2D" w:rsidRPr="00252BF8">
        <w:rPr>
          <w:rFonts w:ascii="Palatino Linotype" w:eastAsia="Palatino Linotype" w:hAnsi="Palatino Linotype" w:cs="Palatino Linotype"/>
          <w:b/>
          <w:color w:val="000000" w:themeColor="text1"/>
        </w:rPr>
        <w:t>veintidós de mayo del mismo año</w:t>
      </w:r>
      <w:r w:rsidRPr="00252BF8">
        <w:rPr>
          <w:rFonts w:ascii="Palatino Linotype" w:eastAsia="Palatino Linotype" w:hAnsi="Palatino Linotype" w:cs="Palatino Linotype"/>
          <w:b/>
          <w:color w:val="000000" w:themeColor="text1"/>
        </w:rPr>
        <w:t xml:space="preserve">, </w:t>
      </w:r>
      <w:r w:rsidRPr="00252BF8">
        <w:rPr>
          <w:rFonts w:ascii="Palatino Linotype" w:eastAsia="Palatino Linotype" w:hAnsi="Palatino Linotype" w:cs="Palatino Linotype"/>
          <w:color w:val="000000" w:themeColor="text1"/>
        </w:rPr>
        <w:t xml:space="preserve">ordenó la acumulación de los recursos de revisión de mérito, a efecto de que la Ponencia de la </w:t>
      </w:r>
      <w:r w:rsidRPr="00252BF8">
        <w:rPr>
          <w:rFonts w:ascii="Palatino Linotype" w:eastAsia="Palatino Linotype" w:hAnsi="Palatino Linotype" w:cs="Palatino Linotype"/>
          <w:b/>
          <w:color w:val="000000" w:themeColor="text1"/>
        </w:rPr>
        <w:t xml:space="preserve">Comisionada María del Rosario Mejía Ayala </w:t>
      </w:r>
      <w:r w:rsidRPr="00252BF8">
        <w:rPr>
          <w:rFonts w:ascii="Palatino Linotype" w:eastAsia="Palatino Linotype" w:hAnsi="Palatino Linotype" w:cs="Palatino Linotype"/>
          <w:color w:val="000000" w:themeColor="text1"/>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252BF8">
        <w:rPr>
          <w:rFonts w:ascii="Palatino Linotype" w:eastAsia="Palatino Linotype" w:hAnsi="Palatino Linotype" w:cs="Palatino Linotype"/>
          <w:i/>
          <w:color w:val="000000" w:themeColor="text1"/>
          <w:vertAlign w:val="superscript"/>
        </w:rPr>
        <w:footnoteReference w:id="1"/>
      </w:r>
      <w:r w:rsidRPr="00252BF8">
        <w:rPr>
          <w:rFonts w:ascii="Palatino Linotype" w:eastAsia="Palatino Linotype" w:hAnsi="Palatino Linotype" w:cs="Palatino Linotype"/>
          <w:color w:val="000000" w:themeColor="text1"/>
        </w:rPr>
        <w:t>, que señala:</w:t>
      </w:r>
    </w:p>
    <w:p w:rsidR="000E1360" w:rsidRPr="00252BF8" w:rsidRDefault="000E1360" w:rsidP="00A806D9">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b/>
          <w:i/>
          <w:color w:val="000000" w:themeColor="text1"/>
        </w:rPr>
        <w:t>“ONCE.</w:t>
      </w:r>
      <w:r w:rsidRPr="00252BF8">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0E1360" w:rsidRPr="00252BF8" w:rsidRDefault="000E1360" w:rsidP="00A806D9">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w:t>
      </w:r>
      <w:r w:rsidRPr="00252BF8">
        <w:rPr>
          <w:rFonts w:ascii="Palatino Linotype" w:eastAsia="Palatino Linotype" w:hAnsi="Palatino Linotype" w:cs="Palatino Linotype"/>
          <w:i/>
          <w:color w:val="000000" w:themeColor="text1"/>
        </w:rPr>
        <w:tab/>
      </w:r>
    </w:p>
    <w:p w:rsidR="000E1360" w:rsidRPr="00252BF8" w:rsidRDefault="000E1360" w:rsidP="00A806D9">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b) Las partes o los actos impugnados sean iguales</w:t>
      </w:r>
    </w:p>
    <w:p w:rsidR="000E1360" w:rsidRPr="00252BF8" w:rsidRDefault="000E1360" w:rsidP="00A806D9">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lastRenderedPageBreak/>
        <w:t>c) Cuando se trate del mismo solicitante, el mismo SUJETO OBLIGADO, aunque se trate de solicitudes diversas;</w:t>
      </w:r>
    </w:p>
    <w:p w:rsidR="000E1360" w:rsidRPr="00252BF8" w:rsidRDefault="000E1360" w:rsidP="00A806D9">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w:t>
      </w:r>
    </w:p>
    <w:p w:rsidR="000E1360" w:rsidRPr="00252BF8" w:rsidRDefault="000E1360" w:rsidP="00A806D9">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(Énfasis añadido)</w:t>
      </w:r>
    </w:p>
    <w:p w:rsidR="000E1360" w:rsidRPr="00252BF8" w:rsidRDefault="000E1360" w:rsidP="00A806D9">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color w:val="000000" w:themeColor="text1"/>
        </w:rPr>
      </w:pPr>
    </w:p>
    <w:p w:rsidR="000E1360" w:rsidRPr="00252BF8" w:rsidRDefault="000E1360" w:rsidP="00A806D9">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Es así que,</w:t>
      </w:r>
      <w:r w:rsidRPr="00252BF8">
        <w:rPr>
          <w:rFonts w:ascii="Palatino Linotype" w:eastAsia="Palatino Linotype" w:hAnsi="Palatino Linotype" w:cs="Palatino Linotype"/>
          <w:i/>
          <w:color w:val="000000" w:themeColor="text1"/>
        </w:rPr>
        <w:t xml:space="preserve"> </w:t>
      </w:r>
      <w:r w:rsidRPr="00252BF8">
        <w:rPr>
          <w:rFonts w:ascii="Palatino Linotype" w:eastAsia="Palatino Linotype" w:hAnsi="Palatino Linotype" w:cs="Palatino Linotype"/>
          <w:color w:val="000000" w:themeColor="text1"/>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0E1360" w:rsidRPr="00252BF8" w:rsidRDefault="000E1360" w:rsidP="00A806D9">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252BF8">
        <w:rPr>
          <w:rFonts w:ascii="Palatino Linotype" w:eastAsia="Palatino Linotype" w:hAnsi="Palatino Linotype" w:cs="Palatino Linotype"/>
          <w:b/>
          <w:i/>
          <w:color w:val="000000" w:themeColor="text1"/>
        </w:rPr>
        <w:t>Código de Procedimientos Administrativos del Estado de México.</w:t>
      </w:r>
    </w:p>
    <w:p w:rsidR="000E1360" w:rsidRPr="00252BF8" w:rsidRDefault="000E1360" w:rsidP="00A806D9">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b/>
          <w:i/>
          <w:color w:val="000000" w:themeColor="text1"/>
        </w:rPr>
        <w:t>“Artículo 18.-</w:t>
      </w:r>
      <w:r w:rsidRPr="00252BF8">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0E1360" w:rsidRPr="00252BF8" w:rsidRDefault="000E1360" w:rsidP="00A806D9">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252BF8">
        <w:rPr>
          <w:rFonts w:ascii="Palatino Linotype" w:eastAsia="Palatino Linotype" w:hAnsi="Palatino Linotype" w:cs="Palatino Linotype"/>
          <w:b/>
          <w:i/>
          <w:color w:val="000000" w:themeColor="text1"/>
        </w:rPr>
        <w:t>Ley de Transparencia y Acceso a la Información Pública del Estado de México y Municipios</w:t>
      </w:r>
    </w:p>
    <w:p w:rsidR="000E1360" w:rsidRPr="00252BF8" w:rsidRDefault="000E1360" w:rsidP="00A806D9">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b/>
          <w:i/>
          <w:color w:val="000000" w:themeColor="text1"/>
        </w:rPr>
        <w:t>“Artículo 195.</w:t>
      </w:r>
      <w:r w:rsidRPr="00252BF8">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rsidR="000E1360" w:rsidRPr="00252BF8" w:rsidRDefault="000E1360" w:rsidP="00A806D9">
      <w:pPr>
        <w:pBdr>
          <w:top w:val="nil"/>
          <w:left w:val="nil"/>
          <w:bottom w:val="nil"/>
          <w:right w:val="nil"/>
          <w:between w:val="nil"/>
        </w:pBdr>
        <w:ind w:right="-7" w:firstLine="360"/>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(Énfasis añadido)</w:t>
      </w:r>
    </w:p>
    <w:p w:rsidR="00490E94" w:rsidRPr="00252BF8" w:rsidRDefault="00490E94"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7E0933" w:rsidRPr="00252BF8" w:rsidRDefault="003A1027" w:rsidP="00A806D9">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3" w:name="_heading=h.2et92p0" w:colFirst="0" w:colLast="0"/>
      <w:bookmarkEnd w:id="3"/>
      <w:r w:rsidRPr="00252BF8">
        <w:rPr>
          <w:rFonts w:ascii="Palatino Linotype" w:eastAsia="Palatino Linotype" w:hAnsi="Palatino Linotype" w:cs="Palatino Linotype"/>
          <w:color w:val="000000" w:themeColor="text1"/>
        </w:rPr>
        <w:lastRenderedPageBreak/>
        <w:t xml:space="preserve">El </w:t>
      </w:r>
      <w:r w:rsidR="00490E94" w:rsidRPr="00252BF8">
        <w:rPr>
          <w:rFonts w:ascii="Palatino Linotype" w:eastAsia="Palatino Linotype" w:hAnsi="Palatino Linotype" w:cs="Palatino Linotype"/>
          <w:b/>
          <w:color w:val="000000" w:themeColor="text1"/>
        </w:rPr>
        <w:t>quince</w:t>
      </w:r>
      <w:r w:rsidRPr="00252BF8">
        <w:rPr>
          <w:rFonts w:ascii="Palatino Linotype" w:eastAsia="Palatino Linotype" w:hAnsi="Palatino Linotype" w:cs="Palatino Linotype"/>
          <w:b/>
          <w:color w:val="000000" w:themeColor="text1"/>
        </w:rPr>
        <w:t xml:space="preserve"> de mayo </w:t>
      </w:r>
      <w:r w:rsidR="00DA18F6" w:rsidRPr="00252BF8">
        <w:rPr>
          <w:rFonts w:ascii="Palatino Linotype" w:eastAsia="Palatino Linotype" w:hAnsi="Palatino Linotype" w:cs="Palatino Linotype"/>
          <w:b/>
          <w:color w:val="000000" w:themeColor="text1"/>
        </w:rPr>
        <w:t xml:space="preserve">y veintidós de mayo </w:t>
      </w:r>
      <w:r w:rsidRPr="00252BF8">
        <w:rPr>
          <w:rFonts w:ascii="Palatino Linotype" w:eastAsia="Palatino Linotype" w:hAnsi="Palatino Linotype" w:cs="Palatino Linotype"/>
          <w:b/>
          <w:color w:val="000000" w:themeColor="text1"/>
        </w:rPr>
        <w:t>de dos mil veinticinco</w:t>
      </w:r>
      <w:r w:rsidR="00490E94" w:rsidRPr="00252BF8">
        <w:rPr>
          <w:rFonts w:ascii="Palatino Linotype" w:eastAsia="Palatino Linotype" w:hAnsi="Palatino Linotype" w:cs="Palatino Linotype"/>
          <w:color w:val="000000" w:themeColor="text1"/>
        </w:rPr>
        <w:t>, se</w:t>
      </w:r>
      <w:r w:rsidR="007E0933" w:rsidRPr="00252BF8">
        <w:rPr>
          <w:rFonts w:ascii="Palatino Linotype" w:eastAsia="Palatino Linotype" w:hAnsi="Palatino Linotype" w:cs="Palatino Linotype"/>
          <w:color w:val="000000" w:themeColor="text1"/>
        </w:rPr>
        <w:t xml:space="preserve"> d</w:t>
      </w:r>
      <w:r w:rsidR="000E1360" w:rsidRPr="00252BF8">
        <w:rPr>
          <w:rFonts w:ascii="Palatino Linotype" w:eastAsia="Palatino Linotype" w:hAnsi="Palatino Linotype" w:cs="Palatino Linotype"/>
          <w:color w:val="000000" w:themeColor="text1"/>
        </w:rPr>
        <w:t>ecretaron los cierres</w:t>
      </w:r>
      <w:r w:rsidR="007E0933" w:rsidRPr="00252BF8">
        <w:rPr>
          <w:rFonts w:ascii="Palatino Linotype" w:eastAsia="Palatino Linotype" w:hAnsi="Palatino Linotype" w:cs="Palatino Linotype"/>
          <w:color w:val="000000" w:themeColor="text1"/>
        </w:rPr>
        <w:t xml:space="preserve"> de instrucción </w:t>
      </w:r>
      <w:r w:rsidR="00490E94" w:rsidRPr="00252BF8">
        <w:rPr>
          <w:rFonts w:ascii="Palatino Linotype" w:eastAsia="Palatino Linotype" w:hAnsi="Palatino Linotype" w:cs="Palatino Linotype"/>
          <w:color w:val="000000" w:themeColor="text1"/>
        </w:rPr>
        <w:t xml:space="preserve">dentro del recurso que nos ocupa, </w:t>
      </w:r>
      <w:r w:rsidR="007E0933" w:rsidRPr="00252BF8">
        <w:rPr>
          <w:rFonts w:ascii="Palatino Linotype" w:eastAsia="Palatino Linotype" w:hAnsi="Palatino Linotype" w:cs="Palatino Linotype"/>
          <w:color w:val="000000" w:themeColor="text1"/>
        </w:rPr>
        <w:t>por lo que no habiendo más que hacer constar, y</w:t>
      </w:r>
    </w:p>
    <w:p w:rsidR="007E0933" w:rsidRPr="00252BF8" w:rsidRDefault="007E0933" w:rsidP="00A806D9">
      <w:pPr>
        <w:spacing w:line="360" w:lineRule="auto"/>
        <w:ind w:right="-7"/>
        <w:rPr>
          <w:rFonts w:ascii="Palatino Linotype" w:eastAsia="Palatino Linotype" w:hAnsi="Palatino Linotype" w:cs="Palatino Linotype"/>
          <w:b/>
          <w:color w:val="000000" w:themeColor="text1"/>
        </w:rPr>
      </w:pPr>
      <w:bookmarkStart w:id="4" w:name="_heading=h.162m1m3fkzl6" w:colFirst="0" w:colLast="0"/>
      <w:bookmarkEnd w:id="4"/>
    </w:p>
    <w:p w:rsidR="007E0933" w:rsidRPr="00252BF8" w:rsidRDefault="007E0933" w:rsidP="00A806D9">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252BF8">
        <w:rPr>
          <w:rFonts w:ascii="Palatino Linotype" w:eastAsia="Palatino Linotype" w:hAnsi="Palatino Linotype" w:cs="Palatino Linotype"/>
          <w:b/>
          <w:color w:val="000000" w:themeColor="text1"/>
        </w:rPr>
        <w:t xml:space="preserve">C O N S I D E R A N D O </w:t>
      </w:r>
    </w:p>
    <w:p w:rsidR="00A806D9" w:rsidRPr="00252BF8" w:rsidRDefault="00A806D9" w:rsidP="00A806D9">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p>
    <w:p w:rsidR="007E0933" w:rsidRPr="00252BF8" w:rsidRDefault="007E0933" w:rsidP="00A806D9">
      <w:pPr>
        <w:pStyle w:val="Ttulo2"/>
        <w:spacing w:before="0" w:line="360" w:lineRule="auto"/>
        <w:ind w:right="-7"/>
        <w:rPr>
          <w:rFonts w:ascii="Palatino Linotype" w:eastAsia="Palatino Linotype" w:hAnsi="Palatino Linotype" w:cs="Palatino Linotype"/>
          <w:b/>
          <w:color w:val="000000" w:themeColor="text1"/>
          <w:sz w:val="24"/>
          <w:szCs w:val="24"/>
        </w:rPr>
      </w:pPr>
      <w:bookmarkStart w:id="5" w:name="_heading=h.tyjcwt" w:colFirst="0" w:colLast="0"/>
      <w:bookmarkEnd w:id="5"/>
      <w:r w:rsidRPr="00252BF8">
        <w:rPr>
          <w:rFonts w:ascii="Palatino Linotype" w:eastAsia="Palatino Linotype" w:hAnsi="Palatino Linotype" w:cs="Palatino Linotype"/>
          <w:b/>
          <w:color w:val="000000" w:themeColor="text1"/>
          <w:sz w:val="24"/>
          <w:szCs w:val="24"/>
        </w:rPr>
        <w:t>PRIMERO. De la competencia</w:t>
      </w:r>
    </w:p>
    <w:p w:rsidR="007E0933" w:rsidRPr="00252BF8" w:rsidRDefault="000536F8" w:rsidP="00A806D9">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252BF8">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7E0933" w:rsidRPr="00252BF8">
        <w:rPr>
          <w:rFonts w:ascii="Palatino Linotype" w:eastAsia="Palatino Linotype" w:hAnsi="Palatino Linotype" w:cs="Palatino Linotype"/>
          <w:color w:val="000000" w:themeColor="text1"/>
        </w:rPr>
        <w:t>.</w:t>
      </w:r>
    </w:p>
    <w:p w:rsidR="007E0933" w:rsidRPr="00252BF8" w:rsidRDefault="007E0933" w:rsidP="00A806D9">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bookmarkStart w:id="6" w:name="_heading=h.3dy6vkm" w:colFirst="0" w:colLast="0"/>
      <w:bookmarkEnd w:id="6"/>
    </w:p>
    <w:p w:rsidR="007E0933" w:rsidRPr="00252BF8" w:rsidRDefault="007E0933" w:rsidP="00A806D9">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bookmarkStart w:id="7" w:name="_heading=h.1t3h5sf" w:colFirst="0" w:colLast="0"/>
      <w:bookmarkEnd w:id="7"/>
      <w:r w:rsidRPr="00252BF8">
        <w:rPr>
          <w:rFonts w:ascii="Palatino Linotype" w:eastAsia="Palatino Linotype" w:hAnsi="Palatino Linotype" w:cs="Palatino Linotype"/>
          <w:b/>
          <w:color w:val="000000" w:themeColor="text1"/>
        </w:rPr>
        <w:t>SEGUNDO. De la oportunidad y procedencia.</w:t>
      </w: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bookmarkStart w:id="8" w:name="_heading=h.4d34og8" w:colFirst="0" w:colLast="0"/>
      <w:bookmarkEnd w:id="8"/>
      <w:r w:rsidRPr="00252BF8">
        <w:rPr>
          <w:rFonts w:ascii="Palatino Linotype" w:eastAsia="Palatino Linotype" w:hAnsi="Palatino Linotype" w:cs="Palatino Linotype"/>
          <w:color w:val="000000" w:themeColor="text1"/>
        </w:rPr>
        <w:t xml:space="preserve">Los medios de impugnación fueron presentados a través del </w:t>
      </w:r>
      <w:r w:rsidRPr="00252BF8">
        <w:rPr>
          <w:rFonts w:ascii="Palatino Linotype" w:eastAsia="Palatino Linotype" w:hAnsi="Palatino Linotype" w:cs="Palatino Linotype"/>
          <w:b/>
          <w:color w:val="000000" w:themeColor="text1"/>
        </w:rPr>
        <w:t>SAIMEX,</w:t>
      </w:r>
      <w:r w:rsidRPr="00252BF8">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252BF8">
        <w:rPr>
          <w:rFonts w:ascii="Palatino Linotype" w:eastAsia="Palatino Linotype" w:hAnsi="Palatino Linotype" w:cs="Palatino Linotype"/>
          <w:b/>
          <w:color w:val="000000" w:themeColor="text1"/>
        </w:rPr>
        <w:t>SUJETO OBLIGADO</w:t>
      </w:r>
      <w:r w:rsidRPr="00252BF8">
        <w:rPr>
          <w:rFonts w:ascii="Palatino Linotype" w:eastAsia="Palatino Linotype" w:hAnsi="Palatino Linotype" w:cs="Palatino Linotype"/>
          <w:color w:val="000000" w:themeColor="text1"/>
        </w:rPr>
        <w:t xml:space="preserve"> entregó su respuesta el </w:t>
      </w:r>
      <w:r w:rsidR="00490E94" w:rsidRPr="00252BF8">
        <w:rPr>
          <w:rFonts w:ascii="Palatino Linotype" w:eastAsia="Palatino Linotype" w:hAnsi="Palatino Linotype" w:cs="Palatino Linotype"/>
          <w:b/>
          <w:color w:val="000000" w:themeColor="text1"/>
        </w:rPr>
        <w:t>veintitrés de abril</w:t>
      </w:r>
      <w:r w:rsidR="000536F8" w:rsidRPr="00252BF8">
        <w:rPr>
          <w:rFonts w:ascii="Palatino Linotype" w:eastAsia="Palatino Linotype" w:hAnsi="Palatino Linotype" w:cs="Palatino Linotype"/>
          <w:b/>
          <w:color w:val="000000" w:themeColor="text1"/>
        </w:rPr>
        <w:t xml:space="preserve"> </w:t>
      </w:r>
      <w:r w:rsidRPr="00252BF8">
        <w:rPr>
          <w:rFonts w:ascii="Palatino Linotype" w:eastAsia="Palatino Linotype" w:hAnsi="Palatino Linotype" w:cs="Palatino Linotype"/>
          <w:b/>
          <w:color w:val="000000" w:themeColor="text1"/>
        </w:rPr>
        <w:t>de dos mil veinticinco</w:t>
      </w:r>
      <w:r w:rsidRPr="00252BF8">
        <w:rPr>
          <w:rFonts w:ascii="Palatino Linotype" w:eastAsia="Palatino Linotype" w:hAnsi="Palatino Linotype" w:cs="Palatino Linotype"/>
          <w:color w:val="000000" w:themeColor="text1"/>
        </w:rPr>
        <w:t xml:space="preserve">, de tal forma que el </w:t>
      </w:r>
      <w:r w:rsidRPr="00252BF8">
        <w:rPr>
          <w:rFonts w:ascii="Palatino Linotype" w:eastAsia="Palatino Linotype" w:hAnsi="Palatino Linotype" w:cs="Palatino Linotype"/>
          <w:color w:val="000000" w:themeColor="text1"/>
        </w:rPr>
        <w:lastRenderedPageBreak/>
        <w:t xml:space="preserve">plazo para interponer el recurso de revisión transcurrió del día </w:t>
      </w:r>
      <w:r w:rsidR="00490E94" w:rsidRPr="00252BF8">
        <w:rPr>
          <w:rFonts w:ascii="Palatino Linotype" w:eastAsia="Palatino Linotype" w:hAnsi="Palatino Linotype" w:cs="Palatino Linotype"/>
          <w:b/>
          <w:color w:val="000000" w:themeColor="text1"/>
        </w:rPr>
        <w:t>veinticuatro</w:t>
      </w:r>
      <w:r w:rsidR="00BB21C3" w:rsidRPr="00252BF8">
        <w:rPr>
          <w:rFonts w:ascii="Palatino Linotype" w:eastAsia="Palatino Linotype" w:hAnsi="Palatino Linotype" w:cs="Palatino Linotype"/>
          <w:b/>
          <w:color w:val="000000" w:themeColor="text1"/>
        </w:rPr>
        <w:t xml:space="preserve"> de abril al dieciséis de mayo</w:t>
      </w:r>
      <w:r w:rsidR="000536F8" w:rsidRPr="00252BF8">
        <w:rPr>
          <w:rFonts w:ascii="Palatino Linotype" w:eastAsia="Palatino Linotype" w:hAnsi="Palatino Linotype" w:cs="Palatino Linotype"/>
          <w:b/>
          <w:color w:val="000000" w:themeColor="text1"/>
        </w:rPr>
        <w:t xml:space="preserve"> </w:t>
      </w:r>
      <w:r w:rsidRPr="00252BF8">
        <w:rPr>
          <w:rFonts w:ascii="Palatino Linotype" w:eastAsia="Palatino Linotype" w:hAnsi="Palatino Linotype" w:cs="Palatino Linotype"/>
          <w:b/>
          <w:color w:val="000000" w:themeColor="text1"/>
        </w:rPr>
        <w:t>de dos mil veinticinco</w:t>
      </w:r>
      <w:r w:rsidRPr="00252BF8">
        <w:rPr>
          <w:rFonts w:ascii="Palatino Linotype" w:eastAsia="Palatino Linotype" w:hAnsi="Palatino Linotype" w:cs="Palatino Linotype"/>
          <w:color w:val="000000" w:themeColor="text1"/>
        </w:rPr>
        <w:t xml:space="preserve">; en consecuencia, el ahora </w:t>
      </w:r>
      <w:r w:rsidRPr="00252BF8">
        <w:rPr>
          <w:rFonts w:ascii="Palatino Linotype" w:eastAsia="Palatino Linotype" w:hAnsi="Palatino Linotype" w:cs="Palatino Linotype"/>
          <w:b/>
          <w:color w:val="000000" w:themeColor="text1"/>
        </w:rPr>
        <w:t>RECURRENTE</w:t>
      </w:r>
      <w:r w:rsidR="000536F8" w:rsidRPr="00252BF8">
        <w:rPr>
          <w:rFonts w:ascii="Palatino Linotype" w:eastAsia="Palatino Linotype" w:hAnsi="Palatino Linotype" w:cs="Palatino Linotype"/>
          <w:color w:val="000000" w:themeColor="text1"/>
        </w:rPr>
        <w:t xml:space="preserve"> presentó </w:t>
      </w:r>
      <w:r w:rsidR="000E1360" w:rsidRPr="00252BF8">
        <w:rPr>
          <w:rFonts w:ascii="Palatino Linotype" w:eastAsia="Palatino Linotype" w:hAnsi="Palatino Linotype" w:cs="Palatino Linotype"/>
          <w:color w:val="000000" w:themeColor="text1"/>
        </w:rPr>
        <w:t>los recursos de revisión los días</w:t>
      </w:r>
      <w:r w:rsidRPr="00252BF8">
        <w:rPr>
          <w:rFonts w:ascii="Palatino Linotype" w:eastAsia="Palatino Linotype" w:hAnsi="Palatino Linotype" w:cs="Palatino Linotype"/>
          <w:color w:val="000000" w:themeColor="text1"/>
        </w:rPr>
        <w:t xml:space="preserve"> </w:t>
      </w:r>
      <w:r w:rsidR="00BB21C3" w:rsidRPr="00252BF8">
        <w:rPr>
          <w:rFonts w:ascii="Palatino Linotype" w:eastAsia="Palatino Linotype" w:hAnsi="Palatino Linotype" w:cs="Palatino Linotype"/>
          <w:b/>
          <w:color w:val="000000" w:themeColor="text1"/>
        </w:rPr>
        <w:t>veinticinco de abril</w:t>
      </w:r>
      <w:r w:rsidR="000536F8" w:rsidRPr="00252BF8">
        <w:rPr>
          <w:rFonts w:ascii="Palatino Linotype" w:eastAsia="Palatino Linotype" w:hAnsi="Palatino Linotype" w:cs="Palatino Linotype"/>
          <w:b/>
          <w:color w:val="000000" w:themeColor="text1"/>
        </w:rPr>
        <w:t xml:space="preserve"> </w:t>
      </w:r>
      <w:r w:rsidRPr="00252BF8">
        <w:rPr>
          <w:rFonts w:ascii="Palatino Linotype" w:eastAsia="Palatino Linotype" w:hAnsi="Palatino Linotype" w:cs="Palatino Linotype"/>
          <w:b/>
          <w:color w:val="000000" w:themeColor="text1"/>
        </w:rPr>
        <w:t>de dos mil veinticinco</w:t>
      </w:r>
      <w:r w:rsidRPr="00252BF8">
        <w:rPr>
          <w:rFonts w:ascii="Palatino Linotype" w:eastAsia="Palatino Linotype" w:hAnsi="Palatino Linotype" w:cs="Palatino Linotype"/>
          <w:color w:val="000000" w:themeColor="text1"/>
        </w:rPr>
        <w:t>; es decir dentro del lapso legalmente establecido para tal efecto.</w:t>
      </w:r>
    </w:p>
    <w:p w:rsidR="007E0933" w:rsidRPr="00252BF8" w:rsidRDefault="007E0933" w:rsidP="00A806D9">
      <w:pPr>
        <w:pStyle w:val="Prrafodelista"/>
        <w:ind w:left="0" w:right="-7"/>
        <w:rPr>
          <w:rFonts w:ascii="Palatino Linotype" w:eastAsia="Palatino Linotype" w:hAnsi="Palatino Linotype" w:cs="Palatino Linotype"/>
          <w:color w:val="000000" w:themeColor="text1"/>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252BF8">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E0933" w:rsidRPr="00252BF8" w:rsidRDefault="007E0933" w:rsidP="00A806D9">
      <w:pPr>
        <w:pBdr>
          <w:top w:val="nil"/>
          <w:left w:val="nil"/>
          <w:bottom w:val="nil"/>
          <w:right w:val="nil"/>
          <w:between w:val="nil"/>
        </w:pBdr>
        <w:spacing w:line="360" w:lineRule="auto"/>
        <w:ind w:right="-7"/>
        <w:jc w:val="both"/>
        <w:rPr>
          <w:rFonts w:ascii="Palatino Linotype" w:hAnsi="Palatino Linotype"/>
          <w:color w:val="000000" w:themeColor="text1"/>
        </w:rPr>
      </w:pPr>
    </w:p>
    <w:p w:rsidR="007E0933" w:rsidRPr="00252BF8" w:rsidRDefault="007E0933" w:rsidP="00A806D9">
      <w:pPr>
        <w:pStyle w:val="Ttulo1"/>
        <w:spacing w:before="0" w:line="360" w:lineRule="auto"/>
        <w:ind w:right="-7"/>
        <w:rPr>
          <w:rFonts w:ascii="Palatino Linotype" w:eastAsia="Palatino Linotype" w:hAnsi="Palatino Linotype" w:cs="Palatino Linotype"/>
          <w:b/>
          <w:color w:val="000000" w:themeColor="text1"/>
          <w:sz w:val="24"/>
          <w:szCs w:val="24"/>
        </w:rPr>
      </w:pPr>
      <w:bookmarkStart w:id="9" w:name="_heading=h.2s8eyo1" w:colFirst="0" w:colLast="0"/>
      <w:bookmarkEnd w:id="9"/>
      <w:r w:rsidRPr="00252BF8">
        <w:rPr>
          <w:rFonts w:ascii="Palatino Linotype" w:eastAsia="Palatino Linotype" w:hAnsi="Palatino Linotype" w:cs="Palatino Linotype"/>
          <w:b/>
          <w:color w:val="000000" w:themeColor="text1"/>
          <w:sz w:val="24"/>
          <w:szCs w:val="24"/>
        </w:rPr>
        <w:t xml:space="preserve">TERCERO. Del planteamiento de la </w:t>
      </w:r>
      <w:r w:rsidRPr="00252BF8">
        <w:rPr>
          <w:rFonts w:ascii="Palatino Linotype" w:eastAsia="Palatino Linotype" w:hAnsi="Palatino Linotype" w:cs="Palatino Linotype"/>
          <w:b/>
          <w:i/>
          <w:color w:val="000000" w:themeColor="text1"/>
          <w:sz w:val="24"/>
          <w:szCs w:val="24"/>
        </w:rPr>
        <w:t>Litis</w:t>
      </w:r>
      <w:r w:rsidRPr="00252BF8">
        <w:rPr>
          <w:rFonts w:ascii="Palatino Linotype" w:eastAsia="Palatino Linotype" w:hAnsi="Palatino Linotype" w:cs="Palatino Linotype"/>
          <w:b/>
          <w:color w:val="000000" w:themeColor="text1"/>
          <w:sz w:val="24"/>
          <w:szCs w:val="24"/>
        </w:rPr>
        <w:t>.</w:t>
      </w: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252BF8">
        <w:rPr>
          <w:rFonts w:ascii="Palatino Linotype" w:eastAsia="Palatino Linotype" w:hAnsi="Palatino Linotype" w:cs="Palatino Linotype"/>
          <w:color w:val="000000" w:themeColor="text1"/>
        </w:rPr>
        <w:t>De las constancias en el expediente al rubro indicado, se desprende que el particular solicitó la información que a continuación se desagrega:</w:t>
      </w:r>
    </w:p>
    <w:p w:rsidR="007E0933" w:rsidRPr="00252BF8" w:rsidRDefault="00BB21C3" w:rsidP="00A806D9">
      <w:pPr>
        <w:pStyle w:val="Prrafodelista"/>
        <w:numPr>
          <w:ilvl w:val="0"/>
          <w:numId w:val="15"/>
        </w:numPr>
        <w:pBdr>
          <w:top w:val="nil"/>
          <w:left w:val="nil"/>
          <w:bottom w:val="nil"/>
          <w:right w:val="nil"/>
          <w:between w:val="nil"/>
        </w:pBdr>
        <w:spacing w:line="360" w:lineRule="auto"/>
        <w:ind w:left="0" w:right="-7" w:firstLine="0"/>
        <w:jc w:val="both"/>
        <w:rPr>
          <w:rFonts w:ascii="Palatino Linotype" w:hAnsi="Palatino Linotype"/>
          <w:color w:val="000000" w:themeColor="text1"/>
          <w:u w:val="single"/>
        </w:rPr>
      </w:pPr>
      <w:r w:rsidRPr="00252BF8">
        <w:rPr>
          <w:rFonts w:ascii="Palatino Linotype" w:hAnsi="Palatino Linotype"/>
          <w:color w:val="000000" w:themeColor="text1"/>
        </w:rPr>
        <w:t>NOMINA DEL PERSONAL QUE LABORA EN EL AYUNTAMIENTO DEBIDAMENTE FIRMA</w:t>
      </w:r>
      <w:r w:rsidR="00513E2D" w:rsidRPr="00252BF8">
        <w:rPr>
          <w:rFonts w:ascii="Palatino Linotype" w:hAnsi="Palatino Linotype"/>
          <w:color w:val="000000" w:themeColor="text1"/>
        </w:rPr>
        <w:t xml:space="preserve">DA CORRESPONDIENTE A </w:t>
      </w:r>
      <w:r w:rsidR="00513E2D" w:rsidRPr="00252BF8">
        <w:rPr>
          <w:rFonts w:ascii="Palatino Linotype" w:hAnsi="Palatino Linotype"/>
          <w:color w:val="000000" w:themeColor="text1"/>
          <w:u w:val="single"/>
        </w:rPr>
        <w:t xml:space="preserve">LA PRIMERA Y SEGUNDA QUINCENA DE ENERO 2025 Y PRIMERA </w:t>
      </w:r>
      <w:r w:rsidRPr="00252BF8">
        <w:rPr>
          <w:rFonts w:ascii="Palatino Linotype" w:hAnsi="Palatino Linotype"/>
          <w:color w:val="000000" w:themeColor="text1"/>
          <w:u w:val="single"/>
        </w:rPr>
        <w:t>QUINCENA DE FEBRERO DEL 2025.</w:t>
      </w:r>
    </w:p>
    <w:p w:rsidR="00BB21C3" w:rsidRPr="00252BF8" w:rsidRDefault="00BB21C3" w:rsidP="00A806D9">
      <w:pPr>
        <w:pBdr>
          <w:top w:val="nil"/>
          <w:left w:val="nil"/>
          <w:bottom w:val="nil"/>
          <w:right w:val="nil"/>
          <w:between w:val="nil"/>
        </w:pBdr>
        <w:spacing w:line="360" w:lineRule="auto"/>
        <w:ind w:right="-7"/>
        <w:jc w:val="both"/>
        <w:rPr>
          <w:rFonts w:ascii="Palatino Linotype" w:hAnsi="Palatino Linotype"/>
          <w:b/>
          <w:bCs/>
          <w:i/>
          <w:color w:val="000000" w:themeColor="text1"/>
        </w:rPr>
      </w:pPr>
    </w:p>
    <w:p w:rsidR="00BB21C3" w:rsidRPr="00252BF8" w:rsidRDefault="00BB21C3" w:rsidP="00A806D9">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color w:val="000000" w:themeColor="text1"/>
        </w:rPr>
        <w:t>El</w:t>
      </w:r>
      <w:r w:rsidR="007E0933" w:rsidRPr="00252BF8">
        <w:rPr>
          <w:rFonts w:ascii="Palatino Linotype" w:eastAsia="Palatino Linotype" w:hAnsi="Palatino Linotype" w:cs="Palatino Linotype"/>
          <w:color w:val="000000" w:themeColor="text1"/>
        </w:rPr>
        <w:t xml:space="preserve"> </w:t>
      </w:r>
      <w:r w:rsidRPr="00252BF8">
        <w:rPr>
          <w:rFonts w:ascii="Palatino Linotype" w:eastAsia="Palatino Linotype" w:hAnsi="Palatino Linotype" w:cs="Palatino Linotype"/>
          <w:b/>
          <w:color w:val="000000" w:themeColor="text1"/>
        </w:rPr>
        <w:t xml:space="preserve">SUJETO OBLIGADO, </w:t>
      </w:r>
      <w:r w:rsidR="00513E2D" w:rsidRPr="00252BF8">
        <w:rPr>
          <w:rFonts w:ascii="Palatino Linotype" w:eastAsia="Palatino Linotype" w:hAnsi="Palatino Linotype" w:cs="Palatino Linotype"/>
          <w:color w:val="000000" w:themeColor="text1"/>
        </w:rPr>
        <w:t>dio respuesta como quedo referido en el numeral 2 del presente proyecto.</w:t>
      </w:r>
    </w:p>
    <w:p w:rsidR="00513E2D" w:rsidRPr="00252BF8" w:rsidRDefault="00513E2D"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BB21C3" w:rsidRPr="00252BF8" w:rsidRDefault="00BB21C3" w:rsidP="00A806D9">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color w:val="000000" w:themeColor="text1"/>
        </w:rPr>
        <w:t xml:space="preserve">Inconforme con lo anterior, el </w:t>
      </w:r>
      <w:r w:rsidRPr="00252BF8">
        <w:rPr>
          <w:rFonts w:ascii="Palatino Linotype" w:eastAsia="Palatino Linotype" w:hAnsi="Palatino Linotype" w:cs="Palatino Linotype"/>
          <w:b/>
          <w:color w:val="000000" w:themeColor="text1"/>
        </w:rPr>
        <w:t xml:space="preserve">PARTICULAR </w:t>
      </w:r>
      <w:r w:rsidRPr="00252BF8">
        <w:rPr>
          <w:rFonts w:ascii="Palatino Linotype" w:eastAsia="Palatino Linotype" w:hAnsi="Palatino Linotype" w:cs="Palatino Linotype"/>
          <w:color w:val="000000" w:themeColor="text1"/>
        </w:rPr>
        <w:t xml:space="preserve">interpuso recurso de revisión arguyendo </w:t>
      </w:r>
      <w:r w:rsidRPr="00252BF8">
        <w:rPr>
          <w:rFonts w:ascii="Palatino Linotype" w:eastAsia="Palatino Linotype" w:hAnsi="Palatino Linotype" w:cs="Palatino Linotype"/>
          <w:i/>
          <w:color w:val="000000" w:themeColor="text1"/>
        </w:rPr>
        <w:t xml:space="preserve">grosso modo </w:t>
      </w:r>
      <w:r w:rsidRPr="00252BF8">
        <w:rPr>
          <w:rFonts w:ascii="Palatino Linotype" w:eastAsia="Palatino Linotype" w:hAnsi="Palatino Linotype" w:cs="Palatino Linotype"/>
          <w:color w:val="000000" w:themeColor="text1"/>
        </w:rPr>
        <w:t>la negativa de la información.</w:t>
      </w:r>
    </w:p>
    <w:p w:rsidR="00BB21C3" w:rsidRPr="00252BF8" w:rsidRDefault="00BB21C3"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BB21C3" w:rsidRPr="00252BF8" w:rsidRDefault="00BB21C3" w:rsidP="00A806D9">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color w:val="000000" w:themeColor="text1"/>
        </w:rPr>
        <w:lastRenderedPageBreak/>
        <w:t xml:space="preserve">Una vez </w:t>
      </w:r>
      <w:r w:rsidR="00513E2D" w:rsidRPr="00252BF8">
        <w:rPr>
          <w:rFonts w:ascii="Palatino Linotype" w:eastAsia="Palatino Linotype" w:hAnsi="Palatino Linotype" w:cs="Palatino Linotype"/>
          <w:color w:val="000000" w:themeColor="text1"/>
        </w:rPr>
        <w:t>apertura da</w:t>
      </w:r>
      <w:r w:rsidRPr="00252BF8">
        <w:rPr>
          <w:rFonts w:ascii="Palatino Linotype" w:eastAsia="Palatino Linotype" w:hAnsi="Palatino Linotype" w:cs="Palatino Linotype"/>
          <w:color w:val="000000" w:themeColor="text1"/>
        </w:rPr>
        <w:t xml:space="preserve"> la etapa de manifestaciones, las partes fueron omisas en realizar pronunciamiento alguno.</w:t>
      </w:r>
    </w:p>
    <w:p w:rsidR="007E0933" w:rsidRPr="00252BF8" w:rsidRDefault="007E0933"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252BF8">
        <w:rPr>
          <w:rFonts w:ascii="Palatino Linotype" w:eastAsia="Palatino Linotype" w:hAnsi="Palatino Linotype" w:cs="Palatino Linotype"/>
          <w:color w:val="000000" w:themeColor="text1"/>
        </w:rPr>
        <w:t xml:space="preserve">En dichas condiciones, la </w:t>
      </w:r>
      <w:r w:rsidRPr="00252BF8">
        <w:rPr>
          <w:rFonts w:ascii="Palatino Linotype" w:eastAsia="Palatino Linotype" w:hAnsi="Palatino Linotype" w:cs="Palatino Linotype"/>
          <w:i/>
          <w:color w:val="000000" w:themeColor="text1"/>
        </w:rPr>
        <w:t>Litis</w:t>
      </w:r>
      <w:r w:rsidRPr="00252BF8">
        <w:rPr>
          <w:rFonts w:ascii="Palatino Linotype" w:eastAsia="Palatino Linotype" w:hAnsi="Palatino Linotype" w:cs="Palatino Linotype"/>
          <w:color w:val="000000" w:themeColor="text1"/>
        </w:rPr>
        <w:t xml:space="preserve"> a resolver en estos recursos se circunscribe a determinar si se actualizan las causales de procedencia previstas en el artículo 179, </w:t>
      </w:r>
      <w:r w:rsidRPr="00252BF8">
        <w:rPr>
          <w:rFonts w:ascii="Palatino Linotype" w:eastAsia="Palatino Linotype" w:hAnsi="Palatino Linotype" w:cs="Palatino Linotype"/>
          <w:b/>
          <w:color w:val="000000" w:themeColor="text1"/>
        </w:rPr>
        <w:t xml:space="preserve">fracción I </w:t>
      </w:r>
      <w:r w:rsidRPr="00252BF8">
        <w:rPr>
          <w:rFonts w:ascii="Palatino Linotype" w:eastAsia="Palatino Linotype" w:hAnsi="Palatino Linotype" w:cs="Palatino Linotype"/>
          <w:color w:val="000000" w:themeColor="text1"/>
        </w:rPr>
        <w:t>de la Ley</w:t>
      </w:r>
      <w:r w:rsidRPr="00252BF8">
        <w:rPr>
          <w:rFonts w:ascii="Palatino Linotype" w:eastAsia="Palatino Linotype" w:hAnsi="Palatino Linotype" w:cs="Palatino Linotype"/>
          <w:b/>
          <w:color w:val="000000" w:themeColor="text1"/>
        </w:rPr>
        <w:t xml:space="preserve"> de Transparencia y Acceso a la Información Pública del Estado de </w:t>
      </w:r>
      <w:r w:rsidRPr="00252BF8">
        <w:rPr>
          <w:rFonts w:ascii="Palatino Linotype" w:eastAsia="Palatino Linotype" w:hAnsi="Palatino Linotype" w:cs="Palatino Linotype"/>
          <w:color w:val="000000" w:themeColor="text1"/>
        </w:rPr>
        <w:t>México</w:t>
      </w:r>
      <w:r w:rsidRPr="00252BF8">
        <w:rPr>
          <w:rFonts w:ascii="Palatino Linotype" w:eastAsia="Palatino Linotype" w:hAnsi="Palatino Linotype" w:cs="Palatino Linotype"/>
          <w:b/>
          <w:color w:val="000000" w:themeColor="text1"/>
        </w:rPr>
        <w:t xml:space="preserve"> y Municipios</w:t>
      </w:r>
      <w:r w:rsidRPr="00252BF8">
        <w:rPr>
          <w:rFonts w:ascii="Palatino Linotype" w:eastAsia="Palatino Linotype" w:hAnsi="Palatino Linotype" w:cs="Palatino Linotype"/>
          <w:color w:val="000000" w:themeColor="text1"/>
        </w:rPr>
        <w:t xml:space="preserve">; fracción que determina la hipótesis jurídica relativa a la negativa de la información solicitada; contexto del cual se dolió </w:t>
      </w:r>
      <w:r w:rsidRPr="00252BF8">
        <w:rPr>
          <w:rFonts w:ascii="Palatino Linotype" w:eastAsia="Palatino Linotype" w:hAnsi="Palatino Linotype" w:cs="Palatino Linotype"/>
          <w:b/>
          <w:color w:val="000000" w:themeColor="text1"/>
        </w:rPr>
        <w:t xml:space="preserve">EL RECURRENTE </w:t>
      </w:r>
      <w:r w:rsidRPr="00252BF8">
        <w:rPr>
          <w:rFonts w:ascii="Palatino Linotype" w:eastAsia="Palatino Linotype" w:hAnsi="Palatino Linotype" w:cs="Palatino Linotype"/>
          <w:color w:val="000000" w:themeColor="text1"/>
        </w:rPr>
        <w:t>al momento de interponer su inconformidad.</w:t>
      </w:r>
    </w:p>
    <w:p w:rsidR="007E0933" w:rsidRPr="00252BF8" w:rsidRDefault="007E0933" w:rsidP="00A806D9">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252BF8">
        <w:rPr>
          <w:rFonts w:ascii="Palatino Linotype" w:eastAsia="Palatino Linotype" w:hAnsi="Palatino Linotype" w:cs="Palatino Linotype"/>
          <w:color w:val="000000" w:themeColor="text1"/>
        </w:rPr>
        <w:t xml:space="preserve">De modo tal que el presente recurso de revisión se abocara en determinar si el </w:t>
      </w:r>
      <w:r w:rsidRPr="00252BF8">
        <w:rPr>
          <w:rFonts w:ascii="Palatino Linotype" w:eastAsia="Palatino Linotype" w:hAnsi="Palatino Linotype" w:cs="Palatino Linotype"/>
          <w:b/>
          <w:color w:val="000000" w:themeColor="text1"/>
        </w:rPr>
        <w:t>SUJETO OBLIGADO</w:t>
      </w:r>
      <w:r w:rsidRPr="00252BF8">
        <w:rPr>
          <w:rFonts w:ascii="Palatino Linotype" w:eastAsia="Palatino Linotype" w:hAnsi="Palatino Linotype" w:cs="Palatino Linotype"/>
          <w:color w:val="000000" w:themeColor="text1"/>
        </w:rPr>
        <w:t xml:space="preserve"> con su respuesta ciertamente actualiza la causal de procedencia</w:t>
      </w:r>
      <w:r w:rsidRPr="00252BF8">
        <w:rPr>
          <w:rFonts w:ascii="Palatino Linotype" w:eastAsia="Palatino Linotype" w:hAnsi="Palatino Linotype" w:cs="Palatino Linotype"/>
          <w:b/>
          <w:color w:val="000000" w:themeColor="text1"/>
        </w:rPr>
        <w:t xml:space="preserve"> </w:t>
      </w:r>
      <w:r w:rsidRPr="00252BF8">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7E0933" w:rsidRPr="00252BF8" w:rsidRDefault="007E0933" w:rsidP="00A806D9">
      <w:pPr>
        <w:pBdr>
          <w:top w:val="nil"/>
          <w:left w:val="nil"/>
          <w:bottom w:val="nil"/>
          <w:right w:val="nil"/>
          <w:between w:val="nil"/>
        </w:pBdr>
        <w:spacing w:line="360" w:lineRule="auto"/>
        <w:ind w:right="-7"/>
        <w:rPr>
          <w:rFonts w:ascii="Palatino Linotype" w:eastAsia="Palatino Linotype" w:hAnsi="Palatino Linotype" w:cs="Palatino Linotype"/>
          <w:color w:val="000000" w:themeColor="text1"/>
        </w:rPr>
      </w:pPr>
    </w:p>
    <w:p w:rsidR="007E0933" w:rsidRPr="00252BF8" w:rsidRDefault="007E0933" w:rsidP="00A806D9">
      <w:pPr>
        <w:keepNext/>
        <w:keepLines/>
        <w:spacing w:line="360" w:lineRule="auto"/>
        <w:ind w:right="-7"/>
        <w:rPr>
          <w:rFonts w:ascii="Palatino Linotype" w:eastAsia="Palatino Linotype" w:hAnsi="Palatino Linotype" w:cs="Palatino Linotype"/>
          <w:b/>
          <w:color w:val="000000" w:themeColor="text1"/>
        </w:rPr>
      </w:pPr>
      <w:r w:rsidRPr="00252BF8">
        <w:rPr>
          <w:rFonts w:ascii="Palatino Linotype" w:eastAsia="Palatino Linotype" w:hAnsi="Palatino Linotype" w:cs="Palatino Linotype"/>
          <w:b/>
          <w:color w:val="000000" w:themeColor="text1"/>
        </w:rPr>
        <w:t>CUARTO. Del estudio y resolución del estudio.</w:t>
      </w:r>
    </w:p>
    <w:p w:rsidR="007E0933" w:rsidRPr="00252BF8" w:rsidRDefault="007E0933" w:rsidP="00A806D9">
      <w:pPr>
        <w:keepNext/>
        <w:keepLines/>
        <w:numPr>
          <w:ilvl w:val="0"/>
          <w:numId w:val="3"/>
        </w:numPr>
        <w:spacing w:after="240" w:line="360" w:lineRule="auto"/>
        <w:ind w:left="0" w:right="-7"/>
        <w:rPr>
          <w:rFonts w:ascii="Palatino Linotype" w:eastAsia="Palatino Linotype" w:hAnsi="Palatino Linotype" w:cs="Palatino Linotype"/>
          <w:b/>
          <w:color w:val="000000" w:themeColor="text1"/>
        </w:rPr>
      </w:pPr>
      <w:bookmarkStart w:id="10" w:name="_heading=h.17dp8vu" w:colFirst="0" w:colLast="0"/>
      <w:bookmarkEnd w:id="10"/>
      <w:r w:rsidRPr="00252BF8">
        <w:rPr>
          <w:rFonts w:ascii="Palatino Linotype" w:eastAsia="Palatino Linotype" w:hAnsi="Palatino Linotype" w:cs="Palatino Linotype"/>
          <w:b/>
          <w:color w:val="000000" w:themeColor="text1"/>
        </w:rPr>
        <w:t>Del derecho de acceso a la información.</w:t>
      </w: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252BF8">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w:t>
      </w:r>
      <w:r w:rsidRPr="00252BF8">
        <w:rPr>
          <w:rFonts w:ascii="Palatino Linotype" w:eastAsia="Palatino Linotype" w:hAnsi="Palatino Linotype" w:cs="Palatino Linotype"/>
          <w:color w:val="000000" w:themeColor="text1"/>
        </w:rPr>
        <w:lastRenderedPageBreak/>
        <w:t xml:space="preserve">de la Constitución Política de los Estados Unidos Mexicanos y en el artículo quinto de la Particular del Estado de México. </w:t>
      </w:r>
    </w:p>
    <w:p w:rsidR="007E0933" w:rsidRPr="00252BF8" w:rsidRDefault="007E0933" w:rsidP="00A806D9">
      <w:pPr>
        <w:numPr>
          <w:ilvl w:val="0"/>
          <w:numId w:val="2"/>
        </w:numPr>
        <w:spacing w:before="240" w:line="360" w:lineRule="auto"/>
        <w:ind w:left="0" w:right="-7" w:firstLine="0"/>
        <w:jc w:val="both"/>
        <w:rPr>
          <w:rFonts w:ascii="Palatino Linotype" w:hAnsi="Palatino Linotype"/>
          <w:color w:val="000000" w:themeColor="text1"/>
        </w:rPr>
      </w:pPr>
      <w:r w:rsidRPr="00252BF8">
        <w:rPr>
          <w:rFonts w:ascii="Palatino Linotype" w:eastAsia="Palatino Linotype" w:hAnsi="Palatino Linotype" w:cs="Palatino Linotype"/>
          <w:color w:val="000000" w:themeColor="text1"/>
        </w:rPr>
        <w:t xml:space="preserve">Definiendo el Derecho de Acceso a la Información Pública como: </w:t>
      </w:r>
      <w:r w:rsidRPr="00252BF8">
        <w:rPr>
          <w:rFonts w:ascii="Palatino Linotype" w:eastAsia="Palatino Linotype" w:hAnsi="Palatino Linotype" w:cs="Palatino Linotype"/>
          <w:i/>
          <w:color w:val="000000" w:themeColor="text1"/>
        </w:rPr>
        <w:t>La igualdad de oportunidades para recibir, buscar e impartir información</w:t>
      </w:r>
      <w:r w:rsidRPr="00252BF8">
        <w:rPr>
          <w:rFonts w:ascii="Palatino Linotype" w:eastAsia="Palatino Linotype" w:hAnsi="Palatino Linotype" w:cs="Palatino Linotype"/>
          <w:i/>
          <w:color w:val="000000" w:themeColor="text1"/>
          <w:vertAlign w:val="superscript"/>
        </w:rPr>
        <w:footnoteReference w:id="2"/>
      </w:r>
      <w:r w:rsidRPr="00252BF8">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2BF8">
        <w:rPr>
          <w:rFonts w:ascii="Palatino Linotype" w:eastAsia="Palatino Linotype" w:hAnsi="Palatino Linotype" w:cs="Palatino Linotype"/>
          <w:i/>
          <w:color w:val="000000" w:themeColor="text1"/>
          <w:vertAlign w:val="superscript"/>
        </w:rPr>
        <w:footnoteReference w:id="3"/>
      </w:r>
      <w:r w:rsidRPr="00252BF8">
        <w:rPr>
          <w:rFonts w:ascii="Palatino Linotype" w:eastAsia="Palatino Linotype" w:hAnsi="Palatino Linotype" w:cs="Palatino Linotype"/>
          <w:color w:val="000000" w:themeColor="text1"/>
        </w:rPr>
        <w:t>que se constituye como una herramienta fundamental para ejercer</w:t>
      </w:r>
      <w:r w:rsidRPr="00252BF8">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252BF8">
        <w:rPr>
          <w:rFonts w:ascii="Palatino Linotype" w:eastAsia="Palatino Linotype" w:hAnsi="Palatino Linotype" w:cs="Palatino Linotype"/>
          <w:i/>
          <w:color w:val="000000" w:themeColor="text1"/>
          <w:vertAlign w:val="superscript"/>
        </w:rPr>
        <w:footnoteReference w:id="4"/>
      </w:r>
      <w:r w:rsidRPr="00252BF8">
        <w:rPr>
          <w:rFonts w:ascii="Palatino Linotype" w:eastAsia="Palatino Linotype" w:hAnsi="Palatino Linotype" w:cs="Palatino Linotype"/>
          <w:color w:val="000000" w:themeColor="text1"/>
        </w:rPr>
        <w:t>fomentando</w:t>
      </w:r>
      <w:r w:rsidRPr="00252BF8">
        <w:rPr>
          <w:rFonts w:ascii="Palatino Linotype" w:eastAsia="Palatino Linotype" w:hAnsi="Palatino Linotype" w:cs="Palatino Linotype"/>
          <w:i/>
          <w:color w:val="000000" w:themeColor="text1"/>
        </w:rPr>
        <w:t xml:space="preserve"> la transparencia de las actividades estatales y </w:t>
      </w:r>
      <w:r w:rsidRPr="00252BF8">
        <w:rPr>
          <w:rFonts w:ascii="Palatino Linotype" w:eastAsia="Palatino Linotype" w:hAnsi="Palatino Linotype" w:cs="Palatino Linotype"/>
          <w:color w:val="000000" w:themeColor="text1"/>
        </w:rPr>
        <w:t>promoviendo</w:t>
      </w:r>
      <w:r w:rsidRPr="00252BF8">
        <w:rPr>
          <w:rFonts w:ascii="Palatino Linotype" w:eastAsia="Palatino Linotype" w:hAnsi="Palatino Linotype" w:cs="Palatino Linotype"/>
          <w:i/>
          <w:color w:val="000000" w:themeColor="text1"/>
        </w:rPr>
        <w:t xml:space="preserve"> la responsabilidad de los funcionarios sobre su gestión pública,</w:t>
      </w:r>
      <w:r w:rsidRPr="00252BF8">
        <w:rPr>
          <w:rFonts w:ascii="Palatino Linotype" w:eastAsia="Palatino Linotype" w:hAnsi="Palatino Linotype" w:cs="Palatino Linotype"/>
          <w:i/>
          <w:color w:val="000000" w:themeColor="text1"/>
          <w:vertAlign w:val="superscript"/>
        </w:rPr>
        <w:footnoteReference w:id="5"/>
      </w:r>
      <w:r w:rsidRPr="00252BF8">
        <w:rPr>
          <w:rFonts w:ascii="Palatino Linotype" w:eastAsia="Palatino Linotype" w:hAnsi="Palatino Linotype" w:cs="Palatino Linotype"/>
          <w:color w:val="000000" w:themeColor="text1"/>
        </w:rPr>
        <w:t>que permite</w:t>
      </w:r>
      <w:r w:rsidRPr="00252BF8">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7E0933" w:rsidRPr="00252BF8" w:rsidRDefault="007E0933" w:rsidP="00A806D9">
      <w:pPr>
        <w:spacing w:line="360" w:lineRule="auto"/>
        <w:ind w:right="-7"/>
        <w:jc w:val="both"/>
        <w:rPr>
          <w:rFonts w:ascii="Palatino Linotype" w:eastAsia="Palatino Linotype" w:hAnsi="Palatino Linotype" w:cs="Palatino Linotype"/>
          <w:color w:val="000000" w:themeColor="text1"/>
        </w:rPr>
      </w:pPr>
    </w:p>
    <w:p w:rsidR="007E0933" w:rsidRPr="00252BF8" w:rsidRDefault="007E0933" w:rsidP="00A806D9">
      <w:pPr>
        <w:numPr>
          <w:ilvl w:val="0"/>
          <w:numId w:val="2"/>
        </w:numPr>
        <w:spacing w:line="360" w:lineRule="auto"/>
        <w:ind w:left="0" w:right="-7" w:firstLine="0"/>
        <w:jc w:val="both"/>
        <w:rPr>
          <w:rFonts w:ascii="Palatino Linotype" w:hAnsi="Palatino Linotype"/>
          <w:color w:val="000000" w:themeColor="text1"/>
        </w:rPr>
      </w:pPr>
      <w:r w:rsidRPr="00252BF8">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7E0933" w:rsidRPr="00252BF8" w:rsidRDefault="007E0933" w:rsidP="00A806D9">
      <w:pPr>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w:t>
      </w:r>
      <w:r w:rsidRPr="00252BF8">
        <w:rPr>
          <w:rFonts w:ascii="Palatino Linotype" w:eastAsia="Palatino Linotype" w:hAnsi="Palatino Linotype" w:cs="Palatino Linotype"/>
          <w:b/>
          <w:i/>
          <w:color w:val="000000" w:themeColor="text1"/>
        </w:rPr>
        <w:t>Artículo 1.-</w:t>
      </w:r>
      <w:r w:rsidRPr="00252BF8">
        <w:rPr>
          <w:rFonts w:ascii="Palatino Linotype" w:eastAsia="Palatino Linotype" w:hAnsi="Palatino Linotype" w:cs="Palatino Linotype"/>
          <w:i/>
          <w:color w:val="000000" w:themeColor="text1"/>
        </w:rPr>
        <w:t xml:space="preserve"> </w:t>
      </w:r>
    </w:p>
    <w:p w:rsidR="007E0933" w:rsidRPr="00252BF8" w:rsidRDefault="007E0933" w:rsidP="00A806D9">
      <w:pPr>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w:t>
      </w:r>
    </w:p>
    <w:p w:rsidR="007E0933" w:rsidRPr="00252BF8" w:rsidRDefault="007E0933" w:rsidP="00A806D9">
      <w:pPr>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Todas las</w:t>
      </w:r>
      <w:r w:rsidRPr="00252BF8">
        <w:rPr>
          <w:rFonts w:ascii="Palatino Linotype" w:eastAsia="Palatino Linotype" w:hAnsi="Palatino Linotype" w:cs="Palatino Linotype"/>
          <w:color w:val="000000" w:themeColor="text1"/>
        </w:rPr>
        <w:t xml:space="preserve"> </w:t>
      </w:r>
      <w:r w:rsidRPr="00252BF8">
        <w:rPr>
          <w:rFonts w:ascii="Palatino Linotype" w:eastAsia="Palatino Linotype" w:hAnsi="Palatino Linotype" w:cs="Palatino Linotype"/>
          <w:i/>
          <w:color w:val="000000" w:themeColor="text1"/>
        </w:rPr>
        <w:t xml:space="preserve">autoridades, en el ámbito de sus competencias, tienen la obligación de promover, respetar, proteger y garantizar los derechos humanos de conformidad con los principios de </w:t>
      </w:r>
      <w:r w:rsidRPr="00252BF8">
        <w:rPr>
          <w:rFonts w:ascii="Palatino Linotype" w:eastAsia="Palatino Linotype" w:hAnsi="Palatino Linotype" w:cs="Palatino Linotype"/>
          <w:i/>
          <w:color w:val="000000" w:themeColor="text1"/>
        </w:rPr>
        <w:lastRenderedPageBreak/>
        <w:t>universalidad, interdependencia, indivisibilidad y progresividad. En consecuencia, el Estado deberá prevenir, investigar, sancionar y reparar las violaciones a los derechos humanos, en los términos que establezca la ley.</w:t>
      </w:r>
    </w:p>
    <w:p w:rsidR="007E0933" w:rsidRPr="00252BF8" w:rsidRDefault="007E0933" w:rsidP="00A806D9">
      <w:pPr>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i/>
          <w:color w:val="000000" w:themeColor="text1"/>
        </w:rPr>
        <w:t>(…)</w:t>
      </w:r>
      <w:r w:rsidRPr="00252BF8">
        <w:rPr>
          <w:rFonts w:ascii="Palatino Linotype" w:eastAsia="Palatino Linotype" w:hAnsi="Palatino Linotype" w:cs="Palatino Linotype"/>
          <w:color w:val="000000" w:themeColor="text1"/>
        </w:rPr>
        <w:t>”.</w:t>
      </w:r>
    </w:p>
    <w:p w:rsidR="007E0933" w:rsidRPr="00252BF8" w:rsidRDefault="007E0933" w:rsidP="00A806D9">
      <w:pPr>
        <w:ind w:right="-7"/>
        <w:jc w:val="both"/>
        <w:rPr>
          <w:rFonts w:ascii="Palatino Linotype" w:eastAsia="Palatino Linotype" w:hAnsi="Palatino Linotype" w:cs="Palatino Linotype"/>
          <w:b/>
          <w:color w:val="000000" w:themeColor="text1"/>
        </w:rPr>
      </w:pPr>
    </w:p>
    <w:p w:rsidR="007E0933" w:rsidRPr="00252BF8" w:rsidRDefault="007E0933" w:rsidP="00A806D9">
      <w:pPr>
        <w:numPr>
          <w:ilvl w:val="0"/>
          <w:numId w:val="2"/>
        </w:numPr>
        <w:spacing w:line="360" w:lineRule="auto"/>
        <w:ind w:left="0" w:right="-7" w:firstLine="0"/>
        <w:jc w:val="both"/>
        <w:rPr>
          <w:rFonts w:ascii="Palatino Linotype" w:hAnsi="Palatino Linotype"/>
          <w:color w:val="000000" w:themeColor="text1"/>
        </w:rPr>
      </w:pPr>
      <w:r w:rsidRPr="00252BF8">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7E0933" w:rsidRPr="00252BF8" w:rsidRDefault="007E0933" w:rsidP="00A806D9">
      <w:pPr>
        <w:spacing w:line="360" w:lineRule="auto"/>
        <w:ind w:right="-7"/>
        <w:jc w:val="both"/>
        <w:rPr>
          <w:rFonts w:ascii="Palatino Linotype" w:eastAsia="Palatino Linotype" w:hAnsi="Palatino Linotype" w:cs="Palatino Linotype"/>
          <w:color w:val="000000" w:themeColor="text1"/>
        </w:rPr>
      </w:pPr>
    </w:p>
    <w:p w:rsidR="007E0933" w:rsidRPr="00252BF8" w:rsidRDefault="007E0933" w:rsidP="00A806D9">
      <w:pPr>
        <w:numPr>
          <w:ilvl w:val="0"/>
          <w:numId w:val="2"/>
        </w:numPr>
        <w:spacing w:line="360" w:lineRule="auto"/>
        <w:ind w:left="0" w:right="-7" w:firstLine="0"/>
        <w:jc w:val="both"/>
        <w:rPr>
          <w:rFonts w:ascii="Palatino Linotype" w:hAnsi="Palatino Linotype"/>
          <w:color w:val="000000" w:themeColor="text1"/>
        </w:rPr>
      </w:pPr>
      <w:r w:rsidRPr="00252BF8">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7E0933" w:rsidRPr="00252BF8" w:rsidRDefault="007E0933" w:rsidP="00A806D9">
      <w:pPr>
        <w:spacing w:after="240"/>
        <w:ind w:right="-7"/>
        <w:jc w:val="both"/>
        <w:rPr>
          <w:rFonts w:ascii="Palatino Linotype" w:eastAsia="Palatino Linotype" w:hAnsi="Palatino Linotype" w:cs="Palatino Linotype"/>
          <w:b/>
          <w:i/>
          <w:color w:val="000000" w:themeColor="text1"/>
        </w:rPr>
      </w:pPr>
      <w:r w:rsidRPr="00252BF8">
        <w:rPr>
          <w:rFonts w:ascii="Palatino Linotype" w:eastAsia="Palatino Linotype" w:hAnsi="Palatino Linotype" w:cs="Palatino Linotype"/>
          <w:b/>
          <w:i/>
          <w:color w:val="000000" w:themeColor="text1"/>
        </w:rPr>
        <w:t>Constitución Política de los Estados Unidos Mexicanos</w:t>
      </w:r>
    </w:p>
    <w:p w:rsidR="007E0933" w:rsidRPr="00252BF8" w:rsidRDefault="007E0933" w:rsidP="00A806D9">
      <w:pPr>
        <w:spacing w:before="240" w:after="240"/>
        <w:ind w:right="-7"/>
        <w:jc w:val="both"/>
        <w:rPr>
          <w:rFonts w:ascii="Palatino Linotype" w:eastAsia="Palatino Linotype" w:hAnsi="Palatino Linotype" w:cs="Palatino Linotype"/>
          <w:b/>
          <w:i/>
          <w:color w:val="000000" w:themeColor="text1"/>
        </w:rPr>
      </w:pPr>
      <w:r w:rsidRPr="00252BF8">
        <w:rPr>
          <w:rFonts w:ascii="Palatino Linotype" w:eastAsia="Palatino Linotype" w:hAnsi="Palatino Linotype" w:cs="Palatino Linotype"/>
          <w:b/>
          <w:i/>
          <w:color w:val="000000" w:themeColor="text1"/>
        </w:rPr>
        <w:t>“Artículo 6.</w:t>
      </w:r>
    </w:p>
    <w:p w:rsidR="007E0933" w:rsidRPr="00252BF8" w:rsidRDefault="007E0933" w:rsidP="00A806D9">
      <w:pPr>
        <w:spacing w:before="240" w:after="240"/>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w:t>
      </w:r>
    </w:p>
    <w:p w:rsidR="007E0933" w:rsidRPr="00252BF8" w:rsidRDefault="007E0933" w:rsidP="00A806D9">
      <w:pPr>
        <w:spacing w:before="240" w:after="240"/>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Para efectos de lo dispuesto en el presente artículo se observará lo siguiente:</w:t>
      </w:r>
    </w:p>
    <w:p w:rsidR="007E0933" w:rsidRPr="00252BF8" w:rsidRDefault="007E0933" w:rsidP="00A806D9">
      <w:pPr>
        <w:spacing w:before="240" w:after="240"/>
        <w:ind w:right="-7"/>
        <w:jc w:val="both"/>
        <w:rPr>
          <w:rFonts w:ascii="Palatino Linotype" w:eastAsia="Palatino Linotype" w:hAnsi="Palatino Linotype" w:cs="Palatino Linotype"/>
          <w:b/>
          <w:i/>
          <w:color w:val="000000" w:themeColor="text1"/>
        </w:rPr>
      </w:pPr>
      <w:r w:rsidRPr="00252BF8">
        <w:rPr>
          <w:rFonts w:ascii="Palatino Linotype" w:eastAsia="Palatino Linotype" w:hAnsi="Palatino Linotype" w:cs="Palatino Linotype"/>
          <w:b/>
          <w:i/>
          <w:color w:val="000000" w:themeColor="text1"/>
        </w:rPr>
        <w:t>A</w:t>
      </w:r>
      <w:r w:rsidRPr="00252BF8">
        <w:rPr>
          <w:rFonts w:ascii="Palatino Linotype" w:eastAsia="Palatino Linotype" w:hAnsi="Palatino Linotype" w:cs="Palatino Linotype"/>
          <w:i/>
          <w:color w:val="000000" w:themeColor="text1"/>
        </w:rPr>
        <w:t xml:space="preserve">. </w:t>
      </w:r>
      <w:r w:rsidRPr="00252BF8">
        <w:rPr>
          <w:rFonts w:ascii="Palatino Linotype" w:eastAsia="Palatino Linotype" w:hAnsi="Palatino Linotype" w:cs="Palatino Linotype"/>
          <w:b/>
          <w:i/>
          <w:color w:val="000000" w:themeColor="text1"/>
        </w:rPr>
        <w:t>Para el ejercicio del derecho de acceso a la información</w:t>
      </w:r>
      <w:r w:rsidRPr="00252BF8">
        <w:rPr>
          <w:rFonts w:ascii="Palatino Linotype" w:eastAsia="Palatino Linotype" w:hAnsi="Palatino Linotype" w:cs="Palatino Linotype"/>
          <w:i/>
          <w:color w:val="000000" w:themeColor="text1"/>
        </w:rPr>
        <w:t xml:space="preserve">, la Federación y </w:t>
      </w:r>
      <w:r w:rsidRPr="00252BF8">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7E0933" w:rsidRPr="00252BF8" w:rsidRDefault="007E0933" w:rsidP="00A806D9">
      <w:pPr>
        <w:spacing w:before="240" w:after="240"/>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b/>
          <w:i/>
          <w:color w:val="000000" w:themeColor="text1"/>
        </w:rPr>
        <w:t xml:space="preserve">I. </w:t>
      </w:r>
      <w:r w:rsidRPr="00252BF8">
        <w:rPr>
          <w:rFonts w:ascii="Palatino Linotype" w:eastAsia="Palatino Linotype" w:hAnsi="Palatino Linotype" w:cs="Palatino Linotype"/>
          <w:b/>
          <w:i/>
          <w:color w:val="000000" w:themeColor="text1"/>
        </w:rPr>
        <w:tab/>
        <w:t>Toda la información en posesión de cualquier</w:t>
      </w:r>
      <w:r w:rsidRPr="00252BF8">
        <w:rPr>
          <w:rFonts w:ascii="Palatino Linotype" w:eastAsia="Palatino Linotype" w:hAnsi="Palatino Linotype" w:cs="Palatino Linotype"/>
          <w:i/>
          <w:color w:val="000000" w:themeColor="text1"/>
        </w:rPr>
        <w:t xml:space="preserve"> </w:t>
      </w:r>
      <w:r w:rsidRPr="00252BF8">
        <w:rPr>
          <w:rFonts w:ascii="Palatino Linotype" w:eastAsia="Palatino Linotype" w:hAnsi="Palatino Linotype" w:cs="Palatino Linotype"/>
          <w:b/>
          <w:i/>
          <w:color w:val="000000" w:themeColor="text1"/>
        </w:rPr>
        <w:t>autoridad</w:t>
      </w:r>
      <w:r w:rsidRPr="00252BF8">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w:t>
      </w:r>
      <w:r w:rsidRPr="00252BF8">
        <w:rPr>
          <w:rFonts w:ascii="Palatino Linotype" w:eastAsia="Palatino Linotype" w:hAnsi="Palatino Linotype" w:cs="Palatino Linotype"/>
          <w:i/>
          <w:color w:val="000000" w:themeColor="text1"/>
        </w:rPr>
        <w:lastRenderedPageBreak/>
        <w:t xml:space="preserve">y ejerza recursos públicos o realice actos de autoridad en el ámbito federal, estatal y </w:t>
      </w:r>
      <w:r w:rsidRPr="00252BF8">
        <w:rPr>
          <w:rFonts w:ascii="Palatino Linotype" w:eastAsia="Palatino Linotype" w:hAnsi="Palatino Linotype" w:cs="Palatino Linotype"/>
          <w:b/>
          <w:i/>
          <w:color w:val="000000" w:themeColor="text1"/>
        </w:rPr>
        <w:t>municipal</w:t>
      </w:r>
      <w:r w:rsidRPr="00252BF8">
        <w:rPr>
          <w:rFonts w:ascii="Palatino Linotype" w:eastAsia="Palatino Linotype" w:hAnsi="Palatino Linotype" w:cs="Palatino Linotype"/>
          <w:i/>
          <w:color w:val="000000" w:themeColor="text1"/>
        </w:rPr>
        <w:t xml:space="preserve">, </w:t>
      </w:r>
      <w:r w:rsidRPr="00252BF8">
        <w:rPr>
          <w:rFonts w:ascii="Palatino Linotype" w:eastAsia="Palatino Linotype" w:hAnsi="Palatino Linotype" w:cs="Palatino Linotype"/>
          <w:b/>
          <w:i/>
          <w:color w:val="000000" w:themeColor="text1"/>
        </w:rPr>
        <w:t>es pública</w:t>
      </w:r>
      <w:r w:rsidRPr="00252BF8">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252BF8">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252BF8">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7E0933" w:rsidRPr="00252BF8" w:rsidRDefault="007E0933" w:rsidP="00A806D9">
      <w:pPr>
        <w:pBdr>
          <w:top w:val="nil"/>
          <w:left w:val="nil"/>
          <w:bottom w:val="nil"/>
          <w:right w:val="nil"/>
          <w:between w:val="nil"/>
        </w:pBdr>
        <w:tabs>
          <w:tab w:val="left" w:pos="567"/>
        </w:tabs>
        <w:spacing w:before="240" w:after="240"/>
        <w:ind w:right="-7"/>
        <w:jc w:val="both"/>
        <w:rPr>
          <w:rFonts w:ascii="Palatino Linotype" w:eastAsia="Palatino Linotype" w:hAnsi="Palatino Linotype" w:cs="Palatino Linotype"/>
          <w:b/>
          <w:i/>
          <w:color w:val="000000" w:themeColor="text1"/>
        </w:rPr>
      </w:pPr>
    </w:p>
    <w:p w:rsidR="007E0933" w:rsidRPr="00252BF8" w:rsidRDefault="007E0933" w:rsidP="00A806D9">
      <w:pPr>
        <w:spacing w:before="240" w:after="240"/>
        <w:ind w:right="-7"/>
        <w:jc w:val="both"/>
        <w:rPr>
          <w:rFonts w:ascii="Palatino Linotype" w:eastAsia="Palatino Linotype" w:hAnsi="Palatino Linotype" w:cs="Palatino Linotype"/>
          <w:b/>
          <w:i/>
          <w:color w:val="000000" w:themeColor="text1"/>
        </w:rPr>
      </w:pPr>
      <w:r w:rsidRPr="00252BF8">
        <w:rPr>
          <w:rFonts w:ascii="Palatino Linotype" w:eastAsia="Palatino Linotype" w:hAnsi="Palatino Linotype" w:cs="Palatino Linotype"/>
          <w:b/>
          <w:i/>
          <w:color w:val="000000" w:themeColor="text1"/>
        </w:rPr>
        <w:t>Constitución Política del Estado Libre y Soberano de México</w:t>
      </w:r>
    </w:p>
    <w:p w:rsidR="007E0933" w:rsidRPr="00252BF8" w:rsidRDefault="007E0933" w:rsidP="00A806D9">
      <w:pPr>
        <w:spacing w:before="240" w:after="240"/>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b/>
          <w:i/>
          <w:color w:val="000000" w:themeColor="text1"/>
        </w:rPr>
        <w:t>“Artículo 5</w:t>
      </w:r>
      <w:r w:rsidRPr="00252BF8">
        <w:rPr>
          <w:rFonts w:ascii="Palatino Linotype" w:eastAsia="Palatino Linotype" w:hAnsi="Palatino Linotype" w:cs="Palatino Linotype"/>
          <w:i/>
          <w:color w:val="000000" w:themeColor="text1"/>
        </w:rPr>
        <w:t xml:space="preserve">.- </w:t>
      </w:r>
    </w:p>
    <w:p w:rsidR="007E0933" w:rsidRPr="00252BF8" w:rsidRDefault="007E0933" w:rsidP="00A806D9">
      <w:pPr>
        <w:spacing w:before="240" w:after="240"/>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w:t>
      </w:r>
    </w:p>
    <w:p w:rsidR="007E0933" w:rsidRPr="00252BF8" w:rsidRDefault="007E0933" w:rsidP="00A806D9">
      <w:pPr>
        <w:spacing w:before="240" w:after="240"/>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252BF8">
        <w:rPr>
          <w:rFonts w:ascii="Palatino Linotype" w:eastAsia="Palatino Linotype" w:hAnsi="Palatino Linotype" w:cs="Palatino Linotype"/>
          <w:i/>
          <w:color w:val="000000" w:themeColor="text1"/>
        </w:rPr>
        <w:t>.</w:t>
      </w:r>
    </w:p>
    <w:p w:rsidR="007E0933" w:rsidRPr="00252BF8" w:rsidRDefault="007E0933" w:rsidP="00A806D9">
      <w:pPr>
        <w:spacing w:before="240" w:after="240"/>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E0933" w:rsidRPr="00252BF8" w:rsidRDefault="007E0933" w:rsidP="00A806D9">
      <w:pPr>
        <w:spacing w:before="240" w:after="240"/>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b/>
          <w:i/>
          <w:color w:val="000000" w:themeColor="text1"/>
        </w:rPr>
        <w:t>Este derecho se regirá por los principios y bases siguientes</w:t>
      </w:r>
      <w:r w:rsidRPr="00252BF8">
        <w:rPr>
          <w:rFonts w:ascii="Palatino Linotype" w:eastAsia="Palatino Linotype" w:hAnsi="Palatino Linotype" w:cs="Palatino Linotype"/>
          <w:i/>
          <w:color w:val="000000" w:themeColor="text1"/>
        </w:rPr>
        <w:t>:</w:t>
      </w:r>
    </w:p>
    <w:p w:rsidR="007E0933" w:rsidRPr="00252BF8" w:rsidRDefault="007E0933" w:rsidP="00A806D9">
      <w:pPr>
        <w:spacing w:before="240" w:after="240"/>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b/>
          <w:i/>
          <w:color w:val="000000" w:themeColor="text1"/>
        </w:rPr>
        <w:t>I. Toda la información en posesión de cualquier autoridad, entidad, órgano y organismos de los</w:t>
      </w:r>
      <w:r w:rsidRPr="00252BF8">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252BF8">
        <w:rPr>
          <w:rFonts w:ascii="Palatino Linotype" w:eastAsia="Palatino Linotype" w:hAnsi="Palatino Linotype" w:cs="Palatino Linotype"/>
          <w:b/>
          <w:i/>
          <w:color w:val="000000" w:themeColor="text1"/>
        </w:rPr>
        <w:t>municipales</w:t>
      </w:r>
      <w:r w:rsidRPr="00252BF8">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2BF8">
        <w:rPr>
          <w:rFonts w:ascii="Palatino Linotype" w:eastAsia="Palatino Linotype" w:hAnsi="Palatino Linotype" w:cs="Palatino Linotype"/>
          <w:b/>
          <w:i/>
          <w:color w:val="000000" w:themeColor="text1"/>
        </w:rPr>
        <w:t>es pública</w:t>
      </w:r>
      <w:r w:rsidRPr="00252BF8">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252BF8">
        <w:rPr>
          <w:rFonts w:ascii="Palatino Linotype" w:eastAsia="Palatino Linotype" w:hAnsi="Palatino Linotype" w:cs="Palatino Linotype"/>
          <w:b/>
          <w:i/>
          <w:color w:val="000000" w:themeColor="text1"/>
        </w:rPr>
        <w:t>En la interpretación de este derecho deberá prevalecer el principio de máxima publicidad</w:t>
      </w:r>
      <w:r w:rsidRPr="00252BF8">
        <w:rPr>
          <w:rFonts w:ascii="Palatino Linotype" w:eastAsia="Palatino Linotype" w:hAnsi="Palatino Linotype" w:cs="Palatino Linotype"/>
          <w:i/>
          <w:color w:val="000000" w:themeColor="text1"/>
        </w:rPr>
        <w:t xml:space="preserve">. </w:t>
      </w:r>
      <w:r w:rsidRPr="00252BF8">
        <w:rPr>
          <w:rFonts w:ascii="Palatino Linotype" w:eastAsia="Palatino Linotype" w:hAnsi="Palatino Linotype" w:cs="Palatino Linotype"/>
          <w:b/>
          <w:i/>
          <w:color w:val="000000" w:themeColor="text1"/>
        </w:rPr>
        <w:t xml:space="preserve">Los sujetos obligados deberán documentar todo acto que derive del ejercicio de sus </w:t>
      </w:r>
      <w:r w:rsidRPr="00252BF8">
        <w:rPr>
          <w:rFonts w:ascii="Palatino Linotype" w:eastAsia="Palatino Linotype" w:hAnsi="Palatino Linotype" w:cs="Palatino Linotype"/>
          <w:b/>
          <w:i/>
          <w:color w:val="000000" w:themeColor="text1"/>
        </w:rPr>
        <w:lastRenderedPageBreak/>
        <w:t>facultades, competencias o funciones</w:t>
      </w:r>
      <w:r w:rsidRPr="00252BF8">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7E0933" w:rsidRPr="00252BF8" w:rsidRDefault="007E0933" w:rsidP="00A806D9">
      <w:pPr>
        <w:tabs>
          <w:tab w:val="left" w:pos="567"/>
        </w:tabs>
        <w:spacing w:before="240" w:after="240"/>
        <w:ind w:right="-7"/>
        <w:jc w:val="both"/>
        <w:rPr>
          <w:rFonts w:ascii="Palatino Linotype" w:eastAsia="Palatino Linotype" w:hAnsi="Palatino Linotype" w:cs="Palatino Linotype"/>
          <w:b/>
          <w:i/>
          <w:color w:val="000000" w:themeColor="text1"/>
        </w:rPr>
      </w:pPr>
    </w:p>
    <w:p w:rsidR="007E0933" w:rsidRPr="00252BF8" w:rsidRDefault="007E0933" w:rsidP="00A806D9">
      <w:pPr>
        <w:numPr>
          <w:ilvl w:val="0"/>
          <w:numId w:val="2"/>
        </w:numPr>
        <w:spacing w:before="240" w:line="360" w:lineRule="auto"/>
        <w:ind w:left="0" w:right="-7" w:firstLine="0"/>
        <w:jc w:val="both"/>
        <w:rPr>
          <w:rFonts w:ascii="Palatino Linotype" w:hAnsi="Palatino Linotype"/>
          <w:color w:val="000000" w:themeColor="text1"/>
        </w:rPr>
      </w:pPr>
      <w:r w:rsidRPr="00252BF8">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252BF8">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252BF8">
        <w:rPr>
          <w:rFonts w:ascii="Palatino Linotype" w:eastAsia="Palatino Linotype" w:hAnsi="Palatino Linotype" w:cs="Palatino Linotype"/>
          <w:color w:val="000000" w:themeColor="text1"/>
        </w:rPr>
        <w:t>, contemplando el derecho de las personas con discapacidad y hablantes de lengua indígena.</w:t>
      </w:r>
    </w:p>
    <w:p w:rsidR="007E0933" w:rsidRPr="00252BF8" w:rsidRDefault="007E0933" w:rsidP="00A806D9">
      <w:pPr>
        <w:spacing w:line="360" w:lineRule="auto"/>
        <w:ind w:right="-7"/>
        <w:jc w:val="both"/>
        <w:rPr>
          <w:rFonts w:ascii="Palatino Linotype" w:eastAsia="Palatino Linotype" w:hAnsi="Palatino Linotype" w:cs="Palatino Linotype"/>
          <w:color w:val="000000" w:themeColor="text1"/>
        </w:rPr>
      </w:pPr>
    </w:p>
    <w:p w:rsidR="007E0933" w:rsidRPr="00252BF8" w:rsidRDefault="007E0933" w:rsidP="00A806D9">
      <w:pPr>
        <w:numPr>
          <w:ilvl w:val="0"/>
          <w:numId w:val="2"/>
        </w:numPr>
        <w:spacing w:line="360" w:lineRule="auto"/>
        <w:ind w:left="0" w:right="-7" w:firstLine="0"/>
        <w:jc w:val="both"/>
        <w:rPr>
          <w:rFonts w:ascii="Palatino Linotype" w:hAnsi="Palatino Linotype"/>
          <w:color w:val="000000" w:themeColor="text1"/>
        </w:rPr>
      </w:pPr>
      <w:r w:rsidRPr="00252BF8">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252BF8">
        <w:rPr>
          <w:rFonts w:ascii="Palatino Linotype" w:eastAsia="Palatino Linotype" w:hAnsi="Palatino Linotype" w:cs="Palatino Linotype"/>
          <w:i/>
          <w:color w:val="000000" w:themeColor="text1"/>
        </w:rPr>
        <w:t>solicitudes de acceso a la información</w:t>
      </w:r>
      <w:r w:rsidRPr="00252BF8">
        <w:rPr>
          <w:rFonts w:ascii="Palatino Linotype" w:eastAsia="Palatino Linotype" w:hAnsi="Palatino Linotype" w:cs="Palatino Linotype"/>
          <w:color w:val="000000" w:themeColor="text1"/>
        </w:rPr>
        <w:t>.</w:t>
      </w:r>
    </w:p>
    <w:p w:rsidR="007E0933" w:rsidRPr="00252BF8" w:rsidRDefault="007E0933" w:rsidP="00A806D9">
      <w:pPr>
        <w:spacing w:line="360" w:lineRule="auto"/>
        <w:ind w:right="-7"/>
        <w:jc w:val="both"/>
        <w:rPr>
          <w:rFonts w:ascii="Palatino Linotype" w:eastAsia="Palatino Linotype" w:hAnsi="Palatino Linotype" w:cs="Palatino Linotype"/>
          <w:color w:val="000000" w:themeColor="text1"/>
        </w:rPr>
      </w:pPr>
    </w:p>
    <w:p w:rsidR="00BB21C3" w:rsidRPr="00252BF8" w:rsidRDefault="007E0933" w:rsidP="00A806D9">
      <w:pPr>
        <w:numPr>
          <w:ilvl w:val="0"/>
          <w:numId w:val="2"/>
        </w:numPr>
        <w:spacing w:line="360" w:lineRule="auto"/>
        <w:ind w:left="0" w:right="-7" w:firstLine="0"/>
        <w:jc w:val="both"/>
        <w:rPr>
          <w:rFonts w:ascii="Palatino Linotype" w:hAnsi="Palatino Linotype"/>
          <w:color w:val="000000" w:themeColor="text1"/>
        </w:rPr>
      </w:pPr>
      <w:bookmarkStart w:id="11" w:name="_heading=h.3rdcrjn" w:colFirst="0" w:colLast="0"/>
      <w:bookmarkEnd w:id="11"/>
      <w:r w:rsidRPr="00252BF8">
        <w:rPr>
          <w:rFonts w:ascii="Palatino Linotype" w:eastAsia="Palatino Linotype" w:hAnsi="Palatino Linotype" w:cs="Palatino Linotype"/>
          <w:color w:val="000000" w:themeColor="text1"/>
        </w:rPr>
        <w:t xml:space="preserve">Así entonces, se procede analizar, en primer lugar, si el </w:t>
      </w:r>
      <w:r w:rsidRPr="00252BF8">
        <w:rPr>
          <w:rFonts w:ascii="Palatino Linotype" w:eastAsia="Palatino Linotype" w:hAnsi="Palatino Linotype" w:cs="Palatino Linotype"/>
          <w:b/>
          <w:color w:val="000000" w:themeColor="text1"/>
        </w:rPr>
        <w:t>SUJETO OBLIGADO</w:t>
      </w:r>
      <w:r w:rsidRPr="00252BF8">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7E0933" w:rsidRPr="00252BF8" w:rsidRDefault="007E0933" w:rsidP="00A806D9">
      <w:pPr>
        <w:spacing w:line="360" w:lineRule="auto"/>
        <w:ind w:right="-7"/>
        <w:jc w:val="both"/>
        <w:rPr>
          <w:rFonts w:ascii="Palatino Linotype" w:eastAsia="Palatino Linotype" w:hAnsi="Palatino Linotype" w:cs="Palatino Linotype"/>
          <w:color w:val="000000" w:themeColor="text1"/>
        </w:rPr>
      </w:pPr>
    </w:p>
    <w:p w:rsidR="007E0933" w:rsidRPr="00252BF8" w:rsidRDefault="007E0933" w:rsidP="00A806D9">
      <w:pPr>
        <w:pStyle w:val="Ttulo1"/>
        <w:spacing w:before="0" w:after="240" w:line="360" w:lineRule="auto"/>
        <w:ind w:right="-7"/>
        <w:rPr>
          <w:rFonts w:ascii="Palatino Linotype" w:eastAsia="Palatino Linotype" w:hAnsi="Palatino Linotype" w:cs="Palatino Linotype"/>
          <w:b/>
          <w:color w:val="000000" w:themeColor="text1"/>
          <w:sz w:val="24"/>
          <w:szCs w:val="24"/>
        </w:rPr>
      </w:pPr>
      <w:bookmarkStart w:id="12" w:name="_heading=h.26in1rg" w:colFirst="0" w:colLast="0"/>
      <w:bookmarkEnd w:id="12"/>
      <w:r w:rsidRPr="00252BF8">
        <w:rPr>
          <w:rFonts w:ascii="Palatino Linotype" w:eastAsia="Palatino Linotype" w:hAnsi="Palatino Linotype" w:cs="Palatino Linotype"/>
          <w:b/>
          <w:color w:val="000000" w:themeColor="text1"/>
          <w:sz w:val="24"/>
          <w:szCs w:val="24"/>
        </w:rPr>
        <w:t>II. De la información solicitada y la respuesta del SUJETO OBLIGADO</w:t>
      </w:r>
    </w:p>
    <w:p w:rsidR="00BB21C3" w:rsidRPr="00252BF8" w:rsidRDefault="007E0933" w:rsidP="00A806D9">
      <w:pPr>
        <w:numPr>
          <w:ilvl w:val="0"/>
          <w:numId w:val="2"/>
        </w:numPr>
        <w:spacing w:line="360" w:lineRule="auto"/>
        <w:ind w:left="0" w:right="-7" w:firstLine="0"/>
        <w:jc w:val="both"/>
        <w:rPr>
          <w:rFonts w:ascii="Palatino Linotype" w:hAnsi="Palatino Linotype"/>
          <w:color w:val="000000" w:themeColor="text1"/>
        </w:rPr>
      </w:pPr>
      <w:r w:rsidRPr="00252BF8">
        <w:rPr>
          <w:rFonts w:ascii="Palatino Linotype" w:eastAsia="Palatino Linotype" w:hAnsi="Palatino Linotype" w:cs="Palatino Linotype"/>
          <w:color w:val="000000" w:themeColor="text1"/>
        </w:rPr>
        <w:t xml:space="preserve">Acotada la </w:t>
      </w:r>
      <w:r w:rsidRPr="00252BF8">
        <w:rPr>
          <w:rFonts w:ascii="Palatino Linotype" w:eastAsia="Palatino Linotype" w:hAnsi="Palatino Linotype" w:cs="Palatino Linotype"/>
          <w:i/>
          <w:color w:val="000000" w:themeColor="text1"/>
        </w:rPr>
        <w:t>Litis</w:t>
      </w:r>
      <w:r w:rsidRPr="00252BF8">
        <w:rPr>
          <w:rFonts w:ascii="Palatino Linotype" w:eastAsia="Palatino Linotype" w:hAnsi="Palatino Linotype" w:cs="Palatino Linotype"/>
          <w:color w:val="000000" w:themeColor="text1"/>
        </w:rPr>
        <w:t xml:space="preserve"> del presente asunto, primeramente </w:t>
      </w:r>
      <w:r w:rsidR="00513E2D" w:rsidRPr="00252BF8">
        <w:rPr>
          <w:rFonts w:ascii="Palatino Linotype" w:eastAsia="Palatino Linotype" w:hAnsi="Palatino Linotype" w:cs="Palatino Linotype"/>
          <w:color w:val="000000" w:themeColor="text1"/>
        </w:rPr>
        <w:t xml:space="preserve">respecto de la fuente obligacional, </w:t>
      </w:r>
      <w:r w:rsidR="00513E2D" w:rsidRPr="00252BF8">
        <w:rPr>
          <w:rFonts w:ascii="Palatino Linotype" w:hAnsi="Palatino Linotype"/>
          <w:color w:val="000000" w:themeColor="text1"/>
        </w:rPr>
        <w:t>d</w:t>
      </w:r>
      <w:r w:rsidR="00BB21C3" w:rsidRPr="00252BF8">
        <w:rPr>
          <w:rFonts w:ascii="Palatino Linotype" w:hAnsi="Palatino Linotype"/>
          <w:color w:val="000000" w:themeColor="text1"/>
        </w:rPr>
        <w:t xml:space="preserve">entro de la página oficial del </w:t>
      </w:r>
      <w:r w:rsidR="00BB21C3" w:rsidRPr="00252BF8">
        <w:rPr>
          <w:rFonts w:ascii="Palatino Linotype" w:hAnsi="Palatino Linotype"/>
          <w:b/>
          <w:color w:val="000000" w:themeColor="text1"/>
        </w:rPr>
        <w:t xml:space="preserve">SUJETO OBLIGADO, </w:t>
      </w:r>
      <w:r w:rsidR="00BB21C3" w:rsidRPr="00252BF8">
        <w:rPr>
          <w:rFonts w:ascii="Palatino Linotype" w:hAnsi="Palatino Linotype"/>
          <w:color w:val="000000" w:themeColor="text1"/>
        </w:rPr>
        <w:t xml:space="preserve">se localizó lo siguiente: </w:t>
      </w:r>
    </w:p>
    <w:p w:rsidR="00BB21C3" w:rsidRPr="00252BF8" w:rsidRDefault="00BB21C3" w:rsidP="00A806D9">
      <w:pPr>
        <w:spacing w:line="360" w:lineRule="auto"/>
        <w:ind w:right="-7"/>
        <w:jc w:val="both"/>
        <w:rPr>
          <w:rFonts w:ascii="Palatino Linotype" w:hAnsi="Palatino Linotype"/>
          <w:color w:val="000000" w:themeColor="text1"/>
        </w:rPr>
      </w:pPr>
    </w:p>
    <w:p w:rsidR="00BB21C3" w:rsidRPr="00252BF8" w:rsidRDefault="00BB21C3" w:rsidP="00A806D9">
      <w:pPr>
        <w:spacing w:line="360" w:lineRule="auto"/>
        <w:ind w:right="-7"/>
        <w:jc w:val="center"/>
        <w:rPr>
          <w:rFonts w:ascii="Palatino Linotype" w:hAnsi="Palatino Linotype"/>
          <w:color w:val="000000" w:themeColor="text1"/>
        </w:rPr>
      </w:pPr>
      <w:r w:rsidRPr="00252BF8">
        <w:rPr>
          <w:rFonts w:ascii="Palatino Linotype" w:hAnsi="Palatino Linotype"/>
          <w:noProof/>
          <w:color w:val="000000" w:themeColor="text1"/>
        </w:rPr>
        <w:drawing>
          <wp:inline distT="0" distB="0" distL="0" distR="0" wp14:anchorId="77D5EF3D" wp14:editId="5965F1E9">
            <wp:extent cx="5216525" cy="4635500"/>
            <wp:effectExtent l="0" t="0" r="317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16525" cy="4635500"/>
                    </a:xfrm>
                    <a:prstGeom prst="rect">
                      <a:avLst/>
                    </a:prstGeom>
                  </pic:spPr>
                </pic:pic>
              </a:graphicData>
            </a:graphic>
          </wp:inline>
        </w:drawing>
      </w:r>
    </w:p>
    <w:p w:rsidR="002665E0" w:rsidRPr="00252BF8" w:rsidRDefault="002665E0" w:rsidP="00A806D9">
      <w:pPr>
        <w:spacing w:line="360" w:lineRule="auto"/>
        <w:ind w:right="-7"/>
        <w:jc w:val="center"/>
        <w:rPr>
          <w:rFonts w:ascii="Palatino Linotype" w:hAnsi="Palatino Linotype"/>
          <w:color w:val="000000" w:themeColor="text1"/>
        </w:rPr>
      </w:pPr>
    </w:p>
    <w:p w:rsidR="00BB21C3" w:rsidRPr="00252BF8" w:rsidRDefault="00BB21C3" w:rsidP="00A806D9">
      <w:pPr>
        <w:spacing w:line="360" w:lineRule="auto"/>
        <w:ind w:right="-7"/>
        <w:jc w:val="center"/>
        <w:rPr>
          <w:rFonts w:ascii="Palatino Linotype" w:hAnsi="Palatino Linotype"/>
          <w:i/>
          <w:color w:val="000000" w:themeColor="text1"/>
        </w:rPr>
      </w:pPr>
    </w:p>
    <w:p w:rsidR="002665E0" w:rsidRPr="00252BF8" w:rsidRDefault="00BB21C3" w:rsidP="00A806D9">
      <w:pPr>
        <w:spacing w:line="360" w:lineRule="auto"/>
        <w:ind w:right="-7"/>
        <w:jc w:val="center"/>
        <w:rPr>
          <w:rFonts w:ascii="Palatino Linotype" w:hAnsi="Palatino Linotype"/>
          <w:b/>
          <w:i/>
          <w:color w:val="000000" w:themeColor="text1"/>
        </w:rPr>
      </w:pPr>
      <w:r w:rsidRPr="00252BF8">
        <w:rPr>
          <w:rFonts w:ascii="Palatino Linotype" w:hAnsi="Palatino Linotype"/>
          <w:b/>
          <w:i/>
          <w:color w:val="000000" w:themeColor="text1"/>
        </w:rPr>
        <w:t>BANDO MUNICPAL</w:t>
      </w:r>
    </w:p>
    <w:p w:rsidR="002665E0" w:rsidRPr="00252BF8" w:rsidRDefault="002665E0" w:rsidP="00A806D9">
      <w:pPr>
        <w:spacing w:line="276" w:lineRule="auto"/>
        <w:ind w:right="-7"/>
        <w:jc w:val="both"/>
        <w:rPr>
          <w:rFonts w:ascii="Palatino Linotype" w:eastAsia="Palatino Linotype" w:hAnsi="Palatino Linotype" w:cs="Palatino Linotype"/>
          <w:b/>
          <w:i/>
          <w:color w:val="000000" w:themeColor="text1"/>
        </w:rPr>
      </w:pPr>
      <w:r w:rsidRPr="00252BF8">
        <w:rPr>
          <w:rFonts w:ascii="Palatino Linotype" w:eastAsia="Palatino Linotype" w:hAnsi="Palatino Linotype" w:cs="Palatino Linotype"/>
          <w:b/>
          <w:i/>
          <w:color w:val="000000" w:themeColor="text1"/>
        </w:rPr>
        <w:t>CAPÍTULO I</w:t>
      </w:r>
    </w:p>
    <w:p w:rsidR="002665E0" w:rsidRPr="00252BF8" w:rsidRDefault="002665E0" w:rsidP="00A806D9">
      <w:pPr>
        <w:spacing w:line="276" w:lineRule="auto"/>
        <w:ind w:right="-7"/>
        <w:jc w:val="both"/>
        <w:rPr>
          <w:rFonts w:ascii="Palatino Linotype" w:eastAsia="Palatino Linotype" w:hAnsi="Palatino Linotype" w:cs="Palatino Linotype"/>
          <w:b/>
          <w:i/>
          <w:color w:val="000000" w:themeColor="text1"/>
        </w:rPr>
      </w:pPr>
      <w:r w:rsidRPr="00252BF8">
        <w:rPr>
          <w:rFonts w:ascii="Palatino Linotype" w:eastAsia="Palatino Linotype" w:hAnsi="Palatino Linotype" w:cs="Palatino Linotype"/>
          <w:b/>
          <w:i/>
          <w:color w:val="000000" w:themeColor="text1"/>
        </w:rPr>
        <w:t xml:space="preserve"> LA ORGANIZACIÓN ADMINISTRATIVA </w:t>
      </w:r>
    </w:p>
    <w:p w:rsidR="002665E0" w:rsidRPr="00252BF8" w:rsidRDefault="002665E0" w:rsidP="00A806D9">
      <w:pPr>
        <w:spacing w:line="276" w:lineRule="auto"/>
        <w:ind w:right="-7"/>
        <w:jc w:val="both"/>
        <w:rPr>
          <w:rFonts w:ascii="Palatino Linotype" w:eastAsia="Palatino Linotype" w:hAnsi="Palatino Linotype" w:cs="Palatino Linotype"/>
          <w:b/>
          <w:i/>
          <w:color w:val="000000" w:themeColor="text1"/>
        </w:rPr>
      </w:pP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b/>
          <w:i/>
          <w:color w:val="000000" w:themeColor="text1"/>
        </w:rPr>
        <w:t>Artículo 59</w:t>
      </w:r>
      <w:r w:rsidRPr="00252BF8">
        <w:rPr>
          <w:rFonts w:ascii="Palatino Linotype" w:eastAsia="Palatino Linotype" w:hAnsi="Palatino Linotype" w:cs="Palatino Linotype"/>
          <w:i/>
          <w:color w:val="000000" w:themeColor="text1"/>
        </w:rPr>
        <w:t xml:space="preserve">.- Para el ejercicio de sus atribuciones y responsabilidades ejecutivas, el Ayuntamiento se auxiliará con las dependencias y entidades de la Administración Pública </w:t>
      </w:r>
      <w:r w:rsidRPr="00252BF8">
        <w:rPr>
          <w:rFonts w:ascii="Palatino Linotype" w:eastAsia="Palatino Linotype" w:hAnsi="Palatino Linotype" w:cs="Palatino Linotype"/>
          <w:i/>
          <w:color w:val="000000" w:themeColor="text1"/>
        </w:rPr>
        <w:lastRenderedPageBreak/>
        <w:t xml:space="preserve">Municipal, que en su caso acuerde el Ayuntamiento a propuesta de la Presidenta Municipal. Mismas que estarán subordinadas al servidor público. </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Artículo 60.- Son autoridades del municipio: </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I. El Ayuntamiento como cuerpo colegiado y deliberante; </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II. La Presidenta Municipal; </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III. El Síndico Municipal;</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 IV. Las y los Regidores; </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V. El Secretario del Ayuntamiento; </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u w:val="single"/>
        </w:rPr>
      </w:pPr>
      <w:r w:rsidRPr="00252BF8">
        <w:rPr>
          <w:rFonts w:ascii="Palatino Linotype" w:eastAsia="Palatino Linotype" w:hAnsi="Palatino Linotype" w:cs="Palatino Linotype"/>
          <w:i/>
          <w:color w:val="000000" w:themeColor="text1"/>
          <w:u w:val="single"/>
        </w:rPr>
        <w:t xml:space="preserve">VI. El Tesorero Municipal; </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VII. El Oficial Mayor;</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 VIII. El Titular del Órgano Interno de Control; </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IX. El Director de la Unidad de Información, Planeación, Programación y Evaluación (UIPPE);</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 X. El Director de Gobernación; </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XI. El Titular del Área Jurídica; </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XII. El Director General de Seguridad Pública;</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 XIII. El Coordinador de Protección Civil y Bomberos; </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XIV. La Juez Cívico;</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 XV. El Director de Turismo; </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XVI. El Director de Desarrollo Urbano y Obras Públicas; </w:t>
      </w:r>
    </w:p>
    <w:p w:rsidR="007E0933"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XVII. El Coordinador de Desarrollo Urbano;</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XVIII. El Director del Organismo Público Descentralizado para la Prestación de los Servicios de Agua Potable, Alcantarillado y Saneamiento (O.P.D.A.P.A.S.); </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XIX. Titular del departamento de Atención a la Juventud; </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XX. La Directora del Bienestar; </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XXI. El Coordinador de Salud;</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 XXII. El Director de Educación;</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 XXIII. La Directora de Asuntos Indígenas;</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XXIV. El Coordinador de Desarrollo Rural; </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lastRenderedPageBreak/>
        <w:t xml:space="preserve">XXV. El Director de Servicios Públicos; </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XXVI. La Coordinadora para la Protección de los Derechos de la Mujer y Grupos Vulnerables; </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XXVII. El Coordinador de Comunicación Social; </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proofErr w:type="spellStart"/>
      <w:r w:rsidRPr="00252BF8">
        <w:rPr>
          <w:rFonts w:ascii="Palatino Linotype" w:eastAsia="Palatino Linotype" w:hAnsi="Palatino Linotype" w:cs="Palatino Linotype"/>
          <w:i/>
          <w:color w:val="000000" w:themeColor="text1"/>
        </w:rPr>
        <w:t>XXVIII.El</w:t>
      </w:r>
      <w:proofErr w:type="spellEnd"/>
      <w:r w:rsidRPr="00252BF8">
        <w:rPr>
          <w:rFonts w:ascii="Palatino Linotype" w:eastAsia="Palatino Linotype" w:hAnsi="Palatino Linotype" w:cs="Palatino Linotype"/>
          <w:i/>
          <w:color w:val="000000" w:themeColor="text1"/>
        </w:rPr>
        <w:t xml:space="preserve"> Oficial del Registro Civil; </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XXIX. La Presidenta y la Directora del Sistema Municipal para el Desarrollo Integral de la Familia (D.I.F.); </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XXX. El Defensor Municipal de los Derechos Humanos; y </w:t>
      </w:r>
    </w:p>
    <w:p w:rsidR="009560AE"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XXXI. La Directora del Instituto Municipal de Cultura Física y Deporte (I.M.C.U.F.I.D.E.). </w:t>
      </w:r>
    </w:p>
    <w:p w:rsidR="002665E0" w:rsidRPr="00252BF8" w:rsidRDefault="002665E0" w:rsidP="00A806D9">
      <w:pPr>
        <w:spacing w:line="276"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XXXII. Coordinador de Minas</w:t>
      </w:r>
    </w:p>
    <w:p w:rsidR="007E0933" w:rsidRPr="00252BF8" w:rsidRDefault="007E0933" w:rsidP="00A806D9">
      <w:pPr>
        <w:spacing w:line="360" w:lineRule="auto"/>
        <w:ind w:right="-7"/>
        <w:jc w:val="both"/>
        <w:rPr>
          <w:rFonts w:ascii="Palatino Linotype" w:eastAsia="Palatino Linotype" w:hAnsi="Palatino Linotype" w:cs="Palatino Linotype"/>
          <w:color w:val="000000" w:themeColor="text1"/>
        </w:rPr>
      </w:pPr>
    </w:p>
    <w:p w:rsidR="00F66875" w:rsidRPr="00252BF8" w:rsidRDefault="00F66875" w:rsidP="00A806D9">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Ahora, bien de acuerdo a lo referido por el Manual de Organización de la Administración Pública Municipal, se refiere lo siguiente:</w:t>
      </w: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 Artículo 87.- Para el despacho, estudio y planeación de los diversos asuntos de la administración municipal, el ayuntamiento contará por lo menos con las siguientes Dependencias:</w:t>
      </w: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 I. La secretaría del ayuntamiento; </w:t>
      </w: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II. La tesorería municipal.</w:t>
      </w: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 III. La Dirección de Obras Públicas o equivalente. </w:t>
      </w: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IV. La Dirección de Desarrollo Económico o equivalente.</w:t>
      </w: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b/>
          <w:i/>
          <w:color w:val="000000" w:themeColor="text1"/>
        </w:rPr>
      </w:pPr>
      <w:r w:rsidRPr="00252BF8">
        <w:rPr>
          <w:rFonts w:ascii="Palatino Linotype" w:eastAsia="Palatino Linotype" w:hAnsi="Palatino Linotype" w:cs="Palatino Linotype"/>
          <w:b/>
          <w:i/>
          <w:color w:val="000000" w:themeColor="text1"/>
        </w:rPr>
        <w:t xml:space="preserve">III. TESORERÍA MUNICIPAL </w:t>
      </w: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b/>
          <w:i/>
          <w:color w:val="000000" w:themeColor="text1"/>
        </w:rPr>
        <w:t>Objetivo:</w:t>
      </w:r>
      <w:r w:rsidRPr="00252BF8">
        <w:rPr>
          <w:rFonts w:ascii="Palatino Linotype" w:eastAsia="Palatino Linotype" w:hAnsi="Palatino Linotype" w:cs="Palatino Linotype"/>
          <w:i/>
          <w:color w:val="000000" w:themeColor="text1"/>
        </w:rPr>
        <w:t xml:space="preserve"> Planear, dirigir y controlar las acciones encaminadas a la recaudación de los ingresos municipales, derivados de la coordinación hacendaria e ingresos provenientes de financiamiento, así como realizar las erogaciones a través de una disciplina financiera con la adecuada aplicación del presupuesto de egresos para logar los objetivos del ayuntamiento.</w:t>
      </w: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lastRenderedPageBreak/>
        <w:t>Funciones: Integrar en coordinación con la Subdirección de Ingresos y la Subdirección de Egresos, así como en coordinación con las dependencias de la Administración Pública Municipal los informes mensuales y la cuenta Pública Municipal que se remite al Órgano Superior de Fiscalización del Estado de México.</w:t>
      </w: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 Integrar y revisar en coordinación con las dependencias de la Administración Pública Municipal, el presupuesto de ingresos y egresos del ejercicio inmediato posterior, presentándolo al Cabildo para su aprobación dentro de los plazos señalados en las normas aplicables, y sugerir las modificaciones en caso necesario. </w:t>
      </w: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Revisar que las áreas de ingresos cumplan con los servicios relacionados con la recaudación, concentración, administración y custodia de fondos y valores, así como la realización de los depósitos bancarios a las instituciones bancarias correspondientes. </w:t>
      </w: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Autorizar la distribución de las formas numeradas y valoradas que se utilicen para la recaudación de los ingresos públicos y para el pago de las obligaciones a cargo de la Hacienda Pública Municipal </w:t>
      </w: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Liberar los recursos financieros de conformidad en los montos establecidos en el presupuesto de egresos, estipulando los requisitos mediante reglas de carácter general que deberán cumplir las dependencias de la Administración Pública Municipal </w:t>
      </w: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F66875" w:rsidRPr="00252BF8" w:rsidRDefault="00513E2D"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Auxiliarse</w:t>
      </w:r>
      <w:r w:rsidR="00F66875" w:rsidRPr="00252BF8">
        <w:rPr>
          <w:rFonts w:ascii="Palatino Linotype" w:eastAsia="Palatino Linotype" w:hAnsi="Palatino Linotype" w:cs="Palatino Linotype"/>
          <w:i/>
          <w:color w:val="000000" w:themeColor="text1"/>
        </w:rPr>
        <w:t xml:space="preserve"> de las instituciones que integran el sistema bancario para la presentación de los servicios inherentes</w:t>
      </w: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lastRenderedPageBreak/>
        <w:t xml:space="preserve"> Expedir los certificados de las constancias de no adeudo del impuesto Predial, pago de Traslado de Dominio, </w:t>
      </w:r>
      <w:r w:rsidR="00513E2D" w:rsidRPr="00252BF8">
        <w:rPr>
          <w:rFonts w:ascii="Palatino Linotype" w:eastAsia="Palatino Linotype" w:hAnsi="Palatino Linotype" w:cs="Palatino Linotype"/>
          <w:i/>
          <w:color w:val="000000" w:themeColor="text1"/>
        </w:rPr>
        <w:t>así</w:t>
      </w:r>
      <w:r w:rsidRPr="00252BF8">
        <w:rPr>
          <w:rFonts w:ascii="Palatino Linotype" w:eastAsia="Palatino Linotype" w:hAnsi="Palatino Linotype" w:cs="Palatino Linotype"/>
          <w:i/>
          <w:color w:val="000000" w:themeColor="text1"/>
        </w:rPr>
        <w:t xml:space="preserve"> como certificar documentos que se tengan en resguardo, determinando requisitos y lineamientos que debe reunir el contribuyente para su expedición, así como cubrir el pago de derechos que corresponda. </w:t>
      </w: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Implementar los procedimientos Administrativos comunes, en términos del Código de Procedimientos Administrativos del Estado de México, cuando con motivo de las peticiones de los contribuyentes, se generen controversias sobre la responsabilidad directa en el cumplimiento de las obligaciones fiscales. </w:t>
      </w: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Autorizar la dispensa en la entrega de la garantía del interés fiscal, cuando el o los contribuyentes se encuentran en el supuesto contemplado en el último párrafo del artículo 38 del Código Financiero del Estado de México y Municipios, posterior al análisis que realice a situación particular del caso, pudiendo solicitar los elementos que considere pertinentes a los interesados, involucrados u otra autoridad administrativa. Lo anterior en base a lo estipulado en los artículos 32 fracción III y 38 último párrafo del Código Financiero del Estado de México y Municipios.</w:t>
      </w: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Implementar los procedimientos Administrativos Especiales, para el cobro de los créditos fiscales, en términos del Código de Procedimientos Administrativos del Estado de México, en relación con el Código Financiero del Estado de México y Municipio vigente.</w:t>
      </w: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 Revisar los movimientos contables, financieros, administrativos de los ingresos y egresos de la administración pública municipal. Revisar la integración y actualización del padrón catastral. </w:t>
      </w: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lastRenderedPageBreak/>
        <w:t xml:space="preserve">Revisar la actualización y/o modificación de tablas de valores unitarios de </w:t>
      </w:r>
      <w:r w:rsidR="00513E2D" w:rsidRPr="00252BF8">
        <w:rPr>
          <w:rFonts w:ascii="Palatino Linotype" w:eastAsia="Palatino Linotype" w:hAnsi="Palatino Linotype" w:cs="Palatino Linotype"/>
          <w:i/>
          <w:color w:val="000000" w:themeColor="text1"/>
        </w:rPr>
        <w:t>suelo</w:t>
      </w:r>
      <w:r w:rsidRPr="00252BF8">
        <w:rPr>
          <w:rFonts w:ascii="Palatino Linotype" w:eastAsia="Palatino Linotype" w:hAnsi="Palatino Linotype" w:cs="Palatino Linotype"/>
          <w:i/>
          <w:color w:val="000000" w:themeColor="text1"/>
        </w:rPr>
        <w:t xml:space="preserve"> y construcción, de conformidad con la normatividad establecida para su propuesta y presentación ante el Ayuntamiento. </w:t>
      </w: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F66875" w:rsidRPr="00252BF8" w:rsidRDefault="00513E2D"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Vigil</w:t>
      </w:r>
      <w:r w:rsidR="00F66875" w:rsidRPr="00252BF8">
        <w:rPr>
          <w:rFonts w:ascii="Palatino Linotype" w:eastAsia="Palatino Linotype" w:hAnsi="Palatino Linotype" w:cs="Palatino Linotype"/>
          <w:i/>
          <w:color w:val="000000" w:themeColor="text1"/>
        </w:rPr>
        <w:t xml:space="preserve">ar que se mantenga actualizada la información catastral del territorio municipal conforme a las disposiciones legales y reglamentarias aplicables en dicha materia. </w:t>
      </w: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Autorizar y verificar la reasignación de los recursos presupuestarios, mediante el dictamen correspondiente y verificar su integración en los informes mensuales; y </w:t>
      </w: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Desarrollar las demás funciones inherentes al ámbito de su competencia</w:t>
      </w:r>
    </w:p>
    <w:p w:rsidR="00A806D9" w:rsidRPr="00252BF8" w:rsidRDefault="00A806D9"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F66875" w:rsidRPr="00252BF8" w:rsidRDefault="00F66875" w:rsidP="00A806D9">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 xml:space="preserve">De lo anterior, se advierte </w:t>
      </w:r>
      <w:r w:rsidR="002674B2" w:rsidRPr="00252BF8">
        <w:rPr>
          <w:rFonts w:ascii="Palatino Linotype" w:eastAsia="Palatino Linotype" w:hAnsi="Palatino Linotype" w:cs="Palatino Linotype"/>
          <w:color w:val="000000" w:themeColor="text1"/>
        </w:rPr>
        <w:t xml:space="preserve">que </w:t>
      </w:r>
      <w:r w:rsidRPr="00252BF8">
        <w:rPr>
          <w:rFonts w:ascii="Palatino Linotype" w:eastAsia="Palatino Linotype" w:hAnsi="Palatino Linotype" w:cs="Palatino Linotype"/>
          <w:color w:val="000000" w:themeColor="text1"/>
        </w:rPr>
        <w:t xml:space="preserve">Tesorería es la encargada de generar, poseer y/o administrar la información solicita, por lo que el </w:t>
      </w:r>
      <w:r w:rsidRPr="00252BF8">
        <w:rPr>
          <w:rFonts w:ascii="Palatino Linotype" w:eastAsia="Palatino Linotype" w:hAnsi="Palatino Linotype" w:cs="Palatino Linotype"/>
          <w:b/>
          <w:color w:val="000000" w:themeColor="text1"/>
        </w:rPr>
        <w:t xml:space="preserve">SUJETO OBLIGADO, </w:t>
      </w:r>
      <w:r w:rsidRPr="00252BF8">
        <w:rPr>
          <w:rFonts w:ascii="Palatino Linotype" w:eastAsia="Palatino Linotype" w:hAnsi="Palatino Linotype" w:cs="Palatino Linotype"/>
          <w:color w:val="000000" w:themeColor="text1"/>
        </w:rPr>
        <w:t>deberá ordenar la búsqueda de la información en todas y cada una de las áreas competentes para tal efecto.</w:t>
      </w:r>
    </w:p>
    <w:p w:rsidR="00F66875" w:rsidRPr="00252BF8" w:rsidRDefault="00F66875" w:rsidP="00A806D9">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F66875" w:rsidRPr="00252BF8" w:rsidRDefault="00F66875" w:rsidP="00A806D9">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252BF8">
        <w:rPr>
          <w:rFonts w:ascii="Palatino Linotype" w:eastAsia="MS Mincho" w:hAnsi="Palatino Linotype" w:cs="Arial"/>
          <w:color w:val="000000" w:themeColor="text1"/>
        </w:rPr>
        <w:t>Al respecto, e</w:t>
      </w:r>
      <w:r w:rsidRPr="00252BF8">
        <w:rPr>
          <w:rFonts w:ascii="Palatino Linotype" w:hAnsi="Palatino Linotype"/>
          <w:color w:val="000000" w:themeColor="text1"/>
        </w:rPr>
        <w:t xml:space="preserve">l derecho de acceso a la información pública es un derecho humano constitucionalmente reconocido en consecuencia todas las autoridades en el ámbito de sus competencias, funciones y atribuciones tienen la obligación de respetarlo, protegerlo y garantizarlo, así también </w:t>
      </w:r>
      <w:r w:rsidRPr="00252BF8">
        <w:rPr>
          <w:rFonts w:ascii="Palatino Linotype" w:hAnsi="Palatino Linotype"/>
          <w:b/>
          <w:color w:val="000000" w:themeColor="text1"/>
        </w:rPr>
        <w:t>es su deber turnar la solicitud de información a todas las áreas dentro de su estructura orgánica que pudieran contar con lo solicitado</w:t>
      </w:r>
      <w:r w:rsidRPr="00252BF8">
        <w:rPr>
          <w:rFonts w:ascii="Palatino Linotype" w:hAnsi="Palatino Linotype"/>
          <w:color w:val="000000" w:themeColor="text1"/>
        </w:rPr>
        <w:t>, a fin de dar cabal cumplimiento al derecho humano constitucionalmente reconocido.</w:t>
      </w:r>
    </w:p>
    <w:p w:rsidR="00F66875" w:rsidRPr="00252BF8" w:rsidRDefault="00F66875" w:rsidP="00A806D9">
      <w:pPr>
        <w:numPr>
          <w:ilvl w:val="0"/>
          <w:numId w:val="2"/>
        </w:numPr>
        <w:pBdr>
          <w:top w:val="nil"/>
          <w:left w:val="nil"/>
          <w:bottom w:val="nil"/>
          <w:right w:val="nil"/>
          <w:between w:val="nil"/>
        </w:pBdr>
        <w:spacing w:line="360" w:lineRule="auto"/>
        <w:ind w:left="0" w:right="-7" w:firstLine="0"/>
        <w:jc w:val="both"/>
        <w:rPr>
          <w:rFonts w:ascii="Palatino Linotype" w:eastAsia="MS Mincho" w:hAnsi="Palatino Linotype" w:cs="Arial"/>
          <w:b/>
          <w:color w:val="000000" w:themeColor="text1"/>
        </w:rPr>
      </w:pPr>
      <w:r w:rsidRPr="00252BF8">
        <w:rPr>
          <w:rFonts w:ascii="Palatino Linotype" w:eastAsia="MS Mincho" w:hAnsi="Palatino Linotype" w:cs="Arial"/>
          <w:color w:val="000000" w:themeColor="text1"/>
        </w:rPr>
        <w:lastRenderedPageBreak/>
        <w:t>En esa tesitura, e</w:t>
      </w:r>
      <w:r w:rsidRPr="00252BF8">
        <w:rPr>
          <w:rFonts w:ascii="Palatino Linotype" w:hAnsi="Palatino Linotype" w:cs="Arial"/>
          <w:color w:val="000000" w:themeColor="text1"/>
        </w:rPr>
        <w:t xml:space="preserve">l procedimiento de acceso a la información pública, descrito en el Título Séptimo de la Ley de Transparencia describe los pasos que debe seguir la autoridad para atender </w:t>
      </w:r>
      <w:r w:rsidRPr="00252BF8">
        <w:rPr>
          <w:rFonts w:ascii="Palatino Linotype" w:eastAsia="MS Mincho" w:hAnsi="Palatino Linotype" w:cs="Arial"/>
          <w:color w:val="000000" w:themeColor="text1"/>
        </w:rPr>
        <w:t>las</w:t>
      </w:r>
      <w:r w:rsidRPr="00252BF8">
        <w:rPr>
          <w:rFonts w:ascii="Palatino Linotype" w:hAnsi="Palatino Linotype" w:cs="Arial"/>
          <w:color w:val="000000" w:themeColor="text1"/>
        </w:rPr>
        <w:t xml:space="preserve">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rsidR="00F66875" w:rsidRPr="00252BF8" w:rsidRDefault="00F66875" w:rsidP="00A806D9">
      <w:pPr>
        <w:pStyle w:val="Prrafodelista"/>
        <w:ind w:left="0" w:right="-7"/>
        <w:rPr>
          <w:rFonts w:ascii="Palatino Linotype" w:eastAsia="MS Mincho" w:hAnsi="Palatino Linotype" w:cs="Arial"/>
          <w:b/>
          <w:color w:val="000000" w:themeColor="text1"/>
        </w:rPr>
      </w:pPr>
    </w:p>
    <w:p w:rsidR="00F66875" w:rsidRPr="00252BF8" w:rsidRDefault="00F66875" w:rsidP="00A806D9">
      <w:pPr>
        <w:spacing w:line="360" w:lineRule="auto"/>
        <w:ind w:right="-7"/>
        <w:contextualSpacing/>
        <w:jc w:val="both"/>
        <w:rPr>
          <w:rFonts w:ascii="Palatino Linotype" w:eastAsia="MS Mincho" w:hAnsi="Palatino Linotype" w:cs="Arial"/>
          <w:i/>
          <w:color w:val="000000" w:themeColor="text1"/>
          <w:u w:val="single"/>
        </w:rPr>
      </w:pPr>
      <w:r w:rsidRPr="00252BF8">
        <w:rPr>
          <w:rFonts w:ascii="Palatino Linotype" w:eastAsia="MS Mincho" w:hAnsi="Palatino Linotype" w:cs="Arial"/>
          <w:b/>
          <w:i/>
          <w:color w:val="000000" w:themeColor="text1"/>
        </w:rPr>
        <w:t>“Artículo 162.</w:t>
      </w:r>
      <w:r w:rsidRPr="00252BF8">
        <w:rPr>
          <w:rFonts w:ascii="Palatino Linotype" w:eastAsia="MS Mincho" w:hAnsi="Palatino Linotype" w:cs="Arial"/>
          <w:i/>
          <w:color w:val="000000" w:themeColor="text1"/>
        </w:rPr>
        <w:t xml:space="preserve"> </w:t>
      </w:r>
      <w:r w:rsidRPr="00252BF8">
        <w:rPr>
          <w:rFonts w:ascii="Palatino Linotype" w:eastAsia="MS Mincho" w:hAnsi="Palatino Linotype" w:cs="Arial"/>
          <w:i/>
          <w:color w:val="000000" w:themeColor="text1"/>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F66875" w:rsidRPr="00252BF8" w:rsidRDefault="00F66875" w:rsidP="00A806D9">
      <w:pPr>
        <w:pBdr>
          <w:top w:val="nil"/>
          <w:left w:val="nil"/>
          <w:bottom w:val="nil"/>
          <w:right w:val="nil"/>
          <w:between w:val="nil"/>
        </w:pBdr>
        <w:spacing w:line="360" w:lineRule="auto"/>
        <w:ind w:right="-7"/>
        <w:jc w:val="both"/>
        <w:rPr>
          <w:rFonts w:ascii="Palatino Linotype" w:eastAsia="MS Mincho" w:hAnsi="Palatino Linotype" w:cs="Arial"/>
          <w:i/>
          <w:color w:val="000000" w:themeColor="text1"/>
        </w:rPr>
      </w:pPr>
    </w:p>
    <w:p w:rsidR="00F66875" w:rsidRPr="00252BF8" w:rsidRDefault="00F66875" w:rsidP="00A806D9">
      <w:pPr>
        <w:numPr>
          <w:ilvl w:val="0"/>
          <w:numId w:val="2"/>
        </w:numPr>
        <w:pBdr>
          <w:top w:val="nil"/>
          <w:left w:val="nil"/>
          <w:bottom w:val="nil"/>
          <w:right w:val="nil"/>
          <w:between w:val="nil"/>
        </w:pBdr>
        <w:spacing w:line="360" w:lineRule="auto"/>
        <w:ind w:left="0" w:right="-7" w:firstLine="0"/>
        <w:jc w:val="both"/>
        <w:rPr>
          <w:rFonts w:ascii="Palatino Linotype" w:eastAsia="MS Mincho" w:hAnsi="Palatino Linotype" w:cs="Arial"/>
          <w:color w:val="000000" w:themeColor="text1"/>
        </w:rPr>
      </w:pPr>
      <w:r w:rsidRPr="00252BF8">
        <w:rPr>
          <w:rFonts w:ascii="Palatino Linotype" w:hAnsi="Palatino Linotype" w:cs="Arial"/>
          <w:color w:val="000000" w:themeColor="text1"/>
        </w:rPr>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local.</w:t>
      </w:r>
    </w:p>
    <w:p w:rsidR="00F66875" w:rsidRPr="00252BF8" w:rsidRDefault="00F66875" w:rsidP="00A806D9">
      <w:pPr>
        <w:spacing w:line="360" w:lineRule="auto"/>
        <w:ind w:right="-7"/>
        <w:contextualSpacing/>
        <w:jc w:val="both"/>
        <w:rPr>
          <w:rFonts w:ascii="Palatino Linotype" w:eastAsia="MS Mincho" w:hAnsi="Palatino Linotype" w:cs="Arial"/>
          <w:color w:val="000000" w:themeColor="text1"/>
        </w:rPr>
      </w:pPr>
    </w:p>
    <w:p w:rsidR="00F66875" w:rsidRPr="00252BF8" w:rsidRDefault="00F66875"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olor w:val="000000" w:themeColor="text1"/>
        </w:rPr>
      </w:pPr>
      <w:r w:rsidRPr="00252BF8">
        <w:rPr>
          <w:rFonts w:ascii="Palatino Linotype" w:eastAsia="Calibri" w:hAnsi="Palatino Linotype"/>
          <w:color w:val="000000" w:themeColor="text1"/>
        </w:rPr>
        <w:t xml:space="preserve">De la </w:t>
      </w:r>
      <w:r w:rsidRPr="00252BF8">
        <w:rPr>
          <w:rFonts w:ascii="Palatino Linotype" w:hAnsi="Palatino Linotype" w:cs="Arial"/>
          <w:color w:val="000000" w:themeColor="text1"/>
        </w:rPr>
        <w:t>normatividad</w:t>
      </w:r>
      <w:r w:rsidRPr="00252BF8">
        <w:rPr>
          <w:rFonts w:ascii="Palatino Linotype" w:eastAsia="Calibri" w:hAnsi="Palatino Linotype"/>
          <w:color w:val="000000" w:themeColor="text1"/>
        </w:rPr>
        <w:t xml:space="preserve"> en cita, se desprende que las Unidades de Transparencia, se erigen como el área responsable en cada Sujeto Obligado que tiene a su cargo la atención de las solicitudes de información que se realicen al amparo de la Ley. </w:t>
      </w:r>
    </w:p>
    <w:p w:rsidR="00F66875" w:rsidRPr="00252BF8" w:rsidRDefault="00F66875" w:rsidP="00A806D9">
      <w:pPr>
        <w:pStyle w:val="Prrafodelista"/>
        <w:spacing w:line="360" w:lineRule="auto"/>
        <w:ind w:left="0" w:right="-7"/>
        <w:jc w:val="both"/>
        <w:rPr>
          <w:rFonts w:ascii="Palatino Linotype" w:eastAsia="Calibri" w:hAnsi="Palatino Linotype"/>
          <w:color w:val="000000" w:themeColor="text1"/>
        </w:rPr>
      </w:pPr>
    </w:p>
    <w:p w:rsidR="00F66875" w:rsidRPr="00252BF8" w:rsidRDefault="00F66875"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olor w:val="000000" w:themeColor="text1"/>
        </w:rPr>
      </w:pPr>
      <w:r w:rsidRPr="00252BF8">
        <w:rPr>
          <w:rFonts w:ascii="Palatino Linotype" w:eastAsia="Calibri" w:hAnsi="Palatino Linotype"/>
          <w:color w:val="000000" w:themeColor="text1"/>
        </w:rPr>
        <w:lastRenderedPageBreak/>
        <w:t xml:space="preserve">El responsable de dicha área funge como enlace entre </w:t>
      </w:r>
      <w:r w:rsidRPr="00252BF8">
        <w:rPr>
          <w:rFonts w:ascii="Palatino Linotype" w:eastAsia="Calibri" w:hAnsi="Palatino Linotype"/>
          <w:b/>
          <w:color w:val="000000" w:themeColor="text1"/>
        </w:rPr>
        <w:t>EL SUJETO OBLIGADO</w:t>
      </w:r>
      <w:r w:rsidRPr="00252BF8">
        <w:rPr>
          <w:rFonts w:ascii="Palatino Linotype" w:eastAsia="Calibri" w:hAnsi="Palatino Linotype"/>
          <w:color w:val="000000" w:themeColor="text1"/>
        </w:rPr>
        <w:t xml:space="preserve"> y los solicitantes, y tiene bajo su responsabilidad el tramitar internamente la solicitud de información.</w:t>
      </w:r>
    </w:p>
    <w:p w:rsidR="00F66875" w:rsidRPr="00252BF8" w:rsidRDefault="00F66875" w:rsidP="00A806D9">
      <w:pPr>
        <w:pStyle w:val="Prrafodelista"/>
        <w:spacing w:line="360" w:lineRule="auto"/>
        <w:ind w:left="0" w:right="-7"/>
        <w:jc w:val="both"/>
        <w:rPr>
          <w:rFonts w:ascii="Palatino Linotype" w:eastAsia="Calibri" w:hAnsi="Palatino Linotype"/>
          <w:color w:val="000000" w:themeColor="text1"/>
        </w:rPr>
      </w:pPr>
    </w:p>
    <w:p w:rsidR="00F66875" w:rsidRPr="00252BF8" w:rsidRDefault="00F66875"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olor w:val="000000" w:themeColor="text1"/>
        </w:rPr>
      </w:pPr>
      <w:r w:rsidRPr="00252BF8">
        <w:rPr>
          <w:rFonts w:ascii="Palatino Linotype" w:eastAsia="Calibri" w:hAnsi="Palatino Linotype"/>
          <w:color w:val="000000" w:themeColor="text1"/>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252BF8">
        <w:rPr>
          <w:rFonts w:ascii="Palatino Linotype" w:eastAsia="Calibri" w:hAnsi="Palatino Linotype"/>
          <w:b/>
          <w:color w:val="000000" w:themeColor="text1"/>
        </w:rPr>
        <w:t xml:space="preserve">SUJETO OBLIGADO; </w:t>
      </w:r>
      <w:r w:rsidRPr="00252BF8">
        <w:rPr>
          <w:rFonts w:ascii="Palatino Linotype" w:eastAsia="Calibri" w:hAnsi="Palatino Linotype"/>
          <w:color w:val="000000" w:themeColor="text1"/>
        </w:rPr>
        <w:t xml:space="preserve">es por ello que, debe turnar la solicitud a </w:t>
      </w:r>
      <w:r w:rsidRPr="00252BF8">
        <w:rPr>
          <w:rFonts w:ascii="Palatino Linotype" w:hAnsi="Palatino Linotype" w:cs="Arial"/>
          <w:color w:val="000000" w:themeColor="text1"/>
        </w:rPr>
        <w:t xml:space="preserve">todas las áreas que </w:t>
      </w:r>
      <w:r w:rsidRPr="00252BF8">
        <w:rPr>
          <w:rFonts w:ascii="Palatino Linotype" w:eastAsia="Calibri" w:hAnsi="Palatino Linotype"/>
          <w:color w:val="000000" w:themeColor="text1"/>
        </w:rPr>
        <w:t>conforme a sus atribuciones y funciones generen, administren o posean la información requerida por la particular; pues tienen como función, buscar, localizar y poseer la información, así como entregarla.</w:t>
      </w:r>
    </w:p>
    <w:p w:rsidR="00F66875" w:rsidRPr="00252BF8" w:rsidRDefault="00F66875" w:rsidP="00A806D9">
      <w:pPr>
        <w:pStyle w:val="Prrafodelista"/>
        <w:spacing w:line="360" w:lineRule="auto"/>
        <w:ind w:left="0" w:right="-7"/>
        <w:jc w:val="both"/>
        <w:rPr>
          <w:rFonts w:ascii="Palatino Linotype" w:hAnsi="Palatino Linotype" w:cs="Arial"/>
          <w:color w:val="000000" w:themeColor="text1"/>
        </w:rPr>
      </w:pPr>
    </w:p>
    <w:p w:rsidR="004E2CB8" w:rsidRPr="00252BF8" w:rsidRDefault="004E2CB8"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olor w:val="000000" w:themeColor="text1"/>
        </w:rPr>
      </w:pPr>
      <w:r w:rsidRPr="00252BF8">
        <w:rPr>
          <w:rFonts w:ascii="Palatino Linotype" w:eastAsia="Calibri" w:hAnsi="Palatino Linotype"/>
          <w:color w:val="000000" w:themeColor="text1"/>
        </w:rPr>
        <w:t>Precisado lo anterior, respecto la información solicitada, se precisa lo siguiente:</w:t>
      </w:r>
    </w:p>
    <w:p w:rsidR="004E2CB8" w:rsidRPr="00252BF8" w:rsidRDefault="004E2CB8" w:rsidP="00A806D9">
      <w:pPr>
        <w:pBdr>
          <w:top w:val="nil"/>
          <w:left w:val="nil"/>
          <w:bottom w:val="nil"/>
          <w:right w:val="nil"/>
          <w:between w:val="nil"/>
        </w:pBdr>
        <w:spacing w:line="360" w:lineRule="auto"/>
        <w:ind w:right="-7"/>
        <w:jc w:val="both"/>
        <w:rPr>
          <w:rFonts w:ascii="Palatino Linotype" w:eastAsia="Calibri" w:hAnsi="Palatino Linotype"/>
          <w:color w:val="000000" w:themeColor="text1"/>
        </w:rPr>
      </w:pPr>
    </w:p>
    <w:tbl>
      <w:tblPr>
        <w:tblStyle w:val="Tablaconcuadrcula"/>
        <w:tblW w:w="9209" w:type="dxa"/>
        <w:tblLook w:val="04A0" w:firstRow="1" w:lastRow="0" w:firstColumn="1" w:lastColumn="0" w:noHBand="0" w:noVBand="1"/>
      </w:tblPr>
      <w:tblGrid>
        <w:gridCol w:w="3176"/>
        <w:gridCol w:w="4235"/>
        <w:gridCol w:w="1798"/>
      </w:tblGrid>
      <w:tr w:rsidR="00A806D9" w:rsidRPr="00252BF8" w:rsidTr="004E2CB8">
        <w:tc>
          <w:tcPr>
            <w:tcW w:w="2879" w:type="dxa"/>
            <w:shd w:val="clear" w:color="auto" w:fill="F2F2F2" w:themeFill="background1" w:themeFillShade="F2"/>
            <w:vAlign w:val="center"/>
          </w:tcPr>
          <w:p w:rsidR="004E2CB8" w:rsidRPr="00252BF8" w:rsidRDefault="004E2CB8" w:rsidP="00A806D9">
            <w:pPr>
              <w:ind w:right="-7"/>
              <w:jc w:val="center"/>
              <w:rPr>
                <w:rFonts w:ascii="Palatino Linotype" w:eastAsia="Palatino Linotype" w:hAnsi="Palatino Linotype" w:cs="Palatino Linotype"/>
                <w:b/>
                <w:color w:val="000000" w:themeColor="text1"/>
              </w:rPr>
            </w:pPr>
            <w:r w:rsidRPr="00252BF8">
              <w:rPr>
                <w:rFonts w:ascii="Palatino Linotype" w:eastAsia="Palatino Linotype" w:hAnsi="Palatino Linotype" w:cs="Palatino Linotype"/>
                <w:b/>
                <w:color w:val="000000" w:themeColor="text1"/>
              </w:rPr>
              <w:t>SOLICITUD</w:t>
            </w:r>
          </w:p>
        </w:tc>
        <w:tc>
          <w:tcPr>
            <w:tcW w:w="4487" w:type="dxa"/>
            <w:shd w:val="clear" w:color="auto" w:fill="F2F2F2" w:themeFill="background1" w:themeFillShade="F2"/>
            <w:vAlign w:val="center"/>
          </w:tcPr>
          <w:p w:rsidR="004E2CB8" w:rsidRPr="00252BF8" w:rsidRDefault="004E2CB8" w:rsidP="00A806D9">
            <w:pPr>
              <w:ind w:right="-7"/>
              <w:jc w:val="center"/>
              <w:rPr>
                <w:rFonts w:ascii="Palatino Linotype" w:eastAsia="Palatino Linotype" w:hAnsi="Palatino Linotype" w:cs="Palatino Linotype"/>
                <w:b/>
                <w:color w:val="000000" w:themeColor="text1"/>
              </w:rPr>
            </w:pPr>
            <w:r w:rsidRPr="00252BF8">
              <w:rPr>
                <w:rFonts w:ascii="Palatino Linotype" w:eastAsia="Palatino Linotype" w:hAnsi="Palatino Linotype" w:cs="Palatino Linotype"/>
                <w:b/>
                <w:color w:val="000000" w:themeColor="text1"/>
              </w:rPr>
              <w:t>RESPUESTA</w:t>
            </w:r>
          </w:p>
        </w:tc>
        <w:tc>
          <w:tcPr>
            <w:tcW w:w="1843" w:type="dxa"/>
            <w:shd w:val="clear" w:color="auto" w:fill="F2F2F2" w:themeFill="background1" w:themeFillShade="F2"/>
            <w:vAlign w:val="center"/>
          </w:tcPr>
          <w:p w:rsidR="004E2CB8" w:rsidRPr="00252BF8" w:rsidRDefault="004E2CB8" w:rsidP="00A806D9">
            <w:pPr>
              <w:ind w:right="-7"/>
              <w:jc w:val="center"/>
              <w:rPr>
                <w:rFonts w:ascii="Palatino Linotype" w:eastAsia="Palatino Linotype" w:hAnsi="Palatino Linotype" w:cs="Palatino Linotype"/>
                <w:b/>
                <w:color w:val="000000" w:themeColor="text1"/>
              </w:rPr>
            </w:pPr>
            <w:r w:rsidRPr="00252BF8">
              <w:rPr>
                <w:rFonts w:ascii="Palatino Linotype" w:eastAsia="Palatino Linotype" w:hAnsi="Palatino Linotype" w:cs="Palatino Linotype"/>
                <w:b/>
                <w:color w:val="000000" w:themeColor="text1"/>
              </w:rPr>
              <w:t>¿COLMA?</w:t>
            </w:r>
          </w:p>
        </w:tc>
      </w:tr>
      <w:tr w:rsidR="00A806D9" w:rsidRPr="00252BF8" w:rsidTr="004E2CB8">
        <w:tc>
          <w:tcPr>
            <w:tcW w:w="2879" w:type="dxa"/>
            <w:vAlign w:val="center"/>
          </w:tcPr>
          <w:p w:rsidR="004E2CB8" w:rsidRPr="00252BF8" w:rsidRDefault="004E2CB8" w:rsidP="00A806D9">
            <w:pPr>
              <w:ind w:right="-7"/>
              <w:jc w:val="center"/>
              <w:rPr>
                <w:rFonts w:ascii="Palatino Linotype" w:eastAsia="Palatino Linotype" w:hAnsi="Palatino Linotype" w:cs="Palatino Linotype"/>
                <w:b/>
                <w:bCs/>
                <w:color w:val="000000" w:themeColor="text1"/>
              </w:rPr>
            </w:pPr>
          </w:p>
          <w:p w:rsidR="004E2CB8" w:rsidRPr="00252BF8" w:rsidRDefault="004E2CB8" w:rsidP="00A806D9">
            <w:pPr>
              <w:ind w:right="-7"/>
              <w:jc w:val="center"/>
              <w:rPr>
                <w:rFonts w:ascii="Palatino Linotype" w:eastAsia="Palatino Linotype" w:hAnsi="Palatino Linotype" w:cs="Palatino Linotype"/>
                <w:b/>
                <w:bCs/>
                <w:color w:val="000000" w:themeColor="text1"/>
              </w:rPr>
            </w:pPr>
            <w:r w:rsidRPr="00252BF8">
              <w:rPr>
                <w:rFonts w:ascii="Palatino Linotype" w:eastAsia="Palatino Linotype" w:hAnsi="Palatino Linotype" w:cs="Palatino Linotype"/>
                <w:b/>
                <w:bCs/>
                <w:color w:val="000000" w:themeColor="text1"/>
              </w:rPr>
              <w:t>00014/IXTAORO/IP/2025</w:t>
            </w:r>
          </w:p>
          <w:p w:rsidR="004E2CB8" w:rsidRPr="00252BF8" w:rsidRDefault="004E2CB8" w:rsidP="00A806D9">
            <w:pPr>
              <w:ind w:right="-7"/>
              <w:jc w:val="center"/>
              <w:rPr>
                <w:rFonts w:ascii="Palatino Linotype" w:eastAsia="Palatino Linotype" w:hAnsi="Palatino Linotype" w:cs="Palatino Linotype"/>
                <w:bCs/>
                <w:color w:val="000000" w:themeColor="text1"/>
              </w:rPr>
            </w:pPr>
            <w:r w:rsidRPr="00252BF8">
              <w:rPr>
                <w:rFonts w:ascii="Palatino Linotype" w:eastAsia="Palatino Linotype" w:hAnsi="Palatino Linotype" w:cs="Palatino Linotype"/>
                <w:bCs/>
                <w:color w:val="000000" w:themeColor="text1"/>
              </w:rPr>
              <w:t>recayó el recurso de revisión</w:t>
            </w:r>
          </w:p>
          <w:p w:rsidR="004E2CB8" w:rsidRPr="00252BF8" w:rsidRDefault="004E2CB8" w:rsidP="00A806D9">
            <w:pPr>
              <w:ind w:right="-7"/>
              <w:jc w:val="center"/>
              <w:rPr>
                <w:rFonts w:ascii="Palatino Linotype" w:eastAsia="Palatino Linotype" w:hAnsi="Palatino Linotype" w:cs="Palatino Linotype"/>
                <w:b/>
                <w:bCs/>
                <w:color w:val="000000" w:themeColor="text1"/>
              </w:rPr>
            </w:pPr>
            <w:r w:rsidRPr="00252BF8">
              <w:rPr>
                <w:rFonts w:ascii="Palatino Linotype" w:eastAsia="Palatino Linotype" w:hAnsi="Palatino Linotype" w:cs="Palatino Linotype"/>
                <w:b/>
                <w:bCs/>
                <w:color w:val="000000" w:themeColor="text1"/>
              </w:rPr>
              <w:t>04803/INFOEM/IP/RR/2025</w:t>
            </w:r>
          </w:p>
          <w:p w:rsidR="004E2CB8" w:rsidRPr="00252BF8" w:rsidRDefault="004E2CB8" w:rsidP="00A806D9">
            <w:pPr>
              <w:ind w:right="-7"/>
              <w:jc w:val="center"/>
              <w:rPr>
                <w:rFonts w:ascii="Palatino Linotype" w:eastAsia="Palatino Linotype" w:hAnsi="Palatino Linotype" w:cs="Palatino Linotype"/>
                <w:b/>
                <w:bCs/>
                <w:color w:val="000000" w:themeColor="text1"/>
              </w:rPr>
            </w:pPr>
          </w:p>
        </w:tc>
        <w:tc>
          <w:tcPr>
            <w:tcW w:w="4487" w:type="dxa"/>
            <w:vAlign w:val="center"/>
          </w:tcPr>
          <w:p w:rsidR="004E2CB8" w:rsidRPr="00252BF8" w:rsidRDefault="004E2CB8" w:rsidP="00A806D9">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Remitió un archivo sin contenido.</w:t>
            </w:r>
          </w:p>
        </w:tc>
        <w:tc>
          <w:tcPr>
            <w:tcW w:w="1843" w:type="dxa"/>
            <w:vAlign w:val="center"/>
          </w:tcPr>
          <w:p w:rsidR="004E2CB8" w:rsidRPr="00252BF8" w:rsidRDefault="004E2CB8" w:rsidP="00A806D9">
            <w:pPr>
              <w:pBdr>
                <w:top w:val="nil"/>
                <w:left w:val="nil"/>
                <w:bottom w:val="nil"/>
                <w:right w:val="nil"/>
                <w:between w:val="nil"/>
              </w:pBdr>
              <w:ind w:right="-7"/>
              <w:jc w:val="center"/>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NO</w:t>
            </w:r>
          </w:p>
        </w:tc>
      </w:tr>
      <w:tr w:rsidR="00A806D9" w:rsidRPr="00252BF8" w:rsidTr="004E2CB8">
        <w:tc>
          <w:tcPr>
            <w:tcW w:w="2879" w:type="dxa"/>
            <w:vAlign w:val="center"/>
          </w:tcPr>
          <w:p w:rsidR="004E2CB8" w:rsidRPr="00252BF8" w:rsidRDefault="004E2CB8" w:rsidP="00A806D9">
            <w:pPr>
              <w:ind w:right="-7"/>
              <w:jc w:val="center"/>
              <w:rPr>
                <w:rFonts w:ascii="Palatino Linotype" w:eastAsia="Palatino Linotype" w:hAnsi="Palatino Linotype" w:cs="Palatino Linotype"/>
                <w:b/>
                <w:bCs/>
                <w:color w:val="000000" w:themeColor="text1"/>
              </w:rPr>
            </w:pPr>
          </w:p>
          <w:p w:rsidR="004E2CB8" w:rsidRPr="00252BF8" w:rsidRDefault="004E2CB8" w:rsidP="00A806D9">
            <w:pPr>
              <w:ind w:right="-7"/>
              <w:jc w:val="center"/>
              <w:rPr>
                <w:rFonts w:ascii="Palatino Linotype" w:eastAsia="Palatino Linotype" w:hAnsi="Palatino Linotype" w:cs="Palatino Linotype"/>
                <w:b/>
                <w:bCs/>
                <w:color w:val="000000" w:themeColor="text1"/>
              </w:rPr>
            </w:pPr>
            <w:r w:rsidRPr="00252BF8">
              <w:rPr>
                <w:rFonts w:ascii="Palatino Linotype" w:eastAsia="Palatino Linotype" w:hAnsi="Palatino Linotype" w:cs="Palatino Linotype"/>
                <w:b/>
                <w:bCs/>
                <w:color w:val="000000" w:themeColor="text1"/>
              </w:rPr>
              <w:t>00013/IXTAORO/IP/2025</w:t>
            </w:r>
          </w:p>
          <w:p w:rsidR="004E2CB8" w:rsidRPr="00252BF8" w:rsidRDefault="004E2CB8" w:rsidP="00A806D9">
            <w:pPr>
              <w:ind w:right="-7"/>
              <w:jc w:val="center"/>
              <w:rPr>
                <w:rFonts w:ascii="Palatino Linotype" w:eastAsia="Palatino Linotype" w:hAnsi="Palatino Linotype" w:cs="Palatino Linotype"/>
                <w:bCs/>
                <w:color w:val="000000" w:themeColor="text1"/>
              </w:rPr>
            </w:pPr>
            <w:r w:rsidRPr="00252BF8">
              <w:rPr>
                <w:rFonts w:ascii="Palatino Linotype" w:eastAsia="Palatino Linotype" w:hAnsi="Palatino Linotype" w:cs="Palatino Linotype"/>
                <w:bCs/>
                <w:color w:val="000000" w:themeColor="text1"/>
              </w:rPr>
              <w:t>recayó el recurso de revisión</w:t>
            </w:r>
          </w:p>
          <w:p w:rsidR="004E2CB8" w:rsidRPr="00252BF8" w:rsidRDefault="004E2CB8" w:rsidP="00A806D9">
            <w:pPr>
              <w:ind w:right="-7"/>
              <w:jc w:val="center"/>
              <w:rPr>
                <w:rFonts w:ascii="Palatino Linotype" w:eastAsia="Palatino Linotype" w:hAnsi="Palatino Linotype" w:cs="Palatino Linotype"/>
                <w:b/>
                <w:color w:val="000000" w:themeColor="text1"/>
              </w:rPr>
            </w:pPr>
            <w:r w:rsidRPr="00252BF8">
              <w:rPr>
                <w:rFonts w:ascii="Palatino Linotype" w:eastAsia="Palatino Linotype" w:hAnsi="Palatino Linotype" w:cs="Palatino Linotype"/>
                <w:b/>
                <w:color w:val="000000" w:themeColor="text1"/>
              </w:rPr>
              <w:t>04804/INFOEM/IP/RR/2025</w:t>
            </w:r>
          </w:p>
          <w:p w:rsidR="004E2CB8" w:rsidRPr="00252BF8" w:rsidRDefault="004E2CB8" w:rsidP="00A806D9">
            <w:pPr>
              <w:ind w:right="-7"/>
              <w:jc w:val="center"/>
              <w:rPr>
                <w:rFonts w:ascii="Palatino Linotype" w:eastAsia="Palatino Linotype" w:hAnsi="Palatino Linotype" w:cs="Palatino Linotype"/>
                <w:b/>
                <w:color w:val="000000" w:themeColor="text1"/>
              </w:rPr>
            </w:pPr>
          </w:p>
        </w:tc>
        <w:tc>
          <w:tcPr>
            <w:tcW w:w="4487" w:type="dxa"/>
            <w:vAlign w:val="center"/>
          </w:tcPr>
          <w:p w:rsidR="004E2CB8" w:rsidRPr="00252BF8" w:rsidRDefault="004E2CB8" w:rsidP="00A806D9">
            <w:pPr>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color w:val="000000" w:themeColor="text1"/>
              </w:rPr>
              <w:t>Hizo valer un cambio de modalidad arguyendo una incapacidad humana y administrativa.</w:t>
            </w:r>
          </w:p>
        </w:tc>
        <w:tc>
          <w:tcPr>
            <w:tcW w:w="1843" w:type="dxa"/>
            <w:vAlign w:val="center"/>
          </w:tcPr>
          <w:p w:rsidR="004E2CB8" w:rsidRPr="00252BF8" w:rsidRDefault="004E2CB8" w:rsidP="00A806D9">
            <w:pPr>
              <w:ind w:right="-7"/>
              <w:jc w:val="center"/>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NO</w:t>
            </w:r>
          </w:p>
        </w:tc>
      </w:tr>
      <w:tr w:rsidR="00A806D9" w:rsidRPr="00252BF8" w:rsidTr="004E2CB8">
        <w:tc>
          <w:tcPr>
            <w:tcW w:w="2879" w:type="dxa"/>
            <w:vAlign w:val="center"/>
          </w:tcPr>
          <w:p w:rsidR="004E2CB8" w:rsidRPr="00252BF8" w:rsidRDefault="004E2CB8" w:rsidP="00A806D9">
            <w:pPr>
              <w:ind w:right="-7"/>
              <w:jc w:val="center"/>
              <w:rPr>
                <w:rFonts w:ascii="Palatino Linotype" w:eastAsia="Palatino Linotype" w:hAnsi="Palatino Linotype" w:cs="Palatino Linotype"/>
                <w:b/>
                <w:bCs/>
                <w:color w:val="000000" w:themeColor="text1"/>
              </w:rPr>
            </w:pPr>
          </w:p>
          <w:p w:rsidR="004E2CB8" w:rsidRPr="00252BF8" w:rsidRDefault="004E2CB8" w:rsidP="00A806D9">
            <w:pPr>
              <w:ind w:right="-7"/>
              <w:jc w:val="center"/>
              <w:rPr>
                <w:rFonts w:ascii="Palatino Linotype" w:eastAsia="Palatino Linotype" w:hAnsi="Palatino Linotype" w:cs="Palatino Linotype"/>
                <w:b/>
                <w:bCs/>
                <w:color w:val="000000" w:themeColor="text1"/>
              </w:rPr>
            </w:pPr>
            <w:r w:rsidRPr="00252BF8">
              <w:rPr>
                <w:rFonts w:ascii="Palatino Linotype" w:eastAsia="Palatino Linotype" w:hAnsi="Palatino Linotype" w:cs="Palatino Linotype"/>
                <w:b/>
                <w:bCs/>
                <w:color w:val="000000" w:themeColor="text1"/>
              </w:rPr>
              <w:t>00012/IXTAORO/IP/2025</w:t>
            </w:r>
          </w:p>
          <w:p w:rsidR="004E2CB8" w:rsidRPr="00252BF8" w:rsidRDefault="004E2CB8" w:rsidP="00A806D9">
            <w:pPr>
              <w:ind w:right="-7"/>
              <w:jc w:val="center"/>
              <w:rPr>
                <w:rFonts w:ascii="Palatino Linotype" w:eastAsia="Palatino Linotype" w:hAnsi="Palatino Linotype" w:cs="Palatino Linotype"/>
                <w:bCs/>
                <w:color w:val="000000" w:themeColor="text1"/>
              </w:rPr>
            </w:pPr>
            <w:r w:rsidRPr="00252BF8">
              <w:rPr>
                <w:rFonts w:ascii="Palatino Linotype" w:eastAsia="Palatino Linotype" w:hAnsi="Palatino Linotype" w:cs="Palatino Linotype"/>
                <w:bCs/>
                <w:color w:val="000000" w:themeColor="text1"/>
              </w:rPr>
              <w:t>recayó el recurso de revisión</w:t>
            </w:r>
          </w:p>
          <w:p w:rsidR="004E2CB8" w:rsidRPr="00252BF8" w:rsidRDefault="004E2CB8" w:rsidP="00A806D9">
            <w:pPr>
              <w:ind w:right="-7"/>
              <w:jc w:val="center"/>
              <w:rPr>
                <w:rFonts w:ascii="Palatino Linotype" w:eastAsia="Palatino Linotype" w:hAnsi="Palatino Linotype" w:cs="Palatino Linotype"/>
                <w:b/>
                <w:bCs/>
                <w:color w:val="000000" w:themeColor="text1"/>
              </w:rPr>
            </w:pPr>
            <w:r w:rsidRPr="00252BF8">
              <w:rPr>
                <w:rFonts w:ascii="Palatino Linotype" w:eastAsia="Palatino Linotype" w:hAnsi="Palatino Linotype" w:cs="Palatino Linotype"/>
                <w:b/>
                <w:bCs/>
                <w:color w:val="000000" w:themeColor="text1"/>
              </w:rPr>
              <w:t>04805/INFOEM/IP/RR/2025</w:t>
            </w:r>
          </w:p>
          <w:p w:rsidR="004E2CB8" w:rsidRPr="00252BF8" w:rsidRDefault="004E2CB8" w:rsidP="00A806D9">
            <w:pPr>
              <w:ind w:right="-7"/>
              <w:jc w:val="center"/>
              <w:rPr>
                <w:rFonts w:ascii="Palatino Linotype" w:eastAsia="Palatino Linotype" w:hAnsi="Palatino Linotype" w:cs="Palatino Linotype"/>
                <w:b/>
                <w:bCs/>
                <w:color w:val="000000" w:themeColor="text1"/>
              </w:rPr>
            </w:pPr>
          </w:p>
        </w:tc>
        <w:tc>
          <w:tcPr>
            <w:tcW w:w="4487" w:type="dxa"/>
            <w:vAlign w:val="center"/>
          </w:tcPr>
          <w:p w:rsidR="004E2CB8" w:rsidRPr="00252BF8" w:rsidRDefault="004E2CB8" w:rsidP="00A806D9">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Hizo valer un cambio de modalidad arguyendo una incapacidad humana y administrativa.</w:t>
            </w:r>
          </w:p>
        </w:tc>
        <w:tc>
          <w:tcPr>
            <w:tcW w:w="1843" w:type="dxa"/>
            <w:vAlign w:val="center"/>
          </w:tcPr>
          <w:p w:rsidR="004E2CB8" w:rsidRPr="00252BF8" w:rsidRDefault="004E2CB8" w:rsidP="00A806D9">
            <w:pPr>
              <w:pBdr>
                <w:top w:val="nil"/>
                <w:left w:val="nil"/>
                <w:bottom w:val="nil"/>
                <w:right w:val="nil"/>
                <w:between w:val="nil"/>
              </w:pBdr>
              <w:ind w:right="-7"/>
              <w:jc w:val="center"/>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NO</w:t>
            </w:r>
          </w:p>
        </w:tc>
      </w:tr>
    </w:tbl>
    <w:p w:rsidR="004E2CB8" w:rsidRPr="00252BF8" w:rsidRDefault="004E2CB8" w:rsidP="00A806D9">
      <w:pPr>
        <w:pBdr>
          <w:top w:val="nil"/>
          <w:left w:val="nil"/>
          <w:bottom w:val="nil"/>
          <w:right w:val="nil"/>
          <w:between w:val="nil"/>
        </w:pBdr>
        <w:spacing w:line="360" w:lineRule="auto"/>
        <w:ind w:right="-7"/>
        <w:jc w:val="both"/>
        <w:rPr>
          <w:rFonts w:ascii="Palatino Linotype" w:eastAsia="Calibri" w:hAnsi="Palatino Linotype"/>
          <w:color w:val="000000" w:themeColor="text1"/>
        </w:rPr>
      </w:pPr>
    </w:p>
    <w:p w:rsidR="004E2CB8" w:rsidRPr="00252BF8" w:rsidRDefault="004E2CB8" w:rsidP="00A806D9">
      <w:pPr>
        <w:pBdr>
          <w:top w:val="nil"/>
          <w:left w:val="nil"/>
          <w:bottom w:val="nil"/>
          <w:right w:val="nil"/>
          <w:between w:val="nil"/>
        </w:pBdr>
        <w:spacing w:line="360" w:lineRule="auto"/>
        <w:ind w:right="-7"/>
        <w:jc w:val="both"/>
        <w:rPr>
          <w:rFonts w:ascii="Palatino Linotype" w:eastAsia="Calibri" w:hAnsi="Palatino Linotype"/>
          <w:color w:val="000000" w:themeColor="text1"/>
        </w:rPr>
      </w:pPr>
    </w:p>
    <w:p w:rsidR="004E2CB8" w:rsidRPr="00252BF8" w:rsidRDefault="004E2CB8"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b/>
          <w:bCs/>
          <w:color w:val="000000" w:themeColor="text1"/>
        </w:rPr>
      </w:pPr>
      <w:r w:rsidRPr="00252BF8">
        <w:rPr>
          <w:rFonts w:ascii="Palatino Linotype" w:eastAsia="Calibri" w:hAnsi="Palatino Linotype"/>
          <w:color w:val="000000" w:themeColor="text1"/>
        </w:rPr>
        <w:t xml:space="preserve">Lo anterior, en virtud de que dentro de la solicitud  </w:t>
      </w:r>
      <w:r w:rsidRPr="00252BF8">
        <w:rPr>
          <w:rFonts w:ascii="Palatino Linotype" w:eastAsia="Calibri" w:hAnsi="Palatino Linotype"/>
          <w:b/>
          <w:bCs/>
          <w:color w:val="000000" w:themeColor="text1"/>
        </w:rPr>
        <w:t xml:space="preserve">00014/IXTAORO/IP/2025, </w:t>
      </w:r>
      <w:r w:rsidRPr="00252BF8">
        <w:rPr>
          <w:rFonts w:ascii="Palatino Linotype" w:eastAsia="Calibri" w:hAnsi="Palatino Linotype"/>
          <w:bCs/>
          <w:color w:val="000000" w:themeColor="text1"/>
        </w:rPr>
        <w:t>se remitió un archivo sin contenido, por lo que no se p</w:t>
      </w:r>
      <w:r w:rsidR="002674B2" w:rsidRPr="00252BF8">
        <w:rPr>
          <w:rFonts w:ascii="Palatino Linotype" w:eastAsia="Calibri" w:hAnsi="Palatino Linotype"/>
          <w:bCs/>
          <w:color w:val="000000" w:themeColor="text1"/>
        </w:rPr>
        <w:t xml:space="preserve">uede tener por colmada la misma resultando dable ordenar la búsqueda exhaustiva de la información a fin de que se remita la información solicitada, que en este caso es Tesorería. </w:t>
      </w:r>
    </w:p>
    <w:p w:rsidR="004E2CB8" w:rsidRPr="00252BF8" w:rsidRDefault="004E2CB8" w:rsidP="00A806D9">
      <w:pPr>
        <w:pBdr>
          <w:top w:val="nil"/>
          <w:left w:val="nil"/>
          <w:bottom w:val="nil"/>
          <w:right w:val="nil"/>
          <w:between w:val="nil"/>
        </w:pBdr>
        <w:spacing w:line="360" w:lineRule="auto"/>
        <w:ind w:right="-7"/>
        <w:jc w:val="both"/>
        <w:rPr>
          <w:rFonts w:ascii="Palatino Linotype" w:eastAsia="Calibri" w:hAnsi="Palatino Linotype"/>
          <w:b/>
          <w:bCs/>
          <w:color w:val="000000" w:themeColor="text1"/>
        </w:rPr>
      </w:pPr>
    </w:p>
    <w:p w:rsidR="004E2CB8" w:rsidRPr="00252BF8" w:rsidRDefault="004E2CB8" w:rsidP="00A806D9">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bCs/>
          <w:color w:val="000000" w:themeColor="text1"/>
        </w:rPr>
      </w:pPr>
      <w:r w:rsidRPr="00252BF8">
        <w:rPr>
          <w:rFonts w:ascii="Palatino Linotype" w:eastAsia="Calibri" w:hAnsi="Palatino Linotype"/>
          <w:color w:val="000000" w:themeColor="text1"/>
        </w:rPr>
        <w:t xml:space="preserve">Por lo que hace a las solicitudes de información </w:t>
      </w:r>
      <w:r w:rsidRPr="00252BF8">
        <w:rPr>
          <w:rFonts w:ascii="Palatino Linotype" w:eastAsia="Calibri" w:hAnsi="Palatino Linotype"/>
          <w:b/>
          <w:bCs/>
          <w:color w:val="000000" w:themeColor="text1"/>
        </w:rPr>
        <w:t xml:space="preserve">00013/IXTAORO/IP/2025 y 00012/IXTAORO/IP/2025, </w:t>
      </w:r>
      <w:r w:rsidRPr="00252BF8">
        <w:rPr>
          <w:rFonts w:ascii="Palatino Linotype" w:eastAsia="Calibri" w:hAnsi="Palatino Linotype"/>
          <w:bCs/>
          <w:color w:val="000000" w:themeColor="text1"/>
        </w:rPr>
        <w:t>se hizo valer un cambio de modalidad arguyendo que remitir la información sobrepasa las capacidades administrativas y humanas, sin embargo no se considera procedente derivado de lo siguiente:</w:t>
      </w:r>
    </w:p>
    <w:p w:rsidR="00DC6B48" w:rsidRPr="00252BF8" w:rsidRDefault="00DC6B48" w:rsidP="00A806D9">
      <w:pPr>
        <w:pBdr>
          <w:top w:val="nil"/>
          <w:left w:val="nil"/>
          <w:bottom w:val="nil"/>
          <w:right w:val="nil"/>
          <w:between w:val="nil"/>
        </w:pBdr>
        <w:spacing w:line="360" w:lineRule="auto"/>
        <w:ind w:right="-7"/>
        <w:jc w:val="both"/>
        <w:rPr>
          <w:rFonts w:ascii="Palatino Linotype" w:eastAsia="Palatino Linotype" w:hAnsi="Palatino Linotype" w:cs="Palatino Linotype"/>
          <w:b/>
          <w:bCs/>
          <w:color w:val="000000" w:themeColor="text1"/>
        </w:rPr>
      </w:pPr>
    </w:p>
    <w:p w:rsidR="00DC6B48" w:rsidRPr="00252BF8" w:rsidRDefault="00DC6B48" w:rsidP="00A806D9">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La Ley de Transparencia y Acceso a la Información Pública del Estado de México y Municipios establece en los artículos 155 fracción V, 158 y 164 lo siguiente:</w:t>
      </w:r>
    </w:p>
    <w:p w:rsidR="00DC6B48" w:rsidRPr="00252BF8" w:rsidRDefault="00DC6B48" w:rsidP="00A806D9">
      <w:pPr>
        <w:pBdr>
          <w:top w:val="nil"/>
          <w:left w:val="nil"/>
          <w:bottom w:val="nil"/>
          <w:right w:val="nil"/>
          <w:between w:val="nil"/>
        </w:pBdr>
        <w:tabs>
          <w:tab w:val="left" w:pos="851"/>
        </w:tabs>
        <w:spacing w:before="240"/>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Artículo 155. Para presentar una solicitud por escrito, no se podrán exigir mayores requisitos que los siguientes:</w:t>
      </w:r>
    </w:p>
    <w:p w:rsidR="00DC6B48" w:rsidRPr="00252BF8" w:rsidRDefault="00DC6B48" w:rsidP="00A806D9">
      <w:pPr>
        <w:pBdr>
          <w:top w:val="nil"/>
          <w:left w:val="nil"/>
          <w:bottom w:val="nil"/>
          <w:right w:val="nil"/>
          <w:between w:val="nil"/>
        </w:pBdr>
        <w:tabs>
          <w:tab w:val="left" w:pos="851"/>
        </w:tabs>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I. a IV. …</w:t>
      </w:r>
    </w:p>
    <w:p w:rsidR="00DC6B48" w:rsidRPr="00252BF8" w:rsidRDefault="00DC6B48" w:rsidP="00A806D9">
      <w:pPr>
        <w:pBdr>
          <w:top w:val="nil"/>
          <w:left w:val="nil"/>
          <w:bottom w:val="nil"/>
          <w:right w:val="nil"/>
          <w:between w:val="nil"/>
        </w:pBdr>
        <w:tabs>
          <w:tab w:val="left" w:pos="851"/>
        </w:tabs>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b/>
          <w:i/>
          <w:color w:val="000000" w:themeColor="text1"/>
        </w:rPr>
        <w:t>V. La modalidad en la que prefiere se otorgue el acceso a la información</w:t>
      </w:r>
      <w:r w:rsidRPr="00252BF8">
        <w:rPr>
          <w:rFonts w:ascii="Palatino Linotype" w:eastAsia="Palatino Linotype" w:hAnsi="Palatino Linotype" w:cs="Palatino Linotype"/>
          <w:i/>
          <w:color w:val="000000" w:themeColor="text1"/>
        </w:rPr>
        <w:t>, la cual podrá ser verbal, siempre y cuando sea para fines de orientación, mediante consulta directa, mediante la expedición de copias simples o certificadas o la reproducción en cualquier otro medio, incluidos los electrónicos</w:t>
      </w:r>
    </w:p>
    <w:p w:rsidR="00DC6B48" w:rsidRPr="00252BF8" w:rsidRDefault="00DC6B48" w:rsidP="00A806D9">
      <w:pPr>
        <w:pBdr>
          <w:top w:val="nil"/>
          <w:left w:val="nil"/>
          <w:bottom w:val="nil"/>
          <w:right w:val="nil"/>
          <w:between w:val="nil"/>
        </w:pBdr>
        <w:tabs>
          <w:tab w:val="left" w:pos="851"/>
        </w:tabs>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lastRenderedPageBreak/>
        <w:t>…</w:t>
      </w:r>
    </w:p>
    <w:p w:rsidR="00DC6B48" w:rsidRPr="00252BF8" w:rsidRDefault="00DC6B48" w:rsidP="00A806D9">
      <w:pPr>
        <w:pBdr>
          <w:top w:val="nil"/>
          <w:left w:val="nil"/>
          <w:bottom w:val="nil"/>
          <w:right w:val="nil"/>
          <w:between w:val="nil"/>
        </w:pBdr>
        <w:tabs>
          <w:tab w:val="left" w:pos="851"/>
        </w:tabs>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rsidR="00DC6B48" w:rsidRPr="00252BF8" w:rsidRDefault="00DC6B48" w:rsidP="00A806D9">
      <w:pPr>
        <w:pBdr>
          <w:top w:val="nil"/>
          <w:left w:val="nil"/>
          <w:bottom w:val="nil"/>
          <w:right w:val="nil"/>
          <w:between w:val="nil"/>
        </w:pBdr>
        <w:tabs>
          <w:tab w:val="left" w:pos="851"/>
        </w:tabs>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En todo caso, se facilitará su copia simple o certificada, así como su reproducción por cualquier medio disponible en las instalaciones del sujeto obligado o que, en su caso, aporte el solicitante</w:t>
      </w:r>
    </w:p>
    <w:p w:rsidR="00DC6B48" w:rsidRPr="00252BF8" w:rsidRDefault="00DC6B48" w:rsidP="00A806D9">
      <w:pPr>
        <w:pBdr>
          <w:top w:val="nil"/>
          <w:left w:val="nil"/>
          <w:bottom w:val="nil"/>
          <w:right w:val="nil"/>
          <w:between w:val="nil"/>
        </w:pBdr>
        <w:tabs>
          <w:tab w:val="left" w:pos="851"/>
        </w:tabs>
        <w:ind w:right="-7"/>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i/>
          <w:color w:val="000000" w:themeColor="text1"/>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rsidR="00DC6B48" w:rsidRPr="00252BF8" w:rsidRDefault="00DC6B48" w:rsidP="00A806D9">
      <w:pPr>
        <w:pBdr>
          <w:top w:val="nil"/>
          <w:left w:val="nil"/>
          <w:bottom w:val="nil"/>
          <w:right w:val="nil"/>
          <w:between w:val="nil"/>
        </w:pBdr>
        <w:tabs>
          <w:tab w:val="left" w:pos="851"/>
        </w:tabs>
        <w:spacing w:line="360" w:lineRule="auto"/>
        <w:ind w:right="-7"/>
        <w:jc w:val="both"/>
        <w:rPr>
          <w:rFonts w:ascii="Palatino Linotype" w:eastAsia="Palatino Linotype" w:hAnsi="Palatino Linotype" w:cs="Palatino Linotype"/>
          <w:color w:val="000000" w:themeColor="text1"/>
        </w:rPr>
      </w:pPr>
    </w:p>
    <w:p w:rsidR="00DC6B48" w:rsidRPr="00252BF8" w:rsidRDefault="00DC6B48" w:rsidP="00A806D9">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252BF8">
        <w:rPr>
          <w:rFonts w:ascii="Palatino Linotype" w:eastAsia="Palatino Linotype" w:hAnsi="Palatino Linotype" w:cs="Palatino Linotype"/>
          <w:color w:val="000000" w:themeColor="text1"/>
        </w:rPr>
        <w:t xml:space="preserve">La normatividad en materia establece que se privilegiará la modalidad de entrega elegida por el </w:t>
      </w:r>
      <w:r w:rsidRPr="00252BF8">
        <w:rPr>
          <w:rFonts w:ascii="Palatino Linotype" w:eastAsia="Palatino Linotype" w:hAnsi="Palatino Linotype" w:cs="Palatino Linotype"/>
          <w:b/>
          <w:smallCaps/>
          <w:color w:val="000000" w:themeColor="text1"/>
        </w:rPr>
        <w:t>RECURRENTE</w:t>
      </w:r>
      <w:r w:rsidRPr="00252BF8">
        <w:rPr>
          <w:rFonts w:ascii="Palatino Linotype" w:eastAsia="Palatino Linotype" w:hAnsi="Palatino Linotype" w:cs="Palatino Linotype"/>
          <w:color w:val="000000" w:themeColor="text1"/>
        </w:rPr>
        <w:t xml:space="preserve"> y será excepcional un cambio de modalidad cuando la información </w:t>
      </w:r>
      <w:r w:rsidRPr="00252BF8">
        <w:rPr>
          <w:rFonts w:ascii="Palatino Linotype" w:eastAsia="Palatino Linotype" w:hAnsi="Palatino Linotype" w:cs="Palatino Linotype"/>
          <w:color w:val="000000" w:themeColor="text1"/>
          <w:u w:val="single"/>
        </w:rPr>
        <w:t>sobrepase las capacidades técnicas administrativas y humanas</w:t>
      </w:r>
      <w:r w:rsidRPr="00252BF8">
        <w:rPr>
          <w:rFonts w:ascii="Palatino Linotype" w:eastAsia="Palatino Linotype" w:hAnsi="Palatino Linotype" w:cs="Palatino Linotype"/>
          <w:color w:val="000000" w:themeColor="text1"/>
        </w:rPr>
        <w:t>, dicho cambio será debidamente fundado y motivado.</w:t>
      </w:r>
    </w:p>
    <w:p w:rsidR="002674B2" w:rsidRPr="00252BF8" w:rsidRDefault="002674B2" w:rsidP="00A806D9">
      <w:pPr>
        <w:pBdr>
          <w:top w:val="nil"/>
          <w:left w:val="nil"/>
          <w:bottom w:val="nil"/>
          <w:right w:val="nil"/>
          <w:between w:val="nil"/>
        </w:pBdr>
        <w:spacing w:line="360" w:lineRule="auto"/>
        <w:ind w:right="-7"/>
        <w:jc w:val="both"/>
        <w:rPr>
          <w:rFonts w:ascii="Palatino Linotype" w:hAnsi="Palatino Linotype"/>
          <w:color w:val="000000" w:themeColor="text1"/>
        </w:rPr>
      </w:pPr>
    </w:p>
    <w:p w:rsidR="00DC6B48" w:rsidRPr="00252BF8" w:rsidRDefault="00DC6B48" w:rsidP="00A806D9">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252BF8">
        <w:rPr>
          <w:rFonts w:ascii="Palatino Linotype" w:eastAsia="Palatino Linotype" w:hAnsi="Palatino Linotype" w:cs="Palatino Linotype"/>
          <w:color w:val="000000" w:themeColor="text1"/>
        </w:rPr>
        <w:t xml:space="preserve">En ese sentido, el </w:t>
      </w:r>
      <w:r w:rsidRPr="00252BF8">
        <w:rPr>
          <w:rFonts w:ascii="Palatino Linotype" w:eastAsia="Palatino Linotype" w:hAnsi="Palatino Linotype" w:cs="Palatino Linotype"/>
          <w:b/>
          <w:smallCaps/>
          <w:color w:val="000000" w:themeColor="text1"/>
        </w:rPr>
        <w:t>SUJETO OBLIGADO</w:t>
      </w:r>
      <w:r w:rsidRPr="00252BF8">
        <w:rPr>
          <w:rFonts w:ascii="Palatino Linotype" w:eastAsia="Palatino Linotype" w:hAnsi="Palatino Linotype" w:cs="Palatino Linotype"/>
          <w:color w:val="000000" w:themeColor="text1"/>
        </w:rPr>
        <w:t xml:space="preserve"> informó que sí posee la información pero esta sobrepasa las capacidades administrativas y humanas.</w:t>
      </w:r>
    </w:p>
    <w:p w:rsidR="00DC6B48" w:rsidRPr="00252BF8" w:rsidRDefault="00DC6B48"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DC6B48" w:rsidRPr="00252BF8" w:rsidRDefault="00DC6B48" w:rsidP="00A806D9">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252BF8">
        <w:rPr>
          <w:rFonts w:ascii="Palatino Linotype" w:eastAsia="Palatino Linotype" w:hAnsi="Palatino Linotype" w:cs="Palatino Linotype"/>
          <w:color w:val="000000" w:themeColor="text1"/>
        </w:rPr>
        <w:t xml:space="preserve">Es necesario precisar que la Ley en la materia establece que, </w:t>
      </w:r>
      <w:r w:rsidRPr="00252BF8">
        <w:rPr>
          <w:rFonts w:ascii="Palatino Linotype" w:eastAsia="Palatino Linotype" w:hAnsi="Palatino Linotype" w:cs="Palatino Linotype"/>
          <w:i/>
          <w:color w:val="000000" w:themeColor="text1"/>
        </w:rPr>
        <w:t xml:space="preserve">de manera excepcional, cuando de forma fundada y motivada así lo determine el sujeto obligado, en aquellos casos en que la información solicitada que ya se encuentre en su posesión implique análisis, estudio o procesamiento de documentos cuya entrega o reproducción </w:t>
      </w:r>
      <w:r w:rsidRPr="00252BF8">
        <w:rPr>
          <w:rFonts w:ascii="Palatino Linotype" w:eastAsia="Palatino Linotype" w:hAnsi="Palatino Linotype" w:cs="Palatino Linotype"/>
          <w:b/>
          <w:i/>
          <w:color w:val="000000" w:themeColor="text1"/>
        </w:rPr>
        <w:t>sobrepase las capacidades técnicas administrativas y humanas</w:t>
      </w:r>
      <w:r w:rsidRPr="00252BF8">
        <w:rPr>
          <w:rFonts w:ascii="Palatino Linotype" w:eastAsia="Palatino Linotype" w:hAnsi="Palatino Linotype" w:cs="Palatino Linotype"/>
          <w:i/>
          <w:color w:val="000000" w:themeColor="text1"/>
        </w:rPr>
        <w:t xml:space="preserve"> del sujeto obligado para cumplir con la solicitud, en los </w:t>
      </w:r>
      <w:r w:rsidRPr="00252BF8">
        <w:rPr>
          <w:rFonts w:ascii="Palatino Linotype" w:eastAsia="Palatino Linotype" w:hAnsi="Palatino Linotype" w:cs="Palatino Linotype"/>
          <w:i/>
          <w:color w:val="000000" w:themeColor="text1"/>
        </w:rPr>
        <w:lastRenderedPageBreak/>
        <w:t>plazos establecidos para dichos efectos, se podrá poner a disposición del solicitante los documentos en consulta directa, o en los otros tipos de modalidades, salvo la información clasificada.</w:t>
      </w:r>
    </w:p>
    <w:p w:rsidR="00DC6B48" w:rsidRPr="00252BF8" w:rsidRDefault="00DC6B48" w:rsidP="00A806D9">
      <w:pPr>
        <w:pBdr>
          <w:top w:val="nil"/>
          <w:left w:val="nil"/>
          <w:bottom w:val="nil"/>
          <w:right w:val="nil"/>
          <w:between w:val="nil"/>
        </w:pBdr>
        <w:spacing w:line="360" w:lineRule="auto"/>
        <w:ind w:right="-7"/>
        <w:jc w:val="both"/>
        <w:rPr>
          <w:rFonts w:ascii="Palatino Linotype" w:hAnsi="Palatino Linotype"/>
          <w:color w:val="000000" w:themeColor="text1"/>
        </w:rPr>
      </w:pPr>
    </w:p>
    <w:p w:rsidR="00DC6B48" w:rsidRPr="00252BF8" w:rsidRDefault="00DC6B48" w:rsidP="00A806D9">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252BF8">
        <w:rPr>
          <w:rFonts w:ascii="Palatino Linotype" w:eastAsia="Palatino Linotype" w:hAnsi="Palatino Linotype" w:cs="Palatino Linotype"/>
          <w:color w:val="000000" w:themeColor="text1"/>
        </w:rPr>
        <w:t xml:space="preserve"> Referente a la capacidad administrativa, ésta es definida como la habilidad institucional de un gobierno, para formular y realizar planes, políticas, programas, actividades, operaciones u otras medidas para cumplir con los propósitos de desarrollo. </w:t>
      </w:r>
      <w:r w:rsidRPr="00252BF8">
        <w:rPr>
          <w:rFonts w:ascii="Palatino Linotype" w:eastAsia="Palatino Linotype" w:hAnsi="Palatino Linotype" w:cs="Palatino Linotype"/>
          <w:b/>
          <w:color w:val="000000" w:themeColor="text1"/>
        </w:rPr>
        <w:t>En palabras más simples, es la eficiencia organizacional para efectuar funciones esenciales.</w:t>
      </w:r>
    </w:p>
    <w:p w:rsidR="00DC6B48" w:rsidRPr="00252BF8" w:rsidRDefault="00DC6B48" w:rsidP="00A806D9">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rsidR="00DC6B48" w:rsidRPr="00252BF8" w:rsidRDefault="00DC6B48" w:rsidP="00A806D9">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252BF8">
        <w:rPr>
          <w:rFonts w:ascii="Palatino Linotype" w:eastAsia="Palatino Linotype" w:hAnsi="Palatino Linotype" w:cs="Palatino Linotype"/>
          <w:color w:val="000000" w:themeColor="text1"/>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rsidR="00DC6B48" w:rsidRPr="00252BF8" w:rsidRDefault="00DC6B48" w:rsidP="00A806D9">
      <w:pPr>
        <w:pBdr>
          <w:top w:val="nil"/>
          <w:left w:val="nil"/>
          <w:bottom w:val="nil"/>
          <w:right w:val="nil"/>
          <w:between w:val="nil"/>
        </w:pBdr>
        <w:spacing w:line="360" w:lineRule="auto"/>
        <w:ind w:right="-7"/>
        <w:jc w:val="both"/>
        <w:rPr>
          <w:rFonts w:ascii="Palatino Linotype" w:hAnsi="Palatino Linotype"/>
          <w:color w:val="000000" w:themeColor="text1"/>
        </w:rPr>
      </w:pPr>
    </w:p>
    <w:p w:rsidR="00DC6B48" w:rsidRPr="00252BF8" w:rsidRDefault="00DC6B48" w:rsidP="00A806D9">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252BF8">
        <w:rPr>
          <w:rFonts w:ascii="Palatino Linotype" w:eastAsia="Palatino Linotype" w:hAnsi="Palatino Linotype" w:cs="Palatino Linotype"/>
          <w:color w:val="000000" w:themeColor="text1"/>
        </w:rPr>
        <w:t xml:space="preserve">Desde una perspectiva institucional, la capacidad administrativa es entendida como </w:t>
      </w:r>
      <w:r w:rsidRPr="00252BF8">
        <w:rPr>
          <w:rFonts w:ascii="Palatino Linotype" w:eastAsia="Palatino Linotype" w:hAnsi="Palatino Linotype" w:cs="Palatino Linotype"/>
          <w:b/>
          <w:color w:val="000000" w:themeColor="text1"/>
        </w:rPr>
        <w:t xml:space="preserve">“las habilidades técnico-burocráticas del aparato estatal requeridas para alcanzar sus objetivos.” </w:t>
      </w:r>
      <w:r w:rsidRPr="00252BF8">
        <w:rPr>
          <w:rFonts w:ascii="Palatino Linotype" w:eastAsia="Palatino Linotype" w:hAnsi="Palatino Linotype" w:cs="Palatino Linotype"/>
          <w:color w:val="000000" w:themeColor="text1"/>
        </w:rPr>
        <w:t>En este componente se ubican el nivel micro y meso de la Capacidad Institucional. El primero hace alusión al individuo, al recurso humano. En el segundo nivel, se ubica la capacidad de gestión, el cual se centra en el fortalecimiento organizacional como área de intervención para construir capacidad; cultura organizacional, sistemas de comunicación u organización</w:t>
      </w:r>
      <w:proofErr w:type="gramStart"/>
      <w:r w:rsidRPr="00252BF8">
        <w:rPr>
          <w:rFonts w:ascii="Palatino Linotype" w:eastAsia="Palatino Linotype" w:hAnsi="Palatino Linotype" w:cs="Palatino Linotype"/>
          <w:color w:val="000000" w:themeColor="text1"/>
        </w:rPr>
        <w:t xml:space="preserve">” </w:t>
      </w:r>
      <w:proofErr w:type="gramEnd"/>
      <w:r w:rsidRPr="00252BF8">
        <w:rPr>
          <w:rFonts w:ascii="Palatino Linotype" w:eastAsia="Palatino Linotype" w:hAnsi="Palatino Linotype" w:cs="Palatino Linotype"/>
          <w:color w:val="000000" w:themeColor="text1"/>
          <w:vertAlign w:val="superscript"/>
        </w:rPr>
        <w:footnoteReference w:id="6"/>
      </w:r>
      <w:r w:rsidRPr="00252BF8">
        <w:rPr>
          <w:rFonts w:ascii="Palatino Linotype" w:eastAsia="Palatino Linotype" w:hAnsi="Palatino Linotype" w:cs="Palatino Linotype"/>
          <w:color w:val="000000" w:themeColor="text1"/>
        </w:rPr>
        <w:t xml:space="preserve">. </w:t>
      </w:r>
    </w:p>
    <w:p w:rsidR="00DC6B48" w:rsidRPr="00252BF8" w:rsidRDefault="00DC6B48" w:rsidP="00A806D9">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252BF8">
        <w:rPr>
          <w:rFonts w:ascii="Palatino Linotype" w:eastAsia="Palatino Linotype" w:hAnsi="Palatino Linotype" w:cs="Palatino Linotype"/>
          <w:color w:val="000000" w:themeColor="text1"/>
        </w:rPr>
        <w:lastRenderedPageBreak/>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rsidR="00DC6B48" w:rsidRPr="00252BF8" w:rsidRDefault="00DC6B48" w:rsidP="00A806D9">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color w:val="000000" w:themeColor="text1"/>
        </w:rPr>
      </w:pPr>
    </w:p>
    <w:p w:rsidR="00DC6B48" w:rsidRPr="00252BF8" w:rsidRDefault="00DC6B48" w:rsidP="00A806D9">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252BF8">
        <w:rPr>
          <w:rFonts w:ascii="Palatino Linotype" w:eastAsia="Palatino Linotype" w:hAnsi="Palatino Linotype" w:cs="Palatino Linotype"/>
          <w:color w:val="000000" w:themeColor="text1"/>
        </w:rPr>
        <w:t xml:space="preserve">Ahora bien, respecto de las capacidades humanas, vale la pena precisar lo que se denomina por recursos humanos, lo cual podemos identificar como el conjunto de personas con las que cuenta una determinada organización, para desarrollar y ejecutar de manera correcta las acciones, actividades, labores y tareas que deben realizarse y que han sido solicitadas. </w:t>
      </w:r>
    </w:p>
    <w:p w:rsidR="00DC6B48" w:rsidRPr="00252BF8" w:rsidRDefault="00DC6B48" w:rsidP="00A806D9">
      <w:pPr>
        <w:pBdr>
          <w:top w:val="nil"/>
          <w:left w:val="nil"/>
          <w:bottom w:val="nil"/>
          <w:right w:val="nil"/>
          <w:between w:val="nil"/>
        </w:pBdr>
        <w:spacing w:line="360" w:lineRule="auto"/>
        <w:ind w:right="-7"/>
        <w:jc w:val="both"/>
        <w:rPr>
          <w:rFonts w:ascii="Palatino Linotype" w:hAnsi="Palatino Linotype"/>
          <w:color w:val="000000" w:themeColor="text1"/>
        </w:rPr>
      </w:pPr>
    </w:p>
    <w:p w:rsidR="00DC6B48" w:rsidRPr="00252BF8" w:rsidRDefault="00DC6B48" w:rsidP="00A806D9">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252BF8">
        <w:rPr>
          <w:rFonts w:ascii="Palatino Linotype" w:eastAsia="Palatino Linotype" w:hAnsi="Palatino Linotype" w:cs="Palatino Linotype"/>
          <w:color w:val="000000" w:themeColor="text1"/>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rsidR="00DC6B48" w:rsidRPr="00252BF8" w:rsidRDefault="00DC6B48" w:rsidP="00A806D9">
      <w:pPr>
        <w:pBdr>
          <w:top w:val="nil"/>
          <w:left w:val="nil"/>
          <w:bottom w:val="nil"/>
          <w:right w:val="nil"/>
          <w:between w:val="nil"/>
        </w:pBdr>
        <w:spacing w:line="360" w:lineRule="auto"/>
        <w:ind w:right="-7"/>
        <w:jc w:val="both"/>
        <w:rPr>
          <w:rFonts w:ascii="Palatino Linotype" w:hAnsi="Palatino Linotype"/>
          <w:color w:val="000000" w:themeColor="text1"/>
        </w:rPr>
      </w:pPr>
    </w:p>
    <w:p w:rsidR="004E2CB8" w:rsidRPr="00252BF8" w:rsidRDefault="00DC6B48" w:rsidP="00A806D9">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bCs/>
          <w:color w:val="000000" w:themeColor="text1"/>
        </w:rPr>
      </w:pPr>
      <w:r w:rsidRPr="00252BF8">
        <w:rPr>
          <w:rFonts w:ascii="Palatino Linotype" w:eastAsia="Palatino Linotype" w:hAnsi="Palatino Linotype" w:cs="Palatino Linotype"/>
          <w:color w:val="000000" w:themeColor="text1"/>
        </w:rPr>
        <w:t xml:space="preserve">Es así que, el </w:t>
      </w:r>
      <w:r w:rsidRPr="00252BF8">
        <w:rPr>
          <w:rFonts w:ascii="Palatino Linotype" w:eastAsia="Palatino Linotype" w:hAnsi="Palatino Linotype" w:cs="Palatino Linotype"/>
          <w:b/>
          <w:color w:val="000000" w:themeColor="text1"/>
        </w:rPr>
        <w:t xml:space="preserve">SUJETO OBLIGADO, </w:t>
      </w:r>
      <w:r w:rsidRPr="00252BF8">
        <w:rPr>
          <w:rFonts w:ascii="Palatino Linotype" w:eastAsia="Palatino Linotype" w:hAnsi="Palatino Linotype" w:cs="Palatino Linotype"/>
          <w:color w:val="000000" w:themeColor="text1"/>
        </w:rPr>
        <w:t>únicamente informó que la información solicitada sobrepasa las capacidades administrativas y humanas, sin aportar los elementos de convicción necesarios, además, la normatividad es precisa en referir que únicamente procederá el cambio de modalidad en el caso de que “</w:t>
      </w:r>
      <w:r w:rsidRPr="00252BF8">
        <w:rPr>
          <w:rFonts w:ascii="Palatino Linotype" w:eastAsia="Palatino Linotype" w:hAnsi="Palatino Linotype" w:cs="Palatino Linotype"/>
          <w:i/>
          <w:color w:val="000000" w:themeColor="text1"/>
        </w:rPr>
        <w:t xml:space="preserve">la reproducción </w:t>
      </w:r>
      <w:r w:rsidRPr="00252BF8">
        <w:rPr>
          <w:rFonts w:ascii="Palatino Linotype" w:eastAsia="Palatino Linotype" w:hAnsi="Palatino Linotype" w:cs="Palatino Linotype"/>
          <w:i/>
          <w:color w:val="000000" w:themeColor="text1"/>
        </w:rPr>
        <w:lastRenderedPageBreak/>
        <w:t xml:space="preserve">sobrepase las capacidades técnicas administrativas </w:t>
      </w:r>
      <w:r w:rsidRPr="00252BF8">
        <w:rPr>
          <w:rFonts w:ascii="Palatino Linotype" w:eastAsia="Palatino Linotype" w:hAnsi="Palatino Linotype" w:cs="Palatino Linotype"/>
          <w:b/>
          <w:i/>
          <w:color w:val="000000" w:themeColor="text1"/>
        </w:rPr>
        <w:t>y</w:t>
      </w:r>
      <w:r w:rsidRPr="00252BF8">
        <w:rPr>
          <w:rFonts w:ascii="Palatino Linotype" w:eastAsia="Palatino Linotype" w:hAnsi="Palatino Linotype" w:cs="Palatino Linotype"/>
          <w:i/>
          <w:color w:val="000000" w:themeColor="text1"/>
        </w:rPr>
        <w:t xml:space="preserve"> humanas</w:t>
      </w:r>
      <w:r w:rsidRPr="00252BF8">
        <w:rPr>
          <w:rFonts w:ascii="Palatino Linotype" w:eastAsia="Palatino Linotype" w:hAnsi="Palatino Linotype" w:cs="Palatino Linotype"/>
          <w:b/>
          <w:i/>
          <w:color w:val="000000" w:themeColor="text1"/>
        </w:rPr>
        <w:t xml:space="preserve">”, </w:t>
      </w:r>
      <w:r w:rsidR="006A5645" w:rsidRPr="00252BF8">
        <w:rPr>
          <w:rFonts w:ascii="Palatino Linotype" w:eastAsia="Palatino Linotype" w:hAnsi="Palatino Linotype" w:cs="Palatino Linotype"/>
          <w:color w:val="000000" w:themeColor="text1"/>
        </w:rPr>
        <w:t xml:space="preserve">es decir, se deben tener por acreditados los 3 rubros, </w:t>
      </w:r>
      <w:r w:rsidRPr="00252BF8">
        <w:rPr>
          <w:rFonts w:ascii="Palatino Linotype" w:eastAsia="Palatino Linotype" w:hAnsi="Palatino Linotype" w:cs="Palatino Linotype"/>
          <w:color w:val="000000" w:themeColor="text1"/>
        </w:rPr>
        <w:t xml:space="preserve">situación que no aconteció dentro de los recursos que nos ocupan, ya que no se hizo referencia respecto de que los recibos sobrepasen el peso permitido por el SAIMEX, </w:t>
      </w:r>
      <w:r w:rsidR="00DB7F8D" w:rsidRPr="00252BF8">
        <w:rPr>
          <w:rFonts w:ascii="Palatino Linotype" w:eastAsia="Palatino Linotype" w:hAnsi="Palatino Linotype" w:cs="Palatino Linotype"/>
          <w:color w:val="000000" w:themeColor="text1"/>
        </w:rPr>
        <w:t>aunado a</w:t>
      </w:r>
      <w:r w:rsidRPr="00252BF8">
        <w:rPr>
          <w:rFonts w:ascii="Palatino Linotype" w:eastAsia="Palatino Linotype" w:hAnsi="Palatino Linotype" w:cs="Palatino Linotype"/>
          <w:color w:val="000000" w:themeColor="text1"/>
        </w:rPr>
        <w:t xml:space="preserve"> que este Órgano </w:t>
      </w:r>
      <w:proofErr w:type="spellStart"/>
      <w:r w:rsidRPr="00252BF8">
        <w:rPr>
          <w:rFonts w:ascii="Palatino Linotype" w:eastAsia="Palatino Linotype" w:hAnsi="Palatino Linotype" w:cs="Palatino Linotype"/>
          <w:color w:val="000000" w:themeColor="text1"/>
        </w:rPr>
        <w:t>Resolutor</w:t>
      </w:r>
      <w:proofErr w:type="spellEnd"/>
      <w:r w:rsidRPr="00252BF8">
        <w:rPr>
          <w:rFonts w:ascii="Palatino Linotype" w:eastAsia="Palatino Linotype" w:hAnsi="Palatino Linotype" w:cs="Palatino Linotype"/>
          <w:color w:val="000000" w:themeColor="text1"/>
        </w:rPr>
        <w:t xml:space="preserve"> no considera que la información solicitada sobrepase dicha capacidad </w:t>
      </w:r>
      <w:r w:rsidR="006A5645" w:rsidRPr="00252BF8">
        <w:rPr>
          <w:rFonts w:ascii="Palatino Linotype" w:eastAsia="Palatino Linotype" w:hAnsi="Palatino Linotype" w:cs="Palatino Linotype"/>
          <w:color w:val="000000" w:themeColor="text1"/>
        </w:rPr>
        <w:t>del SAIMEX, la cual permite adjuntar archivos con un peso aproximado de hasta 500</w:t>
      </w:r>
      <w:r w:rsidR="002674B2" w:rsidRPr="00252BF8">
        <w:rPr>
          <w:rFonts w:ascii="Palatino Linotype" w:eastAsia="Palatino Linotype" w:hAnsi="Palatino Linotype" w:cs="Palatino Linotype"/>
          <w:color w:val="000000" w:themeColor="text1"/>
        </w:rPr>
        <w:t>Mb, o un equivalente de hasta 8,</w:t>
      </w:r>
      <w:r w:rsidR="006A5645" w:rsidRPr="00252BF8">
        <w:rPr>
          <w:rFonts w:ascii="Palatino Linotype" w:eastAsia="Palatino Linotype" w:hAnsi="Palatino Linotype" w:cs="Palatino Linotype"/>
          <w:color w:val="000000" w:themeColor="text1"/>
        </w:rPr>
        <w:t>000 fojas</w:t>
      </w:r>
      <w:r w:rsidR="00DA18F6" w:rsidRPr="00252BF8">
        <w:rPr>
          <w:rFonts w:ascii="Palatino Linotype" w:eastAsia="Palatino Linotype" w:hAnsi="Palatino Linotype" w:cs="Palatino Linotype"/>
          <w:color w:val="000000" w:themeColor="text1"/>
        </w:rPr>
        <w:t xml:space="preserve">, por lo que no resulta procedente el cambio de modalidad planteado por el </w:t>
      </w:r>
      <w:r w:rsidR="00DA18F6" w:rsidRPr="00252BF8">
        <w:rPr>
          <w:rFonts w:ascii="Palatino Linotype" w:eastAsia="Palatino Linotype" w:hAnsi="Palatino Linotype" w:cs="Palatino Linotype"/>
          <w:b/>
          <w:color w:val="000000" w:themeColor="text1"/>
        </w:rPr>
        <w:t xml:space="preserve">SUJETO OBLIGADO, </w:t>
      </w:r>
      <w:r w:rsidR="00DA18F6" w:rsidRPr="00252BF8">
        <w:rPr>
          <w:rFonts w:ascii="Palatino Linotype" w:eastAsia="Palatino Linotype" w:hAnsi="Palatino Linotype" w:cs="Palatino Linotype"/>
          <w:color w:val="000000" w:themeColor="text1"/>
        </w:rPr>
        <w:t xml:space="preserve">dentro de las solicitudes de información </w:t>
      </w:r>
      <w:r w:rsidR="00DA18F6" w:rsidRPr="00252BF8">
        <w:rPr>
          <w:rFonts w:ascii="Palatino Linotype" w:eastAsia="Palatino Linotype" w:hAnsi="Palatino Linotype" w:cs="Palatino Linotype"/>
          <w:b/>
          <w:bCs/>
          <w:color w:val="000000" w:themeColor="text1"/>
        </w:rPr>
        <w:t xml:space="preserve">00013/IXTAORO/IP/2025 </w:t>
      </w:r>
      <w:r w:rsidR="00DA18F6" w:rsidRPr="00252BF8">
        <w:rPr>
          <w:rFonts w:ascii="Palatino Linotype" w:eastAsia="Palatino Linotype" w:hAnsi="Palatino Linotype" w:cs="Palatino Linotype"/>
          <w:bCs/>
          <w:color w:val="000000" w:themeColor="text1"/>
        </w:rPr>
        <w:t>y</w:t>
      </w:r>
      <w:r w:rsidR="00DA18F6" w:rsidRPr="00252BF8">
        <w:rPr>
          <w:rFonts w:ascii="Palatino Linotype" w:eastAsia="Palatino Linotype" w:hAnsi="Palatino Linotype" w:cs="Palatino Linotype"/>
          <w:b/>
          <w:bCs/>
          <w:color w:val="000000" w:themeColor="text1"/>
        </w:rPr>
        <w:t xml:space="preserve">  00012/IXTAORO/IP/2025.</w:t>
      </w:r>
    </w:p>
    <w:p w:rsidR="00DB7F8D" w:rsidRPr="00252BF8" w:rsidRDefault="00DB7F8D" w:rsidP="00A806D9">
      <w:pPr>
        <w:pBdr>
          <w:top w:val="nil"/>
          <w:left w:val="nil"/>
          <w:bottom w:val="nil"/>
          <w:right w:val="nil"/>
          <w:between w:val="nil"/>
        </w:pBdr>
        <w:spacing w:line="360" w:lineRule="auto"/>
        <w:ind w:right="-7"/>
        <w:jc w:val="both"/>
        <w:rPr>
          <w:rFonts w:ascii="Palatino Linotype" w:eastAsia="Palatino Linotype" w:hAnsi="Palatino Linotype" w:cs="Palatino Linotype"/>
          <w:b/>
          <w:bCs/>
          <w:color w:val="000000" w:themeColor="text1"/>
        </w:rPr>
      </w:pPr>
    </w:p>
    <w:p w:rsidR="00F66875" w:rsidRPr="00252BF8" w:rsidRDefault="00DB7F8D"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olor w:val="000000" w:themeColor="text1"/>
        </w:rPr>
      </w:pPr>
      <w:r w:rsidRPr="00252BF8">
        <w:rPr>
          <w:rFonts w:ascii="Palatino Linotype" w:eastAsia="Calibri" w:hAnsi="Palatino Linotype"/>
          <w:color w:val="000000" w:themeColor="text1"/>
        </w:rPr>
        <w:t xml:space="preserve">Es por lo anterior, que no se tienen por colmadas las solicitudes de información </w:t>
      </w:r>
      <w:r w:rsidR="00DA18F6" w:rsidRPr="00252BF8">
        <w:rPr>
          <w:rFonts w:ascii="Palatino Linotype" w:eastAsia="Calibri" w:hAnsi="Palatino Linotype"/>
          <w:b/>
          <w:bCs/>
          <w:color w:val="000000" w:themeColor="text1"/>
        </w:rPr>
        <w:t> 00012/IXTAORO/IP/2025,  00013/IXTAORO/IP/2025 y  00014/IXTAORO/IP/2025</w:t>
      </w:r>
      <w:r w:rsidR="00DA18F6" w:rsidRPr="00252BF8">
        <w:rPr>
          <w:rFonts w:ascii="Palatino Linotype" w:eastAsia="Calibri" w:hAnsi="Palatino Linotype"/>
          <w:color w:val="000000" w:themeColor="text1"/>
        </w:rPr>
        <w:t xml:space="preserve"> </w:t>
      </w:r>
      <w:r w:rsidRPr="00252BF8">
        <w:rPr>
          <w:rFonts w:ascii="Palatino Linotype" w:eastAsia="Calibri" w:hAnsi="Palatino Linotype"/>
          <w:color w:val="000000" w:themeColor="text1"/>
        </w:rPr>
        <w:t xml:space="preserve">y resulta dable ordenar al </w:t>
      </w:r>
      <w:r w:rsidRPr="00252BF8">
        <w:rPr>
          <w:rFonts w:ascii="Palatino Linotype" w:eastAsia="Calibri" w:hAnsi="Palatino Linotype"/>
          <w:b/>
          <w:color w:val="000000" w:themeColor="text1"/>
        </w:rPr>
        <w:t xml:space="preserve">SUJETO OBLIGADO, </w:t>
      </w:r>
      <w:r w:rsidR="00F66875" w:rsidRPr="00252BF8">
        <w:rPr>
          <w:rFonts w:ascii="Palatino Linotype" w:eastAsia="Calibri" w:hAnsi="Palatino Linotype"/>
          <w:color w:val="000000" w:themeColor="text1"/>
        </w:rPr>
        <w:t xml:space="preserve">haga entrega de los </w:t>
      </w:r>
      <w:r w:rsidRPr="00252BF8">
        <w:rPr>
          <w:rFonts w:ascii="Palatino Linotype" w:eastAsia="Calibri" w:hAnsi="Palatino Linotype"/>
          <w:color w:val="000000" w:themeColor="text1"/>
        </w:rPr>
        <w:t>recibos</w:t>
      </w:r>
      <w:r w:rsidR="00002FA8" w:rsidRPr="00252BF8">
        <w:rPr>
          <w:rFonts w:ascii="Palatino Linotype" w:eastAsia="Calibri" w:hAnsi="Palatino Linotype"/>
          <w:color w:val="000000" w:themeColor="text1"/>
        </w:rPr>
        <w:t xml:space="preserve"> de nómina de los servidores públicos adscritos al Ayuntam</w:t>
      </w:r>
      <w:r w:rsidRPr="00252BF8">
        <w:rPr>
          <w:rFonts w:ascii="Palatino Linotype" w:eastAsia="Calibri" w:hAnsi="Palatino Linotype"/>
          <w:color w:val="000000" w:themeColor="text1"/>
        </w:rPr>
        <w:t xml:space="preserve">iento de Ixtapan del Oro, de las dos quincenas del mes de enero de dos mil quince y la primera </w:t>
      </w:r>
      <w:r w:rsidR="00002FA8" w:rsidRPr="00252BF8">
        <w:rPr>
          <w:rFonts w:ascii="Palatino Linotype" w:eastAsia="Calibri" w:hAnsi="Palatino Linotype"/>
          <w:color w:val="000000" w:themeColor="text1"/>
        </w:rPr>
        <w:t xml:space="preserve">quincena que va del uno al quince </w:t>
      </w:r>
      <w:r w:rsidRPr="00252BF8">
        <w:rPr>
          <w:rFonts w:ascii="Palatino Linotype" w:eastAsia="Calibri" w:hAnsi="Palatino Linotype"/>
          <w:color w:val="000000" w:themeColor="text1"/>
        </w:rPr>
        <w:t>de febrero de dos mil veinticinco, a través del SAIMEX.</w:t>
      </w:r>
    </w:p>
    <w:p w:rsidR="00F66875" w:rsidRPr="00252BF8" w:rsidRDefault="00F66875" w:rsidP="00A806D9">
      <w:pPr>
        <w:pBdr>
          <w:top w:val="nil"/>
          <w:left w:val="nil"/>
          <w:bottom w:val="nil"/>
          <w:right w:val="nil"/>
          <w:between w:val="nil"/>
        </w:pBdr>
        <w:spacing w:line="360" w:lineRule="auto"/>
        <w:ind w:right="-7"/>
        <w:jc w:val="both"/>
        <w:rPr>
          <w:rFonts w:ascii="Palatino Linotype" w:eastAsia="Calibri" w:hAnsi="Palatino Linotype"/>
          <w:color w:val="000000" w:themeColor="text1"/>
        </w:rPr>
      </w:pPr>
    </w:p>
    <w:p w:rsidR="00F66875" w:rsidRPr="00252BF8" w:rsidRDefault="00F66875"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olor w:val="000000" w:themeColor="text1"/>
        </w:rPr>
      </w:pPr>
      <w:r w:rsidRPr="00252BF8">
        <w:rPr>
          <w:rFonts w:ascii="Palatino Linotype" w:eastAsia="Calibri" w:hAnsi="Palatino Linotype"/>
          <w:color w:val="000000" w:themeColor="text1"/>
        </w:rPr>
        <w:t>Finalmente, respecto de la información que se ordena entregar, se refiere lo siguiente</w:t>
      </w:r>
    </w:p>
    <w:p w:rsidR="007E0933" w:rsidRDefault="007E0933" w:rsidP="00A806D9">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lang w:eastAsia="es-ES"/>
        </w:rPr>
      </w:pPr>
    </w:p>
    <w:p w:rsidR="009F31CF" w:rsidRDefault="009F31CF" w:rsidP="00A806D9">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lang w:eastAsia="es-ES"/>
        </w:rPr>
      </w:pPr>
    </w:p>
    <w:p w:rsidR="009F31CF" w:rsidRPr="00252BF8" w:rsidRDefault="009F31CF" w:rsidP="00A806D9">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lang w:eastAsia="es-ES"/>
        </w:rPr>
      </w:pPr>
    </w:p>
    <w:p w:rsidR="007E0933" w:rsidRPr="00252BF8" w:rsidRDefault="007E0933" w:rsidP="00A806D9">
      <w:pPr>
        <w:numPr>
          <w:ilvl w:val="0"/>
          <w:numId w:val="9"/>
        </w:numPr>
        <w:tabs>
          <w:tab w:val="left" w:pos="284"/>
        </w:tabs>
        <w:spacing w:line="360" w:lineRule="auto"/>
        <w:ind w:left="0" w:right="-7"/>
        <w:contextualSpacing/>
        <w:jc w:val="both"/>
        <w:rPr>
          <w:rFonts w:ascii="Palatino Linotype" w:eastAsia="Calibri" w:hAnsi="Palatino Linotype" w:cs="Arial"/>
          <w:b/>
          <w:color w:val="000000" w:themeColor="text1"/>
          <w:lang w:val="es-ES_tradnl" w:eastAsia="es-ES"/>
        </w:rPr>
      </w:pPr>
      <w:r w:rsidRPr="00252BF8">
        <w:rPr>
          <w:rFonts w:ascii="Palatino Linotype" w:eastAsia="Calibri" w:hAnsi="Palatino Linotype" w:cs="Arial"/>
          <w:b/>
          <w:color w:val="000000" w:themeColor="text1"/>
          <w:lang w:val="es-ES_tradnl" w:eastAsia="es-ES"/>
        </w:rPr>
        <w:lastRenderedPageBreak/>
        <w:t>Recibos de Nomina</w:t>
      </w: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t xml:space="preserve">En ese sentido, se debe precisarse que si bien en nuestra legislación no existe como tal una definición de “nómina”; no obstante,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252BF8">
        <w:rPr>
          <w:rFonts w:ascii="Palatino Linotype" w:eastAsia="Calibri" w:hAnsi="Palatino Linotype" w:cs="Arial"/>
          <w:color w:val="000000" w:themeColor="text1"/>
          <w:lang w:val="es-ES_tradnl" w:eastAsia="es-ES"/>
        </w:rPr>
        <w:t>Presupuestación</w:t>
      </w:r>
      <w:proofErr w:type="spellEnd"/>
      <w:r w:rsidRPr="00252BF8">
        <w:rPr>
          <w:rFonts w:ascii="Palatino Linotype" w:eastAsia="Calibri" w:hAnsi="Palatino Linotype" w:cs="Arial"/>
          <w:color w:val="000000" w:themeColor="text1"/>
          <w:lang w:val="es-ES_tradnl" w:eastAsia="es-E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7E0933" w:rsidRPr="00252BF8" w:rsidRDefault="007E0933" w:rsidP="00A806D9">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t xml:space="preserve">Como </w:t>
      </w:r>
      <w:r w:rsidRPr="00252BF8">
        <w:rPr>
          <w:rFonts w:ascii="Palatino Linotype" w:eastAsia="Palatino Linotype" w:hAnsi="Palatino Linotype" w:cs="Palatino Linotype"/>
          <w:color w:val="000000" w:themeColor="text1"/>
          <w:lang w:eastAsia="es-ES"/>
        </w:rPr>
        <w:t>ya</w:t>
      </w:r>
      <w:r w:rsidRPr="00252BF8">
        <w:rPr>
          <w:rFonts w:ascii="Palatino Linotype" w:eastAsia="Calibri" w:hAnsi="Palatino Linotype" w:cs="Arial"/>
          <w:color w:val="000000" w:themeColor="text1"/>
          <w:lang w:val="es-ES_tradnl" w:eastAsia="es-ES"/>
        </w:rPr>
        <w:t xml:space="preserve"> se apuntó, si bien es cierto nuestra legislación no establece la definición de “nómina”, este término es mencionado en diferentes ordenamientos legales, así el artículo 804 fracción II de la Ley Federal de Trabajo, señala lo siguiente: </w:t>
      </w:r>
    </w:p>
    <w:p w:rsidR="007E0933" w:rsidRPr="00252BF8" w:rsidRDefault="007E0933" w:rsidP="00A806D9">
      <w:pPr>
        <w:spacing w:before="120" w:after="120"/>
        <w:ind w:right="-7"/>
        <w:jc w:val="both"/>
        <w:rPr>
          <w:rFonts w:ascii="Palatino Linotype" w:hAnsi="Palatino Linotype" w:cs="Arial"/>
          <w:i/>
          <w:color w:val="000000" w:themeColor="text1"/>
          <w:lang w:val="es-ES_tradnl"/>
        </w:rPr>
      </w:pPr>
      <w:r w:rsidRPr="00252BF8">
        <w:rPr>
          <w:rFonts w:ascii="Palatino Linotype" w:hAnsi="Palatino Linotype" w:cs="Arial"/>
          <w:bCs/>
          <w:i/>
          <w:color w:val="000000" w:themeColor="text1"/>
          <w:lang w:val="es-ES_tradnl"/>
        </w:rPr>
        <w:t>“</w:t>
      </w:r>
      <w:r w:rsidRPr="00252BF8">
        <w:rPr>
          <w:rFonts w:ascii="Palatino Linotype" w:hAnsi="Palatino Linotype" w:cs="Arial"/>
          <w:b/>
          <w:i/>
          <w:color w:val="000000" w:themeColor="text1"/>
          <w:lang w:val="es-ES_tradnl"/>
        </w:rPr>
        <w:t>Artículo 804.-</w:t>
      </w:r>
      <w:r w:rsidRPr="00252BF8">
        <w:rPr>
          <w:rFonts w:ascii="Palatino Linotype" w:hAnsi="Palatino Linotype" w:cs="Arial"/>
          <w:i/>
          <w:color w:val="000000" w:themeColor="text1"/>
          <w:lang w:val="es-ES_tradnl"/>
        </w:rPr>
        <w:t xml:space="preserve"> </w:t>
      </w:r>
      <w:r w:rsidRPr="00252BF8">
        <w:rPr>
          <w:rFonts w:ascii="Palatino Linotype" w:hAnsi="Palatino Linotype" w:cs="Arial"/>
          <w:b/>
          <w:i/>
          <w:color w:val="000000" w:themeColor="text1"/>
          <w:u w:val="single"/>
          <w:lang w:val="es-ES_tradnl"/>
        </w:rPr>
        <w:t>El patrón tiene obligación de conservar y exhibir en juicio los documentos que a continuación se precisan</w:t>
      </w:r>
      <w:r w:rsidRPr="00252BF8">
        <w:rPr>
          <w:rFonts w:ascii="Palatino Linotype" w:hAnsi="Palatino Linotype" w:cs="Arial"/>
          <w:i/>
          <w:color w:val="000000" w:themeColor="text1"/>
          <w:lang w:val="es-ES_tradnl"/>
        </w:rPr>
        <w:t xml:space="preserve">: </w:t>
      </w:r>
    </w:p>
    <w:p w:rsidR="007E0933" w:rsidRPr="00252BF8" w:rsidRDefault="007E0933" w:rsidP="00A806D9">
      <w:pPr>
        <w:spacing w:before="120" w:after="120"/>
        <w:ind w:right="-7"/>
        <w:jc w:val="both"/>
        <w:rPr>
          <w:rFonts w:ascii="Palatino Linotype" w:hAnsi="Palatino Linotype" w:cstheme="minorBidi"/>
          <w:i/>
          <w:color w:val="000000" w:themeColor="text1"/>
          <w:lang w:val="es-ES_tradnl" w:eastAsia="es-ES"/>
        </w:rPr>
      </w:pPr>
      <w:r w:rsidRPr="00252BF8">
        <w:rPr>
          <w:rFonts w:ascii="Palatino Linotype" w:hAnsi="Palatino Linotype" w:cstheme="minorBidi"/>
          <w:i/>
          <w:color w:val="000000" w:themeColor="text1"/>
          <w:lang w:val="es-ES_tradnl" w:eastAsia="es-ES"/>
        </w:rPr>
        <w:t>[…]</w:t>
      </w:r>
    </w:p>
    <w:p w:rsidR="007E0933" w:rsidRPr="00252BF8" w:rsidRDefault="007E0933" w:rsidP="00A806D9">
      <w:pPr>
        <w:spacing w:before="120" w:after="120"/>
        <w:ind w:right="-7"/>
        <w:jc w:val="both"/>
        <w:rPr>
          <w:rFonts w:ascii="Palatino Linotype" w:hAnsi="Palatino Linotype" w:cs="Arial"/>
          <w:i/>
          <w:color w:val="000000" w:themeColor="text1"/>
          <w:lang w:val="es-ES_tradnl"/>
        </w:rPr>
      </w:pPr>
      <w:r w:rsidRPr="00252BF8">
        <w:rPr>
          <w:rFonts w:ascii="Palatino Linotype" w:hAnsi="Palatino Linotype" w:cs="Arial"/>
          <w:b/>
          <w:i/>
          <w:color w:val="000000" w:themeColor="text1"/>
          <w:lang w:val="es-ES_tradnl"/>
        </w:rPr>
        <w:t>II.</w:t>
      </w:r>
      <w:r w:rsidRPr="00252BF8">
        <w:rPr>
          <w:rFonts w:ascii="Palatino Linotype" w:hAnsi="Palatino Linotype" w:cs="Arial"/>
          <w:i/>
          <w:color w:val="000000" w:themeColor="text1"/>
          <w:lang w:val="es-ES_tradnl"/>
        </w:rPr>
        <w:t xml:space="preserve"> Listas de raya o </w:t>
      </w:r>
      <w:r w:rsidRPr="00252BF8">
        <w:rPr>
          <w:rFonts w:ascii="Palatino Linotype" w:hAnsi="Palatino Linotype" w:cs="Arial"/>
          <w:b/>
          <w:i/>
          <w:color w:val="000000" w:themeColor="text1"/>
          <w:u w:val="single"/>
          <w:lang w:val="es-ES_tradnl"/>
        </w:rPr>
        <w:t>nómina de personal</w:t>
      </w:r>
      <w:r w:rsidRPr="00252BF8">
        <w:rPr>
          <w:rFonts w:ascii="Palatino Linotype" w:hAnsi="Palatino Linotype" w:cs="Arial"/>
          <w:i/>
          <w:color w:val="000000" w:themeColor="text1"/>
          <w:lang w:val="es-ES_tradnl"/>
        </w:rPr>
        <w:t xml:space="preserve">, cuando se lleven en el centro de trabajo; o recibos de pagos de salarios; </w:t>
      </w:r>
    </w:p>
    <w:p w:rsidR="007E0933" w:rsidRPr="00252BF8" w:rsidRDefault="007E0933" w:rsidP="00A806D9">
      <w:pPr>
        <w:spacing w:before="120" w:after="120"/>
        <w:ind w:right="-7"/>
        <w:jc w:val="both"/>
        <w:rPr>
          <w:rFonts w:ascii="Palatino Linotype" w:hAnsi="Palatino Linotype" w:cstheme="minorBidi"/>
          <w:i/>
          <w:color w:val="000000" w:themeColor="text1"/>
          <w:lang w:val="es-ES_tradnl" w:eastAsia="es-ES"/>
        </w:rPr>
      </w:pPr>
      <w:r w:rsidRPr="00252BF8">
        <w:rPr>
          <w:rFonts w:ascii="Palatino Linotype" w:hAnsi="Palatino Linotype" w:cstheme="minorBidi"/>
          <w:i/>
          <w:color w:val="000000" w:themeColor="text1"/>
          <w:lang w:val="es-ES_tradnl" w:eastAsia="es-ES"/>
        </w:rPr>
        <w:t>[…]</w:t>
      </w:r>
    </w:p>
    <w:p w:rsidR="007E0933" w:rsidRPr="00252BF8" w:rsidRDefault="007E0933" w:rsidP="00A806D9">
      <w:pPr>
        <w:spacing w:before="120" w:after="120"/>
        <w:ind w:right="-7"/>
        <w:jc w:val="both"/>
        <w:rPr>
          <w:rFonts w:ascii="Palatino Linotype" w:hAnsi="Palatino Linotype" w:cs="Arial"/>
          <w:i/>
          <w:color w:val="000000" w:themeColor="text1"/>
          <w:lang w:val="es-ES_tradnl"/>
        </w:rPr>
      </w:pPr>
      <w:r w:rsidRPr="00252BF8">
        <w:rPr>
          <w:rFonts w:ascii="Palatino Linotype" w:hAnsi="Palatino Linotype" w:cs="Arial"/>
          <w:b/>
          <w:i/>
          <w:color w:val="000000" w:themeColor="text1"/>
          <w:u w:val="single"/>
          <w:lang w:val="es-ES_tradnl"/>
        </w:rPr>
        <w:t>Los documentos</w:t>
      </w:r>
      <w:r w:rsidRPr="00252BF8">
        <w:rPr>
          <w:rFonts w:ascii="Palatino Linotype" w:hAnsi="Palatino Linotype" w:cs="Arial"/>
          <w:i/>
          <w:color w:val="000000" w:themeColor="text1"/>
          <w:lang w:val="es-ES_tradnl"/>
        </w:rPr>
        <w:t xml:space="preserve"> señalados en la fracción I </w:t>
      </w:r>
      <w:r w:rsidRPr="00252BF8">
        <w:rPr>
          <w:rFonts w:ascii="Palatino Linotype" w:hAnsi="Palatino Linotype" w:cs="Arial"/>
          <w:b/>
          <w:i/>
          <w:color w:val="000000" w:themeColor="text1"/>
          <w:u w:val="single"/>
          <w:lang w:val="es-ES_tradnl"/>
        </w:rPr>
        <w:t>deberán conservarse</w:t>
      </w:r>
      <w:r w:rsidRPr="00252BF8">
        <w:rPr>
          <w:rFonts w:ascii="Palatino Linotype" w:hAnsi="Palatino Linotype" w:cs="Arial"/>
          <w:i/>
          <w:color w:val="000000" w:themeColor="text1"/>
          <w:lang w:val="es-ES_tradnl"/>
        </w:rPr>
        <w:t xml:space="preserve"> mientras dure la relación laboral y hasta un año después; los </w:t>
      </w:r>
      <w:r w:rsidRPr="00252BF8">
        <w:rPr>
          <w:rFonts w:ascii="Palatino Linotype" w:hAnsi="Palatino Linotype" w:cs="Arial"/>
          <w:b/>
          <w:i/>
          <w:color w:val="000000" w:themeColor="text1"/>
          <w:u w:val="single"/>
          <w:lang w:val="es-ES_tradnl"/>
        </w:rPr>
        <w:t>señalados en las fracciones II</w:t>
      </w:r>
      <w:r w:rsidRPr="00252BF8">
        <w:rPr>
          <w:rFonts w:ascii="Palatino Linotype" w:hAnsi="Palatino Linotype" w:cs="Arial"/>
          <w:i/>
          <w:color w:val="000000" w:themeColor="text1"/>
          <w:lang w:val="es-ES_tradnl"/>
        </w:rPr>
        <w:t xml:space="preserve">, III y IV, </w:t>
      </w:r>
      <w:r w:rsidRPr="00252BF8">
        <w:rPr>
          <w:rFonts w:ascii="Palatino Linotype" w:hAnsi="Palatino Linotype" w:cs="Arial"/>
          <w:b/>
          <w:i/>
          <w:color w:val="000000" w:themeColor="text1"/>
          <w:u w:val="single"/>
          <w:lang w:val="es-ES_tradnl"/>
        </w:rPr>
        <w:t>durante el último año y un año después de que se extinga la relación laboral</w:t>
      </w:r>
      <w:r w:rsidRPr="00252BF8">
        <w:rPr>
          <w:rFonts w:ascii="Palatino Linotype" w:hAnsi="Palatino Linotype" w:cs="Arial"/>
          <w:i/>
          <w:color w:val="000000" w:themeColor="text1"/>
          <w:lang w:val="es-ES_tradnl"/>
        </w:rPr>
        <w:t>; y los mencionados en la fracción V, conforme lo señalen las Leyes que los rijan.</w:t>
      </w:r>
    </w:p>
    <w:p w:rsidR="007E0933" w:rsidRPr="00252BF8" w:rsidRDefault="007E0933" w:rsidP="00A806D9">
      <w:pPr>
        <w:spacing w:before="120" w:after="120"/>
        <w:ind w:right="-7"/>
        <w:jc w:val="both"/>
        <w:rPr>
          <w:rFonts w:ascii="Palatino Linotype" w:hAnsi="Palatino Linotype" w:cstheme="minorBidi"/>
          <w:color w:val="000000" w:themeColor="text1"/>
          <w:lang w:val="es-ES_tradnl" w:eastAsia="es-ES"/>
        </w:rPr>
      </w:pPr>
      <w:r w:rsidRPr="00252BF8">
        <w:rPr>
          <w:rFonts w:ascii="Palatino Linotype" w:hAnsi="Palatino Linotype" w:cstheme="minorBidi"/>
          <w:color w:val="000000" w:themeColor="text1"/>
          <w:lang w:val="es-ES_tradnl" w:eastAsia="es-ES"/>
        </w:rPr>
        <w:lastRenderedPageBreak/>
        <w:t>(Énfasis añadido)</w:t>
      </w:r>
    </w:p>
    <w:p w:rsidR="007E0933" w:rsidRPr="00252BF8" w:rsidRDefault="007E0933" w:rsidP="00A806D9">
      <w:pPr>
        <w:spacing w:before="120" w:after="120"/>
        <w:ind w:right="-7"/>
        <w:jc w:val="both"/>
        <w:rPr>
          <w:rFonts w:ascii="Palatino Linotype" w:hAnsi="Palatino Linotype" w:cstheme="minorBidi"/>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t>Atento a lo transcrito, es que resulta dable señalar que la nómina es el listado de los trabajadores de una institución para realizar los pagos periódicos de los trabajadores, que deberá incluir las percepciones brutas, deducciones y el neto a recibir.</w:t>
      </w:r>
    </w:p>
    <w:p w:rsidR="007E0933" w:rsidRPr="00252BF8" w:rsidRDefault="007E0933" w:rsidP="00A806D9">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t xml:space="preserve">De igual forma, la Constitución Política del Estado Libre y Soberano de México dispone en lo relativo a las remuneraciones de los servidores públicos, lo </w:t>
      </w:r>
      <w:r w:rsidRPr="00252BF8">
        <w:rPr>
          <w:rFonts w:ascii="Palatino Linotype" w:eastAsia="Palatino Linotype" w:hAnsi="Palatino Linotype" w:cs="Palatino Linotype"/>
          <w:color w:val="000000" w:themeColor="text1"/>
          <w:lang w:eastAsia="es-ES"/>
        </w:rPr>
        <w:t>siguiente</w:t>
      </w:r>
      <w:r w:rsidRPr="00252BF8">
        <w:rPr>
          <w:rFonts w:ascii="Palatino Linotype" w:eastAsia="Calibri" w:hAnsi="Palatino Linotype" w:cs="Arial"/>
          <w:color w:val="000000" w:themeColor="text1"/>
          <w:lang w:val="es-ES_tradnl" w:eastAsia="es-ES"/>
        </w:rPr>
        <w:t>:</w:t>
      </w:r>
    </w:p>
    <w:p w:rsidR="007E0933" w:rsidRPr="00252BF8" w:rsidRDefault="007E0933" w:rsidP="00A806D9">
      <w:pPr>
        <w:spacing w:before="120" w:after="120"/>
        <w:ind w:right="-7"/>
        <w:jc w:val="both"/>
        <w:rPr>
          <w:rFonts w:ascii="Palatino Linotype" w:hAnsi="Palatino Linotype" w:cs="Arial"/>
          <w:b/>
          <w:bCs/>
          <w:i/>
          <w:color w:val="000000" w:themeColor="text1"/>
          <w:lang w:val="es-ES_tradnl" w:eastAsia="es-ES"/>
        </w:rPr>
      </w:pPr>
      <w:r w:rsidRPr="00252BF8">
        <w:rPr>
          <w:rFonts w:ascii="Palatino Linotype" w:hAnsi="Palatino Linotype" w:cs="Arial"/>
          <w:b/>
          <w:bCs/>
          <w:i/>
          <w:color w:val="000000" w:themeColor="text1"/>
          <w:lang w:val="es-ES_tradnl" w:eastAsia="es-ES"/>
        </w:rPr>
        <w:t xml:space="preserve">“Artículo 147.- </w:t>
      </w:r>
      <w:r w:rsidRPr="00252BF8">
        <w:rPr>
          <w:rFonts w:ascii="Palatino Linotype" w:hAnsi="Palatino Linotype" w:cs="Arial"/>
          <w:bCs/>
          <w:i/>
          <w:color w:val="000000" w:themeColor="text1"/>
          <w:lang w:val="es-ES_tradnl" w:eastAsia="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y demás servidores públicos municipales </w:t>
      </w:r>
      <w:r w:rsidRPr="00252BF8">
        <w:rPr>
          <w:rFonts w:ascii="Palatino Linotype" w:hAnsi="Palatino Linotype" w:cs="Arial"/>
          <w:b/>
          <w:bCs/>
          <w:i/>
          <w:color w:val="000000" w:themeColor="text1"/>
          <w:lang w:val="es-ES_tradnl" w:eastAsia="es-ES"/>
        </w:rPr>
        <w:t xml:space="preserve">recibirán una retribución adecuada e irrenunciable por el desempeño </w:t>
      </w:r>
      <w:r w:rsidRPr="00252BF8">
        <w:rPr>
          <w:rFonts w:ascii="Palatino Linotype" w:hAnsi="Palatino Linotype" w:cs="Arial"/>
          <w:b/>
          <w:i/>
          <w:color w:val="000000" w:themeColor="text1"/>
          <w:lang w:val="es-ES_tradnl"/>
        </w:rPr>
        <w:t>de</w:t>
      </w:r>
      <w:r w:rsidRPr="00252BF8">
        <w:rPr>
          <w:rFonts w:ascii="Palatino Linotype" w:hAnsi="Palatino Linotype" w:cs="Arial"/>
          <w:b/>
          <w:bCs/>
          <w:i/>
          <w:color w:val="000000" w:themeColor="text1"/>
          <w:lang w:val="es-ES_tradnl" w:eastAsia="es-ES"/>
        </w:rPr>
        <w:t xml:space="preserve"> su empleo, cargo o comisión, que será determinada en el presupuesto de egresos que corresponda.”</w:t>
      </w:r>
    </w:p>
    <w:p w:rsidR="007E0933" w:rsidRPr="00252BF8" w:rsidRDefault="007E0933" w:rsidP="00A806D9">
      <w:pPr>
        <w:spacing w:before="120" w:after="120"/>
        <w:ind w:right="-7"/>
        <w:jc w:val="both"/>
        <w:rPr>
          <w:rFonts w:ascii="Palatino Linotype" w:hAnsi="Palatino Linotype" w:cs="Arial"/>
          <w:b/>
          <w:bCs/>
          <w:i/>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Palatino Linotype" w:hAnsi="Palatino Linotype" w:cs="Palatino Linotype"/>
          <w:color w:val="000000" w:themeColor="text1"/>
          <w:lang w:eastAsia="es-ES"/>
        </w:rPr>
        <w:t>En</w:t>
      </w:r>
      <w:r w:rsidRPr="00252BF8">
        <w:rPr>
          <w:rFonts w:ascii="Palatino Linotype" w:eastAsia="Calibri" w:hAnsi="Palatino Linotype" w:cs="Arial"/>
          <w:color w:val="000000" w:themeColor="text1"/>
          <w:lang w:val="es-ES_tradnl" w:eastAsia="es-ES"/>
        </w:rPr>
        <w:t xml:space="preserve">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rsidR="007E0933" w:rsidRPr="00252BF8" w:rsidRDefault="007E0933" w:rsidP="00A806D9">
      <w:pPr>
        <w:spacing w:before="120" w:after="120"/>
        <w:ind w:right="-7"/>
        <w:jc w:val="both"/>
        <w:rPr>
          <w:rFonts w:ascii="Palatino Linotype" w:hAnsi="Palatino Linotype" w:cs="Arial"/>
          <w:bCs/>
          <w:i/>
          <w:color w:val="000000" w:themeColor="text1"/>
          <w:lang w:val="es-ES_tradnl" w:eastAsia="es-ES"/>
        </w:rPr>
      </w:pPr>
      <w:r w:rsidRPr="00252BF8">
        <w:rPr>
          <w:rFonts w:ascii="Palatino Linotype" w:hAnsi="Palatino Linotype" w:cs="Arial"/>
          <w:bCs/>
          <w:i/>
          <w:color w:val="000000" w:themeColor="text1"/>
          <w:lang w:val="es-ES_tradnl" w:eastAsia="es-ES"/>
        </w:rPr>
        <w:t>“</w:t>
      </w:r>
      <w:r w:rsidRPr="00252BF8">
        <w:rPr>
          <w:rFonts w:ascii="Palatino Linotype" w:hAnsi="Palatino Linotype" w:cs="Arial"/>
          <w:b/>
          <w:bCs/>
          <w:i/>
          <w:color w:val="000000" w:themeColor="text1"/>
          <w:lang w:val="es-ES_tradnl" w:eastAsia="es-ES"/>
        </w:rPr>
        <w:t>Artículo 3.-</w:t>
      </w:r>
      <w:r w:rsidRPr="00252BF8">
        <w:rPr>
          <w:rFonts w:ascii="Palatino Linotype" w:hAnsi="Palatino Linotype" w:cs="Arial"/>
          <w:bCs/>
          <w:i/>
          <w:color w:val="000000" w:themeColor="text1"/>
          <w:lang w:val="es-ES_tradnl" w:eastAsia="es-ES"/>
        </w:rPr>
        <w:t xml:space="preserve"> Para efectos de este Código, Ley de Ingresos del Estado y del Presupuesto de Egresos </w:t>
      </w:r>
      <w:r w:rsidRPr="00252BF8">
        <w:rPr>
          <w:rFonts w:ascii="Palatino Linotype" w:hAnsi="Palatino Linotype" w:cs="Arial"/>
          <w:i/>
          <w:color w:val="000000" w:themeColor="text1"/>
          <w:lang w:val="es-ES_tradnl"/>
        </w:rPr>
        <w:t>se</w:t>
      </w:r>
      <w:r w:rsidRPr="00252BF8">
        <w:rPr>
          <w:rFonts w:ascii="Palatino Linotype" w:hAnsi="Palatino Linotype" w:cs="Arial"/>
          <w:bCs/>
          <w:i/>
          <w:color w:val="000000" w:themeColor="text1"/>
          <w:lang w:val="es-ES_tradnl" w:eastAsia="es-ES"/>
        </w:rPr>
        <w:t xml:space="preserve"> entenderá por:</w:t>
      </w:r>
    </w:p>
    <w:p w:rsidR="007E0933" w:rsidRPr="00252BF8" w:rsidRDefault="007E0933" w:rsidP="00A806D9">
      <w:pPr>
        <w:spacing w:before="120" w:after="120"/>
        <w:ind w:right="-7"/>
        <w:jc w:val="both"/>
        <w:rPr>
          <w:rFonts w:ascii="Palatino Linotype" w:hAnsi="Palatino Linotype" w:cstheme="minorBidi"/>
          <w:i/>
          <w:color w:val="000000" w:themeColor="text1"/>
          <w:lang w:val="es-ES_tradnl" w:eastAsia="es-ES"/>
        </w:rPr>
      </w:pPr>
      <w:r w:rsidRPr="00252BF8">
        <w:rPr>
          <w:rFonts w:ascii="Palatino Linotype" w:hAnsi="Palatino Linotype" w:cs="Arial"/>
          <w:i/>
          <w:color w:val="000000" w:themeColor="text1"/>
          <w:lang w:val="es-ES_tradnl" w:eastAsia="es-ES"/>
        </w:rPr>
        <w:t>[…]</w:t>
      </w:r>
    </w:p>
    <w:p w:rsidR="007E0933" w:rsidRPr="00252BF8" w:rsidRDefault="007E0933" w:rsidP="00A806D9">
      <w:pPr>
        <w:spacing w:before="120" w:after="120"/>
        <w:ind w:right="-7"/>
        <w:jc w:val="both"/>
        <w:rPr>
          <w:rFonts w:ascii="Palatino Linotype" w:hAnsi="Palatino Linotype" w:cs="Arial"/>
          <w:bCs/>
          <w:i/>
          <w:color w:val="000000" w:themeColor="text1"/>
          <w:lang w:val="es-ES_tradnl" w:eastAsia="es-ES"/>
        </w:rPr>
      </w:pPr>
      <w:r w:rsidRPr="00252BF8">
        <w:rPr>
          <w:rFonts w:ascii="Palatino Linotype" w:hAnsi="Palatino Linotype" w:cs="Arial"/>
          <w:b/>
          <w:bCs/>
          <w:i/>
          <w:color w:val="000000" w:themeColor="text1"/>
          <w:lang w:val="es-ES_tradnl" w:eastAsia="es-ES"/>
        </w:rPr>
        <w:t xml:space="preserve">XXXII. Remuneración: </w:t>
      </w:r>
      <w:r w:rsidRPr="00252BF8">
        <w:rPr>
          <w:rFonts w:ascii="Palatino Linotype" w:hAnsi="Palatino Linotype" w:cs="Arial"/>
          <w:bCs/>
          <w:i/>
          <w:color w:val="000000" w:themeColor="text1"/>
          <w:lang w:val="es-ES_tradnl" w:eastAsia="es-ES"/>
        </w:rPr>
        <w:t xml:space="preserve">A los pagos hechos por concepto de sueldo, compensaciones, gratificaciones, habitación, primas, comisiones, prestaciones en especie y cualquier otra percepción o </w:t>
      </w:r>
      <w:r w:rsidRPr="00252BF8">
        <w:rPr>
          <w:rFonts w:ascii="Palatino Linotype" w:hAnsi="Palatino Linotype" w:cs="Arial"/>
          <w:i/>
          <w:color w:val="000000" w:themeColor="text1"/>
          <w:lang w:val="es-ES_tradnl"/>
        </w:rPr>
        <w:t>prestación</w:t>
      </w:r>
      <w:r w:rsidRPr="00252BF8">
        <w:rPr>
          <w:rFonts w:ascii="Palatino Linotype" w:hAnsi="Palatino Linotype" w:cs="Arial"/>
          <w:bCs/>
          <w:i/>
          <w:color w:val="000000" w:themeColor="text1"/>
          <w:lang w:val="es-ES_tradnl" w:eastAsia="es-ES"/>
        </w:rPr>
        <w:t xml:space="preserve"> que se entregue al servidor público por su trabajo. Esta definición no será </w:t>
      </w:r>
      <w:r w:rsidRPr="00252BF8">
        <w:rPr>
          <w:rFonts w:ascii="Palatino Linotype" w:hAnsi="Palatino Linotype" w:cs="Arial"/>
          <w:bCs/>
          <w:i/>
          <w:color w:val="000000" w:themeColor="text1"/>
          <w:lang w:val="es-ES_tradnl" w:eastAsia="es-ES"/>
        </w:rPr>
        <w:lastRenderedPageBreak/>
        <w:t>aplicable para los efectos del Impuesto sobre Erogaciones por Remuneraciones al Trabajo Personal;”</w:t>
      </w:r>
    </w:p>
    <w:p w:rsidR="007E0933" w:rsidRPr="00252BF8" w:rsidRDefault="007E0933" w:rsidP="00A806D9">
      <w:pPr>
        <w:spacing w:before="120" w:after="120"/>
        <w:ind w:right="-7"/>
        <w:jc w:val="both"/>
        <w:rPr>
          <w:rFonts w:ascii="Palatino Linotype" w:hAnsi="Palatino Linotype" w:cs="Arial"/>
          <w:bCs/>
          <w:i/>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t xml:space="preserve">Al respecto, la Ley de Transparencia y Acceso a la Información Pública del Estado </w:t>
      </w:r>
      <w:r w:rsidRPr="00252BF8">
        <w:rPr>
          <w:rFonts w:ascii="Palatino Linotype" w:eastAsia="Palatino Linotype" w:hAnsi="Palatino Linotype" w:cs="Palatino Linotype"/>
          <w:color w:val="000000" w:themeColor="text1"/>
          <w:lang w:eastAsia="es-ES"/>
        </w:rPr>
        <w:t>de</w:t>
      </w:r>
      <w:r w:rsidRPr="00252BF8">
        <w:rPr>
          <w:rFonts w:ascii="Palatino Linotype" w:eastAsia="Calibri" w:hAnsi="Palatino Linotype" w:cs="Arial"/>
          <w:color w:val="000000" w:themeColor="text1"/>
          <w:lang w:val="es-ES_tradnl" w:eastAsia="es-ES"/>
        </w:rPr>
        <w:t xml:space="preserv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las gratificaciones solicitadas.</w:t>
      </w:r>
    </w:p>
    <w:p w:rsidR="007E0933" w:rsidRPr="00252BF8" w:rsidRDefault="007E0933" w:rsidP="00A806D9">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Palatino Linotype" w:hAnsi="Palatino Linotype" w:cs="Palatino Linotype"/>
          <w:color w:val="000000" w:themeColor="text1"/>
          <w:lang w:eastAsia="es-ES"/>
        </w:rPr>
        <w:t>Ahora</w:t>
      </w:r>
      <w:r w:rsidRPr="00252BF8">
        <w:rPr>
          <w:rFonts w:ascii="Palatino Linotype" w:eastAsia="Calibri" w:hAnsi="Palatino Linotype" w:cs="Arial"/>
          <w:color w:val="000000" w:themeColor="text1"/>
          <w:lang w:val="es-ES_tradnl" w:eastAsia="es-ES"/>
        </w:rPr>
        <w:t xml:space="preserve"> bien, tratándose de servidores públicos de los Municipios la Ley del Trabajo de los Servidores Públicos del Estado y Municipios, en su artículo 220-K fracciones II y IV y último párrafo, establecen lo siguiente:</w:t>
      </w:r>
    </w:p>
    <w:p w:rsidR="007E0933" w:rsidRPr="00252BF8" w:rsidRDefault="007E0933" w:rsidP="00A806D9">
      <w:pPr>
        <w:spacing w:before="160" w:after="160"/>
        <w:ind w:right="-7"/>
        <w:jc w:val="both"/>
        <w:rPr>
          <w:rFonts w:ascii="Palatino Linotype" w:hAnsi="Palatino Linotype" w:cstheme="minorBidi"/>
          <w:bCs/>
          <w:i/>
          <w:color w:val="000000" w:themeColor="text1"/>
          <w:lang w:val="es-ES_tradnl" w:eastAsia="es-ES"/>
        </w:rPr>
      </w:pPr>
      <w:r w:rsidRPr="00252BF8">
        <w:rPr>
          <w:rFonts w:ascii="Palatino Linotype" w:hAnsi="Palatino Linotype" w:cstheme="minorBidi"/>
          <w:bCs/>
          <w:i/>
          <w:color w:val="000000" w:themeColor="text1"/>
          <w:lang w:val="es-ES_tradnl" w:eastAsia="es-ES"/>
        </w:rPr>
        <w:t>“</w:t>
      </w:r>
      <w:r w:rsidRPr="00252BF8">
        <w:rPr>
          <w:rFonts w:ascii="Palatino Linotype" w:hAnsi="Palatino Linotype" w:cstheme="minorBidi"/>
          <w:b/>
          <w:bCs/>
          <w:i/>
          <w:color w:val="000000" w:themeColor="text1"/>
          <w:lang w:val="es-ES_tradnl" w:eastAsia="es-ES"/>
        </w:rPr>
        <w:t>ARTÍCULO 220 K.-</w:t>
      </w:r>
      <w:r w:rsidRPr="00252BF8">
        <w:rPr>
          <w:rFonts w:ascii="Palatino Linotype" w:hAnsi="Palatino Linotype" w:cstheme="minorBidi"/>
          <w:bCs/>
          <w:i/>
          <w:color w:val="000000" w:themeColor="text1"/>
          <w:lang w:val="es-ES_tradnl" w:eastAsia="es-ES"/>
        </w:rPr>
        <w:t xml:space="preserve"> La </w:t>
      </w:r>
      <w:r w:rsidRPr="00252BF8">
        <w:rPr>
          <w:rFonts w:ascii="Palatino Linotype" w:hAnsi="Palatino Linotype" w:cs="Arial"/>
          <w:i/>
          <w:color w:val="000000" w:themeColor="text1"/>
          <w:lang w:val="es-ES_tradnl"/>
        </w:rPr>
        <w:t>institución</w:t>
      </w:r>
      <w:r w:rsidRPr="00252BF8">
        <w:rPr>
          <w:rFonts w:ascii="Palatino Linotype" w:hAnsi="Palatino Linotype" w:cstheme="minorBidi"/>
          <w:bCs/>
          <w:i/>
          <w:color w:val="000000" w:themeColor="text1"/>
          <w:lang w:val="es-ES_tradnl" w:eastAsia="es-ES"/>
        </w:rPr>
        <w:t xml:space="preserve"> o dependencia pública tiene la obligación de conservar y exhibir en el proceso los documentos que a continuación se precisan:</w:t>
      </w:r>
    </w:p>
    <w:p w:rsidR="007E0933" w:rsidRPr="00252BF8" w:rsidRDefault="007E0933" w:rsidP="00A806D9">
      <w:pPr>
        <w:spacing w:before="160" w:after="160"/>
        <w:ind w:right="-7"/>
        <w:jc w:val="both"/>
        <w:rPr>
          <w:rFonts w:ascii="Palatino Linotype" w:hAnsi="Palatino Linotype" w:cstheme="minorBidi"/>
          <w:i/>
          <w:color w:val="000000" w:themeColor="text1"/>
          <w:lang w:val="es-ES_tradnl" w:eastAsia="es-ES"/>
        </w:rPr>
      </w:pPr>
      <w:r w:rsidRPr="00252BF8">
        <w:rPr>
          <w:rFonts w:ascii="Palatino Linotype" w:hAnsi="Palatino Linotype" w:cs="Arial"/>
          <w:i/>
          <w:color w:val="000000" w:themeColor="text1"/>
          <w:lang w:val="es-ES_tradnl" w:eastAsia="es-ES"/>
        </w:rPr>
        <w:t>[…]</w:t>
      </w:r>
    </w:p>
    <w:p w:rsidR="007E0933" w:rsidRPr="00252BF8" w:rsidRDefault="007E0933" w:rsidP="00A806D9">
      <w:pPr>
        <w:spacing w:before="160" w:after="160"/>
        <w:ind w:right="-7"/>
        <w:jc w:val="both"/>
        <w:rPr>
          <w:rFonts w:ascii="Palatino Linotype" w:hAnsi="Palatino Linotype" w:cstheme="minorBidi"/>
          <w:bCs/>
          <w:i/>
          <w:color w:val="000000" w:themeColor="text1"/>
          <w:lang w:val="es-ES_tradnl" w:eastAsia="es-ES"/>
        </w:rPr>
      </w:pPr>
      <w:r w:rsidRPr="00252BF8">
        <w:rPr>
          <w:rFonts w:ascii="Palatino Linotype" w:hAnsi="Palatino Linotype" w:cstheme="minorBidi"/>
          <w:b/>
          <w:bCs/>
          <w:i/>
          <w:color w:val="000000" w:themeColor="text1"/>
          <w:lang w:val="es-ES_tradnl" w:eastAsia="es-ES"/>
        </w:rPr>
        <w:t>IV.</w:t>
      </w:r>
      <w:r w:rsidRPr="00252BF8">
        <w:rPr>
          <w:rFonts w:ascii="Palatino Linotype" w:hAnsi="Palatino Linotype" w:cstheme="minorBidi"/>
          <w:bCs/>
          <w:i/>
          <w:color w:val="000000" w:themeColor="text1"/>
          <w:lang w:val="es-ES_tradnl" w:eastAsia="es-ES"/>
        </w:rPr>
        <w:t xml:space="preserve"> </w:t>
      </w:r>
      <w:r w:rsidRPr="00252BF8">
        <w:rPr>
          <w:rFonts w:ascii="Palatino Linotype" w:hAnsi="Palatino Linotype" w:cstheme="minorBidi"/>
          <w:b/>
          <w:bCs/>
          <w:i/>
          <w:color w:val="000000" w:themeColor="text1"/>
          <w:u w:val="single"/>
          <w:lang w:val="es-ES_tradnl" w:eastAsia="es-ES"/>
        </w:rPr>
        <w:t>Recibos o las constancias de depósito o del medio de información magnética o electrónica que sean utilizadas para el pago de</w:t>
      </w:r>
      <w:r w:rsidRPr="00252BF8">
        <w:rPr>
          <w:rFonts w:ascii="Palatino Linotype" w:hAnsi="Palatino Linotype" w:cstheme="minorBidi"/>
          <w:bCs/>
          <w:i/>
          <w:color w:val="000000" w:themeColor="text1"/>
          <w:lang w:val="es-ES_tradnl" w:eastAsia="es-ES"/>
        </w:rPr>
        <w:t xml:space="preserve"> salarios, prima vacacional,</w:t>
      </w:r>
      <w:r w:rsidRPr="00252BF8">
        <w:rPr>
          <w:rFonts w:ascii="Palatino Linotype" w:hAnsi="Palatino Linotype" w:cstheme="minorBidi"/>
          <w:b/>
          <w:bCs/>
          <w:i/>
          <w:color w:val="000000" w:themeColor="text1"/>
          <w:u w:val="single"/>
          <w:lang w:val="es-ES_tradnl" w:eastAsia="es-ES"/>
        </w:rPr>
        <w:t xml:space="preserve"> aguinaldo y demás prestaciones</w:t>
      </w:r>
      <w:r w:rsidRPr="00252BF8">
        <w:rPr>
          <w:rFonts w:ascii="Palatino Linotype" w:hAnsi="Palatino Linotype" w:cstheme="minorBidi"/>
          <w:bCs/>
          <w:i/>
          <w:color w:val="000000" w:themeColor="text1"/>
          <w:lang w:val="es-ES_tradnl" w:eastAsia="es-ES"/>
        </w:rPr>
        <w:t xml:space="preserve"> establecidas en la presente ley; y</w:t>
      </w:r>
    </w:p>
    <w:p w:rsidR="007E0933" w:rsidRPr="00252BF8" w:rsidRDefault="007E0933" w:rsidP="00A806D9">
      <w:pPr>
        <w:spacing w:before="160" w:after="160"/>
        <w:ind w:right="-7"/>
        <w:jc w:val="both"/>
        <w:rPr>
          <w:rFonts w:ascii="Palatino Linotype" w:hAnsi="Palatino Linotype" w:cstheme="minorBidi"/>
          <w:bCs/>
          <w:i/>
          <w:color w:val="000000" w:themeColor="text1"/>
          <w:lang w:val="es-ES_tradnl" w:eastAsia="es-ES"/>
        </w:rPr>
      </w:pPr>
      <w:r w:rsidRPr="00252BF8">
        <w:rPr>
          <w:rFonts w:ascii="Palatino Linotype" w:hAnsi="Palatino Linotype" w:cstheme="minorBidi"/>
          <w:bCs/>
          <w:i/>
          <w:color w:val="000000" w:themeColor="text1"/>
          <w:lang w:val="es-ES_tradnl" w:eastAsia="es-ES"/>
        </w:rPr>
        <w:t xml:space="preserve">Los documentos señalados en la fracción I de este artículo, deberán conservarse mientras dure la relación laboral y hasta un año </w:t>
      </w:r>
      <w:r w:rsidRPr="00252BF8">
        <w:rPr>
          <w:rFonts w:ascii="Palatino Linotype" w:hAnsi="Palatino Linotype" w:cs="Arial"/>
          <w:i/>
          <w:color w:val="000000" w:themeColor="text1"/>
          <w:lang w:val="es-ES_tradnl"/>
        </w:rPr>
        <w:t>después</w:t>
      </w:r>
      <w:r w:rsidRPr="00252BF8">
        <w:rPr>
          <w:rFonts w:ascii="Palatino Linotype" w:hAnsi="Palatino Linotype" w:cstheme="minorBidi"/>
          <w:bCs/>
          <w:i/>
          <w:color w:val="000000" w:themeColor="text1"/>
          <w:lang w:val="es-ES_tradnl" w:eastAsia="es-ES"/>
        </w:rPr>
        <w:t xml:space="preserve">; los señalados por las fracciones </w:t>
      </w:r>
      <w:r w:rsidRPr="00252BF8">
        <w:rPr>
          <w:rFonts w:ascii="Palatino Linotype" w:hAnsi="Palatino Linotype" w:cstheme="minorBidi"/>
          <w:b/>
          <w:bCs/>
          <w:i/>
          <w:color w:val="000000" w:themeColor="text1"/>
          <w:u w:val="single"/>
          <w:lang w:val="es-ES_tradnl" w:eastAsia="es-ES"/>
        </w:rPr>
        <w:t>II, III, IV durante el último año y un año después de que se extinga la relación laboral</w:t>
      </w:r>
      <w:r w:rsidRPr="00252BF8">
        <w:rPr>
          <w:rFonts w:ascii="Palatino Linotype" w:hAnsi="Palatino Linotype" w:cstheme="minorBidi"/>
          <w:b/>
          <w:bCs/>
          <w:i/>
          <w:color w:val="000000" w:themeColor="text1"/>
          <w:lang w:val="es-ES_tradnl" w:eastAsia="es-ES"/>
        </w:rPr>
        <w:t>,</w:t>
      </w:r>
      <w:r w:rsidRPr="00252BF8">
        <w:rPr>
          <w:rFonts w:ascii="Palatino Linotype" w:hAnsi="Palatino Linotype" w:cstheme="minorBidi"/>
          <w:bCs/>
          <w:i/>
          <w:color w:val="000000" w:themeColor="text1"/>
          <w:lang w:val="es-ES_tradnl" w:eastAsia="es-ES"/>
        </w:rPr>
        <w:t xml:space="preserve"> y los mencionados en la fracción V, conforme lo señalen las leyes que los rijan.</w:t>
      </w:r>
    </w:p>
    <w:p w:rsidR="007E0933" w:rsidRPr="00252BF8" w:rsidRDefault="007E0933" w:rsidP="00A806D9">
      <w:pPr>
        <w:spacing w:before="160" w:after="160"/>
        <w:ind w:right="-7"/>
        <w:jc w:val="both"/>
        <w:rPr>
          <w:rFonts w:ascii="Palatino Linotype" w:hAnsi="Palatino Linotype" w:cstheme="minorBidi"/>
          <w:bCs/>
          <w:i/>
          <w:color w:val="000000" w:themeColor="text1"/>
          <w:lang w:val="es-ES_tradnl" w:eastAsia="es-ES"/>
        </w:rPr>
      </w:pPr>
      <w:r w:rsidRPr="00252BF8">
        <w:rPr>
          <w:rFonts w:ascii="Palatino Linotype" w:hAnsi="Palatino Linotype" w:cstheme="minorBidi"/>
          <w:bCs/>
          <w:i/>
          <w:color w:val="000000" w:themeColor="text1"/>
          <w:lang w:val="es-ES_tradnl" w:eastAsia="es-E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7E0933" w:rsidRPr="00252BF8" w:rsidRDefault="007E0933" w:rsidP="00A806D9">
      <w:pPr>
        <w:spacing w:before="160" w:after="160"/>
        <w:ind w:right="-7"/>
        <w:jc w:val="both"/>
        <w:rPr>
          <w:rFonts w:ascii="Palatino Linotype" w:hAnsi="Palatino Linotype" w:cstheme="minorBidi"/>
          <w:bCs/>
          <w:i/>
          <w:color w:val="000000" w:themeColor="text1"/>
          <w:lang w:val="es-ES_tradnl" w:eastAsia="es-ES"/>
        </w:rPr>
      </w:pPr>
      <w:r w:rsidRPr="00252BF8">
        <w:rPr>
          <w:rFonts w:ascii="Palatino Linotype" w:hAnsi="Palatino Linotype" w:cstheme="minorBidi"/>
          <w:bCs/>
          <w:i/>
          <w:color w:val="000000" w:themeColor="text1"/>
          <w:lang w:val="es-ES_tradnl" w:eastAsia="es-ES"/>
        </w:rPr>
        <w:lastRenderedPageBreak/>
        <w:t xml:space="preserve">El </w:t>
      </w:r>
      <w:r w:rsidRPr="00252BF8">
        <w:rPr>
          <w:rFonts w:ascii="Palatino Linotype" w:hAnsi="Palatino Linotype" w:cs="Arial"/>
          <w:i/>
          <w:color w:val="000000" w:themeColor="text1"/>
          <w:lang w:val="es-ES_tradnl"/>
        </w:rPr>
        <w:t>incumplimiento</w:t>
      </w:r>
      <w:r w:rsidRPr="00252BF8">
        <w:rPr>
          <w:rFonts w:ascii="Palatino Linotype" w:hAnsi="Palatino Linotype" w:cstheme="minorBidi"/>
          <w:bCs/>
          <w:i/>
          <w:color w:val="000000" w:themeColor="text1"/>
          <w:lang w:val="es-ES_tradnl" w:eastAsia="es-ES"/>
        </w:rPr>
        <w:t xml:space="preserve"> por lo dispuesto por este artículo, establecerá la presunción de ser ciertos los hechos que el actor exprese en su demanda, en relación con tales documentos, salvo prueba en contrario.”</w:t>
      </w:r>
    </w:p>
    <w:p w:rsidR="007E0933" w:rsidRPr="00252BF8" w:rsidRDefault="007E0933" w:rsidP="00A806D9">
      <w:pPr>
        <w:spacing w:before="160" w:after="160"/>
        <w:ind w:right="-7"/>
        <w:jc w:val="both"/>
        <w:rPr>
          <w:rFonts w:ascii="Palatino Linotype" w:hAnsi="Palatino Linotype" w:cs="Arial"/>
          <w:color w:val="000000" w:themeColor="text1"/>
          <w:lang w:val="es-ES_tradnl"/>
        </w:rPr>
      </w:pPr>
      <w:r w:rsidRPr="00252BF8">
        <w:rPr>
          <w:rFonts w:ascii="Palatino Linotype" w:hAnsi="Palatino Linotype" w:cs="Arial"/>
          <w:color w:val="000000" w:themeColor="text1"/>
          <w:lang w:val="es-ES_tradnl"/>
        </w:rPr>
        <w:t>(Énfasis añadido)</w:t>
      </w:r>
    </w:p>
    <w:p w:rsidR="007E0933" w:rsidRPr="00252BF8" w:rsidRDefault="007E0933" w:rsidP="00A806D9">
      <w:pPr>
        <w:spacing w:before="160" w:after="160"/>
        <w:ind w:right="-7"/>
        <w:jc w:val="both"/>
        <w:rPr>
          <w:rFonts w:ascii="Palatino Linotype" w:hAnsi="Palatino Linotype" w:cs="Arial"/>
          <w:color w:val="000000" w:themeColor="text1"/>
          <w:lang w:val="es-ES_tradnl"/>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7E0933" w:rsidRPr="00252BF8" w:rsidRDefault="007E0933" w:rsidP="00A806D9">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Palatino Linotype" w:hAnsi="Palatino Linotype" w:cs="Palatino Linotype"/>
          <w:color w:val="000000" w:themeColor="text1"/>
          <w:lang w:eastAsia="es-ES"/>
        </w:rPr>
        <w:t>Ahora</w:t>
      </w:r>
      <w:r w:rsidRPr="00252BF8">
        <w:rPr>
          <w:rFonts w:ascii="Palatino Linotype" w:eastAsia="Calibri" w:hAnsi="Palatino Linotype" w:cs="Arial"/>
          <w:color w:val="000000" w:themeColor="text1"/>
          <w:lang w:val="es-ES_tradnl" w:eastAsia="es-ES"/>
        </w:rPr>
        <w:t xml:space="preserve"> bien, el artículo 350 del Código Financiero del Estado de México dispone lo que se transcribe a continuación:</w:t>
      </w:r>
    </w:p>
    <w:p w:rsidR="007E0933" w:rsidRPr="00252BF8" w:rsidRDefault="007E0933" w:rsidP="00A806D9">
      <w:pPr>
        <w:spacing w:before="120" w:after="120"/>
        <w:ind w:right="-7"/>
        <w:jc w:val="both"/>
        <w:rPr>
          <w:rFonts w:ascii="Palatino Linotype" w:hAnsi="Palatino Linotype" w:cs="Arial"/>
          <w:bCs/>
          <w:i/>
          <w:color w:val="000000" w:themeColor="text1"/>
          <w:lang w:val="es-ES_tradnl" w:eastAsia="es-ES"/>
        </w:rPr>
      </w:pPr>
      <w:r w:rsidRPr="00252BF8">
        <w:rPr>
          <w:rFonts w:ascii="Palatino Linotype" w:hAnsi="Palatino Linotype" w:cstheme="minorBidi"/>
          <w:i/>
          <w:color w:val="000000" w:themeColor="text1"/>
          <w:lang w:val="es-ES_tradnl" w:eastAsia="es-ES"/>
        </w:rPr>
        <w:t>“</w:t>
      </w:r>
      <w:r w:rsidRPr="00252BF8">
        <w:rPr>
          <w:rFonts w:ascii="Palatino Linotype" w:hAnsi="Palatino Linotype" w:cstheme="minorBidi"/>
          <w:b/>
          <w:i/>
          <w:color w:val="000000" w:themeColor="text1"/>
          <w:lang w:val="es-ES_tradnl" w:eastAsia="es-ES"/>
        </w:rPr>
        <w:t>Artículo 350.-</w:t>
      </w:r>
      <w:r w:rsidRPr="00252BF8">
        <w:rPr>
          <w:rFonts w:ascii="Palatino Linotype" w:hAnsi="Palatino Linotype" w:cstheme="minorBidi"/>
          <w:i/>
          <w:color w:val="000000" w:themeColor="text1"/>
          <w:lang w:val="es-ES_tradnl" w:eastAsia="es-ES"/>
        </w:rPr>
        <w:t xml:space="preserve"> Mensualmente </w:t>
      </w:r>
      <w:r w:rsidRPr="00252BF8">
        <w:rPr>
          <w:rFonts w:ascii="Palatino Linotype" w:hAnsi="Palatino Linotype" w:cstheme="minorBidi"/>
          <w:b/>
          <w:i/>
          <w:color w:val="000000" w:themeColor="text1"/>
          <w:u w:val="single"/>
          <w:lang w:val="es-ES_tradnl" w:eastAsia="es-ES"/>
        </w:rPr>
        <w:t>dentro de los primeros veinte días hábiles</w:t>
      </w:r>
      <w:r w:rsidRPr="00252BF8">
        <w:rPr>
          <w:rFonts w:ascii="Palatino Linotype" w:hAnsi="Palatino Linotype" w:cstheme="minorBidi"/>
          <w:i/>
          <w:color w:val="000000" w:themeColor="text1"/>
          <w:lang w:val="es-ES_tradnl" w:eastAsia="es-ES"/>
        </w:rPr>
        <w:t xml:space="preserve">, la Secretaría y </w:t>
      </w:r>
      <w:r w:rsidRPr="00252BF8">
        <w:rPr>
          <w:rFonts w:ascii="Palatino Linotype" w:hAnsi="Palatino Linotype" w:cstheme="minorBidi"/>
          <w:b/>
          <w:i/>
          <w:color w:val="000000" w:themeColor="text1"/>
          <w:u w:val="single"/>
          <w:lang w:val="es-ES_tradnl" w:eastAsia="es-ES"/>
        </w:rPr>
        <w:t xml:space="preserve">las Tesorerías, enviarán para su análisis y evaluación al Órgano Superior de </w:t>
      </w:r>
      <w:r w:rsidRPr="00252BF8">
        <w:rPr>
          <w:rFonts w:ascii="Palatino Linotype" w:hAnsi="Palatino Linotype" w:cs="Arial"/>
          <w:b/>
          <w:bCs/>
          <w:i/>
          <w:color w:val="000000" w:themeColor="text1"/>
          <w:u w:val="single"/>
          <w:lang w:val="es-ES_tradnl" w:eastAsia="es-ES"/>
        </w:rPr>
        <w:t>Fiscalización del Estado de México, la siguiente información</w:t>
      </w:r>
      <w:r w:rsidRPr="00252BF8">
        <w:rPr>
          <w:rFonts w:ascii="Palatino Linotype" w:hAnsi="Palatino Linotype" w:cs="Arial"/>
          <w:bCs/>
          <w:i/>
          <w:color w:val="000000" w:themeColor="text1"/>
          <w:lang w:val="es-ES_tradnl" w:eastAsia="es-ES"/>
        </w:rPr>
        <w:t xml:space="preserve">: </w:t>
      </w:r>
    </w:p>
    <w:p w:rsidR="007E0933" w:rsidRPr="00252BF8" w:rsidRDefault="007E0933" w:rsidP="00A806D9">
      <w:pPr>
        <w:spacing w:before="120" w:after="120"/>
        <w:ind w:right="-7"/>
        <w:jc w:val="both"/>
        <w:rPr>
          <w:rFonts w:ascii="Palatino Linotype" w:hAnsi="Palatino Linotype" w:cstheme="minorBidi"/>
          <w:i/>
          <w:color w:val="000000" w:themeColor="text1"/>
          <w:lang w:val="es-ES_tradnl" w:eastAsia="es-ES"/>
        </w:rPr>
      </w:pPr>
      <w:r w:rsidRPr="00252BF8">
        <w:rPr>
          <w:rFonts w:ascii="Palatino Linotype" w:hAnsi="Palatino Linotype" w:cs="Arial"/>
          <w:i/>
          <w:color w:val="000000" w:themeColor="text1"/>
          <w:lang w:val="es-ES_tradnl" w:eastAsia="es-ES"/>
        </w:rPr>
        <w:t>[…]</w:t>
      </w:r>
    </w:p>
    <w:p w:rsidR="007E0933" w:rsidRPr="00252BF8" w:rsidRDefault="007E0933" w:rsidP="00A806D9">
      <w:pPr>
        <w:spacing w:before="120" w:after="120"/>
        <w:ind w:right="-7"/>
        <w:jc w:val="both"/>
        <w:rPr>
          <w:rFonts w:ascii="Palatino Linotype" w:hAnsi="Palatino Linotype" w:cs="Arial"/>
          <w:bCs/>
          <w:i/>
          <w:color w:val="000000" w:themeColor="text1"/>
          <w:lang w:val="es-ES_tradnl" w:eastAsia="es-ES"/>
        </w:rPr>
      </w:pPr>
      <w:r w:rsidRPr="00252BF8">
        <w:rPr>
          <w:rFonts w:ascii="Palatino Linotype" w:hAnsi="Palatino Linotype" w:cs="Arial"/>
          <w:b/>
          <w:bCs/>
          <w:i/>
          <w:color w:val="000000" w:themeColor="text1"/>
          <w:lang w:val="es-ES_tradnl" w:eastAsia="es-ES"/>
        </w:rPr>
        <w:t xml:space="preserve">IV. </w:t>
      </w:r>
      <w:r w:rsidRPr="00252BF8">
        <w:rPr>
          <w:rFonts w:ascii="Palatino Linotype" w:hAnsi="Palatino Linotype" w:cs="Arial"/>
          <w:b/>
          <w:bCs/>
          <w:i/>
          <w:color w:val="000000" w:themeColor="text1"/>
          <w:u w:val="single"/>
          <w:lang w:val="es-ES_tradnl" w:eastAsia="es-ES"/>
        </w:rPr>
        <w:t>Información de nómina</w:t>
      </w:r>
      <w:r w:rsidRPr="00252BF8">
        <w:rPr>
          <w:rFonts w:ascii="Palatino Linotype" w:hAnsi="Palatino Linotype" w:cs="Arial"/>
          <w:bCs/>
          <w:i/>
          <w:color w:val="000000" w:themeColor="text1"/>
          <w:lang w:val="es-ES_tradnl" w:eastAsia="es-ES"/>
        </w:rPr>
        <w:t>.”</w:t>
      </w:r>
    </w:p>
    <w:p w:rsidR="007E0933" w:rsidRPr="00252BF8" w:rsidRDefault="007E0933" w:rsidP="00A806D9">
      <w:pPr>
        <w:spacing w:before="120" w:after="120"/>
        <w:ind w:right="-7"/>
        <w:jc w:val="both"/>
        <w:rPr>
          <w:rFonts w:ascii="Palatino Linotype" w:hAnsi="Palatino Linotype" w:cs="Arial"/>
          <w:color w:val="000000" w:themeColor="text1"/>
          <w:lang w:val="es-ES_tradnl" w:eastAsia="es-ES"/>
        </w:rPr>
      </w:pPr>
      <w:r w:rsidRPr="00252BF8">
        <w:rPr>
          <w:rFonts w:ascii="Palatino Linotype" w:hAnsi="Palatino Linotype" w:cs="Arial"/>
          <w:color w:val="000000" w:themeColor="text1"/>
          <w:lang w:val="es-ES_tradnl" w:eastAsia="es-ES"/>
        </w:rPr>
        <w:t>(Énfasis añadido)</w:t>
      </w:r>
    </w:p>
    <w:p w:rsidR="007E0933" w:rsidRPr="00252BF8" w:rsidRDefault="007E0933" w:rsidP="00A806D9">
      <w:pPr>
        <w:spacing w:before="120" w:after="120"/>
        <w:ind w:right="-7"/>
        <w:jc w:val="both"/>
        <w:rPr>
          <w:rFonts w:ascii="Palatino Linotype" w:hAnsi="Palatino Linotype" w:cs="Arial"/>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t xml:space="preserve">De igual forma, las disposiciones administrativas que rigen a las Entidades </w:t>
      </w:r>
      <w:r w:rsidRPr="00252BF8">
        <w:rPr>
          <w:rFonts w:ascii="Palatino Linotype" w:eastAsia="Palatino Linotype" w:hAnsi="Palatino Linotype" w:cs="Palatino Linotype"/>
          <w:color w:val="000000" w:themeColor="text1"/>
          <w:lang w:eastAsia="es-ES"/>
        </w:rPr>
        <w:t>Fiscalizables</w:t>
      </w:r>
      <w:r w:rsidRPr="00252BF8">
        <w:rPr>
          <w:rFonts w:ascii="Palatino Linotype" w:eastAsia="Calibri" w:hAnsi="Palatino Linotype" w:cs="Arial"/>
          <w:color w:val="000000" w:themeColor="text1"/>
          <w:lang w:val="es-ES_tradnl" w:eastAsia="es-ES"/>
        </w:rPr>
        <w:t xml:space="preserve"> en el Estado de México, se encuentran los Lineamientos para la integración del Informe Mensual emitidos anualmente por el Órgano Superior de Fiscalización del </w:t>
      </w:r>
      <w:r w:rsidRPr="00252BF8">
        <w:rPr>
          <w:rFonts w:ascii="Palatino Linotype" w:eastAsia="Calibri" w:hAnsi="Palatino Linotype" w:cs="Arial"/>
          <w:color w:val="000000" w:themeColor="text1"/>
          <w:lang w:val="es-ES_tradnl" w:eastAsia="es-ES"/>
        </w:rPr>
        <w:lastRenderedPageBreak/>
        <w:t>Estado de México (OSFEM) en ejercicio de sus atribuciones, los cuales representan una herramienta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rsidR="007E0933" w:rsidRPr="00252BF8" w:rsidRDefault="007E0933" w:rsidP="00A806D9">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t xml:space="preserve">Así, los Lineamientos en comento sirven para definir los criterios, formatos y documentación necesaria para presentar los informes mensuales. Entre los criterios que se manejan en tales Lineamientos esta aquel que se refiere a la integración de información de nómina, tal y como se muestra en la siguiente captura: </w:t>
      </w:r>
    </w:p>
    <w:p w:rsidR="007E0933" w:rsidRPr="00252BF8" w:rsidRDefault="007E0933" w:rsidP="00A806D9">
      <w:pPr>
        <w:spacing w:line="360" w:lineRule="auto"/>
        <w:ind w:right="-7"/>
        <w:contextualSpacing/>
        <w:jc w:val="center"/>
        <w:rPr>
          <w:rFonts w:ascii="Palatino Linotype" w:hAnsi="Palatino Linotype" w:cs="Arial"/>
          <w:color w:val="000000" w:themeColor="text1"/>
          <w:lang w:val="es-ES" w:eastAsia="es-ES"/>
        </w:rPr>
      </w:pPr>
      <w:r w:rsidRPr="00252BF8">
        <w:rPr>
          <w:rFonts w:ascii="Palatino Linotype" w:hAnsi="Palatino Linotype" w:cs="Arial"/>
          <w:noProof/>
          <w:color w:val="000000" w:themeColor="text1"/>
        </w:rPr>
        <w:drawing>
          <wp:inline distT="0" distB="0" distL="0" distR="0" wp14:anchorId="431B0DC9" wp14:editId="7FECA558">
            <wp:extent cx="4257446" cy="2675686"/>
            <wp:effectExtent l="152400" t="152400" r="353060" b="3536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05316" cy="2705771"/>
                    </a:xfrm>
                    <a:prstGeom prst="rect">
                      <a:avLst/>
                    </a:prstGeom>
                    <a:ln>
                      <a:noFill/>
                    </a:ln>
                    <a:effectLst>
                      <a:outerShdw blurRad="292100" dist="139700" dir="2700000" algn="tl" rotWithShape="0">
                        <a:srgbClr val="333333">
                          <a:alpha val="65000"/>
                        </a:srgbClr>
                      </a:outerShdw>
                    </a:effectLst>
                  </pic:spPr>
                </pic:pic>
              </a:graphicData>
            </a:graphic>
          </wp:inline>
        </w:drawing>
      </w: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lastRenderedPageBreak/>
        <w:t xml:space="preserve">De la imagen insertada, se desprende que, se puede obtener la información requerida por </w:t>
      </w:r>
      <w:r w:rsidRPr="00252BF8">
        <w:rPr>
          <w:rFonts w:ascii="Palatino Linotype" w:eastAsia="Calibri" w:hAnsi="Palatino Linotype" w:cs="Arial"/>
          <w:b/>
          <w:color w:val="000000" w:themeColor="text1"/>
          <w:lang w:val="es-ES_tradnl" w:eastAsia="es-ES"/>
        </w:rPr>
        <w:t>EL RECURRENTE</w:t>
      </w:r>
      <w:r w:rsidRPr="00252BF8">
        <w:rPr>
          <w:rFonts w:ascii="Palatino Linotype" w:eastAsia="Calibri" w:hAnsi="Palatino Linotype" w:cs="Arial"/>
          <w:color w:val="000000" w:themeColor="text1"/>
          <w:lang w:val="es-ES_tradnl" w:eastAsia="es-ES"/>
        </w:rPr>
        <w:t xml:space="preserve">; puesto que resulta claro que existe la obligación por parte del </w:t>
      </w:r>
      <w:r w:rsidRPr="00252BF8">
        <w:rPr>
          <w:rFonts w:ascii="Palatino Linotype" w:eastAsia="Calibri" w:hAnsi="Palatino Linotype" w:cs="Arial"/>
          <w:b/>
          <w:color w:val="000000" w:themeColor="text1"/>
          <w:lang w:val="es-ES_tradnl" w:eastAsia="es-ES"/>
        </w:rPr>
        <w:t>SUJETO OBLIGADO</w:t>
      </w:r>
      <w:r w:rsidRPr="00252BF8">
        <w:rPr>
          <w:rFonts w:ascii="Palatino Linotype" w:eastAsia="Calibri" w:hAnsi="Palatino Linotype" w:cs="Arial"/>
          <w:color w:val="000000" w:themeColor="text1"/>
          <w:lang w:val="es-ES_tradnl" w:eastAsia="es-ES"/>
        </w:rPr>
        <w:t xml:space="preserve">, de realizar los informes por parte de la Tesorería Municipal para que remita los reportes mensuales al Órgano Superior de Fiscalización del Estado de México de conformidad con el artículo 32 de la Ley de Fiscalización Superior del Estado de México, en los cuales se incluyen los </w:t>
      </w:r>
      <w:r w:rsidRPr="00252BF8">
        <w:rPr>
          <w:rFonts w:ascii="Palatino Linotype" w:eastAsia="Calibri" w:hAnsi="Palatino Linotype" w:cs="Arial"/>
          <w:b/>
          <w:color w:val="000000" w:themeColor="text1"/>
          <w:lang w:val="es-ES_tradnl" w:eastAsia="es-ES"/>
        </w:rPr>
        <w:t>Comprobantes Fiscales Digitales por Internet por concepto de nómina</w:t>
      </w:r>
      <w:r w:rsidRPr="00252BF8">
        <w:rPr>
          <w:rFonts w:ascii="Palatino Linotype" w:eastAsia="Calibri" w:hAnsi="Palatino Linotype" w:cs="Arial"/>
          <w:color w:val="000000" w:themeColor="text1"/>
          <w:lang w:val="es-ES_tradnl" w:eastAsia="es-ES"/>
        </w:rPr>
        <w:t xml:space="preserve">, que comprende la información relativa </w:t>
      </w:r>
      <w:r w:rsidRPr="00252BF8">
        <w:rPr>
          <w:rFonts w:ascii="Palatino Linotype" w:eastAsia="Calibri" w:hAnsi="Palatino Linotype" w:cs="Arial"/>
          <w:b/>
          <w:color w:val="000000" w:themeColor="text1"/>
          <w:lang w:val="es-ES_tradnl" w:eastAsia="es-ES"/>
        </w:rPr>
        <w:t>al pago de las remuneraciones de cada uno de los servidores públicos correspondiente a un periodo determinado, incluyendo el aguinaldo y las gratificaciones;</w:t>
      </w:r>
      <w:r w:rsidRPr="00252BF8">
        <w:rPr>
          <w:rFonts w:ascii="Palatino Linotype" w:eastAsia="Calibri" w:hAnsi="Palatino Linotype" w:cs="Arial"/>
          <w:color w:val="000000" w:themeColor="text1"/>
          <w:lang w:val="es-ES_tradnl" w:eastAsia="es-ES"/>
        </w:rPr>
        <w:t xml:space="preserve"> en consecuencia, la información solicitada puede ser colmada por el </w:t>
      </w:r>
      <w:r w:rsidRPr="00252BF8">
        <w:rPr>
          <w:rFonts w:ascii="Palatino Linotype" w:eastAsia="Calibri" w:hAnsi="Palatino Linotype" w:cs="Arial"/>
          <w:b/>
          <w:color w:val="000000" w:themeColor="text1"/>
          <w:lang w:val="es-ES_tradnl" w:eastAsia="es-ES"/>
        </w:rPr>
        <w:t xml:space="preserve">SUJETO OBLIGADO, toda vez que  los Comprobantes Fiscales Digitales por Internet se emiten quincenalmente. </w:t>
      </w:r>
    </w:p>
    <w:p w:rsidR="007E0933" w:rsidRPr="00252BF8" w:rsidRDefault="007E0933" w:rsidP="00A806D9">
      <w:pPr>
        <w:autoSpaceDE w:val="0"/>
        <w:autoSpaceDN w:val="0"/>
        <w:adjustRightInd w:val="0"/>
        <w:spacing w:before="120" w:after="120"/>
        <w:ind w:right="-7"/>
        <w:jc w:val="both"/>
        <w:rPr>
          <w:rFonts w:ascii="Palatino Linotype" w:hAnsi="Palatino Linotype" w:cstheme="minorBidi"/>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t xml:space="preserve">Sirve de sustento por analogía, para justificar la publicidad sobre los datos </w:t>
      </w:r>
      <w:r w:rsidRPr="00252BF8">
        <w:rPr>
          <w:rFonts w:ascii="Palatino Linotype" w:eastAsia="Palatino Linotype" w:hAnsi="Palatino Linotype" w:cs="Palatino Linotype"/>
          <w:color w:val="000000" w:themeColor="text1"/>
          <w:lang w:eastAsia="es-ES"/>
        </w:rPr>
        <w:t>relativos</w:t>
      </w:r>
      <w:r w:rsidRPr="00252BF8">
        <w:rPr>
          <w:rFonts w:ascii="Palatino Linotype" w:eastAsia="Calibri" w:hAnsi="Palatino Linotype" w:cs="Arial"/>
          <w:color w:val="000000" w:themeColor="text1"/>
          <w:lang w:val="es-ES_tradnl" w:eastAsia="es-ES"/>
        </w:rPr>
        <w:t xml:space="preserve"> a los montos por concepto de pago de las remuneraciones, los criterios 01/2003 y 02/2003 emitidos por el Comité de Acceso a la Información Pública y Protección de Datos Personales de la Suprema Corte de Justicia de la Nación que a continuación se citan: </w:t>
      </w:r>
    </w:p>
    <w:p w:rsidR="007E0933" w:rsidRPr="00252BF8" w:rsidRDefault="007E0933" w:rsidP="00A806D9">
      <w:pPr>
        <w:spacing w:before="160" w:after="200"/>
        <w:ind w:right="-7"/>
        <w:jc w:val="both"/>
        <w:rPr>
          <w:rFonts w:ascii="Palatino Linotype" w:hAnsi="Palatino Linotype" w:cs="Arial"/>
          <w:b/>
          <w:i/>
          <w:color w:val="000000" w:themeColor="text1"/>
          <w:lang w:val="es-ES" w:eastAsia="es-ES"/>
        </w:rPr>
      </w:pPr>
      <w:r w:rsidRPr="00252BF8">
        <w:rPr>
          <w:rFonts w:ascii="Palatino Linotype" w:hAnsi="Palatino Linotype" w:cs="Arial"/>
          <w:i/>
          <w:color w:val="000000" w:themeColor="text1"/>
          <w:lang w:val="es-ES" w:eastAsia="es-ES"/>
        </w:rPr>
        <w:t>“</w:t>
      </w:r>
      <w:r w:rsidRPr="00252BF8">
        <w:rPr>
          <w:rFonts w:ascii="Palatino Linotype" w:hAnsi="Palatino Linotype" w:cs="Arial"/>
          <w:b/>
          <w:i/>
          <w:color w:val="000000" w:themeColor="text1"/>
          <w:lang w:val="es-ES" w:eastAsia="es-ES"/>
        </w:rPr>
        <w:t>Criterio 01/2003.</w:t>
      </w:r>
    </w:p>
    <w:p w:rsidR="007E0933" w:rsidRPr="00252BF8" w:rsidRDefault="007E0933" w:rsidP="00A806D9">
      <w:pPr>
        <w:spacing w:before="160" w:after="200"/>
        <w:ind w:right="-7"/>
        <w:jc w:val="both"/>
        <w:rPr>
          <w:rFonts w:ascii="Palatino Linotype" w:hAnsi="Palatino Linotype" w:cs="Arial"/>
          <w:i/>
          <w:color w:val="000000" w:themeColor="text1"/>
          <w:lang w:val="es-ES" w:eastAsia="es-ES"/>
        </w:rPr>
      </w:pPr>
      <w:r w:rsidRPr="00252BF8">
        <w:rPr>
          <w:rFonts w:ascii="Palatino Linotype" w:hAnsi="Palatino Linotype" w:cs="Arial"/>
          <w:b/>
          <w:i/>
          <w:color w:val="000000" w:themeColor="text1"/>
          <w:lang w:val="es-ES" w:eastAsia="es-ES"/>
        </w:rPr>
        <w:t>INGRESOS DE LOS SERVIDORES PÚBLICOS. CONSTITUYEN INFORMACIÓN PÚBLICA AÚN Y CUANDO SU DIFUSIÓN PUEDE AFECTAR LA VIDA O LA SEGURIDAD DE AQUELLOS.</w:t>
      </w:r>
      <w:r w:rsidRPr="00252BF8">
        <w:rPr>
          <w:rFonts w:ascii="Palatino Linotype" w:hAnsi="Palatino Linotype" w:cs="Arial"/>
          <w:i/>
          <w:color w:val="000000" w:themeColor="text1"/>
          <w:lang w:val="es-ES" w:eastAsia="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w:t>
      </w:r>
      <w:r w:rsidRPr="00252BF8">
        <w:rPr>
          <w:rFonts w:ascii="Palatino Linotype" w:hAnsi="Palatino Linotype" w:cs="Arial"/>
          <w:i/>
          <w:color w:val="000000" w:themeColor="text1"/>
          <w:lang w:val="es-ES" w:eastAsia="es-ES"/>
        </w:rPr>
        <w:lastRenderedPageBreak/>
        <w:t xml:space="preserve">poner en riesgo la vida, la seguridad o la salud de cualquier persona, debe reconocerse que aun y  cuando en ese supuesto podría encuadrar la </w:t>
      </w:r>
      <w:r w:rsidRPr="00252BF8">
        <w:rPr>
          <w:rFonts w:ascii="Palatino Linotype" w:hAnsi="Palatino Linotype" w:cstheme="minorBidi"/>
          <w:i/>
          <w:color w:val="000000" w:themeColor="text1"/>
          <w:lang w:val="es-ES_tradnl" w:eastAsia="es-ES"/>
        </w:rPr>
        <w:t>relativa</w:t>
      </w:r>
      <w:r w:rsidRPr="00252BF8">
        <w:rPr>
          <w:rFonts w:ascii="Palatino Linotype" w:hAnsi="Palatino Linotype" w:cs="Arial"/>
          <w:i/>
          <w:color w:val="000000" w:themeColor="text1"/>
          <w:lang w:val="es-ES" w:eastAsia="es-ES"/>
        </w:rPr>
        <w:t xml:space="preserve"> a las percepciones ordinarias y extraordinaria de los servidores públicos, ello no obsta para reconocer que el legislador estableció en el artículo 7 de ese mismo ordenamiento que la referida información, como una obligación de trasparencia, </w:t>
      </w:r>
      <w:r w:rsidRPr="00252BF8">
        <w:rPr>
          <w:rFonts w:ascii="Palatino Linotype" w:hAnsi="Palatino Linotype" w:cs="Arial"/>
          <w:b/>
          <w:i/>
          <w:color w:val="000000" w:themeColor="text1"/>
          <w:lang w:val="es-ES" w:eastAsia="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w:t>
      </w:r>
      <w:proofErr w:type="gramStart"/>
      <w:r w:rsidRPr="00252BF8">
        <w:rPr>
          <w:rFonts w:ascii="Palatino Linotype" w:hAnsi="Palatino Linotype" w:cs="Arial"/>
          <w:b/>
          <w:i/>
          <w:color w:val="000000" w:themeColor="text1"/>
          <w:lang w:val="es-ES" w:eastAsia="es-ES"/>
        </w:rPr>
        <w:t xml:space="preserve">gobernados </w:t>
      </w:r>
      <w:r w:rsidRPr="00252BF8">
        <w:rPr>
          <w:rFonts w:ascii="Palatino Linotype" w:hAnsi="Palatino Linotype" w:cs="Arial"/>
          <w:i/>
          <w:color w:val="000000" w:themeColor="text1"/>
          <w:lang w:val="es-ES" w:eastAsia="es-ES"/>
        </w:rPr>
        <w:t>…”</w:t>
      </w:r>
      <w:proofErr w:type="gramEnd"/>
    </w:p>
    <w:p w:rsidR="007E0933" w:rsidRPr="00252BF8" w:rsidRDefault="007E0933" w:rsidP="00A806D9">
      <w:pPr>
        <w:spacing w:before="360" w:after="200"/>
        <w:ind w:right="-7"/>
        <w:jc w:val="both"/>
        <w:rPr>
          <w:rFonts w:ascii="Palatino Linotype" w:hAnsi="Palatino Linotype" w:cs="Arial"/>
          <w:b/>
          <w:i/>
          <w:color w:val="000000" w:themeColor="text1"/>
          <w:lang w:val="es-ES" w:eastAsia="es-ES"/>
        </w:rPr>
      </w:pPr>
      <w:r w:rsidRPr="00252BF8">
        <w:rPr>
          <w:rFonts w:ascii="Palatino Linotype" w:hAnsi="Palatino Linotype" w:cs="Arial"/>
          <w:i/>
          <w:color w:val="000000" w:themeColor="text1"/>
          <w:lang w:val="es-ES" w:eastAsia="es-ES"/>
        </w:rPr>
        <w:t>“</w:t>
      </w:r>
      <w:r w:rsidRPr="00252BF8">
        <w:rPr>
          <w:rFonts w:ascii="Palatino Linotype" w:hAnsi="Palatino Linotype" w:cstheme="minorBidi"/>
          <w:b/>
          <w:i/>
          <w:color w:val="000000" w:themeColor="text1"/>
          <w:lang w:val="es-ES_tradnl" w:eastAsia="es-ES"/>
        </w:rPr>
        <w:t>Criterio</w:t>
      </w:r>
      <w:r w:rsidRPr="00252BF8">
        <w:rPr>
          <w:rFonts w:ascii="Palatino Linotype" w:hAnsi="Palatino Linotype" w:cs="Arial"/>
          <w:b/>
          <w:i/>
          <w:color w:val="000000" w:themeColor="text1"/>
          <w:lang w:val="es-ES" w:eastAsia="es-ES"/>
        </w:rPr>
        <w:t xml:space="preserve"> 02/2003.</w:t>
      </w:r>
    </w:p>
    <w:p w:rsidR="007E0933" w:rsidRPr="00252BF8" w:rsidRDefault="007E0933" w:rsidP="00A806D9">
      <w:pPr>
        <w:spacing w:before="160" w:after="200"/>
        <w:ind w:right="-7"/>
        <w:jc w:val="both"/>
        <w:rPr>
          <w:rFonts w:ascii="Palatino Linotype" w:hAnsi="Palatino Linotype" w:cs="Arial"/>
          <w:i/>
          <w:color w:val="000000" w:themeColor="text1"/>
          <w:lang w:val="es-ES" w:eastAsia="es-ES"/>
        </w:rPr>
      </w:pPr>
      <w:r w:rsidRPr="00252BF8">
        <w:rPr>
          <w:rFonts w:ascii="Palatino Linotype" w:hAnsi="Palatino Linotype" w:cs="Arial"/>
          <w:b/>
          <w:i/>
          <w:color w:val="000000" w:themeColor="text1"/>
          <w:lang w:val="es-ES" w:eastAsia="es-ES"/>
        </w:rPr>
        <w:t>INGRESOS DE LOS SERVIDORES PÚBLICOS, SON INFORMACIÓN PÚBLICA AÚN Y CUANDO CONSTITUYEN DATOS PERSONALES QUE SE REFIEREN AL PATRIMONIO DE AQUÉLLOS.</w:t>
      </w:r>
      <w:r w:rsidRPr="00252BF8">
        <w:rPr>
          <w:rFonts w:ascii="Palatino Linotype" w:hAnsi="Palatino Linotype" w:cs="Arial"/>
          <w:i/>
          <w:color w:val="000000" w:themeColor="text1"/>
          <w:lang w:val="es-ES" w:eastAsia="es-ES"/>
        </w:rPr>
        <w:t xml:space="preserve"> De la interpretación sistemática de lo previsto en los artículos 3º, fracción II; 7º, 9º y 18, fracción II, de la Ley Federal de Transparencia y Acceso a la Información Pública Gubernamental se advierte que no constituye información </w:t>
      </w:r>
      <w:r w:rsidRPr="00252BF8">
        <w:rPr>
          <w:rFonts w:ascii="Palatino Linotype" w:hAnsi="Palatino Linotype" w:cstheme="minorBidi"/>
          <w:i/>
          <w:color w:val="000000" w:themeColor="text1"/>
          <w:lang w:val="es-ES_tradnl" w:eastAsia="es-ES"/>
        </w:rPr>
        <w:t>confidencial</w:t>
      </w:r>
      <w:r w:rsidRPr="00252BF8">
        <w:rPr>
          <w:rFonts w:ascii="Palatino Linotype" w:hAnsi="Palatino Linotype" w:cs="Arial"/>
          <w:i/>
          <w:color w:val="000000" w:themeColor="text1"/>
          <w:lang w:val="es-ES" w:eastAsia="es-ES"/>
        </w:rPr>
        <w:t xml:space="preserve"> la relativa a los ingresos que reciben los servidores públicos, ya que aun y cuando se trata de datos personales relativos a su patrimonio, para su difusión no se requiere consentimiento de aquellos, </w:t>
      </w:r>
      <w:r w:rsidRPr="00252BF8">
        <w:rPr>
          <w:rFonts w:ascii="Palatino Linotype" w:hAnsi="Palatino Linotype" w:cs="Arial"/>
          <w:b/>
          <w:i/>
          <w:color w:val="000000" w:themeColor="text1"/>
          <w:lang w:val="es-ES" w:eastAsia="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252BF8">
        <w:rPr>
          <w:rFonts w:ascii="Palatino Linotype" w:hAnsi="Palatino Linotype" w:cs="Arial"/>
          <w:i/>
          <w:color w:val="000000" w:themeColor="text1"/>
          <w:lang w:val="es-ES" w:eastAsia="es-ES"/>
        </w:rPr>
        <w:t xml:space="preserve"> el sistema de compensación …”</w:t>
      </w:r>
    </w:p>
    <w:p w:rsidR="007E0933" w:rsidRPr="00252BF8" w:rsidRDefault="007E0933" w:rsidP="00A806D9">
      <w:pPr>
        <w:spacing w:before="160" w:after="200"/>
        <w:ind w:right="-7"/>
        <w:jc w:val="both"/>
        <w:rPr>
          <w:rFonts w:ascii="Palatino Linotype" w:hAnsi="Palatino Linotype" w:cstheme="minorBidi"/>
          <w:color w:val="000000" w:themeColor="text1"/>
          <w:lang w:val="es-ES_tradnl" w:eastAsia="es-ES"/>
        </w:rPr>
      </w:pPr>
      <w:r w:rsidRPr="00252BF8">
        <w:rPr>
          <w:rFonts w:ascii="Palatino Linotype" w:hAnsi="Palatino Linotype" w:cstheme="minorBidi"/>
          <w:color w:val="000000" w:themeColor="text1"/>
          <w:lang w:val="es-ES_tradnl" w:eastAsia="es-ES"/>
        </w:rPr>
        <w:t>(Énfasis añadido)</w:t>
      </w:r>
    </w:p>
    <w:p w:rsidR="007E0933" w:rsidRPr="00252BF8" w:rsidRDefault="007E0933" w:rsidP="00A806D9">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t xml:space="preserve">Luego entonces, este Órgano Garante determina que para colmar el derecho de </w:t>
      </w:r>
      <w:r w:rsidRPr="00252BF8">
        <w:rPr>
          <w:rFonts w:ascii="Palatino Linotype" w:eastAsia="Palatino Linotype" w:hAnsi="Palatino Linotype" w:cs="Palatino Linotype"/>
          <w:color w:val="000000" w:themeColor="text1"/>
          <w:lang w:eastAsia="es-ES"/>
        </w:rPr>
        <w:t>acceso</w:t>
      </w:r>
      <w:r w:rsidRPr="00252BF8">
        <w:rPr>
          <w:rFonts w:ascii="Palatino Linotype" w:eastAsia="Calibri" w:hAnsi="Palatino Linotype" w:cs="Arial"/>
          <w:color w:val="000000" w:themeColor="text1"/>
          <w:lang w:val="es-ES_tradnl" w:eastAsia="es-ES"/>
        </w:rPr>
        <w:t xml:space="preserve"> a la información del hoy </w:t>
      </w:r>
      <w:r w:rsidRPr="00252BF8">
        <w:rPr>
          <w:rFonts w:ascii="Palatino Linotype" w:eastAsia="Calibri" w:hAnsi="Palatino Linotype" w:cs="Arial"/>
          <w:b/>
          <w:color w:val="000000" w:themeColor="text1"/>
          <w:lang w:val="es-ES_tradnl" w:eastAsia="es-ES"/>
        </w:rPr>
        <w:t>RECURRENTE, el SUJETO OBLIGADO</w:t>
      </w:r>
      <w:r w:rsidRPr="00252BF8">
        <w:rPr>
          <w:rFonts w:ascii="Palatino Linotype" w:eastAsia="Calibri" w:hAnsi="Palatino Linotype" w:cs="Arial"/>
          <w:color w:val="000000" w:themeColor="text1"/>
          <w:lang w:val="es-ES_tradnl" w:eastAsia="es-ES"/>
        </w:rPr>
        <w:t xml:space="preserve"> deberá entregar </w:t>
      </w:r>
      <w:r w:rsidR="001A0BCF" w:rsidRPr="00252BF8">
        <w:rPr>
          <w:rFonts w:ascii="Palatino Linotype" w:eastAsia="Calibri" w:hAnsi="Palatino Linotype" w:cs="Arial"/>
          <w:color w:val="000000" w:themeColor="text1"/>
          <w:lang w:val="es-ES_tradnl" w:eastAsia="es-ES"/>
        </w:rPr>
        <w:t xml:space="preserve">los recibos de </w:t>
      </w:r>
      <w:r w:rsidR="002674B2" w:rsidRPr="00252BF8">
        <w:rPr>
          <w:rFonts w:ascii="Palatino Linotype" w:eastAsia="Calibri" w:hAnsi="Palatino Linotype" w:cs="Arial"/>
          <w:color w:val="000000" w:themeColor="text1"/>
          <w:lang w:val="es-ES_tradnl" w:eastAsia="es-ES"/>
        </w:rPr>
        <w:t>nómina solicitados</w:t>
      </w:r>
      <w:r w:rsidRPr="00252BF8">
        <w:rPr>
          <w:rFonts w:ascii="Palatino Linotype" w:eastAsia="Calibri" w:hAnsi="Palatino Linotype" w:cs="Arial"/>
          <w:color w:val="000000" w:themeColor="text1"/>
          <w:lang w:val="es-ES_tradnl" w:eastAsia="es-ES"/>
        </w:rPr>
        <w:t xml:space="preserve">, toda vez que como </w:t>
      </w:r>
      <w:r w:rsidR="001A0BCF" w:rsidRPr="00252BF8">
        <w:rPr>
          <w:rFonts w:ascii="Palatino Linotype" w:eastAsia="Calibri" w:hAnsi="Palatino Linotype" w:cs="Arial"/>
          <w:color w:val="000000" w:themeColor="text1"/>
          <w:lang w:val="es-ES_tradnl" w:eastAsia="es-ES"/>
        </w:rPr>
        <w:t xml:space="preserve">se señaló </w:t>
      </w:r>
      <w:r w:rsidRPr="00252BF8">
        <w:rPr>
          <w:rFonts w:ascii="Palatino Linotype" w:eastAsia="Calibri" w:hAnsi="Palatino Linotype" w:cs="Arial"/>
          <w:color w:val="000000" w:themeColor="text1"/>
          <w:lang w:val="es-ES_tradnl" w:eastAsia="es-ES"/>
        </w:rPr>
        <w:t xml:space="preserve">en párrafos anteriores las remuneraciones forman parte de las obligaciones de transparencia común. </w:t>
      </w:r>
    </w:p>
    <w:p w:rsidR="007E0933" w:rsidRPr="00252BF8" w:rsidRDefault="007E0933" w:rsidP="00A806D9">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lastRenderedPageBreak/>
        <w:t xml:space="preserve">Ahora bien, del recibo de nómina o comprobante fiscal que entregue </w:t>
      </w:r>
      <w:r w:rsidRPr="00252BF8">
        <w:rPr>
          <w:rFonts w:ascii="Palatino Linotype" w:eastAsia="Palatino Linotype" w:hAnsi="Palatino Linotype" w:cs="Palatino Linotype"/>
          <w:color w:val="000000" w:themeColor="text1"/>
          <w:lang w:eastAsia="es-ES"/>
        </w:rPr>
        <w:t>el</w:t>
      </w:r>
      <w:r w:rsidRPr="00252BF8">
        <w:rPr>
          <w:rFonts w:ascii="Palatino Linotype" w:eastAsia="Calibri" w:hAnsi="Palatino Linotype" w:cs="Arial"/>
          <w:color w:val="000000" w:themeColor="text1"/>
          <w:lang w:val="es-ES_tradnl" w:eastAsia="es-ES"/>
        </w:rPr>
        <w:t xml:space="preserve"> </w:t>
      </w:r>
      <w:r w:rsidRPr="00252BF8">
        <w:rPr>
          <w:rFonts w:ascii="Palatino Linotype" w:eastAsia="Calibri" w:hAnsi="Palatino Linotype" w:cs="Arial"/>
          <w:b/>
          <w:color w:val="000000" w:themeColor="text1"/>
          <w:lang w:val="es-ES_tradnl" w:eastAsia="es-ES"/>
        </w:rPr>
        <w:t>SUJETO OBLIGADO</w:t>
      </w:r>
      <w:r w:rsidRPr="00252BF8">
        <w:rPr>
          <w:rFonts w:ascii="Palatino Linotype" w:eastAsia="Calibri" w:hAnsi="Palatino Linotype" w:cs="Arial"/>
          <w:color w:val="000000" w:themeColor="text1"/>
          <w:lang w:val="es-ES_tradnl" w:eastAsia="es-ES"/>
        </w:rPr>
        <w:t xml:space="preserve"> para satisfacer el derecho de acceso a la información del </w:t>
      </w:r>
      <w:r w:rsidRPr="00252BF8">
        <w:rPr>
          <w:rFonts w:ascii="Palatino Linotype" w:eastAsia="Calibri" w:hAnsi="Palatino Linotype" w:cs="Arial"/>
          <w:b/>
          <w:color w:val="000000" w:themeColor="text1"/>
          <w:lang w:val="es-ES_tradnl" w:eastAsia="es-ES"/>
        </w:rPr>
        <w:t>RECURRENTE</w:t>
      </w:r>
      <w:r w:rsidRPr="00252BF8">
        <w:rPr>
          <w:rFonts w:ascii="Palatino Linotype" w:eastAsia="Calibri" w:hAnsi="Palatino Linotype" w:cs="Arial"/>
          <w:color w:val="000000" w:themeColor="text1"/>
          <w:lang w:val="es-ES_tradnl" w:eastAsia="es-ES"/>
        </w:rPr>
        <w:t>, deberá analizar los datos personales susceptibles de ser clasificados como confidenciales.</w:t>
      </w:r>
    </w:p>
    <w:p w:rsidR="007E0933" w:rsidRPr="00252BF8" w:rsidRDefault="007E0933" w:rsidP="00A806D9">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t>En el caso específico, los recibos de nómina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y los descuentos y claves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rsidR="007E0933" w:rsidRPr="00252BF8" w:rsidRDefault="007E0933" w:rsidP="00A806D9">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t xml:space="preserve">Por </w:t>
      </w:r>
      <w:r w:rsidRPr="00252BF8">
        <w:rPr>
          <w:rFonts w:ascii="Palatino Linotype" w:eastAsia="Palatino Linotype" w:hAnsi="Palatino Linotype" w:cs="Palatino Linotype"/>
          <w:color w:val="000000" w:themeColor="text1"/>
          <w:lang w:eastAsia="es-ES"/>
        </w:rPr>
        <w:t>cuanto</w:t>
      </w:r>
      <w:r w:rsidRPr="00252BF8">
        <w:rPr>
          <w:rFonts w:ascii="Palatino Linotype" w:eastAsia="Calibri" w:hAnsi="Palatino Linotype" w:cs="Arial"/>
          <w:color w:val="000000" w:themeColor="text1"/>
          <w:lang w:val="es-ES_tradnl" w:eastAsia="es-ES"/>
        </w:rPr>
        <w:t xml:space="preserve"> hace al </w:t>
      </w:r>
      <w:r w:rsidRPr="00252BF8">
        <w:rPr>
          <w:rFonts w:ascii="Palatino Linotype" w:eastAsia="Calibri" w:hAnsi="Palatino Linotype" w:cs="Arial"/>
          <w:b/>
          <w:color w:val="000000" w:themeColor="text1"/>
          <w:lang w:val="es-ES_tradnl" w:eastAsia="es-ES"/>
        </w:rPr>
        <w:t>Registro Federal de Contribuyentes (RFC),</w:t>
      </w:r>
      <w:r w:rsidRPr="00252BF8">
        <w:rPr>
          <w:rFonts w:ascii="Palatino Linotype" w:eastAsia="Calibri" w:hAnsi="Palatino Linotype" w:cs="Arial"/>
          <w:color w:val="000000" w:themeColor="text1"/>
          <w:lang w:val="es-ES_tradnl" w:eastAsia="es-ES"/>
        </w:rPr>
        <w:t xml:space="preserve"> de las personas físicas, constituye un dato personal, pues se genera con caracteres alfanuméricos a partir del nombre y la fecha de nacimiento de cada persona, y finalmente la </w:t>
      </w:r>
      <w:proofErr w:type="spellStart"/>
      <w:r w:rsidRPr="00252BF8">
        <w:rPr>
          <w:rFonts w:ascii="Palatino Linotype" w:eastAsia="Calibri" w:hAnsi="Palatino Linotype" w:cs="Arial"/>
          <w:color w:val="000000" w:themeColor="text1"/>
          <w:lang w:val="es-ES_tradnl" w:eastAsia="es-ES"/>
        </w:rPr>
        <w:t>homoclave</w:t>
      </w:r>
      <w:proofErr w:type="spellEnd"/>
      <w:r w:rsidRPr="00252BF8">
        <w:rPr>
          <w:rFonts w:ascii="Palatino Linotype" w:eastAsia="Calibri" w:hAnsi="Palatino Linotype" w:cs="Arial"/>
          <w:color w:val="000000" w:themeColor="text1"/>
          <w:lang w:val="es-ES_tradnl" w:eastAsia="es-ES"/>
        </w:rPr>
        <w:t>, por lo que para su obtención es necesario acreditar ante la autoridad fiscal previamente la identidad de la persona, su fecha de nacimiento, entre otros aspectos.</w:t>
      </w: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lastRenderedPageBreak/>
        <w:t xml:space="preserve">Ahora bien, las personas físicas tramitan su inscripción en el registro con el </w:t>
      </w:r>
      <w:r w:rsidRPr="00252BF8">
        <w:rPr>
          <w:rFonts w:ascii="Palatino Linotype" w:eastAsia="Palatino Linotype" w:hAnsi="Palatino Linotype" w:cs="Palatino Linotype"/>
          <w:color w:val="000000" w:themeColor="text1"/>
          <w:lang w:eastAsia="es-ES"/>
        </w:rPr>
        <w:t>propósito</w:t>
      </w:r>
      <w:r w:rsidRPr="00252BF8">
        <w:rPr>
          <w:rFonts w:ascii="Palatino Linotype" w:eastAsia="Calibri" w:hAnsi="Palatino Linotype" w:cs="Arial"/>
          <w:color w:val="000000" w:themeColor="text1"/>
          <w:lang w:val="es-ES_tradnl" w:eastAsia="es-ES"/>
        </w:rPr>
        <w:t xml:space="preserve"> de realizar —mediante esa clave de identificación— operaciones o actividades de naturaleza fiscal, la cual, les permite hacerse identificables respecto de una situación fiscal determinada.</w:t>
      </w:r>
    </w:p>
    <w:p w:rsidR="007E0933" w:rsidRPr="00252BF8" w:rsidRDefault="007E0933" w:rsidP="00A806D9">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t xml:space="preserve">Lo anterior es compartido por el entonces Instituto Federal de Acceso a la </w:t>
      </w:r>
      <w:r w:rsidRPr="00252BF8">
        <w:rPr>
          <w:rFonts w:ascii="Palatino Linotype" w:eastAsia="Palatino Linotype" w:hAnsi="Palatino Linotype" w:cs="Palatino Linotype"/>
          <w:color w:val="000000" w:themeColor="text1"/>
          <w:lang w:eastAsia="es-ES"/>
        </w:rPr>
        <w:t>Información</w:t>
      </w:r>
      <w:r w:rsidRPr="00252BF8">
        <w:rPr>
          <w:rFonts w:ascii="Palatino Linotype" w:eastAsia="Calibri" w:hAnsi="Palatino Linotype" w:cs="Arial"/>
          <w:color w:val="000000" w:themeColor="text1"/>
          <w:lang w:val="es-ES_tradnl" w:eastAsia="es-ES"/>
        </w:rPr>
        <w:t xml:space="preserve"> Pública y Protección de Datos Personales (IFAI) a través del Criterio 19/17, que utilizado de manera orientadora y que a la fecha de la solicitud se encontraba vigente, el cual refiere lo siguiente:</w:t>
      </w:r>
    </w:p>
    <w:p w:rsidR="007E0933" w:rsidRPr="00252BF8" w:rsidRDefault="007E0933" w:rsidP="00A806D9">
      <w:pPr>
        <w:ind w:right="-7"/>
        <w:jc w:val="both"/>
        <w:rPr>
          <w:rFonts w:ascii="Palatino Linotype" w:eastAsia="Palatino Linotype" w:hAnsi="Palatino Linotype" w:cs="Palatino Linotype"/>
          <w:i/>
          <w:color w:val="000000" w:themeColor="text1"/>
          <w:lang w:val="es-ES_tradnl" w:eastAsia="es-ES"/>
        </w:rPr>
      </w:pPr>
      <w:r w:rsidRPr="00252BF8">
        <w:rPr>
          <w:rFonts w:ascii="Palatino Linotype" w:eastAsia="Palatino Linotype" w:hAnsi="Palatino Linotype" w:cs="Palatino Linotype"/>
          <w:b/>
          <w:i/>
          <w:color w:val="000000" w:themeColor="text1"/>
          <w:lang w:val="es-ES_tradnl" w:eastAsia="es-ES"/>
        </w:rPr>
        <w:t>“Registro Federal de Contribuyentes (RFC) de personas físicas</w:t>
      </w:r>
      <w:r w:rsidRPr="00252BF8">
        <w:rPr>
          <w:rFonts w:ascii="Palatino Linotype" w:eastAsia="Palatino Linotype" w:hAnsi="Palatino Linotype" w:cs="Palatino Linotype"/>
          <w:i/>
          <w:color w:val="000000" w:themeColor="text1"/>
          <w:lang w:val="es-ES_tradnl" w:eastAsia="es-ES"/>
        </w:rPr>
        <w:t>. El RFC es una clave de carácter fiscal, única e irrepetible, que permite identificar al titular, su edad y fecha de nacimiento, por lo que es un dato personal de carácter confidencial.”</w:t>
      </w:r>
    </w:p>
    <w:p w:rsidR="007E0933" w:rsidRPr="00252BF8" w:rsidRDefault="007E0933" w:rsidP="00A806D9">
      <w:pPr>
        <w:ind w:right="-7"/>
        <w:jc w:val="both"/>
        <w:rPr>
          <w:rFonts w:ascii="Palatino Linotype" w:eastAsia="Palatino Linotype" w:hAnsi="Palatino Linotype" w:cs="Palatino Linotype"/>
          <w:i/>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t xml:space="preserve">Así, el </w:t>
      </w:r>
      <w:r w:rsidRPr="00252BF8">
        <w:rPr>
          <w:rFonts w:ascii="Palatino Linotype" w:eastAsia="Calibri" w:hAnsi="Palatino Linotype" w:cs="Arial"/>
          <w:b/>
          <w:color w:val="000000" w:themeColor="text1"/>
          <w:lang w:val="es-ES_tradnl" w:eastAsia="es-ES"/>
        </w:rPr>
        <w:t>Registro Federal de Contribuyentes, RFC</w:t>
      </w:r>
      <w:r w:rsidRPr="00252BF8">
        <w:rPr>
          <w:rFonts w:ascii="Palatino Linotype" w:eastAsia="Calibri" w:hAnsi="Palatino Linotype" w:cs="Arial"/>
          <w:color w:val="000000" w:themeColor="text1"/>
          <w:lang w:val="es-ES_tradnl" w:eastAsia="es-ES"/>
        </w:rPr>
        <w:t xml:space="preserve">, se vincula al nombre de su titular y permite identificar la edad de la persona, su fecha de nacimiento, así como su </w:t>
      </w:r>
      <w:proofErr w:type="spellStart"/>
      <w:r w:rsidRPr="00252BF8">
        <w:rPr>
          <w:rFonts w:ascii="Palatino Linotype" w:eastAsia="Calibri" w:hAnsi="Palatino Linotype" w:cs="Arial"/>
          <w:color w:val="000000" w:themeColor="text1"/>
          <w:lang w:val="es-ES_tradnl" w:eastAsia="es-ES"/>
        </w:rPr>
        <w:t>homoclave</w:t>
      </w:r>
      <w:proofErr w:type="spellEnd"/>
      <w:r w:rsidRPr="00252BF8">
        <w:rPr>
          <w:rFonts w:ascii="Palatino Linotype" w:eastAsia="Calibri" w:hAnsi="Palatino Linotype" w:cs="Arial"/>
          <w:color w:val="000000" w:themeColor="text1"/>
          <w:lang w:val="es-ES_tradnl" w:eastAsia="es-E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7E0933" w:rsidRPr="00252BF8" w:rsidRDefault="007E0933" w:rsidP="00A806D9">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Palatino Linotype" w:hAnsi="Palatino Linotype" w:cs="Palatino Linotype"/>
          <w:color w:val="000000" w:themeColor="text1"/>
          <w:lang w:eastAsia="es-ES"/>
        </w:rPr>
        <w:t>De</w:t>
      </w:r>
      <w:r w:rsidRPr="00252BF8">
        <w:rPr>
          <w:rFonts w:ascii="Palatino Linotype" w:eastAsia="Calibri" w:hAnsi="Palatino Linotype" w:cs="Arial"/>
          <w:color w:val="000000" w:themeColor="text1"/>
          <w:lang w:val="es-ES_tradnl" w:eastAsia="es-ES"/>
        </w:rPr>
        <w:t xml:space="preserve"> igual manera la </w:t>
      </w:r>
      <w:r w:rsidRPr="00252BF8">
        <w:rPr>
          <w:rFonts w:ascii="Palatino Linotype" w:eastAsia="Calibri" w:hAnsi="Palatino Linotype" w:cs="Arial"/>
          <w:b/>
          <w:color w:val="000000" w:themeColor="text1"/>
          <w:lang w:val="es-ES_tradnl" w:eastAsia="es-ES"/>
        </w:rPr>
        <w:t>Clave Única de Registro de Población (CURP),</w:t>
      </w:r>
      <w:r w:rsidRPr="00252BF8">
        <w:rPr>
          <w:rFonts w:ascii="Palatino Linotype" w:eastAsia="Calibri" w:hAnsi="Palatino Linotype" w:cs="Arial"/>
          <w:color w:val="000000" w:themeColor="text1"/>
          <w:lang w:val="es-ES_tradnl" w:eastAsia="es-ES"/>
        </w:rPr>
        <w:t xml:space="preserve"> constituye un dato personal, ya que tiene como finalidad registrar a cada una de las personas que integran la población del país, con datos que permitan certificar y acreditar </w:t>
      </w:r>
      <w:r w:rsidRPr="00252BF8">
        <w:rPr>
          <w:rFonts w:ascii="Palatino Linotype" w:eastAsia="Calibri" w:hAnsi="Palatino Linotype" w:cs="Arial"/>
          <w:color w:val="000000" w:themeColor="text1"/>
          <w:lang w:val="es-ES_tradnl" w:eastAsia="es-ES"/>
        </w:rPr>
        <w:lastRenderedPageBreak/>
        <w:t>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7E0933" w:rsidRPr="00252BF8" w:rsidRDefault="007E0933" w:rsidP="00A806D9">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Palatino Linotype" w:hAnsi="Palatino Linotype" w:cs="Palatino Linotype"/>
          <w:color w:val="000000" w:themeColor="text1"/>
          <w:lang w:eastAsia="es-ES"/>
        </w:rPr>
        <w:t>Argumento</w:t>
      </w:r>
      <w:r w:rsidRPr="00252BF8">
        <w:rPr>
          <w:rFonts w:ascii="Palatino Linotype" w:eastAsia="Calibri" w:hAnsi="Palatino Linotype" w:cs="Arial"/>
          <w:color w:val="000000" w:themeColor="text1"/>
          <w:lang w:val="es-ES_tradnl" w:eastAsia="es-ES"/>
        </w:rPr>
        <w:t xml:space="preserve"> que es compartido por el Instituto Nacional de Transparencia, Acceso a la Información y Protección de Datos Personales, INAI, conforme al criterio 18/17, que utilizado de manera orientadora, </w:t>
      </w:r>
      <w:r w:rsidRPr="00252BF8">
        <w:rPr>
          <w:rFonts w:ascii="Palatino Linotype" w:eastAsia="Calibri" w:hAnsi="Palatino Linotype" w:cs="Arial"/>
          <w:b/>
          <w:color w:val="000000" w:themeColor="text1"/>
          <w:lang w:val="es-ES_tradnl" w:eastAsia="es-ES"/>
        </w:rPr>
        <w:t>toda vez que a la fecha de la solicitud de encontraba vigente, mismo que refiere</w:t>
      </w:r>
      <w:r w:rsidRPr="00252BF8">
        <w:rPr>
          <w:rFonts w:ascii="Palatino Linotype" w:eastAsia="Calibri" w:hAnsi="Palatino Linotype" w:cs="Arial"/>
          <w:color w:val="000000" w:themeColor="text1"/>
          <w:lang w:val="es-ES_tradnl" w:eastAsia="es-ES"/>
        </w:rPr>
        <w:t xml:space="preserve">: </w:t>
      </w:r>
    </w:p>
    <w:p w:rsidR="007E0933" w:rsidRPr="00252BF8" w:rsidRDefault="007E0933" w:rsidP="00A806D9">
      <w:pPr>
        <w:ind w:right="-7"/>
        <w:jc w:val="both"/>
        <w:rPr>
          <w:rFonts w:ascii="Palatino Linotype" w:eastAsia="Palatino Linotype" w:hAnsi="Palatino Linotype" w:cs="Palatino Linotype"/>
          <w:i/>
          <w:color w:val="000000" w:themeColor="text1"/>
          <w:lang w:val="es-ES_tradnl" w:eastAsia="es-ES"/>
        </w:rPr>
      </w:pPr>
      <w:r w:rsidRPr="00252BF8">
        <w:rPr>
          <w:rFonts w:ascii="Palatino Linotype" w:eastAsia="Palatino Linotype" w:hAnsi="Palatino Linotype" w:cs="Palatino Linotype"/>
          <w:b/>
          <w:i/>
          <w:color w:val="000000" w:themeColor="text1"/>
          <w:lang w:val="es-ES_tradnl" w:eastAsia="es-ES"/>
        </w:rPr>
        <w:t xml:space="preserve">“Clave Única de Registro de Población (CURP). </w:t>
      </w:r>
      <w:r w:rsidRPr="00252BF8">
        <w:rPr>
          <w:rFonts w:ascii="Palatino Linotype" w:eastAsia="Palatino Linotype" w:hAnsi="Palatino Linotype" w:cs="Palatino Linotype"/>
          <w:i/>
          <w:color w:val="000000" w:themeColor="text1"/>
          <w:lang w:val="es-ES_tradnl" w:eastAsia="es-E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E0933" w:rsidRPr="00252BF8" w:rsidRDefault="007E0933" w:rsidP="00A806D9">
      <w:pPr>
        <w:ind w:right="-7"/>
        <w:jc w:val="both"/>
        <w:rPr>
          <w:rFonts w:ascii="Palatino Linotype" w:eastAsia="Palatino Linotype" w:hAnsi="Palatino Linotype" w:cs="Palatino Linotype"/>
          <w:i/>
          <w:color w:val="000000" w:themeColor="text1"/>
          <w:lang w:val="es-ES_tradnl" w:eastAsia="es-ES"/>
        </w:rPr>
      </w:pPr>
    </w:p>
    <w:p w:rsidR="007E0933" w:rsidRPr="00252BF8" w:rsidRDefault="007E0933" w:rsidP="00A806D9">
      <w:pPr>
        <w:ind w:right="-7"/>
        <w:jc w:val="both"/>
        <w:rPr>
          <w:rFonts w:ascii="Palatino Linotype" w:eastAsia="Palatino Linotype" w:hAnsi="Palatino Linotype" w:cs="Palatino Linotype"/>
          <w:i/>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t xml:space="preserve">Por </w:t>
      </w:r>
      <w:r w:rsidRPr="00252BF8">
        <w:rPr>
          <w:rFonts w:ascii="Palatino Linotype" w:eastAsia="Palatino Linotype" w:hAnsi="Palatino Linotype" w:cs="Palatino Linotype"/>
          <w:color w:val="000000" w:themeColor="text1"/>
          <w:lang w:eastAsia="es-ES"/>
        </w:rPr>
        <w:t>cuanto</w:t>
      </w:r>
      <w:r w:rsidRPr="00252BF8">
        <w:rPr>
          <w:rFonts w:ascii="Palatino Linotype" w:eastAsia="Calibri" w:hAnsi="Palatino Linotype" w:cs="Arial"/>
          <w:color w:val="000000" w:themeColor="text1"/>
          <w:lang w:val="es-ES_tradnl" w:eastAsia="es-ES"/>
        </w:rPr>
        <w:t xml:space="preserve"> hace a la </w:t>
      </w:r>
      <w:r w:rsidRPr="00252BF8">
        <w:rPr>
          <w:rFonts w:ascii="Palatino Linotype" w:eastAsia="Calibri" w:hAnsi="Palatino Linotype" w:cs="Arial"/>
          <w:b/>
          <w:color w:val="000000" w:themeColor="text1"/>
          <w:lang w:val="es-ES_tradnl" w:eastAsia="es-ES"/>
        </w:rPr>
        <w:t>Clave de cualquier tipo de seguridad social (</w:t>
      </w:r>
      <w:proofErr w:type="spellStart"/>
      <w:r w:rsidRPr="00252BF8">
        <w:rPr>
          <w:rFonts w:ascii="Palatino Linotype" w:eastAsia="Calibri" w:hAnsi="Palatino Linotype" w:cs="Arial"/>
          <w:b/>
          <w:color w:val="000000" w:themeColor="text1"/>
          <w:lang w:val="es-ES_tradnl" w:eastAsia="es-ES"/>
        </w:rPr>
        <w:t>ISSEMyM</w:t>
      </w:r>
      <w:proofErr w:type="spellEnd"/>
      <w:r w:rsidRPr="00252BF8">
        <w:rPr>
          <w:rFonts w:ascii="Palatino Linotype" w:eastAsia="Calibri" w:hAnsi="Palatino Linotype" w:cs="Arial"/>
          <w:b/>
          <w:color w:val="000000" w:themeColor="text1"/>
          <w:lang w:val="es-ES_tradnl" w:eastAsia="es-ES"/>
        </w:rPr>
        <w:t>, u otros</w:t>
      </w:r>
      <w:r w:rsidRPr="00252BF8">
        <w:rPr>
          <w:rFonts w:ascii="Palatino Linotype" w:eastAsia="Calibri" w:hAnsi="Palatino Linotype" w:cs="Arial"/>
          <w:color w:val="000000" w:themeColor="text1"/>
          <w:lang w:val="es-ES_tradnl" w:eastAsia="es-ES"/>
        </w:rPr>
        <w:t>),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lastRenderedPageBreak/>
        <w:t>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w:t>
      </w:r>
    </w:p>
    <w:p w:rsidR="007E0933" w:rsidRPr="00252BF8" w:rsidRDefault="007E0933" w:rsidP="00A806D9">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t xml:space="preserve">Como se advierte, la clave ISSEMYM es un dato personal que permite </w:t>
      </w:r>
      <w:r w:rsidRPr="00252BF8">
        <w:rPr>
          <w:rFonts w:ascii="Palatino Linotype" w:eastAsia="Palatino Linotype" w:hAnsi="Palatino Linotype" w:cs="Palatino Linotype"/>
          <w:color w:val="000000" w:themeColor="text1"/>
          <w:lang w:eastAsia="es-ES"/>
        </w:rPr>
        <w:t>identificar</w:t>
      </w:r>
      <w:r w:rsidRPr="00252BF8">
        <w:rPr>
          <w:rFonts w:ascii="Palatino Linotype" w:eastAsia="Calibri" w:hAnsi="Palatino Linotype" w:cs="Arial"/>
          <w:color w:val="000000" w:themeColor="text1"/>
          <w:lang w:val="es-ES_tradnl" w:eastAsia="es-ES"/>
        </w:rPr>
        <w:t xml:space="preserve">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rsidR="007E0933" w:rsidRPr="00252BF8" w:rsidRDefault="007E0933" w:rsidP="00A806D9">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t xml:space="preserve">Contar con la prestación de seguridad social que brinda el ISSEMYM no es una </w:t>
      </w:r>
      <w:r w:rsidRPr="00252BF8">
        <w:rPr>
          <w:rFonts w:ascii="Palatino Linotype" w:eastAsia="Palatino Linotype" w:hAnsi="Palatino Linotype" w:cs="Palatino Linotype"/>
          <w:color w:val="000000" w:themeColor="text1"/>
          <w:lang w:eastAsia="es-ES"/>
        </w:rPr>
        <w:t>obligación</w:t>
      </w:r>
      <w:r w:rsidRPr="00252BF8">
        <w:rPr>
          <w:rFonts w:ascii="Palatino Linotype" w:eastAsia="Calibri" w:hAnsi="Palatino Linotype" w:cs="Arial"/>
          <w:color w:val="000000" w:themeColor="text1"/>
          <w:lang w:val="es-ES_tradnl" w:eastAsia="es-ES"/>
        </w:rPr>
        <w:t xml:space="preserve">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lastRenderedPageBreak/>
        <w:t xml:space="preserve">Respecto de los préstamos o descuentos de carácter personal, estos no deben tener relación con la prestación del servicio; es decir, son confidenciales los </w:t>
      </w:r>
      <w:r w:rsidRPr="00252BF8">
        <w:rPr>
          <w:rFonts w:ascii="Palatino Linotype" w:eastAsia="Palatino Linotype" w:hAnsi="Palatino Linotype" w:cs="Palatino Linotype"/>
          <w:color w:val="000000" w:themeColor="text1"/>
          <w:lang w:eastAsia="es-ES"/>
        </w:rPr>
        <w:t>préstamos</w:t>
      </w:r>
      <w:r w:rsidRPr="00252BF8">
        <w:rPr>
          <w:rFonts w:ascii="Palatino Linotype" w:eastAsia="Calibri" w:hAnsi="Palatino Linotype" w:cs="Arial"/>
          <w:color w:val="000000" w:themeColor="text1"/>
          <w:lang w:val="es-ES_tradnl" w:eastAsia="es-ES"/>
        </w:rPr>
        <w:t xml:space="preserve"> o descuentos que se le hagan a la persona en los que no se involucren instituciones públicas, en virtud de no favorecer en la transparencia y rendición de cuentas, sino, por el contrario, con ello se violentaba la protección de información confidencial, porque incide en la intimidad de un individuo identificado.</w:t>
      </w:r>
    </w:p>
    <w:p w:rsidR="007E0933" w:rsidRPr="00252BF8" w:rsidRDefault="007E0933" w:rsidP="00A806D9">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t xml:space="preserve">Por </w:t>
      </w:r>
      <w:r w:rsidRPr="00252BF8">
        <w:rPr>
          <w:rFonts w:ascii="Palatino Linotype" w:eastAsia="Palatino Linotype" w:hAnsi="Palatino Linotype" w:cs="Palatino Linotype"/>
          <w:color w:val="000000" w:themeColor="text1"/>
          <w:lang w:eastAsia="es-ES"/>
        </w:rPr>
        <w:t>su</w:t>
      </w:r>
      <w:r w:rsidRPr="00252BF8">
        <w:rPr>
          <w:rFonts w:ascii="Palatino Linotype" w:eastAsia="Calibri" w:hAnsi="Palatino Linotype" w:cs="Arial"/>
          <w:color w:val="000000" w:themeColor="text1"/>
          <w:lang w:val="es-ES_tradnl" w:eastAsia="es-ES"/>
        </w:rPr>
        <w:t xml:space="preserve"> parte, el artículo 84 de la Ley del Trabajo de los Servidores Públicos del Estado y Municipios, señala:</w:t>
      </w:r>
    </w:p>
    <w:p w:rsidR="007E0933" w:rsidRPr="00252BF8" w:rsidRDefault="007E0933" w:rsidP="00A806D9">
      <w:pPr>
        <w:ind w:right="-7"/>
        <w:jc w:val="both"/>
        <w:rPr>
          <w:rFonts w:ascii="Palatino Linotype" w:eastAsia="Palatino Linotype" w:hAnsi="Palatino Linotype" w:cs="Palatino Linotype"/>
          <w:color w:val="000000" w:themeColor="text1"/>
          <w:lang w:val="es-ES_tradnl" w:eastAsia="es-ES"/>
        </w:rPr>
      </w:pPr>
      <w:r w:rsidRPr="00252BF8">
        <w:rPr>
          <w:rFonts w:ascii="Palatino Linotype" w:eastAsia="Palatino Linotype" w:hAnsi="Palatino Linotype" w:cs="Palatino Linotype"/>
          <w:i/>
          <w:color w:val="000000" w:themeColor="text1"/>
          <w:lang w:val="es-ES_tradnl" w:eastAsia="es-ES"/>
        </w:rPr>
        <w:t>“</w:t>
      </w:r>
      <w:r w:rsidRPr="00252BF8">
        <w:rPr>
          <w:rFonts w:ascii="Palatino Linotype" w:eastAsia="Palatino Linotype" w:hAnsi="Palatino Linotype" w:cs="Palatino Linotype"/>
          <w:b/>
          <w:i/>
          <w:color w:val="000000" w:themeColor="text1"/>
          <w:lang w:val="es-ES_tradnl" w:eastAsia="es-ES"/>
        </w:rPr>
        <w:t>ARTICULO 84. Sólo podrán hacerse retenciones, descuentos o deducciones al sueldo de los servidores públicos por concepto de:</w:t>
      </w:r>
    </w:p>
    <w:p w:rsidR="007E0933" w:rsidRPr="00252BF8" w:rsidRDefault="007E0933" w:rsidP="00A806D9">
      <w:pPr>
        <w:ind w:right="-7"/>
        <w:jc w:val="both"/>
        <w:rPr>
          <w:rFonts w:ascii="Palatino Linotype" w:eastAsia="Palatino Linotype" w:hAnsi="Palatino Linotype" w:cs="Palatino Linotype"/>
          <w:color w:val="000000" w:themeColor="text1"/>
          <w:lang w:val="es-ES_tradnl" w:eastAsia="es-ES"/>
        </w:rPr>
      </w:pPr>
      <w:r w:rsidRPr="00252BF8">
        <w:rPr>
          <w:rFonts w:ascii="Palatino Linotype" w:eastAsia="Palatino Linotype" w:hAnsi="Palatino Linotype" w:cs="Palatino Linotype"/>
          <w:i/>
          <w:color w:val="000000" w:themeColor="text1"/>
          <w:lang w:val="es-ES_tradnl" w:eastAsia="es-ES"/>
        </w:rPr>
        <w:t>I. Gravámenes fiscales relacionados con el sueldo;</w:t>
      </w:r>
    </w:p>
    <w:p w:rsidR="007E0933" w:rsidRPr="00252BF8" w:rsidRDefault="007E0933" w:rsidP="00A806D9">
      <w:pPr>
        <w:ind w:right="-7"/>
        <w:jc w:val="both"/>
        <w:rPr>
          <w:rFonts w:ascii="Palatino Linotype" w:eastAsia="Palatino Linotype" w:hAnsi="Palatino Linotype" w:cs="Palatino Linotype"/>
          <w:color w:val="000000" w:themeColor="text1"/>
          <w:lang w:val="es-ES_tradnl" w:eastAsia="es-ES"/>
        </w:rPr>
      </w:pPr>
      <w:r w:rsidRPr="00252BF8">
        <w:rPr>
          <w:rFonts w:ascii="Palatino Linotype" w:eastAsia="Palatino Linotype" w:hAnsi="Palatino Linotype" w:cs="Palatino Linotype"/>
          <w:b/>
          <w:i/>
          <w:color w:val="000000" w:themeColor="text1"/>
          <w:lang w:val="es-ES_tradnl" w:eastAsia="es-ES"/>
        </w:rPr>
        <w:t>II. Deudas contraídas con las instituciones públicas o dependencias</w:t>
      </w:r>
      <w:r w:rsidRPr="00252BF8">
        <w:rPr>
          <w:rFonts w:ascii="Palatino Linotype" w:eastAsia="Palatino Linotype" w:hAnsi="Palatino Linotype" w:cs="Palatino Linotype"/>
          <w:i/>
          <w:color w:val="000000" w:themeColor="text1"/>
          <w:lang w:val="es-ES_tradnl" w:eastAsia="es-ES"/>
        </w:rPr>
        <w:t xml:space="preserve"> por concepto de anticipos de sueldo, pagos hechos con exceso, errores o pérdidas debidamente comprobados;</w:t>
      </w:r>
    </w:p>
    <w:p w:rsidR="007E0933" w:rsidRPr="00252BF8" w:rsidRDefault="007E0933" w:rsidP="00A806D9">
      <w:pPr>
        <w:ind w:right="-7"/>
        <w:jc w:val="both"/>
        <w:rPr>
          <w:rFonts w:ascii="Palatino Linotype" w:eastAsia="Palatino Linotype" w:hAnsi="Palatino Linotype" w:cs="Palatino Linotype"/>
          <w:color w:val="000000" w:themeColor="text1"/>
          <w:lang w:val="es-ES_tradnl" w:eastAsia="es-ES"/>
        </w:rPr>
      </w:pPr>
      <w:r w:rsidRPr="00252BF8">
        <w:rPr>
          <w:rFonts w:ascii="Palatino Linotype" w:eastAsia="Palatino Linotype" w:hAnsi="Palatino Linotype" w:cs="Palatino Linotype"/>
          <w:b/>
          <w:i/>
          <w:color w:val="000000" w:themeColor="text1"/>
          <w:lang w:val="es-ES_tradnl" w:eastAsia="es-ES"/>
        </w:rPr>
        <w:t>III. Cuotas sindicales</w:t>
      </w:r>
      <w:r w:rsidRPr="00252BF8">
        <w:rPr>
          <w:rFonts w:ascii="Palatino Linotype" w:eastAsia="Palatino Linotype" w:hAnsi="Palatino Linotype" w:cs="Palatino Linotype"/>
          <w:i/>
          <w:color w:val="000000" w:themeColor="text1"/>
          <w:lang w:val="es-ES_tradnl" w:eastAsia="es-ES"/>
        </w:rPr>
        <w:t>;</w:t>
      </w:r>
    </w:p>
    <w:p w:rsidR="007E0933" w:rsidRPr="00252BF8" w:rsidRDefault="007E0933" w:rsidP="00A806D9">
      <w:pPr>
        <w:ind w:right="-7"/>
        <w:jc w:val="both"/>
        <w:rPr>
          <w:rFonts w:ascii="Palatino Linotype" w:eastAsia="Palatino Linotype" w:hAnsi="Palatino Linotype" w:cs="Palatino Linotype"/>
          <w:color w:val="000000" w:themeColor="text1"/>
          <w:lang w:val="es-ES_tradnl" w:eastAsia="es-ES"/>
        </w:rPr>
      </w:pPr>
      <w:r w:rsidRPr="00252BF8">
        <w:rPr>
          <w:rFonts w:ascii="Palatino Linotype" w:eastAsia="Palatino Linotype" w:hAnsi="Palatino Linotype" w:cs="Palatino Linotype"/>
          <w:i/>
          <w:color w:val="000000" w:themeColor="text1"/>
          <w:lang w:val="es-ES_tradnl" w:eastAsia="es-ES"/>
        </w:rPr>
        <w:t>IV. Cuotas de aportación a fondos para la constitución de cooperativas y de cajas de ahorro, siempre que el servidor público hubiese manifestado previamente, de manera expresa, su conformidad;</w:t>
      </w:r>
    </w:p>
    <w:p w:rsidR="007E0933" w:rsidRPr="00252BF8" w:rsidRDefault="007E0933" w:rsidP="00A806D9">
      <w:pPr>
        <w:ind w:right="-7"/>
        <w:jc w:val="both"/>
        <w:rPr>
          <w:rFonts w:ascii="Palatino Linotype" w:eastAsia="Palatino Linotype" w:hAnsi="Palatino Linotype" w:cs="Palatino Linotype"/>
          <w:color w:val="000000" w:themeColor="text1"/>
          <w:lang w:val="es-ES_tradnl" w:eastAsia="es-ES"/>
        </w:rPr>
      </w:pPr>
      <w:r w:rsidRPr="00252BF8">
        <w:rPr>
          <w:rFonts w:ascii="Palatino Linotype" w:eastAsia="Palatino Linotype" w:hAnsi="Palatino Linotype" w:cs="Palatino Linotype"/>
          <w:i/>
          <w:color w:val="000000" w:themeColor="text1"/>
          <w:lang w:val="es-ES_tradnl" w:eastAsia="es-ES"/>
        </w:rPr>
        <w:t>V. Descuentos ordenados por el Instituto de Seguridad Social del Estado de México y Municipios, con motivo de cuotas y obligaciones contraídas con éste por los servidores públicos;</w:t>
      </w:r>
    </w:p>
    <w:p w:rsidR="007E0933" w:rsidRPr="00252BF8" w:rsidRDefault="007E0933" w:rsidP="00A806D9">
      <w:pPr>
        <w:ind w:right="-7"/>
        <w:jc w:val="both"/>
        <w:rPr>
          <w:rFonts w:ascii="Palatino Linotype" w:eastAsia="Palatino Linotype" w:hAnsi="Palatino Linotype" w:cs="Palatino Linotype"/>
          <w:color w:val="000000" w:themeColor="text1"/>
          <w:lang w:val="es-ES_tradnl" w:eastAsia="es-ES"/>
        </w:rPr>
      </w:pPr>
      <w:r w:rsidRPr="00252BF8">
        <w:rPr>
          <w:rFonts w:ascii="Palatino Linotype" w:eastAsia="Palatino Linotype" w:hAnsi="Palatino Linotype" w:cs="Palatino Linotype"/>
          <w:b/>
          <w:i/>
          <w:color w:val="000000" w:themeColor="text1"/>
          <w:lang w:val="es-ES_tradnl" w:eastAsia="es-ES"/>
        </w:rPr>
        <w:t>VI. Obligaciones a cargo del servidor público con las que haya consentido</w:t>
      </w:r>
      <w:r w:rsidRPr="00252BF8">
        <w:rPr>
          <w:rFonts w:ascii="Palatino Linotype" w:eastAsia="Palatino Linotype" w:hAnsi="Palatino Linotype" w:cs="Palatino Linotype"/>
          <w:i/>
          <w:color w:val="000000" w:themeColor="text1"/>
          <w:lang w:val="es-ES_tradnl" w:eastAsia="es-ES"/>
        </w:rPr>
        <w:t>, derivadas de la adquisición o del uso de habitaciones consideradas como de interés social;</w:t>
      </w:r>
    </w:p>
    <w:p w:rsidR="007E0933" w:rsidRPr="00252BF8" w:rsidRDefault="007E0933" w:rsidP="00A806D9">
      <w:pPr>
        <w:ind w:right="-7"/>
        <w:jc w:val="both"/>
        <w:rPr>
          <w:rFonts w:ascii="Palatino Linotype" w:eastAsia="Palatino Linotype" w:hAnsi="Palatino Linotype" w:cs="Palatino Linotype"/>
          <w:color w:val="000000" w:themeColor="text1"/>
          <w:lang w:val="es-ES_tradnl" w:eastAsia="es-ES"/>
        </w:rPr>
      </w:pPr>
      <w:r w:rsidRPr="00252BF8">
        <w:rPr>
          <w:rFonts w:ascii="Palatino Linotype" w:eastAsia="Palatino Linotype" w:hAnsi="Palatino Linotype" w:cs="Palatino Linotype"/>
          <w:i/>
          <w:color w:val="000000" w:themeColor="text1"/>
          <w:lang w:val="es-ES_tradnl" w:eastAsia="es-ES"/>
        </w:rPr>
        <w:t>VII. Faltas de puntualidad o de asistencia injustificadas;</w:t>
      </w:r>
    </w:p>
    <w:p w:rsidR="007E0933" w:rsidRPr="00252BF8" w:rsidRDefault="007E0933" w:rsidP="00A806D9">
      <w:pPr>
        <w:ind w:right="-7"/>
        <w:jc w:val="both"/>
        <w:rPr>
          <w:rFonts w:ascii="Palatino Linotype" w:eastAsia="Palatino Linotype" w:hAnsi="Palatino Linotype" w:cs="Palatino Linotype"/>
          <w:color w:val="000000" w:themeColor="text1"/>
          <w:lang w:val="es-ES_tradnl" w:eastAsia="es-ES"/>
        </w:rPr>
      </w:pPr>
      <w:r w:rsidRPr="00252BF8">
        <w:rPr>
          <w:rFonts w:ascii="Palatino Linotype" w:eastAsia="Palatino Linotype" w:hAnsi="Palatino Linotype" w:cs="Palatino Linotype"/>
          <w:b/>
          <w:i/>
          <w:color w:val="000000" w:themeColor="text1"/>
          <w:lang w:val="es-ES_tradnl" w:eastAsia="es-ES"/>
        </w:rPr>
        <w:t>VIII. Pensiones alimenticias ordenadas por la autoridad judicial;</w:t>
      </w:r>
      <w:r w:rsidRPr="00252BF8">
        <w:rPr>
          <w:rFonts w:ascii="Palatino Linotype" w:eastAsia="Palatino Linotype" w:hAnsi="Palatino Linotype" w:cs="Palatino Linotype"/>
          <w:i/>
          <w:color w:val="000000" w:themeColor="text1"/>
          <w:lang w:val="es-ES_tradnl" w:eastAsia="es-ES"/>
        </w:rPr>
        <w:t xml:space="preserve"> o</w:t>
      </w:r>
    </w:p>
    <w:p w:rsidR="007E0933" w:rsidRPr="00252BF8" w:rsidRDefault="007E0933" w:rsidP="00A806D9">
      <w:pPr>
        <w:ind w:right="-7"/>
        <w:jc w:val="both"/>
        <w:rPr>
          <w:rFonts w:ascii="Palatino Linotype" w:eastAsia="Palatino Linotype" w:hAnsi="Palatino Linotype" w:cs="Palatino Linotype"/>
          <w:color w:val="000000" w:themeColor="text1"/>
          <w:lang w:val="es-ES_tradnl" w:eastAsia="es-ES"/>
        </w:rPr>
      </w:pPr>
      <w:r w:rsidRPr="00252BF8">
        <w:rPr>
          <w:rFonts w:ascii="Palatino Linotype" w:eastAsia="Palatino Linotype" w:hAnsi="Palatino Linotype" w:cs="Palatino Linotype"/>
          <w:b/>
          <w:i/>
          <w:color w:val="000000" w:themeColor="text1"/>
          <w:lang w:val="es-ES_tradnl" w:eastAsia="es-ES"/>
        </w:rPr>
        <w:t>IX. Cualquier otro convenido con instituciones de servicios y aceptado por el servidor público.</w:t>
      </w:r>
    </w:p>
    <w:p w:rsidR="007E0933" w:rsidRPr="00252BF8" w:rsidRDefault="007E0933" w:rsidP="00A806D9">
      <w:pPr>
        <w:ind w:right="-7"/>
        <w:jc w:val="both"/>
        <w:rPr>
          <w:rFonts w:ascii="Palatino Linotype" w:eastAsia="Palatino Linotype" w:hAnsi="Palatino Linotype" w:cs="Palatino Linotype"/>
          <w:color w:val="000000" w:themeColor="text1"/>
          <w:lang w:val="es-ES_tradnl" w:eastAsia="es-ES"/>
        </w:rPr>
      </w:pPr>
      <w:r w:rsidRPr="00252BF8">
        <w:rPr>
          <w:rFonts w:ascii="Palatino Linotype" w:eastAsia="Palatino Linotype" w:hAnsi="Palatino Linotype" w:cs="Palatino Linotype"/>
          <w:i/>
          <w:color w:val="000000" w:themeColor="text1"/>
          <w:lang w:val="es-ES_tradnl" w:eastAsia="es-ES"/>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w:t>
      </w:r>
      <w:r w:rsidRPr="00252BF8">
        <w:rPr>
          <w:rFonts w:ascii="Palatino Linotype" w:eastAsia="Palatino Linotype" w:hAnsi="Palatino Linotype" w:cs="Palatino Linotype"/>
          <w:i/>
          <w:color w:val="000000" w:themeColor="text1"/>
          <w:lang w:val="es-ES_tradnl" w:eastAsia="es-ES"/>
        </w:rPr>
        <w:lastRenderedPageBreak/>
        <w:t>digna, o se refieran a lo establecido en la fracción VIII de este artículo, en que se ajustará a lo determinado por la autoridad judicial.” </w:t>
      </w:r>
    </w:p>
    <w:p w:rsidR="007E0933" w:rsidRPr="00252BF8" w:rsidRDefault="007E0933" w:rsidP="00A806D9">
      <w:pPr>
        <w:ind w:right="-7"/>
        <w:jc w:val="both"/>
        <w:rPr>
          <w:rFonts w:ascii="Palatino Linotype" w:eastAsia="Palatino Linotype" w:hAnsi="Palatino Linotype" w:cs="Palatino Linotype"/>
          <w:color w:val="000000" w:themeColor="text1"/>
          <w:lang w:val="es-ES_tradnl" w:eastAsia="es-ES"/>
        </w:rPr>
      </w:pPr>
      <w:r w:rsidRPr="00252BF8">
        <w:rPr>
          <w:rFonts w:ascii="Palatino Linotype" w:eastAsia="Palatino Linotype" w:hAnsi="Palatino Linotype" w:cs="Palatino Linotype"/>
          <w:color w:val="000000" w:themeColor="text1"/>
          <w:lang w:val="es-ES_tradnl" w:eastAsia="es-ES"/>
        </w:rPr>
        <w:t>(Énfasis añadido)</w:t>
      </w:r>
    </w:p>
    <w:p w:rsidR="007E0933" w:rsidRPr="00252BF8" w:rsidRDefault="007E0933" w:rsidP="00A806D9">
      <w:pPr>
        <w:spacing w:line="360" w:lineRule="auto"/>
        <w:ind w:right="-7"/>
        <w:jc w:val="both"/>
        <w:rPr>
          <w:rFonts w:ascii="Palatino Linotype" w:eastAsia="Palatino Linotype" w:hAnsi="Palatino Linotype" w:cs="Palatino Linotype"/>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Palatino Linotype" w:hAnsi="Palatino Linotype" w:cs="Palatino Linotype"/>
          <w:color w:val="000000" w:themeColor="text1"/>
          <w:lang w:eastAsia="es-ES"/>
        </w:rPr>
        <w:t>Derivado</w:t>
      </w:r>
      <w:r w:rsidRPr="00252BF8">
        <w:rPr>
          <w:rFonts w:ascii="Palatino Linotype" w:eastAsia="Calibri" w:hAnsi="Palatino Linotype" w:cs="Arial"/>
          <w:color w:val="000000" w:themeColor="text1"/>
          <w:lang w:val="es-ES_tradnl" w:eastAsia="es-ES"/>
        </w:rPr>
        <w:t xml:space="preserve"> de lo anterior, la ley establece claramente cuáles son esos descuentos o gravámenes que directamente se relacionan con las obligaciones adquiridas como servidores públicos y aquéllos que </w:t>
      </w:r>
      <w:r w:rsidRPr="00252BF8">
        <w:rPr>
          <w:rFonts w:ascii="Palatino Linotype" w:eastAsia="Calibri" w:hAnsi="Palatino Linotype" w:cs="Arial"/>
          <w:b/>
          <w:color w:val="000000" w:themeColor="text1"/>
          <w:u w:val="single"/>
          <w:lang w:val="es-ES_tradnl" w:eastAsia="es-ES"/>
        </w:rPr>
        <w:t>únicamente inciden en su vida privada</w:t>
      </w:r>
      <w:r w:rsidRPr="00252BF8">
        <w:rPr>
          <w:rFonts w:ascii="Palatino Linotype" w:eastAsia="Calibri" w:hAnsi="Palatino Linotype" w:cs="Arial"/>
          <w:color w:val="000000" w:themeColor="text1"/>
          <w:lang w:val="es-ES_tradnl" w:eastAsia="es-ES"/>
        </w:rPr>
        <w:t>. De este modo, descuentos por pensiones alimenticias o créditos adquiridos con instituciones privadas o públicas pero que fueron contraídas en forma individual, son información que debe clasificarse como confidencial.</w:t>
      </w:r>
    </w:p>
    <w:p w:rsidR="007E0933" w:rsidRPr="00252BF8" w:rsidRDefault="007E0933" w:rsidP="00A806D9">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7E0933" w:rsidRPr="00252BF8" w:rsidRDefault="007E0933" w:rsidP="00A806D9">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t>Sirven de sustento a lo anterior, las tesis jurisprudenciales P. LX/2000 y 2a. XLIII/2008 emitidas por el Peno y la Segunda Sala de la Suprema Corte de Justicia de la Nación, respectivamente, que son del tenor literal siguiente:</w:t>
      </w:r>
    </w:p>
    <w:p w:rsidR="007E0933" w:rsidRPr="00252BF8" w:rsidRDefault="007E0933" w:rsidP="00A806D9">
      <w:pPr>
        <w:ind w:right="-7"/>
        <w:jc w:val="both"/>
        <w:rPr>
          <w:rFonts w:ascii="Palatino Linotype" w:eastAsia="Palatino Linotype" w:hAnsi="Palatino Linotype" w:cs="Palatino Linotype"/>
          <w:i/>
          <w:color w:val="000000" w:themeColor="text1"/>
          <w:lang w:val="es-ES_tradnl" w:eastAsia="es-ES"/>
        </w:rPr>
      </w:pPr>
      <w:r w:rsidRPr="00252BF8">
        <w:rPr>
          <w:rFonts w:ascii="Palatino Linotype" w:eastAsia="Palatino Linotype" w:hAnsi="Palatino Linotype" w:cs="Palatino Linotype"/>
          <w:b/>
          <w:i/>
          <w:color w:val="000000" w:themeColor="text1"/>
          <w:lang w:val="es-ES_tradnl" w:eastAsia="es-ES"/>
        </w:rPr>
        <w:t xml:space="preserve">“DERECHO A LA INFORMACIÓN. SU EJERCICIO SE ENCUENTRA LIMITADO TANTO POR LOS INTERESES NACIONALES Y DE LA SOCIEDAD, COMO POR LOS DERECHOS DE TERCEROS. </w:t>
      </w:r>
      <w:r w:rsidRPr="00252BF8">
        <w:rPr>
          <w:rFonts w:ascii="Palatino Linotype" w:eastAsia="Palatino Linotype" w:hAnsi="Palatino Linotype" w:cs="Palatino Linotype"/>
          <w:i/>
          <w:color w:val="000000" w:themeColor="text1"/>
          <w:lang w:val="es-ES_tradnl" w:eastAsia="es-ES"/>
        </w:rPr>
        <w:t xml:space="preserve">El derecho a la información consagrado en la última parte del artículo 6o. de la Constitución Federal no es absoluto, sino que, como toda garantía, se halla sujeto a limitaciones o excepciones que se sustentan, fundamentalmente, en la protección de la </w:t>
      </w:r>
      <w:r w:rsidRPr="00252BF8">
        <w:rPr>
          <w:rFonts w:ascii="Palatino Linotype" w:eastAsia="Palatino Linotype" w:hAnsi="Palatino Linotype" w:cs="Palatino Linotype"/>
          <w:i/>
          <w:color w:val="000000" w:themeColor="text1"/>
          <w:lang w:val="es-ES_tradnl" w:eastAsia="es-ES"/>
        </w:rPr>
        <w:lastRenderedPageBreak/>
        <w:t xml:space="preserve">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252BF8">
        <w:rPr>
          <w:rFonts w:ascii="Palatino Linotype" w:eastAsia="Palatino Linotype" w:hAnsi="Palatino Linotype" w:cs="Palatino Linotype"/>
          <w:b/>
          <w:i/>
          <w:color w:val="000000" w:themeColor="text1"/>
          <w:lang w:val="es-ES_tradnl" w:eastAsia="es-ES"/>
        </w:rPr>
        <w:t>restringen el acceso a la información en esta materia, en razón de que su conocimiento público puede generar daños a los intereses nacionales y, por el otro, sancionan la inobservancia de esa reserva</w:t>
      </w:r>
      <w:r w:rsidRPr="00252BF8">
        <w:rPr>
          <w:rFonts w:ascii="Palatino Linotype" w:eastAsia="Palatino Linotype" w:hAnsi="Palatino Linotype" w:cs="Palatino Linotype"/>
          <w:i/>
          <w:color w:val="000000" w:themeColor="text1"/>
          <w:lang w:val="es-ES_tradnl" w:eastAsia="es-ES"/>
        </w:rPr>
        <w:t xml:space="preserve">; por lo que hace al interés social, se cuenta con normas que tienden a proteger la averiguación de los delitos, la salud y la moral públicas, </w:t>
      </w:r>
      <w:r w:rsidRPr="00252BF8">
        <w:rPr>
          <w:rFonts w:ascii="Palatino Linotype" w:eastAsia="Palatino Linotype" w:hAnsi="Palatino Linotype" w:cs="Palatino Linotype"/>
          <w:b/>
          <w:i/>
          <w:color w:val="000000" w:themeColor="text1"/>
          <w:lang w:val="es-ES_tradnl" w:eastAsia="es-ES"/>
        </w:rPr>
        <w:t>mientras que por lo que respecta a la protección de la persona existen normas que protegen el derecho a la vida o a la privacidad de los gobernados</w:t>
      </w:r>
      <w:r w:rsidRPr="00252BF8">
        <w:rPr>
          <w:rFonts w:ascii="Palatino Linotype" w:eastAsia="Palatino Linotype" w:hAnsi="Palatino Linotype" w:cs="Palatino Linotype"/>
          <w:i/>
          <w:color w:val="000000" w:themeColor="text1"/>
          <w:lang w:val="es-ES_tradnl" w:eastAsia="es-ES"/>
        </w:rPr>
        <w:t>.”</w:t>
      </w:r>
    </w:p>
    <w:p w:rsidR="007E0933" w:rsidRPr="00252BF8" w:rsidRDefault="007E0933" w:rsidP="00A806D9">
      <w:pPr>
        <w:ind w:right="-7"/>
        <w:jc w:val="both"/>
        <w:rPr>
          <w:rFonts w:ascii="Palatino Linotype" w:eastAsia="Palatino Linotype" w:hAnsi="Palatino Linotype" w:cs="Palatino Linotype"/>
          <w:i/>
          <w:color w:val="000000" w:themeColor="text1"/>
          <w:lang w:val="es-ES_tradnl" w:eastAsia="es-ES"/>
        </w:rPr>
      </w:pPr>
    </w:p>
    <w:p w:rsidR="007E0933" w:rsidRPr="00252BF8" w:rsidRDefault="007E0933" w:rsidP="00A806D9">
      <w:pPr>
        <w:ind w:right="-7"/>
        <w:jc w:val="both"/>
        <w:rPr>
          <w:rFonts w:ascii="Palatino Linotype" w:eastAsia="Palatino Linotype" w:hAnsi="Palatino Linotype" w:cs="Palatino Linotype"/>
          <w:i/>
          <w:color w:val="000000" w:themeColor="text1"/>
          <w:lang w:val="es-ES_tradnl" w:eastAsia="es-ES"/>
        </w:rPr>
      </w:pPr>
      <w:r w:rsidRPr="00252BF8">
        <w:rPr>
          <w:rFonts w:ascii="Palatino Linotype" w:eastAsia="Palatino Linotype" w:hAnsi="Palatino Linotype" w:cs="Palatino Linotype"/>
          <w:b/>
          <w:i/>
          <w:color w:val="000000" w:themeColor="text1"/>
          <w:lang w:val="es-ES_tradnl" w:eastAsia="es-ES"/>
        </w:rPr>
        <w:t xml:space="preserve">“TRANSPARENCIA Y ACCESO A LA INFORMACIÓN PÚBLICA GUBERNAMENTAL. EL ARTÍCULO 14, FRACCIÓN I, DE LA LEY FEDERAL RELATIVA, NO VIOLA LA GARANTÍA DE ACCESO A LA INFORMACIÓN. </w:t>
      </w:r>
      <w:r w:rsidRPr="00252BF8">
        <w:rPr>
          <w:rFonts w:ascii="Palatino Linotype" w:eastAsia="Palatino Linotype" w:hAnsi="Palatino Linotype" w:cs="Palatino Linotype"/>
          <w:i/>
          <w:color w:val="000000" w:themeColor="text1"/>
          <w:lang w:val="es-ES_tradnl" w:eastAsia="es-ES"/>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252BF8">
        <w:rPr>
          <w:rFonts w:ascii="Palatino Linotype" w:eastAsia="Palatino Linotype" w:hAnsi="Palatino Linotype" w:cs="Palatino Linotype"/>
          <w:b/>
          <w:i/>
          <w:color w:val="000000" w:themeColor="text1"/>
          <w:lang w:val="es-ES_tradnl" w:eastAsia="es-E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252BF8">
        <w:rPr>
          <w:rFonts w:ascii="Palatino Linotype" w:eastAsia="Palatino Linotype" w:hAnsi="Palatino Linotype" w:cs="Palatino Linotype"/>
          <w:i/>
          <w:color w:val="000000" w:themeColor="text1"/>
          <w:lang w:val="es-ES_tradnl" w:eastAsia="es-ES"/>
        </w:rPr>
        <w:t xml:space="preserve"> la cual debe ser adecuada y necesaria para alcanzar </w:t>
      </w:r>
      <w:r w:rsidRPr="00252BF8">
        <w:rPr>
          <w:rFonts w:ascii="Palatino Linotype" w:eastAsia="Palatino Linotype" w:hAnsi="Palatino Linotype" w:cs="Palatino Linotype"/>
          <w:i/>
          <w:color w:val="000000" w:themeColor="text1"/>
          <w:lang w:val="es-ES_tradnl" w:eastAsia="es-ES"/>
        </w:rPr>
        <w:lastRenderedPageBreak/>
        <w:t>el fin perseguido, de manera que las ventajas obtenidas con la reserva compensen el sacrificio que ésta implique para los titulares de la garantía individual mencionada o para la sociedad en general.”</w:t>
      </w:r>
    </w:p>
    <w:p w:rsidR="007E0933" w:rsidRPr="00252BF8" w:rsidRDefault="007E0933" w:rsidP="00A806D9">
      <w:pPr>
        <w:ind w:right="-7"/>
        <w:jc w:val="both"/>
        <w:rPr>
          <w:rFonts w:ascii="Palatino Linotype" w:eastAsia="Palatino Linotype" w:hAnsi="Palatino Linotype" w:cs="Palatino Linotype"/>
          <w:i/>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Palatino Linotype" w:hAnsi="Palatino Linotype" w:cs="Palatino Linotype"/>
          <w:color w:val="000000" w:themeColor="text1"/>
          <w:lang w:eastAsia="es-ES"/>
        </w:rPr>
        <w:t>También</w:t>
      </w:r>
      <w:r w:rsidRPr="00252BF8">
        <w:rPr>
          <w:rFonts w:ascii="Palatino Linotype" w:eastAsia="Calibri" w:hAnsi="Palatino Linotype" w:cs="Arial"/>
          <w:color w:val="000000" w:themeColor="text1"/>
          <w:lang w:val="es-ES_tradnl" w:eastAsia="es-ES"/>
        </w:rPr>
        <w:t xml:space="preserve">, el número de cuenta bancario, en el Criterio 10/17 emitido por el Pleno del Instituto Nacional de Transparencia, Acceso a la Información y Protección de Datos Personales , que en el presente asunto se refiere como criterio orientador, toda vez que a la fecha de la solicitud se encontraba vigente. </w:t>
      </w:r>
    </w:p>
    <w:p w:rsidR="007E0933" w:rsidRPr="00252BF8" w:rsidRDefault="007E0933" w:rsidP="00A806D9">
      <w:pPr>
        <w:shd w:val="clear" w:color="auto" w:fill="FFFFFF"/>
        <w:ind w:right="-7"/>
        <w:jc w:val="both"/>
        <w:rPr>
          <w:rFonts w:ascii="Palatino Linotype" w:eastAsia="Palatino Linotype" w:hAnsi="Palatino Linotype" w:cs="Palatino Linotype"/>
          <w:color w:val="000000" w:themeColor="text1"/>
          <w:lang w:val="es-ES_tradnl" w:eastAsia="es-ES"/>
        </w:rPr>
      </w:pPr>
      <w:r w:rsidRPr="00252BF8">
        <w:rPr>
          <w:rFonts w:ascii="Palatino Linotype" w:eastAsia="Palatino Linotype" w:hAnsi="Palatino Linotype" w:cs="Palatino Linotype"/>
          <w:color w:val="000000" w:themeColor="text1"/>
          <w:lang w:val="es-ES_tradnl" w:eastAsia="es-ES"/>
        </w:rPr>
        <w:t>“</w:t>
      </w:r>
      <w:r w:rsidRPr="00252BF8">
        <w:rPr>
          <w:rFonts w:ascii="Palatino Linotype" w:eastAsia="Palatino Linotype" w:hAnsi="Palatino Linotype" w:cs="Palatino Linotype"/>
          <w:b/>
          <w:i/>
          <w:color w:val="000000" w:themeColor="text1"/>
          <w:lang w:val="es-ES_tradnl" w:eastAsia="es-ES"/>
        </w:rPr>
        <w:t>Cuentas bancarias y/o CLABE interbancaria de personas físicas y morales privadas.</w:t>
      </w:r>
      <w:r w:rsidRPr="00252BF8">
        <w:rPr>
          <w:rFonts w:ascii="Palatino Linotype" w:eastAsia="Palatino Linotype" w:hAnsi="Palatino Linotype" w:cs="Palatino Linotype"/>
          <w:i/>
          <w:color w:val="000000" w:themeColor="text1"/>
          <w:lang w:val="es-ES_tradnl" w:eastAsia="es-E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252BF8">
        <w:rPr>
          <w:rFonts w:ascii="Palatino Linotype" w:eastAsia="Palatino Linotype" w:hAnsi="Palatino Linotype" w:cs="Palatino Linotype"/>
          <w:color w:val="000000" w:themeColor="text1"/>
          <w:lang w:val="es-ES_tradnl" w:eastAsia="es-ES"/>
        </w:rPr>
        <w:t>.”</w:t>
      </w:r>
    </w:p>
    <w:p w:rsidR="007E0933" w:rsidRPr="00252BF8" w:rsidRDefault="007E0933" w:rsidP="00A806D9">
      <w:pPr>
        <w:ind w:right="-7"/>
        <w:jc w:val="both"/>
        <w:rPr>
          <w:rFonts w:ascii="Palatino Linotype" w:eastAsia="Palatino Linotype" w:hAnsi="Palatino Linotype" w:cs="Palatino Linotype"/>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t xml:space="preserve">Esta </w:t>
      </w:r>
      <w:r w:rsidRPr="00252BF8">
        <w:rPr>
          <w:rFonts w:ascii="Palatino Linotype" w:eastAsia="Palatino Linotype" w:hAnsi="Palatino Linotype" w:cs="Palatino Linotype"/>
          <w:color w:val="000000" w:themeColor="text1"/>
          <w:lang w:eastAsia="es-ES"/>
        </w:rPr>
        <w:t>cuenta</w:t>
      </w:r>
      <w:r w:rsidRPr="00252BF8">
        <w:rPr>
          <w:rFonts w:ascii="Palatino Linotype" w:eastAsia="Calibri" w:hAnsi="Palatino Linotype" w:cs="Arial"/>
          <w:color w:val="000000" w:themeColor="text1"/>
          <w:lang w:val="es-ES_tradnl" w:eastAsia="es-ES"/>
        </w:rPr>
        <w:t xml:space="preserve">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7E0933" w:rsidRPr="00252BF8" w:rsidRDefault="007E0933" w:rsidP="00A806D9">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Palatino Linotype" w:hAnsi="Palatino Linotype" w:cs="Palatino Linotype"/>
          <w:color w:val="000000" w:themeColor="text1"/>
          <w:lang w:val="es-ES_tradnl" w:eastAsia="es-ES"/>
        </w:rPr>
        <w:lastRenderedPageBreak/>
        <w:t>El</w:t>
      </w:r>
      <w:r w:rsidRPr="00252BF8">
        <w:rPr>
          <w:rFonts w:ascii="Palatino Linotype" w:eastAsia="Calibri" w:hAnsi="Palatino Linotype" w:cs="Arial"/>
          <w:color w:val="000000" w:themeColor="text1"/>
          <w:lang w:val="es-ES_tradnl" w:eastAsia="es-ES"/>
        </w:rPr>
        <w:t xml:space="preserve"> </w:t>
      </w:r>
      <w:r w:rsidRPr="00252BF8">
        <w:rPr>
          <w:rFonts w:ascii="Palatino Linotype" w:eastAsia="Calibri" w:hAnsi="Palatino Linotype" w:cs="Arial"/>
          <w:b/>
          <w:color w:val="000000" w:themeColor="text1"/>
          <w:lang w:val="es-ES_tradnl" w:eastAsia="es-ES"/>
        </w:rPr>
        <w:t>Código de barras bidimensional (QR</w:t>
      </w:r>
      <w:r w:rsidRPr="00252BF8">
        <w:rPr>
          <w:rFonts w:ascii="Palatino Linotype" w:eastAsia="Calibri" w:hAnsi="Palatino Linotype" w:cs="Arial"/>
          <w:color w:val="000000" w:themeColor="text1"/>
          <w:lang w:val="es-ES_tradnl" w:eastAsia="es-ES"/>
        </w:rPr>
        <w:t xml:space="preserve">), resulta necesario señalar que los </w:t>
      </w:r>
      <w:r w:rsidRPr="00252BF8">
        <w:rPr>
          <w:rFonts w:ascii="Palatino Linotype" w:eastAsia="Palatino Linotype" w:hAnsi="Palatino Linotype" w:cs="Palatino Linotype"/>
          <w:color w:val="000000" w:themeColor="text1"/>
          <w:lang w:eastAsia="es-ES"/>
        </w:rPr>
        <w:t>comprobantes</w:t>
      </w:r>
      <w:r w:rsidRPr="00252BF8">
        <w:rPr>
          <w:rFonts w:ascii="Palatino Linotype" w:eastAsia="Calibri" w:hAnsi="Palatino Linotype" w:cs="Arial"/>
          <w:color w:val="000000" w:themeColor="text1"/>
          <w:lang w:val="es-ES_tradnl" w:eastAsia="es-ES"/>
        </w:rPr>
        <w:t xml:space="preserve"> fiscales digitales por Internet, deben de incluir un código bidimensional conforme al formato QR </w:t>
      </w:r>
      <w:proofErr w:type="spellStart"/>
      <w:r w:rsidRPr="00252BF8">
        <w:rPr>
          <w:rFonts w:ascii="Palatino Linotype" w:eastAsia="Calibri" w:hAnsi="Palatino Linotype" w:cs="Arial"/>
          <w:color w:val="000000" w:themeColor="text1"/>
          <w:lang w:val="es-ES_tradnl" w:eastAsia="es-ES"/>
        </w:rPr>
        <w:t>Code</w:t>
      </w:r>
      <w:proofErr w:type="spellEnd"/>
      <w:r w:rsidRPr="00252BF8">
        <w:rPr>
          <w:rFonts w:ascii="Palatino Linotype" w:eastAsia="Calibri" w:hAnsi="Palatino Linotype" w:cs="Arial"/>
          <w:color w:val="000000" w:themeColor="text1"/>
          <w:lang w:val="es-ES_tradnl" w:eastAsia="es-ES"/>
        </w:rPr>
        <w:t xml:space="preserve"> (Quick Response </w:t>
      </w:r>
      <w:proofErr w:type="spellStart"/>
      <w:r w:rsidRPr="00252BF8">
        <w:rPr>
          <w:rFonts w:ascii="Palatino Linotype" w:eastAsia="Calibri" w:hAnsi="Palatino Linotype" w:cs="Arial"/>
          <w:color w:val="000000" w:themeColor="text1"/>
          <w:lang w:val="es-ES_tradnl" w:eastAsia="es-ES"/>
        </w:rPr>
        <w:t>Code</w:t>
      </w:r>
      <w:proofErr w:type="spellEnd"/>
      <w:r w:rsidRPr="00252BF8">
        <w:rPr>
          <w:rFonts w:ascii="Palatino Linotype" w:eastAsia="Calibri" w:hAnsi="Palatino Linotype" w:cs="Arial"/>
          <w:color w:val="000000" w:themeColor="text1"/>
          <w:lang w:val="es-ES_tradnl" w:eastAsia="es-E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r w:rsidRPr="00252BF8">
          <w:rPr>
            <w:rFonts w:ascii="Palatino Linotype" w:eastAsia="Calibri" w:hAnsi="Palatino Linotype" w:cs="Arial"/>
            <w:color w:val="000000" w:themeColor="text1"/>
            <w:lang w:val="es-ES_tradnl" w:eastAsia="es-ES"/>
          </w:rPr>
          <w:t>http://dof.gob.mx/nota_detalle.php?codigo=5492254&amp;fecha=28/07/2017</w:t>
        </w:r>
      </w:hyperlink>
      <w:r w:rsidRPr="00252BF8">
        <w:rPr>
          <w:rFonts w:ascii="Palatino Linotype" w:eastAsia="Calibri" w:hAnsi="Palatino Linotype" w:cs="Arial"/>
          <w:color w:val="000000" w:themeColor="text1"/>
          <w:lang w:val="es-ES_tradnl" w:eastAsia="es-ES"/>
        </w:rPr>
        <w:t>. Incluso con la captura de dicho código, a través de la aplicación móvil del Servicio de Administración Tributaria, permite el acceso al Registro Federal de Contribuyentes, como del Sujeto Obligado, como de la persona física o moral correspondiente.</w:t>
      </w:r>
    </w:p>
    <w:p w:rsidR="007E0933" w:rsidRPr="00252BF8" w:rsidRDefault="007E0933" w:rsidP="00A806D9">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t xml:space="preserve">De </w:t>
      </w:r>
      <w:r w:rsidRPr="00252BF8">
        <w:rPr>
          <w:rFonts w:ascii="Palatino Linotype" w:eastAsia="Palatino Linotype" w:hAnsi="Palatino Linotype" w:cs="Palatino Linotype"/>
          <w:color w:val="000000" w:themeColor="text1"/>
          <w:lang w:eastAsia="es-ES"/>
        </w:rPr>
        <w:t>tales</w:t>
      </w:r>
      <w:r w:rsidRPr="00252BF8">
        <w:rPr>
          <w:rFonts w:ascii="Palatino Linotype" w:eastAsia="Calibri" w:hAnsi="Palatino Linotype" w:cs="Arial"/>
          <w:color w:val="000000" w:themeColor="text1"/>
          <w:lang w:val="es-ES_tradnl" w:eastAsia="es-ES"/>
        </w:rPr>
        <w:t xml:space="preserve">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rsidR="007E0933" w:rsidRPr="00252BF8" w:rsidRDefault="007E0933" w:rsidP="00A806D9">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t xml:space="preserve">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w:t>
      </w:r>
      <w:r w:rsidRPr="00252BF8">
        <w:rPr>
          <w:rFonts w:ascii="Palatino Linotype" w:eastAsia="Calibri" w:hAnsi="Palatino Linotype" w:cs="Arial"/>
          <w:color w:val="000000" w:themeColor="text1"/>
          <w:lang w:val="es-ES_tradnl" w:eastAsia="es-ES"/>
        </w:rPr>
        <w:lastRenderedPageBreak/>
        <w:t xml:space="preserve">y sentido literal es el siguiente, del cual se debe de referir que se usa como criterio orientador, toda vez que a la fecha de la solicitud de encontraba vigente. </w:t>
      </w:r>
    </w:p>
    <w:p w:rsidR="007E0933" w:rsidRPr="00252BF8" w:rsidRDefault="007E0933" w:rsidP="00A806D9">
      <w:pPr>
        <w:shd w:val="clear" w:color="auto" w:fill="FFFFFF"/>
        <w:ind w:right="-7"/>
        <w:jc w:val="both"/>
        <w:rPr>
          <w:rFonts w:ascii="Palatino Linotype" w:eastAsia="Palatino Linotype" w:hAnsi="Palatino Linotype" w:cs="Palatino Linotype"/>
          <w:i/>
          <w:color w:val="000000" w:themeColor="text1"/>
          <w:lang w:val="es-ES_tradnl" w:eastAsia="es-ES"/>
        </w:rPr>
      </w:pPr>
      <w:r w:rsidRPr="00252BF8">
        <w:rPr>
          <w:rFonts w:ascii="Palatino Linotype" w:eastAsia="Palatino Linotype" w:hAnsi="Palatino Linotype" w:cs="Palatino Linotype"/>
          <w:b/>
          <w:i/>
          <w:color w:val="000000" w:themeColor="text1"/>
          <w:lang w:val="es-ES_tradnl" w:eastAsia="es-ES"/>
        </w:rPr>
        <w:t>“El número de ficha de identificación única de los trabajadores es información de carácter confidencial.</w:t>
      </w:r>
      <w:r w:rsidRPr="00252BF8">
        <w:rPr>
          <w:rFonts w:ascii="Palatino Linotype" w:eastAsia="Palatino Linotype" w:hAnsi="Palatino Linotype" w:cs="Palatino Linotype"/>
          <w:i/>
          <w:color w:val="000000" w:themeColor="text1"/>
          <w:lang w:val="es-ES_tradnl" w:eastAsia="es-ES"/>
        </w:rPr>
        <w:t> </w:t>
      </w:r>
      <w:r w:rsidRPr="00252BF8">
        <w:rPr>
          <w:rFonts w:ascii="Palatino Linotype" w:eastAsia="Palatino Linotype" w:hAnsi="Palatino Linotype" w:cs="Palatino Linotype"/>
          <w:i/>
          <w:color w:val="000000" w:themeColor="text1"/>
          <w:u w:val="single"/>
          <w:lang w:val="es-ES_tradnl" w:eastAsia="es-ES"/>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252BF8">
        <w:rPr>
          <w:rFonts w:ascii="Palatino Linotype" w:eastAsia="Palatino Linotype" w:hAnsi="Palatino Linotype" w:cs="Palatino Linotype"/>
          <w:i/>
          <w:color w:val="000000" w:themeColor="text1"/>
          <w:lang w:val="es-ES_tradnl" w:eastAsia="es-ES"/>
        </w:rPr>
        <w:t>, </w:t>
      </w:r>
      <w:r w:rsidRPr="00252BF8">
        <w:rPr>
          <w:rFonts w:ascii="Palatino Linotype" w:eastAsia="Palatino Linotype" w:hAnsi="Palatino Linotype" w:cs="Palatino Linotype"/>
          <w:i/>
          <w:color w:val="000000" w:themeColor="text1"/>
          <w:u w:val="single"/>
          <w:lang w:val="es-ES_tradnl" w:eastAsia="es-ES"/>
        </w:rPr>
        <w:t>dicha información es susceptible de clasificarse con el carácter de confidencial</w:t>
      </w:r>
      <w:r w:rsidRPr="00252BF8">
        <w:rPr>
          <w:rFonts w:ascii="Palatino Linotype" w:eastAsia="Palatino Linotype" w:hAnsi="Palatino Linotype" w:cs="Palatino Linotype"/>
          <w:i/>
          <w:color w:val="000000" w:themeColor="text1"/>
          <w:lang w:val="es-ES_tradnl" w:eastAsia="es-ES"/>
        </w:rPr>
        <w:t>, en términos de lo establecido en el artículo 18, fracción II de la Ley Federal de Transparencia y Acceso a la Información Pública Gubernamental, en virtud de que a través de la misma es posible conocer información personal de su titular.”</w:t>
      </w:r>
    </w:p>
    <w:p w:rsidR="007E0933" w:rsidRPr="00252BF8" w:rsidRDefault="007E0933" w:rsidP="00A806D9">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Palatino Linotype" w:hAnsi="Palatino Linotype" w:cs="Palatino Linotype"/>
          <w:color w:val="000000" w:themeColor="text1"/>
          <w:lang w:eastAsia="es-ES"/>
        </w:rPr>
        <w:t>Ahora</w:t>
      </w:r>
      <w:r w:rsidRPr="00252BF8">
        <w:rPr>
          <w:rFonts w:ascii="Palatino Linotype" w:eastAsia="Calibri" w:hAnsi="Palatino Linotype" w:cs="Arial"/>
          <w:color w:val="000000" w:themeColor="text1"/>
          <w:lang w:val="es-ES_tradnl" w:eastAsia="es-ES"/>
        </w:rPr>
        <w:t xml:space="preserve"> bien, también es necesario indicar que hay información dentro de los recibos de nómina que no contienen datos personales por lo cual su entrega no deberá de ser clasificada, siendo los siguientes. </w:t>
      </w:r>
    </w:p>
    <w:p w:rsidR="007E0933" w:rsidRPr="00252BF8" w:rsidRDefault="007E0933" w:rsidP="00A806D9">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t xml:space="preserve">Por </w:t>
      </w:r>
      <w:r w:rsidRPr="00252BF8">
        <w:rPr>
          <w:rFonts w:ascii="Palatino Linotype" w:eastAsia="Palatino Linotype" w:hAnsi="Palatino Linotype" w:cs="Palatino Linotype"/>
          <w:color w:val="000000" w:themeColor="text1"/>
          <w:lang w:eastAsia="es-ES"/>
        </w:rPr>
        <w:t>cuanto</w:t>
      </w:r>
      <w:r w:rsidRPr="00252BF8">
        <w:rPr>
          <w:rFonts w:ascii="Palatino Linotype" w:eastAsia="Calibri" w:hAnsi="Palatino Linotype" w:cs="Arial"/>
          <w:color w:val="000000" w:themeColor="text1"/>
          <w:lang w:val="es-ES_tradnl" w:eastAsia="es-ES"/>
        </w:rPr>
        <w:t xml:space="preserve"> hace </w:t>
      </w:r>
      <w:r w:rsidRPr="00252BF8">
        <w:rPr>
          <w:rFonts w:ascii="Palatino Linotype" w:eastAsia="Calibri" w:hAnsi="Palatino Linotype" w:cs="Arial"/>
          <w:b/>
          <w:color w:val="000000" w:themeColor="text1"/>
          <w:lang w:val="es-ES_tradnl" w:eastAsia="es-ES"/>
        </w:rPr>
        <w:t>al Folio Fiscal</w:t>
      </w:r>
      <w:r w:rsidRPr="00252BF8">
        <w:rPr>
          <w:rFonts w:ascii="Palatino Linotype" w:eastAsia="Calibri" w:hAnsi="Palatino Linotype" w:cs="Arial"/>
          <w:color w:val="000000" w:themeColor="text1"/>
          <w:lang w:val="es-ES_tradnl" w:eastAsia="es-ES"/>
        </w:rPr>
        <w:t>,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7E0933" w:rsidRPr="00252BF8" w:rsidRDefault="007E0933" w:rsidP="00A806D9">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252BF8" w:rsidRDefault="007E0933" w:rsidP="00A806D9">
      <w:pPr>
        <w:pBdr>
          <w:top w:val="nil"/>
          <w:left w:val="nil"/>
          <w:bottom w:val="nil"/>
          <w:right w:val="nil"/>
          <w:between w:val="nil"/>
        </w:pBdr>
        <w:spacing w:line="360" w:lineRule="auto"/>
        <w:ind w:right="-7"/>
        <w:jc w:val="center"/>
        <w:rPr>
          <w:rFonts w:ascii="Palatino Linotype" w:eastAsia="Palatino Linotype" w:hAnsi="Palatino Linotype" w:cs="Palatino Linotype"/>
          <w:color w:val="000000" w:themeColor="text1"/>
          <w:lang w:val="es-ES_tradnl" w:eastAsia="es-ES"/>
        </w:rPr>
      </w:pPr>
      <w:r w:rsidRPr="00252BF8">
        <w:rPr>
          <w:rFonts w:ascii="Palatino Linotype" w:eastAsia="Palatino Linotype" w:hAnsi="Palatino Linotype" w:cs="Palatino Linotype"/>
          <w:noProof/>
          <w:color w:val="000000" w:themeColor="text1"/>
        </w:rPr>
        <w:lastRenderedPageBreak/>
        <w:drawing>
          <wp:inline distT="0" distB="0" distL="0" distR="0" wp14:anchorId="34900C31" wp14:editId="15308AF2">
            <wp:extent cx="4667250" cy="1181100"/>
            <wp:effectExtent l="152400" t="152400" r="361950" b="36195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b="32787"/>
                    <a:stretch>
                      <a:fillRect/>
                    </a:stretch>
                  </pic:blipFill>
                  <pic:spPr>
                    <a:xfrm>
                      <a:off x="0" y="0"/>
                      <a:ext cx="4667250" cy="1181100"/>
                    </a:xfrm>
                    <a:prstGeom prst="rect">
                      <a:avLst/>
                    </a:prstGeom>
                    <a:ln>
                      <a:noFill/>
                    </a:ln>
                    <a:effectLst>
                      <a:outerShdw blurRad="292100" dist="139700" dir="2700000" algn="tl" rotWithShape="0">
                        <a:srgbClr val="333333">
                          <a:alpha val="65000"/>
                        </a:srgbClr>
                      </a:outerShdw>
                    </a:effectLst>
                  </pic:spPr>
                </pic:pic>
              </a:graphicData>
            </a:graphic>
          </wp:inline>
        </w:drawing>
      </w: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Palatino Linotype" w:hAnsi="Palatino Linotype" w:cs="Palatino Linotype"/>
          <w:color w:val="000000" w:themeColor="text1"/>
          <w:lang w:eastAsia="es-ES"/>
        </w:rPr>
        <w:t>En</w:t>
      </w:r>
      <w:r w:rsidRPr="00252BF8">
        <w:rPr>
          <w:rFonts w:ascii="Palatino Linotype" w:eastAsia="Calibri" w:hAnsi="Palatino Linotype" w:cs="Arial"/>
          <w:color w:val="000000" w:themeColor="text1"/>
          <w:lang w:val="es-ES_tradnl" w:eastAsia="es-ES"/>
        </w:rPr>
        <w:t xml:space="preserve">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de algún dato personal, por lo que, no se actualiza la clasificación, en términos del artículo 143, fracción I de la Ley de la materia.</w:t>
      </w:r>
    </w:p>
    <w:p w:rsidR="007E0933" w:rsidRPr="00252BF8" w:rsidRDefault="007E0933" w:rsidP="00A806D9">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t xml:space="preserve">En </w:t>
      </w:r>
      <w:r w:rsidRPr="00252BF8">
        <w:rPr>
          <w:rFonts w:ascii="Palatino Linotype" w:eastAsia="Palatino Linotype" w:hAnsi="Palatino Linotype" w:cs="Palatino Linotype"/>
          <w:color w:val="000000" w:themeColor="text1"/>
          <w:lang w:eastAsia="es-ES"/>
        </w:rPr>
        <w:t>esa</w:t>
      </w:r>
      <w:r w:rsidRPr="00252BF8">
        <w:rPr>
          <w:rFonts w:ascii="Palatino Linotype" w:eastAsia="Calibri" w:hAnsi="Palatino Linotype" w:cs="Arial"/>
          <w:color w:val="000000" w:themeColor="text1"/>
          <w:lang w:val="es-ES_tradnl" w:eastAsia="es-ES"/>
        </w:rPr>
        <w:t xml:space="preserve"> línea de estudio, 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7E0933" w:rsidRPr="00252BF8" w:rsidRDefault="007E0933" w:rsidP="00A806D9">
      <w:pPr>
        <w:ind w:right="-7"/>
        <w:jc w:val="both"/>
        <w:rPr>
          <w:rFonts w:ascii="Palatino Linotype" w:eastAsia="Palatino Linotype" w:hAnsi="Palatino Linotype" w:cs="Palatino Linotype"/>
          <w:i/>
          <w:color w:val="000000" w:themeColor="text1"/>
          <w:lang w:val="es-ES_tradnl" w:eastAsia="es-ES"/>
        </w:rPr>
      </w:pPr>
      <w:r w:rsidRPr="00252BF8">
        <w:rPr>
          <w:rFonts w:ascii="Palatino Linotype" w:eastAsia="Palatino Linotype" w:hAnsi="Palatino Linotype" w:cs="Palatino Linotype"/>
          <w:i/>
          <w:color w:val="000000" w:themeColor="text1"/>
          <w:lang w:val="es-ES_tradnl" w:eastAsia="es-ES"/>
        </w:rPr>
        <w:t>“Elementos utilizados en la generación de Sellos Digitales:</w:t>
      </w:r>
    </w:p>
    <w:p w:rsidR="007E0933" w:rsidRPr="00252BF8" w:rsidRDefault="007E0933" w:rsidP="00A806D9">
      <w:pPr>
        <w:ind w:right="-7"/>
        <w:jc w:val="both"/>
        <w:rPr>
          <w:rFonts w:ascii="Palatino Linotype" w:eastAsia="Palatino Linotype" w:hAnsi="Palatino Linotype" w:cs="Palatino Linotype"/>
          <w:i/>
          <w:color w:val="000000" w:themeColor="text1"/>
          <w:lang w:val="es-ES_tradnl" w:eastAsia="es-ES"/>
        </w:rPr>
      </w:pPr>
      <w:r w:rsidRPr="00252BF8">
        <w:rPr>
          <w:rFonts w:ascii="Palatino Linotype" w:eastAsia="Palatino Linotype" w:hAnsi="Palatino Linotype" w:cs="Palatino Linotype"/>
          <w:i/>
          <w:color w:val="000000" w:themeColor="text1"/>
          <w:lang w:val="es-ES_tradnl" w:eastAsia="es-ES"/>
        </w:rPr>
        <w:t>•</w:t>
      </w:r>
      <w:r w:rsidRPr="00252BF8">
        <w:rPr>
          <w:rFonts w:ascii="Palatino Linotype" w:eastAsia="Palatino Linotype" w:hAnsi="Palatino Linotype" w:cs="Palatino Linotype"/>
          <w:i/>
          <w:color w:val="000000" w:themeColor="text1"/>
          <w:lang w:val="es-ES_tradnl" w:eastAsia="es-ES"/>
        </w:rPr>
        <w:tab/>
        <w:t>Cadena Original, el elemento a sellar, en este caso de un comprobante fiscal digital a través de Internet.</w:t>
      </w:r>
    </w:p>
    <w:p w:rsidR="007E0933" w:rsidRPr="00252BF8" w:rsidRDefault="007E0933" w:rsidP="00A806D9">
      <w:pPr>
        <w:ind w:right="-7"/>
        <w:jc w:val="both"/>
        <w:rPr>
          <w:rFonts w:ascii="Palatino Linotype" w:eastAsia="Palatino Linotype" w:hAnsi="Palatino Linotype" w:cs="Palatino Linotype"/>
          <w:i/>
          <w:color w:val="000000" w:themeColor="text1"/>
          <w:lang w:val="es-ES_tradnl" w:eastAsia="es-ES"/>
        </w:rPr>
      </w:pPr>
      <w:r w:rsidRPr="00252BF8">
        <w:rPr>
          <w:rFonts w:ascii="Palatino Linotype" w:eastAsia="Palatino Linotype" w:hAnsi="Palatino Linotype" w:cs="Palatino Linotype"/>
          <w:i/>
          <w:color w:val="000000" w:themeColor="text1"/>
          <w:lang w:val="es-ES_tradnl" w:eastAsia="es-ES"/>
        </w:rPr>
        <w:t>•</w:t>
      </w:r>
      <w:r w:rsidRPr="00252BF8">
        <w:rPr>
          <w:rFonts w:ascii="Palatino Linotype" w:eastAsia="Palatino Linotype" w:hAnsi="Palatino Linotype" w:cs="Palatino Linotype"/>
          <w:i/>
          <w:color w:val="000000" w:themeColor="text1"/>
          <w:lang w:val="es-ES_tradnl" w:eastAsia="es-ES"/>
        </w:rPr>
        <w:tab/>
        <w:t>Certificado de Sello Digital y su correspondiente clave privada.</w:t>
      </w:r>
    </w:p>
    <w:p w:rsidR="007E0933" w:rsidRPr="00252BF8" w:rsidRDefault="007E0933" w:rsidP="00A806D9">
      <w:pPr>
        <w:ind w:right="-7"/>
        <w:jc w:val="both"/>
        <w:rPr>
          <w:rFonts w:ascii="Palatino Linotype" w:eastAsia="Palatino Linotype" w:hAnsi="Palatino Linotype" w:cs="Palatino Linotype"/>
          <w:i/>
          <w:color w:val="000000" w:themeColor="text1"/>
          <w:lang w:val="es-ES_tradnl" w:eastAsia="es-ES"/>
        </w:rPr>
      </w:pPr>
      <w:r w:rsidRPr="00252BF8">
        <w:rPr>
          <w:rFonts w:ascii="Palatino Linotype" w:eastAsia="Palatino Linotype" w:hAnsi="Palatino Linotype" w:cs="Palatino Linotype"/>
          <w:i/>
          <w:color w:val="000000" w:themeColor="text1"/>
          <w:lang w:val="es-ES_tradnl" w:eastAsia="es-ES"/>
        </w:rPr>
        <w:t>•</w:t>
      </w:r>
      <w:r w:rsidRPr="00252BF8">
        <w:rPr>
          <w:rFonts w:ascii="Palatino Linotype" w:eastAsia="Palatino Linotype" w:hAnsi="Palatino Linotype" w:cs="Palatino Linotype"/>
          <w:i/>
          <w:color w:val="000000" w:themeColor="text1"/>
          <w:lang w:val="es-ES_tradnl" w:eastAsia="es-ES"/>
        </w:rPr>
        <w:tab/>
        <w:t>Algoritmos de criptografía de clave pública para firma electrónica avanzada.</w:t>
      </w:r>
    </w:p>
    <w:p w:rsidR="007E0933" w:rsidRPr="00252BF8" w:rsidRDefault="007E0933" w:rsidP="00A806D9">
      <w:pPr>
        <w:ind w:right="-7"/>
        <w:jc w:val="both"/>
        <w:rPr>
          <w:rFonts w:ascii="Palatino Linotype" w:eastAsia="Palatino Linotype" w:hAnsi="Palatino Linotype" w:cs="Palatino Linotype"/>
          <w:i/>
          <w:color w:val="000000" w:themeColor="text1"/>
          <w:lang w:val="es-ES_tradnl" w:eastAsia="es-ES"/>
        </w:rPr>
      </w:pPr>
      <w:r w:rsidRPr="00252BF8">
        <w:rPr>
          <w:rFonts w:ascii="Palatino Linotype" w:eastAsia="Palatino Linotype" w:hAnsi="Palatino Linotype" w:cs="Palatino Linotype"/>
          <w:i/>
          <w:color w:val="000000" w:themeColor="text1"/>
          <w:lang w:val="es-ES_tradnl" w:eastAsia="es-ES"/>
        </w:rPr>
        <w:t>•</w:t>
      </w:r>
      <w:r w:rsidRPr="00252BF8">
        <w:rPr>
          <w:rFonts w:ascii="Palatino Linotype" w:eastAsia="Palatino Linotype" w:hAnsi="Palatino Linotype" w:cs="Palatino Linotype"/>
          <w:i/>
          <w:color w:val="000000" w:themeColor="text1"/>
          <w:lang w:val="es-ES_tradnl" w:eastAsia="es-ES"/>
        </w:rPr>
        <w:tab/>
        <w:t>Especificaciones de conversión de la firma electrónica avanzada a Base 64.</w:t>
      </w:r>
    </w:p>
    <w:p w:rsidR="007E0933" w:rsidRPr="00252BF8" w:rsidRDefault="007E0933" w:rsidP="00A806D9">
      <w:pPr>
        <w:ind w:right="-7"/>
        <w:jc w:val="both"/>
        <w:rPr>
          <w:rFonts w:ascii="Palatino Linotype" w:eastAsia="Palatino Linotype" w:hAnsi="Palatino Linotype" w:cs="Palatino Linotype"/>
          <w:i/>
          <w:color w:val="000000" w:themeColor="text1"/>
          <w:lang w:val="es-ES_tradnl" w:eastAsia="es-ES"/>
        </w:rPr>
      </w:pPr>
      <w:r w:rsidRPr="00252BF8">
        <w:rPr>
          <w:rFonts w:ascii="Palatino Linotype" w:eastAsia="Palatino Linotype" w:hAnsi="Palatino Linotype" w:cs="Palatino Linotype"/>
          <w:i/>
          <w:color w:val="000000" w:themeColor="text1"/>
          <w:lang w:val="es-ES_tradnl" w:eastAsia="es-ES"/>
        </w:rPr>
        <w:lastRenderedPageBreak/>
        <w:t>Para la generación de sellos digitales se utiliza criptografía de clave pública aplicada a una cadena original.</w:t>
      </w:r>
    </w:p>
    <w:p w:rsidR="007E0933" w:rsidRPr="00252BF8" w:rsidRDefault="007E0933" w:rsidP="00A806D9">
      <w:pPr>
        <w:ind w:right="-7"/>
        <w:jc w:val="both"/>
        <w:rPr>
          <w:rFonts w:ascii="Palatino Linotype" w:eastAsia="Palatino Linotype" w:hAnsi="Palatino Linotype" w:cs="Palatino Linotype"/>
          <w:i/>
          <w:color w:val="000000" w:themeColor="text1"/>
          <w:lang w:val="es-ES_tradnl" w:eastAsia="es-ES"/>
        </w:rPr>
      </w:pPr>
      <w:r w:rsidRPr="00252BF8">
        <w:rPr>
          <w:rFonts w:ascii="Palatino Linotype" w:eastAsia="Palatino Linotype" w:hAnsi="Palatino Linotype" w:cs="Palatino Linotype"/>
          <w:i/>
          <w:color w:val="000000" w:themeColor="text1"/>
          <w:lang w:val="es-ES_tradnl" w:eastAsia="es-ES"/>
        </w:rPr>
        <w:t>Criptografía de la Clave Pública</w:t>
      </w:r>
    </w:p>
    <w:p w:rsidR="007E0933" w:rsidRPr="00252BF8" w:rsidRDefault="007E0933" w:rsidP="00A806D9">
      <w:pPr>
        <w:ind w:right="-7"/>
        <w:jc w:val="both"/>
        <w:rPr>
          <w:rFonts w:ascii="Palatino Linotype" w:eastAsia="Palatino Linotype" w:hAnsi="Palatino Linotype" w:cs="Palatino Linotype"/>
          <w:i/>
          <w:color w:val="000000" w:themeColor="text1"/>
          <w:lang w:val="es-ES_tradnl" w:eastAsia="es-ES"/>
        </w:rPr>
      </w:pPr>
      <w:r w:rsidRPr="00252BF8">
        <w:rPr>
          <w:rFonts w:ascii="Palatino Linotype" w:eastAsia="Palatino Linotype" w:hAnsi="Palatino Linotype" w:cs="Palatino Linotype"/>
          <w:i/>
          <w:color w:val="000000" w:themeColor="text1"/>
          <w:lang w:val="es-ES_tradnl" w:eastAsia="es-ES"/>
        </w:rPr>
        <w:t xml:space="preserve">La criptografía de Clave Pública se basa en la generación de una pareja de números muy grandes relacionados íntimamente entre sí, de tal manera que una operación de </w:t>
      </w:r>
      <w:proofErr w:type="spellStart"/>
      <w:r w:rsidRPr="00252BF8">
        <w:rPr>
          <w:rFonts w:ascii="Palatino Linotype" w:eastAsia="Palatino Linotype" w:hAnsi="Palatino Linotype" w:cs="Palatino Linotype"/>
          <w:i/>
          <w:color w:val="000000" w:themeColor="text1"/>
          <w:lang w:val="es-ES_tradnl" w:eastAsia="es-ES"/>
        </w:rPr>
        <w:t>encripción</w:t>
      </w:r>
      <w:proofErr w:type="spellEnd"/>
      <w:r w:rsidRPr="00252BF8">
        <w:rPr>
          <w:rFonts w:ascii="Palatino Linotype" w:eastAsia="Palatino Linotype" w:hAnsi="Palatino Linotype" w:cs="Palatino Linotype"/>
          <w:i/>
          <w:color w:val="000000" w:themeColor="text1"/>
          <w:lang w:val="es-ES_tradnl" w:eastAsia="es-ES"/>
        </w:rPr>
        <w:t xml:space="preserve"> sobre un mensaje tomando como clave de </w:t>
      </w:r>
      <w:proofErr w:type="spellStart"/>
      <w:r w:rsidRPr="00252BF8">
        <w:rPr>
          <w:rFonts w:ascii="Palatino Linotype" w:eastAsia="Palatino Linotype" w:hAnsi="Palatino Linotype" w:cs="Palatino Linotype"/>
          <w:i/>
          <w:color w:val="000000" w:themeColor="text1"/>
          <w:lang w:val="es-ES_tradnl" w:eastAsia="es-ES"/>
        </w:rPr>
        <w:t>encripción</w:t>
      </w:r>
      <w:proofErr w:type="spellEnd"/>
      <w:r w:rsidRPr="00252BF8">
        <w:rPr>
          <w:rFonts w:ascii="Palatino Linotype" w:eastAsia="Palatino Linotype" w:hAnsi="Palatino Linotype" w:cs="Palatino Linotype"/>
          <w:i/>
          <w:color w:val="000000" w:themeColor="text1"/>
          <w:lang w:val="es-ES_tradnl" w:eastAsia="es-ES"/>
        </w:rPr>
        <w:t xml:space="preserve"> a uno de los dos números, produce un mensaje alterado en su significado que solo puede ser devuelto a su estado original mediante la operación de </w:t>
      </w:r>
      <w:proofErr w:type="spellStart"/>
      <w:r w:rsidRPr="00252BF8">
        <w:rPr>
          <w:rFonts w:ascii="Palatino Linotype" w:eastAsia="Palatino Linotype" w:hAnsi="Palatino Linotype" w:cs="Palatino Linotype"/>
          <w:i/>
          <w:color w:val="000000" w:themeColor="text1"/>
          <w:lang w:val="es-ES_tradnl" w:eastAsia="es-ES"/>
        </w:rPr>
        <w:t>desencripción</w:t>
      </w:r>
      <w:proofErr w:type="spellEnd"/>
      <w:r w:rsidRPr="00252BF8">
        <w:rPr>
          <w:rFonts w:ascii="Palatino Linotype" w:eastAsia="Palatino Linotype" w:hAnsi="Palatino Linotype" w:cs="Palatino Linotype"/>
          <w:i/>
          <w:color w:val="000000" w:themeColor="text1"/>
          <w:lang w:val="es-ES_tradnl" w:eastAsia="es-ES"/>
        </w:rPr>
        <w:t xml:space="preserve"> correspondiente tomando como clave de </w:t>
      </w:r>
      <w:proofErr w:type="spellStart"/>
      <w:r w:rsidRPr="00252BF8">
        <w:rPr>
          <w:rFonts w:ascii="Palatino Linotype" w:eastAsia="Palatino Linotype" w:hAnsi="Palatino Linotype" w:cs="Palatino Linotype"/>
          <w:i/>
          <w:color w:val="000000" w:themeColor="text1"/>
          <w:lang w:val="es-ES_tradnl" w:eastAsia="es-ES"/>
        </w:rPr>
        <w:t>desencripción</w:t>
      </w:r>
      <w:proofErr w:type="spellEnd"/>
      <w:r w:rsidRPr="00252BF8">
        <w:rPr>
          <w:rFonts w:ascii="Palatino Linotype" w:eastAsia="Palatino Linotype" w:hAnsi="Palatino Linotype" w:cs="Palatino Linotype"/>
          <w:i/>
          <w:color w:val="000000" w:themeColor="text1"/>
          <w:lang w:val="es-ES_tradnl" w:eastAsia="es-ES"/>
        </w:rPr>
        <w:t xml:space="preserve"> al otro número de la pareja.”</w:t>
      </w:r>
    </w:p>
    <w:p w:rsidR="007E0933" w:rsidRPr="00252BF8" w:rsidRDefault="007E0933" w:rsidP="00A806D9">
      <w:pPr>
        <w:ind w:right="-7"/>
        <w:jc w:val="both"/>
        <w:rPr>
          <w:rFonts w:ascii="Palatino Linotype" w:eastAsia="Palatino Linotype" w:hAnsi="Palatino Linotype" w:cs="Palatino Linotype"/>
          <w:i/>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Palatino Linotype" w:hAnsi="Palatino Linotype" w:cs="Palatino Linotype"/>
          <w:color w:val="000000" w:themeColor="text1"/>
          <w:lang w:val="es-ES_tradnl" w:eastAsia="es-ES"/>
        </w:rPr>
        <w:t>Es</w:t>
      </w:r>
      <w:r w:rsidRPr="00252BF8">
        <w:rPr>
          <w:rFonts w:ascii="Palatino Linotype" w:eastAsia="Calibri" w:hAnsi="Palatino Linotype" w:cs="Arial"/>
          <w:color w:val="000000" w:themeColor="text1"/>
          <w:lang w:val="es-ES_tradnl" w:eastAsia="es-ES"/>
        </w:rPr>
        <w:t xml:space="preserve"> </w:t>
      </w:r>
      <w:r w:rsidRPr="00252BF8">
        <w:rPr>
          <w:rFonts w:ascii="Palatino Linotype" w:eastAsia="Palatino Linotype" w:hAnsi="Palatino Linotype" w:cs="Palatino Linotype"/>
          <w:color w:val="000000" w:themeColor="text1"/>
          <w:lang w:eastAsia="es-ES"/>
        </w:rPr>
        <w:t>decir</w:t>
      </w:r>
      <w:r w:rsidRPr="00252BF8">
        <w:rPr>
          <w:rFonts w:ascii="Palatino Linotype" w:eastAsia="Calibri" w:hAnsi="Palatino Linotype" w:cs="Arial"/>
          <w:color w:val="000000" w:themeColor="text1"/>
          <w:lang w:val="es-ES_tradnl" w:eastAsia="es-ES"/>
        </w:rPr>
        <w:t xml:space="preserve">, por sí solos las cadenas originales y los sellos originales no contienen datos personales confidenciales, por lo que se considera que </w:t>
      </w:r>
      <w:r w:rsidRPr="00252BF8">
        <w:rPr>
          <w:rFonts w:ascii="Palatino Linotype" w:eastAsia="Calibri" w:hAnsi="Palatino Linotype" w:cs="Arial"/>
          <w:b/>
          <w:color w:val="000000" w:themeColor="text1"/>
          <w:lang w:val="es-ES_tradnl" w:eastAsia="es-ES"/>
        </w:rPr>
        <w:t>no actualizan el supuesto de confidencialidad previsto en el artículo 143, fracción I</w:t>
      </w:r>
      <w:r w:rsidRPr="00252BF8">
        <w:rPr>
          <w:rFonts w:ascii="Palatino Linotype" w:eastAsia="Calibri" w:hAnsi="Palatino Linotype" w:cs="Arial"/>
          <w:color w:val="000000" w:themeColor="text1"/>
          <w:lang w:val="es-ES_tradnl" w:eastAsia="es-ES"/>
        </w:rPr>
        <w:t>, de la Ley de Transparencia y Acceso a la Información Pública del Estado de México y Municipios y, por el contrario, son información que permite corroborar la legitimidad de la factura, de ser el caso, por lo que guardan el carácter de público.</w:t>
      </w:r>
    </w:p>
    <w:p w:rsidR="007E0933" w:rsidRPr="00252BF8" w:rsidRDefault="007E0933" w:rsidP="00A806D9">
      <w:pPr>
        <w:spacing w:line="360" w:lineRule="auto"/>
        <w:ind w:right="-7"/>
        <w:jc w:val="both"/>
        <w:rPr>
          <w:rFonts w:ascii="Palatino Linotype" w:eastAsia="Palatino Linotype" w:hAnsi="Palatino Linotype" w:cs="Palatino Linotype"/>
          <w:b/>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Palatino Linotype" w:hAnsi="Palatino Linotype" w:cs="Palatino Linotype"/>
          <w:color w:val="000000" w:themeColor="text1"/>
          <w:lang w:eastAsia="es-ES"/>
        </w:rPr>
        <w:t>Por</w:t>
      </w:r>
      <w:r w:rsidRPr="00252BF8">
        <w:rPr>
          <w:rFonts w:ascii="Palatino Linotype" w:eastAsia="Calibri" w:hAnsi="Palatino Linotype" w:cs="Arial"/>
          <w:color w:val="000000" w:themeColor="text1"/>
          <w:lang w:val="es-ES_tradnl" w:eastAsia="es-ES"/>
        </w:rPr>
        <w:t xml:space="preserve"> otra parte, por lo que hace al </w:t>
      </w:r>
      <w:r w:rsidRPr="00252BF8">
        <w:rPr>
          <w:rFonts w:ascii="Palatino Linotype" w:eastAsia="Calibri" w:hAnsi="Palatino Linotype" w:cs="Arial"/>
          <w:b/>
          <w:color w:val="000000" w:themeColor="text1"/>
          <w:lang w:val="es-ES_tradnl" w:eastAsia="es-ES"/>
        </w:rPr>
        <w:t>número de serie de los certificados de Sello Digitales del emisor y del Servicio de Administración Tributaria</w:t>
      </w:r>
      <w:r w:rsidRPr="00252BF8">
        <w:rPr>
          <w:rFonts w:ascii="Palatino Linotype" w:eastAsia="Calibri" w:hAnsi="Palatino Linotype" w:cs="Arial"/>
          <w:color w:val="000000" w:themeColor="text1"/>
          <w:lang w:val="es-ES_tradnl" w:eastAsia="es-ES"/>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veinticinco de junio de dos mil diecinueve, a las dieciséis horas con diez minutos, en la página electrónica </w:t>
      </w:r>
      <w:hyperlink r:id="rId11">
        <w:r w:rsidRPr="00252BF8">
          <w:rPr>
            <w:rFonts w:ascii="Palatino Linotype" w:eastAsia="Calibri" w:hAnsi="Palatino Linotype" w:cs="Arial"/>
            <w:color w:val="000000" w:themeColor="text1"/>
            <w:lang w:val="es-ES_tradnl" w:eastAsia="es-ES"/>
          </w:rPr>
          <w:t>https://portalanterior.ine.mx/archivos2/tutoriales/sistemas/ApoyoInstitucional/SIF/doc</w:t>
        </w:r>
        <w:r w:rsidRPr="00252BF8">
          <w:rPr>
            <w:rFonts w:ascii="Palatino Linotype" w:eastAsia="Calibri" w:hAnsi="Palatino Linotype" w:cs="Arial"/>
            <w:color w:val="000000" w:themeColor="text1"/>
            <w:lang w:val="es-ES_tradnl" w:eastAsia="es-ES"/>
          </w:rPr>
          <w:lastRenderedPageBreak/>
          <w:t>s/candidatos/folioFiscalFactura.pdf</w:t>
        </w:r>
      </w:hyperlink>
      <w:r w:rsidRPr="00252BF8">
        <w:rPr>
          <w:rFonts w:ascii="Palatino Linotype" w:eastAsia="Calibri" w:hAnsi="Palatino Linotype" w:cs="Arial"/>
          <w:color w:val="000000" w:themeColor="text1"/>
          <w:lang w:val="es-ES_tradnl" w:eastAsia="es-ES"/>
        </w:rPr>
        <w:t>), en la cual se advierte que únicamente se encuentra conformado por números, se muestra a continuación:</w:t>
      </w:r>
    </w:p>
    <w:p w:rsidR="007E0933" w:rsidRPr="00252BF8" w:rsidRDefault="007E0933" w:rsidP="00A806D9">
      <w:pPr>
        <w:spacing w:line="360" w:lineRule="auto"/>
        <w:ind w:right="-7"/>
        <w:jc w:val="center"/>
        <w:rPr>
          <w:rFonts w:ascii="Palatino Linotype" w:eastAsia="Palatino Linotype" w:hAnsi="Palatino Linotype" w:cs="Palatino Linotype"/>
          <w:color w:val="000000" w:themeColor="text1"/>
          <w:lang w:val="es-ES_tradnl" w:eastAsia="es-ES"/>
        </w:rPr>
      </w:pPr>
      <w:r w:rsidRPr="00252BF8">
        <w:rPr>
          <w:rFonts w:ascii="Palatino Linotype" w:hAnsi="Palatino Linotype"/>
          <w:noProof/>
          <w:color w:val="000000" w:themeColor="text1"/>
        </w:rPr>
        <mc:AlternateContent>
          <mc:Choice Requires="wps">
            <w:drawing>
              <wp:anchor distT="0" distB="0" distL="114300" distR="114300" simplePos="0" relativeHeight="251659264" behindDoc="0" locked="0" layoutInCell="1" hidden="0" allowOverlap="1" wp14:anchorId="024F22E9" wp14:editId="30FAF294">
                <wp:simplePos x="0" y="0"/>
                <wp:positionH relativeFrom="column">
                  <wp:posOffset>646817</wp:posOffset>
                </wp:positionH>
                <wp:positionV relativeFrom="paragraph">
                  <wp:posOffset>663603</wp:posOffset>
                </wp:positionV>
                <wp:extent cx="3543300" cy="323850"/>
                <wp:effectExtent l="0" t="0" r="0" b="0"/>
                <wp:wrapNone/>
                <wp:docPr id="48" name="Rectángulo 48"/>
                <wp:cNvGraphicFramePr/>
                <a:graphic xmlns:a="http://schemas.openxmlformats.org/drawingml/2006/main">
                  <a:graphicData uri="http://schemas.microsoft.com/office/word/2010/wordprocessingShape">
                    <wps:wsp>
                      <wps:cNvSpPr/>
                      <wps:spPr>
                        <a:xfrm>
                          <a:off x="0" y="0"/>
                          <a:ext cx="3543300" cy="323850"/>
                        </a:xfrm>
                        <a:prstGeom prst="rect">
                          <a:avLst/>
                        </a:prstGeom>
                        <a:noFill/>
                        <a:ln w="28575" cap="flat" cmpd="sng">
                          <a:solidFill>
                            <a:srgbClr val="000000"/>
                          </a:solidFill>
                          <a:prstDash val="solid"/>
                          <a:miter lim="800000"/>
                          <a:headEnd type="none" w="sm" len="sm"/>
                          <a:tailEnd type="none" w="sm" len="sm"/>
                        </a:ln>
                      </wps:spPr>
                      <wps:txbx>
                        <w:txbxContent>
                          <w:p w:rsidR="00A806D9" w:rsidRDefault="00A806D9" w:rsidP="007E0933">
                            <w:pPr>
                              <w:textDirection w:val="btLr"/>
                            </w:pPr>
                          </w:p>
                        </w:txbxContent>
                      </wps:txbx>
                      <wps:bodyPr spcFirstLastPara="1" wrap="square" lIns="91425" tIns="91425" rIns="91425" bIns="91425" anchor="ctr" anchorCtr="0">
                        <a:noAutofit/>
                      </wps:bodyPr>
                    </wps:wsp>
                  </a:graphicData>
                </a:graphic>
              </wp:anchor>
            </w:drawing>
          </mc:Choice>
          <mc:Fallback>
            <w:pict>
              <v:rect w14:anchorId="024F22E9" id="Rectángulo 48" o:spid="_x0000_s1026" style="position:absolute;left:0;text-align:left;margin-left:50.95pt;margin-top:52.25pt;width:279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" filled="f" strokeweight="2.25pt">
                <v:stroke startarrowwidth="narrow" startarrowlength="short" endarrowwidth="narrow" endarrowlength="short"/>
                <v:textbox inset="2.53958mm,2.53958mm,2.53958mm,2.53958mm">
                  <w:txbxContent>
                    <w:p w:rsidR="00A806D9" w:rsidRDefault="00A806D9" w:rsidP="007E0933">
                      <w:pPr>
                        <w:textDirection w:val="btLr"/>
                      </w:pPr>
                    </w:p>
                  </w:txbxContent>
                </v:textbox>
              </v:rect>
            </w:pict>
          </mc:Fallback>
        </mc:AlternateContent>
      </w:r>
      <w:r w:rsidRPr="00252BF8">
        <w:rPr>
          <w:rFonts w:ascii="Palatino Linotype" w:eastAsia="Palatino Linotype" w:hAnsi="Palatino Linotype" w:cs="Palatino Linotype"/>
          <w:noProof/>
          <w:color w:val="000000" w:themeColor="text1"/>
        </w:rPr>
        <w:drawing>
          <wp:inline distT="0" distB="0" distL="0" distR="0" wp14:anchorId="2638D882" wp14:editId="6DD6BB4E">
            <wp:extent cx="5189855" cy="100965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189855" cy="1009650"/>
                    </a:xfrm>
                    <a:prstGeom prst="rect">
                      <a:avLst/>
                    </a:prstGeom>
                    <a:ln/>
                  </pic:spPr>
                </pic:pic>
              </a:graphicData>
            </a:graphic>
          </wp:inline>
        </w:drawing>
      </w:r>
    </w:p>
    <w:p w:rsidR="007E0933" w:rsidRPr="00252BF8" w:rsidRDefault="007E0933" w:rsidP="00A806D9">
      <w:pPr>
        <w:spacing w:line="360" w:lineRule="auto"/>
        <w:ind w:right="-7"/>
        <w:jc w:val="center"/>
        <w:rPr>
          <w:rFonts w:ascii="Palatino Linotype" w:eastAsia="Palatino Linotype" w:hAnsi="Palatino Linotype" w:cs="Palatino Linotype"/>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t>Cómo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007E0933" w:rsidRPr="00252BF8" w:rsidRDefault="007E0933" w:rsidP="00A806D9">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252BF8">
        <w:rPr>
          <w:rFonts w:ascii="Palatino Linotype" w:eastAsia="Calibri" w:hAnsi="Palatino Linotype" w:cs="Arial"/>
          <w:color w:val="000000" w:themeColor="text1"/>
          <w:lang w:val="es-ES_tradnl" w:eastAsia="es-ES"/>
        </w:rPr>
        <w:t xml:space="preserve">En ese sentido, el </w:t>
      </w:r>
      <w:r w:rsidRPr="00252BF8">
        <w:rPr>
          <w:rFonts w:ascii="Palatino Linotype" w:eastAsia="Calibri" w:hAnsi="Palatino Linotype" w:cs="Arial"/>
          <w:b/>
          <w:color w:val="000000" w:themeColor="text1"/>
          <w:lang w:val="es-ES_tradnl" w:eastAsia="es-ES"/>
        </w:rPr>
        <w:t>SUJETO OBLIGADO</w:t>
      </w:r>
      <w:r w:rsidRPr="00252BF8">
        <w:rPr>
          <w:rFonts w:ascii="Palatino Linotype" w:eastAsia="Calibri" w:hAnsi="Palatino Linotype" w:cs="Arial"/>
          <w:color w:val="000000" w:themeColor="text1"/>
          <w:lang w:val="es-ES_tradnl" w:eastAsia="es-ES"/>
        </w:rPr>
        <w:t xml:space="preserve"> deberá de emitir el Acuerdo del </w:t>
      </w:r>
      <w:r w:rsidRPr="00252BF8">
        <w:rPr>
          <w:rFonts w:ascii="Palatino Linotype" w:eastAsia="Palatino Linotype" w:hAnsi="Palatino Linotype" w:cs="Palatino Linotype"/>
          <w:color w:val="000000" w:themeColor="text1"/>
          <w:lang w:eastAsia="es-ES"/>
        </w:rPr>
        <w:t>Comité</w:t>
      </w:r>
      <w:r w:rsidRPr="00252BF8">
        <w:rPr>
          <w:rFonts w:ascii="Palatino Linotype" w:eastAsia="Calibri" w:hAnsi="Palatino Linotype" w:cs="Arial"/>
          <w:color w:val="000000" w:themeColor="text1"/>
          <w:lang w:val="es-ES_tradnl" w:eastAsia="es-ES"/>
        </w:rPr>
        <w:t xml:space="preserve"> de Transparencia, mediante el cual de manera fundada y motivada establezca las razones por las cuales se clasifican como confidenciales los datos expuestos con anterioridad. </w:t>
      </w:r>
    </w:p>
    <w:p w:rsidR="007E0933" w:rsidRPr="00252BF8" w:rsidRDefault="007E0933" w:rsidP="00A806D9">
      <w:pPr>
        <w:pStyle w:val="Prrafodelista"/>
        <w:ind w:left="0" w:right="-7"/>
        <w:rPr>
          <w:rFonts w:ascii="Palatino Linotype" w:eastAsia="Calibri" w:hAnsi="Palatino Linotype" w:cs="Arial"/>
          <w:color w:val="000000" w:themeColor="text1"/>
          <w:lang w:val="es-ES_tradnl" w:eastAsia="es-ES"/>
        </w:rPr>
      </w:pPr>
    </w:p>
    <w:p w:rsidR="004F4B72" w:rsidRPr="00252BF8" w:rsidRDefault="004F4B72" w:rsidP="00A806D9">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lang w:eastAsia="es-ES"/>
        </w:rPr>
      </w:pPr>
    </w:p>
    <w:p w:rsidR="007E0933" w:rsidRPr="00252BF8" w:rsidRDefault="007E0933" w:rsidP="00A806D9">
      <w:pPr>
        <w:keepNext/>
        <w:keepLines/>
        <w:spacing w:after="160" w:line="360" w:lineRule="auto"/>
        <w:ind w:right="-7"/>
        <w:rPr>
          <w:rFonts w:ascii="Palatino Linotype" w:eastAsia="Palatino Linotype" w:hAnsi="Palatino Linotype" w:cs="Palatino Linotype"/>
          <w:b/>
          <w:color w:val="000000" w:themeColor="text1"/>
        </w:rPr>
      </w:pPr>
      <w:r w:rsidRPr="00252BF8">
        <w:rPr>
          <w:rFonts w:ascii="Palatino Linotype" w:eastAsia="Palatino Linotype" w:hAnsi="Palatino Linotype" w:cs="Palatino Linotype"/>
          <w:b/>
          <w:color w:val="000000" w:themeColor="text1"/>
        </w:rPr>
        <w:lastRenderedPageBreak/>
        <w:t>QUINTO. De la versión pública.</w:t>
      </w:r>
    </w:p>
    <w:p w:rsidR="007E0933" w:rsidRPr="00252BF8" w:rsidRDefault="007E0933" w:rsidP="00A806D9">
      <w:pPr>
        <w:keepNext/>
        <w:keepLines/>
        <w:numPr>
          <w:ilvl w:val="0"/>
          <w:numId w:val="4"/>
        </w:numPr>
        <w:tabs>
          <w:tab w:val="left" w:pos="284"/>
        </w:tabs>
        <w:spacing w:after="160" w:line="360" w:lineRule="auto"/>
        <w:ind w:left="0" w:right="-7" w:firstLine="0"/>
        <w:rPr>
          <w:rFonts w:ascii="Palatino Linotype" w:eastAsia="Palatino Linotype" w:hAnsi="Palatino Linotype" w:cs="Palatino Linotype"/>
          <w:b/>
          <w:color w:val="000000" w:themeColor="text1"/>
        </w:rPr>
      </w:pPr>
      <w:r w:rsidRPr="00252BF8">
        <w:rPr>
          <w:rFonts w:ascii="Palatino Linotype" w:eastAsia="Palatino Linotype" w:hAnsi="Palatino Linotype" w:cs="Palatino Linotype"/>
          <w:b/>
          <w:color w:val="000000" w:themeColor="text1"/>
        </w:rPr>
        <w:t xml:space="preserve">Nociones generales. </w:t>
      </w:r>
    </w:p>
    <w:p w:rsidR="007E0933" w:rsidRPr="00252BF8" w:rsidRDefault="007E0933" w:rsidP="00A806D9">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252BF8">
        <w:rPr>
          <w:rFonts w:ascii="Palatino Linotype" w:eastAsia="Palatino Linotype" w:hAnsi="Palatino Linotype" w:cs="Palatino Linotype"/>
          <w:color w:val="000000" w:themeColor="text1"/>
        </w:rPr>
        <w:t xml:space="preserve">Debe destacarse, que debido a la información solicitada por el </w:t>
      </w:r>
      <w:r w:rsidRPr="00252BF8">
        <w:rPr>
          <w:rFonts w:ascii="Palatino Linotype" w:eastAsia="Palatino Linotype" w:hAnsi="Palatino Linotype" w:cs="Palatino Linotype"/>
          <w:b/>
          <w:color w:val="000000" w:themeColor="text1"/>
        </w:rPr>
        <w:t xml:space="preserve">RECURRENTE, pueden obrar </w:t>
      </w:r>
      <w:r w:rsidRPr="00252BF8">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confidenciales,  por lo que el </w:t>
      </w:r>
      <w:r w:rsidRPr="00252BF8">
        <w:rPr>
          <w:rFonts w:ascii="Palatino Linotype" w:eastAsia="Palatino Linotype" w:hAnsi="Palatino Linotype" w:cs="Palatino Linotype"/>
          <w:b/>
          <w:color w:val="000000" w:themeColor="text1"/>
        </w:rPr>
        <w:t xml:space="preserve">SUJETO OBLIGADO </w:t>
      </w:r>
      <w:r w:rsidRPr="00252BF8">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7E0933" w:rsidRPr="00252BF8" w:rsidRDefault="007E0933" w:rsidP="00A806D9">
      <w:pPr>
        <w:tabs>
          <w:tab w:val="left" w:pos="0"/>
          <w:tab w:val="left" w:pos="284"/>
        </w:tabs>
        <w:spacing w:line="360" w:lineRule="auto"/>
        <w:ind w:right="-7"/>
        <w:jc w:val="both"/>
        <w:rPr>
          <w:rFonts w:ascii="Palatino Linotype" w:eastAsia="Palatino Linotype" w:hAnsi="Palatino Linotype" w:cs="Palatino Linotype"/>
          <w:color w:val="000000" w:themeColor="text1"/>
        </w:rPr>
      </w:pPr>
    </w:p>
    <w:p w:rsidR="007E0933" w:rsidRPr="00252BF8" w:rsidRDefault="007E0933" w:rsidP="00A806D9">
      <w:pPr>
        <w:numPr>
          <w:ilvl w:val="0"/>
          <w:numId w:val="2"/>
        </w:numPr>
        <w:spacing w:line="360" w:lineRule="auto"/>
        <w:ind w:left="0" w:right="-7" w:firstLine="0"/>
        <w:jc w:val="both"/>
        <w:rPr>
          <w:rFonts w:ascii="Palatino Linotype" w:hAnsi="Palatino Linotype"/>
          <w:color w:val="000000" w:themeColor="text1"/>
        </w:rPr>
      </w:pPr>
      <w:r w:rsidRPr="00252BF8">
        <w:rPr>
          <w:rFonts w:ascii="Palatino Linotype" w:eastAsia="Palatino Linotype" w:hAnsi="Palatino Linotype" w:cs="Palatino Linotype"/>
          <w:color w:val="000000" w:themeColor="text1"/>
        </w:rPr>
        <w:t>No pasa desapercibido para este Órgano Garante que los sujetos obligados</w:t>
      </w:r>
      <w:r w:rsidRPr="00252BF8">
        <w:rPr>
          <w:rFonts w:ascii="Palatino Linotype" w:eastAsia="Palatino Linotype" w:hAnsi="Palatino Linotype" w:cs="Palatino Linotype"/>
          <w:b/>
          <w:color w:val="000000" w:themeColor="text1"/>
        </w:rPr>
        <w:t xml:space="preserve"> </w:t>
      </w:r>
      <w:r w:rsidRPr="00252BF8">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6810"/>
      </w:tblGrid>
      <w:tr w:rsidR="00A806D9" w:rsidRPr="00252BF8" w:rsidTr="004D667E">
        <w:tc>
          <w:tcPr>
            <w:tcW w:w="2805" w:type="dxa"/>
          </w:tcPr>
          <w:p w:rsidR="007E0933" w:rsidRPr="00252BF8" w:rsidRDefault="007E0933" w:rsidP="00A806D9">
            <w:pPr>
              <w:tabs>
                <w:tab w:val="left" w:pos="284"/>
              </w:tabs>
              <w:spacing w:line="360" w:lineRule="auto"/>
              <w:ind w:right="-7"/>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a) Requisitos previos.</w:t>
            </w:r>
          </w:p>
        </w:tc>
        <w:tc>
          <w:tcPr>
            <w:tcW w:w="6810" w:type="dxa"/>
          </w:tcPr>
          <w:p w:rsidR="007E0933" w:rsidRPr="00252BF8" w:rsidRDefault="007E0933" w:rsidP="00A806D9">
            <w:pPr>
              <w:tabs>
                <w:tab w:val="left" w:pos="284"/>
              </w:tabs>
              <w:spacing w:line="360" w:lineRule="auto"/>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rsidR="007E0933" w:rsidRPr="00252BF8" w:rsidRDefault="007E0933" w:rsidP="00A806D9">
            <w:pPr>
              <w:tabs>
                <w:tab w:val="left" w:pos="284"/>
              </w:tabs>
              <w:spacing w:line="360" w:lineRule="auto"/>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lastRenderedPageBreak/>
              <w:t>Al hacerlo tienen que precisar de qué información se trata, señalando el supuesto de clasificación (confidencialidad o reserva).</w:t>
            </w:r>
          </w:p>
          <w:p w:rsidR="007E0933" w:rsidRPr="00252BF8" w:rsidRDefault="007E0933" w:rsidP="00A806D9">
            <w:pPr>
              <w:tabs>
                <w:tab w:val="left" w:pos="284"/>
              </w:tabs>
              <w:spacing w:line="360" w:lineRule="auto"/>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7E0933" w:rsidRPr="00252BF8" w:rsidRDefault="007E0933" w:rsidP="00A806D9">
            <w:pPr>
              <w:tabs>
                <w:tab w:val="left" w:pos="284"/>
              </w:tabs>
              <w:spacing w:line="360" w:lineRule="auto"/>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252BF8">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252BF8">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A806D9" w:rsidRPr="00252BF8" w:rsidTr="004D667E">
        <w:tc>
          <w:tcPr>
            <w:tcW w:w="2805" w:type="dxa"/>
          </w:tcPr>
          <w:p w:rsidR="007E0933" w:rsidRPr="00252BF8" w:rsidRDefault="007E0933" w:rsidP="00A806D9">
            <w:pPr>
              <w:tabs>
                <w:tab w:val="left" w:pos="284"/>
              </w:tabs>
              <w:spacing w:line="360" w:lineRule="auto"/>
              <w:ind w:right="-7"/>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lastRenderedPageBreak/>
              <w:t>b) Supuestos de clasificación.</w:t>
            </w:r>
          </w:p>
        </w:tc>
        <w:tc>
          <w:tcPr>
            <w:tcW w:w="6810" w:type="dxa"/>
          </w:tcPr>
          <w:p w:rsidR="007E0933" w:rsidRPr="00252BF8" w:rsidRDefault="007E0933" w:rsidP="00A806D9">
            <w:pPr>
              <w:tabs>
                <w:tab w:val="left" w:pos="284"/>
              </w:tabs>
              <w:spacing w:line="360" w:lineRule="auto"/>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7E0933" w:rsidRPr="00252BF8" w:rsidRDefault="007E0933" w:rsidP="00A806D9">
            <w:pPr>
              <w:tabs>
                <w:tab w:val="left" w:pos="284"/>
              </w:tabs>
              <w:spacing w:line="360" w:lineRule="auto"/>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 xml:space="preserve">Los artículos 116 y 143 de la Ley Estatal y de la Ley General vigente a la fecha de la solicitud, respectivamente, señalan los supuestos para que la información pueda ser clasificada como confidencial. Mientras que los artículos 105 y 130 de la Ley Estatal y de la Ley General vigente a la fecha de la solicitud, respectivamente, señalan que la aplicación de estos supuestos </w:t>
            </w:r>
            <w:r w:rsidRPr="00252BF8">
              <w:rPr>
                <w:rFonts w:ascii="Palatino Linotype" w:eastAsia="Palatino Linotype" w:hAnsi="Palatino Linotype" w:cs="Palatino Linotype"/>
                <w:color w:val="000000" w:themeColor="text1"/>
              </w:rPr>
              <w:lastRenderedPageBreak/>
              <w:t>debe realizarse de manera restrictiva y limitada, por lo que debe acreditarse que se cumple con esta condición y no se pueden ampliar las excepciones o supuestos de clasificación aduciendo analogía o mayoría de razón.</w:t>
            </w:r>
          </w:p>
          <w:p w:rsidR="007E0933" w:rsidRPr="00252BF8" w:rsidRDefault="007E0933" w:rsidP="00A806D9">
            <w:pPr>
              <w:tabs>
                <w:tab w:val="left" w:pos="284"/>
              </w:tabs>
              <w:spacing w:line="360" w:lineRule="auto"/>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 xml:space="preserve">El </w:t>
            </w:r>
            <w:r w:rsidRPr="00252BF8">
              <w:rPr>
                <w:rFonts w:ascii="Palatino Linotype" w:eastAsia="Palatino Linotype" w:hAnsi="Palatino Linotype" w:cs="Palatino Linotype"/>
                <w:b/>
                <w:color w:val="000000" w:themeColor="text1"/>
              </w:rPr>
              <w:t>Sujeto Obligado</w:t>
            </w:r>
            <w:r w:rsidRPr="00252BF8">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806D9" w:rsidRPr="00252BF8" w:rsidTr="004D667E">
        <w:tc>
          <w:tcPr>
            <w:tcW w:w="2805" w:type="dxa"/>
          </w:tcPr>
          <w:p w:rsidR="007E0933" w:rsidRPr="00252BF8" w:rsidRDefault="007E0933" w:rsidP="00A806D9">
            <w:pPr>
              <w:tabs>
                <w:tab w:val="left" w:pos="284"/>
              </w:tabs>
              <w:spacing w:line="360" w:lineRule="auto"/>
              <w:ind w:right="-7"/>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lastRenderedPageBreak/>
              <w:t>c) Formalidades para emitir el acuerdo de clasificación.</w:t>
            </w:r>
          </w:p>
        </w:tc>
        <w:tc>
          <w:tcPr>
            <w:tcW w:w="6810" w:type="dxa"/>
          </w:tcPr>
          <w:p w:rsidR="007E0933" w:rsidRPr="00252BF8" w:rsidRDefault="007E0933" w:rsidP="00A806D9">
            <w:pPr>
              <w:tabs>
                <w:tab w:val="left" w:pos="284"/>
              </w:tabs>
              <w:spacing w:line="360" w:lineRule="auto"/>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7E0933" w:rsidRPr="00252BF8" w:rsidRDefault="007E0933" w:rsidP="00A806D9">
            <w:pPr>
              <w:tabs>
                <w:tab w:val="left" w:pos="284"/>
              </w:tabs>
              <w:spacing w:line="360" w:lineRule="auto"/>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 xml:space="preserve">Es necesario que </w:t>
            </w:r>
            <w:r w:rsidRPr="00252BF8">
              <w:rPr>
                <w:rFonts w:ascii="Palatino Linotype" w:eastAsia="Palatino Linotype" w:hAnsi="Palatino Linotype" w:cs="Palatino Linotype"/>
                <w:b/>
                <w:color w:val="000000" w:themeColor="text1"/>
                <w:u w:val="single"/>
              </w:rPr>
              <w:t>el acto reúna con los requisitos elementales</w:t>
            </w:r>
            <w:r w:rsidRPr="00252BF8">
              <w:rPr>
                <w:rFonts w:ascii="Palatino Linotype" w:eastAsia="Palatino Linotype" w:hAnsi="Palatino Linotype" w:cs="Palatino Linotype"/>
                <w:color w:val="000000" w:themeColor="text1"/>
              </w:rPr>
              <w:t>, entre ellos, que la autoridad que va a emitir el acto de autoridad sea la legalmente facultada para ello.</w:t>
            </w:r>
          </w:p>
          <w:p w:rsidR="007E0933" w:rsidRPr="00252BF8" w:rsidRDefault="007E0933" w:rsidP="00A806D9">
            <w:pPr>
              <w:tabs>
                <w:tab w:val="left" w:pos="284"/>
              </w:tabs>
              <w:spacing w:line="360" w:lineRule="auto"/>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El área que administra la información, cuyo análisis debe integrarse en la agenda de los asuntos a tratar en las sesiones, se insiste, a partir de las decisiones adoptadas previamente por los </w:t>
            </w:r>
            <w:r w:rsidRPr="00252BF8">
              <w:rPr>
                <w:rFonts w:ascii="Palatino Linotype" w:eastAsia="Palatino Linotype" w:hAnsi="Palatino Linotype" w:cs="Palatino Linotype"/>
                <w:color w:val="000000" w:themeColor="text1"/>
              </w:rPr>
              <w:lastRenderedPageBreak/>
              <w:t>titulares de áreas y que son sujetas a control, en primera instancia, por el Comité de Transparencia.</w:t>
            </w:r>
          </w:p>
        </w:tc>
      </w:tr>
      <w:tr w:rsidR="00A806D9" w:rsidRPr="00252BF8" w:rsidTr="004D667E">
        <w:tc>
          <w:tcPr>
            <w:tcW w:w="2805" w:type="dxa"/>
          </w:tcPr>
          <w:p w:rsidR="007E0933" w:rsidRPr="00252BF8" w:rsidRDefault="007E0933" w:rsidP="00A806D9">
            <w:pPr>
              <w:tabs>
                <w:tab w:val="left" w:pos="284"/>
              </w:tabs>
              <w:spacing w:line="360" w:lineRule="auto"/>
              <w:ind w:right="-7"/>
              <w:rPr>
                <w:rFonts w:ascii="Palatino Linotype" w:eastAsia="Palatino Linotype" w:hAnsi="Palatino Linotype" w:cs="Palatino Linotype"/>
                <w:color w:val="000000" w:themeColor="text1"/>
              </w:rPr>
            </w:pPr>
          </w:p>
          <w:p w:rsidR="007E0933" w:rsidRPr="00252BF8" w:rsidRDefault="007E0933" w:rsidP="00A806D9">
            <w:pPr>
              <w:tabs>
                <w:tab w:val="left" w:pos="284"/>
              </w:tabs>
              <w:spacing w:line="360" w:lineRule="auto"/>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 xml:space="preserve">d) Requisitos de fondo del acuerdo de clasificación. </w:t>
            </w:r>
          </w:p>
        </w:tc>
        <w:tc>
          <w:tcPr>
            <w:tcW w:w="6810" w:type="dxa"/>
          </w:tcPr>
          <w:p w:rsidR="007E0933" w:rsidRPr="00252BF8" w:rsidRDefault="007E0933" w:rsidP="00A806D9">
            <w:pPr>
              <w:tabs>
                <w:tab w:val="left" w:pos="284"/>
              </w:tabs>
              <w:spacing w:line="360" w:lineRule="auto"/>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52BF8">
              <w:rPr>
                <w:rFonts w:ascii="Palatino Linotype" w:eastAsia="Palatino Linotype" w:hAnsi="Palatino Linotype" w:cs="Palatino Linotype"/>
                <w:b/>
                <w:color w:val="000000" w:themeColor="text1"/>
              </w:rPr>
              <w:t>Sujetos Obligados</w:t>
            </w:r>
            <w:r w:rsidRPr="00252BF8">
              <w:rPr>
                <w:rFonts w:ascii="Palatino Linotype" w:eastAsia="Palatino Linotype" w:hAnsi="Palatino Linotype" w:cs="Palatino Linotype"/>
                <w:color w:val="000000" w:themeColor="text1"/>
              </w:rPr>
              <w:t xml:space="preserve">, por lo que deberán fundar y motivar debidamente la clasificación. </w:t>
            </w:r>
          </w:p>
          <w:p w:rsidR="007E0933" w:rsidRPr="00252BF8" w:rsidRDefault="007E0933" w:rsidP="00A806D9">
            <w:pPr>
              <w:tabs>
                <w:tab w:val="left" w:pos="284"/>
              </w:tabs>
              <w:spacing w:line="360" w:lineRule="auto"/>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 xml:space="preserve">De lo anterior, se desprende que para una correcta </w:t>
            </w:r>
            <w:r w:rsidRPr="00252BF8">
              <w:rPr>
                <w:rFonts w:ascii="Palatino Linotype" w:eastAsia="Palatino Linotype" w:hAnsi="Palatino Linotype" w:cs="Palatino Linotype"/>
                <w:b/>
                <w:color w:val="000000" w:themeColor="text1"/>
              </w:rPr>
              <w:t>clasificación total o parcial</w:t>
            </w:r>
            <w:r w:rsidRPr="00252BF8">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E0933" w:rsidRPr="00252BF8" w:rsidRDefault="007E0933" w:rsidP="00A806D9">
            <w:pPr>
              <w:tabs>
                <w:tab w:val="left" w:pos="284"/>
              </w:tabs>
              <w:spacing w:line="360" w:lineRule="auto"/>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w:t>
            </w:r>
            <w:r w:rsidRPr="00252BF8">
              <w:rPr>
                <w:rFonts w:ascii="Palatino Linotype" w:eastAsia="Palatino Linotype" w:hAnsi="Palatino Linotype" w:cs="Palatino Linotype"/>
                <w:color w:val="000000" w:themeColor="text1"/>
              </w:rPr>
              <w:lastRenderedPageBreak/>
              <w:t>derecho. De este modo, la persona que se sienta afectada pueda impugnar la decisión, permitiéndole una real y auténtica defensa.</w:t>
            </w:r>
          </w:p>
          <w:p w:rsidR="007E0933" w:rsidRPr="00252BF8" w:rsidRDefault="007E0933" w:rsidP="00A806D9">
            <w:pPr>
              <w:tabs>
                <w:tab w:val="left" w:pos="284"/>
              </w:tabs>
              <w:spacing w:line="360" w:lineRule="auto"/>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7E0933" w:rsidRPr="00252BF8" w:rsidRDefault="007E0933" w:rsidP="00A806D9">
            <w:pPr>
              <w:tabs>
                <w:tab w:val="left" w:pos="284"/>
              </w:tabs>
              <w:spacing w:line="360" w:lineRule="auto"/>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 xml:space="preserve">Ahora bien, </w:t>
            </w:r>
            <w:r w:rsidRPr="00252BF8">
              <w:rPr>
                <w:rFonts w:ascii="Palatino Linotype" w:eastAsia="Palatino Linotype" w:hAnsi="Palatino Linotype" w:cs="Palatino Linotype"/>
                <w:b/>
                <w:color w:val="000000" w:themeColor="text1"/>
                <w:u w:val="single"/>
              </w:rPr>
              <w:t>para cada caso además de fundar y motivar</w:t>
            </w:r>
            <w:r w:rsidRPr="00252BF8">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E0933" w:rsidRPr="00252BF8" w:rsidTr="004D667E">
        <w:tc>
          <w:tcPr>
            <w:tcW w:w="2805" w:type="dxa"/>
          </w:tcPr>
          <w:p w:rsidR="007E0933" w:rsidRPr="00252BF8" w:rsidRDefault="007E0933" w:rsidP="00A806D9">
            <w:pPr>
              <w:tabs>
                <w:tab w:val="left" w:pos="284"/>
              </w:tabs>
              <w:spacing w:line="360" w:lineRule="auto"/>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 xml:space="preserve">e) Condiciones especiales de la clasificación de la información como confidencial. </w:t>
            </w:r>
          </w:p>
        </w:tc>
        <w:tc>
          <w:tcPr>
            <w:tcW w:w="6810" w:type="dxa"/>
          </w:tcPr>
          <w:p w:rsidR="007E0933" w:rsidRPr="00252BF8" w:rsidRDefault="007E0933" w:rsidP="00A806D9">
            <w:pPr>
              <w:tabs>
                <w:tab w:val="left" w:pos="284"/>
              </w:tabs>
              <w:spacing w:line="360" w:lineRule="auto"/>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rsidR="007E0933" w:rsidRPr="00252BF8" w:rsidRDefault="007E0933" w:rsidP="00A806D9">
            <w:pPr>
              <w:tabs>
                <w:tab w:val="left" w:pos="284"/>
              </w:tabs>
              <w:spacing w:line="360" w:lineRule="auto"/>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w:t>
            </w:r>
            <w:r w:rsidRPr="00252BF8">
              <w:rPr>
                <w:rFonts w:ascii="Palatino Linotype" w:eastAsia="Palatino Linotype" w:hAnsi="Palatino Linotype" w:cs="Palatino Linotype"/>
                <w:color w:val="000000" w:themeColor="text1"/>
              </w:rPr>
              <w:lastRenderedPageBreak/>
              <w:t xml:space="preserve">Corte de Justicia de la Nación, los servidores públicos nos encontramos sujetos a un régimen menor de protección. </w:t>
            </w:r>
          </w:p>
          <w:p w:rsidR="007E0933" w:rsidRPr="00252BF8" w:rsidRDefault="007E0933" w:rsidP="00A806D9">
            <w:pPr>
              <w:tabs>
                <w:tab w:val="left" w:pos="284"/>
              </w:tabs>
              <w:spacing w:line="360" w:lineRule="auto"/>
              <w:ind w:right="-7"/>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E0933" w:rsidRPr="00252BF8" w:rsidRDefault="007E0933" w:rsidP="00A806D9">
      <w:pPr>
        <w:tabs>
          <w:tab w:val="left" w:pos="284"/>
        </w:tabs>
        <w:spacing w:line="360" w:lineRule="auto"/>
        <w:ind w:right="-7"/>
        <w:jc w:val="both"/>
        <w:rPr>
          <w:rFonts w:ascii="Palatino Linotype" w:eastAsia="Palatino Linotype" w:hAnsi="Palatino Linotype" w:cs="Palatino Linotype"/>
          <w:color w:val="000000" w:themeColor="text1"/>
        </w:rPr>
      </w:pPr>
    </w:p>
    <w:p w:rsidR="007E0933" w:rsidRPr="00252BF8" w:rsidRDefault="007E0933" w:rsidP="00A806D9">
      <w:pPr>
        <w:numPr>
          <w:ilvl w:val="0"/>
          <w:numId w:val="2"/>
        </w:numPr>
        <w:spacing w:line="360" w:lineRule="auto"/>
        <w:ind w:left="0" w:right="-7" w:firstLine="0"/>
        <w:jc w:val="both"/>
        <w:rPr>
          <w:rFonts w:ascii="Palatino Linotype" w:hAnsi="Palatino Linotype"/>
          <w:color w:val="000000" w:themeColor="text1"/>
        </w:rPr>
      </w:pPr>
      <w:r w:rsidRPr="00252BF8">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w:t>
      </w:r>
    </w:p>
    <w:p w:rsidR="007E0933" w:rsidRPr="00252BF8" w:rsidRDefault="007E0933" w:rsidP="00A806D9">
      <w:pPr>
        <w:spacing w:line="360" w:lineRule="auto"/>
        <w:ind w:right="-7"/>
        <w:jc w:val="both"/>
        <w:rPr>
          <w:rFonts w:ascii="Palatino Linotype" w:eastAsia="Palatino Linotype" w:hAnsi="Palatino Linotype" w:cs="Palatino Linotype"/>
          <w:color w:val="000000" w:themeColor="text1"/>
        </w:rPr>
      </w:pPr>
    </w:p>
    <w:p w:rsidR="007E0933" w:rsidRPr="00252BF8" w:rsidRDefault="007E0933" w:rsidP="00A806D9">
      <w:pPr>
        <w:numPr>
          <w:ilvl w:val="0"/>
          <w:numId w:val="2"/>
        </w:numPr>
        <w:spacing w:line="360" w:lineRule="auto"/>
        <w:ind w:left="0" w:right="-7" w:firstLine="0"/>
        <w:jc w:val="both"/>
        <w:rPr>
          <w:rFonts w:ascii="Palatino Linotype" w:hAnsi="Palatino Linotype"/>
          <w:color w:val="000000" w:themeColor="text1"/>
        </w:rPr>
      </w:pPr>
      <w:r w:rsidRPr="00252BF8">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252BF8">
        <w:rPr>
          <w:rFonts w:ascii="Palatino Linotype" w:eastAsia="Palatino Linotype" w:hAnsi="Palatino Linotype" w:cs="Palatino Linotype"/>
          <w:b/>
          <w:color w:val="000000" w:themeColor="text1"/>
        </w:rPr>
        <w:t xml:space="preserve"> RECURRENTE</w:t>
      </w:r>
      <w:r w:rsidRPr="00252BF8">
        <w:rPr>
          <w:rFonts w:ascii="Palatino Linotype" w:eastAsia="Palatino Linotype" w:hAnsi="Palatino Linotype" w:cs="Palatino Linotype"/>
          <w:color w:val="000000" w:themeColor="text1"/>
        </w:rPr>
        <w:t xml:space="preserve">, determinando </w:t>
      </w:r>
      <w:r w:rsidR="006861CC" w:rsidRPr="00252BF8">
        <w:rPr>
          <w:rFonts w:ascii="Palatino Linotype" w:eastAsia="Palatino Linotype" w:hAnsi="Palatino Linotype" w:cs="Palatino Linotype"/>
          <w:b/>
          <w:smallCaps/>
          <w:color w:val="000000" w:themeColor="text1"/>
        </w:rPr>
        <w:t>REVOCAR</w:t>
      </w:r>
      <w:r w:rsidRPr="00252BF8">
        <w:rPr>
          <w:rFonts w:ascii="Palatino Linotype" w:eastAsia="Palatino Linotype" w:hAnsi="Palatino Linotype" w:cs="Palatino Linotype"/>
          <w:b/>
          <w:smallCaps/>
          <w:color w:val="000000" w:themeColor="text1"/>
        </w:rPr>
        <w:t xml:space="preserve"> </w:t>
      </w:r>
      <w:r w:rsidRPr="00252BF8">
        <w:rPr>
          <w:rFonts w:ascii="Palatino Linotype" w:eastAsia="Palatino Linotype" w:hAnsi="Palatino Linotype" w:cs="Palatino Linotype"/>
          <w:color w:val="000000" w:themeColor="text1"/>
        </w:rPr>
        <w:t>la</w:t>
      </w:r>
      <w:r w:rsidR="00243A0D" w:rsidRPr="00252BF8">
        <w:rPr>
          <w:rFonts w:ascii="Palatino Linotype" w:eastAsia="Palatino Linotype" w:hAnsi="Palatino Linotype" w:cs="Palatino Linotype"/>
          <w:color w:val="000000" w:themeColor="text1"/>
        </w:rPr>
        <w:t>s</w:t>
      </w:r>
      <w:r w:rsidRPr="00252BF8">
        <w:rPr>
          <w:rFonts w:ascii="Palatino Linotype" w:eastAsia="Palatino Linotype" w:hAnsi="Palatino Linotype" w:cs="Palatino Linotype"/>
          <w:color w:val="000000" w:themeColor="text1"/>
        </w:rPr>
        <w:t xml:space="preserve"> respuesta</w:t>
      </w:r>
      <w:r w:rsidR="00243A0D" w:rsidRPr="00252BF8">
        <w:rPr>
          <w:rFonts w:ascii="Palatino Linotype" w:eastAsia="Palatino Linotype" w:hAnsi="Palatino Linotype" w:cs="Palatino Linotype"/>
          <w:color w:val="000000" w:themeColor="text1"/>
        </w:rPr>
        <w:t>s</w:t>
      </w:r>
      <w:r w:rsidRPr="00252BF8">
        <w:rPr>
          <w:rFonts w:ascii="Palatino Linotype" w:eastAsia="Palatino Linotype" w:hAnsi="Palatino Linotype" w:cs="Palatino Linotype"/>
          <w:color w:val="000000" w:themeColor="text1"/>
        </w:rPr>
        <w:t xml:space="preserve"> del </w:t>
      </w:r>
      <w:r w:rsidRPr="00252BF8">
        <w:rPr>
          <w:rFonts w:ascii="Palatino Linotype" w:eastAsia="Palatino Linotype" w:hAnsi="Palatino Linotype" w:cs="Palatino Linotype"/>
          <w:b/>
          <w:color w:val="000000" w:themeColor="text1"/>
        </w:rPr>
        <w:t>SUJETO OBLIGADO</w:t>
      </w:r>
      <w:r w:rsidRPr="00252BF8">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252BF8">
        <w:rPr>
          <w:rFonts w:ascii="Palatino Linotype" w:eastAsia="Palatino Linotype" w:hAnsi="Palatino Linotype" w:cs="Palatino Linotype"/>
          <w:b/>
          <w:color w:val="000000" w:themeColor="text1"/>
        </w:rPr>
        <w:t>ÓRGANO GARANTE</w:t>
      </w:r>
      <w:r w:rsidRPr="00252BF8">
        <w:rPr>
          <w:rFonts w:ascii="Palatino Linotype" w:eastAsia="Palatino Linotype" w:hAnsi="Palatino Linotype" w:cs="Palatino Linotype"/>
          <w:color w:val="000000" w:themeColor="text1"/>
        </w:rPr>
        <w:t xml:space="preserve"> emite los siguientes.</w:t>
      </w:r>
    </w:p>
    <w:p w:rsidR="007E0933" w:rsidRPr="00252BF8" w:rsidRDefault="007E0933" w:rsidP="00A806D9">
      <w:pPr>
        <w:pBdr>
          <w:top w:val="nil"/>
          <w:left w:val="nil"/>
          <w:bottom w:val="nil"/>
          <w:right w:val="nil"/>
          <w:between w:val="nil"/>
        </w:pBdr>
        <w:ind w:right="-7"/>
        <w:rPr>
          <w:rFonts w:ascii="Palatino Linotype" w:eastAsia="Palatino Linotype" w:hAnsi="Palatino Linotype" w:cs="Palatino Linotype"/>
          <w:color w:val="000000" w:themeColor="text1"/>
        </w:rPr>
      </w:pPr>
    </w:p>
    <w:p w:rsidR="007E0933" w:rsidRPr="00252BF8" w:rsidRDefault="007E0933" w:rsidP="00A806D9">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color w:val="000000" w:themeColor="text1"/>
        </w:rPr>
      </w:pPr>
    </w:p>
    <w:p w:rsidR="007E0933" w:rsidRPr="00252BF8" w:rsidRDefault="007E0933" w:rsidP="00A806D9">
      <w:pPr>
        <w:pStyle w:val="Ttulo1"/>
        <w:spacing w:before="0" w:line="360" w:lineRule="auto"/>
        <w:ind w:right="-7"/>
        <w:jc w:val="center"/>
        <w:rPr>
          <w:rFonts w:ascii="Palatino Linotype" w:eastAsia="Palatino Linotype" w:hAnsi="Palatino Linotype" w:cs="Palatino Linotype"/>
          <w:b/>
          <w:color w:val="000000" w:themeColor="text1"/>
          <w:sz w:val="24"/>
          <w:szCs w:val="24"/>
        </w:rPr>
      </w:pPr>
      <w:r w:rsidRPr="00252BF8">
        <w:rPr>
          <w:rFonts w:ascii="Palatino Linotype" w:eastAsia="Palatino Linotype" w:hAnsi="Palatino Linotype" w:cs="Palatino Linotype"/>
          <w:b/>
          <w:color w:val="000000" w:themeColor="text1"/>
          <w:sz w:val="24"/>
          <w:szCs w:val="24"/>
        </w:rPr>
        <w:lastRenderedPageBreak/>
        <w:t>R E S O L U T I V O S</w:t>
      </w:r>
    </w:p>
    <w:p w:rsidR="007E0933" w:rsidRPr="00252BF8" w:rsidRDefault="007E0933" w:rsidP="00A806D9">
      <w:pPr>
        <w:spacing w:line="360" w:lineRule="auto"/>
        <w:ind w:right="-7"/>
        <w:rPr>
          <w:rFonts w:ascii="Palatino Linotype" w:eastAsia="Palatino Linotype" w:hAnsi="Palatino Linotype" w:cs="Palatino Linotype"/>
          <w:color w:val="000000" w:themeColor="text1"/>
        </w:rPr>
      </w:pPr>
    </w:p>
    <w:p w:rsidR="007E0933" w:rsidRPr="00252BF8" w:rsidRDefault="007E0933" w:rsidP="00A806D9">
      <w:pPr>
        <w:spacing w:line="360" w:lineRule="auto"/>
        <w:ind w:right="-7"/>
        <w:jc w:val="both"/>
        <w:rPr>
          <w:rFonts w:ascii="Palatino Linotype" w:eastAsia="Palatino Linotype" w:hAnsi="Palatino Linotype" w:cs="Palatino Linotype"/>
          <w:b/>
          <w:color w:val="000000" w:themeColor="text1"/>
        </w:rPr>
      </w:pPr>
      <w:r w:rsidRPr="00252BF8">
        <w:rPr>
          <w:rFonts w:ascii="Palatino Linotype" w:eastAsia="Palatino Linotype" w:hAnsi="Palatino Linotype" w:cs="Palatino Linotype"/>
          <w:b/>
          <w:color w:val="000000" w:themeColor="text1"/>
        </w:rPr>
        <w:t>PRIMERO</w:t>
      </w:r>
      <w:r w:rsidR="002674B2" w:rsidRPr="00252BF8">
        <w:rPr>
          <w:rFonts w:ascii="Palatino Linotype" w:eastAsia="Palatino Linotype" w:hAnsi="Palatino Linotype" w:cs="Palatino Linotype"/>
          <w:color w:val="000000" w:themeColor="text1"/>
        </w:rPr>
        <w:t>. Resultan</w:t>
      </w:r>
      <w:r w:rsidRPr="00252BF8">
        <w:rPr>
          <w:rFonts w:ascii="Palatino Linotype" w:eastAsia="Palatino Linotype" w:hAnsi="Palatino Linotype" w:cs="Palatino Linotype"/>
          <w:color w:val="000000" w:themeColor="text1"/>
        </w:rPr>
        <w:t xml:space="preserve"> fundadas las razones o motivos de </w:t>
      </w:r>
      <w:r w:rsidR="002674B2" w:rsidRPr="00252BF8">
        <w:rPr>
          <w:rFonts w:ascii="Palatino Linotype" w:eastAsia="Palatino Linotype" w:hAnsi="Palatino Linotype" w:cs="Palatino Linotype"/>
          <w:color w:val="000000" w:themeColor="text1"/>
        </w:rPr>
        <w:t>inconformidad hechos valer en los</w:t>
      </w:r>
      <w:r w:rsidRPr="00252BF8">
        <w:rPr>
          <w:rFonts w:ascii="Palatino Linotype" w:eastAsia="Palatino Linotype" w:hAnsi="Palatino Linotype" w:cs="Palatino Linotype"/>
          <w:color w:val="000000" w:themeColor="text1"/>
        </w:rPr>
        <w:t xml:space="preserve"> Recurso</w:t>
      </w:r>
      <w:r w:rsidR="002674B2" w:rsidRPr="00252BF8">
        <w:rPr>
          <w:rFonts w:ascii="Palatino Linotype" w:eastAsia="Palatino Linotype" w:hAnsi="Palatino Linotype" w:cs="Palatino Linotype"/>
          <w:color w:val="000000" w:themeColor="text1"/>
        </w:rPr>
        <w:t>s</w:t>
      </w:r>
      <w:r w:rsidRPr="00252BF8">
        <w:rPr>
          <w:rFonts w:ascii="Palatino Linotype" w:eastAsia="Palatino Linotype" w:hAnsi="Palatino Linotype" w:cs="Palatino Linotype"/>
          <w:color w:val="000000" w:themeColor="text1"/>
        </w:rPr>
        <w:t xml:space="preserve"> de Revisión </w:t>
      </w:r>
      <w:r w:rsidR="00002FA8" w:rsidRPr="00252BF8">
        <w:rPr>
          <w:rFonts w:ascii="Palatino Linotype" w:eastAsia="Palatino Linotype" w:hAnsi="Palatino Linotype" w:cs="Palatino Linotype"/>
          <w:b/>
          <w:bCs/>
          <w:color w:val="000000" w:themeColor="text1"/>
        </w:rPr>
        <w:t>04803/INFOEM/IP/RR/2025</w:t>
      </w:r>
      <w:r w:rsidRPr="00252BF8">
        <w:rPr>
          <w:rFonts w:ascii="Palatino Linotype" w:eastAsia="Palatino Linotype" w:hAnsi="Palatino Linotype" w:cs="Palatino Linotype"/>
          <w:b/>
          <w:color w:val="000000" w:themeColor="text1"/>
        </w:rPr>
        <w:t>,</w:t>
      </w:r>
      <w:r w:rsidR="002674B2" w:rsidRPr="00252BF8">
        <w:rPr>
          <w:rFonts w:ascii="Palatino Linotype" w:eastAsia="Palatino Linotype" w:hAnsi="Palatino Linotype" w:cs="Palatino Linotype"/>
          <w:b/>
          <w:color w:val="000000" w:themeColor="text1"/>
        </w:rPr>
        <w:t xml:space="preserve"> 04804/INFOEM/IP/RR/2025  y 04805/INFOEM/IP/RR/2025, </w:t>
      </w:r>
      <w:r w:rsidRPr="00252BF8">
        <w:rPr>
          <w:rFonts w:ascii="Palatino Linotype" w:eastAsia="Palatino Linotype" w:hAnsi="Palatino Linotype" w:cs="Palatino Linotype"/>
          <w:color w:val="000000" w:themeColor="text1"/>
        </w:rPr>
        <w:t xml:space="preserve">en términos del Considerando </w:t>
      </w:r>
      <w:r w:rsidRPr="00252BF8">
        <w:rPr>
          <w:rFonts w:ascii="Palatino Linotype" w:eastAsia="Palatino Linotype" w:hAnsi="Palatino Linotype" w:cs="Palatino Linotype"/>
          <w:b/>
          <w:color w:val="000000" w:themeColor="text1"/>
        </w:rPr>
        <w:t xml:space="preserve">Cuarto y Quinto </w:t>
      </w:r>
      <w:r w:rsidRPr="00252BF8">
        <w:rPr>
          <w:rFonts w:ascii="Palatino Linotype" w:eastAsia="Palatino Linotype" w:hAnsi="Palatino Linotype" w:cs="Palatino Linotype"/>
          <w:color w:val="000000" w:themeColor="text1"/>
        </w:rPr>
        <w:t xml:space="preserve">de la presente resolución. </w:t>
      </w:r>
    </w:p>
    <w:p w:rsidR="007E0933" w:rsidRPr="00252BF8" w:rsidRDefault="007E0933" w:rsidP="00A806D9">
      <w:pPr>
        <w:spacing w:line="360" w:lineRule="auto"/>
        <w:ind w:right="-7"/>
        <w:jc w:val="both"/>
        <w:rPr>
          <w:rFonts w:ascii="Palatino Linotype" w:eastAsia="Palatino Linotype" w:hAnsi="Palatino Linotype" w:cs="Palatino Linotype"/>
          <w:color w:val="000000" w:themeColor="text1"/>
        </w:rPr>
      </w:pPr>
    </w:p>
    <w:p w:rsidR="007E0933" w:rsidRPr="00252BF8" w:rsidRDefault="007E0933" w:rsidP="00A806D9">
      <w:pPr>
        <w:spacing w:line="360" w:lineRule="auto"/>
        <w:ind w:right="-7"/>
        <w:jc w:val="both"/>
        <w:rPr>
          <w:rFonts w:ascii="Palatino Linotype" w:eastAsia="Palatino Linotype" w:hAnsi="Palatino Linotype" w:cs="Palatino Linotype"/>
          <w:color w:val="000000" w:themeColor="text1"/>
        </w:rPr>
      </w:pPr>
      <w:bookmarkStart w:id="13" w:name="_heading=h.1ksv4uv" w:colFirst="0" w:colLast="0"/>
      <w:bookmarkEnd w:id="13"/>
      <w:r w:rsidRPr="00252BF8">
        <w:rPr>
          <w:rFonts w:ascii="Palatino Linotype" w:eastAsia="Palatino Linotype" w:hAnsi="Palatino Linotype" w:cs="Palatino Linotype"/>
          <w:b/>
          <w:color w:val="000000" w:themeColor="text1"/>
        </w:rPr>
        <w:t xml:space="preserve">SEGUNDO. </w:t>
      </w:r>
      <w:r w:rsidRPr="00252BF8">
        <w:rPr>
          <w:rFonts w:ascii="Palatino Linotype" w:eastAsia="Palatino Linotype" w:hAnsi="Palatino Linotype" w:cs="Palatino Linotype"/>
          <w:color w:val="000000" w:themeColor="text1"/>
        </w:rPr>
        <w:t xml:space="preserve">Se </w:t>
      </w:r>
      <w:r w:rsidR="006861CC" w:rsidRPr="00252BF8">
        <w:rPr>
          <w:rFonts w:ascii="Palatino Linotype" w:eastAsia="Palatino Linotype" w:hAnsi="Palatino Linotype" w:cs="Palatino Linotype"/>
          <w:b/>
          <w:color w:val="000000" w:themeColor="text1"/>
        </w:rPr>
        <w:t>REVOCA</w:t>
      </w:r>
      <w:r w:rsidR="002674B2" w:rsidRPr="00252BF8">
        <w:rPr>
          <w:rFonts w:ascii="Palatino Linotype" w:eastAsia="Palatino Linotype" w:hAnsi="Palatino Linotype" w:cs="Palatino Linotype"/>
          <w:b/>
          <w:color w:val="000000" w:themeColor="text1"/>
        </w:rPr>
        <w:t>N</w:t>
      </w:r>
      <w:r w:rsidR="006861CC" w:rsidRPr="00252BF8">
        <w:rPr>
          <w:rFonts w:ascii="Palatino Linotype" w:eastAsia="Palatino Linotype" w:hAnsi="Palatino Linotype" w:cs="Palatino Linotype"/>
          <w:b/>
          <w:color w:val="000000" w:themeColor="text1"/>
        </w:rPr>
        <w:t xml:space="preserve"> </w:t>
      </w:r>
      <w:r w:rsidRPr="00252BF8">
        <w:rPr>
          <w:rFonts w:ascii="Palatino Linotype" w:eastAsia="Palatino Linotype" w:hAnsi="Palatino Linotype" w:cs="Palatino Linotype"/>
          <w:color w:val="000000" w:themeColor="text1"/>
        </w:rPr>
        <w:t>la</w:t>
      </w:r>
      <w:r w:rsidR="002674B2" w:rsidRPr="00252BF8">
        <w:rPr>
          <w:rFonts w:ascii="Palatino Linotype" w:eastAsia="Palatino Linotype" w:hAnsi="Palatino Linotype" w:cs="Palatino Linotype"/>
          <w:color w:val="000000" w:themeColor="text1"/>
        </w:rPr>
        <w:t>s</w:t>
      </w:r>
      <w:r w:rsidRPr="00252BF8">
        <w:rPr>
          <w:rFonts w:ascii="Palatino Linotype" w:eastAsia="Palatino Linotype" w:hAnsi="Palatino Linotype" w:cs="Palatino Linotype"/>
          <w:color w:val="000000" w:themeColor="text1"/>
        </w:rPr>
        <w:t xml:space="preserve"> respuesta</w:t>
      </w:r>
      <w:r w:rsidR="002674B2" w:rsidRPr="00252BF8">
        <w:rPr>
          <w:rFonts w:ascii="Palatino Linotype" w:eastAsia="Palatino Linotype" w:hAnsi="Palatino Linotype" w:cs="Palatino Linotype"/>
          <w:color w:val="000000" w:themeColor="text1"/>
        </w:rPr>
        <w:t>s</w:t>
      </w:r>
      <w:r w:rsidRPr="00252BF8">
        <w:rPr>
          <w:rFonts w:ascii="Palatino Linotype" w:eastAsia="Palatino Linotype" w:hAnsi="Palatino Linotype" w:cs="Palatino Linotype"/>
          <w:color w:val="000000" w:themeColor="text1"/>
        </w:rPr>
        <w:t xml:space="preserve"> emitida</w:t>
      </w:r>
      <w:r w:rsidR="002674B2" w:rsidRPr="00252BF8">
        <w:rPr>
          <w:rFonts w:ascii="Palatino Linotype" w:eastAsia="Palatino Linotype" w:hAnsi="Palatino Linotype" w:cs="Palatino Linotype"/>
          <w:color w:val="000000" w:themeColor="text1"/>
        </w:rPr>
        <w:t>s</w:t>
      </w:r>
      <w:r w:rsidRPr="00252BF8">
        <w:rPr>
          <w:rFonts w:ascii="Palatino Linotype" w:eastAsia="Palatino Linotype" w:hAnsi="Palatino Linotype" w:cs="Palatino Linotype"/>
          <w:color w:val="000000" w:themeColor="text1"/>
        </w:rPr>
        <w:t xml:space="preserve"> por el </w:t>
      </w:r>
      <w:r w:rsidR="00002FA8" w:rsidRPr="00252BF8">
        <w:rPr>
          <w:rFonts w:ascii="Palatino Linotype" w:eastAsia="Palatino Linotype" w:hAnsi="Palatino Linotype" w:cs="Palatino Linotype"/>
          <w:b/>
          <w:color w:val="000000" w:themeColor="text1"/>
        </w:rPr>
        <w:t>Ayuntamiento de Ixtapan del Oro</w:t>
      </w:r>
      <w:r w:rsidRPr="00252BF8">
        <w:rPr>
          <w:rFonts w:ascii="Palatino Linotype" w:eastAsia="Palatino Linotype" w:hAnsi="Palatino Linotype" w:cs="Palatino Linotype"/>
          <w:b/>
          <w:color w:val="000000" w:themeColor="text1"/>
        </w:rPr>
        <w:t xml:space="preserve"> </w:t>
      </w:r>
      <w:r w:rsidRPr="00252BF8">
        <w:rPr>
          <w:rFonts w:ascii="Palatino Linotype" w:eastAsia="Palatino Linotype" w:hAnsi="Palatino Linotype" w:cs="Palatino Linotype"/>
          <w:color w:val="000000" w:themeColor="text1"/>
        </w:rPr>
        <w:t xml:space="preserve">y se </w:t>
      </w:r>
      <w:r w:rsidRPr="00252BF8">
        <w:rPr>
          <w:rFonts w:ascii="Palatino Linotype" w:eastAsia="Palatino Linotype" w:hAnsi="Palatino Linotype" w:cs="Palatino Linotype"/>
          <w:b/>
          <w:color w:val="000000" w:themeColor="text1"/>
        </w:rPr>
        <w:t>ORDENA</w:t>
      </w:r>
      <w:r w:rsidRPr="00252BF8">
        <w:rPr>
          <w:rFonts w:ascii="Palatino Linotype" w:eastAsia="Palatino Linotype" w:hAnsi="Palatino Linotype" w:cs="Palatino Linotype"/>
          <w:color w:val="000000" w:themeColor="text1"/>
        </w:rPr>
        <w:t xml:space="preserve"> entregar vía Sistema de Acceso a la Información, en versión pública, lo siguiente: </w:t>
      </w:r>
    </w:p>
    <w:p w:rsidR="00002FA8" w:rsidRPr="00252BF8" w:rsidRDefault="00002FA8" w:rsidP="00A806D9">
      <w:pPr>
        <w:spacing w:line="360" w:lineRule="auto"/>
        <w:ind w:right="-7"/>
        <w:jc w:val="both"/>
        <w:rPr>
          <w:rFonts w:ascii="Palatino Linotype" w:eastAsia="Palatino Linotype" w:hAnsi="Palatino Linotype" w:cs="Palatino Linotype"/>
          <w:b/>
          <w:color w:val="000000" w:themeColor="text1"/>
        </w:rPr>
      </w:pPr>
    </w:p>
    <w:p w:rsidR="009360F1" w:rsidRPr="00252BF8" w:rsidRDefault="00002FA8" w:rsidP="00A806D9">
      <w:pPr>
        <w:spacing w:line="360" w:lineRule="auto"/>
        <w:ind w:right="-7"/>
        <w:jc w:val="both"/>
        <w:rPr>
          <w:rFonts w:ascii="Palatino Linotype" w:eastAsia="Palatino Linotype" w:hAnsi="Palatino Linotype" w:cs="Palatino Linotype"/>
          <w:b/>
          <w:bCs/>
          <w:color w:val="000000" w:themeColor="text1"/>
        </w:rPr>
      </w:pPr>
      <w:r w:rsidRPr="00252BF8">
        <w:rPr>
          <w:rFonts w:ascii="Palatino Linotype" w:eastAsia="Palatino Linotype" w:hAnsi="Palatino Linotype" w:cs="Palatino Linotype"/>
          <w:b/>
          <w:color w:val="000000" w:themeColor="text1"/>
        </w:rPr>
        <w:t>De los servidores públicos adscritos al Ayuntamiento de Ixtapan del Oro:</w:t>
      </w:r>
    </w:p>
    <w:p w:rsidR="007E0933" w:rsidRPr="00252BF8" w:rsidRDefault="007E0933" w:rsidP="00A806D9">
      <w:pPr>
        <w:spacing w:line="360" w:lineRule="auto"/>
        <w:ind w:right="-7"/>
        <w:jc w:val="both"/>
        <w:rPr>
          <w:rFonts w:ascii="Palatino Linotype" w:eastAsia="Palatino Linotype" w:hAnsi="Palatino Linotype" w:cs="Palatino Linotype"/>
          <w:b/>
          <w:color w:val="000000" w:themeColor="text1"/>
        </w:rPr>
      </w:pPr>
    </w:p>
    <w:p w:rsidR="009360F1" w:rsidRPr="00252BF8" w:rsidRDefault="007E0933" w:rsidP="00A806D9">
      <w:pPr>
        <w:pStyle w:val="Prrafodelista"/>
        <w:numPr>
          <w:ilvl w:val="0"/>
          <w:numId w:val="16"/>
        </w:numPr>
        <w:pBdr>
          <w:top w:val="nil"/>
          <w:left w:val="nil"/>
          <w:bottom w:val="nil"/>
          <w:right w:val="nil"/>
          <w:between w:val="nil"/>
        </w:pBdr>
        <w:spacing w:line="360" w:lineRule="auto"/>
        <w:ind w:left="0" w:right="-7"/>
        <w:jc w:val="both"/>
        <w:rPr>
          <w:rFonts w:ascii="Palatino Linotype" w:hAnsi="Palatino Linotype"/>
          <w:b/>
          <w:bCs/>
          <w:color w:val="000000" w:themeColor="text1"/>
        </w:rPr>
      </w:pPr>
      <w:bookmarkStart w:id="14" w:name="_heading=h.lnxbz9" w:colFirst="0" w:colLast="0"/>
      <w:bookmarkEnd w:id="14"/>
      <w:r w:rsidRPr="00252BF8">
        <w:rPr>
          <w:rFonts w:ascii="Palatino Linotype" w:hAnsi="Palatino Linotype"/>
          <w:b/>
          <w:color w:val="000000" w:themeColor="text1"/>
        </w:rPr>
        <w:t>Recibos de nómina</w:t>
      </w:r>
      <w:r w:rsidR="00887ECF" w:rsidRPr="00252BF8">
        <w:rPr>
          <w:rFonts w:ascii="Palatino Linotype" w:hAnsi="Palatino Linotype"/>
          <w:b/>
          <w:color w:val="000000" w:themeColor="text1"/>
        </w:rPr>
        <w:t xml:space="preserve"> de la </w:t>
      </w:r>
      <w:r w:rsidR="00002FA8" w:rsidRPr="00252BF8">
        <w:rPr>
          <w:rFonts w:ascii="Palatino Linotype" w:hAnsi="Palatino Linotype"/>
          <w:b/>
          <w:color w:val="000000" w:themeColor="text1"/>
        </w:rPr>
        <w:t>primera</w:t>
      </w:r>
      <w:r w:rsidR="00887ECF" w:rsidRPr="00252BF8">
        <w:rPr>
          <w:rFonts w:ascii="Palatino Linotype" w:hAnsi="Palatino Linotype"/>
          <w:b/>
          <w:color w:val="000000" w:themeColor="text1"/>
        </w:rPr>
        <w:t xml:space="preserve"> </w:t>
      </w:r>
      <w:r w:rsidR="002674B2" w:rsidRPr="00252BF8">
        <w:rPr>
          <w:rFonts w:ascii="Palatino Linotype" w:hAnsi="Palatino Linotype"/>
          <w:b/>
          <w:color w:val="000000" w:themeColor="text1"/>
        </w:rPr>
        <w:t xml:space="preserve">y segunda quincena del mes de enero y primera </w:t>
      </w:r>
      <w:r w:rsidR="00887ECF" w:rsidRPr="00252BF8">
        <w:rPr>
          <w:rFonts w:ascii="Palatino Linotype" w:hAnsi="Palatino Linotype"/>
          <w:b/>
          <w:color w:val="000000" w:themeColor="text1"/>
        </w:rPr>
        <w:t xml:space="preserve">quincena de </w:t>
      </w:r>
      <w:r w:rsidR="00002FA8" w:rsidRPr="00252BF8">
        <w:rPr>
          <w:rFonts w:ascii="Palatino Linotype" w:hAnsi="Palatino Linotype"/>
          <w:b/>
          <w:color w:val="000000" w:themeColor="text1"/>
        </w:rPr>
        <w:t>febrero</w:t>
      </w:r>
      <w:r w:rsidRPr="00252BF8">
        <w:rPr>
          <w:rFonts w:ascii="Palatino Linotype" w:hAnsi="Palatino Linotype"/>
          <w:b/>
          <w:color w:val="000000" w:themeColor="text1"/>
        </w:rPr>
        <w:t xml:space="preserve"> </w:t>
      </w:r>
      <w:r w:rsidR="00093503" w:rsidRPr="00252BF8">
        <w:rPr>
          <w:rFonts w:ascii="Palatino Linotype" w:hAnsi="Palatino Linotype"/>
          <w:b/>
          <w:color w:val="000000" w:themeColor="text1"/>
        </w:rPr>
        <w:t>de dos mil veinticinco</w:t>
      </w:r>
      <w:r w:rsidR="00002FA8" w:rsidRPr="00252BF8">
        <w:rPr>
          <w:rFonts w:ascii="Palatino Linotype" w:hAnsi="Palatino Linotype"/>
          <w:b/>
          <w:color w:val="000000" w:themeColor="text1"/>
        </w:rPr>
        <w:t>.</w:t>
      </w:r>
    </w:p>
    <w:p w:rsidR="009360F1" w:rsidRPr="00252BF8" w:rsidRDefault="009360F1" w:rsidP="00A806D9">
      <w:pPr>
        <w:pStyle w:val="Prrafodelista"/>
        <w:pBdr>
          <w:top w:val="nil"/>
          <w:left w:val="nil"/>
          <w:bottom w:val="nil"/>
          <w:right w:val="nil"/>
          <w:between w:val="nil"/>
        </w:pBdr>
        <w:spacing w:line="360" w:lineRule="auto"/>
        <w:ind w:left="0" w:right="-7"/>
        <w:jc w:val="both"/>
        <w:rPr>
          <w:rFonts w:ascii="Palatino Linotype" w:eastAsia="Palatino Linotype" w:hAnsi="Palatino Linotype" w:cs="Palatino Linotype"/>
          <w:b/>
          <w:color w:val="000000" w:themeColor="text1"/>
        </w:rPr>
      </w:pPr>
    </w:p>
    <w:p w:rsidR="007E0933" w:rsidRPr="00252BF8" w:rsidRDefault="007E0933" w:rsidP="00A806D9">
      <w:pPr>
        <w:tabs>
          <w:tab w:val="left" w:pos="8080"/>
        </w:tabs>
        <w:spacing w:line="360" w:lineRule="auto"/>
        <w:ind w:right="-7"/>
        <w:jc w:val="both"/>
        <w:rPr>
          <w:rFonts w:ascii="Palatino Linotype" w:eastAsia="Palatino Linotype" w:hAnsi="Palatino Linotype" w:cs="Palatino Linotype"/>
          <w:b/>
          <w:color w:val="000000" w:themeColor="text1"/>
        </w:rPr>
      </w:pPr>
      <w:r w:rsidRPr="00252BF8">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252BF8">
        <w:rPr>
          <w:rFonts w:ascii="Palatino Linotype" w:eastAsia="Palatino Linotype" w:hAnsi="Palatino Linotype" w:cs="Palatino Linotype"/>
          <w:b/>
          <w:color w:val="000000" w:themeColor="text1"/>
        </w:rPr>
        <w:t>RECURRENTE.</w:t>
      </w:r>
    </w:p>
    <w:p w:rsidR="007E0933" w:rsidRPr="00252BF8" w:rsidRDefault="007E0933" w:rsidP="00A806D9">
      <w:pPr>
        <w:tabs>
          <w:tab w:val="left" w:pos="8080"/>
        </w:tabs>
        <w:spacing w:line="360" w:lineRule="auto"/>
        <w:ind w:right="-7"/>
        <w:jc w:val="both"/>
        <w:rPr>
          <w:rFonts w:ascii="Palatino Linotype" w:eastAsia="Palatino Linotype" w:hAnsi="Palatino Linotype" w:cs="Palatino Linotype"/>
          <w:color w:val="000000" w:themeColor="text1"/>
        </w:rPr>
      </w:pPr>
    </w:p>
    <w:p w:rsidR="007E0933" w:rsidRPr="00252BF8" w:rsidRDefault="007E0933" w:rsidP="00A806D9">
      <w:pPr>
        <w:tabs>
          <w:tab w:val="left" w:pos="8080"/>
        </w:tabs>
        <w:spacing w:line="360" w:lineRule="auto"/>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b/>
          <w:color w:val="000000" w:themeColor="text1"/>
        </w:rPr>
        <w:lastRenderedPageBreak/>
        <w:t xml:space="preserve">TERCERO. </w:t>
      </w:r>
      <w:r w:rsidRPr="00252BF8">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252BF8">
        <w:rPr>
          <w:rFonts w:ascii="Palatino Linotype" w:eastAsia="Palatino Linotype" w:hAnsi="Palatino Linotype" w:cs="Palatino Linotype"/>
          <w:b/>
          <w:color w:val="000000" w:themeColor="text1"/>
        </w:rPr>
        <w:t xml:space="preserve">dé cumplimiento a lo ordenado dentro del plazo de diez días hábiles, </w:t>
      </w:r>
      <w:r w:rsidRPr="00252BF8">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7E0933" w:rsidRPr="00252BF8" w:rsidRDefault="007E0933" w:rsidP="00A806D9">
      <w:pPr>
        <w:tabs>
          <w:tab w:val="left" w:pos="8080"/>
        </w:tabs>
        <w:spacing w:line="360" w:lineRule="auto"/>
        <w:ind w:right="-7"/>
        <w:jc w:val="both"/>
        <w:rPr>
          <w:rFonts w:ascii="Palatino Linotype" w:eastAsia="Palatino Linotype" w:hAnsi="Palatino Linotype" w:cs="Palatino Linotype"/>
          <w:color w:val="000000" w:themeColor="text1"/>
        </w:rPr>
      </w:pPr>
    </w:p>
    <w:p w:rsidR="007E0933" w:rsidRPr="00252BF8" w:rsidRDefault="007E0933" w:rsidP="00A806D9">
      <w:pPr>
        <w:spacing w:line="360" w:lineRule="auto"/>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b/>
          <w:color w:val="000000" w:themeColor="text1"/>
        </w:rPr>
        <w:t xml:space="preserve">CUARTO. </w:t>
      </w:r>
      <w:r w:rsidRPr="00252BF8">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252BF8">
        <w:rPr>
          <w:rFonts w:ascii="Palatino Linotype" w:eastAsia="Palatino Linotype" w:hAnsi="Palatino Linotype" w:cs="Palatino Linotype"/>
          <w:b/>
          <w:color w:val="000000" w:themeColor="text1"/>
        </w:rPr>
        <w:t>SUJETO OBLIGADO</w:t>
      </w:r>
      <w:r w:rsidRPr="00252BF8">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7E0933" w:rsidRPr="00252BF8" w:rsidRDefault="007E0933" w:rsidP="00A806D9">
      <w:pPr>
        <w:spacing w:line="360" w:lineRule="auto"/>
        <w:ind w:right="-7"/>
        <w:jc w:val="both"/>
        <w:rPr>
          <w:rFonts w:ascii="Palatino Linotype" w:eastAsia="Palatino Linotype" w:hAnsi="Palatino Linotype" w:cs="Palatino Linotype"/>
          <w:color w:val="000000" w:themeColor="text1"/>
        </w:rPr>
      </w:pPr>
    </w:p>
    <w:p w:rsidR="007E0933" w:rsidRPr="00252BF8" w:rsidRDefault="007E0933" w:rsidP="00A806D9">
      <w:pPr>
        <w:spacing w:line="360" w:lineRule="auto"/>
        <w:ind w:right="-7"/>
        <w:jc w:val="both"/>
        <w:rPr>
          <w:rFonts w:ascii="Palatino Linotype" w:eastAsia="Palatino Linotype" w:hAnsi="Palatino Linotype" w:cs="Palatino Linotype"/>
          <w:color w:val="000000" w:themeColor="text1"/>
        </w:rPr>
      </w:pPr>
      <w:bookmarkStart w:id="15" w:name="_heading=h.2jxsxqh" w:colFirst="0" w:colLast="0"/>
      <w:bookmarkEnd w:id="15"/>
      <w:r w:rsidRPr="00252BF8">
        <w:rPr>
          <w:rFonts w:ascii="Palatino Linotype" w:eastAsia="Palatino Linotype" w:hAnsi="Palatino Linotype" w:cs="Palatino Linotype"/>
          <w:b/>
          <w:color w:val="000000" w:themeColor="text1"/>
        </w:rPr>
        <w:t xml:space="preserve">QUINTO. </w:t>
      </w:r>
      <w:r w:rsidRPr="00252BF8">
        <w:rPr>
          <w:rFonts w:ascii="Palatino Linotype" w:eastAsia="Palatino Linotype" w:hAnsi="Palatino Linotype" w:cs="Palatino Linotype"/>
          <w:color w:val="000000" w:themeColor="text1"/>
        </w:rPr>
        <w:t xml:space="preserve">Notifíquese a </w:t>
      </w:r>
      <w:r w:rsidRPr="00252BF8">
        <w:rPr>
          <w:rFonts w:ascii="Palatino Linotype" w:eastAsia="Palatino Linotype" w:hAnsi="Palatino Linotype" w:cs="Palatino Linotype"/>
          <w:b/>
          <w:color w:val="000000" w:themeColor="text1"/>
        </w:rPr>
        <w:t>EL RECURRENTE</w:t>
      </w:r>
      <w:r w:rsidRPr="00252BF8">
        <w:rPr>
          <w:rFonts w:ascii="Palatino Linotype" w:eastAsia="Palatino Linotype" w:hAnsi="Palatino Linotype" w:cs="Palatino Linotype"/>
          <w:color w:val="000000" w:themeColor="text1"/>
        </w:rPr>
        <w:t xml:space="preserve"> la presente resolución, vía SAIMEX.</w:t>
      </w:r>
    </w:p>
    <w:p w:rsidR="007E0933" w:rsidRPr="00252BF8" w:rsidRDefault="007E0933" w:rsidP="00A806D9">
      <w:pPr>
        <w:shd w:val="clear" w:color="auto" w:fill="FFFFFF"/>
        <w:spacing w:line="360" w:lineRule="auto"/>
        <w:ind w:right="-7"/>
        <w:jc w:val="both"/>
        <w:rPr>
          <w:rFonts w:ascii="Palatino Linotype" w:eastAsia="Palatino Linotype" w:hAnsi="Palatino Linotype" w:cs="Palatino Linotype"/>
          <w:b/>
          <w:color w:val="000000" w:themeColor="text1"/>
          <w:lang w:val="es-ES_tradnl"/>
        </w:rPr>
      </w:pPr>
    </w:p>
    <w:p w:rsidR="007E0933" w:rsidRPr="00252BF8" w:rsidRDefault="007E0933" w:rsidP="00A806D9">
      <w:pPr>
        <w:spacing w:line="360" w:lineRule="auto"/>
        <w:ind w:right="-7"/>
        <w:jc w:val="both"/>
        <w:rPr>
          <w:rFonts w:ascii="Palatino Linotype" w:eastAsia="Palatino Linotype" w:hAnsi="Palatino Linotype" w:cs="Palatino Linotype"/>
          <w:color w:val="000000" w:themeColor="text1"/>
          <w:lang w:val="es-ES_tradnl"/>
        </w:rPr>
      </w:pPr>
      <w:r w:rsidRPr="00252BF8">
        <w:rPr>
          <w:rFonts w:ascii="Palatino Linotype" w:eastAsia="Palatino Linotype" w:hAnsi="Palatino Linotype" w:cs="Palatino Linotype"/>
          <w:b/>
          <w:color w:val="000000" w:themeColor="text1"/>
          <w:lang w:val="es-ES_tradnl"/>
        </w:rPr>
        <w:t xml:space="preserve">SEXTO. </w:t>
      </w:r>
      <w:r w:rsidRPr="00252BF8">
        <w:rPr>
          <w:rFonts w:ascii="Palatino Linotype" w:eastAsia="Palatino Linotype" w:hAnsi="Palatino Linotype" w:cs="Palatino Linotype"/>
          <w:color w:val="000000" w:themeColor="text1"/>
          <w:lang w:val="es-ES_tradnl"/>
        </w:rPr>
        <w:t xml:space="preserve">Se hace del conocimiento del </w:t>
      </w:r>
      <w:r w:rsidRPr="00252BF8">
        <w:rPr>
          <w:rFonts w:ascii="Palatino Linotype" w:eastAsia="Palatino Linotype" w:hAnsi="Palatino Linotype" w:cs="Palatino Linotype"/>
          <w:b/>
          <w:color w:val="000000" w:themeColor="text1"/>
          <w:lang w:val="es-ES_tradnl"/>
        </w:rPr>
        <w:t>RECURRENTE</w:t>
      </w:r>
      <w:r w:rsidRPr="00252BF8">
        <w:rPr>
          <w:rFonts w:ascii="Palatino Linotype" w:eastAsia="Palatino Linotype" w:hAnsi="Palatino Linotype" w:cs="Palatino Linotype"/>
          <w:color w:val="000000" w:themeColor="text1"/>
          <w:lang w:val="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E0933" w:rsidRDefault="00243A0D" w:rsidP="00A806D9">
      <w:pPr>
        <w:spacing w:before="240" w:after="240" w:line="360" w:lineRule="auto"/>
        <w:ind w:right="-7"/>
        <w:jc w:val="both"/>
        <w:rPr>
          <w:rFonts w:ascii="Palatino Linotype" w:eastAsia="Palatino Linotype" w:hAnsi="Palatino Linotype" w:cs="Palatino Linotype"/>
          <w:color w:val="000000" w:themeColor="text1"/>
        </w:rPr>
      </w:pPr>
      <w:r w:rsidRPr="00252BF8">
        <w:rPr>
          <w:rFonts w:ascii="Palatino Linotype" w:eastAsia="Palatino Linotype" w:hAnsi="Palatino Linotype" w:cs="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8F11D2" w:rsidRPr="00252BF8">
        <w:rPr>
          <w:rFonts w:ascii="Palatino Linotype" w:eastAsia="Palatino Linotype" w:hAnsi="Palatino Linotype" w:cs="Palatino Linotype"/>
          <w:color w:val="000000" w:themeColor="text1"/>
        </w:rPr>
        <w:t xml:space="preserve"> (AUSENCIA JUSTIFICADA) </w:t>
      </w:r>
      <w:r w:rsidRPr="00252BF8">
        <w:rPr>
          <w:rFonts w:ascii="Palatino Linotype" w:eastAsia="Palatino Linotype" w:hAnsi="Palatino Linotype" w:cs="Palatino Linotype"/>
          <w:color w:val="000000" w:themeColor="text1"/>
        </w:rPr>
        <w:t>Y GUADALUPE RAMÍREZ PEÑA</w:t>
      </w:r>
      <w:r w:rsidR="006F7FBB" w:rsidRPr="00252BF8">
        <w:rPr>
          <w:rFonts w:ascii="Palatino Linotype" w:eastAsia="Palatino Linotype" w:hAnsi="Palatino Linotype" w:cs="Palatino Linotype"/>
          <w:color w:val="000000" w:themeColor="text1"/>
        </w:rPr>
        <w:t xml:space="preserve"> EMITIENDO VOTO PARTICULAR</w:t>
      </w:r>
      <w:r w:rsidRPr="00252BF8">
        <w:rPr>
          <w:rFonts w:ascii="Palatino Linotype" w:eastAsia="Palatino Linotype" w:hAnsi="Palatino Linotype" w:cs="Palatino Linotype"/>
          <w:color w:val="000000" w:themeColor="text1"/>
        </w:rPr>
        <w:t>; EN LA DÉCIMA NOVENA SESIÓN ORDINARIA, CELEBRADA EL VEINTIOCHO (28) DE MAYO DE DOS MIL VEINTICINCO, ANTE EL SECRETARIO TÉCNICO DEL PLENO ALEXIS TAPIA RAMÍREZ.</w:t>
      </w:r>
    </w:p>
    <w:p w:rsidR="009F31CF" w:rsidRDefault="009F31CF" w:rsidP="00A806D9">
      <w:pPr>
        <w:spacing w:before="240" w:after="240" w:line="360" w:lineRule="auto"/>
        <w:ind w:right="-7"/>
        <w:jc w:val="both"/>
        <w:rPr>
          <w:rFonts w:ascii="Palatino Linotype" w:eastAsia="Palatino Linotype" w:hAnsi="Palatino Linotype" w:cs="Palatino Linotype"/>
          <w:color w:val="000000" w:themeColor="text1"/>
        </w:rPr>
      </w:pPr>
    </w:p>
    <w:p w:rsidR="009F31CF" w:rsidRDefault="009F31CF" w:rsidP="00A806D9">
      <w:pPr>
        <w:spacing w:before="240" w:after="240" w:line="360" w:lineRule="auto"/>
        <w:ind w:right="-7"/>
        <w:jc w:val="both"/>
        <w:rPr>
          <w:rFonts w:ascii="Palatino Linotype" w:eastAsia="Palatino Linotype" w:hAnsi="Palatino Linotype" w:cs="Palatino Linotype"/>
          <w:color w:val="000000" w:themeColor="text1"/>
        </w:rPr>
      </w:pPr>
    </w:p>
    <w:p w:rsidR="009F31CF" w:rsidRDefault="009F31CF" w:rsidP="00A806D9">
      <w:pPr>
        <w:spacing w:before="240" w:after="240" w:line="360" w:lineRule="auto"/>
        <w:ind w:right="-7"/>
        <w:jc w:val="both"/>
        <w:rPr>
          <w:rFonts w:ascii="Palatino Linotype" w:eastAsia="Palatino Linotype" w:hAnsi="Palatino Linotype" w:cs="Palatino Linotype"/>
          <w:color w:val="000000" w:themeColor="text1"/>
        </w:rPr>
      </w:pPr>
    </w:p>
    <w:p w:rsidR="009F31CF" w:rsidRDefault="009F31CF" w:rsidP="00A806D9">
      <w:pPr>
        <w:spacing w:before="240" w:after="240" w:line="360" w:lineRule="auto"/>
        <w:ind w:right="-7"/>
        <w:jc w:val="both"/>
        <w:rPr>
          <w:rFonts w:ascii="Palatino Linotype" w:eastAsia="Palatino Linotype" w:hAnsi="Palatino Linotype" w:cs="Palatino Linotype"/>
          <w:color w:val="000000" w:themeColor="text1"/>
        </w:rPr>
      </w:pPr>
    </w:p>
    <w:p w:rsidR="009F31CF" w:rsidRDefault="009F31CF" w:rsidP="00A806D9">
      <w:pPr>
        <w:spacing w:before="240" w:after="240" w:line="360" w:lineRule="auto"/>
        <w:ind w:right="-7"/>
        <w:jc w:val="both"/>
        <w:rPr>
          <w:rFonts w:ascii="Palatino Linotype" w:eastAsia="Palatino Linotype" w:hAnsi="Palatino Linotype" w:cs="Palatino Linotype"/>
          <w:color w:val="000000" w:themeColor="text1"/>
        </w:rPr>
      </w:pPr>
    </w:p>
    <w:p w:rsidR="009F31CF" w:rsidRDefault="009F31CF" w:rsidP="00A806D9">
      <w:pPr>
        <w:spacing w:before="240" w:after="240" w:line="360" w:lineRule="auto"/>
        <w:ind w:right="-7"/>
        <w:jc w:val="both"/>
        <w:rPr>
          <w:rFonts w:ascii="Palatino Linotype" w:eastAsia="Palatino Linotype" w:hAnsi="Palatino Linotype" w:cs="Palatino Linotype"/>
          <w:color w:val="000000" w:themeColor="text1"/>
        </w:rPr>
      </w:pPr>
    </w:p>
    <w:p w:rsidR="009F31CF" w:rsidRDefault="009F31CF" w:rsidP="00A806D9">
      <w:pPr>
        <w:spacing w:before="240" w:after="240" w:line="360" w:lineRule="auto"/>
        <w:ind w:right="-7"/>
        <w:jc w:val="both"/>
        <w:rPr>
          <w:rFonts w:ascii="Palatino Linotype" w:eastAsia="Palatino Linotype" w:hAnsi="Palatino Linotype" w:cs="Palatino Linotype"/>
          <w:color w:val="000000" w:themeColor="text1"/>
        </w:rPr>
      </w:pPr>
    </w:p>
    <w:p w:rsidR="009F31CF" w:rsidRDefault="009F31CF" w:rsidP="00A806D9">
      <w:pPr>
        <w:spacing w:before="240" w:after="240" w:line="360" w:lineRule="auto"/>
        <w:ind w:right="-7"/>
        <w:jc w:val="both"/>
        <w:rPr>
          <w:rFonts w:ascii="Palatino Linotype" w:eastAsia="Palatino Linotype" w:hAnsi="Palatino Linotype" w:cs="Palatino Linotype"/>
          <w:color w:val="000000" w:themeColor="text1"/>
        </w:rPr>
      </w:pPr>
    </w:p>
    <w:p w:rsidR="009F31CF" w:rsidRDefault="009F31CF" w:rsidP="00A806D9">
      <w:pPr>
        <w:spacing w:before="240" w:after="240" w:line="360" w:lineRule="auto"/>
        <w:ind w:right="-7"/>
        <w:jc w:val="both"/>
        <w:rPr>
          <w:rFonts w:ascii="Palatino Linotype" w:eastAsia="Palatino Linotype" w:hAnsi="Palatino Linotype" w:cs="Palatino Linotype"/>
          <w:color w:val="000000" w:themeColor="text1"/>
        </w:rPr>
      </w:pPr>
    </w:p>
    <w:p w:rsidR="009F31CF" w:rsidRDefault="009F31CF" w:rsidP="00A806D9">
      <w:pPr>
        <w:spacing w:before="240" w:after="240" w:line="360" w:lineRule="auto"/>
        <w:ind w:right="-7"/>
        <w:jc w:val="both"/>
        <w:rPr>
          <w:rFonts w:ascii="Palatino Linotype" w:eastAsia="Palatino Linotype" w:hAnsi="Palatino Linotype" w:cs="Palatino Linotype"/>
          <w:color w:val="000000" w:themeColor="text1"/>
        </w:rPr>
      </w:pPr>
    </w:p>
    <w:p w:rsidR="009F31CF" w:rsidRDefault="009F31CF" w:rsidP="00A806D9">
      <w:pPr>
        <w:spacing w:before="240" w:after="240" w:line="360" w:lineRule="auto"/>
        <w:ind w:right="-7"/>
        <w:jc w:val="both"/>
        <w:rPr>
          <w:rFonts w:ascii="Palatino Linotype" w:eastAsia="Palatino Linotype" w:hAnsi="Palatino Linotype" w:cs="Palatino Linotype"/>
          <w:color w:val="000000" w:themeColor="text1"/>
        </w:rPr>
      </w:pPr>
    </w:p>
    <w:p w:rsidR="009F31CF" w:rsidRPr="00A806D9" w:rsidRDefault="009F31CF" w:rsidP="00A806D9">
      <w:pPr>
        <w:spacing w:before="240" w:after="240" w:line="360" w:lineRule="auto"/>
        <w:ind w:right="-7"/>
        <w:jc w:val="both"/>
        <w:rPr>
          <w:rFonts w:ascii="Palatino Linotype" w:eastAsia="Palatino Linotype" w:hAnsi="Palatino Linotype" w:cs="Palatino Linotype"/>
          <w:color w:val="000000" w:themeColor="text1"/>
        </w:rPr>
      </w:pPr>
      <w:bookmarkStart w:id="16" w:name="_GoBack"/>
      <w:bookmarkEnd w:id="16"/>
    </w:p>
    <w:p w:rsidR="007E0933" w:rsidRPr="00A806D9" w:rsidRDefault="007E0933" w:rsidP="00A806D9">
      <w:pPr>
        <w:spacing w:before="240" w:after="240" w:line="360" w:lineRule="auto"/>
        <w:ind w:right="-7"/>
        <w:jc w:val="both"/>
        <w:rPr>
          <w:rFonts w:ascii="Palatino Linotype" w:eastAsia="Palatino Linotype" w:hAnsi="Palatino Linotype" w:cs="Palatino Linotype"/>
          <w:color w:val="000000" w:themeColor="text1"/>
        </w:rPr>
      </w:pPr>
    </w:p>
    <w:p w:rsidR="007E0933" w:rsidRPr="00A806D9" w:rsidRDefault="007E0933" w:rsidP="00A806D9">
      <w:pPr>
        <w:spacing w:before="240" w:after="240" w:line="360" w:lineRule="auto"/>
        <w:ind w:right="-7"/>
        <w:jc w:val="both"/>
        <w:rPr>
          <w:rFonts w:ascii="Palatino Linotype" w:eastAsia="Palatino Linotype" w:hAnsi="Palatino Linotype" w:cs="Palatino Linotype"/>
          <w:color w:val="000000" w:themeColor="text1"/>
        </w:rPr>
      </w:pPr>
    </w:p>
    <w:p w:rsidR="007E0933" w:rsidRPr="00A806D9" w:rsidRDefault="007E0933" w:rsidP="00A806D9">
      <w:pPr>
        <w:spacing w:before="240" w:after="240" w:line="360" w:lineRule="auto"/>
        <w:ind w:right="-7"/>
        <w:jc w:val="both"/>
        <w:rPr>
          <w:rFonts w:ascii="Palatino Linotype" w:eastAsia="Palatino Linotype" w:hAnsi="Palatino Linotype" w:cs="Palatino Linotype"/>
          <w:color w:val="000000" w:themeColor="text1"/>
        </w:rPr>
      </w:pPr>
    </w:p>
    <w:p w:rsidR="007E0933" w:rsidRPr="00A806D9" w:rsidRDefault="007E0933" w:rsidP="00A806D9">
      <w:pPr>
        <w:spacing w:before="240" w:after="240" w:line="360" w:lineRule="auto"/>
        <w:ind w:right="-7"/>
        <w:jc w:val="both"/>
        <w:rPr>
          <w:rFonts w:ascii="Palatino Linotype" w:eastAsia="Palatino Linotype" w:hAnsi="Palatino Linotype" w:cs="Palatino Linotype"/>
          <w:color w:val="000000" w:themeColor="text1"/>
        </w:rPr>
      </w:pPr>
    </w:p>
    <w:p w:rsidR="007E0933" w:rsidRPr="00A806D9" w:rsidRDefault="007E0933" w:rsidP="00A806D9">
      <w:pPr>
        <w:spacing w:line="360" w:lineRule="auto"/>
        <w:ind w:right="-7"/>
        <w:jc w:val="both"/>
        <w:rPr>
          <w:rFonts w:ascii="Palatino Linotype" w:eastAsia="Palatino Linotype" w:hAnsi="Palatino Linotype" w:cs="Palatino Linotype"/>
          <w:color w:val="000000" w:themeColor="text1"/>
        </w:rPr>
      </w:pPr>
    </w:p>
    <w:p w:rsidR="007E0933" w:rsidRPr="00A806D9" w:rsidRDefault="007E0933" w:rsidP="00A806D9">
      <w:pPr>
        <w:keepNext/>
        <w:keepLines/>
        <w:spacing w:after="240" w:line="360" w:lineRule="auto"/>
        <w:ind w:right="-7"/>
        <w:rPr>
          <w:rFonts w:ascii="Palatino Linotype" w:hAnsi="Palatino Linotype"/>
          <w:color w:val="000000" w:themeColor="text1"/>
        </w:rPr>
      </w:pPr>
    </w:p>
    <w:p w:rsidR="007E0933" w:rsidRPr="00A806D9" w:rsidRDefault="007E0933" w:rsidP="00A806D9">
      <w:pPr>
        <w:ind w:right="-7"/>
        <w:rPr>
          <w:rFonts w:ascii="Palatino Linotype" w:hAnsi="Palatino Linotype"/>
          <w:color w:val="000000" w:themeColor="text1"/>
        </w:rPr>
      </w:pPr>
    </w:p>
    <w:p w:rsidR="007E0933" w:rsidRPr="00A806D9" w:rsidRDefault="007E0933" w:rsidP="00A806D9">
      <w:pPr>
        <w:ind w:right="-7"/>
        <w:rPr>
          <w:rFonts w:ascii="Palatino Linotype" w:hAnsi="Palatino Linotype"/>
          <w:color w:val="000000" w:themeColor="text1"/>
        </w:rPr>
      </w:pPr>
    </w:p>
    <w:p w:rsidR="007E0933" w:rsidRPr="00A806D9" w:rsidRDefault="007E0933" w:rsidP="00A806D9">
      <w:pPr>
        <w:ind w:right="-7"/>
        <w:rPr>
          <w:rFonts w:ascii="Palatino Linotype" w:hAnsi="Palatino Linotype"/>
          <w:color w:val="000000" w:themeColor="text1"/>
        </w:rPr>
      </w:pPr>
    </w:p>
    <w:p w:rsidR="007E0933" w:rsidRPr="00A806D9" w:rsidRDefault="007E0933" w:rsidP="00A806D9">
      <w:pPr>
        <w:ind w:right="-7"/>
        <w:rPr>
          <w:rFonts w:ascii="Palatino Linotype" w:hAnsi="Palatino Linotype"/>
          <w:color w:val="000000" w:themeColor="text1"/>
        </w:rPr>
      </w:pPr>
    </w:p>
    <w:p w:rsidR="007E0933" w:rsidRPr="00A806D9" w:rsidRDefault="007E0933" w:rsidP="00A806D9">
      <w:pPr>
        <w:ind w:right="-7"/>
        <w:rPr>
          <w:rFonts w:ascii="Palatino Linotype" w:hAnsi="Palatino Linotype"/>
          <w:color w:val="000000" w:themeColor="text1"/>
        </w:rPr>
      </w:pPr>
    </w:p>
    <w:p w:rsidR="007E0933" w:rsidRPr="00A806D9" w:rsidRDefault="007E0933" w:rsidP="00A806D9">
      <w:pPr>
        <w:ind w:right="-7"/>
        <w:rPr>
          <w:rFonts w:ascii="Palatino Linotype" w:hAnsi="Palatino Linotype"/>
          <w:color w:val="000000" w:themeColor="text1"/>
        </w:rPr>
      </w:pPr>
    </w:p>
    <w:p w:rsidR="007E0933" w:rsidRPr="00A806D9" w:rsidRDefault="007E0933" w:rsidP="00A806D9">
      <w:pPr>
        <w:ind w:right="-7"/>
        <w:rPr>
          <w:rFonts w:ascii="Palatino Linotype" w:hAnsi="Palatino Linotype"/>
          <w:color w:val="000000" w:themeColor="text1"/>
        </w:rPr>
      </w:pPr>
    </w:p>
    <w:p w:rsidR="000F2F93" w:rsidRPr="00A806D9" w:rsidRDefault="000F2F93" w:rsidP="00A806D9">
      <w:pPr>
        <w:ind w:right="-7"/>
        <w:rPr>
          <w:rFonts w:ascii="Palatino Linotype" w:hAnsi="Palatino Linotype"/>
          <w:color w:val="000000" w:themeColor="text1"/>
        </w:rPr>
      </w:pPr>
    </w:p>
    <w:sectPr w:rsidR="000F2F93" w:rsidRPr="00A806D9" w:rsidSect="00A806D9">
      <w:headerReference w:type="default" r:id="rId13"/>
      <w:footerReference w:type="default" r:id="rId14"/>
      <w:headerReference w:type="first" r:id="rId15"/>
      <w:footerReference w:type="first" r:id="rId16"/>
      <w:pgSz w:w="12240" w:h="15840"/>
      <w:pgMar w:top="2410" w:right="1325"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F44" w:rsidRDefault="003F2F44" w:rsidP="007E0933">
      <w:r>
        <w:separator/>
      </w:r>
    </w:p>
  </w:endnote>
  <w:endnote w:type="continuationSeparator" w:id="0">
    <w:p w:rsidR="003F2F44" w:rsidRDefault="003F2F44" w:rsidP="007E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6D9" w:rsidRDefault="00A806D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F31CF">
      <w:rPr>
        <w:rFonts w:ascii="Arial" w:eastAsia="Arial" w:hAnsi="Arial" w:cs="Arial"/>
        <w:b/>
        <w:noProof/>
        <w:color w:val="000000"/>
        <w:sz w:val="20"/>
        <w:szCs w:val="20"/>
      </w:rPr>
      <w:t>58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F31CF">
      <w:rPr>
        <w:rFonts w:ascii="Arial" w:eastAsia="Arial" w:hAnsi="Arial" w:cs="Arial"/>
        <w:b/>
        <w:noProof/>
        <w:color w:val="000000"/>
        <w:sz w:val="20"/>
        <w:szCs w:val="20"/>
      </w:rPr>
      <w:t>61</w:t>
    </w:r>
    <w:r>
      <w:rPr>
        <w:rFonts w:ascii="Arial" w:eastAsia="Arial" w:hAnsi="Arial" w:cs="Arial"/>
        <w:b/>
        <w:color w:val="000000"/>
        <w:sz w:val="20"/>
        <w:szCs w:val="20"/>
      </w:rPr>
      <w:fldChar w:fldCharType="end"/>
    </w:r>
  </w:p>
  <w:p w:rsidR="00A806D9" w:rsidRDefault="00A806D9">
    <w:pPr>
      <w:pBdr>
        <w:top w:val="nil"/>
        <w:left w:val="nil"/>
        <w:bottom w:val="nil"/>
        <w:right w:val="nil"/>
        <w:between w:val="nil"/>
      </w:pBdr>
      <w:tabs>
        <w:tab w:val="center" w:pos="4252"/>
        <w:tab w:val="right" w:pos="8504"/>
      </w:tabs>
      <w:rPr>
        <w:color w:val="000000"/>
      </w:rPr>
    </w:pPr>
  </w:p>
  <w:p w:rsidR="00A806D9" w:rsidRDefault="00A806D9">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6D9" w:rsidRDefault="00A806D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F31C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F31CF">
      <w:rPr>
        <w:rFonts w:ascii="Arial" w:eastAsia="Arial" w:hAnsi="Arial" w:cs="Arial"/>
        <w:b/>
        <w:noProof/>
        <w:color w:val="000000"/>
        <w:sz w:val="20"/>
        <w:szCs w:val="20"/>
      </w:rPr>
      <w:t>61</w:t>
    </w:r>
    <w:r>
      <w:rPr>
        <w:rFonts w:ascii="Arial" w:eastAsia="Arial" w:hAnsi="Arial" w:cs="Arial"/>
        <w:b/>
        <w:color w:val="000000"/>
        <w:sz w:val="20"/>
        <w:szCs w:val="20"/>
      </w:rPr>
      <w:fldChar w:fldCharType="end"/>
    </w:r>
  </w:p>
  <w:p w:rsidR="00A806D9" w:rsidRDefault="00A806D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F44" w:rsidRDefault="003F2F44" w:rsidP="007E0933">
      <w:r>
        <w:separator/>
      </w:r>
    </w:p>
  </w:footnote>
  <w:footnote w:type="continuationSeparator" w:id="0">
    <w:p w:rsidR="003F2F44" w:rsidRDefault="003F2F44" w:rsidP="007E0933">
      <w:r>
        <w:continuationSeparator/>
      </w:r>
    </w:p>
  </w:footnote>
  <w:footnote w:id="1">
    <w:p w:rsidR="00A806D9" w:rsidRDefault="00A806D9" w:rsidP="000E136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A806D9" w:rsidRDefault="00A806D9" w:rsidP="007E093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3">
    <w:p w:rsidR="00A806D9" w:rsidRDefault="00A806D9" w:rsidP="007E093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4">
    <w:p w:rsidR="00A806D9" w:rsidRDefault="00A806D9" w:rsidP="007E093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5">
    <w:p w:rsidR="00A806D9" w:rsidRDefault="00A806D9" w:rsidP="007E093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w:t>
      </w:r>
      <w:proofErr w:type="spellStart"/>
      <w:r>
        <w:rPr>
          <w:color w:val="000000"/>
          <w:sz w:val="20"/>
          <w:szCs w:val="20"/>
        </w:rPr>
        <w:t>Parr</w:t>
      </w:r>
      <w:proofErr w:type="spellEnd"/>
      <w:r>
        <w:rPr>
          <w:color w:val="000000"/>
          <w:sz w:val="20"/>
          <w:szCs w:val="20"/>
        </w:rPr>
        <w:t>. 87.</w:t>
      </w:r>
    </w:p>
  </w:footnote>
  <w:footnote w:id="6">
    <w:p w:rsidR="00A806D9" w:rsidRDefault="00A806D9" w:rsidP="00DC6B48">
      <w:pPr>
        <w:pBdr>
          <w:top w:val="nil"/>
          <w:left w:val="nil"/>
          <w:bottom w:val="nil"/>
          <w:right w:val="nil"/>
          <w:between w:val="nil"/>
        </w:pBdr>
        <w:rPr>
          <w:color w:val="000000"/>
        </w:rPr>
      </w:pPr>
      <w:r>
        <w:rPr>
          <w:vertAlign w:val="superscript"/>
        </w:rPr>
        <w:footnoteRef/>
      </w:r>
      <w:r>
        <w:rPr>
          <w:color w:val="000000"/>
        </w:rP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6D9" w:rsidRDefault="00A806D9">
    <w:pPr>
      <w:widowControl w:val="0"/>
      <w:pBdr>
        <w:top w:val="nil"/>
        <w:left w:val="nil"/>
        <w:bottom w:val="nil"/>
        <w:right w:val="nil"/>
        <w:between w:val="nil"/>
      </w:pBdr>
      <w:spacing w:line="276" w:lineRule="auto"/>
      <w:rPr>
        <w:color w:val="000000"/>
        <w:sz w:val="20"/>
        <w:szCs w:val="20"/>
      </w:rPr>
    </w:pPr>
    <w:r>
      <w:rPr>
        <w:noProof/>
      </w:rPr>
      <w:drawing>
        <wp:anchor distT="0" distB="0" distL="0" distR="0" simplePos="0" relativeHeight="251659264" behindDoc="1" locked="0" layoutInCell="1" hidden="0" allowOverlap="1" wp14:anchorId="225CEEA4" wp14:editId="623BCC1D">
          <wp:simplePos x="0" y="0"/>
          <wp:positionH relativeFrom="column">
            <wp:posOffset>-1257300</wp:posOffset>
          </wp:positionH>
          <wp:positionV relativeFrom="paragraph">
            <wp:posOffset>-569595</wp:posOffset>
          </wp:positionV>
          <wp:extent cx="7813085" cy="10170000"/>
          <wp:effectExtent l="0" t="0" r="0" b="0"/>
          <wp:wrapNone/>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p>
  <w:tbl>
    <w:tblPr>
      <w:tblW w:w="7655" w:type="dxa"/>
      <w:tblInd w:w="2268" w:type="dxa"/>
      <w:tblLayout w:type="fixed"/>
      <w:tblLook w:val="0400" w:firstRow="0" w:lastRow="0" w:firstColumn="0" w:lastColumn="0" w:noHBand="0" w:noVBand="1"/>
    </w:tblPr>
    <w:tblGrid>
      <w:gridCol w:w="2835"/>
      <w:gridCol w:w="4820"/>
    </w:tblGrid>
    <w:tr w:rsidR="00A806D9" w:rsidRPr="00A806D9" w:rsidTr="00A806D9">
      <w:tc>
        <w:tcPr>
          <w:tcW w:w="2835" w:type="dxa"/>
          <w:vAlign w:val="center"/>
        </w:tcPr>
        <w:p w:rsidR="00A806D9" w:rsidRPr="00A806D9" w:rsidRDefault="00A806D9" w:rsidP="00490E94">
          <w:pPr>
            <w:jc w:val="right"/>
            <w:rPr>
              <w:rFonts w:ascii="Palatino Linotype" w:eastAsia="Palatino Linotype" w:hAnsi="Palatino Linotype" w:cs="Palatino Linotype"/>
              <w:b/>
            </w:rPr>
          </w:pPr>
          <w:r w:rsidRPr="00A806D9">
            <w:rPr>
              <w:rFonts w:ascii="Palatino Linotype" w:eastAsia="Palatino Linotype" w:hAnsi="Palatino Linotype" w:cs="Palatino Linotype"/>
              <w:b/>
            </w:rPr>
            <w:t>Recurso de Revisión:</w:t>
          </w:r>
        </w:p>
      </w:tc>
      <w:tc>
        <w:tcPr>
          <w:tcW w:w="4820" w:type="dxa"/>
          <w:vAlign w:val="center"/>
        </w:tcPr>
        <w:p w:rsidR="00A806D9" w:rsidRPr="00A806D9" w:rsidRDefault="00A806D9" w:rsidP="00A806D9">
          <w:pPr>
            <w:ind w:left="-108" w:right="-108"/>
            <w:rPr>
              <w:rFonts w:ascii="Palatino Linotype" w:eastAsia="Palatino Linotype" w:hAnsi="Palatino Linotype" w:cs="Palatino Linotype"/>
            </w:rPr>
          </w:pPr>
          <w:r w:rsidRPr="00A806D9">
            <w:rPr>
              <w:rFonts w:ascii="Palatino Linotype" w:eastAsia="Palatino Linotype" w:hAnsi="Palatino Linotype" w:cs="Palatino Linotype"/>
            </w:rPr>
            <w:t>04803/INFOEM/IP/RR/2025</w:t>
          </w:r>
          <w:r>
            <w:rPr>
              <w:rFonts w:ascii="Palatino Linotype" w:eastAsia="Palatino Linotype" w:hAnsi="Palatino Linotype" w:cs="Palatino Linotype"/>
            </w:rPr>
            <w:t xml:space="preserve"> y acumulados</w:t>
          </w:r>
        </w:p>
      </w:tc>
    </w:tr>
    <w:tr w:rsidR="00A806D9" w:rsidRPr="00A806D9" w:rsidTr="00A806D9">
      <w:trPr>
        <w:trHeight w:val="228"/>
      </w:trPr>
      <w:tc>
        <w:tcPr>
          <w:tcW w:w="2835" w:type="dxa"/>
          <w:vAlign w:val="center"/>
        </w:tcPr>
        <w:p w:rsidR="00A806D9" w:rsidRPr="00A806D9" w:rsidRDefault="00A806D9" w:rsidP="00490E94">
          <w:pPr>
            <w:jc w:val="right"/>
            <w:rPr>
              <w:rFonts w:ascii="Palatino Linotype" w:eastAsia="Palatino Linotype" w:hAnsi="Palatino Linotype" w:cs="Palatino Linotype"/>
              <w:b/>
            </w:rPr>
          </w:pPr>
          <w:r w:rsidRPr="00A806D9">
            <w:rPr>
              <w:rFonts w:ascii="Palatino Linotype" w:eastAsia="Palatino Linotype" w:hAnsi="Palatino Linotype" w:cs="Palatino Linotype"/>
              <w:b/>
            </w:rPr>
            <w:t>Sujeto Obligado:</w:t>
          </w:r>
        </w:p>
      </w:tc>
      <w:tc>
        <w:tcPr>
          <w:tcW w:w="4820" w:type="dxa"/>
          <w:shd w:val="clear" w:color="auto" w:fill="auto"/>
          <w:vAlign w:val="center"/>
        </w:tcPr>
        <w:p w:rsidR="00A806D9" w:rsidRPr="00A806D9" w:rsidRDefault="00A806D9" w:rsidP="00A806D9">
          <w:pPr>
            <w:ind w:left="-108" w:right="-108"/>
            <w:rPr>
              <w:rFonts w:ascii="Palatino Linotype" w:eastAsia="Palatino Linotype" w:hAnsi="Palatino Linotype" w:cs="Palatino Linotype"/>
            </w:rPr>
          </w:pPr>
          <w:r w:rsidRPr="00A806D9">
            <w:rPr>
              <w:rFonts w:ascii="Palatino Linotype" w:eastAsia="Palatino Linotype" w:hAnsi="Palatino Linotype" w:cs="Palatino Linotype"/>
            </w:rPr>
            <w:t>Ayuntamiento de Ixtapan del Oro</w:t>
          </w:r>
        </w:p>
      </w:tc>
    </w:tr>
    <w:tr w:rsidR="00A806D9" w:rsidRPr="00A806D9" w:rsidTr="00A806D9">
      <w:tc>
        <w:tcPr>
          <w:tcW w:w="2835" w:type="dxa"/>
          <w:vAlign w:val="center"/>
        </w:tcPr>
        <w:p w:rsidR="00A806D9" w:rsidRPr="00A806D9" w:rsidRDefault="00A806D9" w:rsidP="00490E94">
          <w:pPr>
            <w:jc w:val="right"/>
            <w:rPr>
              <w:rFonts w:ascii="Palatino Linotype" w:eastAsia="Palatino Linotype" w:hAnsi="Palatino Linotype" w:cs="Palatino Linotype"/>
              <w:b/>
            </w:rPr>
          </w:pPr>
          <w:r w:rsidRPr="00A806D9">
            <w:rPr>
              <w:rFonts w:ascii="Palatino Linotype" w:eastAsia="Palatino Linotype" w:hAnsi="Palatino Linotype" w:cs="Palatino Linotype"/>
              <w:b/>
            </w:rPr>
            <w:t>Comisionada Ponente:</w:t>
          </w:r>
        </w:p>
      </w:tc>
      <w:tc>
        <w:tcPr>
          <w:tcW w:w="4820" w:type="dxa"/>
          <w:vAlign w:val="center"/>
        </w:tcPr>
        <w:p w:rsidR="00A806D9" w:rsidRPr="00A806D9" w:rsidRDefault="00A806D9" w:rsidP="00A806D9">
          <w:pPr>
            <w:ind w:left="-108" w:right="-108"/>
            <w:rPr>
              <w:rFonts w:ascii="Palatino Linotype" w:eastAsia="Palatino Linotype" w:hAnsi="Palatino Linotype" w:cs="Palatino Linotype"/>
            </w:rPr>
          </w:pPr>
          <w:r w:rsidRPr="00A806D9">
            <w:rPr>
              <w:rFonts w:ascii="Palatino Linotype" w:eastAsia="Palatino Linotype" w:hAnsi="Palatino Linotype" w:cs="Palatino Linotype"/>
            </w:rPr>
            <w:t>María del Rosario Mejía Ayala</w:t>
          </w:r>
        </w:p>
      </w:tc>
    </w:tr>
  </w:tbl>
  <w:p w:rsidR="00A806D9" w:rsidRDefault="00A806D9">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6D9" w:rsidRDefault="00A806D9">
    <w:pPr>
      <w:pBdr>
        <w:top w:val="nil"/>
        <w:left w:val="nil"/>
        <w:bottom w:val="nil"/>
        <w:right w:val="nil"/>
        <w:between w:val="nil"/>
      </w:pBdr>
      <w:tabs>
        <w:tab w:val="center" w:pos="4252"/>
        <w:tab w:val="right" w:pos="8504"/>
        <w:tab w:val="left" w:pos="7154"/>
      </w:tabs>
      <w:jc w:val="both"/>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r>
      <w:rPr>
        <w:noProof/>
      </w:rPr>
      <w:drawing>
        <wp:anchor distT="0" distB="0" distL="0" distR="0" simplePos="0" relativeHeight="251660288" behindDoc="1" locked="0" layoutInCell="1" hidden="0" allowOverlap="1" wp14:anchorId="2B1259C4" wp14:editId="7A0A76E3">
          <wp:simplePos x="0" y="0"/>
          <wp:positionH relativeFrom="column">
            <wp:posOffset>-1078864</wp:posOffset>
          </wp:positionH>
          <wp:positionV relativeFrom="paragraph">
            <wp:posOffset>-411479</wp:posOffset>
          </wp:positionV>
          <wp:extent cx="7813085" cy="10170000"/>
          <wp:effectExtent l="0" t="0" r="0" b="0"/>
          <wp:wrapNone/>
          <wp:docPr id="2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p>
  <w:tbl>
    <w:tblPr>
      <w:tblW w:w="7938" w:type="dxa"/>
      <w:tblInd w:w="2694" w:type="dxa"/>
      <w:tblLayout w:type="fixed"/>
      <w:tblLook w:val="0400" w:firstRow="0" w:lastRow="0" w:firstColumn="0" w:lastColumn="0" w:noHBand="0" w:noVBand="1"/>
    </w:tblPr>
    <w:tblGrid>
      <w:gridCol w:w="2977"/>
      <w:gridCol w:w="4961"/>
    </w:tblGrid>
    <w:tr w:rsidR="00A806D9" w:rsidRPr="00A806D9" w:rsidTr="00A806D9">
      <w:trPr>
        <w:trHeight w:val="227"/>
      </w:trPr>
      <w:tc>
        <w:tcPr>
          <w:tcW w:w="2977" w:type="dxa"/>
          <w:vAlign w:val="center"/>
        </w:tcPr>
        <w:p w:rsidR="00A806D9" w:rsidRPr="00A806D9" w:rsidRDefault="00A806D9" w:rsidP="00A806D9">
          <w:pPr>
            <w:jc w:val="right"/>
            <w:rPr>
              <w:rFonts w:ascii="Palatino Linotype" w:eastAsia="Palatino Linotype" w:hAnsi="Palatino Linotype" w:cs="Palatino Linotype"/>
              <w:b/>
            </w:rPr>
          </w:pPr>
          <w:r w:rsidRPr="00A806D9">
            <w:rPr>
              <w:rFonts w:ascii="Palatino Linotype" w:eastAsia="Palatino Linotype" w:hAnsi="Palatino Linotype" w:cs="Palatino Linotype"/>
              <w:b/>
            </w:rPr>
            <w:t>Recurso de Revisión:</w:t>
          </w:r>
        </w:p>
      </w:tc>
      <w:tc>
        <w:tcPr>
          <w:tcW w:w="4961" w:type="dxa"/>
          <w:vAlign w:val="center"/>
        </w:tcPr>
        <w:p w:rsidR="00A806D9" w:rsidRPr="00A806D9" w:rsidRDefault="00A806D9" w:rsidP="00A806D9">
          <w:pPr>
            <w:pBdr>
              <w:top w:val="nil"/>
              <w:left w:val="nil"/>
              <w:bottom w:val="nil"/>
              <w:right w:val="nil"/>
              <w:between w:val="nil"/>
            </w:pBdr>
            <w:tabs>
              <w:tab w:val="center" w:pos="4419"/>
              <w:tab w:val="right" w:pos="8838"/>
            </w:tabs>
            <w:ind w:left="-109"/>
            <w:rPr>
              <w:rFonts w:ascii="Palatino Linotype" w:eastAsia="Palatino Linotype" w:hAnsi="Palatino Linotype" w:cs="Palatino Linotype"/>
              <w:color w:val="000000"/>
              <w:highlight w:val="green"/>
            </w:rPr>
          </w:pPr>
          <w:r w:rsidRPr="00A806D9">
            <w:rPr>
              <w:rFonts w:ascii="Palatino Linotype" w:eastAsia="Palatino Linotype" w:hAnsi="Palatino Linotype" w:cs="Palatino Linotype"/>
              <w:color w:val="000000"/>
            </w:rPr>
            <w:t>04803/INFOEM/IP/RR/2025 y acumulados</w:t>
          </w:r>
        </w:p>
      </w:tc>
    </w:tr>
    <w:tr w:rsidR="00A806D9" w:rsidRPr="00A806D9" w:rsidTr="00A806D9">
      <w:trPr>
        <w:trHeight w:val="242"/>
      </w:trPr>
      <w:tc>
        <w:tcPr>
          <w:tcW w:w="2977" w:type="dxa"/>
          <w:vAlign w:val="center"/>
        </w:tcPr>
        <w:p w:rsidR="00A806D9" w:rsidRPr="00A806D9" w:rsidRDefault="00A806D9" w:rsidP="00A806D9">
          <w:pPr>
            <w:jc w:val="right"/>
            <w:rPr>
              <w:rFonts w:ascii="Palatino Linotype" w:eastAsia="Palatino Linotype" w:hAnsi="Palatino Linotype" w:cs="Palatino Linotype"/>
              <w:b/>
            </w:rPr>
          </w:pPr>
          <w:r w:rsidRPr="00A806D9">
            <w:rPr>
              <w:rFonts w:ascii="Palatino Linotype" w:eastAsia="Palatino Linotype" w:hAnsi="Palatino Linotype" w:cs="Palatino Linotype"/>
              <w:b/>
            </w:rPr>
            <w:t>Recurrente:</w:t>
          </w:r>
        </w:p>
      </w:tc>
      <w:tc>
        <w:tcPr>
          <w:tcW w:w="4961" w:type="dxa"/>
        </w:tcPr>
        <w:p w:rsidR="00A806D9" w:rsidRPr="00A806D9" w:rsidRDefault="009F31CF" w:rsidP="00A806D9">
          <w:pPr>
            <w:pBdr>
              <w:top w:val="nil"/>
              <w:left w:val="nil"/>
              <w:bottom w:val="nil"/>
              <w:right w:val="nil"/>
              <w:between w:val="nil"/>
            </w:pBdr>
            <w:tabs>
              <w:tab w:val="center" w:pos="4419"/>
              <w:tab w:val="right" w:pos="8838"/>
              <w:tab w:val="left" w:pos="521"/>
            </w:tabs>
            <w:ind w:left="-109"/>
            <w:rPr>
              <w:rFonts w:ascii="Palatino Linotype" w:eastAsia="Palatino Linotype" w:hAnsi="Palatino Linotype" w:cs="Palatino Linotype"/>
              <w:highlight w:val="green"/>
            </w:rPr>
          </w:pPr>
          <w:r>
            <w:rPr>
              <w:rFonts w:ascii="Palatino Linotype" w:eastAsia="Palatino Linotype" w:hAnsi="Palatino Linotype" w:cs="Palatino Linotype"/>
              <w:bCs/>
            </w:rPr>
            <w:t>XXXX</w:t>
          </w:r>
        </w:p>
      </w:tc>
    </w:tr>
    <w:tr w:rsidR="00A806D9" w:rsidRPr="00A806D9" w:rsidTr="00A806D9">
      <w:trPr>
        <w:trHeight w:val="342"/>
      </w:trPr>
      <w:tc>
        <w:tcPr>
          <w:tcW w:w="2977" w:type="dxa"/>
          <w:vAlign w:val="center"/>
        </w:tcPr>
        <w:p w:rsidR="00A806D9" w:rsidRPr="00A806D9" w:rsidRDefault="00A806D9" w:rsidP="00A806D9">
          <w:pPr>
            <w:jc w:val="right"/>
            <w:rPr>
              <w:rFonts w:ascii="Palatino Linotype" w:eastAsia="Palatino Linotype" w:hAnsi="Palatino Linotype" w:cs="Palatino Linotype"/>
              <w:b/>
            </w:rPr>
          </w:pPr>
          <w:r w:rsidRPr="00A806D9">
            <w:rPr>
              <w:rFonts w:ascii="Palatino Linotype" w:eastAsia="Palatino Linotype" w:hAnsi="Palatino Linotype" w:cs="Palatino Linotype"/>
              <w:b/>
            </w:rPr>
            <w:t>Sujeto Obligado:</w:t>
          </w:r>
        </w:p>
      </w:tc>
      <w:tc>
        <w:tcPr>
          <w:tcW w:w="4961" w:type="dxa"/>
          <w:vAlign w:val="center"/>
        </w:tcPr>
        <w:p w:rsidR="00A806D9" w:rsidRPr="00A806D9" w:rsidRDefault="00A806D9" w:rsidP="00A806D9">
          <w:pPr>
            <w:pBdr>
              <w:top w:val="nil"/>
              <w:left w:val="nil"/>
              <w:bottom w:val="nil"/>
              <w:right w:val="nil"/>
              <w:between w:val="nil"/>
            </w:pBdr>
            <w:tabs>
              <w:tab w:val="center" w:pos="4419"/>
              <w:tab w:val="right" w:pos="8838"/>
            </w:tabs>
            <w:ind w:left="-109"/>
            <w:jc w:val="both"/>
            <w:rPr>
              <w:rFonts w:ascii="Palatino Linotype" w:eastAsia="Palatino Linotype" w:hAnsi="Palatino Linotype" w:cs="Palatino Linotype"/>
              <w:color w:val="000000"/>
              <w:highlight w:val="green"/>
            </w:rPr>
          </w:pPr>
          <w:r w:rsidRPr="00A806D9">
            <w:rPr>
              <w:rFonts w:ascii="Palatino Linotype" w:eastAsia="Palatino Linotype" w:hAnsi="Palatino Linotype" w:cs="Palatino Linotype"/>
              <w:bCs/>
              <w:color w:val="000000"/>
            </w:rPr>
            <w:t>Ayuntamiento de Ixtapan del Oro</w:t>
          </w:r>
        </w:p>
      </w:tc>
    </w:tr>
    <w:tr w:rsidR="00A806D9" w:rsidRPr="00A806D9" w:rsidTr="00A806D9">
      <w:trPr>
        <w:trHeight w:val="342"/>
      </w:trPr>
      <w:tc>
        <w:tcPr>
          <w:tcW w:w="2977" w:type="dxa"/>
          <w:vAlign w:val="center"/>
        </w:tcPr>
        <w:p w:rsidR="00A806D9" w:rsidRPr="00A806D9" w:rsidRDefault="00A806D9" w:rsidP="00A806D9">
          <w:pPr>
            <w:jc w:val="right"/>
            <w:rPr>
              <w:rFonts w:ascii="Palatino Linotype" w:eastAsia="Palatino Linotype" w:hAnsi="Palatino Linotype" w:cs="Palatino Linotype"/>
              <w:b/>
            </w:rPr>
          </w:pPr>
          <w:r w:rsidRPr="00A806D9">
            <w:rPr>
              <w:rFonts w:ascii="Palatino Linotype" w:eastAsia="Palatino Linotype" w:hAnsi="Palatino Linotype" w:cs="Palatino Linotype"/>
              <w:b/>
            </w:rPr>
            <w:t>Comisionada Ponente:</w:t>
          </w:r>
        </w:p>
      </w:tc>
      <w:tc>
        <w:tcPr>
          <w:tcW w:w="4961" w:type="dxa"/>
          <w:vAlign w:val="center"/>
        </w:tcPr>
        <w:p w:rsidR="00A806D9" w:rsidRPr="00A806D9" w:rsidRDefault="00A806D9" w:rsidP="00A806D9">
          <w:pPr>
            <w:pBdr>
              <w:top w:val="nil"/>
              <w:left w:val="nil"/>
              <w:bottom w:val="nil"/>
              <w:right w:val="nil"/>
              <w:between w:val="nil"/>
            </w:pBdr>
            <w:tabs>
              <w:tab w:val="center" w:pos="4419"/>
              <w:tab w:val="right" w:pos="8838"/>
            </w:tabs>
            <w:ind w:left="-109"/>
            <w:rPr>
              <w:rFonts w:ascii="Palatino Linotype" w:eastAsia="Palatino Linotype" w:hAnsi="Palatino Linotype" w:cs="Palatino Linotype"/>
              <w:color w:val="000000"/>
            </w:rPr>
          </w:pPr>
          <w:r w:rsidRPr="00A806D9">
            <w:rPr>
              <w:rFonts w:ascii="Palatino Linotype" w:eastAsia="Palatino Linotype" w:hAnsi="Palatino Linotype" w:cs="Palatino Linotype"/>
              <w:color w:val="000000"/>
            </w:rPr>
            <w:t>María del Rosario Mejía Ayala</w:t>
          </w:r>
        </w:p>
      </w:tc>
    </w:tr>
  </w:tbl>
  <w:p w:rsidR="00A806D9" w:rsidRDefault="00A806D9">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37C"/>
    <w:multiLevelType w:val="multilevel"/>
    <w:tmpl w:val="EBD6126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0DAA68EE"/>
    <w:multiLevelType w:val="hybridMultilevel"/>
    <w:tmpl w:val="9A2E3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615893"/>
    <w:multiLevelType w:val="multilevel"/>
    <w:tmpl w:val="85B28BB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15:restartNumberingAfterBreak="0">
    <w:nsid w:val="2FB15050"/>
    <w:multiLevelType w:val="multilevel"/>
    <w:tmpl w:val="C9F2BE5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961A99"/>
    <w:multiLevelType w:val="multilevel"/>
    <w:tmpl w:val="1908A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D73014"/>
    <w:multiLevelType w:val="multilevel"/>
    <w:tmpl w:val="57B2D00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C22F5D"/>
    <w:multiLevelType w:val="hybridMultilevel"/>
    <w:tmpl w:val="9A343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AB12CD4"/>
    <w:multiLevelType w:val="hybridMultilevel"/>
    <w:tmpl w:val="A3546B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B0534E"/>
    <w:multiLevelType w:val="hybridMultilevel"/>
    <w:tmpl w:val="5E100A4C"/>
    <w:lvl w:ilvl="0" w:tplc="080A0001">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62180B0D"/>
    <w:multiLevelType w:val="hybridMultilevel"/>
    <w:tmpl w:val="3D20494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6B2A0849"/>
    <w:multiLevelType w:val="multilevel"/>
    <w:tmpl w:val="19B0E9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3" w15:restartNumberingAfterBreak="0">
    <w:nsid w:val="6F22464D"/>
    <w:multiLevelType w:val="multilevel"/>
    <w:tmpl w:val="68469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4331BD2"/>
    <w:multiLevelType w:val="multilevel"/>
    <w:tmpl w:val="E01C277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283E41"/>
    <w:multiLevelType w:val="multilevel"/>
    <w:tmpl w:val="F446DAF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E9D3005"/>
    <w:multiLevelType w:val="hybridMultilevel"/>
    <w:tmpl w:val="CE66D76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F20488D"/>
    <w:multiLevelType w:val="multilevel"/>
    <w:tmpl w:val="F9BAFE9E"/>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9"/>
  </w:num>
  <w:num w:numId="3">
    <w:abstractNumId w:val="2"/>
  </w:num>
  <w:num w:numId="4">
    <w:abstractNumId w:val="4"/>
  </w:num>
  <w:num w:numId="5">
    <w:abstractNumId w:val="13"/>
  </w:num>
  <w:num w:numId="6">
    <w:abstractNumId w:val="1"/>
  </w:num>
  <w:num w:numId="7">
    <w:abstractNumId w:val="16"/>
  </w:num>
  <w:num w:numId="8">
    <w:abstractNumId w:val="8"/>
  </w:num>
  <w:num w:numId="9">
    <w:abstractNumId w:val="7"/>
  </w:num>
  <w:num w:numId="10">
    <w:abstractNumId w:val="6"/>
  </w:num>
  <w:num w:numId="11">
    <w:abstractNumId w:val="3"/>
  </w:num>
  <w:num w:numId="12">
    <w:abstractNumId w:val="0"/>
  </w:num>
  <w:num w:numId="13">
    <w:abstractNumId w:val="5"/>
  </w:num>
  <w:num w:numId="14">
    <w:abstractNumId w:val="17"/>
  </w:num>
  <w:num w:numId="15">
    <w:abstractNumId w:val="11"/>
  </w:num>
  <w:num w:numId="16">
    <w:abstractNumId w:val="10"/>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33"/>
    <w:rsid w:val="00002FA8"/>
    <w:rsid w:val="00037383"/>
    <w:rsid w:val="00040C04"/>
    <w:rsid w:val="000536F8"/>
    <w:rsid w:val="00073AE3"/>
    <w:rsid w:val="00093503"/>
    <w:rsid w:val="000A4B49"/>
    <w:rsid w:val="000C028F"/>
    <w:rsid w:val="000D4590"/>
    <w:rsid w:val="000E1360"/>
    <w:rsid w:val="000F2F93"/>
    <w:rsid w:val="001526C7"/>
    <w:rsid w:val="001A0BCF"/>
    <w:rsid w:val="00243A0D"/>
    <w:rsid w:val="00252BF8"/>
    <w:rsid w:val="002665E0"/>
    <w:rsid w:val="002674B2"/>
    <w:rsid w:val="00296328"/>
    <w:rsid w:val="003A1027"/>
    <w:rsid w:val="003A6227"/>
    <w:rsid w:val="003F053A"/>
    <w:rsid w:val="003F2F44"/>
    <w:rsid w:val="00490E94"/>
    <w:rsid w:val="004A0391"/>
    <w:rsid w:val="004D667E"/>
    <w:rsid w:val="004E2CB8"/>
    <w:rsid w:val="004F13E8"/>
    <w:rsid w:val="004F4B72"/>
    <w:rsid w:val="00513E2D"/>
    <w:rsid w:val="00541D6C"/>
    <w:rsid w:val="005816F3"/>
    <w:rsid w:val="006141C6"/>
    <w:rsid w:val="006861CC"/>
    <w:rsid w:val="006A5645"/>
    <w:rsid w:val="006B6929"/>
    <w:rsid w:val="006F7FBB"/>
    <w:rsid w:val="0070401B"/>
    <w:rsid w:val="00750D47"/>
    <w:rsid w:val="007551FE"/>
    <w:rsid w:val="00765D52"/>
    <w:rsid w:val="007B3290"/>
    <w:rsid w:val="007B336A"/>
    <w:rsid w:val="007E0933"/>
    <w:rsid w:val="00887ECF"/>
    <w:rsid w:val="008D2520"/>
    <w:rsid w:val="008F11D2"/>
    <w:rsid w:val="008F6ABF"/>
    <w:rsid w:val="009360F1"/>
    <w:rsid w:val="009560AE"/>
    <w:rsid w:val="009A3876"/>
    <w:rsid w:val="009F31CF"/>
    <w:rsid w:val="00A44B11"/>
    <w:rsid w:val="00A806D9"/>
    <w:rsid w:val="00B84A0B"/>
    <w:rsid w:val="00B91665"/>
    <w:rsid w:val="00BB21C3"/>
    <w:rsid w:val="00C64532"/>
    <w:rsid w:val="00CA2A02"/>
    <w:rsid w:val="00CC6F57"/>
    <w:rsid w:val="00DA18F6"/>
    <w:rsid w:val="00DB7F8D"/>
    <w:rsid w:val="00DC0AF4"/>
    <w:rsid w:val="00DC6B48"/>
    <w:rsid w:val="00DD6DA9"/>
    <w:rsid w:val="00DF1A55"/>
    <w:rsid w:val="00DF62F6"/>
    <w:rsid w:val="00E75091"/>
    <w:rsid w:val="00E85879"/>
    <w:rsid w:val="00EC20F9"/>
    <w:rsid w:val="00F41757"/>
    <w:rsid w:val="00F668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05180B-126D-45B8-8C37-3780C61B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3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7E0933"/>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7E0933"/>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0933"/>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7E0933"/>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093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7E0933"/>
    <w:rPr>
      <w:rFonts w:ascii="Times New Roman" w:eastAsia="Times New Roman" w:hAnsi="Times New Roman" w:cs="Times New Roman"/>
      <w:sz w:val="24"/>
      <w:szCs w:val="24"/>
      <w:lang w:eastAsia="es-MX"/>
    </w:rPr>
  </w:style>
  <w:style w:type="table" w:styleId="Tabladecuadrcula4">
    <w:name w:val="Grid Table 4"/>
    <w:basedOn w:val="Tablanormal"/>
    <w:uiPriority w:val="49"/>
    <w:rsid w:val="007E09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7E0933"/>
    <w:pPr>
      <w:tabs>
        <w:tab w:val="center" w:pos="4419"/>
        <w:tab w:val="right" w:pos="8838"/>
      </w:tabs>
    </w:pPr>
  </w:style>
  <w:style w:type="character" w:customStyle="1" w:styleId="EncabezadoCar">
    <w:name w:val="Encabezado Car"/>
    <w:basedOn w:val="Fuentedeprrafopredeter"/>
    <w:link w:val="Encabezado"/>
    <w:uiPriority w:val="99"/>
    <w:rsid w:val="007E0933"/>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7E0933"/>
    <w:pPr>
      <w:tabs>
        <w:tab w:val="center" w:pos="4419"/>
        <w:tab w:val="right" w:pos="8838"/>
      </w:tabs>
    </w:pPr>
  </w:style>
  <w:style w:type="character" w:customStyle="1" w:styleId="PiedepginaCar">
    <w:name w:val="Pie de página Car"/>
    <w:basedOn w:val="Fuentedeprrafopredeter"/>
    <w:link w:val="Piedepgina"/>
    <w:uiPriority w:val="99"/>
    <w:rsid w:val="007E0933"/>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490E94"/>
    <w:rPr>
      <w:color w:val="0563C1" w:themeColor="hyperlink"/>
      <w:u w:val="single"/>
    </w:rPr>
  </w:style>
  <w:style w:type="table" w:styleId="Tablaconcuadrcula">
    <w:name w:val="Table Grid"/>
    <w:basedOn w:val="Tablanormal"/>
    <w:uiPriority w:val="39"/>
    <w:rsid w:val="00755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283205">
      <w:bodyDiv w:val="1"/>
      <w:marLeft w:val="0"/>
      <w:marRight w:val="0"/>
      <w:marTop w:val="0"/>
      <w:marBottom w:val="0"/>
      <w:divBdr>
        <w:top w:val="none" w:sz="0" w:space="0" w:color="auto"/>
        <w:left w:val="none" w:sz="0" w:space="0" w:color="auto"/>
        <w:bottom w:val="none" w:sz="0" w:space="0" w:color="auto"/>
        <w:right w:val="none" w:sz="0" w:space="0" w:color="auto"/>
      </w:divBdr>
    </w:div>
    <w:div w:id="1129975718">
      <w:bodyDiv w:val="1"/>
      <w:marLeft w:val="0"/>
      <w:marRight w:val="0"/>
      <w:marTop w:val="0"/>
      <w:marBottom w:val="0"/>
      <w:divBdr>
        <w:top w:val="none" w:sz="0" w:space="0" w:color="auto"/>
        <w:left w:val="none" w:sz="0" w:space="0" w:color="auto"/>
        <w:bottom w:val="none" w:sz="0" w:space="0" w:color="auto"/>
        <w:right w:val="none" w:sz="0" w:space="0" w:color="auto"/>
      </w:divBdr>
    </w:div>
    <w:div w:id="197336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anterior.ine.mx/archivos2/tutoriales/sistemas/ApoyoInstitucional/SIF/docs/candidatos/folioFiscalFactura.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dof.gob.mx/nota_detalle.php?codigo=5492254&amp;fecha=28/07/201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61</Pages>
  <Words>13992</Words>
  <Characters>76961</Characters>
  <Application>Microsoft Office Word</Application>
  <DocSecurity>0</DocSecurity>
  <Lines>641</Lines>
  <Paragraphs>181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90772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2025-05-30T16:51:00Z</cp:lastPrinted>
  <dcterms:created xsi:type="dcterms:W3CDTF">2025-05-26T19:19:00Z</dcterms:created>
  <dcterms:modified xsi:type="dcterms:W3CDTF">2025-06-03T19:48:00Z</dcterms:modified>
</cp:coreProperties>
</file>