
<file path=[Content_Types].xml><?xml version="1.0" encoding="utf-8"?>
<Types xmlns="http://schemas.openxmlformats.org/package/2006/content-types">
  <Default Extension="tmp" ContentType="image/png"/>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901937" w14:textId="77777777" w:rsidR="00C14D07" w:rsidRPr="0024200F" w:rsidRDefault="00C14D07" w:rsidP="00C14D07">
      <w:pPr>
        <w:spacing w:line="360" w:lineRule="auto"/>
        <w:jc w:val="both"/>
        <w:rPr>
          <w:rFonts w:ascii="Palatino Linotype" w:hAnsi="Palatino Linotype"/>
        </w:rPr>
      </w:pPr>
      <w:r w:rsidRPr="0024200F">
        <w:rPr>
          <w:rFonts w:ascii="Palatino Linotype" w:hAnsi="Palatino Linotype"/>
        </w:rPr>
        <w:t xml:space="preserve">Resolución del Pleno del Instituto de Transparencia, Acceso a la Información Pública y Protección de Datos Personales del Estado de México y Municipios, con domicilio en Metepec, Estado de México, </w:t>
      </w:r>
      <w:r>
        <w:rPr>
          <w:rFonts w:ascii="Palatino Linotype" w:hAnsi="Palatino Linotype"/>
        </w:rPr>
        <w:t>a</w:t>
      </w:r>
      <w:r w:rsidRPr="0024200F">
        <w:rPr>
          <w:rFonts w:ascii="Palatino Linotype" w:hAnsi="Palatino Linotype"/>
        </w:rPr>
        <w:t xml:space="preserve"> </w:t>
      </w:r>
      <w:r>
        <w:rPr>
          <w:rFonts w:ascii="Palatino Linotype" w:hAnsi="Palatino Linotype"/>
        </w:rPr>
        <w:t>veintidós de enero de dos mil veinticinco.</w:t>
      </w:r>
    </w:p>
    <w:p w14:paraId="33240CAD" w14:textId="77777777" w:rsidR="00C14D07" w:rsidRPr="0024200F" w:rsidRDefault="00C14D07" w:rsidP="00C14D07">
      <w:pPr>
        <w:spacing w:line="360" w:lineRule="auto"/>
        <w:jc w:val="both"/>
        <w:rPr>
          <w:rFonts w:ascii="Palatino Linotype" w:hAnsi="Palatino Linotype"/>
        </w:rPr>
      </w:pPr>
    </w:p>
    <w:p w14:paraId="09071D72" w14:textId="10DFD03B" w:rsidR="00C14D07" w:rsidRPr="002C3EC8" w:rsidRDefault="00C14D07" w:rsidP="00C14D07">
      <w:pPr>
        <w:tabs>
          <w:tab w:val="left" w:pos="1701"/>
        </w:tabs>
        <w:spacing w:before="240" w:line="360" w:lineRule="auto"/>
        <w:jc w:val="both"/>
        <w:rPr>
          <w:rFonts w:ascii="Palatino Linotype" w:hAnsi="Palatino Linotype" w:cs="Arial"/>
          <w:sz w:val="28"/>
        </w:rPr>
      </w:pPr>
      <w:r w:rsidRPr="002C3EC8">
        <w:rPr>
          <w:rFonts w:ascii="Palatino Linotype" w:hAnsi="Palatino Linotype" w:cs="Arial"/>
          <w:b/>
        </w:rPr>
        <w:t>VISTO</w:t>
      </w:r>
      <w:r>
        <w:rPr>
          <w:rFonts w:ascii="Palatino Linotype" w:hAnsi="Palatino Linotype" w:cs="Arial"/>
        </w:rPr>
        <w:t xml:space="preserve"> el</w:t>
      </w:r>
      <w:r w:rsidRPr="002C3EC8">
        <w:rPr>
          <w:rFonts w:ascii="Palatino Linotype" w:hAnsi="Palatino Linotype" w:cs="Arial"/>
        </w:rPr>
        <w:t xml:space="preserve"> expediente</w:t>
      </w:r>
      <w:r>
        <w:rPr>
          <w:rFonts w:ascii="Palatino Linotype" w:hAnsi="Palatino Linotype" w:cs="Arial"/>
        </w:rPr>
        <w:t xml:space="preserve"> electrónico formado</w:t>
      </w:r>
      <w:r w:rsidRPr="002C3EC8">
        <w:rPr>
          <w:rFonts w:ascii="Palatino Linotype" w:hAnsi="Palatino Linotype" w:cs="Arial"/>
        </w:rPr>
        <w:t xml:space="preserve"> con motivo</w:t>
      </w:r>
      <w:r>
        <w:rPr>
          <w:rFonts w:ascii="Palatino Linotype" w:hAnsi="Palatino Linotype" w:cs="Arial"/>
        </w:rPr>
        <w:t xml:space="preserve"> del recurso de revisión número</w:t>
      </w:r>
      <w:r w:rsidRPr="002C3EC8">
        <w:rPr>
          <w:rFonts w:ascii="Palatino Linotype" w:hAnsi="Palatino Linotype" w:cs="Arial"/>
          <w:b/>
        </w:rPr>
        <w:t xml:space="preserve"> </w:t>
      </w:r>
      <w:r w:rsidR="00D52736">
        <w:rPr>
          <w:rFonts w:ascii="Palatino Linotype" w:hAnsi="Palatino Linotype" w:cs="Arial"/>
          <w:b/>
        </w:rPr>
        <w:t>0</w:t>
      </w:r>
      <w:r>
        <w:rPr>
          <w:rFonts w:ascii="Palatino Linotype" w:hAnsi="Palatino Linotype" w:cs="Arial"/>
          <w:b/>
          <w:bCs/>
          <w:lang w:eastAsia="es-MX"/>
        </w:rPr>
        <w:t>7545/INFOEM/IP/RR/2024</w:t>
      </w:r>
      <w:r w:rsidRPr="002C3EC8">
        <w:rPr>
          <w:rFonts w:ascii="Palatino Linotype" w:hAnsi="Palatino Linotype" w:cs="Arial"/>
          <w:b/>
          <w:bCs/>
          <w:lang w:eastAsia="es-MX"/>
        </w:rPr>
        <w:t xml:space="preserve">, </w:t>
      </w:r>
      <w:r>
        <w:rPr>
          <w:rFonts w:ascii="Palatino Linotype" w:hAnsi="Palatino Linotype"/>
        </w:rPr>
        <w:t>interpuesto</w:t>
      </w:r>
      <w:r w:rsidRPr="002C3EC8">
        <w:rPr>
          <w:rFonts w:ascii="Palatino Linotype" w:hAnsi="Palatino Linotype"/>
        </w:rPr>
        <w:t xml:space="preserve"> </w:t>
      </w:r>
      <w:r>
        <w:rPr>
          <w:rFonts w:ascii="Palatino Linotype" w:hAnsi="Palatino Linotype"/>
        </w:rPr>
        <w:t xml:space="preserve">por </w:t>
      </w:r>
      <w:r w:rsidRPr="00C14D07">
        <w:rPr>
          <w:rFonts w:ascii="Palatino Linotype" w:hAnsi="Palatino Linotype"/>
          <w:b/>
        </w:rPr>
        <w:t>“</w:t>
      </w:r>
      <w:r w:rsidR="00BF0D29">
        <w:rPr>
          <w:rFonts w:ascii="Palatino Linotype" w:hAnsi="Palatino Linotype"/>
          <w:b/>
        </w:rPr>
        <w:t>XXXXXXXXXXXXXXXXX</w:t>
      </w:r>
      <w:r w:rsidRPr="00C14D07">
        <w:rPr>
          <w:rFonts w:ascii="Palatino Linotype" w:hAnsi="Palatino Linotype"/>
          <w:b/>
        </w:rPr>
        <w:t>”</w:t>
      </w:r>
      <w:r w:rsidRPr="002C3EC8">
        <w:rPr>
          <w:rFonts w:ascii="Palatino Linotype" w:hAnsi="Palatino Linotype"/>
        </w:rPr>
        <w:t>,</w:t>
      </w:r>
      <w:r>
        <w:rPr>
          <w:rFonts w:ascii="Palatino Linotype" w:hAnsi="Palatino Linotype"/>
        </w:rPr>
        <w:t xml:space="preserve"> en lo sucesivo la parte</w:t>
      </w:r>
      <w:r w:rsidRPr="002C3EC8">
        <w:rPr>
          <w:rFonts w:ascii="Palatino Linotype" w:hAnsi="Palatino Linotype"/>
        </w:rPr>
        <w:t xml:space="preserve"> </w:t>
      </w:r>
      <w:r w:rsidRPr="002C3EC8">
        <w:rPr>
          <w:rFonts w:ascii="Palatino Linotype" w:hAnsi="Palatino Linotype"/>
          <w:b/>
        </w:rPr>
        <w:t>Recurrente</w:t>
      </w:r>
      <w:r>
        <w:rPr>
          <w:rFonts w:ascii="Palatino Linotype" w:hAnsi="Palatino Linotype"/>
        </w:rPr>
        <w:t>, en contra de la respuesta</w:t>
      </w:r>
      <w:r w:rsidRPr="002C3EC8">
        <w:rPr>
          <w:rFonts w:ascii="Palatino Linotype" w:hAnsi="Palatino Linotype"/>
        </w:rPr>
        <w:t xml:space="preserve"> del </w:t>
      </w:r>
      <w:r w:rsidRPr="00C14D07">
        <w:rPr>
          <w:rFonts w:ascii="Palatino Linotype" w:hAnsi="Palatino Linotype"/>
          <w:b/>
        </w:rPr>
        <w:t>Ayuntamiento de Mexicaltzingo</w:t>
      </w:r>
      <w:r w:rsidRPr="002C3EC8">
        <w:rPr>
          <w:rFonts w:ascii="Palatino Linotype" w:hAnsi="Palatino Linotype"/>
        </w:rPr>
        <w:t>, en lo subsecuente e</w:t>
      </w:r>
      <w:bookmarkStart w:id="0" w:name="_GoBack"/>
      <w:bookmarkEnd w:id="0"/>
      <w:r w:rsidRPr="002C3EC8">
        <w:rPr>
          <w:rFonts w:ascii="Palatino Linotype" w:hAnsi="Palatino Linotype"/>
        </w:rPr>
        <w:t xml:space="preserve">l </w:t>
      </w:r>
      <w:r w:rsidRPr="002C3EC8">
        <w:rPr>
          <w:rFonts w:ascii="Palatino Linotype" w:hAnsi="Palatino Linotype"/>
          <w:b/>
        </w:rPr>
        <w:t>Sujeto Obligado</w:t>
      </w:r>
      <w:r w:rsidRPr="002C3EC8">
        <w:rPr>
          <w:rFonts w:ascii="Palatino Linotype" w:hAnsi="Palatino Linotype"/>
        </w:rPr>
        <w:t>, se procede a dictar la presente resolución.</w:t>
      </w:r>
    </w:p>
    <w:p w14:paraId="71016029" w14:textId="77777777" w:rsidR="00C14D07" w:rsidRPr="002C3EC8" w:rsidRDefault="00C14D07" w:rsidP="00C14D07">
      <w:pPr>
        <w:tabs>
          <w:tab w:val="left" w:pos="1701"/>
        </w:tabs>
        <w:spacing w:before="240" w:line="360" w:lineRule="auto"/>
        <w:jc w:val="both"/>
        <w:rPr>
          <w:rFonts w:ascii="Palatino Linotype" w:hAnsi="Palatino Linotype" w:cs="Arial"/>
          <w:b/>
        </w:rPr>
      </w:pPr>
    </w:p>
    <w:p w14:paraId="5CD300DD" w14:textId="77777777" w:rsidR="00C14D07" w:rsidRDefault="00C14D07" w:rsidP="00C14D07">
      <w:pPr>
        <w:pStyle w:val="infoemcitas"/>
        <w:jc w:val="center"/>
        <w:rPr>
          <w:b/>
          <w:bCs/>
          <w:i w:val="0"/>
          <w:iCs/>
          <w:sz w:val="28"/>
          <w:szCs w:val="28"/>
        </w:rPr>
      </w:pPr>
      <w:r w:rsidRPr="002C3EC8">
        <w:rPr>
          <w:b/>
          <w:bCs/>
          <w:i w:val="0"/>
          <w:iCs/>
          <w:sz w:val="28"/>
          <w:szCs w:val="28"/>
        </w:rPr>
        <w:t>A N T E C E D E N T E S   D E L   A S U N T O</w:t>
      </w:r>
    </w:p>
    <w:p w14:paraId="25D4F92D" w14:textId="77777777" w:rsidR="00C14D07" w:rsidRPr="002C3EC8" w:rsidRDefault="00C14D07" w:rsidP="00C14D07">
      <w:pPr>
        <w:pStyle w:val="infoemcitas"/>
        <w:jc w:val="center"/>
        <w:rPr>
          <w:b/>
          <w:bCs/>
          <w:i w:val="0"/>
          <w:iCs/>
          <w:sz w:val="28"/>
          <w:szCs w:val="28"/>
        </w:rPr>
      </w:pPr>
    </w:p>
    <w:p w14:paraId="7667F37C" w14:textId="77777777" w:rsidR="00C14D07" w:rsidRPr="002C3EC8" w:rsidRDefault="00C14D07" w:rsidP="00C14D07">
      <w:pPr>
        <w:spacing w:before="240" w:after="240" w:line="360" w:lineRule="auto"/>
        <w:jc w:val="both"/>
        <w:rPr>
          <w:rFonts w:ascii="Palatino Linotype" w:hAnsi="Palatino Linotype"/>
        </w:rPr>
      </w:pPr>
      <w:r w:rsidRPr="002C3EC8">
        <w:rPr>
          <w:rFonts w:ascii="Palatino Linotype" w:hAnsi="Palatino Linotype" w:cs="Arial"/>
          <w:b/>
          <w:sz w:val="28"/>
        </w:rPr>
        <w:t>PRIMERO.</w:t>
      </w:r>
      <w:r w:rsidRPr="002C3EC8">
        <w:rPr>
          <w:rFonts w:ascii="Palatino Linotype" w:hAnsi="Palatino Linotype" w:cs="Arial"/>
        </w:rPr>
        <w:t xml:space="preserve"> </w:t>
      </w:r>
      <w:r w:rsidRPr="002C3EC8">
        <w:rPr>
          <w:rFonts w:ascii="Palatino Linotype" w:hAnsi="Palatino Linotype"/>
          <w:b/>
          <w:sz w:val="28"/>
          <w:szCs w:val="28"/>
        </w:rPr>
        <w:t xml:space="preserve">De </w:t>
      </w:r>
      <w:r>
        <w:rPr>
          <w:rFonts w:ascii="Palatino Linotype" w:hAnsi="Palatino Linotype"/>
          <w:b/>
          <w:sz w:val="28"/>
          <w:szCs w:val="28"/>
        </w:rPr>
        <w:t xml:space="preserve">la </w:t>
      </w:r>
      <w:r w:rsidRPr="002C3EC8">
        <w:rPr>
          <w:rFonts w:ascii="Palatino Linotype" w:hAnsi="Palatino Linotype"/>
          <w:b/>
          <w:sz w:val="28"/>
          <w:szCs w:val="28"/>
        </w:rPr>
        <w:t>Solicitud de Información.</w:t>
      </w:r>
    </w:p>
    <w:p w14:paraId="0CF4C879" w14:textId="77777777" w:rsidR="00C14D07" w:rsidRPr="00D705FF" w:rsidRDefault="00C14D07" w:rsidP="00C14D07">
      <w:pPr>
        <w:spacing w:before="240" w:line="360" w:lineRule="auto"/>
        <w:jc w:val="both"/>
        <w:rPr>
          <w:rFonts w:ascii="Palatino Linotype" w:hAnsi="Palatino Linotype" w:cs="Arial"/>
        </w:rPr>
      </w:pPr>
      <w:r w:rsidRPr="00D705FF">
        <w:rPr>
          <w:rFonts w:ascii="Palatino Linotype" w:hAnsi="Palatino Linotype" w:cs="Arial"/>
        </w:rPr>
        <w:t xml:space="preserve">Con fecha </w:t>
      </w:r>
      <w:r>
        <w:rPr>
          <w:rFonts w:ascii="Palatino Linotype" w:hAnsi="Palatino Linotype" w:cs="Arial"/>
        </w:rPr>
        <w:t xml:space="preserve">seis de noviembre de dos mil veinticuatro, </w:t>
      </w:r>
      <w:r w:rsidRPr="00D705FF">
        <w:rPr>
          <w:rFonts w:ascii="Palatino Linotype" w:hAnsi="Palatino Linotype" w:cs="Arial"/>
        </w:rPr>
        <w:t>l</w:t>
      </w:r>
      <w:r>
        <w:rPr>
          <w:rFonts w:ascii="Palatino Linotype" w:hAnsi="Palatino Linotype" w:cs="Arial"/>
        </w:rPr>
        <w:t>a parte</w:t>
      </w:r>
      <w:r w:rsidRPr="00D705FF">
        <w:rPr>
          <w:rFonts w:ascii="Palatino Linotype" w:hAnsi="Palatino Linotype" w:cs="Arial"/>
          <w:b/>
        </w:rPr>
        <w:t xml:space="preserve"> Recurrente </w:t>
      </w:r>
      <w:r w:rsidRPr="00D705FF">
        <w:rPr>
          <w:rFonts w:ascii="Palatino Linotype" w:hAnsi="Palatino Linotype" w:cs="Arial"/>
        </w:rPr>
        <w:t xml:space="preserve">presentó a través </w:t>
      </w:r>
      <w:r>
        <w:rPr>
          <w:rFonts w:ascii="Palatino Linotype" w:hAnsi="Palatino Linotype" w:cs="Arial"/>
        </w:rPr>
        <w:t xml:space="preserve">del </w:t>
      </w:r>
      <w:r w:rsidRPr="00D705FF">
        <w:rPr>
          <w:rFonts w:ascii="Palatino Linotype" w:hAnsi="Palatino Linotype" w:cs="Arial"/>
        </w:rPr>
        <w:t>Sistema de Acceso a la Información Mexiquense (</w:t>
      </w:r>
      <w:r w:rsidRPr="00D705FF">
        <w:rPr>
          <w:rFonts w:ascii="Palatino Linotype" w:hAnsi="Palatino Linotype" w:cs="Arial"/>
          <w:b/>
        </w:rPr>
        <w:t>SAIMEX)</w:t>
      </w:r>
      <w:r w:rsidRPr="00D705FF">
        <w:rPr>
          <w:rFonts w:ascii="Palatino Linotype" w:hAnsi="Palatino Linotype" w:cs="Arial"/>
        </w:rPr>
        <w:t xml:space="preserve"> ante </w:t>
      </w:r>
      <w:r w:rsidRPr="00D705FF">
        <w:rPr>
          <w:rFonts w:ascii="Palatino Linotype" w:hAnsi="Palatino Linotype" w:cs="Arial"/>
          <w:b/>
        </w:rPr>
        <w:t>El Sujeto Obligado</w:t>
      </w:r>
      <w:r w:rsidRPr="00D705FF">
        <w:rPr>
          <w:rFonts w:ascii="Palatino Linotype" w:hAnsi="Palatino Linotype" w:cs="Arial"/>
        </w:rPr>
        <w:t xml:space="preserve">, solicitud de acceso a la información pública, registrada bajo el número de </w:t>
      </w:r>
      <w:proofErr w:type="gramStart"/>
      <w:r w:rsidRPr="00D705FF">
        <w:rPr>
          <w:rFonts w:ascii="Palatino Linotype" w:hAnsi="Palatino Linotype" w:cs="Arial"/>
        </w:rPr>
        <w:t>expediente</w:t>
      </w:r>
      <w:proofErr w:type="gramEnd"/>
      <w:r w:rsidRPr="00D705FF">
        <w:rPr>
          <w:rFonts w:ascii="Palatino Linotype" w:hAnsi="Palatino Linotype" w:cs="Arial"/>
        </w:rPr>
        <w:t xml:space="preserve"> </w:t>
      </w:r>
      <w:r>
        <w:rPr>
          <w:rFonts w:ascii="Palatino Linotype" w:hAnsi="Palatino Linotype" w:cs="Arial"/>
          <w:b/>
        </w:rPr>
        <w:t>00187/MEXICAL/IP/2024</w:t>
      </w:r>
      <w:r w:rsidRPr="00D705FF">
        <w:rPr>
          <w:rFonts w:ascii="Palatino Linotype" w:hAnsi="Palatino Linotype" w:cs="Arial"/>
          <w:b/>
        </w:rPr>
        <w:t xml:space="preserve">, </w:t>
      </w:r>
      <w:r w:rsidRPr="00D705FF">
        <w:rPr>
          <w:rFonts w:ascii="Palatino Linotype" w:hAnsi="Palatino Linotype" w:cs="Arial"/>
        </w:rPr>
        <w:t>mediante la cual solicitó información en el tenor siguiente:</w:t>
      </w:r>
    </w:p>
    <w:p w14:paraId="25BB7724" w14:textId="77777777" w:rsidR="00C14D07" w:rsidRPr="001C7F6F" w:rsidRDefault="00C14D07" w:rsidP="00C14D07">
      <w:pPr>
        <w:pStyle w:val="INFOEM"/>
        <w:rPr>
          <w:lang w:val="es-ES_tradnl" w:eastAsia="es-ES"/>
        </w:rPr>
      </w:pPr>
      <w:r w:rsidRPr="00D705FF">
        <w:rPr>
          <w:lang w:val="es-ES_tradnl" w:eastAsia="es-ES"/>
        </w:rPr>
        <w:t>“</w:t>
      </w:r>
      <w:r w:rsidRPr="00C14D07">
        <w:rPr>
          <w:lang w:val="es-ES" w:eastAsia="es-ES"/>
        </w:rPr>
        <w:t xml:space="preserve">EMITA EN FORMATO PDF LA CONVOCATORIA PARA ELEGIR AL CONTRALOR MUNICIPAL Y FECHA DEL CONCURSO PARA SU </w:t>
      </w:r>
      <w:r w:rsidRPr="00C14D07">
        <w:rPr>
          <w:lang w:val="es-ES" w:eastAsia="es-ES"/>
        </w:rPr>
        <w:lastRenderedPageBreak/>
        <w:t>ELECCION, REQUISISTOS PARA CONCURSARA A HONORABLE CARGO</w:t>
      </w:r>
      <w:r w:rsidRPr="00D705FF">
        <w:rPr>
          <w:lang w:val="es-ES_tradnl" w:eastAsia="es-ES"/>
        </w:rPr>
        <w:t>” (Sic)</w:t>
      </w:r>
    </w:p>
    <w:p w14:paraId="23D667DD" w14:textId="77777777" w:rsidR="00C14D07" w:rsidRPr="002C3EC8" w:rsidRDefault="00C14D07" w:rsidP="00C14D07">
      <w:pPr>
        <w:spacing w:before="240" w:line="360" w:lineRule="auto"/>
        <w:jc w:val="both"/>
        <w:rPr>
          <w:rFonts w:ascii="Palatino Linotype" w:hAnsi="Palatino Linotype"/>
          <w:lang w:val="es-ES_tradnl"/>
        </w:rPr>
      </w:pPr>
      <w:r w:rsidRPr="002C3EC8">
        <w:rPr>
          <w:rFonts w:ascii="Palatino Linotype" w:hAnsi="Palatino Linotype"/>
          <w:b/>
          <w:lang w:val="es-ES_tradnl"/>
        </w:rPr>
        <w:t>Modalidad de entrega:</w:t>
      </w:r>
      <w:r w:rsidRPr="002C3EC8">
        <w:rPr>
          <w:rFonts w:ascii="Palatino Linotype" w:hAnsi="Palatino Linotype"/>
          <w:lang w:val="es-ES_tradnl"/>
        </w:rPr>
        <w:t xml:space="preserve"> A través del SAIMEX</w:t>
      </w:r>
      <w:r>
        <w:rPr>
          <w:rFonts w:ascii="Palatino Linotype" w:hAnsi="Palatino Linotype"/>
          <w:b/>
        </w:rPr>
        <w:t>.</w:t>
      </w:r>
    </w:p>
    <w:p w14:paraId="735B3D35" w14:textId="77777777" w:rsidR="00C14D07" w:rsidRDefault="00C14D07" w:rsidP="00C14D07">
      <w:pPr>
        <w:spacing w:before="240" w:line="360" w:lineRule="auto"/>
        <w:jc w:val="both"/>
        <w:rPr>
          <w:rFonts w:ascii="Palatino Linotype" w:hAnsi="Palatino Linotype" w:cs="Arial"/>
          <w:b/>
          <w:sz w:val="28"/>
        </w:rPr>
      </w:pPr>
    </w:p>
    <w:p w14:paraId="0E4815BD" w14:textId="77777777" w:rsidR="00C14D07" w:rsidRDefault="00C14D07" w:rsidP="00C14D07">
      <w:pPr>
        <w:spacing w:before="240" w:line="360" w:lineRule="auto"/>
        <w:jc w:val="both"/>
        <w:rPr>
          <w:rFonts w:ascii="Palatino Linotype" w:hAnsi="Palatino Linotype" w:cs="Arial"/>
          <w:b/>
          <w:sz w:val="28"/>
        </w:rPr>
      </w:pPr>
      <w:r>
        <w:rPr>
          <w:rFonts w:ascii="Palatino Linotype" w:hAnsi="Palatino Linotype" w:cs="Arial"/>
          <w:b/>
          <w:sz w:val="28"/>
        </w:rPr>
        <w:t xml:space="preserve">SEGUNDO. </w:t>
      </w:r>
      <w:r>
        <w:rPr>
          <w:rFonts w:ascii="Palatino Linotype" w:hAnsi="Palatino Linotype" w:cs="Arial"/>
          <w:b/>
          <w:sz w:val="28"/>
          <w:szCs w:val="20"/>
        </w:rPr>
        <w:t>De la respuesta o entrega de la información</w:t>
      </w:r>
      <w:r w:rsidRPr="00165D6E">
        <w:rPr>
          <w:rFonts w:ascii="Palatino Linotype" w:hAnsi="Palatino Linotype" w:cs="Arial"/>
          <w:b/>
          <w:sz w:val="28"/>
          <w:szCs w:val="20"/>
        </w:rPr>
        <w:t>.</w:t>
      </w:r>
    </w:p>
    <w:p w14:paraId="7E76B452" w14:textId="77777777" w:rsidR="00C14D07" w:rsidRPr="009062B2" w:rsidRDefault="00C14D07" w:rsidP="00C14D07">
      <w:pPr>
        <w:pStyle w:val="Sinespaciado"/>
        <w:spacing w:line="360" w:lineRule="auto"/>
        <w:jc w:val="both"/>
        <w:rPr>
          <w:rFonts w:ascii="Palatino Linotype" w:hAnsi="Palatino Linotype" w:cs="Arial"/>
          <w:sz w:val="24"/>
        </w:rPr>
      </w:pPr>
      <w:r w:rsidRPr="009062B2">
        <w:rPr>
          <w:rFonts w:ascii="Palatino Linotype" w:hAnsi="Palatino Linotype"/>
          <w:sz w:val="24"/>
        </w:rPr>
        <w:t xml:space="preserve">De las constancias que obran en el expediente electrónico, se advierte que el </w:t>
      </w:r>
      <w:r w:rsidRPr="009062B2">
        <w:rPr>
          <w:rFonts w:ascii="Palatino Linotype" w:hAnsi="Palatino Linotype" w:cs="Arial"/>
          <w:sz w:val="24"/>
        </w:rPr>
        <w:t xml:space="preserve">día </w:t>
      </w:r>
      <w:r>
        <w:rPr>
          <w:rFonts w:ascii="Palatino Linotype" w:hAnsi="Palatino Linotype" w:cs="Arial"/>
          <w:b/>
          <w:sz w:val="24"/>
        </w:rPr>
        <w:t>veintiocho de noviembre de dos mil veinticuatro</w:t>
      </w:r>
      <w:r w:rsidRPr="009062B2">
        <w:rPr>
          <w:rFonts w:ascii="Palatino Linotype" w:hAnsi="Palatino Linotype" w:cs="Arial"/>
          <w:sz w:val="24"/>
        </w:rPr>
        <w:t xml:space="preserve">, el </w:t>
      </w:r>
      <w:r w:rsidRPr="009062B2">
        <w:rPr>
          <w:rFonts w:ascii="Palatino Linotype" w:hAnsi="Palatino Linotype" w:cs="Arial"/>
          <w:b/>
          <w:sz w:val="24"/>
        </w:rPr>
        <w:t>Sujeto Obligado</w:t>
      </w:r>
      <w:r w:rsidRPr="009062B2">
        <w:rPr>
          <w:rFonts w:ascii="Palatino Linotype" w:hAnsi="Palatino Linotype" w:cs="Arial"/>
          <w:sz w:val="24"/>
        </w:rPr>
        <w:t xml:space="preserve"> dio respuesta a la solicitud de información en los siguientes términos: </w:t>
      </w:r>
    </w:p>
    <w:p w14:paraId="2AF0A4A1" w14:textId="77777777" w:rsidR="00C14D07" w:rsidRPr="00E818A5" w:rsidRDefault="00C14D07" w:rsidP="00C14D07">
      <w:pPr>
        <w:spacing w:line="360" w:lineRule="auto"/>
        <w:jc w:val="both"/>
        <w:rPr>
          <w:rFonts w:ascii="Palatino Linotype" w:hAnsi="Palatino Linotype" w:cs="Arial"/>
        </w:rPr>
      </w:pPr>
    </w:p>
    <w:p w14:paraId="6CE86B42" w14:textId="77777777" w:rsidR="00C14D07" w:rsidRDefault="00C14D07" w:rsidP="00C14D07">
      <w:pPr>
        <w:ind w:left="567" w:right="567"/>
        <w:jc w:val="both"/>
        <w:rPr>
          <w:rFonts w:ascii="Palatino Linotype" w:hAnsi="Palatino Linotype" w:cs="Arial"/>
          <w:i/>
        </w:rPr>
      </w:pPr>
      <w:r>
        <w:rPr>
          <w:rFonts w:ascii="Palatino Linotype" w:hAnsi="Palatino Linotype" w:cs="Arial"/>
          <w:i/>
        </w:rPr>
        <w:t>“</w:t>
      </w:r>
      <w:r w:rsidRPr="00C14D07">
        <w:rPr>
          <w:rFonts w:ascii="Palatino Linotype" w:hAnsi="Palatino Linotype" w:cs="Arial"/>
          <w:i/>
        </w:rPr>
        <w:t xml:space="preserve">Para dar atención a su solicitud de información, se entrega respuesta proporcionada por la Contraloría Municipal: La convocatoria por la cual pregunta, aún no ha sido emitida. Puesto que deberá ser aprobada por el cabildo electo dicho que ejercerá sus atribuciones en la Administración 2025-2027. </w:t>
      </w:r>
      <w:r w:rsidRPr="00667998">
        <w:rPr>
          <w:rFonts w:ascii="Palatino Linotype" w:hAnsi="Palatino Linotype" w:cs="Arial"/>
          <w:i/>
        </w:rPr>
        <w:t>“(Sic).</w:t>
      </w:r>
    </w:p>
    <w:p w14:paraId="2B67BAB7" w14:textId="77777777" w:rsidR="00C14D07" w:rsidRDefault="00C14D07" w:rsidP="00C14D07">
      <w:pPr>
        <w:spacing w:line="360" w:lineRule="auto"/>
        <w:ind w:right="567"/>
        <w:jc w:val="both"/>
        <w:rPr>
          <w:rFonts w:ascii="Palatino Linotype" w:hAnsi="Palatino Linotype" w:cs="Arial"/>
        </w:rPr>
      </w:pPr>
    </w:p>
    <w:p w14:paraId="4572BC25" w14:textId="77777777" w:rsidR="00C14D07" w:rsidRDefault="00C14D07" w:rsidP="00C14D07">
      <w:pPr>
        <w:spacing w:line="360" w:lineRule="auto"/>
        <w:jc w:val="both"/>
        <w:rPr>
          <w:rFonts w:ascii="Palatino Linotype" w:hAnsi="Palatino Linotype" w:cs="Arial"/>
        </w:rPr>
      </w:pPr>
      <w:r>
        <w:rPr>
          <w:rFonts w:ascii="Palatino Linotype" w:hAnsi="Palatino Linotype" w:cs="Arial"/>
        </w:rPr>
        <w:t xml:space="preserve"> </w:t>
      </w:r>
    </w:p>
    <w:p w14:paraId="5DA8C416" w14:textId="77777777" w:rsidR="00C14D07" w:rsidRPr="002C3EC8" w:rsidRDefault="00C14D07" w:rsidP="00C14D07">
      <w:pPr>
        <w:spacing w:line="360" w:lineRule="auto"/>
        <w:jc w:val="both"/>
        <w:rPr>
          <w:rFonts w:ascii="Palatino Linotype" w:hAnsi="Palatino Linotype" w:cs="Arial"/>
          <w:b/>
          <w:sz w:val="28"/>
        </w:rPr>
      </w:pPr>
      <w:r>
        <w:rPr>
          <w:rFonts w:ascii="Palatino Linotype" w:hAnsi="Palatino Linotype" w:cs="Arial"/>
          <w:b/>
          <w:sz w:val="28"/>
        </w:rPr>
        <w:t>TERCERO</w:t>
      </w:r>
      <w:r w:rsidRPr="002C3EC8">
        <w:rPr>
          <w:rFonts w:ascii="Palatino Linotype" w:hAnsi="Palatino Linotype" w:cs="Arial"/>
          <w:b/>
          <w:sz w:val="28"/>
        </w:rPr>
        <w:t xml:space="preserve">. </w:t>
      </w:r>
      <w:r w:rsidRPr="002C3EC8">
        <w:rPr>
          <w:rFonts w:ascii="Palatino Linotype" w:hAnsi="Palatino Linotype"/>
          <w:b/>
          <w:sz w:val="28"/>
        </w:rPr>
        <w:t>Del recurso de revisión.</w:t>
      </w:r>
    </w:p>
    <w:p w14:paraId="2E77685E" w14:textId="32049B87" w:rsidR="00C14D07" w:rsidRDefault="00C14D07" w:rsidP="00C14D07">
      <w:pPr>
        <w:spacing w:before="240" w:line="360" w:lineRule="auto"/>
        <w:jc w:val="both"/>
        <w:rPr>
          <w:rFonts w:ascii="Palatino Linotype" w:hAnsi="Palatino Linotype" w:cs="Arial"/>
        </w:rPr>
      </w:pPr>
      <w:r>
        <w:rPr>
          <w:rFonts w:ascii="Palatino Linotype" w:hAnsi="Palatino Linotype" w:cs="Arial"/>
        </w:rPr>
        <w:t>Inconforme con la respuesta notificada</w:t>
      </w:r>
      <w:r w:rsidRPr="002C3EC8">
        <w:rPr>
          <w:rFonts w:ascii="Palatino Linotype" w:hAnsi="Palatino Linotype" w:cs="Arial"/>
        </w:rPr>
        <w:t xml:space="preserve"> por </w:t>
      </w:r>
      <w:r w:rsidRPr="002C3EC8">
        <w:rPr>
          <w:rFonts w:ascii="Palatino Linotype" w:hAnsi="Palatino Linotype" w:cs="Arial"/>
          <w:b/>
        </w:rPr>
        <w:t xml:space="preserve">El Sujeto Obligado, </w:t>
      </w:r>
      <w:r>
        <w:rPr>
          <w:rFonts w:ascii="Palatino Linotype" w:hAnsi="Palatino Linotype" w:cs="Arial"/>
        </w:rPr>
        <w:t>el</w:t>
      </w:r>
      <w:r w:rsidRPr="002C3EC8">
        <w:rPr>
          <w:rFonts w:ascii="Palatino Linotype" w:hAnsi="Palatino Linotype" w:cs="Arial"/>
          <w:b/>
        </w:rPr>
        <w:t xml:space="preserve"> Recurrente </w:t>
      </w:r>
      <w:r w:rsidRPr="002C3EC8">
        <w:rPr>
          <w:rFonts w:ascii="Palatino Linotype" w:hAnsi="Palatino Linotype" w:cs="Arial"/>
        </w:rPr>
        <w:t xml:space="preserve">interpuso recurso de revisión, en fecha </w:t>
      </w:r>
      <w:r>
        <w:rPr>
          <w:rFonts w:ascii="Palatino Linotype" w:hAnsi="Palatino Linotype" w:cs="Arial"/>
          <w:b/>
        </w:rPr>
        <w:t>seis de diciembre de dos mil veinticuatro</w:t>
      </w:r>
      <w:r w:rsidRPr="002C3EC8">
        <w:rPr>
          <w:rFonts w:ascii="Palatino Linotype" w:hAnsi="Palatino Linotype" w:cs="Arial"/>
        </w:rPr>
        <w:t xml:space="preserve">, </w:t>
      </w:r>
      <w:r>
        <w:rPr>
          <w:rFonts w:ascii="Palatino Linotype" w:hAnsi="Palatino Linotype" w:cs="Arial"/>
        </w:rPr>
        <w:t>el cual fue registrado</w:t>
      </w:r>
      <w:r w:rsidRPr="002C3EC8">
        <w:rPr>
          <w:rFonts w:ascii="Palatino Linotype" w:hAnsi="Palatino Linotype" w:cs="Arial"/>
        </w:rPr>
        <w:t xml:space="preserve"> </w:t>
      </w:r>
      <w:r>
        <w:rPr>
          <w:rFonts w:ascii="Palatino Linotype" w:hAnsi="Palatino Linotype" w:cs="Arial"/>
        </w:rPr>
        <w:t>en el sistema electrónico con el</w:t>
      </w:r>
      <w:r w:rsidRPr="002C3EC8">
        <w:rPr>
          <w:rFonts w:ascii="Palatino Linotype" w:hAnsi="Palatino Linotype" w:cs="Arial"/>
        </w:rPr>
        <w:t xml:space="preserve"> expediente</w:t>
      </w:r>
      <w:r>
        <w:rPr>
          <w:rFonts w:ascii="Palatino Linotype" w:hAnsi="Palatino Linotype" w:cs="Arial"/>
        </w:rPr>
        <w:t xml:space="preserve"> número</w:t>
      </w:r>
      <w:r w:rsidRPr="002C3EC8">
        <w:rPr>
          <w:rFonts w:ascii="Palatino Linotype" w:hAnsi="Palatino Linotype" w:cs="Arial"/>
        </w:rPr>
        <w:t xml:space="preserve"> </w:t>
      </w:r>
      <w:r w:rsidR="00D52736">
        <w:rPr>
          <w:rFonts w:ascii="Palatino Linotype" w:hAnsi="Palatino Linotype" w:cs="Arial"/>
          <w:b/>
          <w:bCs/>
        </w:rPr>
        <w:t>0</w:t>
      </w:r>
      <w:r>
        <w:rPr>
          <w:rFonts w:ascii="Palatino Linotype" w:hAnsi="Palatino Linotype" w:cs="Arial"/>
          <w:b/>
        </w:rPr>
        <w:t>7545/INFOEM/IP/RR/2024</w:t>
      </w:r>
      <w:r w:rsidRPr="002C3EC8">
        <w:rPr>
          <w:rFonts w:ascii="Palatino Linotype" w:hAnsi="Palatino Linotype" w:cs="Arial"/>
          <w:b/>
        </w:rPr>
        <w:t xml:space="preserve">; </w:t>
      </w:r>
      <w:r w:rsidRPr="002C3EC8">
        <w:rPr>
          <w:rFonts w:ascii="Palatino Linotype" w:hAnsi="Palatino Linotype" w:cs="Arial"/>
        </w:rPr>
        <w:t>en los cuales arguye las siguientes manifestaciones:</w:t>
      </w:r>
    </w:p>
    <w:p w14:paraId="35EBB8F6" w14:textId="77777777" w:rsidR="00C14D07" w:rsidRDefault="00C14D07" w:rsidP="00C14D07">
      <w:pPr>
        <w:pStyle w:val="Prrafodelista"/>
        <w:numPr>
          <w:ilvl w:val="0"/>
          <w:numId w:val="1"/>
        </w:numPr>
        <w:spacing w:before="240" w:line="360" w:lineRule="auto"/>
        <w:ind w:left="142" w:firstLine="0"/>
        <w:jc w:val="both"/>
        <w:rPr>
          <w:rFonts w:ascii="Palatino Linotype" w:hAnsi="Palatino Linotype" w:cs="Arial"/>
          <w:b/>
          <w:i/>
        </w:rPr>
      </w:pPr>
      <w:r>
        <w:rPr>
          <w:rFonts w:ascii="Palatino Linotype" w:hAnsi="Palatino Linotype" w:cs="Arial"/>
          <w:b/>
          <w:i/>
        </w:rPr>
        <w:t xml:space="preserve">Acto impugnado </w:t>
      </w:r>
    </w:p>
    <w:p w14:paraId="2F2394E7" w14:textId="77777777" w:rsidR="00C14D07" w:rsidRPr="007E4713" w:rsidRDefault="00C14D07" w:rsidP="00C14D07">
      <w:pPr>
        <w:pStyle w:val="INFOEM"/>
      </w:pPr>
      <w:r w:rsidRPr="007E4713">
        <w:t>“</w:t>
      </w:r>
      <w:r w:rsidRPr="00C14D07">
        <w:t>NO CORRESPONDE LA INFORMACION RECIBIDA CON LA SOLICITADA</w:t>
      </w:r>
      <w:r>
        <w:t>” (sic)</w:t>
      </w:r>
    </w:p>
    <w:p w14:paraId="03142C1A" w14:textId="77777777" w:rsidR="00C14D07" w:rsidRPr="0033050B" w:rsidRDefault="00C14D07" w:rsidP="00C14D07">
      <w:pPr>
        <w:pStyle w:val="Prrafodelista"/>
        <w:numPr>
          <w:ilvl w:val="0"/>
          <w:numId w:val="1"/>
        </w:numPr>
        <w:spacing w:before="240" w:line="360" w:lineRule="auto"/>
        <w:ind w:left="142" w:firstLine="0"/>
        <w:jc w:val="both"/>
        <w:rPr>
          <w:rFonts w:ascii="Palatino Linotype" w:hAnsi="Palatino Linotype" w:cs="Arial"/>
          <w:b/>
          <w:i/>
        </w:rPr>
      </w:pPr>
      <w:r w:rsidRPr="0033050B">
        <w:rPr>
          <w:rFonts w:ascii="Palatino Linotype" w:hAnsi="Palatino Linotype" w:cs="Arial"/>
          <w:b/>
          <w:i/>
        </w:rPr>
        <w:lastRenderedPageBreak/>
        <w:t>Razones o motivos de inconformidad</w:t>
      </w:r>
    </w:p>
    <w:p w14:paraId="37EC8E2E" w14:textId="77777777" w:rsidR="00C14D07" w:rsidRPr="009068C9" w:rsidRDefault="00C14D07" w:rsidP="00C14D07">
      <w:pPr>
        <w:pStyle w:val="INFOEM"/>
      </w:pPr>
      <w:r>
        <w:t>“</w:t>
      </w:r>
      <w:r w:rsidRPr="00C14D07">
        <w:t>NO CORRESPONDE LA INFORMACION RECIBIDA CON LA SOLICITADA</w:t>
      </w:r>
      <w:r>
        <w:t>” (sic)</w:t>
      </w:r>
    </w:p>
    <w:p w14:paraId="09173F0D" w14:textId="77777777" w:rsidR="00C14D07" w:rsidRDefault="00C14D07" w:rsidP="00C14D07">
      <w:pPr>
        <w:spacing w:line="360" w:lineRule="auto"/>
        <w:jc w:val="both"/>
        <w:rPr>
          <w:rFonts w:ascii="Palatino Linotype" w:hAnsi="Palatino Linotype" w:cs="Arial"/>
        </w:rPr>
      </w:pPr>
    </w:p>
    <w:p w14:paraId="5BDA9303" w14:textId="77777777" w:rsidR="00C14D07" w:rsidRPr="002C3EC8" w:rsidRDefault="00C14D07" w:rsidP="00C14D07">
      <w:pPr>
        <w:spacing w:before="240" w:line="360" w:lineRule="auto"/>
        <w:jc w:val="both"/>
        <w:rPr>
          <w:rFonts w:ascii="Palatino Linotype" w:hAnsi="Palatino Linotype" w:cs="Arial"/>
          <w:b/>
        </w:rPr>
      </w:pPr>
      <w:r>
        <w:rPr>
          <w:rFonts w:ascii="Palatino Linotype" w:hAnsi="Palatino Linotype" w:cs="Arial"/>
          <w:b/>
          <w:sz w:val="28"/>
        </w:rPr>
        <w:t>CUARTO</w:t>
      </w:r>
      <w:r w:rsidRPr="002C3EC8">
        <w:rPr>
          <w:rFonts w:ascii="Palatino Linotype" w:hAnsi="Palatino Linotype" w:cs="Arial"/>
          <w:b/>
        </w:rPr>
        <w:t xml:space="preserve">. </w:t>
      </w:r>
      <w:r w:rsidRPr="002C3EC8">
        <w:rPr>
          <w:rFonts w:ascii="Palatino Linotype" w:hAnsi="Palatino Linotype" w:cs="Arial"/>
          <w:b/>
          <w:sz w:val="28"/>
          <w:szCs w:val="28"/>
        </w:rPr>
        <w:t>Del turno</w:t>
      </w:r>
      <w:r>
        <w:rPr>
          <w:rFonts w:ascii="Palatino Linotype" w:hAnsi="Palatino Linotype" w:cs="Arial"/>
          <w:b/>
          <w:sz w:val="28"/>
          <w:szCs w:val="28"/>
        </w:rPr>
        <w:t xml:space="preserve"> y admisión</w:t>
      </w:r>
      <w:r w:rsidRPr="002C3EC8">
        <w:rPr>
          <w:rFonts w:ascii="Palatino Linotype" w:hAnsi="Palatino Linotype" w:cs="Arial"/>
          <w:b/>
          <w:sz w:val="28"/>
          <w:szCs w:val="28"/>
        </w:rPr>
        <w:t xml:space="preserve"> del recurso de revisión.</w:t>
      </w:r>
    </w:p>
    <w:p w14:paraId="6B46CA41" w14:textId="77777777" w:rsidR="00C14D07" w:rsidRDefault="00C14D07" w:rsidP="00C14D07">
      <w:pPr>
        <w:spacing w:before="240" w:line="360" w:lineRule="auto"/>
        <w:jc w:val="both"/>
        <w:rPr>
          <w:rFonts w:ascii="Palatino Linotype" w:hAnsi="Palatino Linotype" w:cs="Arial"/>
          <w:sz w:val="28"/>
        </w:rPr>
      </w:pPr>
      <w:r>
        <w:rPr>
          <w:rFonts w:ascii="Palatino Linotype" w:hAnsi="Palatino Linotype"/>
        </w:rPr>
        <w:t>El medio de impugnación fue turnado al Comisionado Presidente</w:t>
      </w:r>
      <w:r w:rsidRPr="002C3EC8">
        <w:rPr>
          <w:rFonts w:ascii="Palatino Linotype" w:hAnsi="Palatino Linotype"/>
        </w:rPr>
        <w:t xml:space="preserve"> </w:t>
      </w:r>
      <w:r>
        <w:rPr>
          <w:rFonts w:ascii="Palatino Linotype" w:hAnsi="Palatino Linotype"/>
          <w:b/>
        </w:rPr>
        <w:t>José Martínez Vilchis,</w:t>
      </w:r>
      <w:r w:rsidRPr="002C3EC8">
        <w:rPr>
          <w:rFonts w:ascii="Palatino Linotype" w:hAnsi="Palatino Linotype"/>
        </w:rPr>
        <w:t xml:space="preserve"> por medio del sistema elect</w:t>
      </w:r>
      <w:r>
        <w:rPr>
          <w:rFonts w:ascii="Palatino Linotype" w:hAnsi="Palatino Linotype"/>
        </w:rPr>
        <w:t>rónico SAIMEX, en términos del artículo</w:t>
      </w:r>
      <w:r w:rsidRPr="002C3EC8">
        <w:rPr>
          <w:rFonts w:ascii="Palatino Linotype" w:hAnsi="Palatino Linotype"/>
        </w:rPr>
        <w:t xml:space="preserve"> 185, fracción I, de la Ley de Transparencia y Acceso a la información Pública del Estado de México y Mu</w:t>
      </w:r>
      <w:r>
        <w:rPr>
          <w:rFonts w:ascii="Palatino Linotype" w:hAnsi="Palatino Linotype"/>
        </w:rPr>
        <w:t>nicipios, del cual recayó acuerdo</w:t>
      </w:r>
      <w:r w:rsidRPr="002C3EC8">
        <w:rPr>
          <w:rFonts w:ascii="Palatino Linotype" w:hAnsi="Palatino Linotype"/>
        </w:rPr>
        <w:t xml:space="preserve"> de </w:t>
      </w:r>
      <w:r w:rsidRPr="00E52C83">
        <w:rPr>
          <w:rFonts w:ascii="Palatino Linotype" w:hAnsi="Palatino Linotype"/>
          <w:b/>
        </w:rPr>
        <w:t>admisión</w:t>
      </w:r>
      <w:r>
        <w:rPr>
          <w:rFonts w:ascii="Palatino Linotype" w:hAnsi="Palatino Linotype"/>
        </w:rPr>
        <w:t xml:space="preserve"> en fecha </w:t>
      </w:r>
      <w:r>
        <w:rPr>
          <w:rFonts w:ascii="Palatino Linotype" w:hAnsi="Palatino Linotype"/>
          <w:b/>
        </w:rPr>
        <w:t>once de diciembre de dos mil veinticuatro</w:t>
      </w:r>
      <w:r w:rsidRPr="002C3EC8">
        <w:rPr>
          <w:rFonts w:ascii="Palatino Linotype" w:hAnsi="Palatino Linotype"/>
        </w:rPr>
        <w:t>, determinándose en ellos, un plazo de siete días para que las partes manifestaran lo que a su derecho corresponda en términos del numeral ya citado.</w:t>
      </w:r>
    </w:p>
    <w:p w14:paraId="15CA1C99" w14:textId="77777777" w:rsidR="00C14D07" w:rsidRPr="004C20B7" w:rsidRDefault="00C14D07" w:rsidP="00C14D07">
      <w:pPr>
        <w:spacing w:before="240" w:line="360" w:lineRule="auto"/>
        <w:jc w:val="both"/>
        <w:rPr>
          <w:rFonts w:ascii="Palatino Linotype" w:hAnsi="Palatino Linotype" w:cs="Arial"/>
          <w:sz w:val="28"/>
        </w:rPr>
      </w:pPr>
    </w:p>
    <w:p w14:paraId="05B7CC2A" w14:textId="77777777" w:rsidR="00C14D07" w:rsidRPr="00E52C83" w:rsidRDefault="00C14D07" w:rsidP="00C14D07">
      <w:pPr>
        <w:pStyle w:val="Prrafodelista"/>
        <w:spacing w:line="360" w:lineRule="auto"/>
        <w:ind w:left="0"/>
        <w:jc w:val="both"/>
        <w:rPr>
          <w:rFonts w:ascii="Palatino Linotype" w:hAnsi="Palatino Linotype" w:cs="Arial"/>
          <w:b/>
          <w:sz w:val="28"/>
          <w:szCs w:val="28"/>
        </w:rPr>
      </w:pPr>
      <w:r>
        <w:rPr>
          <w:rFonts w:ascii="Palatino Linotype" w:hAnsi="Palatino Linotype" w:cs="Arial"/>
          <w:b/>
          <w:sz w:val="28"/>
        </w:rPr>
        <w:t>QUIN</w:t>
      </w:r>
      <w:r w:rsidRPr="002C3EC8">
        <w:rPr>
          <w:rFonts w:ascii="Palatino Linotype" w:hAnsi="Palatino Linotype" w:cs="Arial"/>
          <w:b/>
          <w:sz w:val="28"/>
        </w:rPr>
        <w:t>TO</w:t>
      </w:r>
      <w:r w:rsidRPr="002C3EC8">
        <w:rPr>
          <w:rFonts w:ascii="Palatino Linotype" w:hAnsi="Palatino Linotype" w:cs="Arial"/>
          <w:b/>
          <w:sz w:val="28"/>
          <w:szCs w:val="28"/>
        </w:rPr>
        <w:t>. De la etapa de instrucción.</w:t>
      </w:r>
    </w:p>
    <w:p w14:paraId="77200BAC" w14:textId="77777777" w:rsidR="00C14D07" w:rsidRDefault="00C14D07" w:rsidP="00C14D07">
      <w:pPr>
        <w:spacing w:line="360" w:lineRule="auto"/>
        <w:jc w:val="both"/>
        <w:rPr>
          <w:rFonts w:ascii="Palatino Linotype" w:hAnsi="Palatino Linotype"/>
        </w:rPr>
      </w:pPr>
      <w:r w:rsidRPr="00DD2E32">
        <w:rPr>
          <w:rFonts w:ascii="Palatino Linotype" w:hAnsi="Palatino Linotype" w:cs="Arial"/>
        </w:rPr>
        <w:t>De las constancias que obran en el</w:t>
      </w:r>
      <w:r>
        <w:rPr>
          <w:rFonts w:ascii="Palatino Linotype" w:hAnsi="Palatino Linotype" w:cs="Arial"/>
        </w:rPr>
        <w:t xml:space="preserve"> expediente electrónico del</w:t>
      </w:r>
      <w:r w:rsidRPr="00DD2E32">
        <w:rPr>
          <w:rFonts w:ascii="Palatino Linotype" w:hAnsi="Palatino Linotype" w:cs="Arial"/>
        </w:rPr>
        <w:t xml:space="preserve"> SAIMEX, se advierte que el Sujeto Obligado </w:t>
      </w:r>
      <w:r>
        <w:rPr>
          <w:rFonts w:ascii="Palatino Linotype" w:hAnsi="Palatino Linotype" w:cs="Arial"/>
        </w:rPr>
        <w:t xml:space="preserve">fue omiso al rendir su informe justificado. </w:t>
      </w:r>
      <w:r w:rsidRPr="0006745F">
        <w:rPr>
          <w:rFonts w:ascii="Palatino Linotype" w:hAnsi="Palatino Linotype" w:cs="Arial"/>
        </w:rPr>
        <w:t>De igual manera, se advierte que el Recurrente</w:t>
      </w:r>
      <w:r w:rsidRPr="0006745F">
        <w:rPr>
          <w:rFonts w:ascii="Palatino Linotype" w:hAnsi="Palatino Linotype" w:cs="Arial"/>
          <w:b/>
        </w:rPr>
        <w:t>,</w:t>
      </w:r>
      <w:r w:rsidRPr="0006745F">
        <w:rPr>
          <w:rFonts w:ascii="Palatino Linotype" w:hAnsi="Palatino Linotype" w:cs="Arial"/>
        </w:rPr>
        <w:t xml:space="preserve"> omitió rendir dentro del término de Ley, las manifestaciones que a sus intereses conviniera.</w:t>
      </w:r>
    </w:p>
    <w:p w14:paraId="236CA9F7" w14:textId="77777777" w:rsidR="00C14D07" w:rsidRPr="00DD2E32" w:rsidRDefault="00C14D07" w:rsidP="00C14D07">
      <w:pPr>
        <w:spacing w:line="360" w:lineRule="auto"/>
        <w:jc w:val="both"/>
        <w:rPr>
          <w:rFonts w:ascii="Palatino Linotype" w:hAnsi="Palatino Linotype" w:cs="Arial"/>
        </w:rPr>
      </w:pPr>
    </w:p>
    <w:p w14:paraId="1AC1328A" w14:textId="77777777" w:rsidR="00C14D07" w:rsidRDefault="00C14D07" w:rsidP="00C14D07">
      <w:pPr>
        <w:spacing w:line="360" w:lineRule="auto"/>
        <w:jc w:val="both"/>
        <w:rPr>
          <w:rFonts w:ascii="Palatino Linotype" w:hAnsi="Palatino Linotype" w:cs="Arial"/>
        </w:rPr>
      </w:pPr>
      <w:r w:rsidRPr="00DD2E32">
        <w:rPr>
          <w:rFonts w:ascii="Palatino Linotype" w:hAnsi="Palatino Linotype" w:cs="Arial"/>
        </w:rPr>
        <w:t xml:space="preserve">Por lo que al no existir prueba alguna o diligencia que desahogar en el expediente citado al rubro, el Comisionado Ponente acordó el cierre de instrucción, así como la remisión del mismo a efecto de ser resuelto, de conformidad con lo establecido en el </w:t>
      </w:r>
      <w:r w:rsidRPr="00DD2E32">
        <w:rPr>
          <w:rFonts w:ascii="Palatino Linotype" w:hAnsi="Palatino Linotype" w:cs="Arial"/>
        </w:rPr>
        <w:lastRenderedPageBreak/>
        <w:t>artículo 185 fracciones VI y VIII de la Ley de Transparencia y Acceso a la Información Pública de</w:t>
      </w:r>
      <w:r>
        <w:rPr>
          <w:rFonts w:ascii="Palatino Linotype" w:hAnsi="Palatino Linotype" w:cs="Arial"/>
        </w:rPr>
        <w:t>l Estado de México y Municipios.</w:t>
      </w:r>
    </w:p>
    <w:p w14:paraId="00BC8864" w14:textId="77777777" w:rsidR="00C14D07" w:rsidRDefault="00C14D07" w:rsidP="00C14D07">
      <w:pPr>
        <w:spacing w:line="360" w:lineRule="auto"/>
        <w:jc w:val="both"/>
        <w:rPr>
          <w:rFonts w:ascii="Palatino Linotype" w:hAnsi="Palatino Linotype" w:cs="Arial"/>
          <w:b/>
          <w:sz w:val="28"/>
          <w:szCs w:val="28"/>
        </w:rPr>
      </w:pPr>
    </w:p>
    <w:p w14:paraId="5BC916E7" w14:textId="77777777" w:rsidR="00C14D07" w:rsidRDefault="00C14D07" w:rsidP="00C14D07">
      <w:pPr>
        <w:spacing w:line="360" w:lineRule="auto"/>
        <w:jc w:val="both"/>
        <w:rPr>
          <w:rFonts w:ascii="Palatino Linotype" w:hAnsi="Palatino Linotype" w:cs="Arial"/>
          <w:b/>
          <w:sz w:val="28"/>
          <w:szCs w:val="28"/>
        </w:rPr>
      </w:pPr>
    </w:p>
    <w:p w14:paraId="4C808D0F" w14:textId="77777777" w:rsidR="00C14D07" w:rsidRPr="002C3EC8" w:rsidRDefault="00C14D07" w:rsidP="00C14D07">
      <w:pPr>
        <w:spacing w:line="360" w:lineRule="auto"/>
        <w:jc w:val="both"/>
        <w:rPr>
          <w:rFonts w:ascii="Palatino Linotype" w:hAnsi="Palatino Linotype" w:cs="Arial"/>
          <w:b/>
          <w:sz w:val="28"/>
          <w:szCs w:val="28"/>
        </w:rPr>
      </w:pPr>
      <w:r>
        <w:rPr>
          <w:rFonts w:ascii="Palatino Linotype" w:hAnsi="Palatino Linotype" w:cs="Arial"/>
          <w:b/>
          <w:sz w:val="28"/>
          <w:szCs w:val="28"/>
        </w:rPr>
        <w:t>SEXTO</w:t>
      </w:r>
      <w:r w:rsidRPr="002C3EC8">
        <w:rPr>
          <w:rFonts w:ascii="Palatino Linotype" w:hAnsi="Palatino Linotype" w:cs="Arial"/>
          <w:b/>
          <w:sz w:val="28"/>
          <w:szCs w:val="28"/>
        </w:rPr>
        <w:t>. Del Cierre de Instrucción.</w:t>
      </w:r>
    </w:p>
    <w:p w14:paraId="7AB06864" w14:textId="77777777" w:rsidR="00C14D07" w:rsidRDefault="00C14D07" w:rsidP="00C14D07">
      <w:pPr>
        <w:spacing w:line="360" w:lineRule="auto"/>
        <w:jc w:val="both"/>
        <w:rPr>
          <w:rFonts w:ascii="Palatino Linotype" w:hAnsi="Palatino Linotype" w:cs="Arial"/>
        </w:rPr>
      </w:pPr>
      <w:r w:rsidRPr="002C3EC8">
        <w:rPr>
          <w:rFonts w:ascii="Palatino Linotype" w:hAnsi="Palatino Linotype" w:cs="Arial"/>
        </w:rPr>
        <w:t>Por lo que una vez transcurrido el periodo otorgado a las partes de siete días hábiles para realizar sus manifestaciones en el acuerdo de admisión, y no habiendo prueba pendiente por desahogar, ni que documentos que integrar al expediente electrónico, se decretó el</w:t>
      </w:r>
      <w:r>
        <w:rPr>
          <w:rFonts w:ascii="Palatino Linotype" w:hAnsi="Palatino Linotype" w:cs="Arial"/>
        </w:rPr>
        <w:t xml:space="preserve"> cierre de instrucción en fecha </w:t>
      </w:r>
      <w:r>
        <w:rPr>
          <w:rFonts w:ascii="Palatino Linotype" w:hAnsi="Palatino Linotype" w:cs="Arial"/>
          <w:b/>
        </w:rPr>
        <w:t>catorce de enero de dos mil veinticinco</w:t>
      </w:r>
      <w:r w:rsidRPr="002C3EC8">
        <w:rPr>
          <w:rFonts w:ascii="Palatino Linotype" w:hAnsi="Palatino Linotype" w:cs="Arial"/>
        </w:rPr>
        <w:t>, en términos del artículo 185 fracción VI de la Ley de Transparencia y Acceso a la Información Pública del Estado de México y Municipios, ordenándose turnar el expediente a la re</w:t>
      </w:r>
      <w:r>
        <w:rPr>
          <w:rFonts w:ascii="Palatino Linotype" w:hAnsi="Palatino Linotype" w:cs="Arial"/>
        </w:rPr>
        <w:t>solución que en derecho proceda.</w:t>
      </w:r>
    </w:p>
    <w:p w14:paraId="5CA1AC67" w14:textId="77777777" w:rsidR="00C14D07" w:rsidRPr="009A3812" w:rsidRDefault="00C14D07" w:rsidP="00C14D07">
      <w:pPr>
        <w:spacing w:line="360" w:lineRule="auto"/>
        <w:jc w:val="both"/>
        <w:rPr>
          <w:rFonts w:ascii="Palatino Linotype" w:hAnsi="Palatino Linotype" w:cs="Arial"/>
        </w:rPr>
      </w:pPr>
    </w:p>
    <w:p w14:paraId="415FD0CC" w14:textId="77777777" w:rsidR="00C14D07" w:rsidRPr="0024200F" w:rsidRDefault="00C14D07" w:rsidP="00C14D07">
      <w:pPr>
        <w:spacing w:line="360" w:lineRule="auto"/>
        <w:jc w:val="center"/>
        <w:rPr>
          <w:rFonts w:ascii="Palatino Linotype" w:hAnsi="Palatino Linotype"/>
          <w:b/>
          <w:bCs/>
          <w:spacing w:val="60"/>
          <w:sz w:val="28"/>
          <w:lang w:val="es-ES_tradnl"/>
        </w:rPr>
      </w:pPr>
      <w:r w:rsidRPr="0024200F">
        <w:rPr>
          <w:rFonts w:ascii="Palatino Linotype" w:hAnsi="Palatino Linotype"/>
          <w:b/>
          <w:bCs/>
          <w:spacing w:val="60"/>
          <w:sz w:val="28"/>
          <w:lang w:val="es-ES_tradnl"/>
        </w:rPr>
        <w:t>CONSIDERANDO</w:t>
      </w:r>
    </w:p>
    <w:p w14:paraId="13D9F2BC" w14:textId="77777777" w:rsidR="00C14D07" w:rsidRPr="00825F67" w:rsidRDefault="00C14D07" w:rsidP="00C14D07">
      <w:pPr>
        <w:spacing w:line="360" w:lineRule="auto"/>
        <w:ind w:right="49"/>
        <w:jc w:val="both"/>
        <w:rPr>
          <w:rFonts w:ascii="Palatino Linotype" w:hAnsi="Palatino Linotype"/>
          <w:szCs w:val="28"/>
        </w:rPr>
      </w:pPr>
    </w:p>
    <w:p w14:paraId="2B41DADC" w14:textId="77777777" w:rsidR="00C14D07" w:rsidRPr="002C3EC8" w:rsidRDefault="00C14D07" w:rsidP="00C14D07">
      <w:pPr>
        <w:spacing w:before="240" w:line="360" w:lineRule="auto"/>
        <w:jc w:val="both"/>
        <w:rPr>
          <w:rFonts w:ascii="Palatino Linotype" w:hAnsi="Palatino Linotype" w:cs="Arial"/>
          <w:sz w:val="28"/>
          <w:szCs w:val="28"/>
        </w:rPr>
      </w:pPr>
      <w:r w:rsidRPr="002C3EC8">
        <w:rPr>
          <w:rFonts w:ascii="Palatino Linotype" w:hAnsi="Palatino Linotype" w:cs="Arial"/>
          <w:b/>
          <w:sz w:val="28"/>
        </w:rPr>
        <w:t>PRIMERO.</w:t>
      </w:r>
      <w:r w:rsidRPr="002C3EC8">
        <w:rPr>
          <w:rFonts w:ascii="Palatino Linotype" w:hAnsi="Palatino Linotype" w:cs="Arial"/>
          <w:b/>
        </w:rPr>
        <w:t xml:space="preserve"> </w:t>
      </w:r>
      <w:r w:rsidRPr="002C3EC8">
        <w:rPr>
          <w:rFonts w:ascii="Palatino Linotype" w:hAnsi="Palatino Linotype" w:cs="Arial"/>
          <w:b/>
          <w:sz w:val="28"/>
          <w:szCs w:val="28"/>
        </w:rPr>
        <w:t>De la competencia</w:t>
      </w:r>
      <w:r w:rsidRPr="002C3EC8">
        <w:rPr>
          <w:rFonts w:ascii="Palatino Linotype" w:hAnsi="Palatino Linotype" w:cs="Arial"/>
          <w:sz w:val="28"/>
          <w:szCs w:val="28"/>
        </w:rPr>
        <w:t>.</w:t>
      </w:r>
    </w:p>
    <w:p w14:paraId="1875E51E" w14:textId="77777777" w:rsidR="00C14D07" w:rsidRPr="007C6AB6" w:rsidRDefault="00C14D07" w:rsidP="00C14D07">
      <w:pPr>
        <w:tabs>
          <w:tab w:val="left" w:pos="3402"/>
        </w:tabs>
        <w:spacing w:line="360" w:lineRule="auto"/>
        <w:jc w:val="both"/>
        <w:rPr>
          <w:rFonts w:ascii="Palatino Linotype" w:hAnsi="Palatino Linotype"/>
        </w:rPr>
      </w:pPr>
      <w:r w:rsidRPr="007C6AB6">
        <w:rPr>
          <w:rFonts w:ascii="Palatino Linotype" w:hAnsi="Palatino Linotype"/>
        </w:rPr>
        <w:t>Este Instituto de Transparencia, Acceso a la Información Pública y Protección de Datos Personales del Estado de México, es competente para conocer y resolver el presente recurso de revisión interpuesto por el Recurrente conforme a lo dispuesto en los artículos 6, apartado A, fracción IV de la Constitución Política de los Estados Unidos Mexicanos; 5, párrafos trigésimo tercero</w:t>
      </w:r>
      <w:r>
        <w:rPr>
          <w:rFonts w:ascii="Palatino Linotype" w:hAnsi="Palatino Linotype"/>
        </w:rPr>
        <w:t xml:space="preserve"> y </w:t>
      </w:r>
      <w:r w:rsidRPr="007C6AB6">
        <w:rPr>
          <w:rFonts w:ascii="Palatino Linotype" w:hAnsi="Palatino Linotype"/>
        </w:rPr>
        <w:t xml:space="preserve">trigésimo </w:t>
      </w:r>
      <w:r>
        <w:rPr>
          <w:rFonts w:ascii="Palatino Linotype" w:hAnsi="Palatino Linotype"/>
        </w:rPr>
        <w:t>cuarto</w:t>
      </w:r>
      <w:r w:rsidRPr="007C6AB6">
        <w:rPr>
          <w:rFonts w:ascii="Palatino Linotype" w:hAnsi="Palatino Linotype"/>
        </w:rPr>
        <w:t xml:space="preserve">,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w:t>
      </w:r>
      <w:r w:rsidRPr="007C6AB6">
        <w:rPr>
          <w:rFonts w:ascii="Palatino Linotype" w:hAnsi="Palatino Linotype"/>
        </w:rPr>
        <w:lastRenderedPageBreak/>
        <w:t>6, 9 fracciones I y XXIII, y 11 del Reglamento Interior del Instituto de Transparencia, Acceso a la Información Pública y Protección de Datos Personales del Estado de México y Municipios.</w:t>
      </w:r>
    </w:p>
    <w:p w14:paraId="7DE37667" w14:textId="77777777" w:rsidR="00C14D07" w:rsidRPr="002C3EC8" w:rsidRDefault="00C14D07" w:rsidP="00C14D07">
      <w:pPr>
        <w:spacing w:before="240" w:line="360" w:lineRule="auto"/>
        <w:jc w:val="both"/>
        <w:rPr>
          <w:rFonts w:ascii="Palatino Linotype" w:eastAsia="Calibri" w:hAnsi="Palatino Linotype"/>
          <w:b/>
          <w:color w:val="000000" w:themeColor="text1"/>
        </w:rPr>
      </w:pPr>
    </w:p>
    <w:p w14:paraId="1A424AB3" w14:textId="77777777" w:rsidR="00C14D07" w:rsidRPr="002C3EC8" w:rsidRDefault="00C14D07" w:rsidP="00C14D07">
      <w:pPr>
        <w:pStyle w:val="Prrafodelista"/>
        <w:autoSpaceDE w:val="0"/>
        <w:autoSpaceDN w:val="0"/>
        <w:adjustRightInd w:val="0"/>
        <w:spacing w:before="240" w:after="160" w:line="360" w:lineRule="auto"/>
        <w:ind w:left="0"/>
        <w:jc w:val="both"/>
        <w:rPr>
          <w:rFonts w:ascii="Palatino Linotype" w:hAnsi="Palatino Linotype" w:cs="Arial"/>
          <w:b/>
        </w:rPr>
      </w:pPr>
      <w:r w:rsidRPr="002C3EC8">
        <w:rPr>
          <w:rFonts w:ascii="Palatino Linotype" w:hAnsi="Palatino Linotype" w:cs="Arial"/>
          <w:b/>
          <w:sz w:val="28"/>
        </w:rPr>
        <w:t>SEGUNDO</w:t>
      </w:r>
      <w:r w:rsidRPr="002C3EC8">
        <w:rPr>
          <w:rFonts w:ascii="Palatino Linotype" w:hAnsi="Palatino Linotype" w:cs="Arial"/>
          <w:b/>
        </w:rPr>
        <w:t xml:space="preserve">. </w:t>
      </w:r>
      <w:r>
        <w:rPr>
          <w:rFonts w:ascii="Palatino Linotype" w:hAnsi="Palatino Linotype" w:cs="Arial"/>
          <w:b/>
          <w:sz w:val="28"/>
          <w:szCs w:val="28"/>
        </w:rPr>
        <w:t xml:space="preserve">Sobre los alcances del </w:t>
      </w:r>
      <w:r w:rsidRPr="002C3EC8">
        <w:rPr>
          <w:rFonts w:ascii="Palatino Linotype" w:hAnsi="Palatino Linotype" w:cs="Arial"/>
          <w:b/>
          <w:sz w:val="28"/>
          <w:szCs w:val="28"/>
        </w:rPr>
        <w:t>recurso</w:t>
      </w:r>
      <w:r>
        <w:rPr>
          <w:rFonts w:ascii="Palatino Linotype" w:hAnsi="Palatino Linotype" w:cs="Arial"/>
          <w:b/>
          <w:sz w:val="28"/>
          <w:szCs w:val="28"/>
        </w:rPr>
        <w:t xml:space="preserve"> </w:t>
      </w:r>
      <w:r w:rsidRPr="002C3EC8">
        <w:rPr>
          <w:rFonts w:ascii="Palatino Linotype" w:hAnsi="Palatino Linotype" w:cs="Arial"/>
          <w:b/>
          <w:sz w:val="28"/>
          <w:szCs w:val="28"/>
        </w:rPr>
        <w:t>de revisión.</w:t>
      </w:r>
      <w:r w:rsidRPr="002C3EC8">
        <w:rPr>
          <w:rFonts w:ascii="Palatino Linotype" w:hAnsi="Palatino Linotype" w:cs="Arial"/>
          <w:b/>
        </w:rPr>
        <w:t xml:space="preserve"> </w:t>
      </w:r>
    </w:p>
    <w:p w14:paraId="7C388379" w14:textId="77777777" w:rsidR="00C14D07" w:rsidRDefault="00C14D07" w:rsidP="00C14D07">
      <w:pPr>
        <w:pStyle w:val="Prrafodelista"/>
        <w:autoSpaceDE w:val="0"/>
        <w:autoSpaceDN w:val="0"/>
        <w:adjustRightInd w:val="0"/>
        <w:spacing w:before="240" w:after="160" w:line="360" w:lineRule="auto"/>
        <w:ind w:left="0"/>
        <w:jc w:val="both"/>
        <w:rPr>
          <w:rFonts w:ascii="Palatino Linotype" w:hAnsi="Palatino Linotype" w:cs="Arial"/>
        </w:rPr>
      </w:pPr>
      <w:r w:rsidRPr="002C3EC8">
        <w:rPr>
          <w:rFonts w:ascii="Palatino Linotype" w:hAnsi="Palatino Linotype" w:cs="Arial"/>
        </w:rPr>
        <w:t>Derivado de la impugnación realizada, es preciso e importante señalar que el recurso de revisión inmerso en la Ley de Transparencia vigente en la entidad, tiene el fin y alcance que señalan los numerales 176, 179, 181 párrafo cuarto, 194 y 195 y demás aplicables de la Ley de Transparencia y Acceso a la Información Pública del Estado de México y Municipios vigente, el cual será analizado conforme a las actuaciones que obren en el expediente electrónico, con la finalidad de reparar cualquier posible afectación al derecho de acceso a la información pública y garantizando el principio rector de máxima publicidad.</w:t>
      </w:r>
    </w:p>
    <w:p w14:paraId="1F18BFFB" w14:textId="77777777" w:rsidR="00C14D07" w:rsidRDefault="00C14D07" w:rsidP="00C14D07">
      <w:pPr>
        <w:pStyle w:val="Prrafodelista"/>
        <w:autoSpaceDE w:val="0"/>
        <w:autoSpaceDN w:val="0"/>
        <w:adjustRightInd w:val="0"/>
        <w:spacing w:before="240" w:after="160" w:line="360" w:lineRule="auto"/>
        <w:ind w:left="0"/>
        <w:jc w:val="both"/>
        <w:rPr>
          <w:rFonts w:ascii="Palatino Linotype" w:hAnsi="Palatino Linotype" w:cs="Arial"/>
          <w:b/>
          <w:sz w:val="28"/>
        </w:rPr>
      </w:pPr>
    </w:p>
    <w:p w14:paraId="1389BFF3" w14:textId="77777777" w:rsidR="00C14D07" w:rsidRPr="002C3EC8" w:rsidRDefault="00C14D07" w:rsidP="00C14D07">
      <w:pPr>
        <w:pStyle w:val="Prrafodelista"/>
        <w:autoSpaceDE w:val="0"/>
        <w:autoSpaceDN w:val="0"/>
        <w:adjustRightInd w:val="0"/>
        <w:spacing w:before="240" w:after="160" w:line="360" w:lineRule="auto"/>
        <w:ind w:left="0"/>
        <w:jc w:val="both"/>
        <w:rPr>
          <w:rFonts w:ascii="Palatino Linotype" w:hAnsi="Palatino Linotype" w:cs="Arial"/>
          <w:b/>
          <w:sz w:val="28"/>
          <w:szCs w:val="28"/>
        </w:rPr>
      </w:pPr>
      <w:r>
        <w:rPr>
          <w:rFonts w:ascii="Palatino Linotype" w:hAnsi="Palatino Linotype" w:cs="Arial"/>
          <w:b/>
          <w:sz w:val="28"/>
        </w:rPr>
        <w:t>TERCERO</w:t>
      </w:r>
      <w:r w:rsidRPr="002C3EC8">
        <w:rPr>
          <w:rFonts w:ascii="Palatino Linotype" w:hAnsi="Palatino Linotype" w:cs="Arial"/>
          <w:b/>
        </w:rPr>
        <w:t xml:space="preserve">. </w:t>
      </w:r>
      <w:r w:rsidRPr="002C3EC8">
        <w:rPr>
          <w:rFonts w:ascii="Palatino Linotype" w:hAnsi="Palatino Linotype" w:cs="Arial"/>
          <w:b/>
          <w:sz w:val="28"/>
          <w:szCs w:val="28"/>
        </w:rPr>
        <w:t>De las causas de improcedencia.</w:t>
      </w:r>
    </w:p>
    <w:p w14:paraId="269596DC" w14:textId="77777777" w:rsidR="00C14D07" w:rsidRPr="002C3EC8" w:rsidRDefault="00C14D07" w:rsidP="00C14D07">
      <w:pPr>
        <w:pStyle w:val="Prrafodelista"/>
        <w:autoSpaceDE w:val="0"/>
        <w:autoSpaceDN w:val="0"/>
        <w:adjustRightInd w:val="0"/>
        <w:spacing w:before="240" w:after="160" w:line="360" w:lineRule="auto"/>
        <w:ind w:left="0"/>
        <w:jc w:val="both"/>
        <w:rPr>
          <w:rFonts w:ascii="Palatino Linotype" w:hAnsi="Palatino Linotype" w:cs="Arial"/>
        </w:rPr>
      </w:pPr>
      <w:r w:rsidRPr="002C3EC8">
        <w:rPr>
          <w:rFonts w:ascii="Palatino Linotype" w:hAnsi="Palatino Linotype" w:cs="Arial"/>
        </w:rPr>
        <w:t>En el procedimiento de acceso a la información y de los medios de impugnación de la materia, se advierten diversos supuestos de procedibilidad, los cuales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53C937A2" w14:textId="77777777" w:rsidR="00C14D07" w:rsidRPr="002C3EC8" w:rsidRDefault="00C14D07" w:rsidP="00C14D07">
      <w:pPr>
        <w:pStyle w:val="Prrafodelista"/>
        <w:autoSpaceDE w:val="0"/>
        <w:autoSpaceDN w:val="0"/>
        <w:adjustRightInd w:val="0"/>
        <w:spacing w:line="360" w:lineRule="auto"/>
        <w:ind w:left="0"/>
        <w:jc w:val="both"/>
        <w:rPr>
          <w:rFonts w:ascii="Palatino Linotype" w:hAnsi="Palatino Linotype" w:cs="Arial"/>
        </w:rPr>
      </w:pPr>
      <w:r w:rsidRPr="002C3EC8">
        <w:rPr>
          <w:rFonts w:ascii="Palatino Linotype" w:hAnsi="Palatino Linotype" w:cs="Arial"/>
        </w:rPr>
        <w:lastRenderedPageBreak/>
        <w:t>Siendo facultad de este Órgano entrar al estudio de las causas de improcedencia que hagan valer las partes o que se adviertan de oficio por este Resolutor y por ende objeto de análisis previo al estudio de fondo del asunto, en los presupuestos procesales sobre el inicio o trámite de un proceso, generando eficacia jurídica en las resoluciones, máxime que se trata de una figura procesal adoptada en la ley de la materia, la cual impide su estudio y resolución cuando una vez admitido el recurso de revisión se advierta una causa de improcedencia que permita sobreseer el recurso de revisión, sin estudiar el fondo del asunto; circunstancias anteriores que no son incompatibles con el derecho de acceso a la justicia, ya que éste no se coarta por regular causas de improcedencia y sobreseimiento con tales fines</w:t>
      </w:r>
      <w:r w:rsidRPr="002C3EC8">
        <w:rPr>
          <w:rStyle w:val="Refdenotaalpie"/>
          <w:rFonts w:ascii="Palatino Linotype" w:hAnsi="Palatino Linotype" w:cs="Arial"/>
        </w:rPr>
        <w:footnoteReference w:id="1"/>
      </w:r>
      <w:r w:rsidRPr="002C3EC8">
        <w:rPr>
          <w:rFonts w:ascii="Palatino Linotype" w:hAnsi="Palatino Linotype" w:cs="Arial"/>
        </w:rPr>
        <w:t>. Así las cosas, del análisis de los expedientes electrónicos no se advierte ninguna causa de improcedencia que se actualice ni mucho menos alguna hecha valer por alguna de las partes, procediendo al estudio del fondo del asunto, en los siguientes términos.</w:t>
      </w:r>
    </w:p>
    <w:p w14:paraId="69682727" w14:textId="77777777" w:rsidR="00C14D07" w:rsidRDefault="00C14D07" w:rsidP="00C14D07">
      <w:pPr>
        <w:tabs>
          <w:tab w:val="left" w:pos="709"/>
        </w:tabs>
        <w:spacing w:before="240" w:line="360" w:lineRule="auto"/>
        <w:ind w:right="51"/>
        <w:jc w:val="both"/>
        <w:rPr>
          <w:rFonts w:ascii="Palatino Linotype" w:hAnsi="Palatino Linotype"/>
          <w:b/>
          <w:sz w:val="28"/>
          <w:szCs w:val="28"/>
        </w:rPr>
      </w:pPr>
    </w:p>
    <w:p w14:paraId="5BB2F32F" w14:textId="77777777" w:rsidR="00C14D07" w:rsidRPr="002C3EC8" w:rsidRDefault="00C14D07" w:rsidP="00C14D07">
      <w:pPr>
        <w:tabs>
          <w:tab w:val="left" w:pos="709"/>
        </w:tabs>
        <w:spacing w:before="240" w:line="360" w:lineRule="auto"/>
        <w:ind w:right="51"/>
        <w:jc w:val="both"/>
        <w:rPr>
          <w:rFonts w:ascii="Palatino Linotype" w:hAnsi="Palatino Linotype"/>
          <w:b/>
          <w:sz w:val="28"/>
          <w:szCs w:val="28"/>
        </w:rPr>
      </w:pPr>
      <w:r>
        <w:rPr>
          <w:rFonts w:ascii="Palatino Linotype" w:hAnsi="Palatino Linotype"/>
          <w:b/>
          <w:sz w:val="28"/>
          <w:szCs w:val="28"/>
        </w:rPr>
        <w:t>CUAR</w:t>
      </w:r>
      <w:r w:rsidRPr="002C3EC8">
        <w:rPr>
          <w:rFonts w:ascii="Palatino Linotype" w:hAnsi="Palatino Linotype"/>
          <w:b/>
          <w:sz w:val="28"/>
          <w:szCs w:val="28"/>
        </w:rPr>
        <w:t xml:space="preserve">TO. Estudio y resolución del asunto </w:t>
      </w:r>
      <w:r w:rsidRPr="002C3EC8">
        <w:rPr>
          <w:rFonts w:ascii="Palatino Linotype" w:hAnsi="Palatino Linotype"/>
          <w:b/>
          <w:sz w:val="28"/>
          <w:szCs w:val="28"/>
        </w:rPr>
        <w:tab/>
      </w:r>
    </w:p>
    <w:p w14:paraId="7B28411D" w14:textId="77777777" w:rsidR="00C14D07" w:rsidRPr="007379EE" w:rsidRDefault="00C14D07" w:rsidP="00C14D07">
      <w:pPr>
        <w:pBdr>
          <w:top w:val="nil"/>
          <w:left w:val="nil"/>
          <w:bottom w:val="nil"/>
          <w:right w:val="nil"/>
          <w:between w:val="nil"/>
        </w:pBdr>
        <w:spacing w:line="360" w:lineRule="auto"/>
        <w:contextualSpacing/>
        <w:jc w:val="both"/>
        <w:rPr>
          <w:rFonts w:ascii="Palatino Linotype" w:eastAsia="Palatino Linotype" w:hAnsi="Palatino Linotype" w:cs="Palatino Linotype"/>
          <w:color w:val="000000"/>
        </w:rPr>
      </w:pPr>
      <w:r w:rsidRPr="007379EE">
        <w:rPr>
          <w:rFonts w:ascii="Palatino Linotype" w:eastAsia="Palatino Linotype" w:hAnsi="Palatino Linotype" w:cs="Palatino Linotype"/>
          <w:color w:val="000000"/>
        </w:rPr>
        <w:lastRenderedPageBreak/>
        <w:t>El análisis y resolución del presente recurso, se funda en el contenido íntegro de las actuaciones que obran en el expediente electrónico, para así estar en posibilidad este Órgano Colegiado de dictar el fallo correspondiente conforme a derecho, tomando en consideración los elementos aportados por las partes y respetando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5256FD14" w14:textId="77777777" w:rsidR="00C14D07" w:rsidRDefault="00C14D07" w:rsidP="00C14D07">
      <w:pPr>
        <w:autoSpaceDE w:val="0"/>
        <w:autoSpaceDN w:val="0"/>
        <w:adjustRightInd w:val="0"/>
        <w:ind w:right="567"/>
        <w:rPr>
          <w:rFonts w:ascii="Palatino Linotype" w:eastAsia="Calibri" w:hAnsi="Palatino Linotype" w:cs="Arial"/>
        </w:rPr>
      </w:pPr>
    </w:p>
    <w:p w14:paraId="6E37D8BB" w14:textId="77777777" w:rsidR="00C14D07" w:rsidRDefault="00C14D07" w:rsidP="00C14D07">
      <w:pPr>
        <w:pBdr>
          <w:top w:val="nil"/>
          <w:left w:val="nil"/>
          <w:bottom w:val="nil"/>
          <w:right w:val="nil"/>
          <w:between w:val="nil"/>
        </w:pBdr>
        <w:spacing w:line="360" w:lineRule="auto"/>
        <w:contextualSpacing/>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Ahora bien, el artículo 179 de la Ley de Transparencia establece las causales para la procedencia del recurso de revisión, tal como se transcribe:</w:t>
      </w:r>
    </w:p>
    <w:p w14:paraId="6F82706C" w14:textId="77777777" w:rsidR="00C14D07" w:rsidRDefault="00C14D07" w:rsidP="00C14D07">
      <w:pPr>
        <w:pStyle w:val="Citas"/>
      </w:pPr>
      <w:r w:rsidRPr="002E7A81">
        <w:t xml:space="preserve">Artículo 179. El recurso de revisión es un medio de protección que la Ley otorga a los particulares, para hacer valer su derecho de acceso a la información pública, y procederá en contra de las siguientes causas: </w:t>
      </w:r>
    </w:p>
    <w:p w14:paraId="7A1FCE0D" w14:textId="77777777" w:rsidR="00C14D07" w:rsidRDefault="00C14D07" w:rsidP="00C14D07">
      <w:pPr>
        <w:pStyle w:val="Citas"/>
        <w:numPr>
          <w:ilvl w:val="0"/>
          <w:numId w:val="4"/>
        </w:numPr>
        <w:spacing w:line="240" w:lineRule="auto"/>
      </w:pPr>
      <w:r w:rsidRPr="002E7A81">
        <w:t xml:space="preserve">La negativa a la información solicitada; </w:t>
      </w:r>
    </w:p>
    <w:p w14:paraId="3130BB70" w14:textId="77777777" w:rsidR="00C14D07" w:rsidRDefault="00C14D07" w:rsidP="00C14D07">
      <w:pPr>
        <w:pStyle w:val="Citas"/>
        <w:numPr>
          <w:ilvl w:val="0"/>
          <w:numId w:val="4"/>
        </w:numPr>
        <w:spacing w:line="240" w:lineRule="auto"/>
      </w:pPr>
      <w:r w:rsidRPr="002E7A81">
        <w:t xml:space="preserve">La clasificación de la información; </w:t>
      </w:r>
    </w:p>
    <w:p w14:paraId="35939520" w14:textId="77777777" w:rsidR="00C14D07" w:rsidRDefault="00C14D07" w:rsidP="00C14D07">
      <w:pPr>
        <w:pStyle w:val="Citas"/>
        <w:numPr>
          <w:ilvl w:val="0"/>
          <w:numId w:val="4"/>
        </w:numPr>
        <w:spacing w:line="240" w:lineRule="auto"/>
      </w:pPr>
      <w:r w:rsidRPr="002E7A81">
        <w:t xml:space="preserve">La declaración de inexistencia de la información; </w:t>
      </w:r>
    </w:p>
    <w:p w14:paraId="79CCB381" w14:textId="77777777" w:rsidR="00C14D07" w:rsidRDefault="00C14D07" w:rsidP="00C14D07">
      <w:pPr>
        <w:pStyle w:val="Citas"/>
        <w:numPr>
          <w:ilvl w:val="0"/>
          <w:numId w:val="4"/>
        </w:numPr>
        <w:spacing w:line="240" w:lineRule="auto"/>
      </w:pPr>
      <w:r w:rsidRPr="002E7A81">
        <w:t xml:space="preserve">La declaración de incompetencia por el sujeto obligado; </w:t>
      </w:r>
    </w:p>
    <w:p w14:paraId="3D0F559F" w14:textId="77777777" w:rsidR="00C14D07" w:rsidRDefault="00C14D07" w:rsidP="00C14D07">
      <w:pPr>
        <w:pStyle w:val="Citas"/>
        <w:numPr>
          <w:ilvl w:val="0"/>
          <w:numId w:val="4"/>
        </w:numPr>
        <w:spacing w:line="240" w:lineRule="auto"/>
      </w:pPr>
      <w:r w:rsidRPr="002E7A81">
        <w:t xml:space="preserve">La entrega de información incompleta; </w:t>
      </w:r>
    </w:p>
    <w:p w14:paraId="1054950C" w14:textId="77777777" w:rsidR="00C14D07" w:rsidRDefault="00C14D07" w:rsidP="00C14D07">
      <w:pPr>
        <w:pStyle w:val="Citas"/>
        <w:numPr>
          <w:ilvl w:val="0"/>
          <w:numId w:val="4"/>
        </w:numPr>
        <w:spacing w:line="240" w:lineRule="auto"/>
      </w:pPr>
      <w:r w:rsidRPr="002E7A81">
        <w:t xml:space="preserve">La entrega de información que no corresponda con lo solicitado; </w:t>
      </w:r>
    </w:p>
    <w:p w14:paraId="17E6B07F" w14:textId="77777777" w:rsidR="00C14D07" w:rsidRDefault="00C14D07" w:rsidP="00C14D07">
      <w:pPr>
        <w:pStyle w:val="Citas"/>
        <w:numPr>
          <w:ilvl w:val="0"/>
          <w:numId w:val="4"/>
        </w:numPr>
        <w:spacing w:line="240" w:lineRule="auto"/>
      </w:pPr>
      <w:r w:rsidRPr="002E7A81">
        <w:t xml:space="preserve">La falta de respuesta a una solicitud de acceso a la información; </w:t>
      </w:r>
    </w:p>
    <w:p w14:paraId="080DC863" w14:textId="77777777" w:rsidR="00C14D07" w:rsidRDefault="00C14D07" w:rsidP="00C14D07">
      <w:pPr>
        <w:pStyle w:val="Citas"/>
        <w:numPr>
          <w:ilvl w:val="0"/>
          <w:numId w:val="4"/>
        </w:numPr>
        <w:spacing w:line="240" w:lineRule="auto"/>
      </w:pPr>
      <w:r w:rsidRPr="002E7A81">
        <w:t xml:space="preserve">La notificación, entrega o puesta a disposición de información en una modalidad o formato distinto al solicitado; </w:t>
      </w:r>
    </w:p>
    <w:p w14:paraId="13CD460D" w14:textId="77777777" w:rsidR="00C14D07" w:rsidRDefault="00C14D07" w:rsidP="00C14D07">
      <w:pPr>
        <w:pStyle w:val="Citas"/>
        <w:numPr>
          <w:ilvl w:val="0"/>
          <w:numId w:val="4"/>
        </w:numPr>
        <w:spacing w:line="240" w:lineRule="auto"/>
      </w:pPr>
      <w:r w:rsidRPr="002E7A81">
        <w:lastRenderedPageBreak/>
        <w:t xml:space="preserve">La entrega o puesta a disposición de información en un formato incomprensible y/o no accesible para el solicitante; </w:t>
      </w:r>
    </w:p>
    <w:p w14:paraId="45050A28" w14:textId="77777777" w:rsidR="00C14D07" w:rsidRDefault="00C14D07" w:rsidP="00C14D07">
      <w:pPr>
        <w:pStyle w:val="Citas"/>
        <w:numPr>
          <w:ilvl w:val="0"/>
          <w:numId w:val="4"/>
        </w:numPr>
        <w:spacing w:line="240" w:lineRule="auto"/>
      </w:pPr>
      <w:r w:rsidRPr="002E7A81">
        <w:t xml:space="preserve">Los costos o tiempos de entrega de la información; </w:t>
      </w:r>
    </w:p>
    <w:p w14:paraId="6D638B87" w14:textId="77777777" w:rsidR="00C14D07" w:rsidRDefault="00C14D07" w:rsidP="00C14D07">
      <w:pPr>
        <w:pStyle w:val="Citas"/>
        <w:numPr>
          <w:ilvl w:val="0"/>
          <w:numId w:val="4"/>
        </w:numPr>
        <w:spacing w:line="240" w:lineRule="auto"/>
      </w:pPr>
      <w:r w:rsidRPr="002E7A81">
        <w:t xml:space="preserve">La falta de trámite a una solicitud; </w:t>
      </w:r>
    </w:p>
    <w:p w14:paraId="1EECA292" w14:textId="77777777" w:rsidR="00C14D07" w:rsidRDefault="00C14D07" w:rsidP="00C14D07">
      <w:pPr>
        <w:pStyle w:val="Citas"/>
        <w:numPr>
          <w:ilvl w:val="0"/>
          <w:numId w:val="4"/>
        </w:numPr>
        <w:spacing w:line="240" w:lineRule="auto"/>
      </w:pPr>
      <w:r w:rsidRPr="002E7A81">
        <w:t xml:space="preserve">La negativa a permitir la consulta directa de la información; </w:t>
      </w:r>
    </w:p>
    <w:p w14:paraId="77257D7F" w14:textId="77777777" w:rsidR="00C14D07" w:rsidRDefault="00C14D07" w:rsidP="00C14D07">
      <w:pPr>
        <w:pStyle w:val="Citas"/>
        <w:numPr>
          <w:ilvl w:val="0"/>
          <w:numId w:val="4"/>
        </w:numPr>
        <w:spacing w:line="240" w:lineRule="auto"/>
      </w:pPr>
      <w:r w:rsidRPr="002E7A81">
        <w:t xml:space="preserve">La falta, deficiencia o insuficiencia de la fundamentación y/o motivación en la respuesta; y </w:t>
      </w:r>
    </w:p>
    <w:p w14:paraId="744C75C2" w14:textId="77777777" w:rsidR="00C14D07" w:rsidRDefault="00C14D07" w:rsidP="00C14D07">
      <w:pPr>
        <w:pStyle w:val="Citas"/>
        <w:numPr>
          <w:ilvl w:val="0"/>
          <w:numId w:val="4"/>
        </w:numPr>
        <w:spacing w:line="240" w:lineRule="auto"/>
      </w:pPr>
      <w:r w:rsidRPr="002E7A81">
        <w:t xml:space="preserve">La orientación a un trámite específico. </w:t>
      </w:r>
    </w:p>
    <w:p w14:paraId="344E80CC" w14:textId="77777777" w:rsidR="00C14D07" w:rsidRPr="007379EE" w:rsidRDefault="00C14D07" w:rsidP="00C14D07">
      <w:pPr>
        <w:pStyle w:val="Citas"/>
        <w:spacing w:line="240" w:lineRule="auto"/>
      </w:pPr>
      <w:r w:rsidRPr="002E7A81">
        <w:t>La respuesta que den los sujetos obligados derivada de la resolución a un recurso de revisión que proceda por las causales señaladas en las fracciones IV, VII, IX, X, XI y XII es susceptible de ser impugnada de nueva cuenta, mediante recurso de revisión, ante el Instituto.</w:t>
      </w:r>
    </w:p>
    <w:p w14:paraId="42AFEC8C" w14:textId="77777777" w:rsidR="00C14D07" w:rsidRDefault="00C14D07" w:rsidP="00C14D07">
      <w:pPr>
        <w:autoSpaceDE w:val="0"/>
        <w:autoSpaceDN w:val="0"/>
        <w:adjustRightInd w:val="0"/>
        <w:ind w:right="567"/>
        <w:rPr>
          <w:rFonts w:ascii="Palatino Linotype" w:eastAsia="Calibri" w:hAnsi="Palatino Linotype" w:cs="Arial"/>
        </w:rPr>
      </w:pPr>
    </w:p>
    <w:p w14:paraId="721299E9" w14:textId="77777777" w:rsidR="00C14D07" w:rsidRDefault="00C14D07" w:rsidP="00C14D07">
      <w:pPr>
        <w:spacing w:line="360" w:lineRule="auto"/>
        <w:jc w:val="both"/>
        <w:rPr>
          <w:rFonts w:ascii="Palatino Linotype" w:hAnsi="Palatino Linotype" w:cs="Tahoma"/>
          <w:bCs/>
        </w:rPr>
      </w:pPr>
      <w:r w:rsidRPr="00A779C7">
        <w:rPr>
          <w:rFonts w:ascii="Palatino Linotype" w:hAnsi="Palatino Linotype" w:cs="Tahoma"/>
          <w:bCs/>
        </w:rPr>
        <w:t xml:space="preserve">Bajo estas líneas argumentativas, al retomar y delimitar los requerimientos del ahora </w:t>
      </w:r>
      <w:r w:rsidRPr="000A4CB6">
        <w:rPr>
          <w:rFonts w:ascii="Palatino Linotype" w:hAnsi="Palatino Linotype" w:cs="Tahoma"/>
          <w:b/>
          <w:bCs/>
        </w:rPr>
        <w:t>Recurrente</w:t>
      </w:r>
      <w:r w:rsidRPr="00A779C7">
        <w:rPr>
          <w:rFonts w:ascii="Palatino Linotype" w:hAnsi="Palatino Linotype" w:cs="Tahoma"/>
          <w:bCs/>
        </w:rPr>
        <w:t>, de manera objetiva se precisa que requiere la siguiente información:</w:t>
      </w:r>
    </w:p>
    <w:p w14:paraId="4EA784CB" w14:textId="77777777" w:rsidR="00C14D07" w:rsidRPr="009A3812" w:rsidRDefault="00C14D07" w:rsidP="00C14D07">
      <w:pPr>
        <w:tabs>
          <w:tab w:val="left" w:pos="1828"/>
        </w:tabs>
        <w:spacing w:line="360" w:lineRule="auto"/>
        <w:jc w:val="both"/>
        <w:rPr>
          <w:rFonts w:ascii="Palatino Linotype" w:hAnsi="Palatino Linotype" w:cs="Tahoma"/>
          <w:bCs/>
        </w:rPr>
      </w:pPr>
    </w:p>
    <w:p w14:paraId="0B9E310C" w14:textId="77777777" w:rsidR="00C14D07" w:rsidRDefault="00C14D07" w:rsidP="00C14D07">
      <w:pPr>
        <w:pStyle w:val="Prrafodelista"/>
        <w:numPr>
          <w:ilvl w:val="0"/>
          <w:numId w:val="2"/>
        </w:numPr>
        <w:tabs>
          <w:tab w:val="left" w:pos="1828"/>
        </w:tabs>
        <w:spacing w:line="360" w:lineRule="auto"/>
        <w:jc w:val="both"/>
        <w:rPr>
          <w:rFonts w:ascii="Palatino Linotype" w:hAnsi="Palatino Linotype" w:cs="Tahoma"/>
          <w:bCs/>
        </w:rPr>
      </w:pPr>
      <w:r>
        <w:rPr>
          <w:rFonts w:ascii="Palatino Linotype" w:hAnsi="Palatino Linotype" w:cs="Tahoma"/>
          <w:bCs/>
        </w:rPr>
        <w:t xml:space="preserve">En formato </w:t>
      </w:r>
      <w:proofErr w:type="spellStart"/>
      <w:r>
        <w:rPr>
          <w:rFonts w:ascii="Palatino Linotype" w:hAnsi="Palatino Linotype" w:cs="Tahoma"/>
          <w:bCs/>
        </w:rPr>
        <w:t>pdf</w:t>
      </w:r>
      <w:proofErr w:type="spellEnd"/>
      <w:r>
        <w:rPr>
          <w:rFonts w:ascii="Palatino Linotype" w:hAnsi="Palatino Linotype" w:cs="Tahoma"/>
          <w:bCs/>
        </w:rPr>
        <w:t xml:space="preserve"> la convocatoria para elegir al Contralor Municipal</w:t>
      </w:r>
      <w:r w:rsidRPr="009A3812">
        <w:rPr>
          <w:rFonts w:ascii="Palatino Linotype" w:hAnsi="Palatino Linotype" w:cs="Tahoma"/>
          <w:bCs/>
        </w:rPr>
        <w:t>.</w:t>
      </w:r>
    </w:p>
    <w:p w14:paraId="4ECC4FE8" w14:textId="77777777" w:rsidR="00C14D07" w:rsidRDefault="00C14D07" w:rsidP="00C14D07">
      <w:pPr>
        <w:pStyle w:val="Prrafodelista"/>
        <w:numPr>
          <w:ilvl w:val="0"/>
          <w:numId w:val="2"/>
        </w:numPr>
        <w:tabs>
          <w:tab w:val="left" w:pos="1828"/>
        </w:tabs>
        <w:spacing w:line="360" w:lineRule="auto"/>
        <w:jc w:val="both"/>
        <w:rPr>
          <w:rFonts w:ascii="Palatino Linotype" w:hAnsi="Palatino Linotype" w:cs="Tahoma"/>
          <w:bCs/>
        </w:rPr>
      </w:pPr>
      <w:r>
        <w:rPr>
          <w:rFonts w:ascii="Palatino Linotype" w:hAnsi="Palatino Linotype" w:cs="Tahoma"/>
          <w:bCs/>
        </w:rPr>
        <w:t>Fecha de concurso para su elección.</w:t>
      </w:r>
    </w:p>
    <w:p w14:paraId="0F225A1D" w14:textId="77777777" w:rsidR="00C14D07" w:rsidRDefault="00C14D07" w:rsidP="00C14D07">
      <w:pPr>
        <w:pStyle w:val="Prrafodelista"/>
        <w:numPr>
          <w:ilvl w:val="0"/>
          <w:numId w:val="2"/>
        </w:numPr>
        <w:tabs>
          <w:tab w:val="left" w:pos="1828"/>
        </w:tabs>
        <w:spacing w:line="360" w:lineRule="auto"/>
        <w:jc w:val="both"/>
        <w:rPr>
          <w:rFonts w:ascii="Palatino Linotype" w:hAnsi="Palatino Linotype" w:cs="Tahoma"/>
          <w:bCs/>
        </w:rPr>
      </w:pPr>
      <w:r>
        <w:rPr>
          <w:rFonts w:ascii="Palatino Linotype" w:hAnsi="Palatino Linotype" w:cs="Tahoma"/>
          <w:bCs/>
        </w:rPr>
        <w:t>Requisitos para concursar al cargo de Contralor Municipal.</w:t>
      </w:r>
    </w:p>
    <w:p w14:paraId="33E7D46A" w14:textId="77777777" w:rsidR="00C14D07" w:rsidRDefault="00C14D07" w:rsidP="00C14D07">
      <w:pPr>
        <w:spacing w:before="240" w:line="360" w:lineRule="auto"/>
        <w:jc w:val="both"/>
        <w:rPr>
          <w:rFonts w:ascii="Palatino Linotype" w:hAnsi="Palatino Linotype" w:cs="Arial"/>
        </w:rPr>
      </w:pPr>
    </w:p>
    <w:p w14:paraId="5FCCC417" w14:textId="77777777" w:rsidR="00C14D07" w:rsidRPr="001106D5" w:rsidRDefault="00C14D07" w:rsidP="00C14D07">
      <w:pPr>
        <w:spacing w:before="240" w:line="360" w:lineRule="auto"/>
        <w:jc w:val="both"/>
        <w:rPr>
          <w:rFonts w:ascii="Palatino Linotype" w:hAnsi="Palatino Linotype" w:cs="Arial"/>
          <w:b/>
        </w:rPr>
      </w:pPr>
      <w:r w:rsidRPr="001106D5">
        <w:rPr>
          <w:rFonts w:ascii="Palatino Linotype" w:hAnsi="Palatino Linotype" w:cs="Arial"/>
        </w:rPr>
        <w:t xml:space="preserve">De conformidad con las constancias que obran en </w:t>
      </w:r>
      <w:r>
        <w:rPr>
          <w:rFonts w:ascii="Palatino Linotype" w:hAnsi="Palatino Linotype" w:cs="Arial"/>
        </w:rPr>
        <w:t>el expediente electrónico</w:t>
      </w:r>
      <w:r w:rsidRPr="001106D5">
        <w:rPr>
          <w:rFonts w:ascii="Palatino Linotype" w:hAnsi="Palatino Linotype" w:cs="Arial"/>
        </w:rPr>
        <w:t xml:space="preserve">, se observa que el </w:t>
      </w:r>
      <w:r w:rsidRPr="001106D5">
        <w:rPr>
          <w:rFonts w:ascii="Palatino Linotype" w:hAnsi="Palatino Linotype" w:cs="Arial"/>
          <w:b/>
        </w:rPr>
        <w:t>Sujeto Obligado</w:t>
      </w:r>
      <w:r>
        <w:rPr>
          <w:rFonts w:ascii="Palatino Linotype" w:hAnsi="Palatino Linotype" w:cs="Arial"/>
        </w:rPr>
        <w:t xml:space="preserve"> dio respuesta</w:t>
      </w:r>
      <w:r w:rsidRPr="001106D5">
        <w:rPr>
          <w:rFonts w:ascii="Palatino Linotype" w:hAnsi="Palatino Linotype" w:cs="Arial"/>
        </w:rPr>
        <w:t xml:space="preserve"> por medio del sistema SAIMEX, a la solicitud de información</w:t>
      </w:r>
      <w:r w:rsidRPr="001106D5">
        <w:rPr>
          <w:rFonts w:ascii="Palatino Linotype" w:eastAsia="Palatino Linotype" w:hAnsi="Palatino Linotype" w:cs="Palatino Linotype"/>
          <w:b/>
          <w:color w:val="000000"/>
        </w:rPr>
        <w:t xml:space="preserve"> </w:t>
      </w:r>
      <w:r>
        <w:rPr>
          <w:rFonts w:ascii="Palatino Linotype" w:hAnsi="Palatino Linotype" w:cs="Arial"/>
          <w:b/>
        </w:rPr>
        <w:t>00187/MEXICAL/IP/2024</w:t>
      </w:r>
      <w:r w:rsidRPr="001106D5">
        <w:rPr>
          <w:rFonts w:ascii="Palatino Linotype" w:hAnsi="Palatino Linotype" w:cs="Arial"/>
          <w:b/>
        </w:rPr>
        <w:t xml:space="preserve">; </w:t>
      </w:r>
      <w:r>
        <w:rPr>
          <w:rFonts w:ascii="Palatino Linotype" w:hAnsi="Palatino Linotype" w:cs="Arial"/>
        </w:rPr>
        <w:t>a través de los archivos electrónicos</w:t>
      </w:r>
      <w:r w:rsidRPr="001106D5">
        <w:rPr>
          <w:rFonts w:ascii="Palatino Linotype" w:hAnsi="Palatino Linotype" w:cs="Arial"/>
          <w:b/>
        </w:rPr>
        <w:t>:</w:t>
      </w:r>
    </w:p>
    <w:p w14:paraId="4D8BA189" w14:textId="77777777" w:rsidR="00C14D07" w:rsidRDefault="00C14D07" w:rsidP="00C14D07">
      <w:pPr>
        <w:pStyle w:val="INFOEM"/>
      </w:pPr>
      <w:r>
        <w:t>“(…)</w:t>
      </w:r>
    </w:p>
    <w:p w14:paraId="00C0F64A" w14:textId="77777777" w:rsidR="006C090E" w:rsidRDefault="006C090E" w:rsidP="00C14D07">
      <w:pPr>
        <w:pStyle w:val="INFOEM"/>
        <w:rPr>
          <w:b/>
          <w:u w:val="single"/>
          <w:lang w:val="es-ES"/>
        </w:rPr>
      </w:pPr>
      <w:r w:rsidRPr="006C090E">
        <w:rPr>
          <w:lang w:val="es-ES"/>
        </w:rPr>
        <w:lastRenderedPageBreak/>
        <w:t>Para dar atención a su solicitud de información, se entrega respuesta proporcionada por la Contraloría Municipal:</w:t>
      </w:r>
      <w:r w:rsidRPr="006C090E">
        <w:rPr>
          <w:b/>
          <w:u w:val="single"/>
          <w:lang w:val="es-ES"/>
        </w:rPr>
        <w:t xml:space="preserve"> La convocatoria por la cual pregunta, aún no ha sido emitida. Puesto que deberá ser aprobada por el cabildo electo dicho que ejercerá sus atribuciones en la Administración 2025-2027.</w:t>
      </w:r>
    </w:p>
    <w:p w14:paraId="05B52F7B" w14:textId="77777777" w:rsidR="00C14D07" w:rsidRPr="00A2631F" w:rsidRDefault="00C14D07" w:rsidP="00C14D07">
      <w:pPr>
        <w:pStyle w:val="INFOEM"/>
        <w:rPr>
          <w:rFonts w:cs="Arial"/>
          <w:b/>
          <w:sz w:val="24"/>
        </w:rPr>
      </w:pPr>
      <w:r>
        <w:t xml:space="preserve"> (…)” (Sic)</w:t>
      </w:r>
    </w:p>
    <w:p w14:paraId="12EB36D0" w14:textId="77777777" w:rsidR="00C14D07" w:rsidRPr="00AA5BB2" w:rsidRDefault="00C14D07" w:rsidP="00C14D07">
      <w:pPr>
        <w:spacing w:line="360" w:lineRule="auto"/>
        <w:jc w:val="both"/>
        <w:rPr>
          <w:rFonts w:ascii="Palatino Linotype" w:hAnsi="Palatino Linotype" w:cs="Arial"/>
          <w:b/>
          <w:bCs/>
          <w:i/>
        </w:rPr>
      </w:pPr>
    </w:p>
    <w:p w14:paraId="64A28037" w14:textId="77777777" w:rsidR="00C14D07" w:rsidRDefault="00C14D07" w:rsidP="00C14D07">
      <w:pPr>
        <w:spacing w:line="360" w:lineRule="auto"/>
        <w:jc w:val="both"/>
        <w:rPr>
          <w:rFonts w:ascii="Palatino Linotype" w:hAnsi="Palatino Linotype"/>
          <w:i/>
        </w:rPr>
      </w:pPr>
      <w:r w:rsidRPr="00124BFD">
        <w:rPr>
          <w:rFonts w:ascii="Palatino Linotype" w:hAnsi="Palatino Linotype" w:cs="Arial"/>
          <w:bCs/>
        </w:rPr>
        <w:t xml:space="preserve">Es así como, derivado de la respuesta emitida por </w:t>
      </w:r>
      <w:r w:rsidRPr="00124BFD">
        <w:rPr>
          <w:rFonts w:ascii="Palatino Linotype" w:hAnsi="Palatino Linotype" w:cs="Arial"/>
          <w:b/>
          <w:bCs/>
        </w:rPr>
        <w:t>El Sujeto Obligado</w:t>
      </w:r>
      <w:r w:rsidRPr="00124BFD">
        <w:rPr>
          <w:rFonts w:ascii="Palatino Linotype" w:hAnsi="Palatino Linotype" w:cs="Arial"/>
          <w:bCs/>
        </w:rPr>
        <w:t xml:space="preserve">, </w:t>
      </w:r>
      <w:r>
        <w:rPr>
          <w:rFonts w:ascii="Palatino Linotype" w:hAnsi="Palatino Linotype" w:cs="Arial"/>
          <w:b/>
          <w:bCs/>
        </w:rPr>
        <w:t>el Recurrente</w:t>
      </w:r>
      <w:r w:rsidRPr="00124BFD">
        <w:rPr>
          <w:rFonts w:ascii="Palatino Linotype" w:hAnsi="Palatino Linotype" w:cs="Arial"/>
          <w:bCs/>
        </w:rPr>
        <w:t>, interpuso el presente recurso de revisión, señalando sustancialmente como sus razones o motivos de inconformidad, lo siguiente:</w:t>
      </w:r>
      <w:r w:rsidRPr="00124BFD" w:rsidDel="00107C3B">
        <w:rPr>
          <w:rFonts w:ascii="Palatino Linotype" w:hAnsi="Palatino Linotype"/>
          <w:b/>
          <w:i/>
        </w:rPr>
        <w:t xml:space="preserve"> </w:t>
      </w:r>
      <w:r w:rsidRPr="00124BFD">
        <w:rPr>
          <w:rFonts w:ascii="Palatino Linotype" w:hAnsi="Palatino Linotype"/>
          <w:i/>
        </w:rPr>
        <w:t>“</w:t>
      </w:r>
      <w:r w:rsidR="006C090E" w:rsidRPr="006C090E">
        <w:rPr>
          <w:rFonts w:ascii="Palatino Linotype" w:hAnsi="Palatino Linotype"/>
          <w:i/>
        </w:rPr>
        <w:t>NO CORRESPONDE LA INFORMACION RECIBIDA CON LA SOLICITADA</w:t>
      </w:r>
      <w:r>
        <w:rPr>
          <w:rFonts w:ascii="Palatino Linotype" w:hAnsi="Palatino Linotype"/>
          <w:i/>
        </w:rPr>
        <w:t>” (Sic).</w:t>
      </w:r>
    </w:p>
    <w:p w14:paraId="491DB6D2" w14:textId="77777777" w:rsidR="00C14D07" w:rsidRDefault="00C14D07" w:rsidP="00C14D07">
      <w:pPr>
        <w:spacing w:line="360" w:lineRule="auto"/>
        <w:jc w:val="both"/>
        <w:rPr>
          <w:rFonts w:ascii="Palatino Linotype" w:hAnsi="Palatino Linotype"/>
          <w:i/>
        </w:rPr>
      </w:pPr>
    </w:p>
    <w:p w14:paraId="13FB7779" w14:textId="77777777" w:rsidR="00C14D07" w:rsidRPr="00177253" w:rsidRDefault="00C14D07" w:rsidP="00C14D07">
      <w:pPr>
        <w:pBdr>
          <w:top w:val="nil"/>
          <w:left w:val="nil"/>
          <w:bottom w:val="nil"/>
          <w:right w:val="nil"/>
          <w:between w:val="nil"/>
        </w:pBdr>
        <w:spacing w:line="360" w:lineRule="auto"/>
        <w:contextualSpacing/>
        <w:jc w:val="both"/>
        <w:rPr>
          <w:rFonts w:ascii="Palatino Linotype" w:eastAsia="Calibri" w:hAnsi="Palatino Linotype" w:cs="Calibri"/>
          <w:lang w:val="es-ES_tradnl" w:eastAsia="es-MX"/>
        </w:rPr>
      </w:pPr>
      <w:r w:rsidRPr="00177253">
        <w:rPr>
          <w:rFonts w:ascii="Palatino Linotype" w:eastAsia="Calibri" w:hAnsi="Palatino Linotype" w:cs="Calibri"/>
          <w:lang w:val="es-ES_tradnl" w:eastAsia="es-MX"/>
        </w:rPr>
        <w:t>Se debe resaltar que ninguna de las partes realizó manifestaciones durante la etapa de instrucción en el presente procedimiento. En consecuencia, es necesario precisar que, toda vez que el Sujeto Obligado fue omiso de enviar el Informe Justificado ante este Órgano Garante para manifestar lo que a derecho le asistiera y conviniera en el término de los siete días hábiles otorgados, dejó de justificar las razones o motivos que lo llevaron a emitir la respuesta que ahora se impugna; no obstante, la falta de informe justificado no es óbice para que este Órgano Garante conozca y resuelva el recurso de revisión.</w:t>
      </w:r>
    </w:p>
    <w:p w14:paraId="312326FD" w14:textId="77777777" w:rsidR="00C14D07" w:rsidRDefault="00C14D07" w:rsidP="00C14D07">
      <w:pPr>
        <w:rPr>
          <w:rFonts w:ascii="Palatino Linotype" w:eastAsia="Calibri" w:hAnsi="Palatino Linotype" w:cs="Calibri"/>
          <w:lang w:val="es-ES_tradnl" w:eastAsia="es-MX"/>
        </w:rPr>
      </w:pPr>
    </w:p>
    <w:p w14:paraId="2C9B7D12" w14:textId="77777777" w:rsidR="007D638B" w:rsidRDefault="007D638B" w:rsidP="007D638B">
      <w:pPr>
        <w:spacing w:line="360" w:lineRule="auto"/>
        <w:ind w:right="214"/>
        <w:jc w:val="both"/>
        <w:rPr>
          <w:rFonts w:ascii="Palatino Linotype" w:hAnsi="Palatino Linotype"/>
        </w:rPr>
      </w:pPr>
      <w:r>
        <w:rPr>
          <w:rFonts w:ascii="Palatino Linotype" w:hAnsi="Palatino Linotype"/>
        </w:rPr>
        <w:t>En ese orden de ideas, el Bando Municipal de Mexicaltzingo</w:t>
      </w:r>
      <w:r w:rsidRPr="00112C93">
        <w:rPr>
          <w:rFonts w:ascii="Palatino Linotype" w:hAnsi="Palatino Linotype"/>
        </w:rPr>
        <w:t xml:space="preserve">, </w:t>
      </w:r>
      <w:r>
        <w:rPr>
          <w:rFonts w:ascii="Palatino Linotype" w:hAnsi="Palatino Linotype"/>
        </w:rPr>
        <w:t>establece la forma en que se integra la Contraloría Municipal, tal como se cita:</w:t>
      </w:r>
    </w:p>
    <w:p w14:paraId="6419E81D" w14:textId="77777777" w:rsidR="007D638B" w:rsidRPr="00112C93" w:rsidRDefault="007D638B" w:rsidP="007D638B">
      <w:pPr>
        <w:spacing w:line="360" w:lineRule="auto"/>
        <w:ind w:right="214"/>
        <w:jc w:val="center"/>
        <w:rPr>
          <w:rFonts w:ascii="Palatino Linotype" w:hAnsi="Palatino Linotype"/>
        </w:rPr>
      </w:pPr>
    </w:p>
    <w:p w14:paraId="50EA92CD" w14:textId="77777777" w:rsidR="007D638B" w:rsidRPr="007D7317" w:rsidRDefault="007D638B" w:rsidP="007D638B">
      <w:pPr>
        <w:spacing w:before="240" w:after="240" w:line="276" w:lineRule="auto"/>
        <w:ind w:left="567" w:right="900"/>
        <w:jc w:val="both"/>
        <w:rPr>
          <w:rFonts w:ascii="Palatino Linotype" w:eastAsia="Palatino Linotype" w:hAnsi="Palatino Linotype" w:cs="Palatino Linotype"/>
          <w:b/>
          <w:i/>
          <w:sz w:val="22"/>
          <w:szCs w:val="22"/>
        </w:rPr>
      </w:pPr>
      <w:r>
        <w:rPr>
          <w:rFonts w:ascii="Palatino Linotype" w:eastAsia="Palatino Linotype" w:hAnsi="Palatino Linotype" w:cs="Palatino Linotype"/>
          <w:i/>
          <w:sz w:val="22"/>
          <w:szCs w:val="22"/>
        </w:rPr>
        <w:lastRenderedPageBreak/>
        <w:t>“</w:t>
      </w:r>
      <w:r w:rsidRPr="007D7317">
        <w:rPr>
          <w:rFonts w:ascii="Palatino Linotype" w:eastAsia="Palatino Linotype" w:hAnsi="Palatino Linotype" w:cs="Palatino Linotype"/>
          <w:b/>
          <w:i/>
          <w:sz w:val="22"/>
          <w:szCs w:val="22"/>
        </w:rPr>
        <w:t xml:space="preserve">Artículo 88.- La Contraloría Municipal contará con un titular denominado Contralor Interno Municipal, el cual será designado por el Ayuntamiento a propuesta de la Presidenta Municipal. </w:t>
      </w:r>
    </w:p>
    <w:p w14:paraId="520E9C63" w14:textId="77777777" w:rsidR="007D638B" w:rsidRDefault="007D638B" w:rsidP="007D638B">
      <w:pPr>
        <w:spacing w:before="240" w:after="240" w:line="276" w:lineRule="auto"/>
        <w:ind w:left="567" w:right="900"/>
        <w:jc w:val="both"/>
        <w:rPr>
          <w:rFonts w:ascii="Palatino Linotype" w:eastAsia="Palatino Linotype" w:hAnsi="Palatino Linotype" w:cs="Palatino Linotype"/>
          <w:i/>
          <w:sz w:val="22"/>
          <w:szCs w:val="22"/>
        </w:rPr>
      </w:pPr>
      <w:r w:rsidRPr="007D7317">
        <w:rPr>
          <w:rFonts w:ascii="Palatino Linotype" w:eastAsia="Palatino Linotype" w:hAnsi="Palatino Linotype" w:cs="Palatino Linotype"/>
          <w:b/>
          <w:i/>
          <w:sz w:val="22"/>
          <w:szCs w:val="22"/>
        </w:rPr>
        <w:t>Artículo 89.- El Contralor Interno Municipal</w:t>
      </w:r>
      <w:r w:rsidRPr="007D7317">
        <w:rPr>
          <w:rFonts w:ascii="Palatino Linotype" w:eastAsia="Palatino Linotype" w:hAnsi="Palatino Linotype" w:cs="Palatino Linotype"/>
          <w:i/>
          <w:sz w:val="22"/>
          <w:szCs w:val="22"/>
        </w:rPr>
        <w:t>, establecerá y ejecutará los sistemas de control y fiscalización, vigilará que la administración de la Hacienda Pública Municipal y las acciones de los servidores públicos se conduzcan en cumplimiento a las disposiciones legales vigentes aplicables; así mismo, planeará y programará el sistema de control y evaluación de la gestión pública municipal; establecerá las bases generales para la realización de auditorías, inspecciones y supervisiones, además de vigilar el cumplimiento de las obligaciones de proveedores y contratistas de la Administración Pública Municipal, independientemente de las demás atribuciones que le señale el artículo 112 de la Ley Orgánica Municipal y demás disposiciones legales vigentes aplicables</w:t>
      </w:r>
      <w:r>
        <w:rPr>
          <w:rFonts w:ascii="Palatino Linotype" w:eastAsia="Palatino Linotype" w:hAnsi="Palatino Linotype" w:cs="Palatino Linotype"/>
          <w:i/>
          <w:sz w:val="22"/>
          <w:szCs w:val="22"/>
        </w:rPr>
        <w:t>.</w:t>
      </w:r>
    </w:p>
    <w:p w14:paraId="15925A9C" w14:textId="77777777" w:rsidR="007D638B" w:rsidRDefault="007D638B" w:rsidP="007D638B">
      <w:pPr>
        <w:spacing w:before="240" w:after="240" w:line="276" w:lineRule="auto"/>
        <w:ind w:left="567" w:right="900"/>
        <w:jc w:val="both"/>
        <w:rPr>
          <w:rFonts w:ascii="Palatino Linotype" w:eastAsia="Palatino Linotype" w:hAnsi="Palatino Linotype" w:cs="Palatino Linotype"/>
          <w:i/>
          <w:sz w:val="22"/>
          <w:szCs w:val="22"/>
        </w:rPr>
      </w:pPr>
      <w:r w:rsidRPr="00037F2B">
        <w:rPr>
          <w:rFonts w:ascii="Palatino Linotype" w:eastAsia="Palatino Linotype" w:hAnsi="Palatino Linotype" w:cs="Palatino Linotype"/>
          <w:i/>
          <w:sz w:val="22"/>
          <w:szCs w:val="22"/>
        </w:rPr>
        <w:t xml:space="preserve">Artículo 90.- La Contraloría Municipal se encontrará conformada por: </w:t>
      </w:r>
    </w:p>
    <w:p w14:paraId="2AAAC194" w14:textId="77777777" w:rsidR="007D638B" w:rsidRDefault="007D638B" w:rsidP="007D638B">
      <w:pPr>
        <w:spacing w:before="240" w:after="240" w:line="276" w:lineRule="auto"/>
        <w:ind w:left="567" w:right="900"/>
        <w:jc w:val="both"/>
        <w:rPr>
          <w:rFonts w:ascii="Palatino Linotype" w:eastAsia="Palatino Linotype" w:hAnsi="Palatino Linotype" w:cs="Palatino Linotype"/>
          <w:i/>
          <w:sz w:val="22"/>
          <w:szCs w:val="22"/>
        </w:rPr>
      </w:pPr>
      <w:r w:rsidRPr="00425592">
        <w:rPr>
          <w:rFonts w:ascii="Palatino Linotype" w:eastAsia="Palatino Linotype" w:hAnsi="Palatino Linotype" w:cs="Palatino Linotype"/>
          <w:b/>
          <w:i/>
          <w:sz w:val="22"/>
          <w:szCs w:val="22"/>
        </w:rPr>
        <w:t>a) Autoridad Investigadora:</w:t>
      </w:r>
      <w:r w:rsidRPr="00037F2B">
        <w:rPr>
          <w:rFonts w:ascii="Palatino Linotype" w:eastAsia="Palatino Linotype" w:hAnsi="Palatino Linotype" w:cs="Palatino Linotype"/>
          <w:i/>
          <w:sz w:val="22"/>
          <w:szCs w:val="22"/>
        </w:rPr>
        <w:t xml:space="preserve"> quien será la encargada de la investigación de las faltas administrativas graves y no graves, quien para el cumplimiento de sus requerimientos y sus determinaciones podrá emplear las siguientes medidas de apremio (multa de 100 a 150 veces el valor diario de la unidad de medida y actualización, la cual podrá duplicarse o triplicarse en cada ocasión hasta alcanzar 200 veces el valor diario de la unidad de medida o actualización, solicitar el auxilio de la fuerza pública a cualquier orden de gobierno, arresto hasta por 36 horas); derivado de las atribuciones con las que cuenta la autoridad investigadora. En el </w:t>
      </w:r>
      <w:proofErr w:type="spellStart"/>
      <w:r w:rsidRPr="00037F2B">
        <w:rPr>
          <w:rFonts w:ascii="Palatino Linotype" w:eastAsia="Palatino Linotype" w:hAnsi="Palatino Linotype" w:cs="Palatino Linotype"/>
          <w:i/>
          <w:sz w:val="22"/>
          <w:szCs w:val="22"/>
        </w:rPr>
        <w:t>articulo</w:t>
      </w:r>
      <w:proofErr w:type="spellEnd"/>
      <w:r w:rsidRPr="00037F2B">
        <w:rPr>
          <w:rFonts w:ascii="Palatino Linotype" w:eastAsia="Palatino Linotype" w:hAnsi="Palatino Linotype" w:cs="Palatino Linotype"/>
          <w:i/>
          <w:sz w:val="22"/>
          <w:szCs w:val="22"/>
        </w:rPr>
        <w:t xml:space="preserve"> 101 de la Ley de Responsabilidades Administrativas del Estado de México y Municipios.</w:t>
      </w:r>
    </w:p>
    <w:p w14:paraId="73D1195D" w14:textId="77777777" w:rsidR="007D638B" w:rsidRDefault="007D638B" w:rsidP="007D638B">
      <w:pPr>
        <w:spacing w:before="240" w:after="240" w:line="276" w:lineRule="auto"/>
        <w:ind w:left="567" w:right="900"/>
        <w:jc w:val="both"/>
        <w:rPr>
          <w:rFonts w:ascii="Palatino Linotype" w:eastAsia="Palatino Linotype" w:hAnsi="Palatino Linotype" w:cs="Palatino Linotype"/>
          <w:i/>
          <w:sz w:val="22"/>
          <w:szCs w:val="22"/>
        </w:rPr>
      </w:pPr>
      <w:r w:rsidRPr="00425592">
        <w:rPr>
          <w:rFonts w:ascii="Palatino Linotype" w:eastAsia="Palatino Linotype" w:hAnsi="Palatino Linotype" w:cs="Palatino Linotype"/>
          <w:b/>
          <w:i/>
          <w:sz w:val="22"/>
          <w:szCs w:val="22"/>
        </w:rPr>
        <w:t>b) Autoridad Substanciadora:</w:t>
      </w:r>
      <w:r w:rsidRPr="00037F2B">
        <w:rPr>
          <w:rFonts w:ascii="Palatino Linotype" w:eastAsia="Palatino Linotype" w:hAnsi="Palatino Linotype" w:cs="Palatino Linotype"/>
          <w:i/>
          <w:sz w:val="22"/>
          <w:szCs w:val="22"/>
        </w:rPr>
        <w:t xml:space="preserve"> que será en el ámbito de su competencia, la que dirija y conduzca el procedimiento de responsabilidades administrativas desde la admisión del informe de presunta responsabilidad administrativa y hasta la conclusión de la audiencia inicial. Su función en ningún caso podrá ser ejercida por una autoridad investigadora; y </w:t>
      </w:r>
    </w:p>
    <w:p w14:paraId="37C6F361" w14:textId="77777777" w:rsidR="007D638B" w:rsidRDefault="007D638B" w:rsidP="007D638B">
      <w:pPr>
        <w:spacing w:before="240" w:after="240" w:line="276" w:lineRule="auto"/>
        <w:ind w:left="567" w:right="900"/>
        <w:jc w:val="both"/>
        <w:rPr>
          <w:rFonts w:ascii="Palatino Linotype" w:eastAsia="Palatino Linotype" w:hAnsi="Palatino Linotype" w:cs="Palatino Linotype"/>
          <w:i/>
          <w:sz w:val="22"/>
          <w:szCs w:val="22"/>
        </w:rPr>
      </w:pPr>
      <w:r w:rsidRPr="00425592">
        <w:rPr>
          <w:rFonts w:ascii="Palatino Linotype" w:eastAsia="Palatino Linotype" w:hAnsi="Palatino Linotype" w:cs="Palatino Linotype"/>
          <w:b/>
          <w:i/>
          <w:sz w:val="22"/>
          <w:szCs w:val="22"/>
        </w:rPr>
        <w:t>c) Autoridad Resolutora:</w:t>
      </w:r>
      <w:r w:rsidRPr="00037F2B">
        <w:rPr>
          <w:rFonts w:ascii="Palatino Linotype" w:eastAsia="Palatino Linotype" w:hAnsi="Palatino Linotype" w:cs="Palatino Linotype"/>
          <w:i/>
          <w:sz w:val="22"/>
          <w:szCs w:val="22"/>
        </w:rPr>
        <w:t xml:space="preserve"> unidad de responsabilidades administrativas adscrita a la Secretaría de la Contraloría y a los órganos internos de control o al servidor público que éstos últimos asignen, así como la de las empresas de participación estatal y municipal, tratándose de faltas administrativas no graves. En el supuesto de faltas administrativas </w:t>
      </w:r>
      <w:r w:rsidRPr="00037F2B">
        <w:rPr>
          <w:rFonts w:ascii="Palatino Linotype" w:eastAsia="Palatino Linotype" w:hAnsi="Palatino Linotype" w:cs="Palatino Linotype"/>
          <w:i/>
          <w:sz w:val="22"/>
          <w:szCs w:val="22"/>
        </w:rPr>
        <w:lastRenderedPageBreak/>
        <w:t xml:space="preserve">graves, así como para las faltas de particulares lo será el Tribunal de Justicia Administrativa. </w:t>
      </w:r>
    </w:p>
    <w:p w14:paraId="6673ADF9" w14:textId="77777777" w:rsidR="007D638B" w:rsidRDefault="007D638B" w:rsidP="007D638B">
      <w:pPr>
        <w:spacing w:before="240" w:after="240" w:line="276" w:lineRule="auto"/>
        <w:ind w:left="567" w:right="900"/>
        <w:jc w:val="both"/>
        <w:rPr>
          <w:rFonts w:ascii="Palatino Linotype" w:eastAsia="Palatino Linotype" w:hAnsi="Palatino Linotype" w:cs="Palatino Linotype"/>
          <w:i/>
          <w:sz w:val="22"/>
          <w:szCs w:val="22"/>
        </w:rPr>
      </w:pPr>
      <w:r w:rsidRPr="00037F2B">
        <w:rPr>
          <w:rFonts w:ascii="Palatino Linotype" w:eastAsia="Palatino Linotype" w:hAnsi="Palatino Linotype" w:cs="Palatino Linotype"/>
          <w:i/>
          <w:sz w:val="22"/>
          <w:szCs w:val="22"/>
        </w:rPr>
        <w:t>Artículo 91.- La Autoridad Investigadora, Substanciadora y Resolutora aludidas, serán designadas por la Presidenta Municipal mediante la expedición del nombramiento respectivo, derivado de la potestad otorgada a ésta por el artículo 128 fracción VIII, de la Constitución Local.</w:t>
      </w:r>
      <w:r>
        <w:rPr>
          <w:rFonts w:ascii="Palatino Linotype" w:eastAsia="Palatino Linotype" w:hAnsi="Palatino Linotype" w:cs="Palatino Linotype"/>
          <w:i/>
          <w:sz w:val="22"/>
          <w:szCs w:val="22"/>
        </w:rPr>
        <w:t xml:space="preserve">” </w:t>
      </w:r>
    </w:p>
    <w:p w14:paraId="7EE60C36" w14:textId="77777777" w:rsidR="004B5625" w:rsidRPr="004B5625" w:rsidRDefault="004B5625" w:rsidP="004B5625">
      <w:pPr>
        <w:pStyle w:val="Citas"/>
        <w:ind w:left="0"/>
        <w:rPr>
          <w:bCs/>
        </w:rPr>
      </w:pPr>
    </w:p>
    <w:p w14:paraId="5A6F5CE4" w14:textId="77777777" w:rsidR="004B6067" w:rsidRPr="009E28D6" w:rsidRDefault="004B6067" w:rsidP="00C14D07">
      <w:pPr>
        <w:pBdr>
          <w:top w:val="nil"/>
          <w:left w:val="nil"/>
          <w:bottom w:val="nil"/>
          <w:right w:val="nil"/>
          <w:between w:val="nil"/>
        </w:pBdr>
        <w:spacing w:line="360" w:lineRule="auto"/>
        <w:contextualSpacing/>
        <w:jc w:val="both"/>
        <w:rPr>
          <w:rFonts w:ascii="Palatino Linotype" w:eastAsia="Palatino Linotype" w:hAnsi="Palatino Linotype" w:cs="Palatino Linotype"/>
          <w:color w:val="000000"/>
          <w:highlight w:val="yellow"/>
          <w:lang w:val="es-ES_tradnl" w:eastAsia="es-MX"/>
        </w:rPr>
      </w:pPr>
      <w:r w:rsidRPr="009E28D6">
        <w:rPr>
          <w:rFonts w:ascii="Palatino Linotype" w:eastAsia="Palatino Linotype" w:hAnsi="Palatino Linotype" w:cs="Palatino Linotype"/>
          <w:color w:val="000000"/>
          <w:highlight w:val="yellow"/>
          <w:lang w:val="es-ES_tradnl" w:eastAsia="es-MX"/>
        </w:rPr>
        <w:t>Por otro lado, de acuerdo a la información que obra en el IPOMEX se tiene que</w:t>
      </w:r>
      <w:r w:rsidR="009E28D6" w:rsidRPr="009E28D6">
        <w:rPr>
          <w:rFonts w:ascii="Palatino Linotype" w:eastAsia="Palatino Linotype" w:hAnsi="Palatino Linotype" w:cs="Palatino Linotype"/>
          <w:color w:val="000000"/>
          <w:highlight w:val="yellow"/>
          <w:lang w:val="es-ES_tradnl" w:eastAsia="es-MX"/>
        </w:rPr>
        <w:t xml:space="preserve"> desde el primero de enero de dos mil veintidós se nombró al Contralor Municipal, aunado a ello, es el mismo servidor público que dio respuesta, tal como se ilustra:</w:t>
      </w:r>
    </w:p>
    <w:p w14:paraId="7D4B789B" w14:textId="77777777" w:rsidR="009E28D6" w:rsidRPr="009E28D6" w:rsidRDefault="009E28D6" w:rsidP="009E28D6">
      <w:pPr>
        <w:pBdr>
          <w:top w:val="nil"/>
          <w:left w:val="nil"/>
          <w:bottom w:val="nil"/>
          <w:right w:val="nil"/>
          <w:between w:val="nil"/>
        </w:pBdr>
        <w:spacing w:line="360" w:lineRule="auto"/>
        <w:contextualSpacing/>
        <w:jc w:val="center"/>
        <w:rPr>
          <w:rFonts w:ascii="Palatino Linotype" w:eastAsia="Palatino Linotype" w:hAnsi="Palatino Linotype" w:cs="Palatino Linotype"/>
          <w:color w:val="000000"/>
          <w:highlight w:val="yellow"/>
          <w:lang w:val="es-ES_tradnl" w:eastAsia="es-MX"/>
        </w:rPr>
      </w:pPr>
      <w:r w:rsidRPr="009E28D6">
        <w:rPr>
          <w:rFonts w:ascii="Palatino Linotype" w:eastAsia="Palatino Linotype" w:hAnsi="Palatino Linotype" w:cs="Palatino Linotype"/>
          <w:noProof/>
          <w:color w:val="000000"/>
          <w:highlight w:val="yellow"/>
          <w:lang w:val="es-MX" w:eastAsia="es-MX"/>
        </w:rPr>
        <w:drawing>
          <wp:inline distT="0" distB="0" distL="0" distR="0" wp14:anchorId="7FC9654A" wp14:editId="6C3FCC94">
            <wp:extent cx="4706007" cy="89547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9285D68.tmp"/>
                    <pic:cNvPicPr/>
                  </pic:nvPicPr>
                  <pic:blipFill>
                    <a:blip r:embed="rId7">
                      <a:extLst>
                        <a:ext uri="{28A0092B-C50C-407E-A947-70E740481C1C}">
                          <a14:useLocalDpi xmlns:a14="http://schemas.microsoft.com/office/drawing/2010/main" val="0"/>
                        </a:ext>
                      </a:extLst>
                    </a:blip>
                    <a:stretch>
                      <a:fillRect/>
                    </a:stretch>
                  </pic:blipFill>
                  <pic:spPr>
                    <a:xfrm>
                      <a:off x="0" y="0"/>
                      <a:ext cx="4706007" cy="895475"/>
                    </a:xfrm>
                    <a:prstGeom prst="rect">
                      <a:avLst/>
                    </a:prstGeom>
                  </pic:spPr>
                </pic:pic>
              </a:graphicData>
            </a:graphic>
          </wp:inline>
        </w:drawing>
      </w:r>
    </w:p>
    <w:p w14:paraId="535ED415" w14:textId="77777777" w:rsidR="009E28D6" w:rsidRPr="009E28D6" w:rsidRDefault="009E28D6" w:rsidP="009E28D6">
      <w:pPr>
        <w:pBdr>
          <w:top w:val="nil"/>
          <w:left w:val="nil"/>
          <w:bottom w:val="nil"/>
          <w:right w:val="nil"/>
          <w:between w:val="nil"/>
        </w:pBdr>
        <w:spacing w:line="360" w:lineRule="auto"/>
        <w:contextualSpacing/>
        <w:jc w:val="center"/>
        <w:rPr>
          <w:rFonts w:ascii="Palatino Linotype" w:eastAsia="Palatino Linotype" w:hAnsi="Palatino Linotype" w:cs="Palatino Linotype"/>
          <w:color w:val="000000"/>
          <w:highlight w:val="yellow"/>
          <w:lang w:val="es-ES_tradnl" w:eastAsia="es-MX"/>
        </w:rPr>
      </w:pPr>
    </w:p>
    <w:p w14:paraId="77FB1A8B" w14:textId="77777777" w:rsidR="009E28D6" w:rsidRDefault="009E28D6" w:rsidP="009E28D6">
      <w:pPr>
        <w:pBdr>
          <w:top w:val="nil"/>
          <w:left w:val="nil"/>
          <w:bottom w:val="nil"/>
          <w:right w:val="nil"/>
          <w:between w:val="nil"/>
        </w:pBdr>
        <w:spacing w:line="360" w:lineRule="auto"/>
        <w:contextualSpacing/>
        <w:jc w:val="center"/>
        <w:rPr>
          <w:rFonts w:ascii="Palatino Linotype" w:eastAsia="Palatino Linotype" w:hAnsi="Palatino Linotype" w:cs="Palatino Linotype"/>
          <w:color w:val="000000"/>
          <w:lang w:val="es-ES_tradnl" w:eastAsia="es-MX"/>
        </w:rPr>
      </w:pPr>
      <w:r w:rsidRPr="009E28D6">
        <w:rPr>
          <w:rFonts w:ascii="Palatino Linotype" w:eastAsia="Palatino Linotype" w:hAnsi="Palatino Linotype" w:cs="Palatino Linotype"/>
          <w:noProof/>
          <w:color w:val="000000"/>
          <w:highlight w:val="yellow"/>
          <w:lang w:val="es-MX" w:eastAsia="es-MX"/>
        </w:rPr>
        <w:drawing>
          <wp:inline distT="0" distB="0" distL="0" distR="0" wp14:anchorId="66983DFA" wp14:editId="798E9588">
            <wp:extent cx="5791835" cy="393700"/>
            <wp:effectExtent l="0" t="0" r="0" b="635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880986" cy="399760"/>
                    </a:xfrm>
                    <a:prstGeom prst="rect">
                      <a:avLst/>
                    </a:prstGeom>
                  </pic:spPr>
                </pic:pic>
              </a:graphicData>
            </a:graphic>
          </wp:inline>
        </w:drawing>
      </w:r>
    </w:p>
    <w:p w14:paraId="77363C6E" w14:textId="77777777" w:rsidR="009E28D6" w:rsidRDefault="009E28D6" w:rsidP="009E28D6">
      <w:pPr>
        <w:pBdr>
          <w:top w:val="nil"/>
          <w:left w:val="nil"/>
          <w:bottom w:val="nil"/>
          <w:right w:val="nil"/>
          <w:between w:val="nil"/>
        </w:pBdr>
        <w:spacing w:line="360" w:lineRule="auto"/>
        <w:contextualSpacing/>
        <w:jc w:val="center"/>
        <w:rPr>
          <w:rFonts w:ascii="Palatino Linotype" w:eastAsia="Palatino Linotype" w:hAnsi="Palatino Linotype" w:cs="Palatino Linotype"/>
          <w:color w:val="000000"/>
          <w:lang w:val="es-ES_tradnl" w:eastAsia="es-MX"/>
        </w:rPr>
      </w:pPr>
    </w:p>
    <w:p w14:paraId="76B94490" w14:textId="77777777" w:rsidR="00C14D07" w:rsidRPr="00177253" w:rsidRDefault="00C14D07" w:rsidP="00C14D07">
      <w:pPr>
        <w:pBdr>
          <w:top w:val="nil"/>
          <w:left w:val="nil"/>
          <w:bottom w:val="nil"/>
          <w:right w:val="nil"/>
          <w:between w:val="nil"/>
        </w:pBdr>
        <w:spacing w:line="360" w:lineRule="auto"/>
        <w:contextualSpacing/>
        <w:jc w:val="both"/>
        <w:rPr>
          <w:rFonts w:ascii="Palatino Linotype" w:eastAsia="Palatino Linotype" w:hAnsi="Palatino Linotype" w:cs="Palatino Linotype"/>
          <w:color w:val="000000"/>
          <w:lang w:val="es-ES_tradnl" w:eastAsia="es-MX"/>
        </w:rPr>
      </w:pPr>
      <w:r w:rsidRPr="00CD225B">
        <w:rPr>
          <w:rFonts w:ascii="Palatino Linotype" w:eastAsia="Palatino Linotype" w:hAnsi="Palatino Linotype" w:cs="Palatino Linotype"/>
          <w:color w:val="000000"/>
          <w:lang w:val="es-ES_tradnl" w:eastAsia="es-MX"/>
        </w:rPr>
        <w:t>Ahora bien, quedando establecido lo anterior, este Órgano Garante considera viable realizar el estudio en aras de establecer si la respuesta del Sujeto Obligado colma la pretensión del Recurrente, así como calificar los motivos de inconformidad del particular.</w:t>
      </w:r>
      <w:r w:rsidRPr="00177253">
        <w:rPr>
          <w:rFonts w:ascii="Palatino Linotype" w:eastAsia="Palatino Linotype" w:hAnsi="Palatino Linotype" w:cs="Palatino Linotype"/>
          <w:color w:val="000000"/>
          <w:lang w:val="es-ES_tradnl" w:eastAsia="es-MX"/>
        </w:rPr>
        <w:t xml:space="preserve"> </w:t>
      </w:r>
    </w:p>
    <w:p w14:paraId="3C884B36" w14:textId="77777777" w:rsidR="00C14D07" w:rsidRDefault="00C14D07" w:rsidP="00C14D07">
      <w:pPr>
        <w:spacing w:line="360" w:lineRule="auto"/>
        <w:jc w:val="both"/>
        <w:rPr>
          <w:rFonts w:ascii="Palatino Linotype" w:hAnsi="Palatino Linotype"/>
          <w:color w:val="000000"/>
        </w:rPr>
      </w:pPr>
    </w:p>
    <w:tbl>
      <w:tblPr>
        <w:tblStyle w:val="Tablaconcuadrcula"/>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3014"/>
        <w:gridCol w:w="4201"/>
        <w:gridCol w:w="1829"/>
      </w:tblGrid>
      <w:tr w:rsidR="00C14D07" w14:paraId="052F37F4" w14:textId="77777777" w:rsidTr="007D7317">
        <w:trPr>
          <w:trHeight w:val="828"/>
        </w:trPr>
        <w:tc>
          <w:tcPr>
            <w:tcW w:w="3014" w:type="dxa"/>
            <w:shd w:val="clear" w:color="auto" w:fill="E7E6E6" w:themeFill="background2"/>
          </w:tcPr>
          <w:p w14:paraId="53BA3D0B" w14:textId="77777777" w:rsidR="00C14D07" w:rsidRPr="00B94808" w:rsidRDefault="00C14D07" w:rsidP="007D7317">
            <w:pPr>
              <w:spacing w:line="360" w:lineRule="auto"/>
              <w:jc w:val="center"/>
              <w:rPr>
                <w:rFonts w:ascii="Palatino Linotype" w:hAnsi="Palatino Linotype"/>
                <w:b/>
                <w:i/>
                <w:color w:val="000000"/>
              </w:rPr>
            </w:pPr>
            <w:r w:rsidRPr="00B94808">
              <w:rPr>
                <w:rFonts w:ascii="Palatino Linotype" w:hAnsi="Palatino Linotype"/>
                <w:b/>
                <w:i/>
                <w:color w:val="000000"/>
              </w:rPr>
              <w:t>Requerimientos</w:t>
            </w:r>
          </w:p>
        </w:tc>
        <w:tc>
          <w:tcPr>
            <w:tcW w:w="4201" w:type="dxa"/>
            <w:shd w:val="clear" w:color="auto" w:fill="E7E6E6" w:themeFill="background2"/>
          </w:tcPr>
          <w:p w14:paraId="2AC4B473" w14:textId="77777777" w:rsidR="00C14D07" w:rsidRPr="00B94808" w:rsidRDefault="00C14D07" w:rsidP="007D7317">
            <w:pPr>
              <w:spacing w:line="360" w:lineRule="auto"/>
              <w:jc w:val="center"/>
              <w:rPr>
                <w:rFonts w:ascii="Palatino Linotype" w:hAnsi="Palatino Linotype"/>
                <w:b/>
                <w:i/>
                <w:color w:val="000000"/>
              </w:rPr>
            </w:pPr>
            <w:r w:rsidRPr="00B94808">
              <w:rPr>
                <w:rFonts w:ascii="Palatino Linotype" w:hAnsi="Palatino Linotype"/>
                <w:b/>
                <w:i/>
                <w:color w:val="000000"/>
              </w:rPr>
              <w:t>Respuesta</w:t>
            </w:r>
          </w:p>
        </w:tc>
        <w:tc>
          <w:tcPr>
            <w:tcW w:w="1829" w:type="dxa"/>
            <w:shd w:val="clear" w:color="auto" w:fill="E7E6E6" w:themeFill="background2"/>
          </w:tcPr>
          <w:p w14:paraId="574B775E" w14:textId="77777777" w:rsidR="00C14D07" w:rsidRPr="00B94808" w:rsidRDefault="00C14D07" w:rsidP="007D7317">
            <w:pPr>
              <w:spacing w:line="360" w:lineRule="auto"/>
              <w:jc w:val="center"/>
              <w:rPr>
                <w:rFonts w:ascii="Palatino Linotype" w:hAnsi="Palatino Linotype"/>
                <w:b/>
                <w:i/>
                <w:color w:val="000000"/>
              </w:rPr>
            </w:pPr>
            <w:r w:rsidRPr="00B94808">
              <w:rPr>
                <w:rFonts w:ascii="Palatino Linotype" w:hAnsi="Palatino Linotype"/>
                <w:b/>
                <w:i/>
                <w:color w:val="000000"/>
              </w:rPr>
              <w:t>Colma</w:t>
            </w:r>
          </w:p>
        </w:tc>
      </w:tr>
      <w:tr w:rsidR="009463E5" w:rsidRPr="00C73DD1" w14:paraId="256B4615" w14:textId="77777777" w:rsidTr="007D7317">
        <w:trPr>
          <w:trHeight w:val="1044"/>
        </w:trPr>
        <w:tc>
          <w:tcPr>
            <w:tcW w:w="3014" w:type="dxa"/>
          </w:tcPr>
          <w:p w14:paraId="7F824734" w14:textId="77777777" w:rsidR="009463E5" w:rsidRPr="00CD225B" w:rsidRDefault="009463E5" w:rsidP="007D7317">
            <w:pPr>
              <w:jc w:val="both"/>
              <w:rPr>
                <w:rFonts w:ascii="Palatino Linotype" w:hAnsi="Palatino Linotype" w:cs="Tahoma"/>
                <w:i/>
                <w:sz w:val="22"/>
              </w:rPr>
            </w:pPr>
            <w:r>
              <w:rPr>
                <w:rFonts w:ascii="Palatino Linotype" w:hAnsi="Palatino Linotype" w:cs="Tahoma"/>
                <w:bCs/>
              </w:rPr>
              <w:lastRenderedPageBreak/>
              <w:t xml:space="preserve">En formato </w:t>
            </w:r>
            <w:proofErr w:type="spellStart"/>
            <w:r>
              <w:rPr>
                <w:rFonts w:ascii="Palatino Linotype" w:hAnsi="Palatino Linotype" w:cs="Tahoma"/>
                <w:bCs/>
              </w:rPr>
              <w:t>pdf</w:t>
            </w:r>
            <w:proofErr w:type="spellEnd"/>
            <w:r>
              <w:rPr>
                <w:rFonts w:ascii="Palatino Linotype" w:hAnsi="Palatino Linotype" w:cs="Tahoma"/>
                <w:bCs/>
              </w:rPr>
              <w:t xml:space="preserve"> la convocatoria para elegir al Contralor Municipal</w:t>
            </w:r>
          </w:p>
        </w:tc>
        <w:tc>
          <w:tcPr>
            <w:tcW w:w="4201" w:type="dxa"/>
            <w:vMerge w:val="restart"/>
          </w:tcPr>
          <w:p w14:paraId="43F2A59A" w14:textId="77777777" w:rsidR="009463E5" w:rsidRPr="00CD225B" w:rsidRDefault="009463E5" w:rsidP="007D7317">
            <w:pPr>
              <w:pStyle w:val="INFOEM"/>
              <w:ind w:left="0" w:right="0"/>
              <w:rPr>
                <w:lang w:val="es-ES"/>
              </w:rPr>
            </w:pPr>
            <w:r w:rsidRPr="009463E5">
              <w:rPr>
                <w:lang w:val="es-ES"/>
              </w:rPr>
              <w:t>La convocatoria por la cual pregunta, aún no ha sido emitida. Puesto que deberá ser aprobada por el cabildo electo dicho que ejercerá sus atribuciones en la Administración 2025-2027</w:t>
            </w:r>
          </w:p>
        </w:tc>
        <w:tc>
          <w:tcPr>
            <w:tcW w:w="1829" w:type="dxa"/>
            <w:vMerge w:val="restart"/>
          </w:tcPr>
          <w:p w14:paraId="4EC7EDC5" w14:textId="77777777" w:rsidR="009463E5" w:rsidRDefault="004B6067" w:rsidP="007D7317">
            <w:pPr>
              <w:jc w:val="center"/>
              <w:rPr>
                <w:rFonts w:ascii="Palatino Linotype" w:hAnsi="Palatino Linotype"/>
                <w:b/>
                <w:i/>
                <w:color w:val="000000"/>
              </w:rPr>
            </w:pPr>
            <w:r>
              <w:rPr>
                <w:rFonts w:ascii="Palatino Linotype" w:hAnsi="Palatino Linotype"/>
                <w:b/>
                <w:i/>
                <w:color w:val="000000"/>
              </w:rPr>
              <w:t>Sí</w:t>
            </w:r>
          </w:p>
          <w:p w14:paraId="66F97CD3" w14:textId="77777777" w:rsidR="004B6067" w:rsidRDefault="004B6067" w:rsidP="007D7317">
            <w:pPr>
              <w:jc w:val="center"/>
              <w:rPr>
                <w:rFonts w:ascii="Palatino Linotype" w:hAnsi="Palatino Linotype"/>
                <w:b/>
                <w:i/>
                <w:color w:val="000000"/>
              </w:rPr>
            </w:pPr>
          </w:p>
          <w:p w14:paraId="0C3697D4" w14:textId="77777777" w:rsidR="004B6067" w:rsidRPr="009463E5" w:rsidRDefault="004B6067" w:rsidP="007D7317">
            <w:pPr>
              <w:jc w:val="center"/>
              <w:rPr>
                <w:rFonts w:ascii="Palatino Linotype" w:hAnsi="Palatino Linotype"/>
                <w:i/>
                <w:color w:val="000000"/>
              </w:rPr>
            </w:pPr>
            <w:r>
              <w:rPr>
                <w:rFonts w:ascii="Palatino Linotype" w:hAnsi="Palatino Linotype"/>
                <w:b/>
                <w:i/>
                <w:color w:val="000000"/>
              </w:rPr>
              <w:t>Son hechos futuros</w:t>
            </w:r>
          </w:p>
        </w:tc>
      </w:tr>
      <w:tr w:rsidR="009463E5" w:rsidRPr="00C73DD1" w14:paraId="37D49384" w14:textId="77777777" w:rsidTr="007D7317">
        <w:trPr>
          <w:trHeight w:val="1044"/>
        </w:trPr>
        <w:tc>
          <w:tcPr>
            <w:tcW w:w="3014" w:type="dxa"/>
          </w:tcPr>
          <w:p w14:paraId="1F6C5199" w14:textId="77777777" w:rsidR="009463E5" w:rsidRPr="00CD225B" w:rsidRDefault="009463E5" w:rsidP="007D7317">
            <w:pPr>
              <w:jc w:val="both"/>
              <w:rPr>
                <w:rFonts w:ascii="Palatino Linotype" w:hAnsi="Palatino Linotype" w:cs="Tahoma"/>
                <w:i/>
                <w:sz w:val="22"/>
              </w:rPr>
            </w:pPr>
            <w:r>
              <w:rPr>
                <w:rFonts w:ascii="Palatino Linotype" w:hAnsi="Palatino Linotype" w:cs="Tahoma"/>
                <w:bCs/>
              </w:rPr>
              <w:t>Fecha de concurso para su elección</w:t>
            </w:r>
          </w:p>
        </w:tc>
        <w:tc>
          <w:tcPr>
            <w:tcW w:w="4201" w:type="dxa"/>
            <w:vMerge/>
          </w:tcPr>
          <w:p w14:paraId="19831661" w14:textId="77777777" w:rsidR="009463E5" w:rsidRPr="00CD225B" w:rsidRDefault="009463E5" w:rsidP="007D7317">
            <w:pPr>
              <w:pStyle w:val="INFOEM"/>
              <w:ind w:left="0" w:right="0"/>
              <w:rPr>
                <w:lang w:val="es-ES"/>
              </w:rPr>
            </w:pPr>
          </w:p>
        </w:tc>
        <w:tc>
          <w:tcPr>
            <w:tcW w:w="1829" w:type="dxa"/>
            <w:vMerge/>
          </w:tcPr>
          <w:p w14:paraId="54FE38C4" w14:textId="77777777" w:rsidR="009463E5" w:rsidRPr="00CD225B" w:rsidRDefault="009463E5" w:rsidP="007D7317">
            <w:pPr>
              <w:jc w:val="center"/>
              <w:rPr>
                <w:rFonts w:ascii="Palatino Linotype" w:hAnsi="Palatino Linotype"/>
                <w:b/>
                <w:i/>
                <w:color w:val="000000"/>
              </w:rPr>
            </w:pPr>
          </w:p>
        </w:tc>
      </w:tr>
      <w:tr w:rsidR="009463E5" w:rsidRPr="00C73DD1" w14:paraId="44DBA899" w14:textId="77777777" w:rsidTr="007D7317">
        <w:trPr>
          <w:trHeight w:val="1044"/>
        </w:trPr>
        <w:tc>
          <w:tcPr>
            <w:tcW w:w="3014" w:type="dxa"/>
          </w:tcPr>
          <w:p w14:paraId="712C0066" w14:textId="77777777" w:rsidR="009463E5" w:rsidRPr="00CD225B" w:rsidRDefault="009463E5" w:rsidP="007D7317">
            <w:pPr>
              <w:jc w:val="both"/>
              <w:rPr>
                <w:rFonts w:ascii="Palatino Linotype" w:hAnsi="Palatino Linotype" w:cs="Tahoma"/>
                <w:i/>
                <w:sz w:val="22"/>
              </w:rPr>
            </w:pPr>
            <w:r>
              <w:rPr>
                <w:rFonts w:ascii="Palatino Linotype" w:hAnsi="Palatino Linotype" w:cs="Tahoma"/>
                <w:bCs/>
              </w:rPr>
              <w:t>Requisitos para concursar al cargo de Contralor Municipal.</w:t>
            </w:r>
          </w:p>
        </w:tc>
        <w:tc>
          <w:tcPr>
            <w:tcW w:w="4201" w:type="dxa"/>
            <w:vMerge/>
          </w:tcPr>
          <w:p w14:paraId="401833E7" w14:textId="77777777" w:rsidR="009463E5" w:rsidRPr="00CD225B" w:rsidRDefault="009463E5" w:rsidP="007D7317">
            <w:pPr>
              <w:pStyle w:val="INFOEM"/>
              <w:ind w:left="0" w:right="0"/>
              <w:rPr>
                <w:lang w:val="es-ES"/>
              </w:rPr>
            </w:pPr>
          </w:p>
        </w:tc>
        <w:tc>
          <w:tcPr>
            <w:tcW w:w="1829" w:type="dxa"/>
            <w:vMerge/>
          </w:tcPr>
          <w:p w14:paraId="7B8BFFA7" w14:textId="77777777" w:rsidR="009463E5" w:rsidRPr="00CD225B" w:rsidRDefault="009463E5" w:rsidP="007D7317">
            <w:pPr>
              <w:jc w:val="center"/>
              <w:rPr>
                <w:rFonts w:ascii="Palatino Linotype" w:hAnsi="Palatino Linotype"/>
                <w:b/>
                <w:i/>
                <w:color w:val="000000"/>
              </w:rPr>
            </w:pPr>
          </w:p>
        </w:tc>
      </w:tr>
    </w:tbl>
    <w:p w14:paraId="39DFC408" w14:textId="77777777" w:rsidR="00C14D07" w:rsidRDefault="00C14D07" w:rsidP="00C14D07">
      <w:pPr>
        <w:spacing w:line="360" w:lineRule="auto"/>
        <w:jc w:val="both"/>
        <w:rPr>
          <w:rFonts w:ascii="Palatino Linotype" w:hAnsi="Palatino Linotype" w:cs="Arial"/>
        </w:rPr>
      </w:pPr>
    </w:p>
    <w:p w14:paraId="58704790" w14:textId="77777777" w:rsidR="00C14D07" w:rsidRDefault="00C14D07" w:rsidP="00C14D07">
      <w:pPr>
        <w:spacing w:line="360" w:lineRule="auto"/>
        <w:ind w:right="142"/>
        <w:jc w:val="both"/>
        <w:rPr>
          <w:rFonts w:ascii="Palatino Linotype" w:hAnsi="Palatino Linotype"/>
        </w:rPr>
      </w:pPr>
    </w:p>
    <w:p w14:paraId="6676454A" w14:textId="77777777" w:rsidR="004B5625" w:rsidRDefault="004B5625" w:rsidP="00C14D07">
      <w:pPr>
        <w:spacing w:line="360" w:lineRule="auto"/>
        <w:jc w:val="both"/>
        <w:rPr>
          <w:rFonts w:ascii="Palatino Linotype" w:hAnsi="Palatino Linotype" w:cs="Arial"/>
        </w:rPr>
      </w:pPr>
    </w:p>
    <w:p w14:paraId="624D09E3" w14:textId="77777777" w:rsidR="004B6067" w:rsidRPr="009E63DA" w:rsidRDefault="004B6067" w:rsidP="004B6067">
      <w:pPr>
        <w:spacing w:line="360" w:lineRule="auto"/>
        <w:jc w:val="both"/>
        <w:rPr>
          <w:rFonts w:ascii="Palatino Linotype" w:hAnsi="Palatino Linotype"/>
          <w:color w:val="000000"/>
        </w:rPr>
      </w:pPr>
      <w:r>
        <w:rPr>
          <w:rFonts w:ascii="Palatino Linotype" w:hAnsi="Palatino Linotype"/>
          <w:color w:val="000000"/>
        </w:rPr>
        <w:t>Ahora bien, N</w:t>
      </w:r>
      <w:r w:rsidRPr="009E63DA">
        <w:rPr>
          <w:rFonts w:ascii="Palatino Linotype" w:hAnsi="Palatino Linotype"/>
          <w:color w:val="000000"/>
        </w:rPr>
        <w:t>uestra Carta Magna dispone que para el ejercicio del derecho de acceso a la información los Estados deben observar diversos principios y bases, entre los cuales se establece que toda la información en posesión de cualquier autoridad, órgano, organismo, órganos autónomos, así como de cualquier sindicato que reciba y ejerza recursos públicos o realice actos de autoridad en el ámbito federal, estatal y municipal, es pública y sólo podrá ser reservada temporalmente por razones de interés público y seguridad nacional, en los términos que fijen las leyes, ello se aprecia en el Artículo 6, apartado A, numeral I de la Constitución Política de los Estados Unidos Mexicanos que a la letra establece:</w:t>
      </w:r>
    </w:p>
    <w:p w14:paraId="408139C8" w14:textId="77777777" w:rsidR="004B6067" w:rsidRPr="009E63DA" w:rsidRDefault="004B6067" w:rsidP="004B6067">
      <w:pPr>
        <w:spacing w:line="360" w:lineRule="auto"/>
        <w:jc w:val="both"/>
        <w:rPr>
          <w:rFonts w:ascii="Palatino Linotype" w:hAnsi="Palatino Linotype"/>
          <w:color w:val="000000"/>
        </w:rPr>
      </w:pPr>
    </w:p>
    <w:p w14:paraId="38929236" w14:textId="77777777" w:rsidR="004B6067" w:rsidRPr="009E63DA" w:rsidRDefault="004B6067" w:rsidP="004B6067">
      <w:pPr>
        <w:ind w:left="567" w:right="567"/>
        <w:jc w:val="both"/>
        <w:rPr>
          <w:rFonts w:ascii="Palatino Linotype" w:hAnsi="Palatino Linotype"/>
          <w:b/>
          <w:i/>
        </w:rPr>
      </w:pPr>
      <w:r w:rsidRPr="009E63DA">
        <w:rPr>
          <w:rFonts w:ascii="Palatino Linotype" w:hAnsi="Palatino Linotype"/>
          <w:b/>
          <w:i/>
        </w:rPr>
        <w:t>Artículo 6</w:t>
      </w:r>
    </w:p>
    <w:p w14:paraId="69FFF250" w14:textId="77777777" w:rsidR="004B6067" w:rsidRPr="009E63DA" w:rsidRDefault="004B6067" w:rsidP="004B6067">
      <w:pPr>
        <w:ind w:left="567" w:right="567"/>
        <w:jc w:val="both"/>
        <w:rPr>
          <w:rFonts w:ascii="Palatino Linotype" w:hAnsi="Palatino Linotype"/>
          <w:i/>
        </w:rPr>
      </w:pPr>
      <w:r w:rsidRPr="009E63DA">
        <w:rPr>
          <w:rFonts w:ascii="Palatino Linotype" w:hAnsi="Palatino Linotype"/>
          <w:i/>
        </w:rPr>
        <w:t>…</w:t>
      </w:r>
    </w:p>
    <w:p w14:paraId="1AFFD8F5" w14:textId="77777777" w:rsidR="004B6067" w:rsidRPr="009E63DA" w:rsidRDefault="004B6067" w:rsidP="004B6067">
      <w:pPr>
        <w:ind w:left="567" w:right="567"/>
        <w:jc w:val="both"/>
        <w:rPr>
          <w:rFonts w:ascii="Palatino Linotype" w:hAnsi="Palatino Linotype"/>
          <w:i/>
        </w:rPr>
      </w:pPr>
      <w:r w:rsidRPr="009E63DA">
        <w:rPr>
          <w:rFonts w:ascii="Palatino Linotype" w:hAnsi="Palatino Linotype"/>
          <w:i/>
        </w:rPr>
        <w:t>Para el ejercicio del derecho de acceso a la información, la Federación, los Estados y el Distrito Federal, en el ámbito de sus respectivas competencias, se regirán por los siguientes principios y bases:</w:t>
      </w:r>
    </w:p>
    <w:p w14:paraId="6432E613" w14:textId="77777777" w:rsidR="004B6067" w:rsidRPr="009E63DA" w:rsidRDefault="004B6067" w:rsidP="004B6067">
      <w:pPr>
        <w:ind w:left="567" w:right="567"/>
        <w:jc w:val="both"/>
        <w:rPr>
          <w:rFonts w:ascii="Palatino Linotype" w:hAnsi="Palatino Linotype"/>
          <w:i/>
        </w:rPr>
      </w:pPr>
    </w:p>
    <w:p w14:paraId="0FB15427" w14:textId="77777777" w:rsidR="004B6067" w:rsidRPr="009E63DA" w:rsidRDefault="004B6067" w:rsidP="004B6067">
      <w:pPr>
        <w:numPr>
          <w:ilvl w:val="0"/>
          <w:numId w:val="11"/>
        </w:numPr>
        <w:ind w:left="993" w:right="567"/>
        <w:jc w:val="both"/>
        <w:rPr>
          <w:rFonts w:ascii="Palatino Linotype" w:hAnsi="Palatino Linotype"/>
          <w:i/>
        </w:rPr>
      </w:pPr>
      <w:r w:rsidRPr="009E63DA">
        <w:rPr>
          <w:rFonts w:ascii="Palatino Linotype" w:hAnsi="Palatino Linotype"/>
          <w:i/>
        </w:rPr>
        <w:lastRenderedPageBreak/>
        <w:t>Toda la información 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 es pública y sólo podrá ser reservada temporalmente por razones de interés público y seguridad nacional,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20F60934" w14:textId="77777777" w:rsidR="004B6067" w:rsidRPr="009E63DA" w:rsidRDefault="004B6067" w:rsidP="004B6067">
      <w:pPr>
        <w:spacing w:line="360" w:lineRule="auto"/>
        <w:jc w:val="both"/>
        <w:rPr>
          <w:rFonts w:ascii="Palatino Linotype" w:hAnsi="Palatino Linotype"/>
        </w:rPr>
      </w:pPr>
    </w:p>
    <w:p w14:paraId="19CBC9BD" w14:textId="77777777" w:rsidR="004B6067" w:rsidRPr="009E63DA" w:rsidRDefault="004B6067" w:rsidP="004B6067">
      <w:pPr>
        <w:spacing w:line="360" w:lineRule="auto"/>
        <w:jc w:val="both"/>
        <w:rPr>
          <w:rFonts w:ascii="Palatino Linotype" w:hAnsi="Palatino Linotype" w:cs="Arial"/>
        </w:rPr>
      </w:pPr>
      <w:r>
        <w:rPr>
          <w:rFonts w:ascii="Palatino Linotype" w:hAnsi="Palatino Linotype" w:cs="Arial"/>
        </w:rPr>
        <w:t>Por otro lado</w:t>
      </w:r>
      <w:r w:rsidRPr="009E63DA">
        <w:rPr>
          <w:rFonts w:ascii="Palatino Linotype" w:hAnsi="Palatino Linotype" w:cs="Arial"/>
        </w:rPr>
        <w:t xml:space="preserve">, en atención a lo dispuesto por los artículos 3, fracción XI y 12 </w:t>
      </w:r>
      <w:r w:rsidRPr="009E63DA">
        <w:rPr>
          <w:rFonts w:ascii="Palatino Linotype" w:hAnsi="Palatino Linotype" w:cs="Arial"/>
          <w:bCs/>
        </w:rPr>
        <w:t>de la Ley de Transparencia y Acceso a la Información Pública del Estado de México y Municipios</w:t>
      </w:r>
      <w:r w:rsidRPr="009E63DA">
        <w:rPr>
          <w:rFonts w:ascii="Palatino Linotype" w:hAnsi="Palatino Linotype" w:cs="Arial"/>
        </w:rPr>
        <w:t>, los cuales son del tenor literal siguiente:</w:t>
      </w:r>
    </w:p>
    <w:p w14:paraId="3A0713D4" w14:textId="77777777" w:rsidR="004B6067" w:rsidRPr="009E63DA" w:rsidRDefault="004B6067" w:rsidP="004B6067">
      <w:pPr>
        <w:ind w:left="567" w:right="567"/>
        <w:jc w:val="both"/>
        <w:rPr>
          <w:rFonts w:ascii="Palatino Linotype" w:hAnsi="Palatino Linotype"/>
        </w:rPr>
      </w:pPr>
    </w:p>
    <w:p w14:paraId="3C908063" w14:textId="77777777" w:rsidR="004B6067" w:rsidRPr="009E63DA" w:rsidRDefault="004B6067" w:rsidP="004B6067">
      <w:pPr>
        <w:ind w:left="851" w:right="851"/>
        <w:jc w:val="both"/>
        <w:rPr>
          <w:rFonts w:ascii="Palatino Linotype" w:hAnsi="Palatino Linotype"/>
          <w:i/>
        </w:rPr>
      </w:pPr>
      <w:r w:rsidRPr="009E63DA">
        <w:rPr>
          <w:rFonts w:ascii="Palatino Linotype" w:hAnsi="Palatino Linotype"/>
          <w:b/>
          <w:bCs/>
          <w:i/>
        </w:rPr>
        <w:t xml:space="preserve">Artículo 3.- </w:t>
      </w:r>
      <w:r w:rsidRPr="009E63DA">
        <w:rPr>
          <w:rFonts w:ascii="Palatino Linotype" w:hAnsi="Palatino Linotype"/>
          <w:i/>
        </w:rPr>
        <w:t>Para los efectos de la presente Ley se entenderá por:</w:t>
      </w:r>
    </w:p>
    <w:p w14:paraId="0E9A1DAD" w14:textId="77777777" w:rsidR="004B6067" w:rsidRPr="009E63DA" w:rsidRDefault="004B6067" w:rsidP="004B6067">
      <w:pPr>
        <w:ind w:left="851" w:right="851"/>
        <w:jc w:val="both"/>
        <w:rPr>
          <w:rFonts w:ascii="Palatino Linotype" w:hAnsi="Palatino Linotype"/>
          <w:i/>
        </w:rPr>
      </w:pPr>
      <w:r w:rsidRPr="009E63DA">
        <w:rPr>
          <w:rFonts w:ascii="Palatino Linotype" w:hAnsi="Palatino Linotype"/>
          <w:i/>
        </w:rPr>
        <w:t>…</w:t>
      </w:r>
    </w:p>
    <w:p w14:paraId="497122CE" w14:textId="77777777" w:rsidR="004B6067" w:rsidRPr="009E63DA" w:rsidRDefault="004B6067" w:rsidP="004B6067">
      <w:pPr>
        <w:ind w:left="851" w:right="851"/>
        <w:jc w:val="both"/>
        <w:rPr>
          <w:rFonts w:ascii="Palatino Linotype" w:hAnsi="Palatino Linotype"/>
          <w:i/>
        </w:rPr>
      </w:pPr>
      <w:r w:rsidRPr="009E63DA">
        <w:rPr>
          <w:rFonts w:ascii="Palatino Linotype" w:hAnsi="Palatino Linotype"/>
          <w:b/>
          <w:i/>
        </w:rPr>
        <w:t>XI.</w:t>
      </w:r>
      <w:r w:rsidRPr="009E63DA">
        <w:rPr>
          <w:rFonts w:ascii="Palatino Linotype" w:hAnsi="Palatino Linotype"/>
          <w:i/>
        </w:rPr>
        <w:t xml:space="preserve"> </w:t>
      </w:r>
      <w:r w:rsidRPr="009E63DA">
        <w:rPr>
          <w:rFonts w:ascii="Palatino Linotype" w:hAnsi="Palatino Linotype"/>
          <w:b/>
          <w:i/>
        </w:rPr>
        <w:t>Documento:</w:t>
      </w:r>
      <w:r w:rsidRPr="009E63DA">
        <w:rPr>
          <w:rFonts w:ascii="Palatino Linotype" w:hAnsi="Palatino Linotype"/>
          <w:i/>
        </w:rPr>
        <w:t xml:space="preserve"> Los expedientes, reportes, estudios, actas, resoluciones, oficios, correspondencia, acuerdos, directivas, directrices, circulares, contratos, convenios, instructivos, notas, memorandos, estadísticas o bien, </w:t>
      </w:r>
      <w:r w:rsidRPr="009E63DA">
        <w:rPr>
          <w:rFonts w:ascii="Palatino Linotype" w:hAnsi="Palatino Linotype"/>
          <w:b/>
          <w:i/>
          <w:u w:val="single"/>
        </w:rPr>
        <w:t>cualquier otro registro que documente el ejercicio de las facultades, funciones y competencias de los sujetos obligados, sus servidores públicos e integrantes, sin importar su fuente o fecha de elaboración.</w:t>
      </w:r>
      <w:r w:rsidRPr="009E63DA">
        <w:rPr>
          <w:rFonts w:ascii="Palatino Linotype" w:hAnsi="Palatino Linotype"/>
          <w:i/>
        </w:rPr>
        <w:t xml:space="preserve"> Los documentos podrán estar en cualquier medio, sea escrito, impreso, sonoro, visual, electrónico, informático u holográfico;</w:t>
      </w:r>
    </w:p>
    <w:p w14:paraId="14511214" w14:textId="77777777" w:rsidR="004B6067" w:rsidRPr="009E63DA" w:rsidRDefault="004B6067" w:rsidP="004B6067">
      <w:pPr>
        <w:ind w:left="851" w:right="851"/>
        <w:jc w:val="both"/>
        <w:rPr>
          <w:rFonts w:ascii="Palatino Linotype" w:hAnsi="Palatino Linotype"/>
          <w:i/>
        </w:rPr>
      </w:pPr>
    </w:p>
    <w:p w14:paraId="052F498F" w14:textId="77777777" w:rsidR="004B6067" w:rsidRPr="009E63DA" w:rsidRDefault="004B6067" w:rsidP="004B6067">
      <w:pPr>
        <w:ind w:left="851" w:right="851"/>
        <w:jc w:val="both"/>
        <w:rPr>
          <w:rFonts w:ascii="Palatino Linotype" w:hAnsi="Palatino Linotype"/>
          <w:bCs/>
          <w:i/>
        </w:rPr>
      </w:pPr>
      <w:r w:rsidRPr="009E63DA">
        <w:rPr>
          <w:rFonts w:ascii="Palatino Linotype" w:hAnsi="Palatino Linotype"/>
          <w:b/>
          <w:bCs/>
          <w:i/>
        </w:rPr>
        <w:t>Artículo 4.</w:t>
      </w:r>
      <w:r w:rsidRPr="009E63DA">
        <w:rPr>
          <w:rFonts w:ascii="Palatino Linotype" w:hAnsi="Palatino Linotype"/>
          <w:bCs/>
          <w:i/>
        </w:rPr>
        <w:t xml:space="preserve"> El derecho humano de acceso a la información pública es la prerrogativa de las personas para buscar, difundir, investigar, recabar, recibir y solicitar información pública, sin necesidad de acreditar personalidad ni interés jurídico.</w:t>
      </w:r>
    </w:p>
    <w:p w14:paraId="0225A096" w14:textId="77777777" w:rsidR="004B6067" w:rsidRPr="009E63DA" w:rsidRDefault="004B6067" w:rsidP="004B6067">
      <w:pPr>
        <w:ind w:left="851" w:right="851"/>
        <w:jc w:val="both"/>
        <w:rPr>
          <w:rFonts w:ascii="Palatino Linotype" w:hAnsi="Palatino Linotype"/>
          <w:bCs/>
          <w:i/>
        </w:rPr>
      </w:pPr>
    </w:p>
    <w:p w14:paraId="788E3F5B" w14:textId="77777777" w:rsidR="004B6067" w:rsidRPr="009E63DA" w:rsidRDefault="004B6067" w:rsidP="004B6067">
      <w:pPr>
        <w:ind w:left="851" w:right="851"/>
        <w:jc w:val="both"/>
        <w:rPr>
          <w:rFonts w:ascii="Palatino Linotype" w:hAnsi="Palatino Linotype"/>
          <w:bCs/>
          <w:i/>
        </w:rPr>
      </w:pPr>
      <w:r w:rsidRPr="009E63DA">
        <w:rPr>
          <w:rFonts w:ascii="Palatino Linotype" w:hAnsi="Palatino Linotype"/>
          <w:b/>
          <w:bCs/>
          <w:i/>
          <w:u w:val="single"/>
        </w:rPr>
        <w:t>Toda la información generada, obtenida, adquirida, transformada, administrada o en posesión de los sujetos obligados es pública y accesible de manera permanente a cualquier persona,</w:t>
      </w:r>
      <w:r w:rsidRPr="009E63DA">
        <w:rPr>
          <w:rFonts w:ascii="Palatino Linotype" w:hAnsi="Palatino Linotype"/>
          <w:bCs/>
          <w:i/>
        </w:rPr>
        <w:t xml:space="preserve"> en los términos y </w:t>
      </w:r>
      <w:r w:rsidRPr="009E63DA">
        <w:rPr>
          <w:rFonts w:ascii="Palatino Linotype" w:hAnsi="Palatino Linotype"/>
          <w:bCs/>
          <w:i/>
        </w:rPr>
        <w:lastRenderedPageBreak/>
        <w:t>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04216DFE" w14:textId="77777777" w:rsidR="004B6067" w:rsidRPr="009E63DA" w:rsidRDefault="004B6067" w:rsidP="004B6067">
      <w:pPr>
        <w:ind w:left="851" w:right="851"/>
        <w:jc w:val="both"/>
        <w:rPr>
          <w:rFonts w:ascii="Palatino Linotype" w:hAnsi="Palatino Linotype"/>
          <w:bCs/>
          <w:i/>
        </w:rPr>
      </w:pPr>
    </w:p>
    <w:p w14:paraId="11854AEB" w14:textId="77777777" w:rsidR="004B6067" w:rsidRPr="009E63DA" w:rsidRDefault="004B6067" w:rsidP="004B6067">
      <w:pPr>
        <w:ind w:left="851" w:right="851"/>
        <w:jc w:val="both"/>
        <w:rPr>
          <w:rFonts w:ascii="Palatino Linotype" w:hAnsi="Palatino Linotype"/>
          <w:bCs/>
          <w:i/>
        </w:rPr>
      </w:pPr>
      <w:r w:rsidRPr="009E63DA">
        <w:rPr>
          <w:rFonts w:ascii="Palatino Linotype" w:hAnsi="Palatino Linotype"/>
          <w:bCs/>
          <w:i/>
        </w:rPr>
        <w:t>Los sujetos obligados deben poner en práctica, políticas y programas de acceso a la información que se apeguen a criterios de publicidad, veracidad, oportunidad, precisión y suficiencia en beneficio de los solicitantes.</w:t>
      </w:r>
    </w:p>
    <w:p w14:paraId="4197E234" w14:textId="77777777" w:rsidR="004B6067" w:rsidRPr="009E63DA" w:rsidRDefault="004B6067" w:rsidP="004B6067">
      <w:pPr>
        <w:ind w:left="851" w:right="851"/>
        <w:jc w:val="both"/>
        <w:rPr>
          <w:rFonts w:ascii="Palatino Linotype" w:hAnsi="Palatino Linotype"/>
          <w:i/>
        </w:rPr>
      </w:pPr>
    </w:p>
    <w:p w14:paraId="7ACDADA5" w14:textId="77777777" w:rsidR="004B6067" w:rsidRPr="009E63DA" w:rsidRDefault="004B6067" w:rsidP="004B6067">
      <w:pPr>
        <w:ind w:left="851" w:right="851"/>
        <w:jc w:val="both"/>
        <w:rPr>
          <w:rFonts w:ascii="Palatino Linotype" w:hAnsi="Palatino Linotype"/>
          <w:i/>
        </w:rPr>
      </w:pPr>
      <w:r w:rsidRPr="009E63DA">
        <w:rPr>
          <w:rFonts w:ascii="Palatino Linotype" w:hAnsi="Palatino Linotype"/>
          <w:b/>
          <w:i/>
        </w:rPr>
        <w:t>Artículo 12.</w:t>
      </w:r>
      <w:r w:rsidRPr="009E63DA">
        <w:rPr>
          <w:rFonts w:ascii="Palatino Linotype" w:hAnsi="Palatino Linotype"/>
          <w:i/>
        </w:rPr>
        <w:t xml:space="preserve"> Quienes generen, recopilen, administren, manejen, procesen, archiven o conserven información pública serán responsables de la misma en los términos de las disposiciones jurídicas aplicables.</w:t>
      </w:r>
    </w:p>
    <w:p w14:paraId="3F8B7B18" w14:textId="77777777" w:rsidR="004B6067" w:rsidRPr="009E63DA" w:rsidRDefault="004B6067" w:rsidP="004B6067">
      <w:pPr>
        <w:ind w:left="851" w:right="851"/>
        <w:jc w:val="both"/>
        <w:rPr>
          <w:rFonts w:ascii="Palatino Linotype" w:hAnsi="Palatino Linotype"/>
          <w:i/>
        </w:rPr>
      </w:pPr>
    </w:p>
    <w:p w14:paraId="64FE0DC6" w14:textId="77777777" w:rsidR="004B6067" w:rsidRPr="009E63DA" w:rsidRDefault="004B6067" w:rsidP="004B6067">
      <w:pPr>
        <w:ind w:left="851" w:right="851"/>
        <w:jc w:val="both"/>
        <w:rPr>
          <w:rFonts w:ascii="Palatino Linotype" w:hAnsi="Palatino Linotype"/>
          <w:i/>
          <w:u w:val="single"/>
        </w:rPr>
      </w:pPr>
      <w:r w:rsidRPr="009E63DA">
        <w:rPr>
          <w:rFonts w:ascii="Palatino Linotype" w:hAnsi="Palatino Linotype"/>
          <w:b/>
          <w:i/>
          <w:u w:val="single"/>
        </w:rPr>
        <w:t>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w:t>
      </w:r>
      <w:r w:rsidRPr="009E63DA">
        <w:rPr>
          <w:rFonts w:ascii="Palatino Linotype" w:hAnsi="Palatino Linotype"/>
          <w:i/>
        </w:rPr>
        <w:t>.</w:t>
      </w:r>
    </w:p>
    <w:p w14:paraId="01635EC4" w14:textId="77777777" w:rsidR="004B6067" w:rsidRPr="009E63DA" w:rsidRDefault="004B6067" w:rsidP="004B6067">
      <w:pPr>
        <w:spacing w:line="360" w:lineRule="auto"/>
        <w:jc w:val="both"/>
        <w:rPr>
          <w:rFonts w:ascii="Palatino Linotype" w:hAnsi="Palatino Linotype"/>
        </w:rPr>
      </w:pPr>
    </w:p>
    <w:p w14:paraId="5C374604" w14:textId="77777777" w:rsidR="004B6067" w:rsidRPr="009E63DA" w:rsidRDefault="004B6067" w:rsidP="004B6067">
      <w:pPr>
        <w:spacing w:line="360" w:lineRule="auto"/>
        <w:jc w:val="both"/>
        <w:rPr>
          <w:rFonts w:ascii="Palatino Linotype" w:hAnsi="Palatino Linotype"/>
        </w:rPr>
      </w:pPr>
      <w:r w:rsidRPr="009E63DA">
        <w:rPr>
          <w:rFonts w:ascii="Palatino Linotype" w:hAnsi="Palatino Linotype" w:cs="Arial"/>
        </w:rPr>
        <w:t>De la interpretación a los preceptos citados, se desprende que es información pública la contenida en los documentos que los Sujetos Obligados generen, administren o se encuentre en su posesión en el ejercicio de sus atribuciones y que toda la información generada, obtenida, adquirida, transformada, administrada o en posesión de los sujetos obligados es pública y accesible de manera permanente a cualquier persona.</w:t>
      </w:r>
    </w:p>
    <w:p w14:paraId="4F85E5DD" w14:textId="77777777" w:rsidR="004B6067" w:rsidRPr="009E63DA" w:rsidRDefault="004B6067" w:rsidP="004B6067">
      <w:pPr>
        <w:spacing w:line="360" w:lineRule="auto"/>
        <w:jc w:val="both"/>
        <w:rPr>
          <w:rFonts w:ascii="Palatino Linotype" w:hAnsi="Palatino Linotype"/>
        </w:rPr>
      </w:pPr>
    </w:p>
    <w:p w14:paraId="5ED02F7E" w14:textId="77777777" w:rsidR="004B6067" w:rsidRPr="009E63DA" w:rsidRDefault="004B6067" w:rsidP="004B6067">
      <w:pPr>
        <w:tabs>
          <w:tab w:val="left" w:pos="709"/>
        </w:tabs>
        <w:spacing w:line="360" w:lineRule="auto"/>
        <w:jc w:val="both"/>
        <w:rPr>
          <w:rFonts w:ascii="Palatino Linotype" w:hAnsi="Palatino Linotype"/>
        </w:rPr>
      </w:pPr>
      <w:r w:rsidRPr="009E63DA">
        <w:rPr>
          <w:rFonts w:ascii="Palatino Linotype" w:hAnsi="Palatino Linotype" w:cs="Arial"/>
        </w:rPr>
        <w:t xml:space="preserve">En tal tesitura, este Órgano Garante estima que las razones o motivos de inconformidad hechos valer por </w:t>
      </w:r>
      <w:r>
        <w:rPr>
          <w:rFonts w:ascii="Palatino Linotype" w:hAnsi="Palatino Linotype"/>
        </w:rPr>
        <w:t xml:space="preserve">la parte </w:t>
      </w:r>
      <w:r w:rsidRPr="009E63DA">
        <w:rPr>
          <w:rFonts w:ascii="Palatino Linotype" w:hAnsi="Palatino Linotype" w:cs="Arial"/>
        </w:rPr>
        <w:t>Recurrente son infundados</w:t>
      </w:r>
      <w:r>
        <w:rPr>
          <w:rFonts w:ascii="Palatino Linotype" w:hAnsi="Palatino Linotype" w:cs="Arial"/>
        </w:rPr>
        <w:t>, en virtud de que,</w:t>
      </w:r>
      <w:r w:rsidRPr="009E63DA">
        <w:rPr>
          <w:rFonts w:ascii="Palatino Linotype" w:hAnsi="Palatino Linotype"/>
        </w:rPr>
        <w:t xml:space="preserve"> la </w:t>
      </w:r>
      <w:r>
        <w:rPr>
          <w:rFonts w:ascii="Palatino Linotype" w:hAnsi="Palatino Linotype"/>
        </w:rPr>
        <w:t>respuesta</w:t>
      </w:r>
      <w:r w:rsidRPr="009E63DA">
        <w:rPr>
          <w:rFonts w:ascii="Palatino Linotype" w:hAnsi="Palatino Linotype"/>
        </w:rPr>
        <w:t xml:space="preserve"> </w:t>
      </w:r>
      <w:r>
        <w:rPr>
          <w:rFonts w:ascii="Palatino Linotype" w:hAnsi="Palatino Linotype"/>
        </w:rPr>
        <w:t>se emitió por el servidor público habilitado</w:t>
      </w:r>
      <w:r>
        <w:rPr>
          <w:rFonts w:ascii="Palatino Linotype" w:hAnsi="Palatino Linotype" w:cs="Arial"/>
        </w:rPr>
        <w:t xml:space="preserve">, tal como ya quedo precisado en párrafos </w:t>
      </w:r>
      <w:r>
        <w:rPr>
          <w:rFonts w:ascii="Palatino Linotype" w:hAnsi="Palatino Linotype" w:cs="Arial"/>
        </w:rPr>
        <w:lastRenderedPageBreak/>
        <w:t>anteriores</w:t>
      </w:r>
      <w:r w:rsidRPr="009E63DA">
        <w:rPr>
          <w:rFonts w:ascii="Palatino Linotype" w:hAnsi="Palatino Linotype" w:cs="Arial"/>
        </w:rPr>
        <w:t xml:space="preserve">, </w:t>
      </w:r>
      <w:r>
        <w:rPr>
          <w:rFonts w:ascii="Palatino Linotype" w:hAnsi="Palatino Linotype" w:cs="Arial"/>
        </w:rPr>
        <w:t>por lo que</w:t>
      </w:r>
      <w:r w:rsidRPr="009E63DA">
        <w:rPr>
          <w:rFonts w:ascii="Palatino Linotype" w:hAnsi="Palatino Linotype"/>
        </w:rPr>
        <w:t xml:space="preserve">, se tiene que </w:t>
      </w:r>
      <w:r>
        <w:rPr>
          <w:rFonts w:ascii="Palatino Linotype" w:hAnsi="Palatino Linotype"/>
        </w:rPr>
        <w:t>la autoridad que emitió la respuesta y el</w:t>
      </w:r>
      <w:r w:rsidRPr="009E63DA">
        <w:rPr>
          <w:rFonts w:ascii="Palatino Linotype" w:hAnsi="Palatino Linotype"/>
        </w:rPr>
        <w:t xml:space="preserve"> documento remitido satisface la pretensión del particular.</w:t>
      </w:r>
    </w:p>
    <w:p w14:paraId="73BAD74D" w14:textId="77777777" w:rsidR="004B6067" w:rsidRPr="009E63DA" w:rsidRDefault="004B6067" w:rsidP="004B6067">
      <w:pPr>
        <w:spacing w:line="360" w:lineRule="auto"/>
        <w:jc w:val="both"/>
        <w:rPr>
          <w:rFonts w:ascii="Palatino Linotype" w:eastAsia="Calibri" w:hAnsi="Palatino Linotype" w:cs="Arial"/>
          <w:color w:val="000000"/>
          <w:lang w:val="es-ES_tradnl" w:eastAsia="es-MX"/>
        </w:rPr>
      </w:pPr>
    </w:p>
    <w:p w14:paraId="61E29FB4" w14:textId="77777777" w:rsidR="004B6067" w:rsidRPr="009E63DA" w:rsidRDefault="004B6067" w:rsidP="004B6067">
      <w:pPr>
        <w:spacing w:line="360" w:lineRule="auto"/>
        <w:jc w:val="both"/>
        <w:rPr>
          <w:rFonts w:ascii="Palatino Linotype" w:eastAsia="Calibri" w:hAnsi="Palatino Linotype" w:cs="Arial"/>
          <w:color w:val="000000"/>
          <w:lang w:val="es-ES_tradnl" w:eastAsia="es-MX"/>
        </w:rPr>
      </w:pPr>
      <w:r w:rsidRPr="009E63DA">
        <w:rPr>
          <w:rFonts w:ascii="Palatino Linotype" w:eastAsia="Calibri" w:hAnsi="Palatino Linotype" w:cs="Arial"/>
          <w:color w:val="000000"/>
          <w:lang w:val="es-ES_tradnl" w:eastAsia="es-MX"/>
        </w:rPr>
        <w:t>En síntesis, el derecho de acceso a la información pública se satisface en aquellos casos en que se entregue el soporte documental en que conste la información pública, toda vez que, los Sujetos Obligados</w:t>
      </w:r>
      <w:r w:rsidRPr="009E63DA">
        <w:rPr>
          <w:rFonts w:ascii="Palatino Linotype" w:eastAsia="Calibri" w:hAnsi="Palatino Linotype" w:cs="Arial"/>
          <w:b/>
          <w:color w:val="000000"/>
          <w:lang w:val="es-ES_tradnl" w:eastAsia="es-MX"/>
        </w:rPr>
        <w:t xml:space="preserve"> </w:t>
      </w:r>
      <w:r w:rsidRPr="009E63DA">
        <w:rPr>
          <w:rFonts w:ascii="Palatino Linotype" w:eastAsia="Calibri" w:hAnsi="Palatino Linotype" w:cs="Arial"/>
          <w:color w:val="000000"/>
          <w:lang w:val="es-ES_tradnl" w:eastAsia="es-MX"/>
        </w:rPr>
        <w:t xml:space="preserve">no tienen el deber de generar, poseer o administrar la información pública con el grado de detalle solicitado; esto es, que no tienen el deber de generar </w:t>
      </w:r>
      <w:r w:rsidRPr="00F20805">
        <w:rPr>
          <w:rFonts w:ascii="Palatino Linotype" w:eastAsia="Calibri" w:hAnsi="Palatino Linotype" w:cs="Arial"/>
          <w:b/>
          <w:color w:val="000000"/>
          <w:lang w:val="es-ES_tradnl" w:eastAsia="es-MX"/>
        </w:rPr>
        <w:t xml:space="preserve">un documento </w:t>
      </w:r>
      <w:r w:rsidRPr="00F20805">
        <w:rPr>
          <w:rFonts w:ascii="Palatino Linotype" w:eastAsia="Calibri" w:hAnsi="Palatino Linotype" w:cs="Arial"/>
          <w:b/>
          <w:i/>
          <w:color w:val="000000"/>
          <w:lang w:val="es-ES_tradnl" w:eastAsia="es-MX"/>
        </w:rPr>
        <w:t>ad hoc</w:t>
      </w:r>
      <w:r w:rsidRPr="009E63DA">
        <w:rPr>
          <w:rFonts w:ascii="Palatino Linotype" w:eastAsia="Calibri" w:hAnsi="Palatino Linotype" w:cs="Arial"/>
          <w:color w:val="000000"/>
          <w:lang w:val="es-ES_tradnl" w:eastAsia="es-MX"/>
        </w:rPr>
        <w:t>, para satisfacer el derecho de acceso a la información pública.</w:t>
      </w:r>
    </w:p>
    <w:p w14:paraId="4E15AA9C" w14:textId="77777777" w:rsidR="004B6067" w:rsidRPr="009E63DA" w:rsidRDefault="004B6067" w:rsidP="004B6067">
      <w:pPr>
        <w:spacing w:line="360" w:lineRule="auto"/>
        <w:jc w:val="both"/>
        <w:rPr>
          <w:rFonts w:ascii="Palatino Linotype" w:eastAsia="Calibri" w:hAnsi="Palatino Linotype" w:cs="Arial"/>
          <w:color w:val="000000"/>
          <w:lang w:val="es-ES_tradnl" w:eastAsia="es-MX"/>
        </w:rPr>
      </w:pPr>
    </w:p>
    <w:p w14:paraId="303F03EE" w14:textId="77777777" w:rsidR="004B6067" w:rsidRPr="009E63DA" w:rsidRDefault="004B6067" w:rsidP="004B6067">
      <w:pPr>
        <w:spacing w:line="360" w:lineRule="auto"/>
        <w:jc w:val="both"/>
        <w:rPr>
          <w:rFonts w:ascii="Palatino Linotype" w:eastAsia="Calibri" w:hAnsi="Palatino Linotype" w:cs="Calibri"/>
          <w:b/>
          <w:bCs/>
          <w:color w:val="000000"/>
          <w:lang w:val="es-ES_tradnl" w:eastAsia="es-MX"/>
        </w:rPr>
      </w:pPr>
      <w:r w:rsidRPr="009E63DA">
        <w:rPr>
          <w:rFonts w:ascii="Palatino Linotype" w:eastAsia="Calibri" w:hAnsi="Palatino Linotype" w:cs="Arial"/>
          <w:color w:val="000000"/>
          <w:lang w:val="es-ES_tradnl" w:eastAsia="es-MX"/>
        </w:rPr>
        <w:t xml:space="preserve">Como apoyo a lo anterior, es aplicable el Criterio 03-17, emitido por </w:t>
      </w:r>
      <w:r w:rsidRPr="009E63DA">
        <w:rPr>
          <w:rFonts w:ascii="Palatino Linotype" w:eastAsia="Arial Unicode MS" w:hAnsi="Palatino Linotype" w:cs="Arial"/>
          <w:color w:val="000000"/>
          <w:lang w:val="es-ES_tradnl" w:eastAsia="es-MX"/>
        </w:rPr>
        <w:t>el Instituto Nacional de Transparencia, Acceso a la Información y Protección de Datos Personales,</w:t>
      </w:r>
      <w:r w:rsidRPr="009E63DA">
        <w:rPr>
          <w:rFonts w:ascii="Palatino Linotype" w:eastAsia="Calibri" w:hAnsi="Palatino Linotype" w:cs="Calibri"/>
          <w:bCs/>
          <w:color w:val="000000"/>
          <w:lang w:val="es-ES_tradnl" w:eastAsia="es-MX"/>
        </w:rPr>
        <w:t xml:space="preserve"> que dice:</w:t>
      </w:r>
      <w:r w:rsidRPr="009E63DA">
        <w:rPr>
          <w:rFonts w:ascii="Palatino Linotype" w:eastAsia="Calibri" w:hAnsi="Palatino Linotype" w:cs="Calibri"/>
          <w:b/>
          <w:bCs/>
          <w:color w:val="000000"/>
          <w:lang w:val="es-ES_tradnl" w:eastAsia="es-MX"/>
        </w:rPr>
        <w:t xml:space="preserve"> </w:t>
      </w:r>
    </w:p>
    <w:p w14:paraId="7C869274" w14:textId="77777777" w:rsidR="004B6067" w:rsidRPr="009E63DA" w:rsidRDefault="004B6067" w:rsidP="004B6067">
      <w:pPr>
        <w:spacing w:line="360" w:lineRule="auto"/>
        <w:jc w:val="both"/>
        <w:rPr>
          <w:rFonts w:ascii="Palatino Linotype" w:hAnsi="Palatino Linotype"/>
          <w:lang w:val="es-ES_tradnl"/>
        </w:rPr>
      </w:pPr>
    </w:p>
    <w:p w14:paraId="51AD79E7" w14:textId="77777777" w:rsidR="004B6067" w:rsidRPr="009E63DA" w:rsidRDefault="004B6067" w:rsidP="004B6067">
      <w:pPr>
        <w:spacing w:line="360" w:lineRule="auto"/>
        <w:ind w:left="851" w:right="850"/>
        <w:jc w:val="both"/>
        <w:rPr>
          <w:rFonts w:ascii="Palatino Linotype" w:eastAsia="Calibri" w:hAnsi="Palatino Linotype" w:cs="Arial"/>
          <w:color w:val="000000"/>
          <w:sz w:val="2"/>
          <w:lang w:val="es-ES_tradnl" w:eastAsia="es-MX"/>
        </w:rPr>
      </w:pPr>
    </w:p>
    <w:p w14:paraId="072A863D" w14:textId="77777777" w:rsidR="004B6067" w:rsidRPr="009E63DA" w:rsidRDefault="004B6067" w:rsidP="004B6067">
      <w:pPr>
        <w:ind w:left="567" w:right="567"/>
        <w:jc w:val="both"/>
        <w:rPr>
          <w:rFonts w:ascii="Palatino Linotype" w:eastAsia="Calibri" w:hAnsi="Palatino Linotype" w:cs="Arial"/>
          <w:i/>
          <w:color w:val="000000"/>
          <w:lang w:val="es-ES_tradnl" w:eastAsia="es-MX"/>
        </w:rPr>
      </w:pPr>
      <w:r w:rsidRPr="009E63DA">
        <w:rPr>
          <w:rFonts w:ascii="Palatino Linotype" w:eastAsia="Calibri" w:hAnsi="Palatino Linotype" w:cs="Arial"/>
          <w:b/>
          <w:i/>
          <w:color w:val="000000"/>
          <w:lang w:val="es-ES_tradnl" w:eastAsia="es-MX"/>
        </w:rPr>
        <w:t>No existe obligación de elaborar documentos ad hoc para atender las solicitudes de acceso a la información.</w:t>
      </w:r>
      <w:r w:rsidRPr="009E63DA">
        <w:rPr>
          <w:rFonts w:ascii="Palatino Linotype" w:eastAsia="Calibri" w:hAnsi="Palatino Linotype" w:cs="Arial"/>
          <w:i/>
          <w:color w:val="000000"/>
          <w:lang w:val="es-ES_tradnl" w:eastAsia="es-MX"/>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056C742E" w14:textId="77777777" w:rsidR="004B6067" w:rsidRPr="009E63DA" w:rsidRDefault="004B6067" w:rsidP="004B6067">
      <w:pPr>
        <w:ind w:left="567" w:right="567"/>
        <w:jc w:val="both"/>
        <w:rPr>
          <w:rFonts w:ascii="Palatino Linotype" w:eastAsia="Calibri" w:hAnsi="Palatino Linotype" w:cs="Arial"/>
          <w:i/>
          <w:color w:val="000000"/>
          <w:sz w:val="2"/>
          <w:lang w:val="es-ES_tradnl" w:eastAsia="es-MX"/>
        </w:rPr>
      </w:pPr>
    </w:p>
    <w:p w14:paraId="2CB1CE05" w14:textId="77777777" w:rsidR="004B6067" w:rsidRPr="00F55BA2" w:rsidRDefault="004B6067" w:rsidP="004B6067">
      <w:pPr>
        <w:spacing w:line="360" w:lineRule="auto"/>
        <w:jc w:val="both"/>
        <w:rPr>
          <w:rFonts w:ascii="Palatino Linotype" w:eastAsia="Calibri" w:hAnsi="Palatino Linotype" w:cs="Arial"/>
          <w:color w:val="000000"/>
          <w:lang w:val="es-ES_tradnl" w:eastAsia="es-MX"/>
        </w:rPr>
      </w:pPr>
    </w:p>
    <w:p w14:paraId="3C397055" w14:textId="77777777" w:rsidR="004B6067" w:rsidRPr="009E63DA" w:rsidRDefault="004B6067" w:rsidP="004B6067">
      <w:pPr>
        <w:spacing w:line="360" w:lineRule="auto"/>
        <w:contextualSpacing/>
        <w:jc w:val="both"/>
        <w:rPr>
          <w:rFonts w:ascii="Palatino Linotype" w:hAnsi="Palatino Linotype" w:cs="Arial"/>
        </w:rPr>
      </w:pPr>
      <w:r w:rsidRPr="009E63DA">
        <w:rPr>
          <w:rFonts w:ascii="Palatino Linotype" w:hAnsi="Palatino Linotype" w:cs="Arial"/>
          <w:noProof/>
          <w:color w:val="000000"/>
          <w:lang w:eastAsia="es-MX"/>
        </w:rPr>
        <w:t xml:space="preserve">En virtud de lo anterior, este Órgano Garante arriba a la conclusión de que la respuesta primigenia del </w:t>
      </w:r>
      <w:r w:rsidRPr="009E63DA">
        <w:rPr>
          <w:rFonts w:ascii="Palatino Linotype" w:hAnsi="Palatino Linotype" w:cs="Arial"/>
          <w:b/>
          <w:noProof/>
          <w:color w:val="000000"/>
          <w:lang w:eastAsia="es-MX"/>
        </w:rPr>
        <w:t xml:space="preserve">Sujeto Obligado </w:t>
      </w:r>
      <w:r w:rsidRPr="009E63DA">
        <w:rPr>
          <w:rFonts w:ascii="Palatino Linotype" w:hAnsi="Palatino Linotype" w:cs="Arial"/>
          <w:noProof/>
          <w:color w:val="000000"/>
          <w:lang w:eastAsia="es-MX"/>
        </w:rPr>
        <w:t xml:space="preserve">se encuentra dotada de los principios de </w:t>
      </w:r>
      <w:r w:rsidRPr="009E63DA">
        <w:rPr>
          <w:rFonts w:ascii="Palatino Linotype" w:hAnsi="Palatino Linotype" w:cs="Arial"/>
        </w:rPr>
        <w:t xml:space="preserve">congruencia </w:t>
      </w:r>
      <w:r w:rsidRPr="009E63DA">
        <w:rPr>
          <w:rFonts w:ascii="Palatino Linotype" w:hAnsi="Palatino Linotype" w:cs="Arial"/>
        </w:rPr>
        <w:lastRenderedPageBreak/>
        <w:t xml:space="preserve">y exhaustividad, los cuales a toda luz garantizan el derecho de acceso a la información pública. Robustece lo anterior el criterio </w:t>
      </w:r>
      <w:r w:rsidRPr="009E63DA">
        <w:rPr>
          <w:rFonts w:ascii="Palatino Linotype" w:hAnsi="Palatino Linotype" w:cs="Arial"/>
          <w:b/>
        </w:rPr>
        <w:t xml:space="preserve">02/17 </w:t>
      </w:r>
      <w:r w:rsidRPr="009E63DA">
        <w:rPr>
          <w:rFonts w:ascii="Palatino Linotype" w:hAnsi="Palatino Linotype" w:cs="Arial"/>
        </w:rPr>
        <w:t xml:space="preserve">del Instituto Nacional de Transparencia, Acceso a la Información y Protección de Datos Personales que dispone a la literalidad lo siguiente: </w:t>
      </w:r>
    </w:p>
    <w:p w14:paraId="0297308B" w14:textId="77777777" w:rsidR="004B6067" w:rsidRPr="009E63DA" w:rsidRDefault="004B6067" w:rsidP="004B6067">
      <w:pPr>
        <w:spacing w:before="240" w:line="360" w:lineRule="auto"/>
        <w:ind w:left="851" w:right="851"/>
        <w:jc w:val="both"/>
        <w:rPr>
          <w:rFonts w:ascii="Palatino Linotype" w:hAnsi="Palatino Linotype" w:cs="Arial"/>
          <w:b/>
          <w:i/>
        </w:rPr>
      </w:pPr>
      <w:r w:rsidRPr="009E63DA">
        <w:rPr>
          <w:rFonts w:ascii="Palatino Linotype" w:hAnsi="Palatino Linotype" w:cs="Arial"/>
          <w:b/>
          <w:i/>
        </w:rPr>
        <w:t xml:space="preserve">“CONGRUENCIA Y EXHAUSTIVIDAD. SUS ALCANCES PARA GARANTIZAR EL DERECHO DE ACCESO A LA INFORMACIÓN. </w:t>
      </w:r>
    </w:p>
    <w:p w14:paraId="7D2DF8CB" w14:textId="77777777" w:rsidR="004B6067" w:rsidRPr="009E63DA" w:rsidRDefault="004B6067" w:rsidP="004B6067">
      <w:pPr>
        <w:spacing w:before="240" w:line="360" w:lineRule="auto"/>
        <w:ind w:left="851" w:right="851"/>
        <w:jc w:val="both"/>
        <w:rPr>
          <w:rFonts w:ascii="Palatino Linotype" w:hAnsi="Palatino Linotype" w:cs="Arial"/>
          <w:i/>
        </w:rPr>
      </w:pPr>
      <w:r w:rsidRPr="009E63DA">
        <w:rPr>
          <w:rFonts w:ascii="Palatino Linotype" w:hAnsi="Palatino Linotype" w:cs="Arial"/>
          <w:i/>
        </w:rPr>
        <w:t xml:space="preserve">De conformidad con el artículo </w:t>
      </w:r>
      <w:r w:rsidRPr="009E63DA">
        <w:rPr>
          <w:rFonts w:ascii="Palatino Linotype" w:hAnsi="Palatino Linotype"/>
          <w:i/>
          <w:lang w:val="es-ES_tradnl"/>
        </w:rPr>
        <w:t>3 de la Ley Federal de Procedimiento Administrativo</w:t>
      </w:r>
      <w:r w:rsidRPr="009E63DA">
        <w:rPr>
          <w:rFonts w:ascii="Palatino Linotype" w:hAnsi="Palatino Linotype" w:cs="Arial"/>
          <w:i/>
        </w:rPr>
        <w:t>, de aplicación supletoria a la Ley Federal de Transparencia y Acceso a la Información Pública, en términos de su artículo 7</w:t>
      </w:r>
      <w:r w:rsidRPr="009E63DA">
        <w:rPr>
          <w:rFonts w:ascii="Palatino Linotype" w:hAnsi="Palatino Linotype" w:cs="Arial"/>
          <w:b/>
          <w:i/>
          <w:u w:val="single"/>
        </w:rPr>
        <w:t>; todo acto administrativo debe cumplir con los principios de congruencia y exhaustividad.</w:t>
      </w:r>
      <w:r w:rsidRPr="009E63DA">
        <w:rPr>
          <w:rFonts w:ascii="Palatino Linotype" w:hAnsi="Palatino Linotype" w:cs="Arial"/>
          <w:i/>
        </w:rPr>
        <w:t xml:space="preserve"> Para el efectivo ejercicio del derecho de acceso a la información, la congruencia implica que exista concordancia entre el requerimiento formulado por el particular y la respuesta proporcionada por el sujeto obligado; mientras que la exhaustividad significa que dicha respuesta se refiera expresamente a cada uno de los puntos solicitados. Por lo anterior, los sujetos obligados cumplirán con los principios de congruencia y exhaustividad, cuando las respuestas que emitan guarden una relación lógica con lo solicitado y atiendan de manera puntual y expresa, cada uno de los contenidos de información.</w:t>
      </w:r>
    </w:p>
    <w:p w14:paraId="67AE7BB5" w14:textId="77777777" w:rsidR="004B6067" w:rsidRPr="009E63DA" w:rsidRDefault="004B6067" w:rsidP="004B6067">
      <w:pPr>
        <w:numPr>
          <w:ilvl w:val="0"/>
          <w:numId w:val="10"/>
        </w:numPr>
        <w:spacing w:before="240"/>
        <w:ind w:right="851"/>
        <w:jc w:val="both"/>
        <w:rPr>
          <w:rFonts w:ascii="Palatino Linotype" w:hAnsi="Palatino Linotype" w:cs="Arial"/>
          <w:i/>
        </w:rPr>
      </w:pPr>
      <w:r w:rsidRPr="009E63DA">
        <w:rPr>
          <w:rFonts w:ascii="Palatino Linotype" w:hAnsi="Palatino Linotype" w:cs="Arial"/>
          <w:i/>
        </w:rPr>
        <w:t xml:space="preserve">RRA 0003/16 Comisión Nacional de las Zonas Áridas. 29 de junio de 2016. Por unanimidad. Comisionado Ponente Oscar Mauricio Guerra Ford. </w:t>
      </w:r>
    </w:p>
    <w:p w14:paraId="2BCCB82E" w14:textId="77777777" w:rsidR="004B6067" w:rsidRPr="009E63DA" w:rsidRDefault="004B6067" w:rsidP="004B6067">
      <w:pPr>
        <w:numPr>
          <w:ilvl w:val="0"/>
          <w:numId w:val="10"/>
        </w:numPr>
        <w:spacing w:before="240"/>
        <w:ind w:right="851"/>
        <w:jc w:val="both"/>
        <w:rPr>
          <w:rFonts w:ascii="Palatino Linotype" w:hAnsi="Palatino Linotype" w:cs="Arial"/>
          <w:i/>
        </w:rPr>
      </w:pPr>
      <w:r w:rsidRPr="009E63DA">
        <w:rPr>
          <w:rFonts w:ascii="Palatino Linotype" w:hAnsi="Palatino Linotype" w:cs="Arial"/>
          <w:i/>
        </w:rPr>
        <w:t xml:space="preserve">RRA 0100/16. Sindicato Nacional de Trabajadores de la Educación. 13 de julio de 2016. Por unanimidad. Comisionada Ponente Areli Cano Guadiana. </w:t>
      </w:r>
    </w:p>
    <w:p w14:paraId="67C285FD" w14:textId="77777777" w:rsidR="004B6067" w:rsidRPr="009E63DA" w:rsidRDefault="004B6067" w:rsidP="004B6067">
      <w:pPr>
        <w:numPr>
          <w:ilvl w:val="0"/>
          <w:numId w:val="10"/>
        </w:numPr>
        <w:spacing w:before="240"/>
        <w:ind w:right="851"/>
        <w:jc w:val="both"/>
        <w:rPr>
          <w:rFonts w:ascii="Palatino Linotype" w:hAnsi="Palatino Linotype"/>
          <w:b/>
          <w:lang w:val="es-ES_tradnl"/>
        </w:rPr>
      </w:pPr>
      <w:r w:rsidRPr="009E63DA">
        <w:rPr>
          <w:rFonts w:ascii="Palatino Linotype" w:hAnsi="Palatino Linotype" w:cs="Arial"/>
          <w:i/>
        </w:rPr>
        <w:lastRenderedPageBreak/>
        <w:t xml:space="preserve">RRA 1419/16 Secretaría de Educación Pública. 14 de septiembre de 2016. Por unanimidad. Comisionado Ponente </w:t>
      </w:r>
      <w:proofErr w:type="spellStart"/>
      <w:r w:rsidRPr="009E63DA">
        <w:rPr>
          <w:rFonts w:ascii="Palatino Linotype" w:hAnsi="Palatino Linotype" w:cs="Arial"/>
          <w:i/>
        </w:rPr>
        <w:t>Rosendoevgueni</w:t>
      </w:r>
      <w:proofErr w:type="spellEnd"/>
      <w:r w:rsidRPr="009E63DA">
        <w:rPr>
          <w:rFonts w:ascii="Palatino Linotype" w:hAnsi="Palatino Linotype" w:cs="Arial"/>
          <w:i/>
        </w:rPr>
        <w:t xml:space="preserve"> Monterrey </w:t>
      </w:r>
      <w:proofErr w:type="spellStart"/>
      <w:r w:rsidRPr="009E63DA">
        <w:rPr>
          <w:rFonts w:ascii="Palatino Linotype" w:hAnsi="Palatino Linotype" w:cs="Arial"/>
          <w:i/>
        </w:rPr>
        <w:t>Chepov</w:t>
      </w:r>
      <w:proofErr w:type="spellEnd"/>
      <w:r w:rsidRPr="009E63DA">
        <w:rPr>
          <w:rFonts w:ascii="Palatino Linotype" w:hAnsi="Palatino Linotype" w:cs="Arial"/>
          <w:i/>
        </w:rPr>
        <w:t xml:space="preserve">.” </w:t>
      </w:r>
      <w:r w:rsidRPr="009E63DA">
        <w:rPr>
          <w:rFonts w:ascii="Palatino Linotype" w:hAnsi="Palatino Linotype"/>
          <w:b/>
          <w:i/>
          <w:lang w:val="es-ES_tradnl"/>
        </w:rPr>
        <w:t>(Sic)</w:t>
      </w:r>
    </w:p>
    <w:p w14:paraId="2C9B2D7A" w14:textId="77777777" w:rsidR="004B6067" w:rsidRPr="009E63DA" w:rsidRDefault="004B6067" w:rsidP="004B6067">
      <w:pPr>
        <w:spacing w:line="360" w:lineRule="auto"/>
        <w:jc w:val="both"/>
        <w:rPr>
          <w:rFonts w:ascii="Palatino Linotype" w:hAnsi="Palatino Linotype" w:cs="Arial"/>
          <w:noProof/>
          <w:color w:val="000000"/>
          <w:lang w:eastAsia="es-MX"/>
        </w:rPr>
      </w:pPr>
    </w:p>
    <w:p w14:paraId="582C70BE" w14:textId="77777777" w:rsidR="004B6067" w:rsidRPr="009E63DA" w:rsidRDefault="004B6067" w:rsidP="004B6067">
      <w:pPr>
        <w:spacing w:line="360" w:lineRule="auto"/>
        <w:jc w:val="both"/>
        <w:rPr>
          <w:rFonts w:ascii="Palatino Linotype" w:hAnsi="Palatino Linotype" w:cs="Arial"/>
          <w:noProof/>
          <w:color w:val="000000"/>
          <w:lang w:eastAsia="es-MX"/>
        </w:rPr>
      </w:pPr>
      <w:r w:rsidRPr="009E63DA">
        <w:rPr>
          <w:rFonts w:ascii="Palatino Linotype" w:hAnsi="Palatino Linotype" w:cs="Arial"/>
          <w:noProof/>
          <w:color w:val="000000"/>
          <w:lang w:eastAsia="es-MX"/>
        </w:rPr>
        <w:t xml:space="preserve">Con base en lo anteriormente expuesto, se arriba a la conclusión de que la respuesta del </w:t>
      </w:r>
      <w:r w:rsidRPr="009E63DA">
        <w:rPr>
          <w:rFonts w:ascii="Palatino Linotype" w:hAnsi="Palatino Linotype" w:cs="Arial"/>
          <w:b/>
          <w:noProof/>
          <w:color w:val="000000"/>
          <w:lang w:eastAsia="es-MX"/>
        </w:rPr>
        <w:t xml:space="preserve">Sujeto Obligado </w:t>
      </w:r>
      <w:r w:rsidRPr="009E63DA">
        <w:rPr>
          <w:rFonts w:ascii="Palatino Linotype" w:hAnsi="Palatino Linotype" w:cs="Arial"/>
          <w:noProof/>
          <w:color w:val="000000"/>
          <w:lang w:eastAsia="es-MX"/>
        </w:rPr>
        <w:t xml:space="preserve">colmó el derecho de acceso a la información ejercido por el particular. </w:t>
      </w:r>
    </w:p>
    <w:p w14:paraId="3BEE178B" w14:textId="77777777" w:rsidR="004B6067" w:rsidRDefault="004B6067" w:rsidP="004B6067">
      <w:pPr>
        <w:pBdr>
          <w:top w:val="nil"/>
          <w:left w:val="nil"/>
          <w:bottom w:val="nil"/>
          <w:right w:val="nil"/>
          <w:between w:val="nil"/>
        </w:pBdr>
        <w:spacing w:line="360" w:lineRule="auto"/>
        <w:contextualSpacing/>
        <w:jc w:val="both"/>
        <w:rPr>
          <w:rFonts w:ascii="Palatino Linotype" w:eastAsia="Palatino Linotype" w:hAnsi="Palatino Linotype" w:cs="Palatino Linotype"/>
          <w:color w:val="000000"/>
        </w:rPr>
      </w:pPr>
    </w:p>
    <w:p w14:paraId="380A0644" w14:textId="77777777" w:rsidR="004B6067" w:rsidRPr="004B6067" w:rsidRDefault="004B6067" w:rsidP="004B6067">
      <w:pPr>
        <w:spacing w:line="360" w:lineRule="auto"/>
        <w:jc w:val="both"/>
        <w:rPr>
          <w:rFonts w:ascii="Palatino Linotype" w:hAnsi="Palatino Linotype"/>
          <w:highlight w:val="yellow"/>
        </w:rPr>
      </w:pPr>
      <w:r w:rsidRPr="004B6067">
        <w:rPr>
          <w:rFonts w:ascii="Palatino Linotype" w:hAnsi="Palatino Linotype"/>
          <w:highlight w:val="yellow"/>
        </w:rPr>
        <w:t xml:space="preserve">En mérito de lo expuesto en líneas anteriores, resultan infundados los motivos de inconformidad que arguye la parte </w:t>
      </w:r>
      <w:r w:rsidRPr="004B6067">
        <w:rPr>
          <w:rFonts w:ascii="Palatino Linotype" w:hAnsi="Palatino Linotype"/>
          <w:b/>
          <w:highlight w:val="yellow"/>
        </w:rPr>
        <w:t xml:space="preserve">RECURRENTE </w:t>
      </w:r>
      <w:r w:rsidRPr="004B6067">
        <w:rPr>
          <w:rFonts w:ascii="Palatino Linotype" w:hAnsi="Palatino Linotype"/>
          <w:highlight w:val="yellow"/>
        </w:rPr>
        <w:t xml:space="preserve">en su medio de impugnación que fuera materia de estudio, por ello con fundamento en el artículo 186 fracción II de la Ley de Transparencia y Acceso a la Información Pública del Estado de México y Municipios, se </w:t>
      </w:r>
      <w:r w:rsidRPr="004B6067">
        <w:rPr>
          <w:rFonts w:ascii="Palatino Linotype" w:hAnsi="Palatino Linotype"/>
          <w:b/>
          <w:highlight w:val="yellow"/>
        </w:rPr>
        <w:t xml:space="preserve">CONFIRMA </w:t>
      </w:r>
      <w:r w:rsidRPr="004B6067">
        <w:rPr>
          <w:rFonts w:ascii="Palatino Linotype" w:hAnsi="Palatino Linotype"/>
          <w:highlight w:val="yellow"/>
        </w:rPr>
        <w:t xml:space="preserve">la respuesta a la solicitud de información número </w:t>
      </w:r>
      <w:r w:rsidRPr="004B6067">
        <w:rPr>
          <w:rFonts w:ascii="Palatino Linotype" w:hAnsi="Palatino Linotype"/>
          <w:b/>
          <w:highlight w:val="yellow"/>
        </w:rPr>
        <w:t xml:space="preserve">00187/MEXICAL/IP/2024, </w:t>
      </w:r>
      <w:r w:rsidRPr="004B6067">
        <w:rPr>
          <w:rFonts w:ascii="Palatino Linotype" w:hAnsi="Palatino Linotype"/>
          <w:highlight w:val="yellow"/>
        </w:rPr>
        <w:t xml:space="preserve">que ha sido materia del presente fallo. </w:t>
      </w:r>
    </w:p>
    <w:p w14:paraId="739F1F37" w14:textId="77777777" w:rsidR="004B6067" w:rsidRPr="009E63DA" w:rsidRDefault="004B6067" w:rsidP="004B6067">
      <w:pPr>
        <w:tabs>
          <w:tab w:val="left" w:pos="709"/>
        </w:tabs>
        <w:spacing w:before="240" w:line="360" w:lineRule="auto"/>
        <w:ind w:right="51"/>
        <w:jc w:val="both"/>
        <w:rPr>
          <w:rFonts w:ascii="Palatino Linotype" w:hAnsi="Palatino Linotype"/>
        </w:rPr>
      </w:pPr>
      <w:r w:rsidRPr="004B6067">
        <w:rPr>
          <w:rFonts w:ascii="Palatino Linotype" w:hAnsi="Palatino Linotype"/>
          <w:highlight w:val="yellow"/>
        </w:rPr>
        <w:t>Por lo antes expuesto y fundado es de resolverse y,</w:t>
      </w:r>
      <w:r w:rsidRPr="009E63DA">
        <w:rPr>
          <w:rFonts w:ascii="Palatino Linotype" w:hAnsi="Palatino Linotype"/>
        </w:rPr>
        <w:t xml:space="preserve"> </w:t>
      </w:r>
    </w:p>
    <w:p w14:paraId="3A7D69E1" w14:textId="77777777" w:rsidR="004B6067" w:rsidRPr="009E63DA" w:rsidRDefault="004B6067" w:rsidP="004B6067">
      <w:pPr>
        <w:spacing w:line="360" w:lineRule="auto"/>
        <w:jc w:val="both"/>
        <w:rPr>
          <w:rFonts w:ascii="Palatino Linotype" w:hAnsi="Palatino Linotype"/>
        </w:rPr>
      </w:pPr>
    </w:p>
    <w:p w14:paraId="7853C1F7" w14:textId="77777777" w:rsidR="004B6067" w:rsidRPr="009E63DA" w:rsidRDefault="004B6067" w:rsidP="004B6067">
      <w:pPr>
        <w:spacing w:line="360" w:lineRule="auto"/>
        <w:jc w:val="center"/>
        <w:rPr>
          <w:rFonts w:ascii="Palatino Linotype" w:hAnsi="Palatino Linotype"/>
          <w:bCs/>
          <w:spacing w:val="60"/>
          <w:lang w:val="es-ES_tradnl"/>
        </w:rPr>
      </w:pPr>
      <w:r w:rsidRPr="009E63DA">
        <w:rPr>
          <w:rFonts w:ascii="Palatino Linotype" w:hAnsi="Palatino Linotype"/>
          <w:b/>
          <w:bCs/>
          <w:spacing w:val="60"/>
          <w:sz w:val="28"/>
          <w:lang w:val="es-ES_tradnl"/>
        </w:rPr>
        <w:t>SE    RESUELVE</w:t>
      </w:r>
    </w:p>
    <w:p w14:paraId="404509C8" w14:textId="77777777" w:rsidR="004B6067" w:rsidRPr="009E63DA" w:rsidRDefault="004B6067" w:rsidP="004B6067">
      <w:pPr>
        <w:autoSpaceDE w:val="0"/>
        <w:autoSpaceDN w:val="0"/>
        <w:adjustRightInd w:val="0"/>
        <w:spacing w:line="360" w:lineRule="auto"/>
        <w:ind w:right="49"/>
        <w:jc w:val="both"/>
        <w:rPr>
          <w:rFonts w:ascii="Palatino Linotype" w:hAnsi="Palatino Linotype" w:cs="Arial"/>
          <w:sz w:val="28"/>
          <w:szCs w:val="28"/>
          <w:lang w:val="es-ES_tradnl"/>
        </w:rPr>
      </w:pPr>
    </w:p>
    <w:p w14:paraId="33950A9C" w14:textId="77777777" w:rsidR="004B6067" w:rsidRPr="004B6067" w:rsidRDefault="004B6067" w:rsidP="004B6067">
      <w:pPr>
        <w:spacing w:before="240" w:line="360" w:lineRule="auto"/>
        <w:jc w:val="both"/>
        <w:rPr>
          <w:rFonts w:ascii="Palatino Linotype" w:hAnsi="Palatino Linotype" w:cs="Arial"/>
          <w:highlight w:val="yellow"/>
        </w:rPr>
      </w:pPr>
      <w:r w:rsidRPr="004B6067">
        <w:rPr>
          <w:rFonts w:ascii="Palatino Linotype" w:hAnsi="Palatino Linotype" w:cs="Arial"/>
          <w:b/>
          <w:sz w:val="28"/>
          <w:szCs w:val="28"/>
          <w:highlight w:val="yellow"/>
          <w:lang w:val="es-ES_tradnl"/>
        </w:rPr>
        <w:t>PRIMERO.</w:t>
      </w:r>
      <w:r w:rsidRPr="004B6067">
        <w:rPr>
          <w:rFonts w:ascii="Palatino Linotype" w:hAnsi="Palatino Linotype" w:cs="Arial"/>
          <w:highlight w:val="yellow"/>
          <w:lang w:val="es-ES_tradnl"/>
        </w:rPr>
        <w:t xml:space="preserve"> Se </w:t>
      </w:r>
      <w:r w:rsidRPr="004B6067">
        <w:rPr>
          <w:rFonts w:ascii="Palatino Linotype" w:hAnsi="Palatino Linotype" w:cs="Arial"/>
          <w:b/>
          <w:highlight w:val="yellow"/>
          <w:lang w:val="es-ES_tradnl"/>
        </w:rPr>
        <w:t>CONFIRMA</w:t>
      </w:r>
      <w:r w:rsidRPr="004B6067">
        <w:rPr>
          <w:rFonts w:ascii="Palatino Linotype" w:hAnsi="Palatino Linotype" w:cs="Arial"/>
          <w:highlight w:val="yellow"/>
          <w:lang w:val="es-ES_tradnl"/>
        </w:rPr>
        <w:t xml:space="preserve"> </w:t>
      </w:r>
      <w:r w:rsidRPr="004B6067">
        <w:rPr>
          <w:rFonts w:ascii="Palatino Linotype" w:eastAsia="Arial Unicode MS" w:hAnsi="Palatino Linotype" w:cs="Arial"/>
          <w:highlight w:val="yellow"/>
        </w:rPr>
        <w:t xml:space="preserve">la respuesta entregada por </w:t>
      </w:r>
      <w:r w:rsidRPr="004B6067">
        <w:rPr>
          <w:rFonts w:ascii="Palatino Linotype" w:eastAsia="Arial Unicode MS" w:hAnsi="Palatino Linotype" w:cs="Arial"/>
          <w:b/>
          <w:highlight w:val="yellow"/>
        </w:rPr>
        <w:t xml:space="preserve">EL SUJETO OBLIGADO </w:t>
      </w:r>
      <w:r w:rsidRPr="004B6067">
        <w:rPr>
          <w:rFonts w:ascii="Palatino Linotype" w:eastAsia="Arial Unicode MS" w:hAnsi="Palatino Linotype" w:cs="Arial"/>
          <w:highlight w:val="yellow"/>
        </w:rPr>
        <w:t xml:space="preserve">a la solicitud de información número </w:t>
      </w:r>
      <w:r w:rsidRPr="004B6067">
        <w:rPr>
          <w:rFonts w:ascii="Palatino Linotype" w:hAnsi="Palatino Linotype"/>
          <w:b/>
          <w:highlight w:val="yellow"/>
        </w:rPr>
        <w:t xml:space="preserve">00187/MEXICAL/IP/2024, </w:t>
      </w:r>
      <w:r w:rsidRPr="004B6067">
        <w:rPr>
          <w:rFonts w:ascii="Palatino Linotype" w:eastAsia="Arial Unicode MS" w:hAnsi="Palatino Linotype" w:cs="Arial"/>
          <w:highlight w:val="yellow"/>
        </w:rPr>
        <w:t xml:space="preserve">por resultar infundados los motivos de inconformidad que arguye </w:t>
      </w:r>
      <w:r w:rsidRPr="004B6067">
        <w:rPr>
          <w:rFonts w:ascii="Palatino Linotype" w:hAnsi="Palatino Linotype"/>
          <w:highlight w:val="yellow"/>
        </w:rPr>
        <w:t xml:space="preserve">la parte </w:t>
      </w:r>
      <w:r w:rsidRPr="004B6067">
        <w:rPr>
          <w:rFonts w:ascii="Palatino Linotype" w:eastAsia="Arial Unicode MS" w:hAnsi="Palatino Linotype" w:cs="Arial"/>
          <w:b/>
          <w:highlight w:val="yellow"/>
        </w:rPr>
        <w:t>RECURRENTE</w:t>
      </w:r>
      <w:r w:rsidRPr="004B6067">
        <w:rPr>
          <w:rFonts w:ascii="Palatino Linotype" w:eastAsia="Arial Unicode MS" w:hAnsi="Palatino Linotype" w:cs="Arial"/>
          <w:highlight w:val="yellow"/>
        </w:rPr>
        <w:t>, en términos del</w:t>
      </w:r>
      <w:r w:rsidRPr="004B6067">
        <w:rPr>
          <w:rFonts w:ascii="Palatino Linotype" w:eastAsia="Arial Unicode MS" w:hAnsi="Palatino Linotype" w:cs="Arial"/>
          <w:b/>
          <w:highlight w:val="yellow"/>
        </w:rPr>
        <w:t xml:space="preserve"> </w:t>
      </w:r>
      <w:r w:rsidRPr="004B6067">
        <w:rPr>
          <w:rFonts w:ascii="Palatino Linotype" w:hAnsi="Palatino Linotype" w:cs="Arial"/>
          <w:b/>
          <w:highlight w:val="yellow"/>
        </w:rPr>
        <w:t>Considerando CUARTO</w:t>
      </w:r>
      <w:r w:rsidRPr="004B6067">
        <w:rPr>
          <w:rFonts w:ascii="Palatino Linotype" w:hAnsi="Palatino Linotype" w:cs="Arial"/>
          <w:highlight w:val="yellow"/>
        </w:rPr>
        <w:t xml:space="preserve"> de la presente resolución.</w:t>
      </w:r>
    </w:p>
    <w:p w14:paraId="77C4CB0D" w14:textId="77777777" w:rsidR="004B6067" w:rsidRPr="004B6067" w:rsidRDefault="004B6067" w:rsidP="004B6067">
      <w:pPr>
        <w:autoSpaceDE w:val="0"/>
        <w:autoSpaceDN w:val="0"/>
        <w:adjustRightInd w:val="0"/>
        <w:spacing w:before="240" w:line="360" w:lineRule="auto"/>
        <w:jc w:val="both"/>
        <w:rPr>
          <w:rFonts w:ascii="Palatino Linotype" w:hAnsi="Palatino Linotype" w:cs="Arial"/>
          <w:b/>
          <w:highlight w:val="yellow"/>
        </w:rPr>
      </w:pPr>
      <w:r w:rsidRPr="004B6067">
        <w:rPr>
          <w:rFonts w:ascii="Palatino Linotype" w:hAnsi="Palatino Linotype" w:cs="Arial"/>
          <w:b/>
          <w:sz w:val="28"/>
          <w:szCs w:val="28"/>
          <w:highlight w:val="yellow"/>
        </w:rPr>
        <w:lastRenderedPageBreak/>
        <w:t>SEGUNDO.</w:t>
      </w:r>
      <w:r w:rsidRPr="004B6067">
        <w:rPr>
          <w:rFonts w:ascii="Palatino Linotype" w:hAnsi="Palatino Linotype" w:cs="Arial"/>
          <w:b/>
          <w:highlight w:val="yellow"/>
        </w:rPr>
        <w:t xml:space="preserve"> Notifíquese</w:t>
      </w:r>
      <w:r w:rsidRPr="004B6067">
        <w:rPr>
          <w:rFonts w:ascii="Palatino Linotype" w:hAnsi="Palatino Linotype" w:cs="Arial"/>
          <w:b/>
          <w:i/>
          <w:highlight w:val="yellow"/>
        </w:rPr>
        <w:t xml:space="preserve"> </w:t>
      </w:r>
      <w:r w:rsidRPr="004B6067">
        <w:rPr>
          <w:rFonts w:ascii="Palatino Linotype" w:hAnsi="Palatino Linotype" w:cs="Arial"/>
          <w:highlight w:val="yellow"/>
        </w:rPr>
        <w:t xml:space="preserve">la presente resolución al Titular de la Unidad de Transparencia del </w:t>
      </w:r>
      <w:r w:rsidRPr="004B6067">
        <w:rPr>
          <w:rFonts w:ascii="Palatino Linotype" w:hAnsi="Palatino Linotype" w:cs="Arial"/>
          <w:b/>
          <w:highlight w:val="yellow"/>
        </w:rPr>
        <w:t xml:space="preserve">SUJETO OBLIGADO </w:t>
      </w:r>
      <w:r w:rsidRPr="004B6067">
        <w:rPr>
          <w:rFonts w:ascii="Palatino Linotype" w:hAnsi="Palatino Linotype" w:cs="Arial"/>
          <w:highlight w:val="yellow"/>
        </w:rPr>
        <w:t xml:space="preserve">a través del Sistema de Acceso a la Información Mexiquense </w:t>
      </w:r>
      <w:r w:rsidRPr="004B6067">
        <w:rPr>
          <w:rFonts w:ascii="Palatino Linotype" w:hAnsi="Palatino Linotype" w:cs="Arial"/>
          <w:b/>
          <w:highlight w:val="yellow"/>
        </w:rPr>
        <w:t xml:space="preserve">(SAIMEX).  </w:t>
      </w:r>
    </w:p>
    <w:p w14:paraId="53AE9D65" w14:textId="77777777" w:rsidR="004B6067" w:rsidRPr="004B6067" w:rsidRDefault="004B6067" w:rsidP="004B6067">
      <w:pPr>
        <w:autoSpaceDE w:val="0"/>
        <w:autoSpaceDN w:val="0"/>
        <w:adjustRightInd w:val="0"/>
        <w:spacing w:before="240" w:line="360" w:lineRule="auto"/>
        <w:jc w:val="both"/>
        <w:rPr>
          <w:rFonts w:ascii="Palatino Linotype" w:hAnsi="Palatino Linotype" w:cs="Arial"/>
          <w:b/>
          <w:highlight w:val="yellow"/>
        </w:rPr>
      </w:pPr>
      <w:r w:rsidRPr="004B6067">
        <w:rPr>
          <w:rFonts w:ascii="Palatino Linotype" w:hAnsi="Palatino Linotype" w:cs="Arial"/>
          <w:b/>
          <w:sz w:val="28"/>
          <w:szCs w:val="28"/>
          <w:highlight w:val="yellow"/>
        </w:rPr>
        <w:t>TERCERO</w:t>
      </w:r>
      <w:r w:rsidRPr="004B6067">
        <w:rPr>
          <w:rFonts w:ascii="Palatino Linotype" w:hAnsi="Palatino Linotype" w:cs="Arial"/>
          <w:sz w:val="28"/>
          <w:szCs w:val="28"/>
          <w:highlight w:val="yellow"/>
        </w:rPr>
        <w:t>.</w:t>
      </w:r>
      <w:r w:rsidRPr="004B6067">
        <w:rPr>
          <w:rFonts w:ascii="Palatino Linotype" w:hAnsi="Palatino Linotype" w:cs="Arial"/>
          <w:highlight w:val="yellow"/>
        </w:rPr>
        <w:t xml:space="preserve"> </w:t>
      </w:r>
      <w:r w:rsidRPr="004B6067">
        <w:rPr>
          <w:rFonts w:ascii="Palatino Linotype" w:hAnsi="Palatino Linotype" w:cs="Arial"/>
          <w:b/>
          <w:bCs/>
          <w:color w:val="222222"/>
          <w:highlight w:val="yellow"/>
          <w:shd w:val="clear" w:color="auto" w:fill="FFFFFF"/>
        </w:rPr>
        <w:t>Notifíquese</w:t>
      </w:r>
      <w:r w:rsidRPr="004B6067">
        <w:rPr>
          <w:rFonts w:ascii="Palatino Linotype" w:hAnsi="Palatino Linotype" w:cs="Arial"/>
          <w:highlight w:val="yellow"/>
        </w:rPr>
        <w:t xml:space="preserve"> la presente resolución a </w:t>
      </w:r>
      <w:r w:rsidRPr="004B6067">
        <w:rPr>
          <w:rFonts w:ascii="Palatino Linotype" w:hAnsi="Palatino Linotype"/>
          <w:highlight w:val="yellow"/>
        </w:rPr>
        <w:t xml:space="preserve">la parte </w:t>
      </w:r>
      <w:r w:rsidRPr="004B6067">
        <w:rPr>
          <w:rFonts w:ascii="Palatino Linotype" w:hAnsi="Palatino Linotype" w:cs="Arial"/>
          <w:b/>
          <w:highlight w:val="yellow"/>
        </w:rPr>
        <w:t xml:space="preserve">RECURRENTE </w:t>
      </w:r>
      <w:r w:rsidRPr="004B6067">
        <w:rPr>
          <w:rFonts w:ascii="Palatino Linotype" w:hAnsi="Palatino Linotype" w:cs="Arial"/>
          <w:highlight w:val="yellow"/>
        </w:rPr>
        <w:t xml:space="preserve">a través del Sistema de Acceso a la Información Mexiquense </w:t>
      </w:r>
      <w:r w:rsidRPr="004B6067">
        <w:rPr>
          <w:rFonts w:ascii="Palatino Linotype" w:hAnsi="Palatino Linotype" w:cs="Arial"/>
          <w:b/>
          <w:highlight w:val="yellow"/>
        </w:rPr>
        <w:t>(SAIMEX).</w:t>
      </w:r>
    </w:p>
    <w:p w14:paraId="6CD90647" w14:textId="77777777" w:rsidR="004B6067" w:rsidRDefault="004B6067" w:rsidP="004B6067">
      <w:pPr>
        <w:autoSpaceDE w:val="0"/>
        <w:autoSpaceDN w:val="0"/>
        <w:adjustRightInd w:val="0"/>
        <w:spacing w:before="240" w:line="360" w:lineRule="auto"/>
        <w:jc w:val="both"/>
        <w:rPr>
          <w:rFonts w:ascii="Palatino Linotype" w:hAnsi="Palatino Linotype" w:cs="Arial"/>
        </w:rPr>
      </w:pPr>
      <w:r w:rsidRPr="004B6067">
        <w:rPr>
          <w:rFonts w:ascii="Palatino Linotype" w:hAnsi="Palatino Linotype" w:cs="Arial"/>
          <w:b/>
          <w:sz w:val="28"/>
          <w:szCs w:val="28"/>
          <w:highlight w:val="yellow"/>
        </w:rPr>
        <w:t xml:space="preserve">CUARTO. </w:t>
      </w:r>
      <w:r w:rsidRPr="004B6067">
        <w:rPr>
          <w:rFonts w:ascii="Palatino Linotype" w:hAnsi="Palatino Linotype" w:cs="Arial"/>
          <w:highlight w:val="yellow"/>
        </w:rPr>
        <w:t xml:space="preserve">Se hace del conocimiento de </w:t>
      </w:r>
      <w:r w:rsidRPr="004B6067">
        <w:rPr>
          <w:rFonts w:ascii="Palatino Linotype" w:hAnsi="Palatino Linotype"/>
          <w:highlight w:val="yellow"/>
        </w:rPr>
        <w:t xml:space="preserve">la parte </w:t>
      </w:r>
      <w:r w:rsidRPr="004B6067">
        <w:rPr>
          <w:rFonts w:ascii="Palatino Linotype" w:hAnsi="Palatino Linotype" w:cs="Arial"/>
          <w:b/>
          <w:highlight w:val="yellow"/>
        </w:rPr>
        <w:t xml:space="preserve">RECURRENTE </w:t>
      </w:r>
      <w:r w:rsidRPr="004B6067">
        <w:rPr>
          <w:rFonts w:ascii="Palatino Linotype" w:hAnsi="Palatino Linotype" w:cs="Arial"/>
          <w:highlight w:val="yellow"/>
        </w:rPr>
        <w:t>que, de conformidad con lo establecido en el artículo 196 de la Ley de Transparencia y Acceso a la Información Pública del Estado de México y Municipios, en caso de que considere que la resolución le cause algún perjuicio podrá impugnarla vía juicio de amparo en los términos de las leyes aplicables.</w:t>
      </w:r>
      <w:r w:rsidRPr="009E63DA">
        <w:rPr>
          <w:rFonts w:ascii="Palatino Linotype" w:hAnsi="Palatino Linotype" w:cs="Arial"/>
        </w:rPr>
        <w:t xml:space="preserve"> </w:t>
      </w:r>
    </w:p>
    <w:p w14:paraId="5CD2C2C9" w14:textId="77777777" w:rsidR="00C14D07" w:rsidRPr="007C3942" w:rsidRDefault="00C14D07" w:rsidP="00C14D07">
      <w:pPr>
        <w:spacing w:line="360" w:lineRule="auto"/>
        <w:jc w:val="both"/>
        <w:rPr>
          <w:rFonts w:ascii="Palatino Linotype" w:hAnsi="Palatino Linotype"/>
          <w:lang w:eastAsia="es-ES_tradnl"/>
        </w:rPr>
      </w:pPr>
    </w:p>
    <w:p w14:paraId="12CFB94A" w14:textId="4A830F11" w:rsidR="00C14D07" w:rsidRPr="00A151D0" w:rsidRDefault="00C14D07" w:rsidP="00D52736">
      <w:pPr>
        <w:spacing w:line="360" w:lineRule="auto"/>
        <w:jc w:val="both"/>
        <w:rPr>
          <w:rFonts w:ascii="Palatino Linotype" w:hAnsi="Palatino Linotype" w:cs="Arial"/>
          <w:sz w:val="20"/>
        </w:rPr>
      </w:pPr>
      <w:r w:rsidRPr="007C3942">
        <w:rPr>
          <w:rFonts w:ascii="Palatino Linotype" w:hAnsi="Palatino Linotype" w:cs="Arial"/>
        </w:rPr>
        <w:t>ASÍ LO RESUELVE, POR UNANIMIDAD DE VOTOS EL PLENO DEL</w:t>
      </w:r>
      <w:r w:rsidRPr="007C3942">
        <w:rPr>
          <w:rFonts w:ascii="Palatino Linotype" w:eastAsia="Arial Unicode MS" w:hAnsi="Palatino Linotype" w:cs="Arial"/>
        </w:rPr>
        <w:t xml:space="preserve"> INSTITUTO DE TRANSPARENCIA, ACCESO A LA INFORMACIÓN PÚBLICA Y PROTECCIÓN DE DATOS PERSONALES DEL ESTADO DE MÉXICO Y MUNICIPIOS</w:t>
      </w:r>
      <w:r w:rsidRPr="007C3942">
        <w:rPr>
          <w:rFonts w:ascii="Palatino Linotype" w:hAnsi="Palatino Linotype" w:cs="Arial"/>
        </w:rPr>
        <w:t xml:space="preserve">, CONFORMADO POR LOS COMISIONADOS JOSÉ MARTÍNEZ VILCHIS, MARÍA DEL ROSARIO MEJÍA AYALA, SHARON CRISTINA MORALES MARTÍNEZ, LUIS GUSTAVO PARRA NORIEGA Y GUADALUPE RAMÍREZ PEÑA, EN LA </w:t>
      </w:r>
      <w:r w:rsidR="0022617C">
        <w:rPr>
          <w:rFonts w:ascii="Palatino Linotype" w:hAnsi="Palatino Linotype" w:cs="Arial"/>
        </w:rPr>
        <w:t>SEGUNDA</w:t>
      </w:r>
      <w:r>
        <w:rPr>
          <w:rFonts w:ascii="Palatino Linotype" w:hAnsi="Palatino Linotype" w:cs="Arial"/>
        </w:rPr>
        <w:t xml:space="preserve"> </w:t>
      </w:r>
      <w:r w:rsidRPr="007C3942">
        <w:rPr>
          <w:rFonts w:ascii="Palatino Linotype" w:hAnsi="Palatino Linotype" w:cs="Arial"/>
        </w:rPr>
        <w:t>SESIÓN ORDINARIA CELEBRADA EL</w:t>
      </w:r>
      <w:r>
        <w:rPr>
          <w:rFonts w:ascii="Palatino Linotype" w:hAnsi="Palatino Linotype" w:cs="Arial"/>
        </w:rPr>
        <w:t xml:space="preserve"> </w:t>
      </w:r>
      <w:r w:rsidR="0022617C">
        <w:rPr>
          <w:rFonts w:ascii="Palatino Linotype" w:hAnsi="Palatino Linotype" w:cs="Arial"/>
        </w:rPr>
        <w:t>VEINTIDÓS DE ENERO DE DOS MIL VEINTICINCO</w:t>
      </w:r>
      <w:r w:rsidRPr="007C3942">
        <w:rPr>
          <w:rFonts w:ascii="Palatino Linotype" w:hAnsi="Palatino Linotype" w:cs="Arial"/>
        </w:rPr>
        <w:t>, ANTE EL SECRETARIO TÉCNICO DEL PLENO, ALEXIS TAPIA RAMÍREZ. ------------------------------------------</w:t>
      </w:r>
      <w:r>
        <w:rPr>
          <w:rFonts w:ascii="Palatino Linotype" w:hAnsi="Palatino Linotype" w:cs="Arial"/>
        </w:rPr>
        <w:t>-------------</w:t>
      </w:r>
      <w:r w:rsidRPr="007C3942">
        <w:rPr>
          <w:rFonts w:ascii="Palatino Linotype" w:hAnsi="Palatino Linotype" w:cs="Arial"/>
        </w:rPr>
        <w:t>----------------------</w:t>
      </w:r>
      <w:r>
        <w:rPr>
          <w:rFonts w:ascii="Palatino Linotype" w:hAnsi="Palatino Linotype" w:cs="Arial"/>
        </w:rPr>
        <w:t>---------------------------------------------------------------------------------------------------------------------------------------------------------------------------------------------------------------------------------------------------------------------------------------------------------------------------------------------------------------------------</w:t>
      </w:r>
    </w:p>
    <w:p w14:paraId="4603F46B" w14:textId="77777777" w:rsidR="00C14D07" w:rsidRPr="00E23C8F" w:rsidRDefault="00C14D07" w:rsidP="00C14D07">
      <w:pPr>
        <w:spacing w:line="360" w:lineRule="auto"/>
        <w:jc w:val="both"/>
        <w:rPr>
          <w:rFonts w:ascii="Palatino Linotype" w:hAnsi="Palatino Linotype" w:cs="Arial"/>
          <w:sz w:val="16"/>
        </w:rPr>
      </w:pPr>
      <w:r>
        <w:rPr>
          <w:rFonts w:ascii="Palatino Linotype" w:hAnsi="Palatino Linotype" w:cs="Arial"/>
          <w:sz w:val="16"/>
        </w:rPr>
        <w:t>JMV/CCR/</w:t>
      </w:r>
      <w:r w:rsidR="00E3726C">
        <w:rPr>
          <w:rFonts w:ascii="Palatino Linotype" w:hAnsi="Palatino Linotype" w:cs="Arial"/>
          <w:sz w:val="16"/>
        </w:rPr>
        <w:t>LMST</w:t>
      </w:r>
    </w:p>
    <w:p w14:paraId="20C490FA" w14:textId="77777777" w:rsidR="00C14D07" w:rsidRDefault="00C14D07" w:rsidP="00C14D07"/>
    <w:p w14:paraId="2FFA9413" w14:textId="77777777" w:rsidR="00C14D07" w:rsidRDefault="00C14D07" w:rsidP="00C14D07"/>
    <w:p w14:paraId="3B0F5ACB" w14:textId="77777777" w:rsidR="00C14D07" w:rsidRDefault="00C14D07" w:rsidP="00C14D07"/>
    <w:p w14:paraId="571AF8EF" w14:textId="77777777" w:rsidR="00C14D07" w:rsidRDefault="00C14D07" w:rsidP="00C14D07"/>
    <w:p w14:paraId="40CCC4D6" w14:textId="77777777" w:rsidR="00C14D07" w:rsidRDefault="00C14D07" w:rsidP="00C14D07"/>
    <w:p w14:paraId="0AA821AF" w14:textId="77777777" w:rsidR="00C14D07" w:rsidRDefault="00C14D07" w:rsidP="00C14D07"/>
    <w:p w14:paraId="6F20E52D" w14:textId="77777777" w:rsidR="00C14D07" w:rsidRDefault="00C14D07" w:rsidP="00C14D07"/>
    <w:p w14:paraId="5C04EECD" w14:textId="77777777" w:rsidR="00C14D07" w:rsidRDefault="00C14D07" w:rsidP="00C14D07"/>
    <w:p w14:paraId="444A0743" w14:textId="77777777" w:rsidR="00C14D07" w:rsidRDefault="00C14D07" w:rsidP="00C14D07"/>
    <w:p w14:paraId="6705788B" w14:textId="77777777" w:rsidR="00C14D07" w:rsidRDefault="00C14D07" w:rsidP="00C14D07"/>
    <w:p w14:paraId="57EE5937" w14:textId="77777777" w:rsidR="00C14D07" w:rsidRDefault="00C14D07" w:rsidP="00C14D07"/>
    <w:p w14:paraId="6DE18252" w14:textId="77777777" w:rsidR="00C14D07" w:rsidRDefault="00C14D07" w:rsidP="00C14D07"/>
    <w:p w14:paraId="7F5180D7" w14:textId="77777777" w:rsidR="00C14D07" w:rsidRDefault="00C14D07" w:rsidP="00C14D07"/>
    <w:p w14:paraId="74C8BE73" w14:textId="77777777" w:rsidR="00C14D07" w:rsidRDefault="00C14D07" w:rsidP="00C14D07"/>
    <w:p w14:paraId="543F35D7" w14:textId="77777777" w:rsidR="00C14D07" w:rsidRDefault="00C14D07" w:rsidP="00C14D07"/>
    <w:p w14:paraId="180160E2" w14:textId="77777777" w:rsidR="00C14D07" w:rsidRDefault="00C14D07" w:rsidP="00C14D07"/>
    <w:p w14:paraId="07EE8789" w14:textId="77777777" w:rsidR="00C14D07" w:rsidRDefault="00C14D07" w:rsidP="00C14D07"/>
    <w:p w14:paraId="64D2468B" w14:textId="77777777" w:rsidR="00C14D07" w:rsidRDefault="00C14D07" w:rsidP="00C14D07"/>
    <w:p w14:paraId="71E9300A" w14:textId="77777777" w:rsidR="00C14D07" w:rsidRDefault="00C14D07" w:rsidP="00C14D07"/>
    <w:p w14:paraId="19E4DEE7" w14:textId="77777777" w:rsidR="00C14D07" w:rsidRDefault="00C14D07" w:rsidP="00C14D07"/>
    <w:p w14:paraId="7C4813B7" w14:textId="77777777" w:rsidR="00C14D07" w:rsidRDefault="00C14D07" w:rsidP="00C14D07"/>
    <w:p w14:paraId="74293E7A" w14:textId="77777777" w:rsidR="00C14D07" w:rsidRDefault="00C14D07" w:rsidP="00C14D07"/>
    <w:p w14:paraId="6D4EB6D8" w14:textId="77777777" w:rsidR="009B2F84" w:rsidRDefault="009B2F84"/>
    <w:sectPr w:rsidR="009B2F84" w:rsidSect="007D7317">
      <w:headerReference w:type="default" r:id="rId9"/>
      <w:footerReference w:type="default" r:id="rId10"/>
      <w:headerReference w:type="first" r:id="rId11"/>
      <w:footerReference w:type="first" r:id="rId12"/>
      <w:pgSz w:w="12240" w:h="15840"/>
      <w:pgMar w:top="1418" w:right="1418" w:bottom="1418" w:left="1701" w:header="709" w:footer="10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188927" w14:textId="77777777" w:rsidR="009463E5" w:rsidRDefault="009463E5" w:rsidP="00C14D07">
      <w:r>
        <w:separator/>
      </w:r>
    </w:p>
  </w:endnote>
  <w:endnote w:type="continuationSeparator" w:id="0">
    <w:p w14:paraId="3E0B8C27" w14:textId="77777777" w:rsidR="009463E5" w:rsidRDefault="009463E5" w:rsidP="00C14D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A7E112" w14:textId="77777777" w:rsidR="009463E5" w:rsidRPr="00A2780F" w:rsidRDefault="009463E5" w:rsidP="007D7317">
    <w:pPr>
      <w:pStyle w:val="Piedepgina"/>
      <w:jc w:val="right"/>
      <w:rPr>
        <w:rFonts w:ascii="Arial" w:hAnsi="Arial" w:cs="Arial"/>
        <w:sz w:val="20"/>
        <w:szCs w:val="20"/>
      </w:rPr>
    </w:pPr>
    <w:r>
      <w:rPr>
        <w:rFonts w:ascii="Arial" w:hAnsi="Arial" w:cs="Arial"/>
        <w:b/>
        <w:bCs/>
        <w:sz w:val="20"/>
        <w:szCs w:val="20"/>
      </w:rPr>
      <w:t xml:space="preserve">Página </w:t>
    </w:r>
    <w:r w:rsidRPr="00986599">
      <w:rPr>
        <w:rFonts w:ascii="Arial" w:hAnsi="Arial" w:cs="Arial"/>
        <w:b/>
        <w:bCs/>
        <w:sz w:val="20"/>
        <w:szCs w:val="20"/>
      </w:rPr>
      <w:fldChar w:fldCharType="begin"/>
    </w:r>
    <w:r w:rsidRPr="00986599">
      <w:rPr>
        <w:rFonts w:ascii="Arial" w:hAnsi="Arial" w:cs="Arial"/>
        <w:b/>
        <w:bCs/>
        <w:sz w:val="20"/>
        <w:szCs w:val="20"/>
      </w:rPr>
      <w:instrText>PAGE</w:instrText>
    </w:r>
    <w:r w:rsidRPr="00986599">
      <w:rPr>
        <w:rFonts w:ascii="Arial" w:hAnsi="Arial" w:cs="Arial"/>
        <w:b/>
        <w:bCs/>
        <w:sz w:val="20"/>
        <w:szCs w:val="20"/>
      </w:rPr>
      <w:fldChar w:fldCharType="separate"/>
    </w:r>
    <w:r w:rsidR="00BF0D29">
      <w:rPr>
        <w:rFonts w:ascii="Arial" w:hAnsi="Arial" w:cs="Arial"/>
        <w:b/>
        <w:bCs/>
        <w:noProof/>
        <w:sz w:val="20"/>
        <w:szCs w:val="20"/>
      </w:rPr>
      <w:t>2</w:t>
    </w:r>
    <w:r w:rsidRPr="00986599">
      <w:rPr>
        <w:rFonts w:ascii="Arial" w:hAnsi="Arial" w:cs="Arial"/>
        <w:b/>
        <w:bCs/>
        <w:sz w:val="20"/>
        <w:szCs w:val="20"/>
      </w:rPr>
      <w:fldChar w:fldCharType="end"/>
    </w:r>
    <w:r w:rsidRPr="00986599">
      <w:rPr>
        <w:rFonts w:ascii="Arial" w:hAnsi="Arial" w:cs="Arial"/>
        <w:sz w:val="20"/>
        <w:szCs w:val="20"/>
      </w:rPr>
      <w:t xml:space="preserve"> de </w:t>
    </w:r>
    <w:r w:rsidRPr="00986599">
      <w:rPr>
        <w:rFonts w:ascii="Arial" w:hAnsi="Arial" w:cs="Arial"/>
        <w:b/>
        <w:bCs/>
        <w:sz w:val="20"/>
        <w:szCs w:val="20"/>
      </w:rPr>
      <w:fldChar w:fldCharType="begin"/>
    </w:r>
    <w:r w:rsidRPr="00986599">
      <w:rPr>
        <w:rFonts w:ascii="Arial" w:hAnsi="Arial" w:cs="Arial"/>
        <w:b/>
        <w:bCs/>
        <w:sz w:val="20"/>
        <w:szCs w:val="20"/>
      </w:rPr>
      <w:instrText>NUMPAGES</w:instrText>
    </w:r>
    <w:r w:rsidRPr="00986599">
      <w:rPr>
        <w:rFonts w:ascii="Arial" w:hAnsi="Arial" w:cs="Arial"/>
        <w:b/>
        <w:bCs/>
        <w:sz w:val="20"/>
        <w:szCs w:val="20"/>
      </w:rPr>
      <w:fldChar w:fldCharType="separate"/>
    </w:r>
    <w:r w:rsidR="00BF0D29">
      <w:rPr>
        <w:rFonts w:ascii="Arial" w:hAnsi="Arial" w:cs="Arial"/>
        <w:b/>
        <w:bCs/>
        <w:noProof/>
        <w:sz w:val="20"/>
        <w:szCs w:val="20"/>
      </w:rPr>
      <w:t>19</w:t>
    </w:r>
    <w:r w:rsidRPr="00986599">
      <w:rPr>
        <w:rFonts w:ascii="Arial" w:hAnsi="Arial" w:cs="Arial"/>
        <w:b/>
        <w:bCs/>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59A65" w14:textId="77777777" w:rsidR="009463E5" w:rsidRPr="00070856" w:rsidRDefault="009463E5" w:rsidP="007D7317">
    <w:pPr>
      <w:pStyle w:val="Piedepgina"/>
      <w:jc w:val="right"/>
      <w:rPr>
        <w:rFonts w:ascii="Arial" w:hAnsi="Arial" w:cs="Arial"/>
        <w:sz w:val="20"/>
        <w:szCs w:val="20"/>
      </w:rPr>
    </w:pPr>
    <w:r>
      <w:rPr>
        <w:rFonts w:ascii="Arial" w:hAnsi="Arial" w:cs="Arial"/>
        <w:b/>
        <w:bCs/>
        <w:sz w:val="20"/>
        <w:szCs w:val="20"/>
      </w:rPr>
      <w:t xml:space="preserve">Página </w:t>
    </w:r>
    <w:r w:rsidRPr="00986599">
      <w:rPr>
        <w:rFonts w:ascii="Arial" w:hAnsi="Arial" w:cs="Arial"/>
        <w:b/>
        <w:bCs/>
        <w:sz w:val="20"/>
        <w:szCs w:val="20"/>
      </w:rPr>
      <w:fldChar w:fldCharType="begin"/>
    </w:r>
    <w:r w:rsidRPr="00986599">
      <w:rPr>
        <w:rFonts w:ascii="Arial" w:hAnsi="Arial" w:cs="Arial"/>
        <w:b/>
        <w:bCs/>
        <w:sz w:val="20"/>
        <w:szCs w:val="20"/>
      </w:rPr>
      <w:instrText>PAGE</w:instrText>
    </w:r>
    <w:r w:rsidRPr="00986599">
      <w:rPr>
        <w:rFonts w:ascii="Arial" w:hAnsi="Arial" w:cs="Arial"/>
        <w:b/>
        <w:bCs/>
        <w:sz w:val="20"/>
        <w:szCs w:val="20"/>
      </w:rPr>
      <w:fldChar w:fldCharType="separate"/>
    </w:r>
    <w:r w:rsidR="00BF0D29">
      <w:rPr>
        <w:rFonts w:ascii="Arial" w:hAnsi="Arial" w:cs="Arial"/>
        <w:b/>
        <w:bCs/>
        <w:noProof/>
        <w:sz w:val="20"/>
        <w:szCs w:val="20"/>
      </w:rPr>
      <w:t>1</w:t>
    </w:r>
    <w:r w:rsidRPr="00986599">
      <w:rPr>
        <w:rFonts w:ascii="Arial" w:hAnsi="Arial" w:cs="Arial"/>
        <w:b/>
        <w:bCs/>
        <w:sz w:val="20"/>
        <w:szCs w:val="20"/>
      </w:rPr>
      <w:fldChar w:fldCharType="end"/>
    </w:r>
    <w:r w:rsidRPr="00986599">
      <w:rPr>
        <w:rFonts w:ascii="Arial" w:hAnsi="Arial" w:cs="Arial"/>
        <w:sz w:val="20"/>
        <w:szCs w:val="20"/>
      </w:rPr>
      <w:t xml:space="preserve"> de </w:t>
    </w:r>
    <w:r w:rsidRPr="00986599">
      <w:rPr>
        <w:rFonts w:ascii="Arial" w:hAnsi="Arial" w:cs="Arial"/>
        <w:b/>
        <w:bCs/>
        <w:sz w:val="20"/>
        <w:szCs w:val="20"/>
      </w:rPr>
      <w:fldChar w:fldCharType="begin"/>
    </w:r>
    <w:r w:rsidRPr="00986599">
      <w:rPr>
        <w:rFonts w:ascii="Arial" w:hAnsi="Arial" w:cs="Arial"/>
        <w:b/>
        <w:bCs/>
        <w:sz w:val="20"/>
        <w:szCs w:val="20"/>
      </w:rPr>
      <w:instrText>NUMPAGES</w:instrText>
    </w:r>
    <w:r w:rsidRPr="00986599">
      <w:rPr>
        <w:rFonts w:ascii="Arial" w:hAnsi="Arial" w:cs="Arial"/>
        <w:b/>
        <w:bCs/>
        <w:sz w:val="20"/>
        <w:szCs w:val="20"/>
      </w:rPr>
      <w:fldChar w:fldCharType="separate"/>
    </w:r>
    <w:r w:rsidR="00BF0D29">
      <w:rPr>
        <w:rFonts w:ascii="Arial" w:hAnsi="Arial" w:cs="Arial"/>
        <w:b/>
        <w:bCs/>
        <w:noProof/>
        <w:sz w:val="20"/>
        <w:szCs w:val="20"/>
      </w:rPr>
      <w:t>19</w:t>
    </w:r>
    <w:r w:rsidRPr="00986599">
      <w:rPr>
        <w:rFonts w:ascii="Arial" w:hAnsi="Arial" w:cs="Arial"/>
        <w:b/>
        <w:bCs/>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ECB70B" w14:textId="77777777" w:rsidR="009463E5" w:rsidRDefault="009463E5" w:rsidP="00C14D07">
      <w:r>
        <w:separator/>
      </w:r>
    </w:p>
  </w:footnote>
  <w:footnote w:type="continuationSeparator" w:id="0">
    <w:p w14:paraId="10814998" w14:textId="77777777" w:rsidR="009463E5" w:rsidRDefault="009463E5" w:rsidP="00C14D07">
      <w:r>
        <w:continuationSeparator/>
      </w:r>
    </w:p>
  </w:footnote>
  <w:footnote w:id="1">
    <w:p w14:paraId="36CE0F32" w14:textId="77777777" w:rsidR="009463E5" w:rsidRPr="005552A8" w:rsidRDefault="009463E5" w:rsidP="00C14D07">
      <w:pPr>
        <w:jc w:val="both"/>
        <w:rPr>
          <w:rFonts w:ascii="Palatino Linotype" w:hAnsi="Palatino Linotype"/>
          <w:b/>
          <w:bCs/>
          <w:i/>
          <w:sz w:val="16"/>
          <w:szCs w:val="16"/>
          <w:lang w:eastAsia="es-MX"/>
        </w:rPr>
      </w:pPr>
      <w:r>
        <w:rPr>
          <w:rStyle w:val="Refdenotaalpie"/>
        </w:rPr>
        <w:footnoteRef/>
      </w:r>
      <w:r>
        <w:t xml:space="preserve"> </w:t>
      </w:r>
      <w:r w:rsidRPr="005552A8">
        <w:rPr>
          <w:rFonts w:ascii="Palatino Linotype" w:hAnsi="Palatino Linotype"/>
          <w:b/>
          <w:bCs/>
          <w:i/>
          <w:sz w:val="16"/>
          <w:szCs w:val="16"/>
        </w:rPr>
        <w:t>IMPROCEDENCIA Y SOBRESEIMIENTO EN EL JUICIO DE AMPARO. LAS CAUSAS PREVISTAS EN LOS ARTÍCULOS 73 Y 74 DE LA LEY DE LA MATERIA, RESPECTIVAMENTE, NO SON INCOMPATIBLES CON EL ARTÍCULO 25.1 DE LA CONVENCIÓN AMERICANA SOBRE DERECHOS HUMANOS.</w:t>
      </w:r>
    </w:p>
    <w:p w14:paraId="1A29B67A" w14:textId="77777777" w:rsidR="009463E5" w:rsidRPr="005552A8" w:rsidRDefault="009463E5" w:rsidP="00C14D07">
      <w:pPr>
        <w:jc w:val="both"/>
        <w:rPr>
          <w:rFonts w:ascii="Palatino Linotype" w:hAnsi="Palatino Linotype"/>
          <w:i/>
          <w:sz w:val="16"/>
          <w:szCs w:val="16"/>
        </w:rPr>
      </w:pPr>
      <w:r w:rsidRPr="005552A8">
        <w:rPr>
          <w:rFonts w:ascii="Palatino Linotype" w:hAnsi="Palatino Linotype"/>
          <w:i/>
          <w:sz w:val="16"/>
          <w:szCs w:val="16"/>
        </w:rPr>
        <w:t>Del examen de compatibilidad de los artículos</w:t>
      </w:r>
      <w:r w:rsidRPr="005552A8">
        <w:rPr>
          <w:rStyle w:val="apple-converted-space"/>
          <w:rFonts w:ascii="Palatino Linotype" w:hAnsi="Palatino Linotype"/>
          <w:i/>
          <w:sz w:val="16"/>
          <w:szCs w:val="16"/>
        </w:rPr>
        <w:t> </w:t>
      </w:r>
      <w:hyperlink r:id="rId1" w:history="1">
        <w:r w:rsidRPr="005552A8">
          <w:rPr>
            <w:rStyle w:val="Hipervnculo"/>
            <w:rFonts w:ascii="Palatino Linotype" w:hAnsi="Palatino Linotype"/>
            <w:i/>
            <w:sz w:val="16"/>
            <w:szCs w:val="16"/>
          </w:rPr>
          <w:t>73 y 74 de la Ley de Amparo</w:t>
        </w:r>
      </w:hyperlink>
      <w:r w:rsidRPr="005552A8">
        <w:rPr>
          <w:rStyle w:val="apple-converted-space"/>
          <w:rFonts w:ascii="Palatino Linotype" w:hAnsi="Palatino Linotype"/>
          <w:i/>
          <w:sz w:val="16"/>
          <w:szCs w:val="16"/>
        </w:rPr>
        <w:t> </w:t>
      </w:r>
      <w:r w:rsidRPr="005552A8">
        <w:rPr>
          <w:rFonts w:ascii="Palatino Linotype" w:hAnsi="Palatino Linotype"/>
          <w:i/>
          <w:sz w:val="16"/>
          <w:szCs w:val="16"/>
        </w:rPr>
        <w:t>con el artículo</w:t>
      </w:r>
      <w:r w:rsidRPr="005552A8">
        <w:rPr>
          <w:rStyle w:val="apple-converted-space"/>
          <w:rFonts w:ascii="Palatino Linotype" w:hAnsi="Palatino Linotype"/>
          <w:i/>
          <w:sz w:val="16"/>
          <w:szCs w:val="16"/>
        </w:rPr>
        <w:t> </w:t>
      </w:r>
      <w:hyperlink r:id="rId2" w:history="1">
        <w:r w:rsidRPr="005552A8">
          <w:rPr>
            <w:rStyle w:val="Hipervnculo"/>
            <w:rFonts w:ascii="Palatino Linotype" w:hAnsi="Palatino Linotype"/>
            <w:i/>
            <w:sz w:val="16"/>
            <w:szCs w:val="16"/>
          </w:rPr>
          <w:t>25.1 de la Convención Americana sobre Derechos Humanos</w:t>
        </w:r>
      </w:hyperlink>
      <w:r w:rsidRPr="005552A8">
        <w:rPr>
          <w:rStyle w:val="apple-converted-space"/>
          <w:rFonts w:ascii="Palatino Linotype" w:hAnsi="Palatino Linotype"/>
          <w:i/>
          <w:sz w:val="16"/>
          <w:szCs w:val="16"/>
        </w:rPr>
        <w:t> </w:t>
      </w:r>
      <w:r w:rsidRPr="005552A8">
        <w:rPr>
          <w:rFonts w:ascii="Palatino Linotype" w:hAnsi="Palatino Linotype"/>
          <w:b/>
          <w:i/>
          <w:sz w:val="16"/>
          <w:szCs w:val="16"/>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Pr="005552A8">
        <w:rPr>
          <w:rFonts w:ascii="Palatino Linotype" w:hAnsi="Palatino Linotype"/>
          <w:i/>
          <w:sz w:val="16"/>
          <w:szCs w:val="16"/>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concesoria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872" w:type="dxa"/>
      <w:tblInd w:w="1200" w:type="dxa"/>
      <w:tblLayout w:type="fixed"/>
      <w:tblLook w:val="04A0" w:firstRow="1" w:lastRow="0" w:firstColumn="1" w:lastColumn="0" w:noHBand="0" w:noVBand="1"/>
    </w:tblPr>
    <w:tblGrid>
      <w:gridCol w:w="3620"/>
      <w:gridCol w:w="4252"/>
    </w:tblGrid>
    <w:tr w:rsidR="009463E5" w:rsidRPr="008F2CCC" w14:paraId="3589B46C" w14:textId="77777777" w:rsidTr="007D7317">
      <w:tc>
        <w:tcPr>
          <w:tcW w:w="3620" w:type="dxa"/>
          <w:shd w:val="clear" w:color="auto" w:fill="auto"/>
        </w:tcPr>
        <w:p w14:paraId="662FB13C" w14:textId="77777777" w:rsidR="009463E5" w:rsidRPr="007E5FC4" w:rsidRDefault="009463E5" w:rsidP="007D7317">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Recurso de revisión:</w:t>
          </w:r>
        </w:p>
      </w:tc>
      <w:tc>
        <w:tcPr>
          <w:tcW w:w="4252" w:type="dxa"/>
          <w:shd w:val="clear" w:color="auto" w:fill="auto"/>
          <w:vAlign w:val="center"/>
        </w:tcPr>
        <w:p w14:paraId="4EAF48D3" w14:textId="05200DB2" w:rsidR="009463E5" w:rsidRPr="00664658" w:rsidRDefault="00D52736" w:rsidP="007D7317">
          <w:pPr>
            <w:spacing w:line="276" w:lineRule="auto"/>
            <w:jc w:val="right"/>
            <w:rPr>
              <w:rFonts w:ascii="Palatino Linotype" w:hAnsi="Palatino Linotype"/>
              <w:b/>
              <w:sz w:val="22"/>
              <w:szCs w:val="22"/>
              <w:lang w:val="es-ES_tradnl"/>
            </w:rPr>
          </w:pPr>
          <w:r>
            <w:rPr>
              <w:rFonts w:ascii="Palatino Linotype" w:hAnsi="Palatino Linotype"/>
              <w:b/>
              <w:sz w:val="22"/>
              <w:szCs w:val="22"/>
              <w:lang w:val="es-ES_tradnl"/>
            </w:rPr>
            <w:t>0</w:t>
          </w:r>
          <w:r w:rsidR="009463E5">
            <w:rPr>
              <w:rFonts w:ascii="Palatino Linotype" w:hAnsi="Palatino Linotype"/>
              <w:b/>
              <w:sz w:val="22"/>
              <w:szCs w:val="22"/>
              <w:lang w:val="es-ES_tradnl"/>
            </w:rPr>
            <w:t>7545/INFOEM/IP/RR/2024</w:t>
          </w:r>
        </w:p>
      </w:tc>
    </w:tr>
    <w:tr w:rsidR="009463E5" w:rsidRPr="008F2CCC" w14:paraId="04652413" w14:textId="77777777" w:rsidTr="007D7317">
      <w:tc>
        <w:tcPr>
          <w:tcW w:w="3620" w:type="dxa"/>
          <w:shd w:val="clear" w:color="auto" w:fill="auto"/>
        </w:tcPr>
        <w:p w14:paraId="7EDB710B" w14:textId="77777777" w:rsidR="009463E5" w:rsidRPr="007E5FC4" w:rsidRDefault="009463E5" w:rsidP="007D7317">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Sujeto Obligado:</w:t>
          </w:r>
        </w:p>
      </w:tc>
      <w:tc>
        <w:tcPr>
          <w:tcW w:w="4252" w:type="dxa"/>
          <w:shd w:val="clear" w:color="auto" w:fill="auto"/>
          <w:vAlign w:val="center"/>
        </w:tcPr>
        <w:p w14:paraId="438C9CB8" w14:textId="77777777" w:rsidR="009463E5" w:rsidRPr="00664658" w:rsidRDefault="009463E5" w:rsidP="007D7317">
          <w:pPr>
            <w:spacing w:line="276" w:lineRule="auto"/>
            <w:jc w:val="right"/>
            <w:rPr>
              <w:rFonts w:ascii="Palatino Linotype" w:hAnsi="Palatino Linotype"/>
              <w:b/>
              <w:sz w:val="22"/>
              <w:szCs w:val="22"/>
              <w:lang w:val="es-ES_tradnl"/>
            </w:rPr>
          </w:pPr>
          <w:r w:rsidRPr="00C14D07">
            <w:rPr>
              <w:rFonts w:ascii="Palatino Linotype" w:hAnsi="Palatino Linotype"/>
              <w:b/>
              <w:sz w:val="22"/>
              <w:szCs w:val="22"/>
            </w:rPr>
            <w:t>Ayuntamiento de Mexicaltzingo</w:t>
          </w:r>
        </w:p>
      </w:tc>
    </w:tr>
    <w:tr w:rsidR="009463E5" w:rsidRPr="008F2CCC" w14:paraId="68FC0DD6" w14:textId="77777777" w:rsidTr="007D7317">
      <w:trPr>
        <w:trHeight w:val="228"/>
      </w:trPr>
      <w:tc>
        <w:tcPr>
          <w:tcW w:w="3620" w:type="dxa"/>
          <w:shd w:val="clear" w:color="auto" w:fill="auto"/>
        </w:tcPr>
        <w:p w14:paraId="3725AF97" w14:textId="77777777" w:rsidR="009463E5" w:rsidRPr="007E5FC4" w:rsidRDefault="009463E5" w:rsidP="007D7317">
          <w:pPr>
            <w:spacing w:line="276"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Comisionado Ponente:</w:t>
          </w:r>
        </w:p>
      </w:tc>
      <w:tc>
        <w:tcPr>
          <w:tcW w:w="4252" w:type="dxa"/>
          <w:shd w:val="clear" w:color="auto" w:fill="auto"/>
        </w:tcPr>
        <w:p w14:paraId="3BCE00A8" w14:textId="77777777" w:rsidR="009463E5" w:rsidRPr="00664658" w:rsidRDefault="009463E5" w:rsidP="007D7317">
          <w:pPr>
            <w:spacing w:line="276" w:lineRule="auto"/>
            <w:jc w:val="right"/>
            <w:rPr>
              <w:rFonts w:ascii="Palatino Linotype" w:hAnsi="Palatino Linotype"/>
              <w:b/>
              <w:sz w:val="22"/>
              <w:szCs w:val="22"/>
              <w:lang w:val="es-ES_tradnl"/>
            </w:rPr>
          </w:pPr>
          <w:r>
            <w:rPr>
              <w:rFonts w:ascii="Palatino Linotype" w:hAnsi="Palatino Linotype"/>
              <w:b/>
              <w:sz w:val="22"/>
              <w:szCs w:val="22"/>
              <w:lang w:val="es-ES_tradnl"/>
            </w:rPr>
            <w:t>José Martínez Vilchis</w:t>
          </w:r>
        </w:p>
      </w:tc>
    </w:tr>
  </w:tbl>
  <w:p w14:paraId="28ABBEA8" w14:textId="77777777" w:rsidR="009463E5" w:rsidRDefault="009463E5" w:rsidP="007D7317">
    <w:pPr>
      <w:pStyle w:val="Encabezado"/>
      <w:tabs>
        <w:tab w:val="clear" w:pos="4252"/>
        <w:tab w:val="clear" w:pos="8504"/>
        <w:tab w:val="left" w:pos="2326"/>
      </w:tabs>
      <w:rPr>
        <w:rFonts w:ascii="Palatino Linotype" w:hAnsi="Palatino Linotype"/>
        <w:sz w:val="20"/>
      </w:rPr>
    </w:pPr>
  </w:p>
  <w:p w14:paraId="5FBE0CCB" w14:textId="77777777" w:rsidR="009463E5" w:rsidRPr="001779E0" w:rsidRDefault="009463E5" w:rsidP="007D7317">
    <w:pPr>
      <w:pStyle w:val="Encabezado"/>
      <w:tabs>
        <w:tab w:val="clear" w:pos="4252"/>
        <w:tab w:val="clear" w:pos="8504"/>
        <w:tab w:val="left" w:pos="2326"/>
      </w:tabs>
      <w:rPr>
        <w:rFonts w:ascii="Palatino Linotype" w:hAnsi="Palatino Linotype"/>
        <w:sz w:val="20"/>
      </w:rPr>
    </w:pPr>
    <w:r>
      <w:rPr>
        <w:rFonts w:ascii="Palatino Linotype" w:hAnsi="Palatino Linotype" w:cs="Arial"/>
        <w:b/>
        <w:noProof/>
        <w:szCs w:val="20"/>
        <w:lang w:val="es-MX" w:eastAsia="es-MX"/>
      </w:rPr>
      <w:drawing>
        <wp:anchor distT="0" distB="0" distL="114300" distR="114300" simplePos="0" relativeHeight="251660288" behindDoc="1" locked="0" layoutInCell="0" allowOverlap="1" wp14:anchorId="6E857209" wp14:editId="1074A3C8">
          <wp:simplePos x="0" y="0"/>
          <wp:positionH relativeFrom="page">
            <wp:align>left</wp:align>
          </wp:positionH>
          <wp:positionV relativeFrom="page">
            <wp:posOffset>35560</wp:posOffset>
          </wp:positionV>
          <wp:extent cx="7705725" cy="10048875"/>
          <wp:effectExtent l="0" t="0" r="9525" b="9525"/>
          <wp:wrapNone/>
          <wp:docPr id="7" name="Imagen 7"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513" w:type="dxa"/>
      <w:tblInd w:w="1635" w:type="dxa"/>
      <w:tblLayout w:type="fixed"/>
      <w:tblLook w:val="04A0" w:firstRow="1" w:lastRow="0" w:firstColumn="1" w:lastColumn="0" w:noHBand="0" w:noVBand="1"/>
    </w:tblPr>
    <w:tblGrid>
      <w:gridCol w:w="2977"/>
      <w:gridCol w:w="4536"/>
    </w:tblGrid>
    <w:tr w:rsidR="009463E5" w:rsidRPr="008F2CCC" w14:paraId="589DB9DE" w14:textId="77777777" w:rsidTr="007D7317">
      <w:tc>
        <w:tcPr>
          <w:tcW w:w="2977" w:type="dxa"/>
          <w:shd w:val="clear" w:color="auto" w:fill="auto"/>
        </w:tcPr>
        <w:p w14:paraId="2E69B264" w14:textId="77777777" w:rsidR="009463E5" w:rsidRPr="007E5FC4" w:rsidRDefault="009463E5" w:rsidP="007D7317">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Recurso de revisión:</w:t>
          </w:r>
        </w:p>
      </w:tc>
      <w:tc>
        <w:tcPr>
          <w:tcW w:w="4536" w:type="dxa"/>
          <w:shd w:val="clear" w:color="auto" w:fill="auto"/>
          <w:vAlign w:val="center"/>
        </w:tcPr>
        <w:p w14:paraId="27ED608D" w14:textId="6C72A490" w:rsidR="009463E5" w:rsidRPr="008F2CCC" w:rsidRDefault="00D52736" w:rsidP="007D7317">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0</w:t>
          </w:r>
          <w:r w:rsidR="009463E5">
            <w:rPr>
              <w:rFonts w:ascii="Palatino Linotype" w:hAnsi="Palatino Linotype"/>
              <w:b/>
              <w:sz w:val="22"/>
              <w:szCs w:val="22"/>
              <w:lang w:val="es-ES_tradnl"/>
            </w:rPr>
            <w:t>7545/INFOEM/IP/RR/2024</w:t>
          </w:r>
        </w:p>
      </w:tc>
    </w:tr>
    <w:tr w:rsidR="009463E5" w:rsidRPr="008F2CCC" w14:paraId="7D883915" w14:textId="77777777" w:rsidTr="007D7317">
      <w:tc>
        <w:tcPr>
          <w:tcW w:w="2977" w:type="dxa"/>
          <w:shd w:val="clear" w:color="auto" w:fill="auto"/>
          <w:vAlign w:val="center"/>
        </w:tcPr>
        <w:p w14:paraId="35F05FC7" w14:textId="77777777" w:rsidR="009463E5" w:rsidRPr="007E5FC4" w:rsidRDefault="009463E5" w:rsidP="007D7317">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Recurrente:</w:t>
          </w:r>
        </w:p>
      </w:tc>
      <w:tc>
        <w:tcPr>
          <w:tcW w:w="4536" w:type="dxa"/>
          <w:shd w:val="clear" w:color="auto" w:fill="auto"/>
          <w:vAlign w:val="center"/>
        </w:tcPr>
        <w:p w14:paraId="61971EDF" w14:textId="6BDBD4AD" w:rsidR="009463E5" w:rsidRPr="008F2CCC" w:rsidRDefault="00BF0D29" w:rsidP="007D7317">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XXXXXXXXXXXXXXXXXX</w:t>
          </w:r>
        </w:p>
      </w:tc>
    </w:tr>
    <w:tr w:rsidR="009463E5" w:rsidRPr="008F2CCC" w14:paraId="27A1E876" w14:textId="77777777" w:rsidTr="007D7317">
      <w:trPr>
        <w:trHeight w:val="228"/>
      </w:trPr>
      <w:tc>
        <w:tcPr>
          <w:tcW w:w="2977" w:type="dxa"/>
          <w:shd w:val="clear" w:color="auto" w:fill="auto"/>
        </w:tcPr>
        <w:p w14:paraId="6E02E64B" w14:textId="77777777" w:rsidR="009463E5" w:rsidRPr="007E5FC4" w:rsidRDefault="009463E5" w:rsidP="007D7317">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Sujeto Obligado:</w:t>
          </w:r>
        </w:p>
      </w:tc>
      <w:tc>
        <w:tcPr>
          <w:tcW w:w="4536" w:type="dxa"/>
          <w:shd w:val="clear" w:color="auto" w:fill="auto"/>
          <w:vAlign w:val="center"/>
        </w:tcPr>
        <w:p w14:paraId="0049BB45" w14:textId="77777777" w:rsidR="009463E5" w:rsidRPr="00DC41C8" w:rsidRDefault="009463E5" w:rsidP="007D7317">
          <w:pPr>
            <w:spacing w:line="360" w:lineRule="auto"/>
            <w:jc w:val="right"/>
            <w:rPr>
              <w:rFonts w:ascii="Palatino Linotype" w:hAnsi="Palatino Linotype"/>
              <w:b/>
              <w:sz w:val="22"/>
              <w:szCs w:val="22"/>
            </w:rPr>
          </w:pPr>
          <w:r w:rsidRPr="00C14D07">
            <w:rPr>
              <w:rFonts w:ascii="Palatino Linotype" w:hAnsi="Palatino Linotype"/>
              <w:b/>
              <w:sz w:val="22"/>
              <w:szCs w:val="22"/>
            </w:rPr>
            <w:t>Ayuntamiento de Mexicaltzingo</w:t>
          </w:r>
        </w:p>
      </w:tc>
    </w:tr>
    <w:tr w:rsidR="009463E5" w:rsidRPr="008F2CCC" w14:paraId="6B0D2C40" w14:textId="77777777" w:rsidTr="007D7317">
      <w:tc>
        <w:tcPr>
          <w:tcW w:w="2977" w:type="dxa"/>
          <w:shd w:val="clear" w:color="auto" w:fill="auto"/>
        </w:tcPr>
        <w:p w14:paraId="095FB8A9" w14:textId="77777777" w:rsidR="009463E5" w:rsidRPr="007E5FC4" w:rsidRDefault="009463E5" w:rsidP="007D7317">
          <w:pPr>
            <w:spacing w:line="360" w:lineRule="auto"/>
            <w:jc w:val="right"/>
            <w:rPr>
              <w:rFonts w:ascii="Palatino Linotype" w:hAnsi="Palatino Linotype"/>
              <w:sz w:val="22"/>
              <w:szCs w:val="22"/>
              <w:lang w:val="es-ES_tradnl"/>
            </w:rPr>
          </w:pPr>
          <w:r w:rsidRPr="007E5FC4">
            <w:rPr>
              <w:rFonts w:ascii="Palatino Linotype" w:hAnsi="Palatino Linotype"/>
              <w:sz w:val="22"/>
              <w:szCs w:val="22"/>
              <w:lang w:val="es-ES_tradnl"/>
            </w:rPr>
            <w:t>Comisionado Ponente:</w:t>
          </w:r>
        </w:p>
      </w:tc>
      <w:tc>
        <w:tcPr>
          <w:tcW w:w="4536" w:type="dxa"/>
          <w:shd w:val="clear" w:color="auto" w:fill="auto"/>
        </w:tcPr>
        <w:p w14:paraId="383BD954" w14:textId="77777777" w:rsidR="009463E5" w:rsidRPr="008F2CCC" w:rsidRDefault="009463E5" w:rsidP="007D7317">
          <w:pPr>
            <w:spacing w:line="360" w:lineRule="auto"/>
            <w:jc w:val="right"/>
            <w:rPr>
              <w:rFonts w:ascii="Palatino Linotype" w:hAnsi="Palatino Linotype"/>
              <w:b/>
              <w:sz w:val="22"/>
              <w:szCs w:val="22"/>
              <w:lang w:val="es-ES_tradnl"/>
            </w:rPr>
          </w:pPr>
          <w:r>
            <w:rPr>
              <w:rFonts w:ascii="Palatino Linotype" w:hAnsi="Palatino Linotype"/>
              <w:b/>
              <w:sz w:val="22"/>
              <w:szCs w:val="22"/>
              <w:lang w:val="es-ES_tradnl"/>
            </w:rPr>
            <w:t>José Martínez Vilchis</w:t>
          </w:r>
        </w:p>
      </w:tc>
    </w:tr>
  </w:tbl>
  <w:p w14:paraId="7367910D" w14:textId="77777777" w:rsidR="009463E5" w:rsidRPr="009F1AB6" w:rsidRDefault="009463E5">
    <w:pPr>
      <w:pStyle w:val="Encabezado"/>
      <w:rPr>
        <w:sz w:val="10"/>
      </w:rPr>
    </w:pPr>
    <w:r>
      <w:rPr>
        <w:rFonts w:ascii="Palatino Linotype" w:hAnsi="Palatino Linotype" w:cs="Arial"/>
        <w:b/>
        <w:noProof/>
        <w:szCs w:val="20"/>
        <w:lang w:val="es-MX" w:eastAsia="es-MX"/>
      </w:rPr>
      <w:drawing>
        <wp:anchor distT="0" distB="0" distL="114300" distR="114300" simplePos="0" relativeHeight="251659264" behindDoc="1" locked="0" layoutInCell="0" allowOverlap="1" wp14:anchorId="65BBE155" wp14:editId="73C06420">
          <wp:simplePos x="0" y="0"/>
          <wp:positionH relativeFrom="page">
            <wp:align>left</wp:align>
          </wp:positionH>
          <wp:positionV relativeFrom="page">
            <wp:align>top</wp:align>
          </wp:positionV>
          <wp:extent cx="7705725" cy="10048875"/>
          <wp:effectExtent l="0" t="0" r="9525" b="9525"/>
          <wp:wrapNone/>
          <wp:docPr id="4" name="Imagen 4"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847CF"/>
    <w:multiLevelType w:val="hybridMultilevel"/>
    <w:tmpl w:val="F93E593E"/>
    <w:lvl w:ilvl="0" w:tplc="7F72D2C8">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 w15:restartNumberingAfterBreak="0">
    <w:nsid w:val="0C4A1608"/>
    <w:multiLevelType w:val="hybridMultilevel"/>
    <w:tmpl w:val="E1065DF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C7769F2"/>
    <w:multiLevelType w:val="hybridMultilevel"/>
    <w:tmpl w:val="604E0C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B763CCF"/>
    <w:multiLevelType w:val="hybridMultilevel"/>
    <w:tmpl w:val="D584B0C0"/>
    <w:lvl w:ilvl="0" w:tplc="7DBAA7A4">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4" w15:restartNumberingAfterBreak="0">
    <w:nsid w:val="1E5D0D2B"/>
    <w:multiLevelType w:val="hybridMultilevel"/>
    <w:tmpl w:val="E332A364"/>
    <w:lvl w:ilvl="0" w:tplc="F350FD10">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5" w15:restartNumberingAfterBreak="0">
    <w:nsid w:val="22803773"/>
    <w:multiLevelType w:val="hybridMultilevel"/>
    <w:tmpl w:val="F9D06A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0CF2C4D"/>
    <w:multiLevelType w:val="hybridMultilevel"/>
    <w:tmpl w:val="8834BD4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3BF6493"/>
    <w:multiLevelType w:val="hybridMultilevel"/>
    <w:tmpl w:val="40D6AFE0"/>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0">
    <w:nsid w:val="3F2A7657"/>
    <w:multiLevelType w:val="hybridMultilevel"/>
    <w:tmpl w:val="8E7EFD0A"/>
    <w:lvl w:ilvl="0" w:tplc="21FC489A">
      <w:start w:val="1"/>
      <w:numFmt w:val="bullet"/>
      <w:lvlText w:val="-"/>
      <w:lvlJc w:val="left"/>
      <w:pPr>
        <w:ind w:left="720" w:hanging="360"/>
      </w:pPr>
      <w:rPr>
        <w:rFonts w:ascii="Palatino Linotype" w:eastAsia="Palatino Linotype" w:hAnsi="Palatino Linotype" w:cs="Palatino Linotyp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9C76195"/>
    <w:multiLevelType w:val="hybridMultilevel"/>
    <w:tmpl w:val="A2288504"/>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10" w15:restartNumberingAfterBreak="0">
    <w:nsid w:val="62121746"/>
    <w:multiLevelType w:val="hybridMultilevel"/>
    <w:tmpl w:val="14740990"/>
    <w:lvl w:ilvl="0" w:tplc="6DAE4F00">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1"/>
  </w:num>
  <w:num w:numId="2">
    <w:abstractNumId w:val="7"/>
  </w:num>
  <w:num w:numId="3">
    <w:abstractNumId w:val="2"/>
  </w:num>
  <w:num w:numId="4">
    <w:abstractNumId w:val="3"/>
  </w:num>
  <w:num w:numId="5">
    <w:abstractNumId w:val="0"/>
  </w:num>
  <w:num w:numId="6">
    <w:abstractNumId w:val="10"/>
  </w:num>
  <w:num w:numId="7">
    <w:abstractNumId w:val="4"/>
  </w:num>
  <w:num w:numId="8">
    <w:abstractNumId w:val="8"/>
  </w:num>
  <w:num w:numId="9">
    <w:abstractNumId w:val="5"/>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D07"/>
    <w:rsid w:val="0005352C"/>
    <w:rsid w:val="00127F2F"/>
    <w:rsid w:val="00154E4B"/>
    <w:rsid w:val="0022617C"/>
    <w:rsid w:val="002A2C0B"/>
    <w:rsid w:val="004B5625"/>
    <w:rsid w:val="004B6067"/>
    <w:rsid w:val="006170AF"/>
    <w:rsid w:val="006A60A7"/>
    <w:rsid w:val="006C090E"/>
    <w:rsid w:val="007D638B"/>
    <w:rsid w:val="007D7317"/>
    <w:rsid w:val="008713B0"/>
    <w:rsid w:val="009463E5"/>
    <w:rsid w:val="00976E63"/>
    <w:rsid w:val="009B2F84"/>
    <w:rsid w:val="009E28D6"/>
    <w:rsid w:val="00AD0553"/>
    <w:rsid w:val="00AE214D"/>
    <w:rsid w:val="00BF0D29"/>
    <w:rsid w:val="00C14D07"/>
    <w:rsid w:val="00D52736"/>
    <w:rsid w:val="00E3726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C2310"/>
  <w15:chartTrackingRefBased/>
  <w15:docId w15:val="{B1D82AF4-7E5F-4E68-970D-A0A0835DF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4D07"/>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14D07"/>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C14D07"/>
    <w:rPr>
      <w:rFonts w:eastAsiaTheme="minorEastAsia"/>
      <w:sz w:val="24"/>
      <w:szCs w:val="24"/>
      <w:lang w:val="es-ES_tradnl" w:eastAsia="es-ES"/>
    </w:rPr>
  </w:style>
  <w:style w:type="paragraph" w:styleId="Piedepgina">
    <w:name w:val="footer"/>
    <w:basedOn w:val="Normal"/>
    <w:link w:val="PiedepginaCar"/>
    <w:uiPriority w:val="99"/>
    <w:unhideWhenUsed/>
    <w:rsid w:val="00C14D07"/>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C14D07"/>
    <w:rPr>
      <w:rFonts w:eastAsiaTheme="minorEastAsia"/>
      <w:sz w:val="24"/>
      <w:szCs w:val="24"/>
      <w:lang w:val="es-ES_tradnl"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14D07"/>
    <w:pPr>
      <w:ind w:left="708"/>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C14D07"/>
    <w:rPr>
      <w:rFonts w:ascii="Times New Roman" w:eastAsia="Times New Roman" w:hAnsi="Times New Roman" w:cs="Times New Roman"/>
      <w:sz w:val="24"/>
      <w:szCs w:val="24"/>
      <w:lang w:val="es-ES" w:eastAsia="es-ES"/>
    </w:rPr>
  </w:style>
  <w:style w:type="paragraph" w:styleId="Sinespaciado">
    <w:name w:val="No Spacing"/>
    <w:aliases w:val="Francesa,INAI"/>
    <w:link w:val="SinespaciadoCar"/>
    <w:uiPriority w:val="1"/>
    <w:qFormat/>
    <w:rsid w:val="00C14D07"/>
    <w:pPr>
      <w:spacing w:after="0" w:line="240" w:lineRule="auto"/>
    </w:pPr>
  </w:style>
  <w:style w:type="character" w:customStyle="1" w:styleId="SinespaciadoCar">
    <w:name w:val="Sin espaciado Car"/>
    <w:aliases w:val="Francesa Car,INAI Car"/>
    <w:link w:val="Sinespaciado"/>
    <w:uiPriority w:val="1"/>
    <w:locked/>
    <w:rsid w:val="00C14D07"/>
  </w:style>
  <w:style w:type="character" w:styleId="Hipervnculo">
    <w:name w:val="Hyperlink"/>
    <w:aliases w:val="Hipervínculo1,Hipervínculo11,Hipervínculo12,Hipervínculo13,Hipervínculo14,Hipervínculo15"/>
    <w:basedOn w:val="Fuentedeprrafopredeter"/>
    <w:uiPriority w:val="99"/>
    <w:unhideWhenUsed/>
    <w:rsid w:val="00C14D07"/>
    <w:rPr>
      <w:color w:val="0563C1" w:themeColor="hyperlink"/>
      <w:u w:val="single"/>
    </w:rPr>
  </w:style>
  <w:style w:type="paragraph" w:customStyle="1" w:styleId="INFOEM">
    <w:name w:val="INFOEM"/>
    <w:basedOn w:val="Normal"/>
    <w:qFormat/>
    <w:rsid w:val="00C14D07"/>
    <w:pPr>
      <w:spacing w:before="240" w:after="160" w:line="360" w:lineRule="auto"/>
      <w:ind w:left="851" w:right="851"/>
      <w:jc w:val="both"/>
    </w:pPr>
    <w:rPr>
      <w:rFonts w:ascii="Palatino Linotype" w:eastAsiaTheme="minorHAnsi" w:hAnsi="Palatino Linotype" w:cstheme="minorBidi"/>
      <w:i/>
      <w:sz w:val="22"/>
      <w:szCs w:val="14"/>
      <w:lang w:val="es-MX" w:eastAsia="en-US"/>
    </w:rPr>
  </w:style>
  <w:style w:type="character" w:customStyle="1" w:styleId="apple-converted-space">
    <w:name w:val="apple-converted-space"/>
    <w:basedOn w:val="Fuentedeprrafopredeter"/>
    <w:rsid w:val="00C14D07"/>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nhideWhenUsed/>
    <w:qFormat/>
    <w:rsid w:val="00C14D07"/>
    <w:rPr>
      <w:vertAlign w:val="superscript"/>
    </w:rPr>
  </w:style>
  <w:style w:type="paragraph" w:customStyle="1" w:styleId="infoemcitas">
    <w:name w:val="infoem citas"/>
    <w:basedOn w:val="Normal"/>
    <w:qFormat/>
    <w:rsid w:val="00C14D07"/>
    <w:pPr>
      <w:spacing w:before="240" w:after="160" w:line="360" w:lineRule="auto"/>
      <w:ind w:left="851" w:right="851"/>
      <w:jc w:val="both"/>
    </w:pPr>
    <w:rPr>
      <w:rFonts w:ascii="Palatino Linotype" w:eastAsiaTheme="minorHAnsi" w:hAnsi="Palatino Linotype" w:cstheme="minorBidi"/>
      <w:i/>
      <w:sz w:val="22"/>
      <w:szCs w:val="22"/>
      <w:lang w:val="es-MX" w:eastAsia="en-US"/>
    </w:rPr>
  </w:style>
  <w:style w:type="table" w:styleId="Tablaconcuadrcula">
    <w:name w:val="Table Grid"/>
    <w:basedOn w:val="Tablanormal"/>
    <w:uiPriority w:val="39"/>
    <w:rsid w:val="00C14D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39"/>
    <w:rsid w:val="00C14D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itas">
    <w:name w:val="Citas"/>
    <w:basedOn w:val="Normal"/>
    <w:qFormat/>
    <w:rsid w:val="00C14D07"/>
    <w:pPr>
      <w:spacing w:before="240" w:after="160" w:line="360" w:lineRule="auto"/>
      <w:ind w:left="851" w:right="851"/>
      <w:jc w:val="both"/>
    </w:pPr>
    <w:rPr>
      <w:rFonts w:ascii="Palatino Linotype" w:eastAsiaTheme="minorHAnsi" w:hAnsi="Palatino Linotype" w:cs="Arial"/>
      <w:i/>
      <w:sz w:val="22"/>
      <w:szCs w:val="22"/>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tmp"/><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javascript:AbrirModal(2)" TargetMode="External"/><Relationship Id="rId1" Type="http://schemas.openxmlformats.org/officeDocument/2006/relationships/hyperlink" Target="javascript:AbrirModal(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234</TotalTime>
  <Pages>19</Pages>
  <Words>4064</Words>
  <Characters>22356</Characters>
  <Application>Microsoft Office Word</Application>
  <DocSecurity>0</DocSecurity>
  <Lines>186</Lines>
  <Paragraphs>52</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26368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Libni Santana</dc:creator>
  <cp:keywords/>
  <dc:description/>
  <cp:lastModifiedBy>INFOEM557</cp:lastModifiedBy>
  <cp:revision>8</cp:revision>
  <dcterms:created xsi:type="dcterms:W3CDTF">2025-01-14T18:08:00Z</dcterms:created>
  <dcterms:modified xsi:type="dcterms:W3CDTF">2025-01-28T19:28:00Z</dcterms:modified>
</cp:coreProperties>
</file>