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3DC" w:rsidRDefault="00FF73DC">
      <w:pPr>
        <w:widowControl w:val="0"/>
        <w:pBdr>
          <w:top w:val="nil"/>
          <w:left w:val="nil"/>
          <w:bottom w:val="nil"/>
          <w:right w:val="nil"/>
          <w:between w:val="nil"/>
        </w:pBdr>
        <w:spacing w:after="0" w:line="276" w:lineRule="auto"/>
        <w:jc w:val="left"/>
      </w:pPr>
    </w:p>
    <w:p w:rsidR="00FF73DC" w:rsidRDefault="00FF73DC">
      <w:pPr>
        <w:widowControl w:val="0"/>
        <w:pBdr>
          <w:top w:val="nil"/>
          <w:left w:val="nil"/>
          <w:bottom w:val="nil"/>
          <w:right w:val="nil"/>
          <w:between w:val="nil"/>
        </w:pBdr>
        <w:spacing w:after="0" w:line="360" w:lineRule="auto"/>
        <w:jc w:val="left"/>
      </w:pPr>
    </w:p>
    <w:p w:rsidR="00FF73DC" w:rsidRDefault="000605F1">
      <w:pPr>
        <w:keepNext/>
        <w:keepLines/>
        <w:pBdr>
          <w:top w:val="nil"/>
          <w:left w:val="nil"/>
          <w:bottom w:val="nil"/>
          <w:right w:val="nil"/>
          <w:between w:val="nil"/>
        </w:pBdr>
        <w:spacing w:after="0" w:line="360" w:lineRule="auto"/>
        <w:jc w:val="center"/>
        <w:rPr>
          <w:color w:val="000000"/>
        </w:rPr>
      </w:pPr>
      <w:bookmarkStart w:id="0" w:name="_heading=h.ob4we5dpfieb" w:colFirst="0" w:colLast="0"/>
      <w:bookmarkEnd w:id="0"/>
      <w:r>
        <w:rPr>
          <w:color w:val="000000"/>
        </w:rPr>
        <w:t>RESOLUCIÓN DEL RECURSO DE REVISIÓN 05126/INFOEM/IP/RR/2025</w:t>
      </w:r>
    </w:p>
    <w:p w:rsidR="00FF73DC" w:rsidRDefault="00FF73DC">
      <w:pPr>
        <w:tabs>
          <w:tab w:val="left" w:pos="8931"/>
        </w:tabs>
        <w:spacing w:after="0" w:line="360" w:lineRule="auto"/>
      </w:pPr>
    </w:p>
    <w:p w:rsidR="00FF73DC" w:rsidRDefault="00FF73DC">
      <w:pPr>
        <w:pBdr>
          <w:top w:val="nil"/>
          <w:left w:val="nil"/>
          <w:bottom w:val="nil"/>
          <w:right w:val="nil"/>
          <w:between w:val="nil"/>
        </w:pBdr>
        <w:spacing w:after="0" w:line="360" w:lineRule="auto"/>
        <w:jc w:val="left"/>
        <w:rPr>
          <w:color w:val="000000"/>
        </w:rPr>
      </w:pPr>
    </w:p>
    <w:sdt>
      <w:sdtPr>
        <w:id w:val="-774417351"/>
        <w:docPartObj>
          <w:docPartGallery w:val="Table of Contents"/>
          <w:docPartUnique/>
        </w:docPartObj>
      </w:sdtPr>
      <w:sdtEndPr/>
      <w:sdtContent>
        <w:p w:rsidR="00FF73DC" w:rsidRPr="00F43656" w:rsidRDefault="000605F1">
          <w:pPr>
            <w:pBdr>
              <w:top w:val="nil"/>
              <w:left w:val="nil"/>
              <w:bottom w:val="nil"/>
              <w:right w:val="nil"/>
              <w:between w:val="nil"/>
            </w:pBdr>
            <w:tabs>
              <w:tab w:val="right" w:pos="9072"/>
            </w:tabs>
            <w:spacing w:after="0" w:line="360" w:lineRule="auto"/>
            <w:rPr>
              <w:rFonts w:ascii="Calibri" w:eastAsia="Calibri" w:hAnsi="Calibri" w:cs="Calibri"/>
              <w:color w:val="000000"/>
            </w:rPr>
          </w:pPr>
          <w:r>
            <w:fldChar w:fldCharType="begin"/>
          </w:r>
          <w:r>
            <w:instrText xml:space="preserve"> TOC \h \u \z \t "Heading 1,1,Heading 2,2,Heading 3,3,"</w:instrText>
          </w:r>
          <w:r>
            <w:fldChar w:fldCharType="separate"/>
          </w:r>
          <w:hyperlink w:anchor="_heading=h.9srq5jgsk52d">
            <w:r w:rsidRPr="00F43656">
              <w:rPr>
                <w:bCs/>
                <w:color w:val="000000"/>
                <w:sz w:val="20"/>
                <w:szCs w:val="20"/>
              </w:rPr>
              <w:t>A N T E C E D E N T E S</w:t>
            </w:r>
          </w:hyperlink>
          <w:hyperlink w:anchor="_heading=h.9srq5jgsk52d">
            <w:r w:rsidRPr="00F43656">
              <w:rPr>
                <w:rFonts w:ascii="Times New Roman" w:eastAsia="Times New Roman" w:hAnsi="Times New Roman" w:cs="Times New Roman"/>
                <w:color w:val="000000"/>
                <w:sz w:val="20"/>
                <w:szCs w:val="20"/>
              </w:rPr>
              <w:tab/>
              <w:t>2</w:t>
            </w:r>
          </w:hyperlink>
        </w:p>
        <w:p w:rsidR="00FF73DC" w:rsidRPr="00F43656" w:rsidRDefault="002841CE">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yx4fq6pww6o9">
            <w:r w:rsidR="000605F1" w:rsidRPr="00F43656">
              <w:rPr>
                <w:bCs/>
                <w:color w:val="000000"/>
                <w:sz w:val="20"/>
                <w:szCs w:val="20"/>
              </w:rPr>
              <w:t>I. Presentación de la solicitud de información</w:t>
            </w:r>
          </w:hyperlink>
          <w:hyperlink w:anchor="_heading=h.yx4fq6pww6o9">
            <w:r w:rsidR="000605F1" w:rsidRPr="00F43656">
              <w:rPr>
                <w:rFonts w:ascii="Times New Roman" w:eastAsia="Times New Roman" w:hAnsi="Times New Roman" w:cs="Times New Roman"/>
                <w:color w:val="000000"/>
                <w:sz w:val="20"/>
                <w:szCs w:val="20"/>
              </w:rPr>
              <w:tab/>
              <w:t>2</w:t>
            </w:r>
          </w:hyperlink>
        </w:p>
        <w:p w:rsidR="00FF73DC" w:rsidRPr="00F43656" w:rsidRDefault="002841CE">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v0aqrsrskhoy">
            <w:r w:rsidR="000605F1" w:rsidRPr="00F43656">
              <w:rPr>
                <w:bCs/>
                <w:color w:val="000000"/>
                <w:sz w:val="20"/>
                <w:szCs w:val="20"/>
              </w:rPr>
              <w:t>II. Respuesta del Sujeto Obligado</w:t>
            </w:r>
          </w:hyperlink>
          <w:hyperlink w:anchor="_heading=h.v0aqrsrskhoy">
            <w:r w:rsidR="000605F1" w:rsidRPr="00F43656">
              <w:rPr>
                <w:rFonts w:ascii="Times New Roman" w:eastAsia="Times New Roman" w:hAnsi="Times New Roman" w:cs="Times New Roman"/>
                <w:color w:val="000000"/>
                <w:sz w:val="20"/>
                <w:szCs w:val="20"/>
              </w:rPr>
              <w:tab/>
              <w:t>3</w:t>
            </w:r>
          </w:hyperlink>
        </w:p>
        <w:p w:rsidR="00FF73DC" w:rsidRPr="00F43656" w:rsidRDefault="002841CE">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yxs887nth8mj">
            <w:r w:rsidR="000605F1" w:rsidRPr="00F43656">
              <w:rPr>
                <w:bCs/>
                <w:color w:val="000000"/>
                <w:sz w:val="20"/>
                <w:szCs w:val="20"/>
              </w:rPr>
              <w:t>III. Interposición del Recurso de Revisión</w:t>
            </w:r>
          </w:hyperlink>
          <w:hyperlink w:anchor="_heading=h.yxs887nth8mj">
            <w:r w:rsidR="000605F1" w:rsidRPr="00F43656">
              <w:rPr>
                <w:rFonts w:ascii="Times New Roman" w:eastAsia="Times New Roman" w:hAnsi="Times New Roman" w:cs="Times New Roman"/>
                <w:color w:val="000000"/>
                <w:sz w:val="20"/>
                <w:szCs w:val="20"/>
              </w:rPr>
              <w:tab/>
              <w:t>4</w:t>
            </w:r>
          </w:hyperlink>
        </w:p>
        <w:p w:rsidR="00FF73DC" w:rsidRPr="00F43656" w:rsidRDefault="002841CE">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kvxoxbtgpwu">
            <w:r w:rsidR="000605F1" w:rsidRPr="00F43656">
              <w:rPr>
                <w:bCs/>
                <w:color w:val="000000"/>
                <w:sz w:val="20"/>
                <w:szCs w:val="20"/>
              </w:rPr>
              <w:t>IV. Trámite del Recurso de Revisión ante este Instituto</w:t>
            </w:r>
          </w:hyperlink>
          <w:hyperlink w:anchor="_heading=h.kvxoxbtgpwu">
            <w:r w:rsidR="000605F1" w:rsidRPr="00F43656">
              <w:rPr>
                <w:rFonts w:ascii="Times New Roman" w:eastAsia="Times New Roman" w:hAnsi="Times New Roman" w:cs="Times New Roman"/>
                <w:color w:val="000000"/>
                <w:sz w:val="20"/>
                <w:szCs w:val="20"/>
              </w:rPr>
              <w:tab/>
              <w:t>5</w:t>
            </w:r>
          </w:hyperlink>
        </w:p>
        <w:p w:rsidR="00FF73DC" w:rsidRPr="00F43656" w:rsidRDefault="002841CE">
          <w:pPr>
            <w:pBdr>
              <w:top w:val="nil"/>
              <w:left w:val="nil"/>
              <w:bottom w:val="nil"/>
              <w:right w:val="nil"/>
              <w:between w:val="nil"/>
            </w:pBdr>
            <w:tabs>
              <w:tab w:val="right" w:pos="9072"/>
            </w:tabs>
            <w:spacing w:after="0" w:line="360" w:lineRule="auto"/>
            <w:rPr>
              <w:rFonts w:ascii="Calibri" w:eastAsia="Calibri" w:hAnsi="Calibri" w:cs="Calibri"/>
              <w:color w:val="000000"/>
            </w:rPr>
          </w:pPr>
          <w:hyperlink w:anchor="_heading=h.nz8ebay86ti5">
            <w:r w:rsidR="000605F1" w:rsidRPr="00F43656">
              <w:rPr>
                <w:bCs/>
                <w:color w:val="000000"/>
                <w:sz w:val="20"/>
                <w:szCs w:val="20"/>
              </w:rPr>
              <w:t>C O N S I D E R A N D O S</w:t>
            </w:r>
          </w:hyperlink>
          <w:hyperlink w:anchor="_heading=h.nz8ebay86ti5">
            <w:r w:rsidR="000605F1" w:rsidRPr="00F43656">
              <w:rPr>
                <w:rFonts w:ascii="Times New Roman" w:eastAsia="Times New Roman" w:hAnsi="Times New Roman" w:cs="Times New Roman"/>
                <w:color w:val="000000"/>
                <w:sz w:val="20"/>
                <w:szCs w:val="20"/>
              </w:rPr>
              <w:tab/>
              <w:t>7</w:t>
            </w:r>
          </w:hyperlink>
        </w:p>
        <w:p w:rsidR="00FF73DC" w:rsidRPr="00F43656" w:rsidRDefault="002841CE">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xb610eyiojtm">
            <w:r w:rsidR="000605F1" w:rsidRPr="00F43656">
              <w:rPr>
                <w:bCs/>
                <w:color w:val="000000"/>
                <w:sz w:val="20"/>
                <w:szCs w:val="20"/>
              </w:rPr>
              <w:t>PRIMERO. Competencia</w:t>
            </w:r>
          </w:hyperlink>
          <w:hyperlink w:anchor="_heading=h.xb610eyiojtm">
            <w:r w:rsidR="000605F1" w:rsidRPr="00F43656">
              <w:rPr>
                <w:rFonts w:ascii="Times New Roman" w:eastAsia="Times New Roman" w:hAnsi="Times New Roman" w:cs="Times New Roman"/>
                <w:color w:val="000000"/>
                <w:sz w:val="20"/>
                <w:szCs w:val="20"/>
              </w:rPr>
              <w:tab/>
              <w:t>7</w:t>
            </w:r>
          </w:hyperlink>
        </w:p>
        <w:p w:rsidR="00FF73DC" w:rsidRPr="00F43656" w:rsidRDefault="002841CE">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50q2b3p364zj">
            <w:r w:rsidR="000605F1" w:rsidRPr="00F43656">
              <w:rPr>
                <w:bCs/>
                <w:color w:val="000000"/>
                <w:sz w:val="20"/>
                <w:szCs w:val="20"/>
              </w:rPr>
              <w:t>SEGUNDO. Causales de improcedencia y sobreseimiento</w:t>
            </w:r>
          </w:hyperlink>
          <w:hyperlink w:anchor="_heading=h.50q2b3p364zj">
            <w:r w:rsidR="000605F1" w:rsidRPr="00F43656">
              <w:rPr>
                <w:rFonts w:ascii="Times New Roman" w:eastAsia="Times New Roman" w:hAnsi="Times New Roman" w:cs="Times New Roman"/>
                <w:color w:val="000000"/>
                <w:sz w:val="20"/>
                <w:szCs w:val="20"/>
              </w:rPr>
              <w:tab/>
              <w:t>7</w:t>
            </w:r>
          </w:hyperlink>
        </w:p>
        <w:p w:rsidR="00FF73DC" w:rsidRPr="00F43656" w:rsidRDefault="002841CE">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40lusrj8awt9">
            <w:r w:rsidR="000605F1" w:rsidRPr="00F43656">
              <w:rPr>
                <w:bCs/>
                <w:color w:val="000000"/>
                <w:sz w:val="20"/>
                <w:szCs w:val="20"/>
              </w:rPr>
              <w:t>TERCERO. Determinación de la Controversia</w:t>
            </w:r>
          </w:hyperlink>
          <w:hyperlink w:anchor="_heading=h.40lusrj8awt9">
            <w:r w:rsidR="000605F1" w:rsidRPr="00F43656">
              <w:rPr>
                <w:rFonts w:ascii="Times New Roman" w:eastAsia="Times New Roman" w:hAnsi="Times New Roman" w:cs="Times New Roman"/>
                <w:color w:val="000000"/>
                <w:sz w:val="20"/>
                <w:szCs w:val="20"/>
              </w:rPr>
              <w:tab/>
              <w:t>9</w:t>
            </w:r>
          </w:hyperlink>
        </w:p>
        <w:p w:rsidR="00FF73DC" w:rsidRPr="00F43656" w:rsidRDefault="002841CE">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l83k4qx8rpxy">
            <w:r w:rsidR="000605F1" w:rsidRPr="00F43656">
              <w:rPr>
                <w:bCs/>
                <w:color w:val="000000"/>
                <w:sz w:val="20"/>
                <w:szCs w:val="20"/>
              </w:rPr>
              <w:t>CUARTO. Marco normativo aplicable en materia de transparencia y acceso a la información pública</w:t>
            </w:r>
          </w:hyperlink>
          <w:hyperlink w:anchor="_heading=h.l83k4qx8rpxy">
            <w:r w:rsidR="000605F1" w:rsidRPr="00F43656">
              <w:rPr>
                <w:rFonts w:ascii="Times New Roman" w:eastAsia="Times New Roman" w:hAnsi="Times New Roman" w:cs="Times New Roman"/>
                <w:color w:val="000000"/>
                <w:sz w:val="20"/>
                <w:szCs w:val="20"/>
              </w:rPr>
              <w:tab/>
              <w:t>10</w:t>
            </w:r>
          </w:hyperlink>
        </w:p>
        <w:p w:rsidR="00FF73DC" w:rsidRPr="00F43656" w:rsidRDefault="002841CE">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akn6bodhm6ij">
            <w:r w:rsidR="000605F1" w:rsidRPr="00F43656">
              <w:rPr>
                <w:bCs/>
                <w:color w:val="000000"/>
                <w:sz w:val="20"/>
                <w:szCs w:val="20"/>
              </w:rPr>
              <w:t>QUINTO. Estudio de Fondo</w:t>
            </w:r>
          </w:hyperlink>
          <w:hyperlink w:anchor="_heading=h.akn6bodhm6ij">
            <w:r w:rsidR="000605F1" w:rsidRPr="00F43656">
              <w:rPr>
                <w:rFonts w:ascii="Times New Roman" w:eastAsia="Times New Roman" w:hAnsi="Times New Roman" w:cs="Times New Roman"/>
                <w:color w:val="000000"/>
                <w:sz w:val="20"/>
                <w:szCs w:val="20"/>
              </w:rPr>
              <w:tab/>
              <w:t>11</w:t>
            </w:r>
          </w:hyperlink>
        </w:p>
        <w:p w:rsidR="00FF73DC" w:rsidRPr="00F43656" w:rsidRDefault="002841CE">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2l9f9p9bgque">
            <w:r w:rsidR="000605F1" w:rsidRPr="00F43656">
              <w:rPr>
                <w:bCs/>
                <w:color w:val="000000"/>
                <w:sz w:val="20"/>
                <w:szCs w:val="20"/>
              </w:rPr>
              <w:t>SEXTO. Decisión.</w:t>
            </w:r>
          </w:hyperlink>
          <w:hyperlink w:anchor="_heading=h.2l9f9p9bgque">
            <w:r w:rsidR="000605F1" w:rsidRPr="00F43656">
              <w:rPr>
                <w:rFonts w:ascii="Times New Roman" w:eastAsia="Times New Roman" w:hAnsi="Times New Roman" w:cs="Times New Roman"/>
                <w:color w:val="000000"/>
                <w:sz w:val="20"/>
                <w:szCs w:val="20"/>
              </w:rPr>
              <w:tab/>
              <w:t>37</w:t>
            </w:r>
          </w:hyperlink>
        </w:p>
        <w:p w:rsidR="00FF73DC" w:rsidRPr="00F43656" w:rsidRDefault="002841CE">
          <w:pPr>
            <w:pBdr>
              <w:top w:val="nil"/>
              <w:left w:val="nil"/>
              <w:bottom w:val="nil"/>
              <w:right w:val="nil"/>
              <w:between w:val="nil"/>
            </w:pBdr>
            <w:tabs>
              <w:tab w:val="right" w:pos="9072"/>
            </w:tabs>
            <w:spacing w:after="0" w:line="360" w:lineRule="auto"/>
            <w:rPr>
              <w:rFonts w:ascii="Calibri" w:eastAsia="Calibri" w:hAnsi="Calibri" w:cs="Calibri"/>
              <w:color w:val="000000"/>
            </w:rPr>
          </w:pPr>
          <w:hyperlink w:anchor="_heading=h.p2edezmh5hu5">
            <w:r w:rsidR="000605F1" w:rsidRPr="00F43656">
              <w:rPr>
                <w:bCs/>
                <w:color w:val="000000"/>
                <w:sz w:val="20"/>
                <w:szCs w:val="20"/>
              </w:rPr>
              <w:t>R E S U E L V E:</w:t>
            </w:r>
          </w:hyperlink>
          <w:hyperlink w:anchor="_heading=h.p2edezmh5hu5">
            <w:r w:rsidR="000605F1" w:rsidRPr="00F43656">
              <w:rPr>
                <w:rFonts w:ascii="Times New Roman" w:eastAsia="Times New Roman" w:hAnsi="Times New Roman" w:cs="Times New Roman"/>
                <w:color w:val="000000"/>
                <w:sz w:val="20"/>
                <w:szCs w:val="20"/>
              </w:rPr>
              <w:tab/>
              <w:t>38</w:t>
            </w:r>
          </w:hyperlink>
        </w:p>
        <w:p w:rsidR="00FF73DC" w:rsidRDefault="000605F1">
          <w:pPr>
            <w:spacing w:after="0" w:line="360" w:lineRule="auto"/>
          </w:pPr>
          <w:r>
            <w:fldChar w:fldCharType="end"/>
          </w:r>
        </w:p>
      </w:sdtContent>
    </w:sdt>
    <w:p w:rsidR="00FF73DC" w:rsidRDefault="00FF73DC">
      <w:pPr>
        <w:tabs>
          <w:tab w:val="left" w:pos="8931"/>
        </w:tabs>
        <w:spacing w:after="0" w:line="360" w:lineRule="auto"/>
      </w:pPr>
    </w:p>
    <w:p w:rsidR="00FF73DC" w:rsidRDefault="00FF73DC">
      <w:pPr>
        <w:tabs>
          <w:tab w:val="left" w:pos="8931"/>
        </w:tabs>
        <w:spacing w:after="0" w:line="360" w:lineRule="auto"/>
      </w:pPr>
    </w:p>
    <w:p w:rsidR="00FF73DC" w:rsidRDefault="00FF73DC">
      <w:pPr>
        <w:tabs>
          <w:tab w:val="left" w:pos="8931"/>
        </w:tabs>
        <w:spacing w:after="0" w:line="360" w:lineRule="auto"/>
      </w:pPr>
    </w:p>
    <w:p w:rsidR="00FF73DC" w:rsidRDefault="00FF73DC">
      <w:pPr>
        <w:tabs>
          <w:tab w:val="left" w:pos="8931"/>
        </w:tabs>
        <w:spacing w:after="0" w:line="360" w:lineRule="auto"/>
      </w:pPr>
    </w:p>
    <w:p w:rsidR="00FF73DC" w:rsidRDefault="00FF73DC">
      <w:pPr>
        <w:tabs>
          <w:tab w:val="left" w:pos="8931"/>
        </w:tabs>
        <w:spacing w:after="0" w:line="360" w:lineRule="auto"/>
      </w:pPr>
    </w:p>
    <w:p w:rsidR="00FF73DC" w:rsidRDefault="00FF73DC">
      <w:pPr>
        <w:tabs>
          <w:tab w:val="left" w:pos="8931"/>
        </w:tabs>
        <w:spacing w:after="0" w:line="360" w:lineRule="auto"/>
      </w:pPr>
    </w:p>
    <w:p w:rsidR="00FF73DC" w:rsidRDefault="00FF73DC">
      <w:pPr>
        <w:tabs>
          <w:tab w:val="left" w:pos="8931"/>
        </w:tabs>
        <w:spacing w:after="0" w:line="360" w:lineRule="auto"/>
      </w:pPr>
    </w:p>
    <w:p w:rsidR="00FF73DC" w:rsidRDefault="00FF73DC">
      <w:pPr>
        <w:tabs>
          <w:tab w:val="left" w:pos="8931"/>
        </w:tabs>
        <w:spacing w:after="0" w:line="360" w:lineRule="auto"/>
        <w:rPr>
          <w:color w:val="000000"/>
        </w:rPr>
      </w:pPr>
    </w:p>
    <w:p w:rsidR="00FF73DC" w:rsidRDefault="000605F1">
      <w:pPr>
        <w:tabs>
          <w:tab w:val="left" w:pos="8931"/>
        </w:tabs>
        <w:spacing w:after="0" w:line="360" w:lineRule="auto"/>
      </w:pPr>
      <w:r>
        <w:t xml:space="preserve">Resolución del Pleno del Instituto de Transparencia, Acceso a la Información Pública y Protección de Datos Personales del Estado de México y Municipios, con domicilio en Metepec, Estado de México, de fecha tres de diciembre de dos mil veinticinco. </w:t>
      </w:r>
    </w:p>
    <w:p w:rsidR="00FF73DC" w:rsidRDefault="00FF73DC">
      <w:pPr>
        <w:spacing w:after="0" w:line="360" w:lineRule="auto"/>
        <w:rPr>
          <w:b/>
          <w:bCs/>
        </w:rPr>
      </w:pPr>
    </w:p>
    <w:p w:rsidR="00FF73DC" w:rsidRDefault="000605F1">
      <w:pPr>
        <w:spacing w:after="0" w:line="360" w:lineRule="auto"/>
      </w:pPr>
      <w:r>
        <w:rPr>
          <w:b/>
          <w:bCs/>
        </w:rPr>
        <w:t xml:space="preserve">VISTO </w:t>
      </w:r>
      <w:r>
        <w:t xml:space="preserve">el expediente electrónico conformado con motivo del Recurso de Revisión </w:t>
      </w:r>
      <w:r w:rsidRPr="009B6908">
        <w:rPr>
          <w:b/>
        </w:rPr>
        <w:t>05126/INFOEM/IP/RR/2</w:t>
      </w:r>
      <w:r>
        <w:t xml:space="preserve">025, interpuestos por la persona </w:t>
      </w:r>
      <w:r>
        <w:rPr>
          <w:color w:val="0D0D0D"/>
        </w:rPr>
        <w:t xml:space="preserve">Recurrente o Particular, en contra de la respuesta del Sujeto Obligado, </w:t>
      </w:r>
      <w:r w:rsidRPr="009B6908">
        <w:rPr>
          <w:b/>
          <w:color w:val="000000"/>
        </w:rPr>
        <w:t>Ayuntamiento de Zinacantepec</w:t>
      </w:r>
      <w:r>
        <w:rPr>
          <w:b/>
          <w:bCs/>
          <w:color w:val="0D0D0D"/>
        </w:rPr>
        <w:t xml:space="preserve">, </w:t>
      </w:r>
      <w:r>
        <w:rPr>
          <w:color w:val="0D0D0D"/>
        </w:rPr>
        <w:t>a la solicitud de acceso a la información pública</w:t>
      </w:r>
      <w:r>
        <w:rPr>
          <w:rFonts w:ascii="Verdana" w:eastAsia="Verdana" w:hAnsi="Verdana" w:cs="Verdana"/>
          <w:b/>
          <w:bCs/>
          <w:color w:val="FF0000"/>
        </w:rPr>
        <w:t xml:space="preserve"> </w:t>
      </w:r>
      <w:r>
        <w:t xml:space="preserve">00144/ZINACANT/IP/2025, </w:t>
      </w:r>
      <w:r>
        <w:rPr>
          <w:color w:val="0D0D0D"/>
        </w:rPr>
        <w:t>se emite la presente Resolución, con base en los Antecedentes y Considerandos que se exponen a continuación:</w:t>
      </w:r>
    </w:p>
    <w:p w:rsidR="00FF73DC" w:rsidRDefault="00FF73DC">
      <w:pPr>
        <w:spacing w:after="0" w:line="360" w:lineRule="auto"/>
        <w:rPr>
          <w:b/>
          <w:bCs/>
        </w:rPr>
      </w:pPr>
    </w:p>
    <w:p w:rsidR="00FF73DC" w:rsidRDefault="000605F1">
      <w:pPr>
        <w:pStyle w:val="Ttulo1"/>
        <w:spacing w:before="0" w:line="360" w:lineRule="auto"/>
        <w:jc w:val="center"/>
        <w:rPr>
          <w:rFonts w:ascii="Palatino Linotype" w:eastAsia="Palatino Linotype" w:hAnsi="Palatino Linotype" w:cs="Palatino Linotype"/>
          <w:b/>
          <w:bCs/>
          <w:color w:val="000000"/>
          <w:sz w:val="22"/>
          <w:szCs w:val="22"/>
        </w:rPr>
      </w:pPr>
      <w:bookmarkStart w:id="1" w:name="_heading=h.wcn4brz171mk" w:colFirst="0" w:colLast="0"/>
      <w:bookmarkEnd w:id="1"/>
      <w:r>
        <w:rPr>
          <w:rFonts w:ascii="Palatino Linotype" w:eastAsia="Palatino Linotype" w:hAnsi="Palatino Linotype" w:cs="Palatino Linotype"/>
          <w:b/>
          <w:bCs/>
          <w:color w:val="000000"/>
          <w:sz w:val="22"/>
          <w:szCs w:val="22"/>
        </w:rPr>
        <w:t>A N T E C E D E N T E S</w:t>
      </w:r>
    </w:p>
    <w:p w:rsidR="00FF73DC" w:rsidRDefault="00FF73DC">
      <w:pPr>
        <w:spacing w:after="0" w:line="360" w:lineRule="auto"/>
        <w:jc w:val="center"/>
        <w:rPr>
          <w:b/>
          <w:bCs/>
        </w:rPr>
      </w:pPr>
    </w:p>
    <w:p w:rsidR="00FF73DC" w:rsidRDefault="000605F1">
      <w:pPr>
        <w:pStyle w:val="Ttulo2"/>
        <w:spacing w:before="0" w:line="360" w:lineRule="auto"/>
        <w:rPr>
          <w:rFonts w:ascii="Palatino Linotype" w:eastAsia="Palatino Linotype" w:hAnsi="Palatino Linotype" w:cs="Palatino Linotype"/>
          <w:b/>
          <w:bCs/>
          <w:color w:val="000000"/>
          <w:sz w:val="22"/>
          <w:szCs w:val="22"/>
        </w:rPr>
      </w:pPr>
      <w:bookmarkStart w:id="2" w:name="_heading=h.c083bibza9r4" w:colFirst="0" w:colLast="0"/>
      <w:bookmarkEnd w:id="2"/>
      <w:r>
        <w:rPr>
          <w:rFonts w:ascii="Palatino Linotype" w:eastAsia="Palatino Linotype" w:hAnsi="Palatino Linotype" w:cs="Palatino Linotype"/>
          <w:b/>
          <w:bCs/>
          <w:color w:val="000000"/>
          <w:sz w:val="22"/>
          <w:szCs w:val="22"/>
        </w:rPr>
        <w:t>I. Presentación de la solicitud de información</w:t>
      </w:r>
    </w:p>
    <w:p w:rsidR="00FF73DC" w:rsidRDefault="00FF73DC">
      <w:pPr>
        <w:spacing w:after="0" w:line="360" w:lineRule="auto"/>
        <w:rPr>
          <w:b/>
          <w:bCs/>
        </w:rPr>
      </w:pPr>
    </w:p>
    <w:p w:rsidR="00FF73DC" w:rsidRDefault="000605F1">
      <w:pPr>
        <w:spacing w:after="0" w:line="360" w:lineRule="auto"/>
      </w:pPr>
      <w:r>
        <w:t xml:space="preserve">El veinticinco de marzo de dos mil veinticinco, el Particular presentó dos solicitudes de acceso a la información, a través del Sistema de Acceso a la Información Mexiquense (SAIMEX), ante </w:t>
      </w:r>
      <w:r>
        <w:rPr>
          <w:color w:val="000000"/>
        </w:rPr>
        <w:t>Ayuntamiento de Zinacantepec</w:t>
      </w:r>
      <w:r>
        <w:t>,</w:t>
      </w:r>
      <w:r>
        <w:rPr>
          <w:b/>
          <w:bCs/>
        </w:rPr>
        <w:t xml:space="preserve"> </w:t>
      </w:r>
      <w:r>
        <w:t>en los siguientes términos:</w:t>
      </w:r>
    </w:p>
    <w:p w:rsidR="00FF73DC" w:rsidRDefault="00FF73DC">
      <w:pPr>
        <w:tabs>
          <w:tab w:val="left" w:pos="4667"/>
        </w:tabs>
        <w:spacing w:after="0" w:line="360" w:lineRule="auto"/>
        <w:ind w:right="567"/>
        <w:rPr>
          <w:b/>
          <w:bCs/>
          <w:i/>
          <w:iCs/>
          <w:color w:val="FF0000"/>
        </w:rPr>
      </w:pPr>
    </w:p>
    <w:p w:rsidR="00FF73DC" w:rsidRDefault="000605F1">
      <w:pPr>
        <w:spacing w:after="0" w:line="360" w:lineRule="auto"/>
        <w:ind w:left="567" w:right="567"/>
        <w:rPr>
          <w:b/>
          <w:bCs/>
          <w:i/>
          <w:iCs/>
          <w:color w:val="000000"/>
          <w:sz w:val="20"/>
          <w:szCs w:val="20"/>
        </w:rPr>
      </w:pPr>
      <w:r>
        <w:rPr>
          <w:b/>
          <w:bCs/>
          <w:i/>
          <w:iCs/>
          <w:color w:val="000000"/>
          <w:sz w:val="20"/>
          <w:szCs w:val="20"/>
        </w:rPr>
        <w:t>“DESCRIPCIÓN CLARA Y PRECISA DE LA INFORMACIÓN SOLICITADA.</w:t>
      </w:r>
    </w:p>
    <w:p w:rsidR="00FF73DC" w:rsidRDefault="000605F1">
      <w:pPr>
        <w:spacing w:after="0" w:line="360" w:lineRule="auto"/>
        <w:ind w:left="567" w:right="567"/>
        <w:rPr>
          <w:b/>
          <w:bCs/>
          <w:i/>
          <w:iCs/>
          <w:color w:val="000000"/>
          <w:sz w:val="20"/>
          <w:szCs w:val="20"/>
        </w:rPr>
      </w:pPr>
      <w:r>
        <w:rPr>
          <w:i/>
          <w:iCs/>
          <w:color w:val="000000"/>
          <w:sz w:val="20"/>
          <w:szCs w:val="20"/>
        </w:rPr>
        <w:t>Solicito una copia de los contratos y convenios firmados entre el municipio y empresas privadas durante el mandato del presidente municipal y los regidores, especificando las cantidades y los detalles de los proyectos involucrados.” (Sic.)</w:t>
      </w:r>
    </w:p>
    <w:p w:rsidR="00FF73DC" w:rsidRDefault="00FF73DC">
      <w:pPr>
        <w:spacing w:after="0" w:line="360" w:lineRule="auto"/>
        <w:ind w:right="567"/>
        <w:rPr>
          <w:i/>
          <w:iCs/>
          <w:color w:val="000000"/>
          <w:sz w:val="20"/>
          <w:szCs w:val="20"/>
        </w:rPr>
      </w:pPr>
    </w:p>
    <w:p w:rsidR="00FF73DC" w:rsidRDefault="000605F1">
      <w:pPr>
        <w:spacing w:after="0" w:line="360" w:lineRule="auto"/>
        <w:ind w:left="567" w:right="567"/>
        <w:rPr>
          <w:b/>
          <w:bCs/>
          <w:i/>
          <w:iCs/>
          <w:color w:val="000000"/>
          <w:sz w:val="20"/>
          <w:szCs w:val="20"/>
        </w:rPr>
      </w:pPr>
      <w:r>
        <w:rPr>
          <w:b/>
          <w:bCs/>
          <w:i/>
          <w:iCs/>
          <w:color w:val="000000"/>
          <w:sz w:val="20"/>
          <w:szCs w:val="20"/>
        </w:rPr>
        <w:t>“MODALIDAD DE ENTREGA</w:t>
      </w:r>
    </w:p>
    <w:p w:rsidR="00FF73DC" w:rsidRDefault="000605F1">
      <w:pPr>
        <w:spacing w:after="0" w:line="360" w:lineRule="auto"/>
        <w:ind w:left="567" w:right="567"/>
        <w:rPr>
          <w:i/>
          <w:iCs/>
          <w:color w:val="000000"/>
          <w:sz w:val="20"/>
          <w:szCs w:val="20"/>
        </w:rPr>
      </w:pPr>
      <w:r>
        <w:rPr>
          <w:i/>
          <w:iCs/>
          <w:color w:val="000000"/>
          <w:sz w:val="20"/>
          <w:szCs w:val="20"/>
        </w:rPr>
        <w:t>A través del SAIMEX”</w:t>
      </w:r>
    </w:p>
    <w:p w:rsidR="00FF73DC" w:rsidRDefault="00FF73DC">
      <w:pPr>
        <w:spacing w:after="0" w:line="360" w:lineRule="auto"/>
        <w:ind w:right="567"/>
        <w:rPr>
          <w:i/>
          <w:iCs/>
          <w:color w:val="000000"/>
          <w:sz w:val="20"/>
          <w:szCs w:val="20"/>
        </w:rPr>
      </w:pPr>
    </w:p>
    <w:p w:rsidR="00FF73DC" w:rsidRDefault="00FF73DC">
      <w:pPr>
        <w:spacing w:after="0" w:line="360" w:lineRule="auto"/>
        <w:ind w:right="567"/>
        <w:rPr>
          <w:i/>
          <w:iCs/>
          <w:color w:val="000000"/>
          <w:sz w:val="20"/>
          <w:szCs w:val="20"/>
        </w:rPr>
      </w:pPr>
    </w:p>
    <w:p w:rsidR="00FF73DC" w:rsidRDefault="000605F1">
      <w:pPr>
        <w:pStyle w:val="Ttulo2"/>
        <w:spacing w:before="0" w:line="360" w:lineRule="auto"/>
        <w:rPr>
          <w:rFonts w:ascii="Palatino Linotype" w:eastAsia="Palatino Linotype" w:hAnsi="Palatino Linotype" w:cs="Palatino Linotype"/>
          <w:b/>
          <w:bCs/>
          <w:color w:val="000000"/>
          <w:sz w:val="22"/>
          <w:szCs w:val="22"/>
        </w:rPr>
      </w:pPr>
      <w:bookmarkStart w:id="3" w:name="_heading=h.v0aqrsrskhoy" w:colFirst="0" w:colLast="0"/>
      <w:bookmarkEnd w:id="3"/>
      <w:r>
        <w:rPr>
          <w:rFonts w:ascii="Palatino Linotype" w:eastAsia="Palatino Linotype" w:hAnsi="Palatino Linotype" w:cs="Palatino Linotype"/>
          <w:b/>
          <w:bCs/>
          <w:color w:val="000000"/>
          <w:sz w:val="22"/>
          <w:szCs w:val="22"/>
        </w:rPr>
        <w:t xml:space="preserve">II. Prórroga </w:t>
      </w:r>
    </w:p>
    <w:p w:rsidR="00FF73DC" w:rsidRDefault="00FF73DC">
      <w:pPr>
        <w:spacing w:after="0" w:line="360" w:lineRule="auto"/>
      </w:pPr>
    </w:p>
    <w:p w:rsidR="00FF73DC" w:rsidRDefault="000605F1">
      <w:pPr>
        <w:spacing w:after="0" w:line="360" w:lineRule="auto"/>
      </w:pPr>
      <w:r>
        <w:t>En fecha once de abril de dos mil veinticinco, a través del SAIMEX, el Titular de la Unidad de Transparencia, notificó una prórroga por siete días para dar respuesta a la solicitud de información.</w:t>
      </w:r>
    </w:p>
    <w:p w:rsidR="00FF73DC" w:rsidRDefault="00FF73DC">
      <w:pPr>
        <w:spacing w:after="0" w:line="360" w:lineRule="auto"/>
      </w:pPr>
    </w:p>
    <w:p w:rsidR="00FF73DC" w:rsidRDefault="000605F1">
      <w:pPr>
        <w:pStyle w:val="Ttulo2"/>
        <w:spacing w:before="0" w:line="360" w:lineRule="auto"/>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III. Respuesta del Sujeto Obligado</w:t>
      </w:r>
    </w:p>
    <w:p w:rsidR="00FF73DC" w:rsidRDefault="00FF73DC">
      <w:pPr>
        <w:spacing w:after="0" w:line="360" w:lineRule="auto"/>
      </w:pPr>
    </w:p>
    <w:p w:rsidR="00FF73DC" w:rsidRDefault="000605F1">
      <w:pPr>
        <w:spacing w:after="0" w:line="360" w:lineRule="auto"/>
      </w:pPr>
      <w:r>
        <w:t>En fecha dos de mayo de dos mil veinticinco el Sujeto Obligado notifico. A través del Sistema de Acceso a la Información Mexiquense (SAIMEX), la respuesta a la solicitud de acceso a la información pública, en los siguientes términos:</w:t>
      </w:r>
    </w:p>
    <w:p w:rsidR="00FF73DC" w:rsidRDefault="00FF73DC">
      <w:pPr>
        <w:spacing w:after="0" w:line="360" w:lineRule="auto"/>
      </w:pPr>
    </w:p>
    <w:p w:rsidR="00FF73DC" w:rsidRDefault="000605F1">
      <w:pPr>
        <w:spacing w:after="0" w:line="360" w:lineRule="auto"/>
      </w:pPr>
      <w:r>
        <w:t>i) Oficio número ZIN/UT/00369/2025, del veintiséis de marzo de dos mil veinticinco, suscrito por el Director Jurídico y dirigido al Titular de la Unidad de Transparencia mediante el cual refiere lo siguiente:</w:t>
      </w:r>
    </w:p>
    <w:p w:rsidR="00FF73DC" w:rsidRDefault="00FF73DC">
      <w:pPr>
        <w:pBdr>
          <w:top w:val="nil"/>
          <w:left w:val="nil"/>
          <w:bottom w:val="nil"/>
          <w:right w:val="nil"/>
          <w:between w:val="nil"/>
        </w:pBdr>
        <w:spacing w:after="0" w:line="360" w:lineRule="auto"/>
        <w:ind w:left="567"/>
        <w:rPr>
          <w:color w:val="000000"/>
        </w:rPr>
      </w:pPr>
    </w:p>
    <w:p w:rsidR="00FF73DC" w:rsidRDefault="000605F1">
      <w:pPr>
        <w:tabs>
          <w:tab w:val="left" w:pos="4667"/>
        </w:tabs>
        <w:spacing w:after="0" w:line="360" w:lineRule="auto"/>
        <w:ind w:left="567" w:right="567"/>
        <w:rPr>
          <w:i/>
          <w:iCs/>
          <w:color w:val="000000"/>
          <w:sz w:val="20"/>
          <w:szCs w:val="20"/>
        </w:rPr>
      </w:pPr>
      <w:r>
        <w:rPr>
          <w:i/>
          <w:iCs/>
          <w:color w:val="000000"/>
          <w:sz w:val="20"/>
          <w:szCs w:val="20"/>
        </w:rPr>
        <w:t>”…</w:t>
      </w:r>
    </w:p>
    <w:p w:rsidR="00FF73DC" w:rsidRDefault="000605F1">
      <w:pPr>
        <w:tabs>
          <w:tab w:val="left" w:pos="4667"/>
        </w:tabs>
        <w:spacing w:after="0" w:line="360" w:lineRule="auto"/>
        <w:ind w:left="567" w:right="567"/>
        <w:rPr>
          <w:i/>
          <w:iCs/>
          <w:color w:val="000000"/>
          <w:sz w:val="20"/>
          <w:szCs w:val="20"/>
        </w:rPr>
      </w:pPr>
      <w:r>
        <w:rPr>
          <w:i/>
          <w:iCs/>
          <w:color w:val="000000"/>
          <w:sz w:val="20"/>
          <w:szCs w:val="20"/>
        </w:rPr>
        <w:t>En atención a su solicitud me permito informar que esta dirección no cuenta con contratos y convenios firmados entre el municipio y empresas privadas, en razón de que es competencia del comité de adquisiciones y servicios del municipio.”</w:t>
      </w:r>
    </w:p>
    <w:p w:rsidR="00FF73DC" w:rsidRDefault="00FF73DC">
      <w:pPr>
        <w:tabs>
          <w:tab w:val="left" w:pos="4667"/>
        </w:tabs>
        <w:spacing w:after="0" w:line="360" w:lineRule="auto"/>
        <w:ind w:right="567"/>
        <w:rPr>
          <w:i/>
          <w:iCs/>
          <w:color w:val="000000"/>
          <w:sz w:val="20"/>
          <w:szCs w:val="20"/>
        </w:rPr>
      </w:pPr>
    </w:p>
    <w:p w:rsidR="00FF73DC" w:rsidRDefault="000605F1">
      <w:pPr>
        <w:spacing w:after="0" w:line="360" w:lineRule="auto"/>
      </w:pPr>
      <w:r>
        <w:t>ii) Oficio número ZIN/DA/SRM/053/2025, del dos de mayo de dos mil veinticinco, suscrito por el Subdirector de recursos materiales y dirigido al Titular de la Unidad de Transparencia mediante el cual refiere lo siguiente:</w:t>
      </w:r>
    </w:p>
    <w:p w:rsidR="00FF73DC" w:rsidRDefault="00FF73DC">
      <w:pPr>
        <w:pBdr>
          <w:top w:val="nil"/>
          <w:left w:val="nil"/>
          <w:bottom w:val="nil"/>
          <w:right w:val="nil"/>
          <w:between w:val="nil"/>
        </w:pBdr>
        <w:spacing w:after="0" w:line="360" w:lineRule="auto"/>
        <w:ind w:left="567"/>
        <w:rPr>
          <w:color w:val="000000"/>
        </w:rPr>
      </w:pPr>
    </w:p>
    <w:p w:rsidR="00FF73DC" w:rsidRDefault="00FF73DC">
      <w:pPr>
        <w:pBdr>
          <w:top w:val="nil"/>
          <w:left w:val="nil"/>
          <w:bottom w:val="nil"/>
          <w:right w:val="nil"/>
          <w:between w:val="nil"/>
        </w:pBdr>
        <w:spacing w:after="0" w:line="360" w:lineRule="auto"/>
        <w:ind w:left="567"/>
        <w:rPr>
          <w:color w:val="000000"/>
        </w:rPr>
      </w:pPr>
    </w:p>
    <w:p w:rsidR="00FF73DC" w:rsidRDefault="000605F1">
      <w:pPr>
        <w:tabs>
          <w:tab w:val="left" w:pos="4667"/>
        </w:tabs>
        <w:spacing w:after="0" w:line="360" w:lineRule="auto"/>
        <w:ind w:left="567" w:right="567"/>
        <w:rPr>
          <w:i/>
          <w:iCs/>
          <w:color w:val="000000"/>
          <w:sz w:val="20"/>
          <w:szCs w:val="20"/>
        </w:rPr>
      </w:pPr>
      <w:r>
        <w:rPr>
          <w:i/>
          <w:iCs/>
          <w:color w:val="000000"/>
          <w:sz w:val="20"/>
          <w:szCs w:val="20"/>
        </w:rPr>
        <w:lastRenderedPageBreak/>
        <w:t>”…</w:t>
      </w:r>
    </w:p>
    <w:p w:rsidR="00FF73DC" w:rsidRDefault="000605F1">
      <w:pPr>
        <w:tabs>
          <w:tab w:val="left" w:pos="4667"/>
        </w:tabs>
        <w:spacing w:after="0" w:line="360" w:lineRule="auto"/>
        <w:ind w:left="567" w:right="567"/>
        <w:rPr>
          <w:i/>
          <w:iCs/>
          <w:color w:val="000000"/>
          <w:sz w:val="20"/>
          <w:szCs w:val="20"/>
        </w:rPr>
      </w:pPr>
      <w:r>
        <w:rPr>
          <w:i/>
          <w:iCs/>
          <w:color w:val="000000"/>
          <w:sz w:val="20"/>
          <w:szCs w:val="20"/>
        </w:rPr>
        <w:t>Atendiendo la solicitud del particular, adjunto al presente en formato PDF, copia de los contratos firmados entre el ayuntamiento y empresas privadas durante el mandato del presidente municipal y los regidores.</w:t>
      </w:r>
    </w:p>
    <w:p w:rsidR="00FF73DC" w:rsidRDefault="000605F1">
      <w:pPr>
        <w:tabs>
          <w:tab w:val="left" w:pos="4667"/>
        </w:tabs>
        <w:spacing w:after="0" w:line="360" w:lineRule="auto"/>
        <w:ind w:left="567" w:right="567"/>
        <w:rPr>
          <w:i/>
          <w:iCs/>
          <w:color w:val="000000"/>
          <w:sz w:val="20"/>
          <w:szCs w:val="20"/>
        </w:rPr>
      </w:pPr>
      <w:r>
        <w:rPr>
          <w:i/>
          <w:iCs/>
          <w:color w:val="000000"/>
          <w:sz w:val="20"/>
          <w:szCs w:val="20"/>
        </w:rPr>
        <w:t>.”</w:t>
      </w:r>
    </w:p>
    <w:p w:rsidR="00FF73DC" w:rsidRDefault="00FF73DC">
      <w:pPr>
        <w:tabs>
          <w:tab w:val="left" w:pos="4667"/>
        </w:tabs>
        <w:spacing w:after="0" w:line="360" w:lineRule="auto"/>
        <w:ind w:left="567" w:right="567"/>
        <w:rPr>
          <w:i/>
          <w:iCs/>
          <w:color w:val="000000"/>
          <w:sz w:val="20"/>
          <w:szCs w:val="20"/>
        </w:rPr>
      </w:pPr>
    </w:p>
    <w:p w:rsidR="00FF73DC" w:rsidRDefault="000605F1">
      <w:pPr>
        <w:spacing w:after="0" w:line="360" w:lineRule="auto"/>
      </w:pPr>
      <w:r>
        <w:t>iii)  Documento constante de 717 fojas que refieren ser los contratos firmados entre el ayuntamiento y empresas privadas durante el mandato del presidente municipal y los regidores correspondientes a dos mil veintidós, dos mil veintitrés y dos mil veinticuatro.</w:t>
      </w:r>
    </w:p>
    <w:p w:rsidR="00FF73DC" w:rsidRDefault="00FF73DC">
      <w:pPr>
        <w:tabs>
          <w:tab w:val="left" w:pos="4667"/>
        </w:tabs>
        <w:spacing w:after="0" w:line="360" w:lineRule="auto"/>
        <w:ind w:right="567"/>
        <w:rPr>
          <w:b/>
          <w:bCs/>
          <w:color w:val="000000"/>
        </w:rPr>
      </w:pPr>
    </w:p>
    <w:p w:rsidR="00FF73DC" w:rsidRDefault="000605F1">
      <w:pPr>
        <w:pStyle w:val="Ttulo2"/>
        <w:spacing w:before="0" w:line="360" w:lineRule="auto"/>
        <w:rPr>
          <w:rFonts w:ascii="Palatino Linotype" w:eastAsia="Palatino Linotype" w:hAnsi="Palatino Linotype" w:cs="Palatino Linotype"/>
          <w:b/>
          <w:bCs/>
          <w:color w:val="000000"/>
          <w:sz w:val="22"/>
          <w:szCs w:val="22"/>
        </w:rPr>
      </w:pPr>
      <w:bookmarkStart w:id="4" w:name="_heading=h.yxs887nth8mj" w:colFirst="0" w:colLast="0"/>
      <w:bookmarkEnd w:id="4"/>
      <w:r>
        <w:rPr>
          <w:rFonts w:ascii="Palatino Linotype" w:eastAsia="Palatino Linotype" w:hAnsi="Palatino Linotype" w:cs="Palatino Linotype"/>
          <w:b/>
          <w:bCs/>
          <w:color w:val="000000"/>
          <w:sz w:val="22"/>
          <w:szCs w:val="22"/>
        </w:rPr>
        <w:t>III. Interposición del Recurso de Revisión</w:t>
      </w:r>
    </w:p>
    <w:p w:rsidR="00FF73DC" w:rsidRDefault="00FF73DC">
      <w:pPr>
        <w:spacing w:after="0" w:line="360" w:lineRule="auto"/>
        <w:rPr>
          <w:color w:val="FF0000"/>
        </w:rPr>
      </w:pPr>
    </w:p>
    <w:p w:rsidR="00FF73DC" w:rsidRDefault="000605F1">
      <w:pPr>
        <w:widowControl w:val="0"/>
        <w:spacing w:after="0" w:line="360" w:lineRule="auto"/>
        <w:rPr>
          <w:color w:val="000000"/>
        </w:rPr>
      </w:pPr>
      <w:r>
        <w:rPr>
          <w:color w:val="000000"/>
        </w:rPr>
        <w:t>Con fecha seis de mayo de dos mil veinticinco, se recibió en este Instituto, a través del Sistema de Acceso a la Información Mexiquense (SAIMEX), el Recurso de Revisión interpuesto por la parte Recurrente, en contra de la respuesta del Sujeto Obligado, en los siguientes términos:</w:t>
      </w:r>
    </w:p>
    <w:p w:rsidR="00FF73DC" w:rsidRDefault="00FF73DC">
      <w:pPr>
        <w:tabs>
          <w:tab w:val="left" w:pos="4667"/>
        </w:tabs>
        <w:spacing w:after="0" w:line="360" w:lineRule="auto"/>
        <w:ind w:right="567"/>
        <w:rPr>
          <w:b/>
          <w:bCs/>
          <w:i/>
          <w:iCs/>
          <w:color w:val="FF0000"/>
          <w:sz w:val="20"/>
          <w:szCs w:val="20"/>
        </w:rPr>
      </w:pPr>
    </w:p>
    <w:p w:rsidR="00FF73DC" w:rsidRDefault="000605F1">
      <w:pPr>
        <w:tabs>
          <w:tab w:val="left" w:pos="4667"/>
        </w:tabs>
        <w:spacing w:after="0" w:line="360" w:lineRule="auto"/>
        <w:ind w:left="567" w:right="567"/>
        <w:rPr>
          <w:b/>
          <w:bCs/>
          <w:i/>
          <w:iCs/>
          <w:color w:val="000000"/>
          <w:sz w:val="20"/>
          <w:szCs w:val="20"/>
        </w:rPr>
      </w:pPr>
      <w:r>
        <w:rPr>
          <w:b/>
          <w:bCs/>
          <w:i/>
          <w:iCs/>
          <w:color w:val="000000"/>
          <w:sz w:val="20"/>
          <w:szCs w:val="20"/>
        </w:rPr>
        <w:t>“ACTO IMPUGNADO</w:t>
      </w:r>
    </w:p>
    <w:p w:rsidR="00FF73DC" w:rsidRDefault="000605F1">
      <w:pPr>
        <w:tabs>
          <w:tab w:val="left" w:pos="4667"/>
        </w:tabs>
        <w:spacing w:after="0" w:line="360" w:lineRule="auto"/>
        <w:ind w:left="567" w:right="567"/>
        <w:rPr>
          <w:i/>
          <w:iCs/>
          <w:color w:val="000000"/>
          <w:sz w:val="20"/>
          <w:szCs w:val="20"/>
        </w:rPr>
      </w:pPr>
      <w:r>
        <w:rPr>
          <w:i/>
          <w:iCs/>
          <w:color w:val="000000"/>
          <w:sz w:val="20"/>
          <w:szCs w:val="20"/>
        </w:rPr>
        <w:t>NO ENTREGA INFORMACION.” (Sic.)</w:t>
      </w:r>
    </w:p>
    <w:p w:rsidR="00FF73DC" w:rsidRDefault="00FF73DC">
      <w:pPr>
        <w:tabs>
          <w:tab w:val="left" w:pos="4667"/>
        </w:tabs>
        <w:spacing w:after="0" w:line="360" w:lineRule="auto"/>
        <w:ind w:left="567" w:right="567"/>
        <w:rPr>
          <w:i/>
          <w:iCs/>
          <w:color w:val="FF0000"/>
          <w:sz w:val="20"/>
          <w:szCs w:val="20"/>
        </w:rPr>
      </w:pPr>
    </w:p>
    <w:p w:rsidR="00FF73DC" w:rsidRDefault="000605F1">
      <w:pPr>
        <w:tabs>
          <w:tab w:val="left" w:pos="4667"/>
        </w:tabs>
        <w:spacing w:after="0" w:line="360" w:lineRule="auto"/>
        <w:ind w:left="567" w:right="567"/>
        <w:rPr>
          <w:b/>
          <w:bCs/>
          <w:i/>
          <w:iCs/>
          <w:color w:val="000000"/>
          <w:sz w:val="20"/>
          <w:szCs w:val="20"/>
        </w:rPr>
      </w:pPr>
      <w:r>
        <w:rPr>
          <w:b/>
          <w:bCs/>
          <w:i/>
          <w:iCs/>
          <w:color w:val="000000"/>
          <w:sz w:val="20"/>
          <w:szCs w:val="20"/>
        </w:rPr>
        <w:t>“RAZONES O MOTIVOS DE LA INCONFORMIDAD</w:t>
      </w:r>
    </w:p>
    <w:p w:rsidR="00FF73DC" w:rsidRDefault="000605F1">
      <w:pPr>
        <w:tabs>
          <w:tab w:val="left" w:pos="4667"/>
        </w:tabs>
        <w:spacing w:after="0" w:line="360" w:lineRule="auto"/>
        <w:ind w:left="567" w:right="567"/>
        <w:rPr>
          <w:i/>
          <w:iCs/>
          <w:color w:val="000000"/>
          <w:sz w:val="20"/>
          <w:szCs w:val="20"/>
        </w:rPr>
      </w:pPr>
      <w:r>
        <w:rPr>
          <w:i/>
          <w:iCs/>
          <w:color w:val="000000"/>
          <w:sz w:val="20"/>
          <w:szCs w:val="20"/>
        </w:rPr>
        <w:t>NO ENTREGA INFORMACION.” (Sic.)</w:t>
      </w:r>
    </w:p>
    <w:p w:rsidR="00FF73DC" w:rsidRDefault="00FF73DC">
      <w:pPr>
        <w:tabs>
          <w:tab w:val="left" w:pos="4667"/>
        </w:tabs>
        <w:spacing w:after="0" w:line="360" w:lineRule="auto"/>
        <w:ind w:right="567"/>
        <w:rPr>
          <w:i/>
          <w:iCs/>
          <w:color w:val="000000"/>
          <w:sz w:val="20"/>
          <w:szCs w:val="20"/>
        </w:rPr>
      </w:pPr>
    </w:p>
    <w:p w:rsidR="00FF73DC" w:rsidRDefault="000605F1">
      <w:pPr>
        <w:pStyle w:val="Ttulo2"/>
        <w:spacing w:before="0" w:line="360" w:lineRule="auto"/>
        <w:rPr>
          <w:rFonts w:ascii="Palatino Linotype" w:eastAsia="Palatino Linotype" w:hAnsi="Palatino Linotype" w:cs="Palatino Linotype"/>
          <w:b/>
          <w:bCs/>
          <w:color w:val="000000"/>
          <w:sz w:val="22"/>
          <w:szCs w:val="22"/>
        </w:rPr>
      </w:pPr>
      <w:bookmarkStart w:id="5" w:name="_heading=h.kvxoxbtgpwu" w:colFirst="0" w:colLast="0"/>
      <w:bookmarkEnd w:id="5"/>
      <w:r>
        <w:rPr>
          <w:rFonts w:ascii="Palatino Linotype" w:eastAsia="Palatino Linotype" w:hAnsi="Palatino Linotype" w:cs="Palatino Linotype"/>
          <w:b/>
          <w:bCs/>
          <w:color w:val="000000"/>
          <w:sz w:val="22"/>
          <w:szCs w:val="22"/>
        </w:rPr>
        <w:t>IV. Trámite del Recurso de Revisión ante este Instituto</w:t>
      </w:r>
    </w:p>
    <w:p w:rsidR="00FF73DC" w:rsidRDefault="00FF73DC">
      <w:pPr>
        <w:spacing w:after="0" w:line="360" w:lineRule="auto"/>
        <w:rPr>
          <w:b/>
          <w:bCs/>
          <w:color w:val="FF0000"/>
        </w:rPr>
      </w:pPr>
    </w:p>
    <w:p w:rsidR="00FF73DC" w:rsidRDefault="000605F1">
      <w:pPr>
        <w:spacing w:after="0" w:line="360" w:lineRule="auto"/>
        <w:rPr>
          <w:b/>
          <w:bCs/>
          <w:color w:val="000000"/>
        </w:rPr>
      </w:pPr>
      <w:bookmarkStart w:id="6" w:name="_heading=h.727j08n9lk95" w:colFirst="0" w:colLast="0"/>
      <w:bookmarkEnd w:id="6"/>
      <w:r>
        <w:rPr>
          <w:b/>
          <w:bCs/>
          <w:color w:val="000000"/>
        </w:rPr>
        <w:t>a) Turno del Medio de Impugnación.</w:t>
      </w:r>
      <w:r>
        <w:rPr>
          <w:b/>
          <w:bCs/>
        </w:rPr>
        <w:t xml:space="preserve"> </w:t>
      </w:r>
      <w:r>
        <w:rPr>
          <w:color w:val="000000"/>
        </w:rPr>
        <w:t xml:space="preserve">El seis de mayo de dos mil veinticinco, el Sistema de Acceso a la Información Mexiquense (SAIMEX), asignó el número de expediente </w:t>
      </w:r>
      <w:r>
        <w:rPr>
          <w:b/>
          <w:bCs/>
          <w:color w:val="000000"/>
        </w:rPr>
        <w:t>05126/INFOEM/IP/RR/2025</w:t>
      </w:r>
      <w:r>
        <w:rPr>
          <w:color w:val="000000"/>
        </w:rPr>
        <w:t xml:space="preserve">, al Medio de Impugnación que nos ocupa, con base en el sistema </w:t>
      </w:r>
      <w:r>
        <w:rPr>
          <w:color w:val="000000"/>
        </w:rPr>
        <w:lastRenderedPageBreak/>
        <w:t xml:space="preserve">aprobado por el Pleno de este Órgano Garante y lo turnó al </w:t>
      </w:r>
      <w:r>
        <w:rPr>
          <w:b/>
          <w:bCs/>
          <w:color w:val="000000"/>
        </w:rPr>
        <w:t>Comisionado Ponente Luis Gustavo Parra Noriega</w:t>
      </w:r>
      <w:r>
        <w:rPr>
          <w:color w:val="000000"/>
        </w:rPr>
        <w:t>, para los efectos del artículo 185, fracción I de la Ley de Transparencia y Acceso a la Información Pública del Estado de México y Municipios.</w:t>
      </w:r>
    </w:p>
    <w:p w:rsidR="00FF73DC" w:rsidRDefault="00FF73DC">
      <w:pPr>
        <w:spacing w:after="0" w:line="360" w:lineRule="auto"/>
        <w:rPr>
          <w:color w:val="FF0000"/>
        </w:rPr>
      </w:pPr>
    </w:p>
    <w:p w:rsidR="00FF73DC" w:rsidRDefault="000605F1">
      <w:pPr>
        <w:spacing w:after="0" w:line="360" w:lineRule="auto"/>
        <w:rPr>
          <w:color w:val="000000"/>
        </w:rPr>
      </w:pPr>
      <w:bookmarkStart w:id="7" w:name="_heading=h.8moqeafqq61e" w:colFirst="0" w:colLast="0"/>
      <w:bookmarkEnd w:id="7"/>
      <w:r>
        <w:rPr>
          <w:b/>
          <w:bCs/>
          <w:color w:val="000000"/>
        </w:rPr>
        <w:t>b) Admisión del Recurso de Revisión.</w:t>
      </w:r>
      <w:r>
        <w:rPr>
          <w:b/>
          <w:bCs/>
        </w:rPr>
        <w:t xml:space="preserve"> </w:t>
      </w:r>
      <w:r>
        <w:rPr>
          <w:color w:val="000000"/>
        </w:rPr>
        <w:t xml:space="preserve">El doce de mayo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debidamente notificado a las partes, el mismo día, a través del Sistema de Acceso a la Información Mexiquense (SAIMEX), en el que se les otorgó un plazo de siete días hábiles posteriores a la misma, para que manifestaran lo que a su derecho conviniera y formularan alegatos. </w:t>
      </w:r>
    </w:p>
    <w:p w:rsidR="00FF73DC" w:rsidRDefault="00FF73DC">
      <w:pPr>
        <w:spacing w:after="0" w:line="360" w:lineRule="auto"/>
        <w:rPr>
          <w:b/>
          <w:bCs/>
          <w:color w:val="000000"/>
        </w:rPr>
      </w:pPr>
    </w:p>
    <w:p w:rsidR="00FF73DC" w:rsidRDefault="000605F1">
      <w:pPr>
        <w:spacing w:after="0" w:line="360" w:lineRule="auto"/>
      </w:pPr>
      <w:bookmarkStart w:id="8" w:name="_heading=h.f6e0y7vvih5l" w:colFirst="0" w:colLast="0"/>
      <w:bookmarkEnd w:id="8"/>
      <w:r>
        <w:rPr>
          <w:b/>
          <w:bCs/>
          <w:color w:val="000000"/>
        </w:rPr>
        <w:t>c) Informe Justificado.</w:t>
      </w:r>
      <w:r>
        <w:rPr>
          <w:b/>
          <w:bCs/>
        </w:rPr>
        <w:t xml:space="preserve"> </w:t>
      </w:r>
      <w:r>
        <w:t>El veintiuno de mayo de dos mil veinticinco, a través de Sistema de Acceso a la Información Mexiquense (SAIMEX), se recibió en este instituto el Informe Justificado por parte del Sujeto Obligado, donde medularmente se ratifica su respuesta inicial, y se solicita se confirme la respuesta del sujeto obligado.</w:t>
      </w:r>
    </w:p>
    <w:p w:rsidR="00FF73DC" w:rsidRDefault="00FF73DC">
      <w:pPr>
        <w:tabs>
          <w:tab w:val="left" w:pos="4667"/>
        </w:tabs>
        <w:spacing w:after="0" w:line="360" w:lineRule="auto"/>
        <w:ind w:right="567"/>
        <w:rPr>
          <w:i/>
          <w:iCs/>
          <w:color w:val="000000"/>
          <w:sz w:val="20"/>
          <w:szCs w:val="20"/>
        </w:rPr>
      </w:pPr>
    </w:p>
    <w:p w:rsidR="00FF73DC" w:rsidRDefault="000605F1">
      <w:pPr>
        <w:tabs>
          <w:tab w:val="left" w:pos="4667"/>
        </w:tabs>
        <w:spacing w:after="0" w:line="360" w:lineRule="auto"/>
        <w:rPr>
          <w:color w:val="000000"/>
        </w:rPr>
      </w:pPr>
      <w:r>
        <w:rPr>
          <w:b/>
          <w:bCs/>
          <w:color w:val="000000"/>
        </w:rPr>
        <w:t>d) Vista del Informe Justificado.</w:t>
      </w:r>
      <w:r>
        <w:rPr>
          <w:color w:val="000000"/>
        </w:rPr>
        <w:t xml:space="preserve"> El veintiséis de noviembre de dos mil veinticinco, se dictó acuerdo por medio del cual se puso a la vista del Recurrente el Informe Justificado entregado por el Sujeto Obligado, el cual fue notificado a las partes, el mismo día, mes y año, a través del Sistema de Acceso a la Información Mexiquense (SAIMEX).</w:t>
      </w:r>
    </w:p>
    <w:p w:rsidR="00FF73DC" w:rsidRDefault="00FF73DC">
      <w:pPr>
        <w:tabs>
          <w:tab w:val="left" w:pos="4667"/>
        </w:tabs>
        <w:spacing w:after="0" w:line="360" w:lineRule="auto"/>
        <w:rPr>
          <w:color w:val="000000"/>
        </w:rPr>
      </w:pPr>
    </w:p>
    <w:p w:rsidR="00FF73DC" w:rsidRDefault="000605F1">
      <w:pPr>
        <w:tabs>
          <w:tab w:val="left" w:pos="4667"/>
        </w:tabs>
        <w:spacing w:after="0" w:line="360" w:lineRule="auto"/>
        <w:rPr>
          <w:color w:val="000000"/>
        </w:rPr>
      </w:pPr>
      <w:r>
        <w:rPr>
          <w:b/>
          <w:bCs/>
          <w:color w:val="000000"/>
        </w:rPr>
        <w:t>e) Ampliación de plazo para resolver.</w:t>
      </w:r>
      <w:r>
        <w:rPr>
          <w:color w:val="000000"/>
        </w:rPr>
        <w:t xml:space="preserve"> El v</w:t>
      </w:r>
      <w:r>
        <w:t>eintisiete</w:t>
      </w:r>
      <w:r>
        <w:rPr>
          <w:color w:val="000000"/>
        </w:rPr>
        <w:t xml:space="preserve"> de noviembre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w:t>
      </w:r>
      <w:r>
        <w:rPr>
          <w:color w:val="000000"/>
        </w:rPr>
        <w:lastRenderedPageBreak/>
        <w:t>Revisión que nos ocupa; acto que fue notificado a las partes el mismo día, mediante el Sistema de Acceso a la Información Mexiquense (SAIMEX).</w:t>
      </w:r>
    </w:p>
    <w:p w:rsidR="00FF73DC" w:rsidRDefault="00FF73DC">
      <w:pPr>
        <w:tabs>
          <w:tab w:val="left" w:pos="4667"/>
        </w:tabs>
        <w:spacing w:after="0" w:line="360" w:lineRule="auto"/>
        <w:ind w:right="567"/>
        <w:rPr>
          <w:color w:val="000000"/>
        </w:rPr>
      </w:pPr>
    </w:p>
    <w:p w:rsidR="00FF73DC" w:rsidRDefault="000605F1">
      <w:pPr>
        <w:spacing w:after="0" w:line="360" w:lineRule="auto"/>
        <w:ind w:right="-28"/>
      </w:pPr>
      <w:bookmarkStart w:id="9" w:name="_heading=h.e5k760g574vz" w:colFirst="0" w:colLast="0"/>
      <w:bookmarkEnd w:id="9"/>
      <w:r>
        <w:rPr>
          <w:b/>
          <w:bCs/>
          <w:color w:val="000000"/>
        </w:rPr>
        <w:t>f) Cierre de instrucción.</w:t>
      </w:r>
      <w:r>
        <w:t xml:space="preserve"> El tres de diciembre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catorce de dicho mes y año, a través del Sistema de Acceso a la Información Mexiquense (SAIMEX). </w:t>
      </w:r>
    </w:p>
    <w:p w:rsidR="00FF73DC" w:rsidRDefault="00FF73DC">
      <w:pPr>
        <w:spacing w:after="0" w:line="360" w:lineRule="auto"/>
        <w:ind w:right="-28"/>
        <w:rPr>
          <w:highlight w:val="red"/>
        </w:rPr>
      </w:pPr>
    </w:p>
    <w:p w:rsidR="00FF73DC" w:rsidRDefault="000605F1">
      <w:pPr>
        <w:spacing w:after="0" w:line="360" w:lineRule="auto"/>
      </w:pPr>
      <w:r>
        <w:t>En razón de que fue debidamente sustanciado e integrado el expediente electrónico y no existe diligencia pendiente de desahogo, se emite la resolución que conforme a Derecho proceda, de acuerdo a los siguientes:</w:t>
      </w:r>
    </w:p>
    <w:p w:rsidR="00FF73DC" w:rsidRDefault="000605F1">
      <w:pPr>
        <w:tabs>
          <w:tab w:val="left" w:pos="2985"/>
        </w:tabs>
        <w:spacing w:after="0" w:line="360" w:lineRule="auto"/>
        <w:rPr>
          <w:b/>
          <w:bCs/>
          <w:color w:val="000000"/>
        </w:rPr>
      </w:pPr>
      <w:r>
        <w:rPr>
          <w:b/>
          <w:bCs/>
          <w:color w:val="000000"/>
        </w:rPr>
        <w:tab/>
      </w:r>
    </w:p>
    <w:p w:rsidR="00FF73DC" w:rsidRDefault="000605F1">
      <w:pPr>
        <w:pStyle w:val="Ttulo1"/>
        <w:spacing w:before="0" w:line="360" w:lineRule="auto"/>
        <w:jc w:val="center"/>
        <w:rPr>
          <w:rFonts w:ascii="Palatino Linotype" w:eastAsia="Palatino Linotype" w:hAnsi="Palatino Linotype" w:cs="Palatino Linotype"/>
          <w:b/>
          <w:bCs/>
          <w:color w:val="000000"/>
          <w:sz w:val="22"/>
          <w:szCs w:val="22"/>
        </w:rPr>
      </w:pPr>
      <w:bookmarkStart w:id="10" w:name="_heading=h.nz8ebay86ti5" w:colFirst="0" w:colLast="0"/>
      <w:bookmarkEnd w:id="10"/>
      <w:r>
        <w:rPr>
          <w:rFonts w:ascii="Palatino Linotype" w:eastAsia="Palatino Linotype" w:hAnsi="Palatino Linotype" w:cs="Palatino Linotype"/>
          <w:b/>
          <w:bCs/>
          <w:color w:val="000000"/>
          <w:sz w:val="22"/>
          <w:szCs w:val="22"/>
        </w:rPr>
        <w:t>C O N S I D E R A N D O S</w:t>
      </w:r>
    </w:p>
    <w:p w:rsidR="00FF73DC" w:rsidRDefault="00FF73DC">
      <w:pPr>
        <w:spacing w:after="0" w:line="360" w:lineRule="auto"/>
        <w:jc w:val="center"/>
        <w:rPr>
          <w:b/>
          <w:bCs/>
          <w:color w:val="000000"/>
        </w:rPr>
      </w:pPr>
    </w:p>
    <w:p w:rsidR="00FF73DC" w:rsidRDefault="000605F1">
      <w:pPr>
        <w:pStyle w:val="Ttulo2"/>
        <w:spacing w:before="0" w:line="360" w:lineRule="auto"/>
        <w:rPr>
          <w:rFonts w:ascii="Palatino Linotype" w:eastAsia="Palatino Linotype" w:hAnsi="Palatino Linotype" w:cs="Palatino Linotype"/>
          <w:b/>
          <w:bCs/>
          <w:color w:val="000000"/>
          <w:sz w:val="22"/>
          <w:szCs w:val="22"/>
        </w:rPr>
      </w:pPr>
      <w:bookmarkStart w:id="11" w:name="_heading=h.xb610eyiojtm" w:colFirst="0" w:colLast="0"/>
      <w:bookmarkEnd w:id="11"/>
      <w:r>
        <w:rPr>
          <w:rFonts w:ascii="Palatino Linotype" w:eastAsia="Palatino Linotype" w:hAnsi="Palatino Linotype" w:cs="Palatino Linotype"/>
          <w:b/>
          <w:bCs/>
          <w:color w:val="000000"/>
          <w:sz w:val="22"/>
          <w:szCs w:val="22"/>
        </w:rPr>
        <w:t>PRIMERO. Competencia</w:t>
      </w:r>
    </w:p>
    <w:p w:rsidR="00FF73DC" w:rsidRDefault="00FF73DC">
      <w:pPr>
        <w:spacing w:after="0" w:line="360" w:lineRule="auto"/>
      </w:pPr>
    </w:p>
    <w:p w:rsidR="00FF73DC" w:rsidRDefault="000605F1">
      <w:pPr>
        <w:spacing w:after="0" w:line="360" w:lineRule="auto"/>
      </w:pPr>
      <w: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w:t>
      </w:r>
      <w:r>
        <w:lastRenderedPageBreak/>
        <w:t>Estado de México y Municipios; 7°, 9°, fracciones I y XXIII y 11 del Reglamento Interior del Instituto de Transparencia, Acceso a la Información Pública y Protección de Datos Personales del Estado de México y Municipios.</w:t>
      </w:r>
    </w:p>
    <w:p w:rsidR="00FF73DC" w:rsidRDefault="00FF73DC">
      <w:pPr>
        <w:spacing w:after="0" w:line="360" w:lineRule="auto"/>
        <w:rPr>
          <w:b/>
          <w:bCs/>
          <w:color w:val="000000"/>
        </w:rPr>
      </w:pPr>
    </w:p>
    <w:p w:rsidR="00FF73DC" w:rsidRDefault="000605F1">
      <w:pPr>
        <w:pStyle w:val="Ttulo2"/>
        <w:spacing w:before="0" w:line="360" w:lineRule="auto"/>
        <w:rPr>
          <w:rFonts w:ascii="Palatino Linotype" w:eastAsia="Palatino Linotype" w:hAnsi="Palatino Linotype" w:cs="Palatino Linotype"/>
          <w:b/>
          <w:bCs/>
          <w:color w:val="000000"/>
          <w:sz w:val="22"/>
          <w:szCs w:val="22"/>
        </w:rPr>
      </w:pPr>
      <w:bookmarkStart w:id="12" w:name="_heading=h.50q2b3p364zj" w:colFirst="0" w:colLast="0"/>
      <w:bookmarkEnd w:id="12"/>
      <w:r>
        <w:rPr>
          <w:rFonts w:ascii="Palatino Linotype" w:eastAsia="Palatino Linotype" w:hAnsi="Palatino Linotype" w:cs="Palatino Linotype"/>
          <w:b/>
          <w:bCs/>
          <w:color w:val="000000"/>
          <w:sz w:val="22"/>
          <w:szCs w:val="22"/>
        </w:rPr>
        <w:t xml:space="preserve">SEGUNDO. Causales de improcedencia y sobreseimiento </w:t>
      </w:r>
    </w:p>
    <w:p w:rsidR="00FF73DC" w:rsidRDefault="00FF73DC">
      <w:pPr>
        <w:spacing w:after="0" w:line="360" w:lineRule="auto"/>
      </w:pPr>
    </w:p>
    <w:p w:rsidR="00FF73DC" w:rsidRDefault="000605F1">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rsidR="00FF73DC" w:rsidRDefault="00FF73DC">
      <w:pPr>
        <w:spacing w:after="0" w:line="360" w:lineRule="auto"/>
        <w:rPr>
          <w:color w:val="000000"/>
        </w:rPr>
      </w:pPr>
    </w:p>
    <w:p w:rsidR="00FF73DC" w:rsidRDefault="000605F1">
      <w:pPr>
        <w:spacing w:after="0" w:line="360" w:lineRule="auto"/>
        <w:rPr>
          <w:b/>
          <w:bCs/>
          <w:color w:val="000000"/>
        </w:rPr>
      </w:pPr>
      <w:r>
        <w:rPr>
          <w:b/>
          <w:bCs/>
          <w:color w:val="000000"/>
        </w:rPr>
        <w:t>Causales de improcedencia</w:t>
      </w:r>
    </w:p>
    <w:p w:rsidR="00FF73DC" w:rsidRDefault="00FF73DC">
      <w:pPr>
        <w:spacing w:after="0" w:line="360" w:lineRule="auto"/>
        <w:rPr>
          <w:color w:val="000000"/>
        </w:rPr>
      </w:pPr>
    </w:p>
    <w:p w:rsidR="00FF73DC" w:rsidRDefault="000605F1">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FF73DC" w:rsidRDefault="00FF73DC">
      <w:pPr>
        <w:spacing w:after="0" w:line="360" w:lineRule="auto"/>
        <w:rPr>
          <w:color w:val="000000"/>
        </w:rPr>
      </w:pPr>
    </w:p>
    <w:p w:rsidR="00FF73DC" w:rsidRDefault="000605F1">
      <w:pPr>
        <w:spacing w:after="0" w:line="360" w:lineRule="auto"/>
        <w:rPr>
          <w:color w:val="000000"/>
        </w:rPr>
      </w:pPr>
      <w:r>
        <w:rPr>
          <w:color w:val="000000"/>
        </w:rPr>
        <w:t>En el presente caso, </w:t>
      </w:r>
      <w:r>
        <w:rPr>
          <w:b/>
          <w:bCs/>
          <w:color w:val="000000"/>
        </w:rPr>
        <w:t>no se actualiza ninguna de las causales de improcedencia</w:t>
      </w:r>
      <w:r>
        <w:rPr>
          <w:color w:val="000000"/>
        </w:rPr>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w:t>
      </w:r>
      <w:r>
        <w:rPr>
          <w:color w:val="000000"/>
        </w:rPr>
        <w:lastRenderedPageBreak/>
        <w:t>respuesta no formó parte del agravio; ni se realizó una consulta o ampliación a los alcances del requerimiento informativo.</w:t>
      </w:r>
    </w:p>
    <w:p w:rsidR="00FF73DC" w:rsidRDefault="00FF73DC">
      <w:pPr>
        <w:spacing w:after="0" w:line="360" w:lineRule="auto"/>
        <w:rPr>
          <w:color w:val="000000"/>
        </w:rPr>
      </w:pPr>
    </w:p>
    <w:p w:rsidR="00FF73DC" w:rsidRDefault="000605F1">
      <w:pPr>
        <w:spacing w:after="0" w:line="360" w:lineRule="auto"/>
        <w:rPr>
          <w:color w:val="000000"/>
        </w:rPr>
      </w:pPr>
      <w:r>
        <w:rPr>
          <w:color w:val="000000"/>
        </w:rPr>
        <w:t>Por lo cual, se actualiza la causal de procedencia del Recurso de Revisión señalada en el artículo 179, fracción VI, de la Ley en cita, pues la persona Recurrente se inconformó por la entrega de información que no corresponde con lo solicitado.</w:t>
      </w:r>
    </w:p>
    <w:p w:rsidR="00FF73DC" w:rsidRDefault="00FF73DC">
      <w:pPr>
        <w:spacing w:after="0" w:line="360" w:lineRule="auto"/>
        <w:rPr>
          <w:color w:val="000000"/>
        </w:rPr>
      </w:pPr>
    </w:p>
    <w:p w:rsidR="00FF73DC" w:rsidRDefault="000605F1">
      <w:pPr>
        <w:spacing w:after="0" w:line="360" w:lineRule="auto"/>
        <w:rPr>
          <w:color w:val="0D0D0D"/>
        </w:rPr>
      </w:pPr>
      <w:r>
        <w:rPr>
          <w:b/>
          <w:bCs/>
          <w:color w:val="0D0D0D"/>
        </w:rPr>
        <w:t>Causales de sobreseimiento</w:t>
      </w:r>
    </w:p>
    <w:p w:rsidR="00FF73DC" w:rsidRDefault="00FF73DC">
      <w:pPr>
        <w:spacing w:after="0" w:line="360" w:lineRule="auto"/>
        <w:rPr>
          <w:color w:val="0D0D0D"/>
        </w:rPr>
      </w:pPr>
    </w:p>
    <w:p w:rsidR="00FF73DC" w:rsidRDefault="000605F1">
      <w:pPr>
        <w:spacing w:after="0" w:line="360" w:lineRule="auto"/>
        <w:rPr>
          <w:color w:val="0D0D0D"/>
        </w:rPr>
      </w:pPr>
      <w:r>
        <w:rPr>
          <w:color w:val="0D0D0D"/>
        </w:rPr>
        <w:t>Por ser de previo y especial pronunciamiento, este Instituto analiza si se actualiza alguna causal de sobreseimiento.</w:t>
      </w:r>
    </w:p>
    <w:p w:rsidR="00FF73DC" w:rsidRDefault="00FF73DC">
      <w:pPr>
        <w:spacing w:after="0" w:line="360" w:lineRule="auto"/>
        <w:rPr>
          <w:color w:val="0D0D0D"/>
        </w:rPr>
      </w:pPr>
    </w:p>
    <w:p w:rsidR="00FF73DC" w:rsidRDefault="000605F1">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FF73DC" w:rsidRDefault="00FF73DC">
      <w:pPr>
        <w:spacing w:after="0" w:line="360" w:lineRule="auto"/>
        <w:rPr>
          <w:color w:val="000000"/>
        </w:rPr>
      </w:pPr>
    </w:p>
    <w:p w:rsidR="00FF73DC" w:rsidRDefault="000605F1">
      <w:pPr>
        <w:spacing w:after="0" w:line="360" w:lineRule="auto"/>
        <w:rPr>
          <w:color w:val="0D0D0D"/>
        </w:rPr>
      </w:pPr>
      <w:r>
        <w:rPr>
          <w:color w:val="0D0D0D"/>
        </w:rPr>
        <w:t xml:space="preserve">Por tales motivos, se considera procedente entrar al fondo del presente asunto. </w:t>
      </w:r>
    </w:p>
    <w:p w:rsidR="00FF73DC" w:rsidRDefault="00FF73DC">
      <w:pPr>
        <w:spacing w:after="0" w:line="360" w:lineRule="auto"/>
        <w:rPr>
          <w:b/>
          <w:bCs/>
          <w:color w:val="000000"/>
        </w:rPr>
      </w:pPr>
    </w:p>
    <w:p w:rsidR="00FF73DC" w:rsidRDefault="000605F1">
      <w:pPr>
        <w:pStyle w:val="Ttulo2"/>
        <w:spacing w:before="0" w:line="360" w:lineRule="auto"/>
        <w:rPr>
          <w:rFonts w:ascii="Palatino Linotype" w:eastAsia="Palatino Linotype" w:hAnsi="Palatino Linotype" w:cs="Palatino Linotype"/>
          <w:b/>
          <w:bCs/>
          <w:color w:val="000000"/>
          <w:sz w:val="22"/>
          <w:szCs w:val="22"/>
        </w:rPr>
      </w:pPr>
      <w:bookmarkStart w:id="13" w:name="_heading=h.40lusrj8awt9" w:colFirst="0" w:colLast="0"/>
      <w:bookmarkEnd w:id="13"/>
      <w:r>
        <w:rPr>
          <w:rFonts w:ascii="Palatino Linotype" w:eastAsia="Palatino Linotype" w:hAnsi="Palatino Linotype" w:cs="Palatino Linotype"/>
          <w:b/>
          <w:bCs/>
          <w:color w:val="000000"/>
          <w:sz w:val="22"/>
          <w:szCs w:val="22"/>
        </w:rPr>
        <w:t>TERCERO. Determinación de la Controversia</w:t>
      </w:r>
    </w:p>
    <w:p w:rsidR="00FF73DC" w:rsidRDefault="00FF73DC">
      <w:pPr>
        <w:spacing w:after="0" w:line="360" w:lineRule="auto"/>
        <w:rPr>
          <w:color w:val="FF0000"/>
        </w:rPr>
      </w:pPr>
    </w:p>
    <w:p w:rsidR="00FF73DC" w:rsidRDefault="000605F1">
      <w:pPr>
        <w:spacing w:after="0" w:line="360" w:lineRule="auto"/>
        <w:rPr>
          <w:color w:val="000000"/>
        </w:rPr>
      </w:pPr>
      <w:r>
        <w:rPr>
          <w:color w:val="000000"/>
        </w:rPr>
        <w:lastRenderedPageBreak/>
        <w:t>Con el objetivo de ilustrar la controversia planteada, resulta conveniente precisar, que una vez realizado el estudio de las constancias que integran el expediente en el que se actúa, se desprende que el Particular requirió los contratos y convenios firmados entre el Ayuntamiento y empresas privadas, durante el mandato del Presidente municipal y los Regidores.</w:t>
      </w:r>
    </w:p>
    <w:p w:rsidR="00FF73DC" w:rsidRDefault="00FF73DC">
      <w:pPr>
        <w:spacing w:after="0" w:line="360" w:lineRule="auto"/>
        <w:rPr>
          <w:color w:val="000000"/>
        </w:rPr>
      </w:pPr>
    </w:p>
    <w:p w:rsidR="00FF73DC" w:rsidRDefault="000605F1">
      <w:pPr>
        <w:spacing w:after="0" w:line="360" w:lineRule="auto"/>
      </w:pPr>
      <w:r>
        <w:t>En respuesta, el Sujeto Obligado, la Dirección de Administración a través de la Subdirección de Recursos Materiales, entrego un documento constante de 717 fojas que presumen ser los contratos celebrados entre el municipio y empresas privadas del dos mil veintidós al dos mil veinticuatro; además de que la Dirección Jurídica menciono que no contaba con dichas documentales al ser otra área la competente de poseerlas, por lo que el particular, se inconformó medularmente de que le negaron la información, lo cual se actualiza el supuesto previsto en el artículo 179, fracción VI, de la Ley de Transparencia y Acceso a la Información Pública del Estado de México y Municipios. Así las cosas, una vez admitido y notificado el Recurso de Revisión a las partes, el Sujeto Obligado rindió informe justificado, por medio del cual ratificó su respuesta inicial.</w:t>
      </w:r>
    </w:p>
    <w:p w:rsidR="00FF73DC" w:rsidRDefault="00FF73DC">
      <w:pPr>
        <w:spacing w:after="0" w:line="360" w:lineRule="auto"/>
        <w:rPr>
          <w:color w:val="000000"/>
        </w:rPr>
      </w:pPr>
    </w:p>
    <w:p w:rsidR="00FF73DC" w:rsidRDefault="000605F1">
      <w:pPr>
        <w:tabs>
          <w:tab w:val="left" w:pos="4962"/>
        </w:tabs>
        <w:spacing w:after="0" w:line="360" w:lineRule="auto"/>
        <w:rPr>
          <w:color w:val="000000"/>
        </w:rPr>
      </w:pPr>
      <w:r>
        <w:rPr>
          <w:color w:val="000000"/>
        </w:rPr>
        <w:t xml:space="preserve">Lo anterior, se desprende de las documentales que obran en el expediente de referencia, materia de la presente resolución, consistente en: la solicitud de acceso a la información y el escrito </w:t>
      </w:r>
      <w:proofErr w:type="spellStart"/>
      <w:r>
        <w:rPr>
          <w:color w:val="000000"/>
        </w:rPr>
        <w:t>recursal</w:t>
      </w:r>
      <w:proofErr w:type="spellEnd"/>
      <w:r>
        <w:rPr>
          <w:color w:val="000000"/>
        </w:rPr>
        <w:t>; instrumentales que se toman en cuenta a efecto de resolver el presente medio de impugnación, conforme a lo dispuesto por el artículo 185, fracción IV, de la Ley de Transparencia y Acceso a la Información Pública del Estado de México y Municipios.</w:t>
      </w:r>
    </w:p>
    <w:p w:rsidR="00FF73DC" w:rsidRDefault="00FF73DC">
      <w:pPr>
        <w:spacing w:after="0" w:line="360" w:lineRule="auto"/>
        <w:rPr>
          <w:b/>
          <w:bCs/>
          <w:color w:val="000000"/>
        </w:rPr>
      </w:pPr>
    </w:p>
    <w:p w:rsidR="00FF73DC" w:rsidRDefault="000605F1">
      <w:pPr>
        <w:pStyle w:val="Ttulo2"/>
        <w:spacing w:before="0" w:line="360" w:lineRule="auto"/>
        <w:rPr>
          <w:rFonts w:ascii="Palatino Linotype" w:eastAsia="Palatino Linotype" w:hAnsi="Palatino Linotype" w:cs="Palatino Linotype"/>
          <w:b/>
          <w:bCs/>
          <w:color w:val="000000"/>
          <w:sz w:val="22"/>
          <w:szCs w:val="22"/>
        </w:rPr>
      </w:pPr>
      <w:bookmarkStart w:id="14" w:name="_heading=h.l83k4qx8rpxy" w:colFirst="0" w:colLast="0"/>
      <w:bookmarkEnd w:id="14"/>
      <w:r>
        <w:rPr>
          <w:rFonts w:ascii="Palatino Linotype" w:eastAsia="Palatino Linotype" w:hAnsi="Palatino Linotype" w:cs="Palatino Linotype"/>
          <w:b/>
          <w:bCs/>
          <w:color w:val="000000"/>
          <w:sz w:val="22"/>
          <w:szCs w:val="22"/>
        </w:rPr>
        <w:t>CUARTO. Marco normativo aplicable en materia de transparencia y acceso a la información pública</w:t>
      </w:r>
    </w:p>
    <w:p w:rsidR="00FF73DC" w:rsidRDefault="00FF73DC">
      <w:pPr>
        <w:spacing w:after="0" w:line="360" w:lineRule="auto"/>
        <w:rPr>
          <w:color w:val="FF0000"/>
        </w:rPr>
      </w:pPr>
    </w:p>
    <w:p w:rsidR="00FF73DC" w:rsidRDefault="000605F1">
      <w:pPr>
        <w:spacing w:after="0" w:line="360" w:lineRule="auto"/>
      </w:pPr>
      <w: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FF73DC" w:rsidRDefault="00FF73DC">
      <w:pPr>
        <w:spacing w:after="0" w:line="360" w:lineRule="auto"/>
      </w:pPr>
    </w:p>
    <w:p w:rsidR="00FF73DC" w:rsidRDefault="000605F1">
      <w:pPr>
        <w:spacing w:after="0" w:line="360" w:lineRule="auto"/>
      </w:pPr>
      <w: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FF73DC" w:rsidRDefault="00FF73DC">
      <w:pPr>
        <w:spacing w:after="0" w:line="360" w:lineRule="auto"/>
      </w:pPr>
    </w:p>
    <w:p w:rsidR="00FF73DC" w:rsidRDefault="000605F1">
      <w:pPr>
        <w:spacing w:after="0" w:line="360" w:lineRule="auto"/>
      </w:pPr>
      <w:r>
        <w:t>Por su parte, la Ley de Transparencia y Acceso a la Información Pública del Estado de México y Municipios (Reglamentaria del artículo 5° de la Constitución Local), establece lo siguiente:</w:t>
      </w:r>
    </w:p>
    <w:p w:rsidR="00FF73DC" w:rsidRDefault="00FF73DC">
      <w:pPr>
        <w:spacing w:after="0" w:line="360" w:lineRule="auto"/>
      </w:pPr>
    </w:p>
    <w:p w:rsidR="00FF73DC" w:rsidRDefault="000605F1">
      <w:pPr>
        <w:spacing w:after="0" w:line="360" w:lineRule="auto"/>
      </w:pPr>
      <w:r>
        <w:t>El artículo 12, que, quienes generen, recopilen, administren, manejen, procesen, archiven o conserven información pública serán responsables de la misma.</w:t>
      </w:r>
    </w:p>
    <w:p w:rsidR="00FF73DC" w:rsidRDefault="00FF73DC">
      <w:pPr>
        <w:spacing w:after="0" w:line="360" w:lineRule="auto"/>
      </w:pPr>
    </w:p>
    <w:p w:rsidR="00FF73DC" w:rsidRDefault="000605F1">
      <w:pPr>
        <w:spacing w:after="0" w:line="360" w:lineRule="auto"/>
      </w:pPr>
      <w:r>
        <w:t>El artículo 18, que, los Sujetos Obligados deberán documentar todo acto que derive del ejercicio de sus facultades, competencias o funciones, considerando desde su origen la eventual publicidad y reutilización de la información que generen.</w:t>
      </w:r>
    </w:p>
    <w:p w:rsidR="00FF73DC" w:rsidRDefault="00FF73DC">
      <w:pPr>
        <w:spacing w:after="0" w:line="360" w:lineRule="auto"/>
      </w:pPr>
    </w:p>
    <w:p w:rsidR="00FF73DC" w:rsidRDefault="000605F1">
      <w:pPr>
        <w:spacing w:after="0" w:line="360" w:lineRule="auto"/>
      </w:pPr>
      <w: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FF73DC" w:rsidRDefault="00FF73DC">
      <w:pPr>
        <w:spacing w:after="0" w:line="360" w:lineRule="auto"/>
      </w:pPr>
    </w:p>
    <w:p w:rsidR="00FF73DC" w:rsidRDefault="000605F1">
      <w:pPr>
        <w:pStyle w:val="Ttulo2"/>
        <w:spacing w:before="0" w:line="360" w:lineRule="auto"/>
        <w:rPr>
          <w:rFonts w:ascii="Palatino Linotype" w:eastAsia="Palatino Linotype" w:hAnsi="Palatino Linotype" w:cs="Palatino Linotype"/>
          <w:b/>
          <w:bCs/>
          <w:color w:val="000000"/>
          <w:sz w:val="22"/>
          <w:szCs w:val="22"/>
        </w:rPr>
      </w:pPr>
      <w:bookmarkStart w:id="15" w:name="_heading=h.akn6bodhm6ij" w:colFirst="0" w:colLast="0"/>
      <w:bookmarkEnd w:id="15"/>
      <w:r>
        <w:rPr>
          <w:rFonts w:ascii="Palatino Linotype" w:eastAsia="Palatino Linotype" w:hAnsi="Palatino Linotype" w:cs="Palatino Linotype"/>
          <w:b/>
          <w:bCs/>
          <w:color w:val="000000"/>
          <w:sz w:val="22"/>
          <w:szCs w:val="22"/>
        </w:rPr>
        <w:lastRenderedPageBreak/>
        <w:t>QUINTO. Estudio de Fondo</w:t>
      </w:r>
    </w:p>
    <w:p w:rsidR="00FF73DC" w:rsidRDefault="00FF73DC">
      <w:pPr>
        <w:spacing w:after="0" w:line="360" w:lineRule="auto"/>
        <w:rPr>
          <w:b/>
          <w:bCs/>
          <w:color w:val="000000"/>
        </w:rPr>
      </w:pPr>
    </w:p>
    <w:p w:rsidR="00FF73DC" w:rsidRDefault="000605F1">
      <w:pPr>
        <w:spacing w:after="0" w:line="360" w:lineRule="auto"/>
        <w:rPr>
          <w:color w:val="000000"/>
        </w:rPr>
      </w:pPr>
      <w:r>
        <w:rPr>
          <w:color w:val="000000"/>
        </w:rPr>
        <w:t xml:space="preserve">Expuestas las posturas de las partes, se procede al análisis de los agravios hechos valer por la persona Recurrente, sin embargo, en principio es necesario contextualizar la solicitud de información.  </w:t>
      </w:r>
    </w:p>
    <w:p w:rsidR="00FF73DC" w:rsidRDefault="00FF73DC">
      <w:pPr>
        <w:spacing w:after="0" w:line="360" w:lineRule="auto"/>
        <w:rPr>
          <w:color w:val="000000"/>
        </w:rPr>
      </w:pPr>
    </w:p>
    <w:p w:rsidR="00FF73DC" w:rsidRDefault="000605F1">
      <w:pPr>
        <w:spacing w:after="0" w:line="360" w:lineRule="auto"/>
      </w:pPr>
      <w:r>
        <w:t xml:space="preserve">Sobre el tema, López Olvera, Miguel Alejandro </w:t>
      </w:r>
      <w:proofErr w:type="spellStart"/>
      <w:r>
        <w:t>Cancino</w:t>
      </w:r>
      <w:proofErr w:type="spellEnd"/>
      <w:r>
        <w:t xml:space="preserve"> Gómez, Rodolfo. (2020). “La Contratación Pública y el Sistema Nacional Anticorrupción”. (p. 4) la </w:t>
      </w:r>
      <w:r>
        <w:rPr>
          <w:b/>
          <w:bCs/>
        </w:rPr>
        <w:t>contratación pública</w:t>
      </w:r>
      <w:r>
        <w:t>, es el procedimiento de carácter administrativo, por medio del cual, un ente público selecciona y posteriormente, celebra un acuerdo de voluntades, con una persona física o jurídica colectiva, para que ésta, preste algún servicio público o lleve a cabo la ejecución de una obra pública, con recursos públicos del Estado y en beneficio de la colectividad.</w:t>
      </w:r>
    </w:p>
    <w:p w:rsidR="00FF73DC" w:rsidRDefault="00FF73DC">
      <w:pPr>
        <w:spacing w:after="0" w:line="360" w:lineRule="auto"/>
      </w:pPr>
    </w:p>
    <w:p w:rsidR="00FF73DC" w:rsidRDefault="000605F1">
      <w:pPr>
        <w:spacing w:after="0" w:line="360" w:lineRule="auto"/>
      </w:pPr>
      <w:r>
        <w:t xml:space="preserve">Conforme a lo anterior, el artículo 12.4 del Código Administrativo del Estado de México, establece que las obras públicas son aquellas cuyo objeto principal sea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w:t>
      </w:r>
      <w:proofErr w:type="spellStart"/>
      <w:r>
        <w:t>hidroagrícola</w:t>
      </w:r>
      <w:proofErr w:type="spellEnd"/>
      <w:r>
        <w:t xml:space="preserve">, entre otros. Además, conforme al artículo 12.6 de dicho ordenamiento jurídico, uno de los entes que pueden llevar a cabo contratos de obra pública o servicios relacionados con la misma, son las Dependencias. </w:t>
      </w:r>
    </w:p>
    <w:p w:rsidR="00FF73DC" w:rsidRDefault="00FF73DC">
      <w:pPr>
        <w:spacing w:after="0" w:line="360" w:lineRule="auto"/>
      </w:pPr>
    </w:p>
    <w:p w:rsidR="00FF73DC" w:rsidRDefault="000605F1">
      <w:pPr>
        <w:spacing w:after="0" w:line="360" w:lineRule="auto"/>
      </w:pPr>
      <w:r>
        <w:t>En ese orden de ideas, es responsabilidad de las Dependencias ejecutar la obra pública respectiva, mediante contrato con terceros o por administración directa; dicho acto jurídico, será adjudicado a través de</w:t>
      </w:r>
      <w:r>
        <w:rPr>
          <w:b/>
          <w:bCs/>
        </w:rPr>
        <w:t xml:space="preserve"> </w:t>
      </w:r>
      <w:r>
        <w:t>licitaciones públicas, invitación restringida o</w:t>
      </w:r>
      <w:r>
        <w:rPr>
          <w:b/>
          <w:bCs/>
        </w:rPr>
        <w:t xml:space="preserve"> adjudicación directa,</w:t>
      </w:r>
      <w:r>
        <w:t xml:space="preserve"> conforme a los artículos 12.8, 12.20 y 12.21 del Código mencionado.</w:t>
      </w:r>
    </w:p>
    <w:p w:rsidR="00FF73DC" w:rsidRDefault="00FF73DC">
      <w:pPr>
        <w:spacing w:after="0" w:line="360" w:lineRule="auto"/>
      </w:pPr>
    </w:p>
    <w:p w:rsidR="00FF73DC" w:rsidRDefault="000605F1">
      <w:pPr>
        <w:spacing w:after="0" w:line="360" w:lineRule="auto"/>
      </w:pPr>
      <w:r>
        <w:t xml:space="preserve">Por otra parte, los artículos 1°, fracción I, y 4°de la Ley de la de Contratación Pública del Estado de México y Municipios, especifica que las Dependencias, serán las encargados de realizar los actos relativos a la planeación, programación, </w:t>
      </w:r>
      <w:proofErr w:type="spellStart"/>
      <w:r>
        <w:t>presupuestación</w:t>
      </w:r>
      <w:proofErr w:type="spellEnd"/>
      <w:r>
        <w:t xml:space="preserve">, ejecución y control de la adquisición (bienes muebles e inmuebles), arrendamiento (bienes muebles e inmuebles), y </w:t>
      </w:r>
      <w:r>
        <w:rPr>
          <w:b/>
          <w:bCs/>
          <w:u w:val="single"/>
        </w:rPr>
        <w:t>la contratación de servicios de cualquier naturaleza</w:t>
      </w:r>
      <w:r>
        <w:t xml:space="preserve">. </w:t>
      </w:r>
    </w:p>
    <w:p w:rsidR="00FF73DC" w:rsidRDefault="00FF73DC">
      <w:pPr>
        <w:spacing w:after="0" w:line="360" w:lineRule="auto"/>
      </w:pPr>
    </w:p>
    <w:p w:rsidR="00FF73DC" w:rsidRDefault="000605F1">
      <w:pPr>
        <w:spacing w:after="0" w:line="360" w:lineRule="auto"/>
        <w:rPr>
          <w:b/>
          <w:bCs/>
          <w:u w:val="single"/>
        </w:rPr>
      </w:pPr>
      <w:r>
        <w:t xml:space="preserve">En ese contexto, conforme a los artículos 26 y 27 de dicho ordenamiento jurídico, </w:t>
      </w:r>
      <w:r>
        <w:rPr>
          <w:b/>
          <w:bCs/>
          <w:u w:val="single"/>
        </w:rPr>
        <w:t>las adquisiciones, arrendamientos y servicios, se adjudicarán a través de procedimientos de licitación pública, invitación restringida y adjudicación directa.</w:t>
      </w:r>
    </w:p>
    <w:p w:rsidR="00FF73DC" w:rsidRDefault="00FF73DC">
      <w:pPr>
        <w:spacing w:after="0" w:line="360" w:lineRule="auto"/>
      </w:pPr>
    </w:p>
    <w:p w:rsidR="00FF73DC" w:rsidRDefault="000605F1">
      <w:pPr>
        <w:spacing w:after="0" w:line="360" w:lineRule="auto"/>
      </w:pPr>
      <w:r>
        <w:t xml:space="preserve">Ahora bien, el artículo 12.38 del Código Administrativo del Estado de México y el 65 de la Ley de Contratación Pública del Estado de México y Municipios, que establecen que la adjudicación de un procedimiento de </w:t>
      </w:r>
      <w:r>
        <w:rPr>
          <w:b/>
          <w:bCs/>
        </w:rPr>
        <w:t>adquisición y arrendamiento de bienes, contratación de servicios y ejecución de obra,</w:t>
      </w:r>
      <w:r>
        <w:t xml:space="preserve"> </w:t>
      </w:r>
      <w:r>
        <w:rPr>
          <w:u w:val="single"/>
        </w:rPr>
        <w:t>se realizará mediante la suscripción de un contrato, entre el Ayuntamiento y la persona a la cual haya ganado el procedimiento licitatorio, dentro de los diez días hábiles siguientes a la notificación del fallo</w:t>
      </w:r>
      <w:r>
        <w:t>.</w:t>
      </w:r>
    </w:p>
    <w:p w:rsidR="00FF73DC" w:rsidRDefault="00FF73DC">
      <w:pPr>
        <w:spacing w:after="0" w:line="360" w:lineRule="auto"/>
      </w:pPr>
    </w:p>
    <w:p w:rsidR="00FF73DC" w:rsidRDefault="000605F1">
      <w:pPr>
        <w:spacing w:after="0" w:line="360" w:lineRule="auto"/>
      </w:pPr>
      <w:r>
        <w:t>Además, que conforme al artículo 120 del Reglamento de la Ley de Contratación Pública del Estado de México y Municipios y diverso 104 el Reglamento del Libro Décimo Segundo del Código Administrativo del Estado de México, dichos actos jurídicos se conforman por diversos datos, entre los cuales, se encuentran los datos de identificación de las partes y del contrato, así como el importe total.</w:t>
      </w:r>
    </w:p>
    <w:p w:rsidR="00FF73DC" w:rsidRDefault="00FF73DC">
      <w:pPr>
        <w:spacing w:after="0" w:line="360" w:lineRule="auto"/>
        <w:rPr>
          <w:b/>
          <w:bCs/>
        </w:rPr>
      </w:pPr>
    </w:p>
    <w:p w:rsidR="00FF73DC" w:rsidRDefault="000605F1">
      <w:pPr>
        <w:widowControl w:val="0"/>
        <w:spacing w:after="0" w:line="360" w:lineRule="auto"/>
        <w:rPr>
          <w:color w:val="000000"/>
        </w:rPr>
      </w:pPr>
      <w:r>
        <w:rPr>
          <w:color w:val="000000"/>
        </w:rPr>
        <w:t xml:space="preserve">Así mismo, el artículo 92 fracciones XXIX, de la Ley de Transparencia y Acceso a la Información Pública del Estado de México y Municipios, precisa que, es información pública </w:t>
      </w:r>
      <w:r>
        <w:rPr>
          <w:color w:val="000000"/>
        </w:rPr>
        <w:lastRenderedPageBreak/>
        <w:t xml:space="preserve">de oficio los procesos y resultados sobre procedimientos de adjudicación directa, invitación restringida y licitación de cualquier naturaleza, </w:t>
      </w:r>
      <w:r>
        <w:rPr>
          <w:b/>
          <w:bCs/>
          <w:color w:val="000000"/>
        </w:rPr>
        <w:t>que incluye la versión pública del expediente respectivo y de los contratos celebrados.</w:t>
      </w:r>
      <w:r>
        <w:rPr>
          <w:color w:val="000000"/>
        </w:rPr>
        <w:t xml:space="preserve"> </w:t>
      </w:r>
    </w:p>
    <w:p w:rsidR="00FF73DC" w:rsidRDefault="00FF73DC">
      <w:pPr>
        <w:spacing w:after="0" w:line="360" w:lineRule="auto"/>
        <w:rPr>
          <w:color w:val="000000"/>
        </w:rPr>
      </w:pPr>
    </w:p>
    <w:p w:rsidR="00FF73DC" w:rsidRDefault="000605F1">
      <w:pPr>
        <w:spacing w:after="0" w:line="360" w:lineRule="auto"/>
        <w:ind w:right="-93"/>
      </w:pPr>
      <w:r>
        <w:t>Lo anterior, 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 a continuación:</w:t>
      </w:r>
    </w:p>
    <w:p w:rsidR="00FF73DC" w:rsidRDefault="00FF73DC">
      <w:pPr>
        <w:spacing w:after="0" w:line="360" w:lineRule="auto"/>
        <w:ind w:right="-93"/>
      </w:pPr>
    </w:p>
    <w:p w:rsidR="00FF73DC" w:rsidRDefault="000605F1">
      <w:pPr>
        <w:spacing w:after="0" w:line="360" w:lineRule="auto"/>
        <w:ind w:right="-93"/>
        <w:jc w:val="center"/>
      </w:pPr>
      <w:r>
        <w:rPr>
          <w:noProof/>
        </w:rPr>
        <w:drawing>
          <wp:inline distT="0" distB="0" distL="0" distR="0">
            <wp:extent cx="4076991" cy="1450398"/>
            <wp:effectExtent l="0" t="0" r="0" b="0"/>
            <wp:docPr id="2144078438" name="image3.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abla&#10;&#10;Descripción generada automáticamente"/>
                    <pic:cNvPicPr preferRelativeResize="0"/>
                  </pic:nvPicPr>
                  <pic:blipFill>
                    <a:blip r:embed="rId8"/>
                    <a:srcRect/>
                    <a:stretch>
                      <a:fillRect/>
                    </a:stretch>
                  </pic:blipFill>
                  <pic:spPr>
                    <a:xfrm>
                      <a:off x="0" y="0"/>
                      <a:ext cx="4076991" cy="1450398"/>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782003</wp:posOffset>
                </wp:positionH>
                <wp:positionV relativeFrom="paragraph">
                  <wp:posOffset>198438</wp:posOffset>
                </wp:positionV>
                <wp:extent cx="704850" cy="1162050"/>
                <wp:effectExtent l="0" t="0" r="0" b="0"/>
                <wp:wrapNone/>
                <wp:docPr id="2144078437" name="Rectángulo 2144078437"/>
                <wp:cNvGraphicFramePr/>
                <a:graphic xmlns:a="http://schemas.openxmlformats.org/drawingml/2006/main">
                  <a:graphicData uri="http://schemas.microsoft.com/office/word/2010/wordprocessingShape">
                    <wps:wsp>
                      <wps:cNvSpPr/>
                      <wps:spPr>
                        <a:xfrm>
                          <a:off x="5007863" y="3213263"/>
                          <a:ext cx="676275" cy="1133475"/>
                        </a:xfrm>
                        <a:prstGeom prst="rect">
                          <a:avLst/>
                        </a:prstGeom>
                        <a:noFill/>
                        <a:ln w="28575" cap="flat" cmpd="sng">
                          <a:solidFill>
                            <a:srgbClr val="FFFF00"/>
                          </a:solidFill>
                          <a:prstDash val="solid"/>
                          <a:miter lim="800000"/>
                          <a:headEnd type="none" w="sm" len="sm"/>
                          <a:tailEnd type="none" w="sm" len="sm"/>
                        </a:ln>
                      </wps:spPr>
                      <wps:txbx>
                        <w:txbxContent>
                          <w:p w:rsidR="00FF73DC" w:rsidRDefault="00FF73DC">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782003</wp:posOffset>
                </wp:positionH>
                <wp:positionV relativeFrom="paragraph">
                  <wp:posOffset>198438</wp:posOffset>
                </wp:positionV>
                <wp:extent cx="704850" cy="1162050"/>
                <wp:effectExtent b="0" l="0" r="0" t="0"/>
                <wp:wrapNone/>
                <wp:docPr id="214407843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704850" cy="1162050"/>
                        </a:xfrm>
                        <a:prstGeom prst="rect"/>
                        <a:ln/>
                      </pic:spPr>
                    </pic:pic>
                  </a:graphicData>
                </a:graphic>
              </wp:anchor>
            </w:drawing>
          </mc:Fallback>
        </mc:AlternateContent>
      </w:r>
    </w:p>
    <w:p w:rsidR="00FF73DC" w:rsidRDefault="00FF73DC">
      <w:pPr>
        <w:spacing w:after="0" w:line="360" w:lineRule="auto"/>
        <w:rPr>
          <w:color w:val="000000"/>
        </w:rPr>
      </w:pPr>
    </w:p>
    <w:p w:rsidR="00FF73DC" w:rsidRDefault="000605F1">
      <w:pPr>
        <w:spacing w:after="0" w:line="360" w:lineRule="auto"/>
        <w:ind w:right="-93"/>
        <w:rPr>
          <w:color w:val="000000"/>
        </w:rPr>
      </w:pPr>
      <w:r>
        <w:rPr>
          <w:color w:val="000000"/>
        </w:rPr>
        <w:t xml:space="preserve">De lo anterior, se advierte que, el Sujeto Obligado cuenta con atribuciones para generar, administrar y poseer la información solicitada; ahora bien, es necesario recordar que la pretensión del Recurrente es obtener la información del actual Presidente Municipal y Regidores; al respecto, el Bando Municipal de Zinacantepec, dos mil veinticinco, precisa el nombre de los miembros del Cabildo, para la </w:t>
      </w:r>
      <w:proofErr w:type="spellStart"/>
      <w:r>
        <w:rPr>
          <w:color w:val="000000"/>
        </w:rPr>
        <w:t>adminsitración</w:t>
      </w:r>
      <w:proofErr w:type="spellEnd"/>
      <w:r>
        <w:rPr>
          <w:color w:val="000000"/>
        </w:rPr>
        <w:t xml:space="preserve"> 2025-2027, que incluye al actual Presidente Municipal y los nueve Regidores, tal como se muestra a </w:t>
      </w:r>
      <w:proofErr w:type="spellStart"/>
      <w:r>
        <w:rPr>
          <w:color w:val="000000"/>
        </w:rPr>
        <w:t>continuacción</w:t>
      </w:r>
      <w:proofErr w:type="spellEnd"/>
      <w:r>
        <w:rPr>
          <w:color w:val="000000"/>
        </w:rPr>
        <w:t>:</w:t>
      </w:r>
    </w:p>
    <w:p w:rsidR="00FF73DC" w:rsidRDefault="00FF73DC">
      <w:pPr>
        <w:spacing w:after="0" w:line="360" w:lineRule="auto"/>
        <w:ind w:right="-93"/>
        <w:rPr>
          <w:color w:val="000000"/>
        </w:rPr>
      </w:pPr>
    </w:p>
    <w:p w:rsidR="00FF73DC" w:rsidRDefault="000605F1">
      <w:pPr>
        <w:spacing w:after="0" w:line="360" w:lineRule="auto"/>
        <w:ind w:right="-93"/>
        <w:jc w:val="center"/>
        <w:rPr>
          <w:color w:val="000000"/>
        </w:rPr>
      </w:pPr>
      <w:r>
        <w:rPr>
          <w:noProof/>
          <w:color w:val="000000"/>
        </w:rPr>
        <w:drawing>
          <wp:inline distT="0" distB="0" distL="0" distR="0">
            <wp:extent cx="3885180" cy="663709"/>
            <wp:effectExtent l="0" t="0" r="0" b="0"/>
            <wp:docPr id="21440784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t="1" b="85069"/>
                    <a:stretch>
                      <a:fillRect/>
                    </a:stretch>
                  </pic:blipFill>
                  <pic:spPr>
                    <a:xfrm>
                      <a:off x="0" y="0"/>
                      <a:ext cx="3885180" cy="663709"/>
                    </a:xfrm>
                    <a:prstGeom prst="rect">
                      <a:avLst/>
                    </a:prstGeom>
                    <a:ln/>
                  </pic:spPr>
                </pic:pic>
              </a:graphicData>
            </a:graphic>
          </wp:inline>
        </w:drawing>
      </w:r>
    </w:p>
    <w:p w:rsidR="00FF73DC" w:rsidRDefault="000605F1">
      <w:pPr>
        <w:spacing w:after="0" w:line="360" w:lineRule="auto"/>
        <w:ind w:right="-93"/>
        <w:jc w:val="center"/>
        <w:rPr>
          <w:color w:val="000000"/>
        </w:rPr>
      </w:pPr>
      <w:r>
        <w:rPr>
          <w:noProof/>
          <w:color w:val="000000"/>
        </w:rPr>
        <w:lastRenderedPageBreak/>
        <w:drawing>
          <wp:inline distT="0" distB="0" distL="0" distR="0">
            <wp:extent cx="3885180" cy="3760474"/>
            <wp:effectExtent l="0" t="0" r="0" b="0"/>
            <wp:docPr id="21440784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t="15411"/>
                    <a:stretch>
                      <a:fillRect/>
                    </a:stretch>
                  </pic:blipFill>
                  <pic:spPr>
                    <a:xfrm>
                      <a:off x="0" y="0"/>
                      <a:ext cx="3885180" cy="3760474"/>
                    </a:xfrm>
                    <a:prstGeom prst="rect">
                      <a:avLst/>
                    </a:prstGeom>
                    <a:ln/>
                  </pic:spPr>
                </pic:pic>
              </a:graphicData>
            </a:graphic>
          </wp:inline>
        </w:drawing>
      </w:r>
    </w:p>
    <w:p w:rsidR="00FF73DC" w:rsidRDefault="00FF73DC">
      <w:pPr>
        <w:spacing w:after="0" w:line="360" w:lineRule="auto"/>
        <w:ind w:right="-93"/>
        <w:jc w:val="center"/>
        <w:rPr>
          <w:color w:val="000000"/>
        </w:rPr>
      </w:pPr>
    </w:p>
    <w:p w:rsidR="00FF73DC" w:rsidRDefault="000605F1">
      <w:pPr>
        <w:spacing w:after="0" w:line="360" w:lineRule="auto"/>
        <w:ind w:right="-93"/>
        <w:rPr>
          <w:color w:val="000000"/>
        </w:rPr>
      </w:pPr>
      <w:r>
        <w:rPr>
          <w:color w:val="000000"/>
        </w:rPr>
        <w:t>Además, el Bando Municipal de Zinacantepec, dos mil veinticuatro, contiene el nombre de los miembros del Cabildo, para la administración 2022-2024, tal como se muestra a continuación:</w:t>
      </w:r>
    </w:p>
    <w:p w:rsidR="00FF73DC" w:rsidRDefault="00FF73DC">
      <w:pPr>
        <w:spacing w:after="0" w:line="360" w:lineRule="auto"/>
        <w:ind w:right="-93"/>
        <w:rPr>
          <w:color w:val="000000"/>
        </w:rPr>
      </w:pPr>
    </w:p>
    <w:p w:rsidR="00FF73DC" w:rsidRDefault="000605F1">
      <w:pPr>
        <w:spacing w:after="0" w:line="360" w:lineRule="auto"/>
        <w:ind w:right="-93"/>
        <w:jc w:val="center"/>
        <w:rPr>
          <w:color w:val="000000"/>
        </w:rPr>
      </w:pPr>
      <w:r>
        <w:rPr>
          <w:noProof/>
          <w:color w:val="000000"/>
        </w:rPr>
        <w:drawing>
          <wp:inline distT="0" distB="0" distL="0" distR="0">
            <wp:extent cx="4376194" cy="2039500"/>
            <wp:effectExtent l="0" t="0" r="0" b="0"/>
            <wp:docPr id="21440784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b="46856"/>
                    <a:stretch>
                      <a:fillRect/>
                    </a:stretch>
                  </pic:blipFill>
                  <pic:spPr>
                    <a:xfrm>
                      <a:off x="0" y="0"/>
                      <a:ext cx="4376194" cy="2039500"/>
                    </a:xfrm>
                    <a:prstGeom prst="rect">
                      <a:avLst/>
                    </a:prstGeom>
                    <a:ln/>
                  </pic:spPr>
                </pic:pic>
              </a:graphicData>
            </a:graphic>
          </wp:inline>
        </w:drawing>
      </w:r>
    </w:p>
    <w:p w:rsidR="00FF73DC" w:rsidRDefault="000605F1">
      <w:pPr>
        <w:spacing w:after="0" w:line="360" w:lineRule="auto"/>
        <w:ind w:right="-93"/>
        <w:jc w:val="center"/>
        <w:rPr>
          <w:color w:val="000000"/>
        </w:rPr>
      </w:pPr>
      <w:r>
        <w:rPr>
          <w:noProof/>
          <w:color w:val="000000"/>
        </w:rPr>
        <w:lastRenderedPageBreak/>
        <w:drawing>
          <wp:inline distT="0" distB="0" distL="0" distR="0">
            <wp:extent cx="4376194" cy="1745533"/>
            <wp:effectExtent l="0" t="0" r="0" b="0"/>
            <wp:docPr id="21440784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t="54516"/>
                    <a:stretch>
                      <a:fillRect/>
                    </a:stretch>
                  </pic:blipFill>
                  <pic:spPr>
                    <a:xfrm>
                      <a:off x="0" y="0"/>
                      <a:ext cx="4376194" cy="1745533"/>
                    </a:xfrm>
                    <a:prstGeom prst="rect">
                      <a:avLst/>
                    </a:prstGeom>
                    <a:ln/>
                  </pic:spPr>
                </pic:pic>
              </a:graphicData>
            </a:graphic>
          </wp:inline>
        </w:drawing>
      </w:r>
    </w:p>
    <w:p w:rsidR="00FF73DC" w:rsidRDefault="00FF73DC">
      <w:pPr>
        <w:spacing w:after="0" w:line="360" w:lineRule="auto"/>
        <w:ind w:right="-93"/>
        <w:rPr>
          <w:color w:val="000000"/>
        </w:rPr>
      </w:pPr>
    </w:p>
    <w:p w:rsidR="00FF73DC" w:rsidRDefault="000605F1">
      <w:pPr>
        <w:spacing w:after="0" w:line="360" w:lineRule="auto"/>
        <w:ind w:right="-93"/>
        <w:rPr>
          <w:color w:val="000000"/>
        </w:rPr>
      </w:pPr>
      <w:r>
        <w:rPr>
          <w:color w:val="000000"/>
        </w:rPr>
        <w:t xml:space="preserve">Conforme a lo anterior, se logra vislumbrar que durante las dos administraciones </w:t>
      </w:r>
      <w:proofErr w:type="spellStart"/>
      <w:r>
        <w:rPr>
          <w:color w:val="000000"/>
        </w:rPr>
        <w:t>señaldas</w:t>
      </w:r>
      <w:proofErr w:type="spellEnd"/>
      <w:r>
        <w:rPr>
          <w:color w:val="000000"/>
        </w:rPr>
        <w:t xml:space="preserve">, el Presidente Municipal es el mismo, sin </w:t>
      </w:r>
      <w:proofErr w:type="spellStart"/>
      <w:r>
        <w:rPr>
          <w:color w:val="000000"/>
        </w:rPr>
        <w:t>emabrgo</w:t>
      </w:r>
      <w:proofErr w:type="spellEnd"/>
      <w:r>
        <w:rPr>
          <w:color w:val="000000"/>
        </w:rPr>
        <w:t>, los Regidores cambiaron; por lo que, al solicitar la información de los actuales Regidores, se logra vislumbrar que su pretensión es obtener la información de la administración 2025-2027.</w:t>
      </w:r>
    </w:p>
    <w:p w:rsidR="00FF73DC" w:rsidRDefault="00FF73DC">
      <w:pPr>
        <w:spacing w:after="0" w:line="360" w:lineRule="auto"/>
        <w:ind w:right="-93"/>
        <w:rPr>
          <w:color w:val="000000"/>
        </w:rPr>
      </w:pPr>
    </w:p>
    <w:p w:rsidR="00FF73DC" w:rsidRDefault="000605F1">
      <w:pPr>
        <w:spacing w:after="0" w:line="360" w:lineRule="auto"/>
        <w:ind w:right="-93"/>
        <w:rPr>
          <w:color w:val="000000"/>
        </w:rPr>
      </w:pPr>
      <w:r>
        <w:rPr>
          <w:color w:val="000000"/>
        </w:rPr>
        <w:t>Así, la pretensión de la persona Recurrente es obtener los contratos y convenios,  celebrados entre el Ayuntamiento y empresas privadas, del primero de enero al veinticinco de marzo de dos mil veinticinco.</w:t>
      </w:r>
    </w:p>
    <w:p w:rsidR="00FF73DC" w:rsidRDefault="00FF73DC">
      <w:pPr>
        <w:spacing w:after="0" w:line="360" w:lineRule="auto"/>
        <w:ind w:right="-93"/>
        <w:rPr>
          <w:color w:val="000000"/>
        </w:rPr>
      </w:pPr>
    </w:p>
    <w:p w:rsidR="00FF73DC" w:rsidRDefault="000605F1">
      <w:pPr>
        <w:spacing w:after="0" w:line="360" w:lineRule="auto"/>
        <w:ind w:right="-93"/>
      </w:pPr>
      <w:r>
        <w:rPr>
          <w:color w:val="000000"/>
        </w:rPr>
        <w:t xml:space="preserve">Ahora bien, de las constancias que obran en el expediente, se logra vislumbrar que el Sujeto Obligado turno la solicitud de información a la Dirección de Administración, y a la Dirección Jurídica; </w:t>
      </w:r>
      <w:r>
        <w:t xml:space="preserve">por lo que, es oportuno hacer referencia al </w:t>
      </w:r>
      <w:r>
        <w:rPr>
          <w:b/>
          <w:bCs/>
        </w:rPr>
        <w:t>procedimiento de búsqueda que deben de seguir los Sujetos Obligados para localizar la información</w:t>
      </w:r>
      <w: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rsidR="00FF73DC" w:rsidRDefault="00FF73DC">
      <w:pPr>
        <w:spacing w:after="0" w:line="360" w:lineRule="auto"/>
        <w:ind w:right="-93"/>
        <w:rPr>
          <w:color w:val="0D0D0D"/>
        </w:rPr>
      </w:pPr>
    </w:p>
    <w:p w:rsidR="00FF73DC" w:rsidRDefault="000605F1">
      <w:pPr>
        <w:spacing w:after="0" w:line="360" w:lineRule="auto"/>
        <w:rPr>
          <w:color w:val="000000"/>
        </w:rPr>
      </w:pPr>
      <w:r>
        <w:rPr>
          <w:color w:val="000000"/>
        </w:rPr>
        <w:t xml:space="preserve">En ese contexto conforme al Manual de Organización de la Dirección de Administración vigente refiere que la dirección de administración contara con diversas subdirecciones a su cargo, además de </w:t>
      </w:r>
      <w:r>
        <w:rPr>
          <w:b/>
          <w:bCs/>
          <w:u w:val="single"/>
        </w:rPr>
        <w:t>autorizar los procedimientos adquisitivos de licitaciones públicas, invitación restringida y adjudicaciones directas que realice la Subdirección de Recursos Materiales y</w:t>
      </w:r>
      <w:r>
        <w:t xml:space="preserve"> llevar a cabo los acuerdos tomados en el Comité de Adquisiciones y Servicios</w:t>
      </w:r>
      <w:r>
        <w:rPr>
          <w:color w:val="000000"/>
        </w:rPr>
        <w:t xml:space="preserve">, misma que se encargara de </w:t>
      </w:r>
      <w:r>
        <w:rPr>
          <w:b/>
          <w:bCs/>
          <w:color w:val="000000"/>
          <w:u w:val="single"/>
        </w:rPr>
        <w:t>su</w:t>
      </w:r>
      <w:r>
        <w:rPr>
          <w:b/>
          <w:bCs/>
          <w:u w:val="single"/>
        </w:rPr>
        <w:t>pervisar la elaboración de contratos de prestación de servicios, adquisiciones y arrendamientos de conformidad con las disposiciones aplicables;</w:t>
      </w:r>
    </w:p>
    <w:p w:rsidR="00FF73DC" w:rsidRDefault="00FF73DC">
      <w:pPr>
        <w:spacing w:after="0" w:line="360" w:lineRule="auto"/>
        <w:rPr>
          <w:color w:val="000000"/>
        </w:rPr>
      </w:pPr>
    </w:p>
    <w:p w:rsidR="00FF73DC" w:rsidRDefault="000605F1">
      <w:pPr>
        <w:spacing w:after="0" w:line="360" w:lineRule="auto"/>
        <w:rPr>
          <w:b/>
          <w:bCs/>
          <w:u w:val="single"/>
        </w:rPr>
      </w:pPr>
      <w:r>
        <w:rPr>
          <w:color w:val="000000"/>
        </w:rPr>
        <w:t xml:space="preserve">Siguiendo el mismo orden de ideas dentro del Manual de Organización de la Dirección Jurídica, en su artículo 91 refiere que dicha unidad administrativa solo se </w:t>
      </w:r>
      <w:r>
        <w:rPr>
          <w:b/>
          <w:bCs/>
          <w:color w:val="000000"/>
          <w:u w:val="single"/>
        </w:rPr>
        <w:t xml:space="preserve">encargara de </w:t>
      </w:r>
      <w:r>
        <w:rPr>
          <w:b/>
          <w:bCs/>
          <w:u w:val="single"/>
        </w:rPr>
        <w:t>atender los asuntos legales de la administración pública y para el cumplimiento de sus atribuciones se auxiliará de todas las áreas municipales y de sus organismos auxiliares cuando así los requiera.</w:t>
      </w:r>
    </w:p>
    <w:p w:rsidR="00FF73DC" w:rsidRDefault="00FF73DC">
      <w:pPr>
        <w:spacing w:after="0" w:line="360" w:lineRule="auto"/>
        <w:rPr>
          <w:color w:val="000000"/>
        </w:rPr>
      </w:pPr>
    </w:p>
    <w:p w:rsidR="00FF73DC" w:rsidRDefault="000605F1">
      <w:pPr>
        <w:spacing w:after="0" w:line="360" w:lineRule="auto"/>
        <w:rPr>
          <w:b/>
          <w:bCs/>
          <w:u w:val="single"/>
        </w:rPr>
      </w:pPr>
      <w:r>
        <w:rPr>
          <w:color w:val="000000"/>
        </w:rPr>
        <w:t xml:space="preserve">Ahora bien cabe mencionar que de conformidad con el Manual de Organización de la Dirección de Obras Públicas de Zinacantepec vigente refiere que dicha unidad se encargara </w:t>
      </w:r>
      <w:r>
        <w:rPr>
          <w:b/>
          <w:bCs/>
          <w:color w:val="000000"/>
          <w:u w:val="single"/>
        </w:rPr>
        <w:t xml:space="preserve">de </w:t>
      </w:r>
      <w:r>
        <w:rPr>
          <w:b/>
          <w:bCs/>
          <w:u w:val="single"/>
        </w:rPr>
        <w:t>planear, programar, presupuestar, adjudicar, contratar, ejecutar y controlar la obra pública en el municipio.</w:t>
      </w:r>
    </w:p>
    <w:p w:rsidR="00FF73DC" w:rsidRDefault="00FF73DC">
      <w:pPr>
        <w:spacing w:after="0" w:line="360" w:lineRule="auto"/>
        <w:ind w:right="-28"/>
        <w:rPr>
          <w:b/>
          <w:bCs/>
        </w:rPr>
      </w:pPr>
    </w:p>
    <w:p w:rsidR="00FF73DC" w:rsidRDefault="000605F1">
      <w:pPr>
        <w:spacing w:after="0" w:line="360" w:lineRule="auto"/>
      </w:pPr>
      <w:r>
        <w:t>Conforme a lo anterior, se logra vislumbrar que si bien el Sujeto Obligado turno la solicitud a unidades administrativas con atribuciones para conocer de lo peticionado, a omitió turnar el requerimiento a la Dirección de Obras Públicas. Establecido lo anterior, se procede analizar la respuesta entregada por el Sujeto Obligado.</w:t>
      </w:r>
    </w:p>
    <w:p w:rsidR="00FF73DC" w:rsidRDefault="00FF73DC">
      <w:pPr>
        <w:spacing w:after="0" w:line="360" w:lineRule="auto"/>
      </w:pPr>
    </w:p>
    <w:p w:rsidR="00FF73DC" w:rsidRDefault="000605F1">
      <w:pPr>
        <w:spacing w:after="0" w:line="360" w:lineRule="auto"/>
      </w:pPr>
      <w:r>
        <w:lastRenderedPageBreak/>
        <w:t>En ese orden de ideas, la Dirección Jurídica, señaló que después de realizar una búsqueda exhaustiva y razonable en sus archivos, no habían localizado lo peticionado, pues carecían de atribuciones para conocer de los contratos, al ser competencia de otra área, lo cual es correcto, pues conforme a lo analizado dichas áreas no cuentan con atribuciones para conocer de los procedimientos de adjudicación, ni los pagos realizados derivados de los contratos celebrados; sin embargo, omitió pronunciarse sobre convenios celebrados.</w:t>
      </w:r>
    </w:p>
    <w:p w:rsidR="00FF73DC" w:rsidRDefault="00FF73DC">
      <w:pPr>
        <w:spacing w:after="0" w:line="360" w:lineRule="auto"/>
      </w:pPr>
    </w:p>
    <w:p w:rsidR="00FF73DC" w:rsidRDefault="000605F1">
      <w:pPr>
        <w:spacing w:after="0" w:line="360" w:lineRule="auto"/>
      </w:pPr>
      <w:r>
        <w:t>Por otra parte, la Subdirección de Recursos Materiales entregó los contratos celebrados durante la administración 2022-2024, es decir, si bien se relaciona con el tipo de documento solicitado, no corresponde con lo peticionado, pues la pretensión del Recurrente es obtener aquellos celebrados durante el dos mil veinticinco; aunado a que no hubo pronunciamiento sobre los convenios celebrados.</w:t>
      </w:r>
    </w:p>
    <w:p w:rsidR="00FF73DC" w:rsidRDefault="00FF73DC">
      <w:pPr>
        <w:spacing w:after="0" w:line="360" w:lineRule="auto"/>
      </w:pPr>
    </w:p>
    <w:p w:rsidR="00FF73DC" w:rsidRDefault="000605F1">
      <w:pPr>
        <w:spacing w:after="0" w:line="360" w:lineRule="auto"/>
      </w:pPr>
      <w:r>
        <w:t>Sobre el tema, el artículo 1.8, fracción XIII, del Código Administrativo del Estado de México, establece que para que tenga validez, todo acto administrativo deberá resolver todos los puntos propuestos por los interesados.</w:t>
      </w:r>
    </w:p>
    <w:p w:rsidR="00FF73DC" w:rsidRDefault="00FF73DC">
      <w:pPr>
        <w:spacing w:after="0" w:line="360" w:lineRule="auto"/>
        <w:rPr>
          <w:color w:val="FF0000"/>
        </w:rPr>
      </w:pPr>
    </w:p>
    <w:p w:rsidR="00FF73DC" w:rsidRDefault="000605F1">
      <w:pPr>
        <w:spacing w:after="0" w:line="360" w:lineRule="auto"/>
      </w:pPr>
      <w:r>
        <w:t>Situación que se robustece, con el Criterio de Interpretación, con clave de control SO/002/2017, de la Segunda Época, emitido por el Instituto Nacional de Transparencia, Acceso a la Información y Protección de Datos Personales, que establece que todo acto administrativo debe apegarse al principio de exhaustividad,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rsidR="00FF73DC" w:rsidRDefault="00FF73DC">
      <w:pPr>
        <w:spacing w:after="0" w:line="360" w:lineRule="auto"/>
      </w:pPr>
    </w:p>
    <w:p w:rsidR="00FF73DC" w:rsidRDefault="000605F1">
      <w:pPr>
        <w:spacing w:after="0" w:line="360" w:lineRule="auto"/>
      </w:pPr>
      <w:r>
        <w:t>En esa tesitura, se concluye que el Sujeto Obligado no satisfizo el derecho de acceso a la información del Solicitante, al incumplir el principio de exhaustividad, pues omitió proporcionar los contratos y convenios celebrados del primero de enero al veinticinco de marzo de dos mil veinticinco, lo cual da como resultado que el agravio sea</w:t>
      </w:r>
      <w:r>
        <w:rPr>
          <w:b/>
          <w:bCs/>
        </w:rPr>
        <w:t xml:space="preserve"> FUNDADO.</w:t>
      </w:r>
    </w:p>
    <w:p w:rsidR="00FF73DC" w:rsidRDefault="00FF73DC">
      <w:pPr>
        <w:spacing w:after="0" w:line="360" w:lineRule="auto"/>
        <w:rPr>
          <w:color w:val="FF0000"/>
        </w:rPr>
      </w:pPr>
    </w:p>
    <w:p w:rsidR="00FF73DC" w:rsidRDefault="000605F1">
      <w:pPr>
        <w:spacing w:after="0" w:line="360" w:lineRule="auto"/>
        <w:rPr>
          <w:color w:val="000000"/>
        </w:rPr>
      </w:pPr>
      <w:r>
        <w:rPr>
          <w:color w:val="000000"/>
        </w:rPr>
        <w:t>En ese sentido, este Instituto realizó una búsqueda en la fracción XXIX, del Portal de Información Pública de Oficio Mexiquense del Ayuntamiento de Zinacantepec, del primer trimestre del presente ejercicio fiscal y se logró vislumbra que del primero de enero al treinta y uno de marzo de dos mil veinticinco,  se llevó a cabo la contratación de diversos servicios tal como se muestra a continuación:</w:t>
      </w:r>
    </w:p>
    <w:p w:rsidR="00FF73DC" w:rsidRDefault="00FF73DC">
      <w:pPr>
        <w:spacing w:after="0" w:line="360" w:lineRule="auto"/>
        <w:rPr>
          <w:color w:val="000000"/>
        </w:rPr>
      </w:pPr>
    </w:p>
    <w:p w:rsidR="00FF73DC" w:rsidRDefault="000605F1">
      <w:pPr>
        <w:spacing w:after="0" w:line="360" w:lineRule="auto"/>
        <w:rPr>
          <w:color w:val="000000"/>
        </w:rPr>
      </w:pPr>
      <w:r>
        <w:rPr>
          <w:noProof/>
          <w:color w:val="000000"/>
        </w:rPr>
        <w:drawing>
          <wp:inline distT="0" distB="0" distL="0" distR="0">
            <wp:extent cx="5671185" cy="2718435"/>
            <wp:effectExtent l="0" t="0" r="0" b="0"/>
            <wp:docPr id="21440784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71185" cy="2718435"/>
                    </a:xfrm>
                    <a:prstGeom prst="rect">
                      <a:avLst/>
                    </a:prstGeom>
                    <a:ln/>
                  </pic:spPr>
                </pic:pic>
              </a:graphicData>
            </a:graphic>
          </wp:inline>
        </w:drawing>
      </w:r>
    </w:p>
    <w:p w:rsidR="00FF73DC" w:rsidRDefault="00FF73DC">
      <w:pPr>
        <w:spacing w:after="0" w:line="360" w:lineRule="auto"/>
        <w:rPr>
          <w:color w:val="000000"/>
        </w:rPr>
      </w:pPr>
    </w:p>
    <w:p w:rsidR="00FF73DC" w:rsidRDefault="000605F1">
      <w:pPr>
        <w:spacing w:after="0" w:line="360" w:lineRule="auto"/>
      </w:pPr>
      <w:bookmarkStart w:id="16" w:name="_heading=h.rwtpqbqgdvv5" w:colFirst="0" w:colLast="0"/>
      <w:bookmarkEnd w:id="16"/>
      <w:r>
        <w:t xml:space="preserve">Por lo que, para atender el requerimiento de información, el Sujeto Obligado deberá realizar una búsqueda exhaustiva y razonable en los archivos de las unidades administrativas competentes, a efecto de que proporcione los contratos y convenios celebrados entre el </w:t>
      </w:r>
      <w:r>
        <w:lastRenderedPageBreak/>
        <w:t>municipio y empresas privadas del primero de enero al veinticinco de marzo de dos mil veinticinco.</w:t>
      </w:r>
    </w:p>
    <w:p w:rsidR="00FF73DC" w:rsidRDefault="00FF73DC">
      <w:pPr>
        <w:spacing w:after="0" w:line="360" w:lineRule="auto"/>
        <w:rPr>
          <w:color w:val="FF0000"/>
        </w:rPr>
      </w:pPr>
    </w:p>
    <w:p w:rsidR="00FF73DC" w:rsidRDefault="000605F1">
      <w:pPr>
        <w:spacing w:after="0" w:line="360" w:lineRule="auto"/>
        <w:ind w:right="-28"/>
        <w:rPr>
          <w:color w:val="000000"/>
        </w:rPr>
      </w:pPr>
      <w:r>
        <w:rPr>
          <w:color w:val="000000"/>
        </w:rPr>
        <w:t>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00FF73DC" w:rsidRDefault="00FF73DC">
      <w:pPr>
        <w:spacing w:after="0" w:line="360" w:lineRule="auto"/>
        <w:ind w:right="-28"/>
        <w:rPr>
          <w:color w:val="000000"/>
        </w:rPr>
      </w:pPr>
    </w:p>
    <w:p w:rsidR="00FF73DC" w:rsidRDefault="000605F1">
      <w:pPr>
        <w:spacing w:after="0" w:line="360" w:lineRule="auto"/>
        <w:ind w:right="-28"/>
        <w:rPr>
          <w:color w:val="000000"/>
        </w:rPr>
      </w:pPr>
      <w:r>
        <w:rPr>
          <w:color w:val="000000"/>
        </w:rPr>
        <w:t>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el cual refiere que los sujetos obligados deberán entregar la información que obre en sus archivos.</w:t>
      </w:r>
    </w:p>
    <w:p w:rsidR="00FF73DC" w:rsidRDefault="00FF73DC">
      <w:pPr>
        <w:spacing w:after="0" w:line="360" w:lineRule="auto"/>
        <w:ind w:right="-28"/>
        <w:rPr>
          <w:color w:val="000000"/>
        </w:rPr>
      </w:pPr>
    </w:p>
    <w:p w:rsidR="00FF73DC" w:rsidRDefault="000605F1">
      <w:pPr>
        <w:spacing w:after="0" w:line="360" w:lineRule="auto"/>
        <w:ind w:right="-28"/>
        <w:rPr>
          <w:color w:val="000000"/>
        </w:rPr>
      </w:pPr>
      <w:r>
        <w:rPr>
          <w:color w:val="000000"/>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contratos y convenios celebrados.</w:t>
      </w:r>
    </w:p>
    <w:p w:rsidR="00FF73DC" w:rsidRDefault="00FF73DC">
      <w:pPr>
        <w:spacing w:after="0" w:line="360" w:lineRule="auto"/>
        <w:ind w:right="-28"/>
        <w:rPr>
          <w:color w:val="000000"/>
        </w:rPr>
      </w:pPr>
    </w:p>
    <w:p w:rsidR="00FF73DC" w:rsidRDefault="000605F1">
      <w:pPr>
        <w:spacing w:after="0" w:line="360" w:lineRule="auto"/>
        <w:ind w:right="-28"/>
        <w:rPr>
          <w:color w:val="000000"/>
        </w:rPr>
      </w:pPr>
      <w:r>
        <w:rPr>
          <w:color w:val="000000"/>
        </w:rPr>
        <w:t>Ahora bien, para el caso que durante el periodo no se hayan celebrado convenios, deberá hacerlo del conocimiento de la parte Recurrente, de manera clara y precisa, en términos del artículo 19, párrafo segundo, de la Ley de Transparencia y Acceso a la Información Pública del Estado de México y Municipios.</w:t>
      </w:r>
    </w:p>
    <w:p w:rsidR="00FF73DC" w:rsidRDefault="00FF73DC">
      <w:pPr>
        <w:spacing w:after="0" w:line="360" w:lineRule="auto"/>
        <w:ind w:right="-28"/>
        <w:rPr>
          <w:color w:val="000000"/>
        </w:rPr>
      </w:pPr>
    </w:p>
    <w:p w:rsidR="00FF73DC" w:rsidRDefault="000605F1">
      <w:pPr>
        <w:spacing w:after="0" w:line="360" w:lineRule="auto"/>
        <w:ind w:right="-28"/>
        <w:rPr>
          <w:color w:val="000000"/>
        </w:rPr>
      </w:pPr>
      <w:r>
        <w:rPr>
          <w:color w:val="000000"/>
        </w:rPr>
        <w:lastRenderedPageBreak/>
        <w:t xml:space="preserve">Finalmente, no pasa desapercibido para este Instituto que los documentos, que den cuenta de lo solicitado, pudieran contener los siguientes datos: </w:t>
      </w:r>
    </w:p>
    <w:p w:rsidR="00FF73DC" w:rsidRDefault="00FF73DC">
      <w:pPr>
        <w:spacing w:after="0" w:line="360" w:lineRule="auto"/>
        <w:rPr>
          <w:color w:val="000000"/>
        </w:rPr>
      </w:pPr>
    </w:p>
    <w:p w:rsidR="00FF73DC" w:rsidRDefault="000605F1">
      <w:pPr>
        <w:numPr>
          <w:ilvl w:val="0"/>
          <w:numId w:val="3"/>
        </w:numPr>
        <w:spacing w:after="0" w:line="360" w:lineRule="auto"/>
        <w:ind w:left="993" w:hanging="426"/>
        <w:jc w:val="left"/>
        <w:rPr>
          <w:color w:val="000000"/>
        </w:rPr>
      </w:pPr>
      <w:r>
        <w:rPr>
          <w:color w:val="000000"/>
        </w:rPr>
        <w:t>Nombre del proveedor o contratista</w:t>
      </w:r>
    </w:p>
    <w:p w:rsidR="00FF73DC" w:rsidRDefault="000605F1">
      <w:pPr>
        <w:numPr>
          <w:ilvl w:val="0"/>
          <w:numId w:val="3"/>
        </w:numPr>
        <w:spacing w:after="0" w:line="360" w:lineRule="auto"/>
        <w:ind w:left="993" w:hanging="426"/>
        <w:jc w:val="left"/>
        <w:rPr>
          <w:color w:val="000000"/>
        </w:rPr>
      </w:pPr>
      <w:r>
        <w:rPr>
          <w:color w:val="000000"/>
        </w:rPr>
        <w:t>Registro Federal de Contribuyentes (RFC) de proveedores o contratista;</w:t>
      </w:r>
    </w:p>
    <w:p w:rsidR="00FF73DC" w:rsidRDefault="000605F1">
      <w:pPr>
        <w:numPr>
          <w:ilvl w:val="0"/>
          <w:numId w:val="3"/>
        </w:numPr>
        <w:spacing w:after="0" w:line="360" w:lineRule="auto"/>
        <w:ind w:left="993" w:hanging="426"/>
        <w:jc w:val="left"/>
        <w:rPr>
          <w:color w:val="000000"/>
        </w:rPr>
      </w:pPr>
      <w:r>
        <w:rPr>
          <w:color w:val="000000"/>
        </w:rPr>
        <w:t>Código Bidimensional o QR;</w:t>
      </w:r>
    </w:p>
    <w:p w:rsidR="00FF73DC" w:rsidRDefault="000605F1">
      <w:pPr>
        <w:numPr>
          <w:ilvl w:val="0"/>
          <w:numId w:val="3"/>
        </w:numPr>
        <w:spacing w:after="0" w:line="360" w:lineRule="auto"/>
        <w:ind w:left="993" w:hanging="426"/>
        <w:jc w:val="left"/>
        <w:rPr>
          <w:color w:val="000000"/>
        </w:rPr>
      </w:pPr>
      <w:r>
        <w:rPr>
          <w:color w:val="000000"/>
        </w:rPr>
        <w:t>Domicilio Fiscal del proveedor;</w:t>
      </w:r>
    </w:p>
    <w:p w:rsidR="00FF73DC" w:rsidRDefault="000605F1">
      <w:pPr>
        <w:numPr>
          <w:ilvl w:val="0"/>
          <w:numId w:val="3"/>
        </w:numPr>
        <w:spacing w:after="0" w:line="360" w:lineRule="auto"/>
        <w:ind w:left="993" w:hanging="426"/>
        <w:jc w:val="left"/>
        <w:rPr>
          <w:color w:val="000000"/>
        </w:rPr>
      </w:pPr>
      <w:r>
        <w:rPr>
          <w:color w:val="000000"/>
        </w:rPr>
        <w:t>Cuenta o CLABE interbancaria, y</w:t>
      </w:r>
    </w:p>
    <w:p w:rsidR="00FF73DC" w:rsidRDefault="000605F1">
      <w:pPr>
        <w:numPr>
          <w:ilvl w:val="0"/>
          <w:numId w:val="3"/>
        </w:numPr>
        <w:spacing w:after="0" w:line="360" w:lineRule="auto"/>
        <w:ind w:left="993" w:hanging="426"/>
        <w:jc w:val="left"/>
        <w:rPr>
          <w:color w:val="000000"/>
        </w:rPr>
      </w:pPr>
      <w:r>
        <w:rPr>
          <w:color w:val="000000"/>
        </w:rPr>
        <w:t>Nombre de institución financiera.</w:t>
      </w:r>
    </w:p>
    <w:p w:rsidR="00FF73DC" w:rsidRDefault="00FF73DC">
      <w:pPr>
        <w:spacing w:after="0" w:line="360" w:lineRule="auto"/>
        <w:rPr>
          <w:color w:val="FF0000"/>
        </w:rPr>
      </w:pPr>
    </w:p>
    <w:p w:rsidR="00FF73DC" w:rsidRDefault="000605F1">
      <w:pPr>
        <w:spacing w:after="0" w:line="360" w:lineRule="auto"/>
        <w:ind w:right="-28"/>
        <w:rPr>
          <w:color w:val="000000"/>
        </w:rPr>
      </w:pPr>
      <w:r>
        <w:rPr>
          <w:color w:val="000000"/>
        </w:rPr>
        <w:t>De lo anterior, resulta procedente analizar si dichos datos son públicos o privados; para lo cual, el artículo 143, fracción I, de la Ley previamente citada, establece que la información privada y los datos personales, concernientes a una persona física o jurídica colectiva identificada o identificable son confidenciales.</w:t>
      </w:r>
    </w:p>
    <w:p w:rsidR="00FF73DC" w:rsidRDefault="00FF73DC">
      <w:pPr>
        <w:spacing w:after="0" w:line="360" w:lineRule="auto"/>
        <w:rPr>
          <w:color w:val="000000"/>
        </w:rPr>
      </w:pPr>
    </w:p>
    <w:p w:rsidR="00FF73DC" w:rsidRDefault="000605F1">
      <w:pPr>
        <w:spacing w:after="0" w:line="360" w:lineRule="auto"/>
        <w:rPr>
          <w:color w:val="000000"/>
        </w:rPr>
      </w:pPr>
      <w:r>
        <w:rPr>
          <w:color w:val="000000"/>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FF73DC" w:rsidRDefault="00FF73DC">
      <w:pPr>
        <w:spacing w:after="0" w:line="360" w:lineRule="auto"/>
        <w:rPr>
          <w:color w:val="000000"/>
        </w:rPr>
      </w:pPr>
    </w:p>
    <w:p w:rsidR="00FF73DC" w:rsidRDefault="000605F1">
      <w:pPr>
        <w:spacing w:after="0" w:line="360" w:lineRule="auto"/>
        <w:rPr>
          <w:color w:val="000000"/>
        </w:rPr>
      </w:pPr>
      <w:r>
        <w:rPr>
          <w:color w:val="000000"/>
        </w:rPr>
        <w:t>En términos de lo expuesto, la documentación y aquellos datos que se consideren confidenciales, serán una limitante del derecho de acceso a la información, siempre y cuando:</w:t>
      </w:r>
    </w:p>
    <w:p w:rsidR="00FF73DC" w:rsidRDefault="00FF73DC">
      <w:pPr>
        <w:spacing w:after="0" w:line="360" w:lineRule="auto"/>
        <w:rPr>
          <w:color w:val="000000"/>
        </w:rPr>
      </w:pPr>
    </w:p>
    <w:p w:rsidR="00FF73DC" w:rsidRDefault="000605F1">
      <w:pPr>
        <w:numPr>
          <w:ilvl w:val="0"/>
          <w:numId w:val="4"/>
        </w:numPr>
        <w:pBdr>
          <w:top w:val="nil"/>
          <w:left w:val="nil"/>
          <w:bottom w:val="nil"/>
          <w:right w:val="nil"/>
          <w:between w:val="nil"/>
        </w:pBdr>
        <w:spacing w:after="0" w:line="360" w:lineRule="auto"/>
        <w:rPr>
          <w:color w:val="000000"/>
        </w:rPr>
      </w:pPr>
      <w:r>
        <w:rPr>
          <w:color w:val="000000"/>
        </w:rPr>
        <w:t xml:space="preserve">Se trate de datos personales o información privada; esto es, información concerniente a una persona física o jurídico colectiva y que esta sea identificada o identificable. </w:t>
      </w:r>
    </w:p>
    <w:p w:rsidR="00FF73DC" w:rsidRDefault="000605F1">
      <w:pPr>
        <w:numPr>
          <w:ilvl w:val="0"/>
          <w:numId w:val="4"/>
        </w:numPr>
        <w:pBdr>
          <w:top w:val="nil"/>
          <w:left w:val="nil"/>
          <w:bottom w:val="nil"/>
          <w:right w:val="nil"/>
          <w:between w:val="nil"/>
        </w:pBdr>
        <w:spacing w:after="0" w:line="360" w:lineRule="auto"/>
        <w:jc w:val="left"/>
        <w:rPr>
          <w:color w:val="000000"/>
        </w:rPr>
      </w:pPr>
      <w:r>
        <w:rPr>
          <w:color w:val="000000"/>
        </w:rPr>
        <w:t xml:space="preserve">Para la difusión de los datos, se requiera el consentimiento del titular. </w:t>
      </w:r>
    </w:p>
    <w:p w:rsidR="00FF73DC" w:rsidRDefault="00FF73DC">
      <w:pPr>
        <w:spacing w:after="0" w:line="360" w:lineRule="auto"/>
        <w:rPr>
          <w:color w:val="000000"/>
        </w:rPr>
      </w:pPr>
    </w:p>
    <w:p w:rsidR="00FF73DC" w:rsidRDefault="000605F1">
      <w:pPr>
        <w:spacing w:after="0" w:line="360" w:lineRule="auto"/>
        <w:rPr>
          <w:color w:val="000000"/>
        </w:rPr>
      </w:pPr>
      <w:r>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FF73DC" w:rsidRDefault="00FF73DC">
      <w:pPr>
        <w:spacing w:after="0" w:line="360" w:lineRule="auto"/>
        <w:rPr>
          <w:color w:val="000000"/>
        </w:rPr>
      </w:pPr>
    </w:p>
    <w:p w:rsidR="00FF73DC" w:rsidRDefault="000605F1">
      <w:pPr>
        <w:spacing w:after="0" w:line="360" w:lineRule="auto"/>
        <w:rPr>
          <w:color w:val="000000"/>
        </w:rPr>
      </w:pPr>
      <w:r>
        <w:rPr>
          <w:color w:val="000000"/>
        </w:rPr>
        <w:t>Además, en el artículo 5° de dicho ordenamiento jurídico, establece que es la Ley aplicable para todo tratamiento de datos personales.</w:t>
      </w:r>
    </w:p>
    <w:p w:rsidR="00FF73DC" w:rsidRDefault="00FF73DC">
      <w:pPr>
        <w:spacing w:after="0" w:line="360" w:lineRule="auto"/>
        <w:rPr>
          <w:color w:val="000000"/>
        </w:rPr>
      </w:pPr>
    </w:p>
    <w:p w:rsidR="00FF73DC" w:rsidRDefault="000605F1">
      <w:pPr>
        <w:spacing w:after="0" w:line="360" w:lineRule="auto"/>
        <w:rPr>
          <w:color w:val="000000"/>
        </w:rPr>
      </w:pPr>
      <w:r>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FF73DC" w:rsidRDefault="00FF73DC">
      <w:pPr>
        <w:spacing w:after="0" w:line="360" w:lineRule="auto"/>
        <w:rPr>
          <w:color w:val="000000"/>
        </w:rPr>
      </w:pPr>
    </w:p>
    <w:p w:rsidR="00FF73DC" w:rsidRDefault="000605F1">
      <w:pPr>
        <w:spacing w:after="0" w:line="360" w:lineRule="auto"/>
        <w:rPr>
          <w:color w:val="000000"/>
        </w:rPr>
      </w:pPr>
      <w:r>
        <w:rPr>
          <w:color w:val="000000"/>
        </w:rPr>
        <w:lastRenderedPageBreak/>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rsidR="00FF73DC" w:rsidRDefault="00FF73DC">
      <w:pPr>
        <w:spacing w:after="0" w:line="360" w:lineRule="auto"/>
        <w:rPr>
          <w:b/>
          <w:bCs/>
          <w:color w:val="000000"/>
        </w:rPr>
      </w:pPr>
    </w:p>
    <w:p w:rsidR="00FF73DC" w:rsidRDefault="000605F1">
      <w:pPr>
        <w:numPr>
          <w:ilvl w:val="0"/>
          <w:numId w:val="1"/>
        </w:numPr>
        <w:spacing w:after="0" w:line="360" w:lineRule="auto"/>
        <w:jc w:val="left"/>
        <w:rPr>
          <w:b/>
          <w:bCs/>
          <w:color w:val="000000"/>
        </w:rPr>
      </w:pPr>
      <w:r>
        <w:rPr>
          <w:b/>
          <w:bCs/>
          <w:color w:val="000000"/>
        </w:rPr>
        <w:t>Nombre de personas físicas proveedores.</w:t>
      </w:r>
    </w:p>
    <w:p w:rsidR="00FF73DC" w:rsidRDefault="00FF73DC">
      <w:pPr>
        <w:spacing w:after="0" w:line="360" w:lineRule="auto"/>
        <w:rPr>
          <w:b/>
          <w:bCs/>
          <w:color w:val="000000"/>
        </w:rPr>
      </w:pPr>
    </w:p>
    <w:p w:rsidR="00FF73DC" w:rsidRDefault="000605F1">
      <w:pPr>
        <w:spacing w:after="0" w:line="360" w:lineRule="auto"/>
        <w:ind w:right="-93"/>
        <w:rPr>
          <w:color w:val="000000"/>
        </w:rPr>
      </w:pPr>
      <w:r>
        <w:rPr>
          <w:color w:val="000000"/>
        </w:rPr>
        <w:t xml:space="preserve">Al respecto, cabe precisar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Pr>
          <w:i/>
          <w:iCs/>
          <w:color w:val="000000"/>
        </w:rPr>
        <w:t>per se</w:t>
      </w:r>
      <w:r>
        <w:rPr>
          <w:color w:val="000000"/>
        </w:rPr>
        <w:t xml:space="preserve"> es un elemento que hace a una persona física identificada o identificable.</w:t>
      </w:r>
    </w:p>
    <w:p w:rsidR="00FF73DC" w:rsidRDefault="00FF73DC">
      <w:pPr>
        <w:spacing w:after="0" w:line="360" w:lineRule="auto"/>
        <w:ind w:right="-93"/>
        <w:rPr>
          <w:color w:val="000000"/>
        </w:rPr>
      </w:pPr>
    </w:p>
    <w:p w:rsidR="00FF73DC" w:rsidRDefault="000605F1">
      <w:pPr>
        <w:spacing w:after="0" w:line="360" w:lineRule="auto"/>
        <w:ind w:right="-93"/>
        <w:rPr>
          <w:color w:val="000000"/>
        </w:rPr>
      </w:pPr>
      <w:r>
        <w:rPr>
          <w:color w:val="000000"/>
        </w:rP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w:t>
      </w:r>
      <w:r>
        <w:rPr>
          <w:b/>
          <w:bCs/>
          <w:color w:val="000000"/>
        </w:rPr>
        <w:t>los nombres de aquellos que reciben recursos públicos (proveedores),</w:t>
      </w:r>
      <w:r>
        <w:rPr>
          <w:color w:val="000000"/>
        </w:rPr>
        <w:t xml:space="preserve"> ya que la difusión de dicho dato constituye una obligación de transparencia por parte de los sujetos obligados.</w:t>
      </w:r>
    </w:p>
    <w:p w:rsidR="00FF73DC" w:rsidRDefault="00FF73DC">
      <w:pPr>
        <w:spacing w:after="0" w:line="360" w:lineRule="auto"/>
        <w:ind w:right="-93"/>
        <w:rPr>
          <w:color w:val="000000"/>
        </w:rPr>
      </w:pPr>
    </w:p>
    <w:p w:rsidR="00FF73DC" w:rsidRDefault="000605F1">
      <w:pPr>
        <w:spacing w:after="0" w:line="360" w:lineRule="auto"/>
        <w:ind w:right="-93"/>
        <w:rPr>
          <w:b/>
          <w:bCs/>
          <w:color w:val="000000"/>
        </w:rPr>
      </w:pPr>
      <w:r>
        <w:rPr>
          <w:color w:val="000000"/>
        </w:rPr>
        <w:t xml:space="preserve">Toma sustento con el artículo 92, fracciones XXXI, de la Ley de la materia, el cual establece que los sujetos obligados tienen la obligación de poner a disposición del público y mantener actualizada de acuerdo con sus facultades, atribuciones, funciones u objeto social, según corresponda el </w:t>
      </w:r>
      <w:r>
        <w:rPr>
          <w:b/>
          <w:bCs/>
          <w:color w:val="000000"/>
        </w:rPr>
        <w:t>Padrón de proveedores y contratistas.</w:t>
      </w:r>
    </w:p>
    <w:p w:rsidR="00FF73DC" w:rsidRDefault="00FF73DC">
      <w:pPr>
        <w:spacing w:after="0" w:line="360" w:lineRule="auto"/>
        <w:ind w:right="-93"/>
        <w:rPr>
          <w:b/>
          <w:bCs/>
          <w:color w:val="000000"/>
        </w:rPr>
      </w:pPr>
    </w:p>
    <w:p w:rsidR="00FF73DC" w:rsidRDefault="000605F1">
      <w:pPr>
        <w:spacing w:after="0" w:line="360" w:lineRule="auto"/>
        <w:ind w:right="-93"/>
        <w:rPr>
          <w:color w:val="000000"/>
        </w:rPr>
      </w:pPr>
      <w:r>
        <w:rPr>
          <w:color w:val="000000"/>
        </w:rPr>
        <w:t>Además, se robustece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rsidR="00FF73DC" w:rsidRDefault="00FF73DC">
      <w:pPr>
        <w:spacing w:after="0" w:line="360" w:lineRule="auto"/>
        <w:ind w:right="-93"/>
        <w:rPr>
          <w:color w:val="000000"/>
        </w:rPr>
      </w:pPr>
    </w:p>
    <w:p w:rsidR="00FF73DC" w:rsidRDefault="000605F1">
      <w:pPr>
        <w:spacing w:after="0" w:line="360" w:lineRule="auto"/>
        <w:ind w:right="-93"/>
        <w:rPr>
          <w:b/>
          <w:bCs/>
          <w:color w:val="000000"/>
        </w:rPr>
      </w:pPr>
      <w:r>
        <w:rPr>
          <w:rFonts w:ascii="Times New Roman" w:eastAsia="Times New Roman" w:hAnsi="Times New Roman" w:cs="Times New Roman"/>
          <w:noProof/>
          <w:color w:val="000000"/>
          <w:sz w:val="20"/>
          <w:szCs w:val="20"/>
        </w:rPr>
        <w:drawing>
          <wp:inline distT="0" distB="0" distL="0" distR="0">
            <wp:extent cx="5743575" cy="752475"/>
            <wp:effectExtent l="0" t="0" r="0" b="0"/>
            <wp:docPr id="21440784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b="84505"/>
                    <a:stretch>
                      <a:fillRect/>
                    </a:stretch>
                  </pic:blipFill>
                  <pic:spPr>
                    <a:xfrm>
                      <a:off x="0" y="0"/>
                      <a:ext cx="5743575" cy="752475"/>
                    </a:xfrm>
                    <a:prstGeom prst="rect">
                      <a:avLst/>
                    </a:prstGeom>
                    <a:ln/>
                  </pic:spPr>
                </pic:pic>
              </a:graphicData>
            </a:graphic>
          </wp:inline>
        </w:drawing>
      </w:r>
    </w:p>
    <w:p w:rsidR="00FF73DC" w:rsidRDefault="000605F1">
      <w:pPr>
        <w:spacing w:after="0" w:line="360" w:lineRule="auto"/>
        <w:ind w:right="-93"/>
        <w:rPr>
          <w:b/>
          <w:bCs/>
          <w:color w:val="000000"/>
        </w:rPr>
      </w:pPr>
      <w:r>
        <w:rPr>
          <w:rFonts w:ascii="Times New Roman" w:eastAsia="Times New Roman" w:hAnsi="Times New Roman" w:cs="Times New Roman"/>
          <w:noProof/>
          <w:color w:val="000000"/>
          <w:sz w:val="20"/>
          <w:szCs w:val="20"/>
        </w:rPr>
        <w:drawing>
          <wp:inline distT="0" distB="0" distL="0" distR="0">
            <wp:extent cx="5743575" cy="495300"/>
            <wp:effectExtent l="0" t="0" r="0" b="0"/>
            <wp:docPr id="21440784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t="89838" b="-38"/>
                    <a:stretch>
                      <a:fillRect/>
                    </a:stretch>
                  </pic:blipFill>
                  <pic:spPr>
                    <a:xfrm>
                      <a:off x="0" y="0"/>
                      <a:ext cx="5743575" cy="495300"/>
                    </a:xfrm>
                    <a:prstGeom prst="rect">
                      <a:avLst/>
                    </a:prstGeom>
                    <a:ln/>
                  </pic:spPr>
                </pic:pic>
              </a:graphicData>
            </a:graphic>
          </wp:inline>
        </w:drawing>
      </w:r>
    </w:p>
    <w:p w:rsidR="00FF73DC" w:rsidRDefault="00FF73DC">
      <w:pPr>
        <w:spacing w:after="0" w:line="360" w:lineRule="auto"/>
        <w:ind w:right="-93"/>
        <w:rPr>
          <w:b/>
          <w:bCs/>
          <w:color w:val="000000"/>
        </w:rPr>
      </w:pPr>
    </w:p>
    <w:p w:rsidR="00FF73DC" w:rsidRDefault="000605F1">
      <w:pPr>
        <w:spacing w:after="0" w:line="360" w:lineRule="auto"/>
        <w:ind w:right="-93"/>
        <w:rPr>
          <w:b/>
          <w:bCs/>
          <w:color w:val="000000"/>
        </w:rPr>
      </w:pPr>
      <w:r>
        <w:rPr>
          <w:color w:val="000000"/>
        </w:rPr>
        <w:t xml:space="preserve">Por lo tanto, la Ley de Transparencia y Acceso a la Información Pública del Estado de México y Municipios, considera que </w:t>
      </w:r>
      <w:r>
        <w:rPr>
          <w:b/>
          <w:bCs/>
          <w:color w:val="000000"/>
        </w:rPr>
        <w:t xml:space="preserve">los datos de aquellas personas que recibieron recursos públicos, por regla general, </w:t>
      </w:r>
      <w:r>
        <w:rPr>
          <w:color w:val="000000"/>
        </w:rPr>
        <w:t xml:space="preserve">son de naturaleza pública, ya que su publicidad orienta a cumplir los objetivos que persigue la Ley; toda vez, </w:t>
      </w:r>
      <w:r>
        <w:rPr>
          <w:b/>
          <w:bCs/>
          <w:color w:val="000000"/>
        </w:rPr>
        <w:t>que ayuda a transparentar a quienes se les han otorgado recursos públicos, así como, porque razones se les otorgaron dichos montos.</w:t>
      </w:r>
    </w:p>
    <w:p w:rsidR="00FF73DC" w:rsidRDefault="00FF73DC">
      <w:pPr>
        <w:spacing w:after="0" w:line="360" w:lineRule="auto"/>
        <w:rPr>
          <w:b/>
          <w:bCs/>
          <w:color w:val="000000"/>
        </w:rPr>
      </w:pPr>
    </w:p>
    <w:p w:rsidR="00FF73DC" w:rsidRDefault="000605F1">
      <w:pPr>
        <w:spacing w:after="0" w:line="360" w:lineRule="auto"/>
        <w:rPr>
          <w:color w:val="000000"/>
        </w:rPr>
      </w:pPr>
      <w:r>
        <w:rPr>
          <w:color w:val="000000"/>
        </w:rPr>
        <w:t>Por lo que, se considera que no procede la clasificación del nombre de los proveedores, en términos del artículo 143, fracción I de la Ley de Transparencia y Acceso a la Información Pública del Estado de México y Municipios.</w:t>
      </w:r>
    </w:p>
    <w:p w:rsidR="00FF73DC" w:rsidRDefault="00FF73DC">
      <w:pPr>
        <w:spacing w:after="0" w:line="360" w:lineRule="auto"/>
        <w:rPr>
          <w:b/>
          <w:bCs/>
          <w:color w:val="000000"/>
        </w:rPr>
      </w:pPr>
    </w:p>
    <w:p w:rsidR="00FF73DC" w:rsidRDefault="000605F1">
      <w:pPr>
        <w:numPr>
          <w:ilvl w:val="0"/>
          <w:numId w:val="1"/>
        </w:numPr>
        <w:spacing w:after="0" w:line="360" w:lineRule="auto"/>
        <w:jc w:val="left"/>
        <w:rPr>
          <w:b/>
          <w:bCs/>
          <w:color w:val="000000"/>
        </w:rPr>
      </w:pPr>
      <w:r>
        <w:rPr>
          <w:b/>
          <w:bCs/>
          <w:color w:val="000000"/>
        </w:rPr>
        <w:t>Denominación o razón Social de proveedores personas morales.</w:t>
      </w:r>
    </w:p>
    <w:p w:rsidR="00FF73DC" w:rsidRDefault="00FF73DC">
      <w:pPr>
        <w:spacing w:after="0" w:line="360" w:lineRule="auto"/>
        <w:rPr>
          <w:b/>
          <w:bCs/>
          <w:color w:val="000000"/>
        </w:rPr>
      </w:pPr>
    </w:p>
    <w:p w:rsidR="00FF73DC" w:rsidRDefault="000605F1">
      <w:pPr>
        <w:spacing w:after="0" w:line="360" w:lineRule="auto"/>
        <w:rPr>
          <w:color w:val="000000"/>
        </w:rPr>
      </w:pPr>
      <w:r>
        <w:rPr>
          <w:color w:val="000000"/>
        </w:rPr>
        <w:lastRenderedPageBreak/>
        <w:t>Al respecto, se considera que la denominación o razón social de una persona moral, es pública, pues dichos datos se encuentran inscritos en el Registro Público del Comercio; lo anterior, toma sustento en el Criterio de Interpretación, de la Segunda Época, con número de registro SO/008/2019, emitido por el Instituto Nacional de Transparencia, Acceso a la Información y Protección de Datos Personales, que precisa lo siguiente:</w:t>
      </w:r>
    </w:p>
    <w:p w:rsidR="00FF73DC" w:rsidRDefault="00FF73DC">
      <w:pPr>
        <w:spacing w:after="0" w:line="360" w:lineRule="auto"/>
        <w:rPr>
          <w:color w:val="000000"/>
        </w:rPr>
      </w:pPr>
    </w:p>
    <w:p w:rsidR="00FF73DC" w:rsidRDefault="000605F1">
      <w:pPr>
        <w:spacing w:after="0" w:line="360" w:lineRule="auto"/>
        <w:ind w:left="567" w:right="567"/>
        <w:rPr>
          <w:i/>
          <w:iCs/>
          <w:color w:val="000000"/>
          <w:sz w:val="20"/>
          <w:szCs w:val="20"/>
        </w:rPr>
      </w:pPr>
      <w:r>
        <w:rPr>
          <w:b/>
          <w:bCs/>
          <w:i/>
          <w:iCs/>
          <w:color w:val="000000"/>
          <w:sz w:val="20"/>
          <w:szCs w:val="20"/>
        </w:rPr>
        <w:t xml:space="preserve">“Razón social y RFC de personas morales. </w:t>
      </w:r>
      <w:r>
        <w:rPr>
          <w:i/>
          <w:iCs/>
          <w:color w:val="000000"/>
          <w:sz w:val="20"/>
          <w:szCs w:val="20"/>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rsidR="00FF73DC" w:rsidRDefault="00FF73DC">
      <w:pPr>
        <w:spacing w:after="0" w:line="360" w:lineRule="auto"/>
        <w:rPr>
          <w:b/>
          <w:bCs/>
          <w:color w:val="000000"/>
        </w:rPr>
      </w:pPr>
    </w:p>
    <w:p w:rsidR="00FF73DC" w:rsidRDefault="000605F1">
      <w:pPr>
        <w:spacing w:after="0" w:line="360" w:lineRule="auto"/>
        <w:rPr>
          <w:color w:val="000000"/>
        </w:rPr>
      </w:pPr>
      <w:r>
        <w:rPr>
          <w:color w:val="000000"/>
        </w:rPr>
        <w:t>Lo anterior, se robustece con el hecho de que el Ente Recurrido tiene como obligación común de transparencia, poner a disposición del público el padrón de proveedores y contratistas, que como se advirtió en párrafos anteriores debe incluir la denominación o razón social del proveedor o contratista,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rsidR="00FF73DC" w:rsidRDefault="00FF73DC">
      <w:pPr>
        <w:spacing w:after="0" w:line="360" w:lineRule="auto"/>
        <w:rPr>
          <w:color w:val="000000"/>
        </w:rPr>
      </w:pPr>
    </w:p>
    <w:p w:rsidR="00FF73DC" w:rsidRDefault="000605F1">
      <w:pPr>
        <w:spacing w:after="0" w:line="360" w:lineRule="auto"/>
        <w:rPr>
          <w:color w:val="000000"/>
        </w:rPr>
      </w:pPr>
      <w:r>
        <w:rPr>
          <w:color w:val="000000"/>
        </w:rPr>
        <w:t>Por lo tanto, no procede la clasificación de la denominación o razón social de los proveedores personas morales, en términos del artículo 143, fracción I de la Ley de Transparencia y Acceso a la Información Pública del Estado de México y Municipios.</w:t>
      </w:r>
    </w:p>
    <w:p w:rsidR="00FF73DC" w:rsidRDefault="00FF73DC">
      <w:pPr>
        <w:spacing w:after="0" w:line="360" w:lineRule="auto"/>
        <w:rPr>
          <w:b/>
          <w:bCs/>
          <w:color w:val="000000"/>
        </w:rPr>
      </w:pPr>
    </w:p>
    <w:p w:rsidR="00FF73DC" w:rsidRDefault="000605F1">
      <w:pPr>
        <w:numPr>
          <w:ilvl w:val="0"/>
          <w:numId w:val="5"/>
        </w:numPr>
        <w:pBdr>
          <w:top w:val="nil"/>
          <w:left w:val="nil"/>
          <w:bottom w:val="nil"/>
          <w:right w:val="nil"/>
          <w:between w:val="nil"/>
        </w:pBdr>
        <w:spacing w:after="0" w:line="360" w:lineRule="auto"/>
        <w:jc w:val="left"/>
        <w:rPr>
          <w:b/>
          <w:bCs/>
          <w:color w:val="000000"/>
        </w:rPr>
      </w:pPr>
      <w:r>
        <w:rPr>
          <w:b/>
          <w:bCs/>
          <w:color w:val="000000"/>
        </w:rPr>
        <w:t>Registro Federal de Contribuyentes del proveedor o contratista</w:t>
      </w:r>
    </w:p>
    <w:p w:rsidR="00FF73DC" w:rsidRDefault="00FF73DC">
      <w:pPr>
        <w:spacing w:after="0" w:line="360" w:lineRule="auto"/>
        <w:rPr>
          <w:color w:val="000000"/>
        </w:rPr>
      </w:pPr>
    </w:p>
    <w:p w:rsidR="00FF73DC" w:rsidRDefault="000605F1">
      <w:pPr>
        <w:spacing w:after="0" w:line="360" w:lineRule="auto"/>
        <w:rPr>
          <w:b/>
          <w:bCs/>
          <w:color w:val="000000"/>
        </w:rPr>
      </w:pPr>
      <w:r>
        <w:rPr>
          <w:b/>
          <w:bCs/>
          <w:color w:val="000000"/>
        </w:rPr>
        <w:t>Persona física</w:t>
      </w:r>
    </w:p>
    <w:p w:rsidR="00FF73DC" w:rsidRDefault="00FF73DC">
      <w:pPr>
        <w:spacing w:after="0" w:line="360" w:lineRule="auto"/>
        <w:rPr>
          <w:color w:val="000000"/>
        </w:rPr>
      </w:pPr>
    </w:p>
    <w:p w:rsidR="00FF73DC" w:rsidRDefault="000605F1">
      <w:pPr>
        <w:spacing w:after="0" w:line="360" w:lineRule="auto"/>
        <w:rPr>
          <w:color w:val="000000"/>
        </w:rPr>
      </w:pPr>
      <w:r>
        <w:rPr>
          <w:color w:val="000000"/>
        </w:rPr>
        <w:t>Al respecto, es necesario precisar que el proveedor de cualquier Sujeto Obligado de la Ley de la materia, que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la cédula de identificación fiscal (Registro Federal de Contribuyentes); por lo que la entrega de dicho dato permite verificar cumplimiento de esta disposición legal.</w:t>
      </w:r>
    </w:p>
    <w:p w:rsidR="00FF73DC" w:rsidRDefault="00FF73DC">
      <w:pPr>
        <w:spacing w:after="0" w:line="360" w:lineRule="auto"/>
        <w:rPr>
          <w:color w:val="000000"/>
        </w:rPr>
      </w:pPr>
    </w:p>
    <w:p w:rsidR="00FF73DC" w:rsidRDefault="000605F1">
      <w:pPr>
        <w:spacing w:after="0" w:line="360" w:lineRule="auto"/>
        <w:rPr>
          <w:color w:val="000000"/>
        </w:rPr>
      </w:pPr>
      <w:r>
        <w:rPr>
          <w:color w:val="000000"/>
        </w:rPr>
        <w:t>Por lo tanto, en el presente caso, si bien el Registro Federal de Contribuyentes de personas físicas es un dato personal, también lo es, que corresponde a un requisito indispensable para ser proveedor y poder llevar a cabo actividades comerciales con la Entidad, ya que, sin este, no se pueden realizar dichas acciones, por lo que su entrega es un elemento adicional que respalda la legalidad de los procesos adquisitivos.</w:t>
      </w:r>
    </w:p>
    <w:p w:rsidR="00FF73DC" w:rsidRDefault="00FF73DC">
      <w:pPr>
        <w:spacing w:after="0" w:line="360" w:lineRule="auto"/>
        <w:rPr>
          <w:color w:val="000000"/>
        </w:rPr>
      </w:pPr>
    </w:p>
    <w:p w:rsidR="00FF73DC" w:rsidRDefault="000605F1">
      <w:pPr>
        <w:spacing w:after="0" w:line="360" w:lineRule="auto"/>
        <w:rPr>
          <w:color w:val="000000"/>
        </w:rPr>
      </w:pPr>
      <w:r>
        <w:rPr>
          <w:color w:val="000000"/>
        </w:rPr>
        <w:t>En ese contexto, entregar el Registro Federal de Contribuyentes aún de personas físicas cuando son proveedores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rsidR="00FF73DC" w:rsidRDefault="00FF73DC">
      <w:pPr>
        <w:spacing w:after="0" w:line="360" w:lineRule="auto"/>
        <w:rPr>
          <w:color w:val="000000"/>
        </w:rPr>
      </w:pPr>
    </w:p>
    <w:p w:rsidR="00FF73DC" w:rsidRDefault="000605F1">
      <w:pPr>
        <w:tabs>
          <w:tab w:val="center" w:pos="4522"/>
        </w:tabs>
        <w:spacing w:after="0" w:line="360" w:lineRule="auto"/>
        <w:rPr>
          <w:color w:val="000000"/>
        </w:rPr>
      </w:pPr>
      <w:r>
        <w:rPr>
          <w:color w:val="000000"/>
        </w:rPr>
        <w:lastRenderedPageBreak/>
        <w:t>Lo anterior, se robustece con el Criterio Orientador, de la Segunda Época, con número de registro SO/004/2021, emitido por el entonces Instituto Nacional de Transparencia, Acceso a la Información y Protección de Datos Personales, vigente a la fecha de la solicitud, en el cual se señala lo siguiente:</w:t>
      </w:r>
    </w:p>
    <w:p w:rsidR="00FF73DC" w:rsidRDefault="00FF73DC">
      <w:pPr>
        <w:tabs>
          <w:tab w:val="center" w:pos="4522"/>
        </w:tabs>
        <w:spacing w:after="0" w:line="360" w:lineRule="auto"/>
        <w:rPr>
          <w:color w:val="000000"/>
        </w:rPr>
      </w:pPr>
    </w:p>
    <w:p w:rsidR="00FF73DC" w:rsidRDefault="000605F1">
      <w:pPr>
        <w:tabs>
          <w:tab w:val="center" w:pos="4522"/>
        </w:tabs>
        <w:spacing w:after="0" w:line="360" w:lineRule="auto"/>
        <w:ind w:left="567" w:right="567"/>
        <w:rPr>
          <w:i/>
          <w:iCs/>
          <w:color w:val="000000"/>
          <w:sz w:val="20"/>
          <w:szCs w:val="20"/>
        </w:rPr>
      </w:pPr>
      <w:r>
        <w:rPr>
          <w:b/>
          <w:bCs/>
          <w:i/>
          <w:iCs/>
          <w:color w:val="000000"/>
          <w:sz w:val="20"/>
          <w:szCs w:val="20"/>
        </w:rPr>
        <w:t xml:space="preserve">“Registro Federal de Contribuyentes (RFC) de personas físicas proveedores o contratistas. </w:t>
      </w:r>
      <w:r>
        <w:rPr>
          <w:i/>
          <w:iCs/>
          <w:color w:val="000000"/>
          <w:sz w:val="20"/>
          <w:szCs w:val="20"/>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rsidR="00FF73DC" w:rsidRDefault="00FF73DC">
      <w:pPr>
        <w:tabs>
          <w:tab w:val="center" w:pos="4522"/>
        </w:tabs>
        <w:spacing w:after="0" w:line="360" w:lineRule="auto"/>
        <w:rPr>
          <w:color w:val="000000"/>
        </w:rPr>
      </w:pPr>
    </w:p>
    <w:p w:rsidR="00FF73DC" w:rsidRDefault="000605F1">
      <w:pPr>
        <w:tabs>
          <w:tab w:val="center" w:pos="4522"/>
        </w:tabs>
        <w:spacing w:after="0" w:line="360" w:lineRule="auto"/>
        <w:rPr>
          <w:b/>
          <w:bCs/>
          <w:color w:val="000000"/>
          <w:u w:val="single"/>
        </w:rPr>
      </w:pPr>
      <w:r>
        <w:rPr>
          <w:color w:val="000000"/>
        </w:rPr>
        <w:t>En conclusión, toda vez, que el Registro Federal de Contribuyentes de proveedores o contratistas, es un requisito indispensable, para poder participar en adquisiciones públicas y contracción de servicios y que abona a la transparencia con la que deben administrarse los recursos públicos, no actualiza la causal de clasificación prevista en el artículo 143, fracción I de la Ley de Transparencia y Acceso a la Información Pública del Estado de México y Municipios.</w:t>
      </w:r>
    </w:p>
    <w:p w:rsidR="00FF73DC" w:rsidRDefault="00FF73DC">
      <w:pPr>
        <w:tabs>
          <w:tab w:val="center" w:pos="4522"/>
        </w:tabs>
        <w:spacing w:after="0" w:line="360" w:lineRule="auto"/>
        <w:rPr>
          <w:b/>
          <w:bCs/>
          <w:color w:val="000000"/>
        </w:rPr>
      </w:pPr>
    </w:p>
    <w:p w:rsidR="00FF73DC" w:rsidRDefault="000605F1">
      <w:pPr>
        <w:tabs>
          <w:tab w:val="center" w:pos="4522"/>
        </w:tabs>
        <w:spacing w:after="0" w:line="360" w:lineRule="auto"/>
        <w:rPr>
          <w:b/>
          <w:bCs/>
          <w:color w:val="000000"/>
        </w:rPr>
      </w:pPr>
      <w:r>
        <w:rPr>
          <w:b/>
          <w:bCs/>
          <w:color w:val="000000"/>
        </w:rPr>
        <w:t>Persona Moral</w:t>
      </w:r>
    </w:p>
    <w:p w:rsidR="00FF73DC" w:rsidRDefault="00FF73DC">
      <w:pPr>
        <w:tabs>
          <w:tab w:val="center" w:pos="4522"/>
        </w:tabs>
        <w:spacing w:after="0" w:line="360" w:lineRule="auto"/>
        <w:rPr>
          <w:color w:val="000000"/>
        </w:rPr>
      </w:pPr>
    </w:p>
    <w:p w:rsidR="00FF73DC" w:rsidRDefault="000605F1">
      <w:pPr>
        <w:tabs>
          <w:tab w:val="center" w:pos="4522"/>
        </w:tabs>
        <w:spacing w:after="0" w:line="360" w:lineRule="auto"/>
        <w:rPr>
          <w:color w:val="000000"/>
        </w:rPr>
      </w:pPr>
      <w:r>
        <w:rPr>
          <w:color w:val="000000"/>
        </w:rPr>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w:t>
      </w:r>
      <w:r>
        <w:rPr>
          <w:color w:val="000000"/>
        </w:rPr>
        <w:lastRenderedPageBreak/>
        <w:t>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rsidR="00FF73DC" w:rsidRDefault="00FF73DC">
      <w:pPr>
        <w:tabs>
          <w:tab w:val="center" w:pos="4522"/>
        </w:tabs>
        <w:spacing w:after="0" w:line="360" w:lineRule="auto"/>
        <w:rPr>
          <w:color w:val="000000"/>
        </w:rPr>
      </w:pPr>
    </w:p>
    <w:p w:rsidR="00FF73DC" w:rsidRDefault="000605F1">
      <w:pPr>
        <w:tabs>
          <w:tab w:val="center" w:pos="4522"/>
        </w:tabs>
        <w:spacing w:after="0" w:line="360" w:lineRule="auto"/>
        <w:rPr>
          <w:color w:val="000000"/>
        </w:rPr>
      </w:pPr>
      <w:r>
        <w:rPr>
          <w:color w:val="000000"/>
        </w:rPr>
        <w:t>Por ende, la información correspondiente al Registro Federal de Contribuyentes de una persona moral da cuenta del cumplimiento o no en sus obligaciones fiscales; por tanto, no se actualiza su clasificación como confidencial.</w:t>
      </w:r>
    </w:p>
    <w:p w:rsidR="00FF73DC" w:rsidRDefault="00FF73DC">
      <w:pPr>
        <w:tabs>
          <w:tab w:val="center" w:pos="4522"/>
        </w:tabs>
        <w:spacing w:after="0" w:line="360" w:lineRule="auto"/>
        <w:rPr>
          <w:color w:val="000000"/>
        </w:rPr>
      </w:pPr>
    </w:p>
    <w:p w:rsidR="00FF73DC" w:rsidRDefault="000605F1">
      <w:pPr>
        <w:tabs>
          <w:tab w:val="center" w:pos="4522"/>
        </w:tabs>
        <w:spacing w:after="0" w:line="360" w:lineRule="auto"/>
        <w:rPr>
          <w:color w:val="000000"/>
        </w:rPr>
      </w:pPr>
      <w:r>
        <w:rPr>
          <w:color w:val="000000"/>
        </w:rPr>
        <w:t>Además, resulta aplicable por analogía el Criterio Orientador, de la Segunda Época, con número de registro SO/008/2019, emitido por el entonces Instituto Nacional de Transparencia, Acceso a la Información y Protección de Datos Personales, vigente a la fecha de la solicitud, que precisa que el Registro Federal de Contribuyentes de personas morales, es público, al no referir a hechos o actos de carácter económico, contable, jurídico o administrativo que sean útiles o representen una ventaja a sus competidores.</w:t>
      </w:r>
    </w:p>
    <w:p w:rsidR="00FF73DC" w:rsidRDefault="000605F1">
      <w:pPr>
        <w:tabs>
          <w:tab w:val="center" w:pos="4522"/>
        </w:tabs>
        <w:spacing w:after="0" w:line="360" w:lineRule="auto"/>
        <w:rPr>
          <w:color w:val="000000"/>
        </w:rPr>
      </w:pPr>
      <w:r>
        <w:rPr>
          <w:color w:val="000000"/>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rsidR="00FF73DC" w:rsidRDefault="00FF73DC">
      <w:pPr>
        <w:spacing w:after="0" w:line="360" w:lineRule="auto"/>
        <w:jc w:val="left"/>
        <w:rPr>
          <w:b/>
          <w:bCs/>
          <w:color w:val="000000"/>
        </w:rPr>
      </w:pPr>
    </w:p>
    <w:p w:rsidR="00FF73DC" w:rsidRDefault="000605F1">
      <w:pPr>
        <w:numPr>
          <w:ilvl w:val="0"/>
          <w:numId w:val="5"/>
        </w:numPr>
        <w:pBdr>
          <w:top w:val="nil"/>
          <w:left w:val="nil"/>
          <w:bottom w:val="nil"/>
          <w:right w:val="nil"/>
          <w:between w:val="nil"/>
        </w:pBdr>
        <w:spacing w:after="0" w:line="360" w:lineRule="auto"/>
        <w:jc w:val="left"/>
        <w:rPr>
          <w:b/>
          <w:bCs/>
          <w:color w:val="000000"/>
        </w:rPr>
      </w:pPr>
      <w:r>
        <w:rPr>
          <w:b/>
          <w:bCs/>
          <w:color w:val="000000"/>
        </w:rPr>
        <w:t>Código Bidimensional o QR</w:t>
      </w:r>
    </w:p>
    <w:p w:rsidR="00FF73DC" w:rsidRDefault="00FF73DC">
      <w:pPr>
        <w:spacing w:after="0" w:line="360" w:lineRule="auto"/>
        <w:jc w:val="left"/>
        <w:rPr>
          <w:b/>
          <w:bCs/>
          <w:color w:val="000000"/>
        </w:rPr>
      </w:pPr>
    </w:p>
    <w:p w:rsidR="00FF73DC" w:rsidRDefault="000605F1">
      <w:pPr>
        <w:spacing w:after="0" w:line="360" w:lineRule="auto"/>
        <w:rPr>
          <w:color w:val="000000"/>
        </w:rPr>
      </w:pPr>
      <w:r>
        <w:rPr>
          <w:color w:val="000000"/>
        </w:rPr>
        <w:t>En principio, resulta necesario señalar que los comprobantes fiscales digitales por Internet,</w:t>
      </w:r>
    </w:p>
    <w:p w:rsidR="00FF73DC" w:rsidRDefault="000605F1">
      <w:pPr>
        <w:spacing w:after="0" w:line="360" w:lineRule="auto"/>
        <w:rPr>
          <w:color w:val="000000"/>
        </w:rPr>
      </w:pPr>
      <w:proofErr w:type="gramStart"/>
      <w:r>
        <w:rPr>
          <w:color w:val="000000"/>
        </w:rPr>
        <w:t>deben</w:t>
      </w:r>
      <w:proofErr w:type="gramEnd"/>
      <w:r>
        <w:rPr>
          <w:color w:val="000000"/>
        </w:rPr>
        <w:t xml:space="preserve"> de incluir un código bidimensional conforme al formato QR </w:t>
      </w:r>
      <w:proofErr w:type="spellStart"/>
      <w:r>
        <w:rPr>
          <w:color w:val="000000"/>
        </w:rPr>
        <w:t>Code</w:t>
      </w:r>
      <w:proofErr w:type="spellEnd"/>
      <w:r>
        <w:rPr>
          <w:color w:val="000000"/>
        </w:rPr>
        <w:t xml:space="preserve"> (Quick Response</w:t>
      </w:r>
    </w:p>
    <w:p w:rsidR="00FF73DC" w:rsidRDefault="000605F1">
      <w:pPr>
        <w:spacing w:after="0" w:line="360" w:lineRule="auto"/>
        <w:rPr>
          <w:color w:val="000000"/>
        </w:rPr>
      </w:pPr>
      <w:proofErr w:type="spellStart"/>
      <w:r>
        <w:rPr>
          <w:color w:val="000000"/>
        </w:rPr>
        <w:t>Code</w:t>
      </w:r>
      <w:proofErr w:type="spellEnd"/>
      <w:r>
        <w:rPr>
          <w:color w:val="000000"/>
        </w:rPr>
        <w:t xml:space="preserve">), el cual contiene el Registro Federal de Contribuyentes del receptor, del emisor, o de ambos; lo anterior, conforme al Anexo 20 de la Segunda Resolución de modificación a la Resolución Miscelánea Fiscal. Incluso con la captura de dicho código, a través de la aplicación </w:t>
      </w:r>
      <w:r>
        <w:rPr>
          <w:color w:val="000000"/>
        </w:rPr>
        <w:lastRenderedPageBreak/>
        <w:t>móvil del Servicio de Administración Tributaria, permite el acceso al Registro Federal de Contribuyentes, como del Sujeto Obligado, como del proveedor, persona física o moral. En ese orden de ideas, toda vez que el código bidimensional sólo permite el acceso al Registro Federal de Contribuyentes del proveedor y del Sujeto Obligado, los cuales guardan la naturaleza pública, se considera que no se actualiza la causal de clasificación prevista en el artículo 143, fracción I de la Ley de la materia, toda vez que únicamente da cuenta de datos que como se analizó en párrafos anteriores, no son susceptibles a testar.</w:t>
      </w:r>
    </w:p>
    <w:p w:rsidR="00FF73DC" w:rsidRDefault="00FF73DC">
      <w:pPr>
        <w:spacing w:after="0" w:line="360" w:lineRule="auto"/>
        <w:jc w:val="left"/>
        <w:rPr>
          <w:b/>
          <w:bCs/>
          <w:color w:val="000000"/>
        </w:rPr>
      </w:pPr>
    </w:p>
    <w:p w:rsidR="00FF73DC" w:rsidRDefault="000605F1">
      <w:pPr>
        <w:numPr>
          <w:ilvl w:val="0"/>
          <w:numId w:val="5"/>
        </w:numPr>
        <w:pBdr>
          <w:top w:val="nil"/>
          <w:left w:val="nil"/>
          <w:bottom w:val="nil"/>
          <w:right w:val="nil"/>
          <w:between w:val="nil"/>
        </w:pBdr>
        <w:spacing w:after="0" w:line="360" w:lineRule="auto"/>
        <w:jc w:val="left"/>
        <w:rPr>
          <w:b/>
          <w:bCs/>
          <w:color w:val="000000"/>
        </w:rPr>
      </w:pPr>
      <w:r>
        <w:rPr>
          <w:b/>
          <w:bCs/>
          <w:color w:val="000000"/>
        </w:rPr>
        <w:t>Domicilio Fiscal o legal para recibir y oír notificaciones (proveedor o contratista persona física o moral).</w:t>
      </w:r>
    </w:p>
    <w:p w:rsidR="00FF73DC" w:rsidRDefault="00FF73DC">
      <w:pPr>
        <w:tabs>
          <w:tab w:val="center" w:pos="4522"/>
        </w:tabs>
        <w:spacing w:after="0" w:line="360" w:lineRule="auto"/>
        <w:rPr>
          <w:color w:val="000000"/>
        </w:rPr>
      </w:pPr>
    </w:p>
    <w:p w:rsidR="00FF73DC" w:rsidRDefault="000605F1">
      <w:pPr>
        <w:tabs>
          <w:tab w:val="center" w:pos="4522"/>
        </w:tabs>
        <w:spacing w:after="0" w:line="360" w:lineRule="auto"/>
        <w:rPr>
          <w:color w:val="000000"/>
        </w:rPr>
      </w:pPr>
      <w:r>
        <w:rPr>
          <w:color w:val="000000"/>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rsidR="00FF73DC" w:rsidRDefault="00FF73DC">
      <w:pPr>
        <w:tabs>
          <w:tab w:val="center" w:pos="4522"/>
        </w:tabs>
        <w:spacing w:after="0" w:line="360" w:lineRule="auto"/>
        <w:rPr>
          <w:color w:val="000000"/>
        </w:rPr>
      </w:pPr>
    </w:p>
    <w:p w:rsidR="00FF73DC" w:rsidRDefault="000605F1">
      <w:pPr>
        <w:tabs>
          <w:tab w:val="center" w:pos="4522"/>
        </w:tabs>
        <w:spacing w:after="0" w:line="360" w:lineRule="auto"/>
        <w:rPr>
          <w:color w:val="000000"/>
        </w:rPr>
      </w:pPr>
      <w:r>
        <w:rPr>
          <w:color w:val="000000"/>
        </w:rPr>
        <w:t>De la misma manera, lo establece los diversos 29 y 33 del Código Civil Federal, al precisar que el domicilio de personas físicas</w:t>
      </w:r>
      <w:r>
        <w:rPr>
          <w:b/>
          <w:bCs/>
          <w:color w:val="000000"/>
        </w:rPr>
        <w:t xml:space="preserve">, es el lugar donde residen habitualmente, el lugar del centro principal de sus negocios, donde residan o el lugar donde se encuentren; </w:t>
      </w:r>
      <w:r>
        <w:rPr>
          <w:color w:val="000000"/>
        </w:rPr>
        <w:t>mientras que, de las personas morales, aquel donde se halle su administración.</w:t>
      </w:r>
    </w:p>
    <w:p w:rsidR="00FF73DC" w:rsidRDefault="00FF73DC">
      <w:pPr>
        <w:tabs>
          <w:tab w:val="center" w:pos="4522"/>
        </w:tabs>
        <w:spacing w:after="0" w:line="360" w:lineRule="auto"/>
        <w:rPr>
          <w:b/>
          <w:bCs/>
          <w:color w:val="000000"/>
        </w:rPr>
      </w:pPr>
    </w:p>
    <w:p w:rsidR="00FF73DC" w:rsidRDefault="000605F1">
      <w:pPr>
        <w:tabs>
          <w:tab w:val="center" w:pos="4522"/>
        </w:tabs>
        <w:spacing w:after="0" w:line="360" w:lineRule="auto"/>
        <w:rPr>
          <w:color w:val="000000"/>
        </w:rPr>
      </w:pPr>
      <w:r>
        <w:rPr>
          <w:color w:val="000000"/>
        </w:rPr>
        <w:t>Además, respecto al domicilio fiscal, resulta necesario traer el artículo 10 del Código Fiscal de la Federación, que establece que, tratándose de personas físicas, corresponderá dicho dato:</w:t>
      </w:r>
    </w:p>
    <w:p w:rsidR="00FF73DC" w:rsidRDefault="00FF73DC">
      <w:pPr>
        <w:tabs>
          <w:tab w:val="center" w:pos="4522"/>
        </w:tabs>
        <w:spacing w:after="0" w:line="360" w:lineRule="auto"/>
        <w:rPr>
          <w:color w:val="000000"/>
        </w:rPr>
      </w:pPr>
    </w:p>
    <w:p w:rsidR="00FF73DC" w:rsidRDefault="000605F1">
      <w:pPr>
        <w:numPr>
          <w:ilvl w:val="0"/>
          <w:numId w:val="6"/>
        </w:numPr>
        <w:pBdr>
          <w:top w:val="nil"/>
          <w:left w:val="nil"/>
          <w:bottom w:val="nil"/>
          <w:right w:val="nil"/>
          <w:between w:val="nil"/>
        </w:pBdr>
        <w:tabs>
          <w:tab w:val="center" w:pos="4522"/>
        </w:tabs>
        <w:spacing w:after="0" w:line="360" w:lineRule="auto"/>
        <w:jc w:val="left"/>
        <w:rPr>
          <w:color w:val="000000"/>
        </w:rPr>
      </w:pPr>
      <w:r>
        <w:rPr>
          <w:color w:val="000000"/>
        </w:rPr>
        <w:t>El lugar donde realizan actividades empresariales, el local, en que se encuentre el principal asiente de sus negocios, y</w:t>
      </w:r>
    </w:p>
    <w:p w:rsidR="00FF73DC" w:rsidRDefault="00FF73DC">
      <w:pPr>
        <w:tabs>
          <w:tab w:val="center" w:pos="4522"/>
        </w:tabs>
        <w:spacing w:after="0" w:line="360" w:lineRule="auto"/>
        <w:rPr>
          <w:color w:val="000000"/>
        </w:rPr>
      </w:pPr>
    </w:p>
    <w:p w:rsidR="00FF73DC" w:rsidRDefault="000605F1">
      <w:pPr>
        <w:numPr>
          <w:ilvl w:val="0"/>
          <w:numId w:val="6"/>
        </w:numPr>
        <w:pBdr>
          <w:top w:val="nil"/>
          <w:left w:val="nil"/>
          <w:bottom w:val="nil"/>
          <w:right w:val="nil"/>
          <w:between w:val="nil"/>
        </w:pBdr>
        <w:tabs>
          <w:tab w:val="center" w:pos="4522"/>
        </w:tabs>
        <w:spacing w:after="0" w:line="360" w:lineRule="auto"/>
        <w:jc w:val="left"/>
        <w:rPr>
          <w:color w:val="000000"/>
        </w:rPr>
      </w:pPr>
      <w:r>
        <w:rPr>
          <w:color w:val="000000"/>
        </w:rPr>
        <w:t>La casa habitación, cuando no cuenta con un local o lugar donde realice las acciones previamente señaladas.</w:t>
      </w:r>
    </w:p>
    <w:p w:rsidR="00FF73DC" w:rsidRDefault="00FF73DC">
      <w:pPr>
        <w:tabs>
          <w:tab w:val="center" w:pos="4522"/>
        </w:tabs>
        <w:spacing w:after="0" w:line="360" w:lineRule="auto"/>
        <w:rPr>
          <w:color w:val="000000"/>
        </w:rPr>
      </w:pPr>
    </w:p>
    <w:p w:rsidR="00FF73DC" w:rsidRDefault="000605F1">
      <w:pPr>
        <w:tabs>
          <w:tab w:val="center" w:pos="4522"/>
        </w:tabs>
        <w:spacing w:after="0" w:line="360" w:lineRule="auto"/>
        <w:rPr>
          <w:color w:val="000000"/>
        </w:rPr>
      </w:pPr>
      <w:r>
        <w:rPr>
          <w:color w:val="000000"/>
        </w:rPr>
        <w:t>Mientras que, en el caso de personas morales, el domicilio fiscal, corresponderá al local donde se encuentra la administración principal del negocio. Como se logra observar, el domicilio fiscal de los proveedores personas físicas, se encuentra en dos supuestos, por lo que, se procede a su análisis.</w:t>
      </w:r>
    </w:p>
    <w:p w:rsidR="00FF73DC" w:rsidRDefault="00FF73DC">
      <w:pPr>
        <w:tabs>
          <w:tab w:val="center" w:pos="4522"/>
        </w:tabs>
        <w:spacing w:after="0" w:line="360" w:lineRule="auto"/>
        <w:rPr>
          <w:color w:val="000000"/>
        </w:rPr>
      </w:pPr>
    </w:p>
    <w:p w:rsidR="00FF73DC" w:rsidRDefault="000605F1">
      <w:pPr>
        <w:tabs>
          <w:tab w:val="center" w:pos="4522"/>
        </w:tabs>
        <w:spacing w:after="0" w:line="360" w:lineRule="auto"/>
        <w:rPr>
          <w:color w:val="000000"/>
        </w:rPr>
      </w:pPr>
      <w:r>
        <w:rPr>
          <w:color w:val="000000"/>
        </w:rPr>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privada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rsidR="00FF73DC" w:rsidRDefault="00FF73DC">
      <w:pPr>
        <w:tabs>
          <w:tab w:val="center" w:pos="4522"/>
        </w:tabs>
        <w:spacing w:after="0" w:line="360" w:lineRule="auto"/>
        <w:rPr>
          <w:color w:val="000000"/>
        </w:rPr>
      </w:pPr>
    </w:p>
    <w:p w:rsidR="00FF73DC" w:rsidRDefault="000605F1">
      <w:pPr>
        <w:tabs>
          <w:tab w:val="center" w:pos="4522"/>
        </w:tabs>
        <w:spacing w:after="0" w:line="360" w:lineRule="auto"/>
        <w:rPr>
          <w:color w:val="000000"/>
        </w:rPr>
      </w:pPr>
      <w:r>
        <w:rPr>
          <w:color w:val="000000"/>
        </w:rPr>
        <w:t>Como se logra observar, es obligación de transparencia proporcionar el domicilio fiscal de los proveedores, por lo que, se considera que, en el caso, de que dicho dato, corresponda a un local o lugar donde realice sus actividades empresariales, se debe entregar.</w:t>
      </w:r>
    </w:p>
    <w:p w:rsidR="00FF73DC" w:rsidRDefault="00FF73DC">
      <w:pPr>
        <w:tabs>
          <w:tab w:val="center" w:pos="4522"/>
        </w:tabs>
        <w:spacing w:after="0" w:line="360" w:lineRule="auto"/>
        <w:rPr>
          <w:color w:val="000000"/>
        </w:rPr>
      </w:pPr>
    </w:p>
    <w:p w:rsidR="00FF73DC" w:rsidRDefault="000605F1">
      <w:pPr>
        <w:tabs>
          <w:tab w:val="center" w:pos="4522"/>
        </w:tabs>
        <w:spacing w:after="0" w:line="360" w:lineRule="auto"/>
        <w:rPr>
          <w:color w:val="000000"/>
        </w:rPr>
      </w:pPr>
      <w:r>
        <w:rPr>
          <w:color w:val="000000"/>
        </w:rPr>
        <w:t xml:space="preserve">De tal suerte que, tratándose de proveedores (personas físicas o jurídico-colectivas), el domicilio fiscal, no actualiza la causal de clasificación, establecida en el artículo 143, fracción </w:t>
      </w:r>
      <w:r>
        <w:rPr>
          <w:color w:val="000000"/>
        </w:rPr>
        <w:lastRenderedPageBreak/>
        <w:t>I de la Ley de Transparencia y Acceso a la Información Pública del Estado de México y Municipios.</w:t>
      </w:r>
    </w:p>
    <w:p w:rsidR="00FF73DC" w:rsidRDefault="00FF73DC">
      <w:pPr>
        <w:tabs>
          <w:tab w:val="center" w:pos="4522"/>
        </w:tabs>
        <w:spacing w:after="0" w:line="360" w:lineRule="auto"/>
        <w:rPr>
          <w:color w:val="000000"/>
        </w:rPr>
      </w:pPr>
    </w:p>
    <w:p w:rsidR="00FF73DC" w:rsidRDefault="000605F1">
      <w:pPr>
        <w:numPr>
          <w:ilvl w:val="0"/>
          <w:numId w:val="2"/>
        </w:numPr>
        <w:pBdr>
          <w:top w:val="nil"/>
          <w:left w:val="nil"/>
          <w:bottom w:val="nil"/>
          <w:right w:val="nil"/>
          <w:between w:val="nil"/>
        </w:pBdr>
        <w:tabs>
          <w:tab w:val="center" w:pos="4522"/>
        </w:tabs>
        <w:spacing w:after="0" w:line="360" w:lineRule="auto"/>
        <w:jc w:val="left"/>
        <w:rPr>
          <w:b/>
          <w:bCs/>
          <w:color w:val="000000"/>
        </w:rPr>
      </w:pPr>
      <w:r>
        <w:rPr>
          <w:b/>
          <w:bCs/>
          <w:color w:val="000000"/>
        </w:rPr>
        <w:t>Cuenta bancaria y CLABE interbancaria del proveedor</w:t>
      </w:r>
    </w:p>
    <w:p w:rsidR="00FF73DC" w:rsidRDefault="00FF73DC">
      <w:pPr>
        <w:tabs>
          <w:tab w:val="center" w:pos="4522"/>
        </w:tabs>
        <w:spacing w:after="0" w:line="360" w:lineRule="auto"/>
        <w:rPr>
          <w:b/>
          <w:bCs/>
          <w:color w:val="000000"/>
        </w:rPr>
      </w:pPr>
    </w:p>
    <w:p w:rsidR="00FF73DC" w:rsidRDefault="000605F1">
      <w:pPr>
        <w:tabs>
          <w:tab w:val="center" w:pos="4522"/>
        </w:tabs>
        <w:spacing w:after="0" w:line="360" w:lineRule="auto"/>
        <w:rPr>
          <w:color w:val="000000"/>
        </w:rPr>
      </w:pPr>
      <w:r>
        <w:rPr>
          <w:color w:val="000000"/>
        </w:rPr>
        <w:t>Al respecto, se estima que dichos datos se relacionan con hechos y actos de carácter económico, pues los mismos darían cuenta, de la relación que tiene una institución financiero con un particular, ya sea persona física o moral; además, que con dicha información se podría obtener los recursos enviados a las órdenes de cargo, pago o a las transferencias electrónicas de fondos interbancarios, entre otros movimientos que sean utilizados exclusivamente en la cuenta señalada por el cliente y, por lo tanto, los datos bancarios corresponden a información que se encuentra relacionada con el patrimonio de la persona titular de la cuenta.</w:t>
      </w:r>
    </w:p>
    <w:p w:rsidR="00FF73DC" w:rsidRDefault="000605F1">
      <w:pPr>
        <w:tabs>
          <w:tab w:val="center" w:pos="4522"/>
        </w:tabs>
        <w:spacing w:after="0" w:line="360" w:lineRule="auto"/>
        <w:rPr>
          <w:color w:val="000000"/>
        </w:rPr>
      </w:pPr>
      <w:r>
        <w:rPr>
          <w:color w:val="000000"/>
        </w:rPr>
        <w:t> </w:t>
      </w:r>
    </w:p>
    <w:p w:rsidR="00FF73DC" w:rsidRDefault="000605F1">
      <w:pPr>
        <w:tabs>
          <w:tab w:val="center" w:pos="4522"/>
        </w:tabs>
        <w:spacing w:after="0" w:line="360" w:lineRule="auto"/>
        <w:rPr>
          <w:color w:val="000000"/>
        </w:rPr>
      </w:pPr>
      <w:r>
        <w:rPr>
          <w:color w:val="000000"/>
        </w:rPr>
        <w:t>A mayor abundamiento, resulta necesario traer a colación el Criterio Orientador, de la Segunda Época, con número de registro SO/010/2017, emitido por el entonces Instituto Nacional de Transparencia, Acceso a la Información y Protección de Datos Personales, mismo que establece lo siguiente:</w:t>
      </w:r>
    </w:p>
    <w:p w:rsidR="00FF73DC" w:rsidRDefault="000605F1">
      <w:pPr>
        <w:tabs>
          <w:tab w:val="center" w:pos="4522"/>
        </w:tabs>
        <w:spacing w:after="0" w:line="360" w:lineRule="auto"/>
        <w:rPr>
          <w:color w:val="000000"/>
        </w:rPr>
      </w:pPr>
      <w:r>
        <w:rPr>
          <w:color w:val="000000"/>
        </w:rPr>
        <w:t> </w:t>
      </w:r>
    </w:p>
    <w:p w:rsidR="00FF73DC" w:rsidRDefault="000605F1">
      <w:pPr>
        <w:tabs>
          <w:tab w:val="center" w:pos="4522"/>
        </w:tabs>
        <w:spacing w:after="0" w:line="360" w:lineRule="auto"/>
        <w:ind w:left="567" w:right="567"/>
        <w:rPr>
          <w:i/>
          <w:iCs/>
          <w:color w:val="000000"/>
          <w:sz w:val="20"/>
          <w:szCs w:val="20"/>
        </w:rPr>
      </w:pPr>
      <w:r>
        <w:rPr>
          <w:i/>
          <w:iCs/>
          <w:color w:val="000000"/>
          <w:sz w:val="20"/>
          <w:szCs w:val="20"/>
        </w:rPr>
        <w:t>“</w:t>
      </w:r>
      <w:r>
        <w:rPr>
          <w:b/>
          <w:bCs/>
          <w:i/>
          <w:iCs/>
          <w:color w:val="000000"/>
          <w:sz w:val="20"/>
          <w:szCs w:val="20"/>
        </w:rPr>
        <w:t>Cuentas bancarias y/o CLABE interbancaria de personas físicas y morales privadas.</w:t>
      </w:r>
      <w:r>
        <w:rPr>
          <w:i/>
          <w:iCs/>
          <w:color w:val="000000"/>
          <w:sz w:val="20"/>
          <w:szCs w:val="2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FF73DC" w:rsidRDefault="000605F1">
      <w:pPr>
        <w:tabs>
          <w:tab w:val="center" w:pos="4522"/>
        </w:tabs>
        <w:spacing w:after="0" w:line="360" w:lineRule="auto"/>
        <w:rPr>
          <w:color w:val="000000"/>
        </w:rPr>
      </w:pPr>
      <w:r>
        <w:rPr>
          <w:color w:val="000000"/>
        </w:rPr>
        <w:t> </w:t>
      </w:r>
    </w:p>
    <w:p w:rsidR="00FF73DC" w:rsidRDefault="000605F1">
      <w:pPr>
        <w:tabs>
          <w:tab w:val="center" w:pos="4522"/>
        </w:tabs>
        <w:spacing w:after="0" w:line="360" w:lineRule="auto"/>
        <w:rPr>
          <w:color w:val="000000"/>
        </w:rPr>
      </w:pPr>
      <w:r>
        <w:rPr>
          <w:color w:val="000000"/>
        </w:rPr>
        <w:lastRenderedPageBreak/>
        <w:t xml:space="preserve">Por lo cual, se puede colegir que dichos datos no guardan relación con el servicio público ni con los recursos públicos, pues sólo corresponde a información, que le atañe a la institución financiera y al cliente; por lo que este número constituye información confidencial al pertenecer exclusivamente al ámbito de la vida privada del proveedor y procede su eliminación de conformidad con el artículo 143, fracción I, de la Ley de Transparencia y Acceso a la Información Pública del Estado de México y Municipios.  </w:t>
      </w:r>
    </w:p>
    <w:p w:rsidR="00FF73DC" w:rsidRDefault="00FF73DC">
      <w:pPr>
        <w:tabs>
          <w:tab w:val="center" w:pos="4522"/>
        </w:tabs>
        <w:spacing w:after="0" w:line="360" w:lineRule="auto"/>
        <w:rPr>
          <w:color w:val="000000"/>
        </w:rPr>
      </w:pPr>
    </w:p>
    <w:p w:rsidR="00FF73DC" w:rsidRDefault="000605F1">
      <w:pPr>
        <w:numPr>
          <w:ilvl w:val="0"/>
          <w:numId w:val="2"/>
        </w:numPr>
        <w:pBdr>
          <w:top w:val="nil"/>
          <w:left w:val="nil"/>
          <w:bottom w:val="nil"/>
          <w:right w:val="nil"/>
          <w:between w:val="nil"/>
        </w:pBdr>
        <w:tabs>
          <w:tab w:val="center" w:pos="4522"/>
        </w:tabs>
        <w:spacing w:after="0" w:line="360" w:lineRule="auto"/>
        <w:jc w:val="left"/>
        <w:rPr>
          <w:b/>
          <w:bCs/>
          <w:color w:val="000000"/>
        </w:rPr>
      </w:pPr>
      <w:r>
        <w:rPr>
          <w:b/>
          <w:bCs/>
          <w:color w:val="000000"/>
        </w:rPr>
        <w:t>Nombre de institución bancaria</w:t>
      </w:r>
    </w:p>
    <w:p w:rsidR="00FF73DC" w:rsidRDefault="00FF73DC">
      <w:pPr>
        <w:tabs>
          <w:tab w:val="center" w:pos="4522"/>
        </w:tabs>
        <w:spacing w:after="0" w:line="360" w:lineRule="auto"/>
        <w:rPr>
          <w:color w:val="000000"/>
        </w:rPr>
      </w:pPr>
    </w:p>
    <w:p w:rsidR="00FF73DC" w:rsidRDefault="000605F1">
      <w:pPr>
        <w:tabs>
          <w:tab w:val="center" w:pos="4522"/>
        </w:tabs>
        <w:spacing w:after="0" w:line="360" w:lineRule="auto"/>
        <w:rPr>
          <w:color w:val="000000"/>
        </w:rPr>
      </w:pPr>
      <w:r>
        <w:rPr>
          <w:color w:val="000000"/>
        </w:rPr>
        <w:t>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rsidR="00FF73DC" w:rsidRDefault="00FF73DC">
      <w:pPr>
        <w:tabs>
          <w:tab w:val="center" w:pos="4522"/>
        </w:tabs>
        <w:spacing w:after="0" w:line="360" w:lineRule="auto"/>
        <w:rPr>
          <w:color w:val="000000"/>
        </w:rPr>
      </w:pPr>
    </w:p>
    <w:p w:rsidR="00FF73DC" w:rsidRDefault="000605F1">
      <w:pPr>
        <w:tabs>
          <w:tab w:val="center" w:pos="4522"/>
        </w:tabs>
        <w:spacing w:after="0" w:line="360" w:lineRule="auto"/>
        <w:rPr>
          <w:color w:val="000000"/>
        </w:rPr>
      </w:pPr>
      <w:r>
        <w:rPr>
          <w:color w:val="000000"/>
        </w:rPr>
        <w:t xml:space="preserve">En ese orden de ideas, en el portal de la Comisión Nacional para la Protección y Defensa de los Usuarios de Servicios Financieros (consultadas el dieciocho de enero de dos mil veintitrés), en </w:t>
      </w:r>
      <w:hyperlink r:id="rId14">
        <w:r>
          <w:rPr>
            <w:color w:val="0000FF"/>
            <w:u w:val="single"/>
          </w:rPr>
          <w:t>https://www.condusef.gob.mx/Revista/index.php/usuario-</w:t>
        </w:r>
        <w:r>
          <w:rPr>
            <w:color w:val="0000FF"/>
            <w:u w:val="single"/>
          </w:rPr>
          <w:lastRenderedPageBreak/>
          <w:t>inteligente/condusef-responde/777-la-condusef-te-puede-ayudar</w:t>
        </w:r>
      </w:hyperlink>
      <w:r>
        <w:rPr>
          <w:color w:val="000000"/>
        </w:rPr>
        <w:t>), se establece que los bancos son instituciones financieras; conforme a lo anterior, se puede advertir que las instituciones bancarias, son personas morales.</w:t>
      </w:r>
    </w:p>
    <w:p w:rsidR="00FF73DC" w:rsidRDefault="00FF73DC">
      <w:pPr>
        <w:tabs>
          <w:tab w:val="center" w:pos="4522"/>
        </w:tabs>
        <w:spacing w:after="0" w:line="360" w:lineRule="auto"/>
        <w:rPr>
          <w:color w:val="000000"/>
        </w:rPr>
      </w:pPr>
    </w:p>
    <w:p w:rsidR="00FF73DC" w:rsidRDefault="000605F1">
      <w:pPr>
        <w:tabs>
          <w:tab w:val="center" w:pos="4522"/>
        </w:tabs>
        <w:spacing w:after="0" w:line="360" w:lineRule="auto"/>
        <w:rPr>
          <w:color w:val="000000"/>
        </w:rPr>
      </w:pPr>
      <w:r>
        <w:rPr>
          <w:color w:val="000000"/>
        </w:rPr>
        <w:t>En ese orden de ideas, se considera que la denominación o razón social de una persona moral, es pública, pues dichos datos se encuentran inscritos en el Registro Público del Comercio; lo anterior, toma sustento en el Criterio Orientador, de la Segunda Época, con número de registro SO/008/2019, emitido por el entonces Instituto Nacional de Transparencia, Acceso a la Información y Protección de Datos Personales, previamente referido.</w:t>
      </w:r>
    </w:p>
    <w:p w:rsidR="00FF73DC" w:rsidRDefault="00FF73DC">
      <w:pPr>
        <w:tabs>
          <w:tab w:val="center" w:pos="4522"/>
        </w:tabs>
        <w:spacing w:after="0" w:line="360" w:lineRule="auto"/>
        <w:rPr>
          <w:color w:val="000000"/>
        </w:rPr>
      </w:pPr>
    </w:p>
    <w:p w:rsidR="00FF73DC" w:rsidRDefault="000605F1">
      <w:pPr>
        <w:tabs>
          <w:tab w:val="center" w:pos="4522"/>
        </w:tabs>
        <w:spacing w:after="0" w:line="360" w:lineRule="auto"/>
        <w:rPr>
          <w:color w:val="000000"/>
        </w:rPr>
      </w:pPr>
      <w:r>
        <w:rPr>
          <w:color w:val="000000"/>
        </w:rPr>
        <w:t xml:space="preserve">Lo anterior, se robustece con el hecho de que existe el Sistema de Registro de Prestadores de Servicios Financieros (consultadas el dieciocho de enero de dos mil veintitrés), a las trece horas, en la liga </w:t>
      </w:r>
      <w:hyperlink r:id="rId15">
        <w:r>
          <w:rPr>
            <w:color w:val="0000FF"/>
            <w:u w:val="single"/>
          </w:rPr>
          <w:t>https://webapps.condusef.gob.mx/SIPRES/jsp/pub/index.jsp</w:t>
        </w:r>
      </w:hyperlink>
      <w:r>
        <w:rPr>
          <w:color w:val="000000"/>
        </w:rPr>
        <w:t xml:space="preserve">), que es un registro de </w:t>
      </w:r>
      <w:r>
        <w:rPr>
          <w:b/>
          <w:bCs/>
          <w:color w:val="000000"/>
        </w:rPr>
        <w:t xml:space="preserve">carácter público, </w:t>
      </w:r>
      <w:r>
        <w:rPr>
          <w:color w:val="000000"/>
        </w:rPr>
        <w:t>cuyo objetivo principal, consiste en proporcionar información corporativa y general de las instituciones financieras</w:t>
      </w:r>
      <w:r>
        <w:rPr>
          <w:b/>
          <w:bCs/>
          <w:color w:val="000000"/>
        </w:rPr>
        <w:t xml:space="preserve">; además, que permite conocer al público general, información de dichos entes, </w:t>
      </w:r>
      <w:r>
        <w:rPr>
          <w:color w:val="000000"/>
        </w:rPr>
        <w:t xml:space="preserve">se muestra un ejemplo a continuación: </w:t>
      </w:r>
    </w:p>
    <w:p w:rsidR="00FF73DC" w:rsidRDefault="00FF73DC">
      <w:pPr>
        <w:tabs>
          <w:tab w:val="center" w:pos="4522"/>
        </w:tabs>
        <w:spacing w:after="0" w:line="360" w:lineRule="auto"/>
        <w:rPr>
          <w:color w:val="000000"/>
        </w:rPr>
      </w:pPr>
    </w:p>
    <w:p w:rsidR="00FF73DC" w:rsidRDefault="000605F1">
      <w:pPr>
        <w:tabs>
          <w:tab w:val="center" w:pos="4522"/>
        </w:tabs>
        <w:spacing w:after="0" w:line="360" w:lineRule="auto"/>
        <w:jc w:val="center"/>
        <w:rPr>
          <w:color w:val="000000"/>
        </w:rPr>
      </w:pPr>
      <w:r>
        <w:rPr>
          <w:noProof/>
          <w:color w:val="000000"/>
        </w:rPr>
        <w:drawing>
          <wp:inline distT="0" distB="0" distL="0" distR="0">
            <wp:extent cx="4777740" cy="2476500"/>
            <wp:effectExtent l="0" t="0" r="0" b="0"/>
            <wp:docPr id="2144078445" name="image6.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magen que contiene Escala de tiempo&#10;&#10;Descripción generada automáticamente"/>
                    <pic:cNvPicPr preferRelativeResize="0"/>
                  </pic:nvPicPr>
                  <pic:blipFill>
                    <a:blip r:embed="rId16"/>
                    <a:srcRect t="2" b="378"/>
                    <a:stretch>
                      <a:fillRect/>
                    </a:stretch>
                  </pic:blipFill>
                  <pic:spPr>
                    <a:xfrm>
                      <a:off x="0" y="0"/>
                      <a:ext cx="4777740" cy="2476500"/>
                    </a:xfrm>
                    <a:prstGeom prst="rect">
                      <a:avLst/>
                    </a:prstGeom>
                    <a:ln/>
                  </pic:spPr>
                </pic:pic>
              </a:graphicData>
            </a:graphic>
          </wp:inline>
        </w:drawing>
      </w:r>
    </w:p>
    <w:p w:rsidR="00FF73DC" w:rsidRDefault="00FF73DC">
      <w:pPr>
        <w:tabs>
          <w:tab w:val="center" w:pos="4522"/>
        </w:tabs>
        <w:spacing w:after="0" w:line="360" w:lineRule="auto"/>
        <w:rPr>
          <w:color w:val="000000"/>
        </w:rPr>
      </w:pPr>
    </w:p>
    <w:p w:rsidR="00FF73DC" w:rsidRDefault="000605F1">
      <w:pPr>
        <w:tabs>
          <w:tab w:val="center" w:pos="4522"/>
        </w:tabs>
        <w:spacing w:after="0" w:line="360" w:lineRule="auto"/>
        <w:rPr>
          <w:color w:val="000000"/>
        </w:rPr>
      </w:pPr>
      <w:r>
        <w:rPr>
          <w:color w:val="000000"/>
        </w:rPr>
        <w:t>Conforme a lo anterior, se logra vislumbrar que el nombre de las instituciones bancarias en primera instancia es de naturaleza pública; sin embargo, en el presente caso, se relacionada con el hecho de que corresponde al banco en el cual un proveedor o contratista decidió recibir el pago de sus servicios; es decir, daría cuenta de la decisión voluntaria de recibir el pago de sus servicios en una determinada institución; lo cual se relaciona con la cuenta y clave interbancaria, mismos que son confidenciales.</w:t>
      </w:r>
    </w:p>
    <w:p w:rsidR="00FF73DC" w:rsidRDefault="00FF73DC">
      <w:pPr>
        <w:tabs>
          <w:tab w:val="center" w:pos="4522"/>
        </w:tabs>
        <w:spacing w:after="0" w:line="360" w:lineRule="auto"/>
        <w:rPr>
          <w:color w:val="000000"/>
        </w:rPr>
      </w:pPr>
    </w:p>
    <w:p w:rsidR="00FF73DC" w:rsidRDefault="000605F1">
      <w:pPr>
        <w:tabs>
          <w:tab w:val="center" w:pos="4522"/>
        </w:tabs>
        <w:spacing w:after="0" w:line="360" w:lineRule="auto"/>
        <w:rPr>
          <w:color w:val="000000"/>
        </w:rPr>
      </w:pPr>
      <w:r>
        <w:rPr>
          <w:color w:val="000000"/>
        </w:rPr>
        <w:t>Además, revelaría el lugar en donde el proveedor recibió los recursos por prestar sus servicios, lo cual únicamente está relacionado a su vida íntima o privada de la persona moral; por lo que, este Instituto considera que el nombre de la institución bancaria, actualiza la causal de clasificación prevista en el artículo 143, fracción I, de la Ley de Transparencia y Acceso a la Información Pública del Estado de México y Municipios.</w:t>
      </w:r>
    </w:p>
    <w:p w:rsidR="00FF73DC" w:rsidRDefault="00FF73DC">
      <w:pPr>
        <w:tabs>
          <w:tab w:val="center" w:pos="4522"/>
        </w:tabs>
        <w:spacing w:after="0" w:line="360" w:lineRule="auto"/>
        <w:rPr>
          <w:color w:val="000000"/>
        </w:rPr>
      </w:pPr>
    </w:p>
    <w:p w:rsidR="00FF73DC" w:rsidRDefault="000605F1">
      <w:pPr>
        <w:spacing w:after="0" w:line="360" w:lineRule="auto"/>
        <w:rPr>
          <w:color w:val="000000"/>
        </w:rPr>
      </w:pPr>
      <w:r>
        <w:rPr>
          <w:color w:val="000000"/>
        </w:rPr>
        <w:t xml:space="preserve">Finalmente, el Sujeto Obligado, deberá elaborar la versión pública respectiva, tomando en consideración los datos analizados;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rsidR="00FF73DC" w:rsidRDefault="00FF73DC">
      <w:pPr>
        <w:spacing w:after="0" w:line="360" w:lineRule="auto"/>
        <w:rPr>
          <w:color w:val="000000"/>
        </w:rPr>
      </w:pPr>
    </w:p>
    <w:p w:rsidR="00FF73DC" w:rsidRDefault="000605F1">
      <w:pPr>
        <w:spacing w:after="0" w:line="360" w:lineRule="auto"/>
        <w:rPr>
          <w:color w:val="000000"/>
        </w:rPr>
      </w:pPr>
      <w:r>
        <w:rPr>
          <w:color w:val="000000"/>
        </w:rPr>
        <w:t xml:space="preserve">Para tal situación, el Sujeto Obligado deberá seguir el procedimiento establecido en el artículo 168 de dicho ordenamiento jurídico; esto es, que el área competente deberá elaborar </w:t>
      </w:r>
      <w:r>
        <w:rPr>
          <w:color w:val="000000"/>
        </w:rPr>
        <w:lastRenderedPageBreak/>
        <w:t>la versión pública, así como emitir el Acuerdo, por parte del Comité de Transparencia, donde confirme la clasificación de los datos, fundando y motivando la clasificación.</w:t>
      </w:r>
    </w:p>
    <w:p w:rsidR="00FF73DC" w:rsidRDefault="00FF73DC">
      <w:pPr>
        <w:spacing w:after="0" w:line="360" w:lineRule="auto"/>
        <w:ind w:right="-28"/>
        <w:rPr>
          <w:color w:val="000000"/>
        </w:rPr>
      </w:pPr>
    </w:p>
    <w:p w:rsidR="00FF73DC" w:rsidRDefault="000605F1">
      <w:pPr>
        <w:pStyle w:val="Ttulo2"/>
        <w:spacing w:before="0" w:line="360" w:lineRule="auto"/>
        <w:rPr>
          <w:rFonts w:ascii="Palatino Linotype" w:eastAsia="Palatino Linotype" w:hAnsi="Palatino Linotype" w:cs="Palatino Linotype"/>
          <w:b/>
          <w:bCs/>
          <w:color w:val="000000"/>
          <w:sz w:val="22"/>
          <w:szCs w:val="22"/>
        </w:rPr>
      </w:pPr>
      <w:bookmarkStart w:id="17" w:name="_heading=h.2l9f9p9bgque" w:colFirst="0" w:colLast="0"/>
      <w:bookmarkEnd w:id="17"/>
      <w:r>
        <w:rPr>
          <w:rFonts w:ascii="Palatino Linotype" w:eastAsia="Palatino Linotype" w:hAnsi="Palatino Linotype" w:cs="Palatino Linotype"/>
          <w:b/>
          <w:bCs/>
          <w:color w:val="000000"/>
          <w:sz w:val="22"/>
          <w:szCs w:val="22"/>
        </w:rPr>
        <w:t xml:space="preserve">SEXTO. Decisión. </w:t>
      </w:r>
    </w:p>
    <w:p w:rsidR="00FF73DC" w:rsidRDefault="00FF73DC">
      <w:pPr>
        <w:spacing w:after="0" w:line="360" w:lineRule="auto"/>
      </w:pPr>
    </w:p>
    <w:p w:rsidR="00FF73DC" w:rsidRDefault="000605F1">
      <w:pPr>
        <w:spacing w:after="0" w:line="360" w:lineRule="auto"/>
      </w:pPr>
      <w:r>
        <w:t xml:space="preserve">Con fundamento en el artículo 186, fracción III, de la Ley de Transparencia y Acceso a la Información Pública del Estado de México y Municipios, este Instituto considera procedente </w:t>
      </w:r>
      <w:r>
        <w:rPr>
          <w:b/>
          <w:bCs/>
        </w:rPr>
        <w:t>REVOCAR</w:t>
      </w:r>
      <w:r>
        <w:t xml:space="preserve"> la respuesta otorgada por el Sujeto Obligado, a efecto de que entregue, lo requerido.</w:t>
      </w:r>
    </w:p>
    <w:p w:rsidR="00FF73DC" w:rsidRDefault="00FF73DC">
      <w:pPr>
        <w:spacing w:after="0" w:line="360" w:lineRule="auto"/>
      </w:pPr>
    </w:p>
    <w:p w:rsidR="00FF73DC" w:rsidRDefault="000605F1">
      <w:pPr>
        <w:spacing w:after="0" w:line="360" w:lineRule="auto"/>
        <w:rPr>
          <w:b/>
          <w:bCs/>
          <w:color w:val="000000"/>
        </w:rPr>
      </w:pPr>
      <w:r>
        <w:rPr>
          <w:b/>
          <w:bCs/>
          <w:color w:val="000000"/>
        </w:rPr>
        <w:t>Términos de la Resolución para conocimiento del Particular</w:t>
      </w:r>
    </w:p>
    <w:p w:rsidR="00FF73DC" w:rsidRDefault="00FF73DC">
      <w:pPr>
        <w:spacing w:after="0" w:line="360" w:lineRule="auto"/>
        <w:rPr>
          <w:b/>
          <w:bCs/>
          <w:color w:val="000000"/>
        </w:rPr>
      </w:pPr>
    </w:p>
    <w:p w:rsidR="00FF73DC" w:rsidRDefault="000605F1">
      <w:pPr>
        <w:spacing w:after="0" w:line="360" w:lineRule="auto"/>
        <w:rPr>
          <w:color w:val="000000"/>
        </w:rPr>
      </w:pPr>
      <w:r>
        <w:rPr>
          <w:color w:val="000000"/>
        </w:rPr>
        <w:t>Se le hace del conocimiento al Particular, que, en el presente caso, se le da la razón, pues el Sujeto Obligado omitió proporcionar la información de manera completa. 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rsidR="00FF73DC" w:rsidRDefault="00FF73DC">
      <w:pPr>
        <w:spacing w:after="0" w:line="360" w:lineRule="auto"/>
        <w:rPr>
          <w:color w:val="000000"/>
        </w:rPr>
      </w:pPr>
    </w:p>
    <w:p w:rsidR="00FF73DC" w:rsidRDefault="000605F1">
      <w:pPr>
        <w:spacing w:after="0" w:line="360" w:lineRule="auto"/>
        <w:rPr>
          <w:color w:val="000000"/>
        </w:rPr>
      </w:pPr>
      <w:r>
        <w:rPr>
          <w:color w:val="000000"/>
        </w:rPr>
        <w:t>Por lo expuesto y fundado, este Pleno:</w:t>
      </w:r>
    </w:p>
    <w:p w:rsidR="00FF73DC" w:rsidRDefault="00FF73DC">
      <w:pPr>
        <w:spacing w:after="0" w:line="360" w:lineRule="auto"/>
        <w:rPr>
          <w:color w:val="000000"/>
        </w:rPr>
      </w:pPr>
    </w:p>
    <w:p w:rsidR="00FF73DC" w:rsidRDefault="000605F1">
      <w:pPr>
        <w:pStyle w:val="Ttulo1"/>
        <w:spacing w:before="0" w:line="360" w:lineRule="auto"/>
        <w:jc w:val="center"/>
        <w:rPr>
          <w:rFonts w:ascii="Palatino Linotype" w:eastAsia="Palatino Linotype" w:hAnsi="Palatino Linotype" w:cs="Palatino Linotype"/>
          <w:b/>
          <w:bCs/>
          <w:color w:val="000000"/>
          <w:sz w:val="22"/>
          <w:szCs w:val="22"/>
        </w:rPr>
      </w:pPr>
      <w:bookmarkStart w:id="18" w:name="_heading=h.p2edezmh5hu5" w:colFirst="0" w:colLast="0"/>
      <w:bookmarkEnd w:id="18"/>
      <w:r>
        <w:rPr>
          <w:rFonts w:ascii="Palatino Linotype" w:eastAsia="Palatino Linotype" w:hAnsi="Palatino Linotype" w:cs="Palatino Linotype"/>
          <w:b/>
          <w:bCs/>
          <w:color w:val="000000"/>
          <w:sz w:val="22"/>
          <w:szCs w:val="22"/>
        </w:rPr>
        <w:t>R E S U E L V E:</w:t>
      </w:r>
    </w:p>
    <w:p w:rsidR="00FF73DC" w:rsidRDefault="00FF73DC">
      <w:pPr>
        <w:spacing w:after="0" w:line="360" w:lineRule="auto"/>
        <w:ind w:right="-91"/>
        <w:jc w:val="center"/>
        <w:rPr>
          <w:b/>
          <w:bCs/>
          <w:color w:val="000000"/>
        </w:rPr>
      </w:pPr>
    </w:p>
    <w:p w:rsidR="00FF73DC" w:rsidRDefault="000605F1">
      <w:pPr>
        <w:spacing w:after="0" w:line="360" w:lineRule="auto"/>
      </w:pPr>
      <w:r>
        <w:rPr>
          <w:b/>
          <w:bCs/>
        </w:rPr>
        <w:t xml:space="preserve">PRIMERO. . </w:t>
      </w:r>
      <w:r>
        <w:t xml:space="preserve">Se </w:t>
      </w:r>
      <w:r>
        <w:rPr>
          <w:b/>
          <w:bCs/>
        </w:rPr>
        <w:t>REVOCA</w:t>
      </w:r>
      <w:r>
        <w:t xml:space="preserve"> la respuesta entregada por el Ayuntamiento de Zinacantepec, a la solicitud de información </w:t>
      </w:r>
      <w:r>
        <w:rPr>
          <w:color w:val="000000"/>
        </w:rPr>
        <w:t>00144/ZINACANT/IP/2025</w:t>
      </w:r>
      <w:r>
        <w:t xml:space="preserve">, por resultar </w:t>
      </w:r>
      <w:r>
        <w:rPr>
          <w:b/>
          <w:bCs/>
        </w:rPr>
        <w:t xml:space="preserve">FUNDADAS </w:t>
      </w:r>
      <w:r>
        <w:t>las razones o motivos de inconformidad hechos valer por la persona Recurrente, en términos de los considerandos QUINTO y SEXTO de la presente Resolución.</w:t>
      </w:r>
    </w:p>
    <w:p w:rsidR="00FF73DC" w:rsidRDefault="00FF73DC">
      <w:pPr>
        <w:spacing w:after="0" w:line="360" w:lineRule="auto"/>
      </w:pPr>
    </w:p>
    <w:p w:rsidR="00FF73DC" w:rsidRDefault="000605F1">
      <w:pPr>
        <w:spacing w:after="0" w:line="360" w:lineRule="auto"/>
      </w:pPr>
      <w:r>
        <w:rPr>
          <w:b/>
          <w:bCs/>
          <w:color w:val="000000"/>
        </w:rPr>
        <w:t xml:space="preserve">SEGUNDO. </w:t>
      </w:r>
      <w:r>
        <w:t xml:space="preserve">Se </w:t>
      </w:r>
      <w:r>
        <w:rPr>
          <w:b/>
          <w:bCs/>
        </w:rPr>
        <w:t>ORDENA</w:t>
      </w:r>
      <w:r>
        <w:t xml:space="preserve"> al Ente Recurrido</w:t>
      </w:r>
      <w:r>
        <w:rPr>
          <w:b/>
          <w:bCs/>
        </w:rPr>
        <w:t xml:space="preserve">, </w:t>
      </w:r>
      <w:r>
        <w:t>a efecto de que previa búsqueda exhaustiva y razonable, en los archivos de las unidades administrativas competentes, entregue a través del Sistema de Acceso a la Información Mexiquense (SAIMEX), en su caso, en versión pública, lo siguiente:</w:t>
      </w:r>
    </w:p>
    <w:p w:rsidR="00FF73DC" w:rsidRDefault="00FF73DC">
      <w:pPr>
        <w:spacing w:after="0" w:line="360" w:lineRule="auto"/>
      </w:pPr>
    </w:p>
    <w:p w:rsidR="00FF73DC" w:rsidRDefault="000605F1">
      <w:pPr>
        <w:numPr>
          <w:ilvl w:val="0"/>
          <w:numId w:val="7"/>
        </w:numPr>
        <w:pBdr>
          <w:top w:val="nil"/>
          <w:left w:val="nil"/>
          <w:bottom w:val="nil"/>
          <w:right w:val="nil"/>
          <w:between w:val="nil"/>
        </w:pBdr>
        <w:spacing w:after="0" w:line="360" w:lineRule="auto"/>
        <w:ind w:left="851" w:right="-28"/>
      </w:pPr>
      <w:r>
        <w:rPr>
          <w:color w:val="000000"/>
        </w:rPr>
        <w:t xml:space="preserve">Los contratos y convenios celebrados entre el Ayuntamiento y Empresas privadas, del primero de enero al </w:t>
      </w:r>
      <w:r w:rsidR="00361E13">
        <w:rPr>
          <w:color w:val="000000"/>
        </w:rPr>
        <w:t>veinticinco</w:t>
      </w:r>
      <w:r>
        <w:rPr>
          <w:color w:val="000000"/>
        </w:rPr>
        <w:t xml:space="preserve"> de marzo de dos mil veinticinco.</w:t>
      </w:r>
    </w:p>
    <w:p w:rsidR="00FF73DC" w:rsidRDefault="00FF73DC">
      <w:pPr>
        <w:pBdr>
          <w:top w:val="nil"/>
          <w:left w:val="nil"/>
          <w:bottom w:val="nil"/>
          <w:right w:val="nil"/>
          <w:between w:val="nil"/>
        </w:pBdr>
        <w:spacing w:after="0" w:line="360" w:lineRule="auto"/>
        <w:ind w:left="851" w:right="-28"/>
      </w:pPr>
    </w:p>
    <w:p w:rsidR="00FF73DC" w:rsidRDefault="000605F1">
      <w:pPr>
        <w:spacing w:after="0" w:line="360" w:lineRule="auto"/>
        <w:ind w:right="-91"/>
      </w:pPr>
      <w:r>
        <w:t>Además, de ser necesario, deberá proporcionar el Acuerdo de Clasificación donde el Comité de Transparencia, confirme la eliminación de los datos o información, en la versión pública, de conformidad con los artículos 49, fracciones II y VIII, 132, fracción II y 143, fracción I, de la Ley de Transparencia y Acceso a la Información Pública del Estado de México y Municipios.</w:t>
      </w:r>
    </w:p>
    <w:p w:rsidR="00FF73DC" w:rsidRDefault="00FF73DC">
      <w:pPr>
        <w:spacing w:after="0" w:line="360" w:lineRule="auto"/>
        <w:ind w:right="-91"/>
      </w:pPr>
    </w:p>
    <w:p w:rsidR="00FF73DC" w:rsidRDefault="000605F1">
      <w:pPr>
        <w:spacing w:after="0" w:line="360" w:lineRule="auto"/>
        <w:ind w:right="-91"/>
      </w:pPr>
      <w:r>
        <w:t>Para el caso, de que no haya celebrado convenios, durante el periodo solicitado, deberá hacerlo del conocimiento de la parte Recurrente, de manera clara y precisa.</w:t>
      </w:r>
    </w:p>
    <w:p w:rsidR="00FF73DC" w:rsidRDefault="00FF73DC">
      <w:pPr>
        <w:spacing w:after="0" w:line="360" w:lineRule="auto"/>
        <w:ind w:right="-91"/>
      </w:pPr>
    </w:p>
    <w:p w:rsidR="00FF73DC" w:rsidRDefault="000605F1">
      <w:pPr>
        <w:spacing w:after="0" w:line="360" w:lineRule="auto"/>
        <w:ind w:right="-28"/>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rsidR="00FF73DC" w:rsidRDefault="00FF73DC">
      <w:pPr>
        <w:spacing w:after="0" w:line="360" w:lineRule="auto"/>
        <w:ind w:right="-28"/>
      </w:pPr>
    </w:p>
    <w:p w:rsidR="00FF73DC" w:rsidRDefault="000605F1">
      <w:pPr>
        <w:spacing w:after="0" w:line="360" w:lineRule="auto"/>
        <w:ind w:right="-28"/>
      </w:pPr>
      <w:r>
        <w:t>De conformidad con el artículo 198 de la Ley de la materia, de considerarlo procedente, el Sujeto Obligado de manera fundada y motivada, podrá solicitar una ampliación de plazo para el cumplimiento de la presente resolución.</w:t>
      </w:r>
    </w:p>
    <w:p w:rsidR="00FF73DC" w:rsidRDefault="000605F1">
      <w:pPr>
        <w:tabs>
          <w:tab w:val="left" w:pos="6882"/>
        </w:tabs>
        <w:spacing w:after="0" w:line="360" w:lineRule="auto"/>
      </w:pPr>
      <w:r>
        <w:tab/>
      </w:r>
    </w:p>
    <w:p w:rsidR="00FF73DC" w:rsidRDefault="000605F1">
      <w:pPr>
        <w:spacing w:after="0" w:line="360" w:lineRule="auto"/>
      </w:pPr>
      <w:r>
        <w:rPr>
          <w:b/>
          <w:bCs/>
        </w:rPr>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FF73DC" w:rsidRDefault="00FF73DC">
      <w:pPr>
        <w:spacing w:after="0" w:line="360" w:lineRule="auto"/>
        <w:rPr>
          <w:b/>
          <w:bCs/>
        </w:rPr>
      </w:pPr>
    </w:p>
    <w:p w:rsidR="00FF73DC" w:rsidRDefault="000605F1">
      <w:pPr>
        <w:spacing w:after="0" w:line="360" w:lineRule="auto"/>
        <w:rPr>
          <w:color w:val="FF0000"/>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w:t>
      </w:r>
      <w:r w:rsidR="009B6908">
        <w:t>RISTINA MORALES MARTÍNEZ</w:t>
      </w:r>
      <w:bookmarkStart w:id="19" w:name="_GoBack"/>
      <w:bookmarkEnd w:id="19"/>
      <w:r>
        <w:t>, LUIS GUSTAVO PARRA NORIEGA Y GUADALUPE RAMÍREZ PEÑA, EN LA CUADRAGÉSIMA TERCERA SESIÓN ORDINARIA, CELEBRADA EL TRES DE DICIEMBRE DE DOS MIL VEINTICINCO, ANTE EL SECRETARIO TÉCNICO DEL PLENO, ALEXIS TAPIA RAMÍREZ.</w:t>
      </w:r>
    </w:p>
    <w:p w:rsidR="00FF73DC" w:rsidRDefault="00FF73DC">
      <w:pPr>
        <w:spacing w:after="0" w:line="360" w:lineRule="auto"/>
        <w:rPr>
          <w:color w:val="FF0000"/>
        </w:rPr>
      </w:pPr>
    </w:p>
    <w:p w:rsidR="00FF73DC" w:rsidRDefault="00FF73DC">
      <w:pPr>
        <w:spacing w:after="0" w:line="360" w:lineRule="auto"/>
        <w:rPr>
          <w:color w:val="FF0000"/>
        </w:rPr>
      </w:pPr>
    </w:p>
    <w:p w:rsidR="00FF73DC" w:rsidRDefault="00FF73DC">
      <w:pPr>
        <w:spacing w:after="0" w:line="360" w:lineRule="auto"/>
        <w:rPr>
          <w:color w:val="FF0000"/>
        </w:rPr>
      </w:pPr>
    </w:p>
    <w:p w:rsidR="00FF73DC" w:rsidRDefault="00FF73DC">
      <w:pPr>
        <w:spacing w:after="0" w:line="360" w:lineRule="auto"/>
        <w:rPr>
          <w:color w:val="FF0000"/>
        </w:rPr>
      </w:pPr>
    </w:p>
    <w:p w:rsidR="00FF73DC" w:rsidRDefault="00FF73DC">
      <w:pPr>
        <w:spacing w:after="0" w:line="360" w:lineRule="auto"/>
        <w:rPr>
          <w:color w:val="FF0000"/>
        </w:rPr>
      </w:pPr>
    </w:p>
    <w:p w:rsidR="00FF73DC" w:rsidRDefault="00FF73DC">
      <w:pPr>
        <w:spacing w:after="0" w:line="360" w:lineRule="auto"/>
        <w:jc w:val="left"/>
        <w:rPr>
          <w:color w:val="FF0000"/>
        </w:rPr>
      </w:pPr>
    </w:p>
    <w:p w:rsidR="00FF73DC" w:rsidRDefault="00FF73DC">
      <w:pPr>
        <w:spacing w:after="0" w:line="360" w:lineRule="auto"/>
        <w:jc w:val="left"/>
        <w:rPr>
          <w:color w:val="FF0000"/>
        </w:rPr>
      </w:pPr>
    </w:p>
    <w:p w:rsidR="00FF73DC" w:rsidRDefault="00FF73DC">
      <w:pPr>
        <w:spacing w:after="0" w:line="360" w:lineRule="auto"/>
        <w:jc w:val="left"/>
        <w:rPr>
          <w:color w:val="FF0000"/>
        </w:rPr>
      </w:pPr>
    </w:p>
    <w:p w:rsidR="00FF73DC" w:rsidRDefault="00FF73DC">
      <w:pPr>
        <w:spacing w:after="0" w:line="360" w:lineRule="auto"/>
        <w:jc w:val="left"/>
        <w:rPr>
          <w:color w:val="FF0000"/>
        </w:rPr>
      </w:pPr>
    </w:p>
    <w:p w:rsidR="00FF73DC" w:rsidRDefault="00FF73DC">
      <w:pPr>
        <w:spacing w:after="0" w:line="360" w:lineRule="auto"/>
        <w:jc w:val="left"/>
        <w:rPr>
          <w:color w:val="FF0000"/>
        </w:rPr>
      </w:pPr>
    </w:p>
    <w:p w:rsidR="00FF73DC" w:rsidRDefault="00FF73DC">
      <w:pPr>
        <w:spacing w:after="0" w:line="360" w:lineRule="auto"/>
        <w:jc w:val="left"/>
        <w:rPr>
          <w:color w:val="FF0000"/>
        </w:rPr>
      </w:pPr>
    </w:p>
    <w:p w:rsidR="00FF73DC" w:rsidRDefault="00FF73DC">
      <w:pPr>
        <w:spacing w:after="0" w:line="360" w:lineRule="auto"/>
        <w:jc w:val="left"/>
        <w:rPr>
          <w:color w:val="FF0000"/>
        </w:rPr>
      </w:pPr>
    </w:p>
    <w:p w:rsidR="00FF73DC" w:rsidRDefault="00FF73DC">
      <w:pPr>
        <w:spacing w:after="0" w:line="360" w:lineRule="auto"/>
        <w:jc w:val="left"/>
        <w:rPr>
          <w:color w:val="FF0000"/>
        </w:rPr>
      </w:pPr>
    </w:p>
    <w:p w:rsidR="00FF73DC" w:rsidRDefault="00FF73DC">
      <w:pPr>
        <w:spacing w:after="0" w:line="360" w:lineRule="auto"/>
        <w:jc w:val="left"/>
        <w:rPr>
          <w:color w:val="FF0000"/>
        </w:rPr>
      </w:pPr>
    </w:p>
    <w:p w:rsidR="00FF73DC" w:rsidRDefault="00FF73DC">
      <w:pPr>
        <w:spacing w:after="0" w:line="360" w:lineRule="auto"/>
        <w:jc w:val="left"/>
        <w:rPr>
          <w:color w:val="FF0000"/>
        </w:rPr>
      </w:pPr>
    </w:p>
    <w:p w:rsidR="00FF73DC" w:rsidRDefault="00FF73DC">
      <w:pPr>
        <w:spacing w:after="0" w:line="360" w:lineRule="auto"/>
        <w:jc w:val="left"/>
        <w:rPr>
          <w:color w:val="FF0000"/>
        </w:rPr>
      </w:pPr>
    </w:p>
    <w:p w:rsidR="00FF73DC" w:rsidRDefault="00FF73DC">
      <w:pPr>
        <w:spacing w:after="0" w:line="360" w:lineRule="auto"/>
        <w:jc w:val="left"/>
        <w:rPr>
          <w:color w:val="FF0000"/>
        </w:rPr>
      </w:pPr>
    </w:p>
    <w:p w:rsidR="00FF73DC" w:rsidRDefault="00FF73DC">
      <w:pPr>
        <w:spacing w:after="0" w:line="360" w:lineRule="auto"/>
        <w:jc w:val="left"/>
        <w:rPr>
          <w:color w:val="FF0000"/>
        </w:rPr>
      </w:pPr>
    </w:p>
    <w:p w:rsidR="00FF73DC" w:rsidRDefault="00FF73DC">
      <w:pPr>
        <w:spacing w:after="0" w:line="360" w:lineRule="auto"/>
        <w:jc w:val="left"/>
        <w:rPr>
          <w:color w:val="FF0000"/>
        </w:rPr>
      </w:pPr>
    </w:p>
    <w:p w:rsidR="00FF73DC" w:rsidRDefault="00FF73DC">
      <w:pPr>
        <w:spacing w:after="0" w:line="360" w:lineRule="auto"/>
        <w:jc w:val="left"/>
        <w:rPr>
          <w:color w:val="FF0000"/>
        </w:rPr>
      </w:pPr>
    </w:p>
    <w:p w:rsidR="00FF73DC" w:rsidRDefault="00FF73DC">
      <w:pPr>
        <w:spacing w:after="0" w:line="360" w:lineRule="auto"/>
        <w:jc w:val="left"/>
        <w:rPr>
          <w:color w:val="FF0000"/>
        </w:rPr>
      </w:pPr>
    </w:p>
    <w:p w:rsidR="00FF73DC" w:rsidRDefault="00FF73DC">
      <w:pPr>
        <w:spacing w:after="0" w:line="360" w:lineRule="auto"/>
        <w:jc w:val="left"/>
        <w:rPr>
          <w:color w:val="FF0000"/>
        </w:rPr>
      </w:pPr>
    </w:p>
    <w:p w:rsidR="00FF73DC" w:rsidRDefault="00FF73DC">
      <w:pPr>
        <w:spacing w:after="0" w:line="360" w:lineRule="auto"/>
        <w:jc w:val="left"/>
        <w:rPr>
          <w:color w:val="FF0000"/>
        </w:rPr>
      </w:pPr>
    </w:p>
    <w:p w:rsidR="00FF73DC" w:rsidRDefault="00FF73DC">
      <w:pPr>
        <w:spacing w:after="0" w:line="360" w:lineRule="auto"/>
        <w:jc w:val="left"/>
        <w:rPr>
          <w:color w:val="FF0000"/>
        </w:rPr>
      </w:pPr>
    </w:p>
    <w:p w:rsidR="00FF73DC" w:rsidRDefault="00FF73DC">
      <w:pPr>
        <w:spacing w:after="0" w:line="360" w:lineRule="auto"/>
        <w:jc w:val="left"/>
        <w:rPr>
          <w:color w:val="FF0000"/>
        </w:rPr>
      </w:pPr>
    </w:p>
    <w:sectPr w:rsidR="00FF73DC">
      <w:headerReference w:type="even" r:id="rId17"/>
      <w:headerReference w:type="default" r:id="rId18"/>
      <w:footerReference w:type="even" r:id="rId19"/>
      <w:footerReference w:type="default" r:id="rId20"/>
      <w:headerReference w:type="first" r:id="rId21"/>
      <w:footerReference w:type="first" r:id="rId22"/>
      <w:pgSz w:w="12240" w:h="15840"/>
      <w:pgMar w:top="1418"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1CE" w:rsidRDefault="002841CE">
      <w:pPr>
        <w:spacing w:after="0" w:line="240" w:lineRule="auto"/>
      </w:pPr>
      <w:r>
        <w:separator/>
      </w:r>
    </w:p>
  </w:endnote>
  <w:endnote w:type="continuationSeparator" w:id="0">
    <w:p w:rsidR="002841CE" w:rsidRDefault="00284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EE177BFF-57BB-470B-B337-666B809793C9}"/>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AA2D39D9-67E7-4EB9-963E-09762FFD9E5C}"/>
    <w:embedBold r:id="rId3" w:fontKey="{EF11DD68-1691-44EA-87F6-3E609610C54E}"/>
    <w:embedItalic r:id="rId4" w:fontKey="{57B859C2-249E-487A-AFC8-D159D737237A}"/>
    <w:embedBoldItalic r:id="rId5" w:fontKey="{6F1C4ACF-308F-47D4-AF89-27F7C47A0857}"/>
  </w:font>
  <w:font w:name="Calibri">
    <w:panose1 w:val="020F0502020204030204"/>
    <w:charset w:val="00"/>
    <w:family w:val="swiss"/>
    <w:pitch w:val="variable"/>
    <w:sig w:usb0="E4002EFF" w:usb1="C200247B" w:usb2="00000009" w:usb3="00000000" w:csb0="000001FF" w:csb1="00000000"/>
    <w:embedRegular r:id="rId6" w:fontKey="{D360F71D-985E-4FFE-9E22-8BE47FBCA09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935DDCB3-4BB6-4B1E-9F0D-80D5EE47C62C}"/>
  </w:font>
  <w:font w:name="Georgia">
    <w:panose1 w:val="02040502050405020303"/>
    <w:charset w:val="00"/>
    <w:family w:val="roman"/>
    <w:pitch w:val="variable"/>
    <w:sig w:usb0="00000287" w:usb1="00000000" w:usb2="00000000" w:usb3="00000000" w:csb0="0000009F" w:csb1="00000000"/>
    <w:embedItalic r:id="rId8" w:fontKey="{E09C5535-4F74-4B52-A33B-57C646CCD010}"/>
  </w:font>
  <w:font w:name="Verdana">
    <w:panose1 w:val="020B0604030504040204"/>
    <w:charset w:val="00"/>
    <w:family w:val="swiss"/>
    <w:pitch w:val="variable"/>
    <w:sig w:usb0="A00006FF" w:usb1="4000205B" w:usb2="00000010" w:usb3="00000000" w:csb0="0000019F" w:csb1="00000000"/>
    <w:embedBold r:id="rId9" w:fontKey="{EC362E98-5C89-48C5-915F-0F19709AB9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3DC" w:rsidRDefault="000605F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8A5E84">
      <w:rPr>
        <w:b/>
        <w:bCs/>
        <w:color w:val="000000"/>
        <w:sz w:val="24"/>
        <w:szCs w:val="24"/>
      </w:rPr>
      <w:fldChar w:fldCharType="separate"/>
    </w:r>
    <w:r w:rsidR="008A5E84">
      <w:rPr>
        <w:b/>
        <w:bCs/>
        <w:noProof/>
        <w:color w:val="000000"/>
        <w:sz w:val="24"/>
        <w:szCs w:val="24"/>
      </w:rPr>
      <w:t>37</w:t>
    </w:r>
    <w:r>
      <w:rPr>
        <w:b/>
        <w:bCs/>
        <w:color w:val="000000"/>
        <w:sz w:val="24"/>
        <w:szCs w:val="24"/>
      </w:rPr>
      <w:fldChar w:fldCharType="end"/>
    </w:r>
  </w:p>
  <w:p w:rsidR="00FF73DC" w:rsidRDefault="00FF73D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3DC" w:rsidRDefault="000605F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A5E84">
      <w:rPr>
        <w:b/>
        <w:bCs/>
        <w:noProof/>
        <w:color w:val="000000"/>
        <w:sz w:val="24"/>
        <w:szCs w:val="24"/>
      </w:rPr>
      <w:t>36</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A5E84">
      <w:rPr>
        <w:b/>
        <w:bCs/>
        <w:noProof/>
        <w:color w:val="000000"/>
        <w:sz w:val="24"/>
        <w:szCs w:val="24"/>
      </w:rPr>
      <w:t>37</w:t>
    </w:r>
    <w:r>
      <w:rPr>
        <w:b/>
        <w:bCs/>
        <w:color w:val="000000"/>
        <w:sz w:val="24"/>
        <w:szCs w:val="24"/>
      </w:rPr>
      <w:fldChar w:fldCharType="end"/>
    </w:r>
  </w:p>
  <w:p w:rsidR="00FF73DC" w:rsidRDefault="00FF73DC">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3DC" w:rsidRDefault="000605F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A5E84">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A5E84">
      <w:rPr>
        <w:b/>
        <w:bCs/>
        <w:noProof/>
        <w:color w:val="000000"/>
        <w:sz w:val="24"/>
        <w:szCs w:val="24"/>
      </w:rPr>
      <w:t>37</w:t>
    </w:r>
    <w:r>
      <w:rPr>
        <w:b/>
        <w:bCs/>
        <w:color w:val="000000"/>
        <w:sz w:val="24"/>
        <w:szCs w:val="24"/>
      </w:rPr>
      <w:fldChar w:fldCharType="end"/>
    </w:r>
  </w:p>
  <w:p w:rsidR="00FF73DC" w:rsidRDefault="00FF73D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1CE" w:rsidRDefault="002841CE">
      <w:pPr>
        <w:spacing w:after="0" w:line="240" w:lineRule="auto"/>
      </w:pPr>
      <w:r>
        <w:separator/>
      </w:r>
    </w:p>
  </w:footnote>
  <w:footnote w:type="continuationSeparator" w:id="0">
    <w:p w:rsidR="002841CE" w:rsidRDefault="002841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3DC" w:rsidRDefault="00FF73DC">
    <w:pPr>
      <w:widowControl w:val="0"/>
      <w:pBdr>
        <w:top w:val="nil"/>
        <w:left w:val="nil"/>
        <w:bottom w:val="nil"/>
        <w:right w:val="nil"/>
        <w:between w:val="nil"/>
      </w:pBdr>
      <w:spacing w:after="0" w:line="276" w:lineRule="auto"/>
      <w:jc w:val="left"/>
      <w:rPr>
        <w:color w:val="FF0000"/>
      </w:rPr>
    </w:pPr>
  </w:p>
  <w:tbl>
    <w:tblPr>
      <w:tblStyle w:val="a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FF73DC">
      <w:trPr>
        <w:trHeight w:val="132"/>
      </w:trPr>
      <w:tc>
        <w:tcPr>
          <w:tcW w:w="0" w:type="auto"/>
        </w:tcPr>
        <w:p w:rsidR="00FF73DC" w:rsidRDefault="000605F1">
          <w:pPr>
            <w:tabs>
              <w:tab w:val="right" w:pos="8838"/>
            </w:tabs>
            <w:ind w:right="-105"/>
            <w:rPr>
              <w:b/>
              <w:bCs/>
            </w:rPr>
          </w:pPr>
          <w:r>
            <w:rPr>
              <w:b/>
              <w:bCs/>
            </w:rPr>
            <w:t>Recurso de Revisión:</w:t>
          </w:r>
        </w:p>
      </w:tc>
      <w:tc>
        <w:tcPr>
          <w:tcW w:w="0" w:type="auto"/>
        </w:tcPr>
        <w:p w:rsidR="00FF73DC" w:rsidRDefault="000605F1">
          <w:pPr>
            <w:tabs>
              <w:tab w:val="right" w:pos="8838"/>
            </w:tabs>
            <w:ind w:left="-28" w:right="-32"/>
          </w:pPr>
          <w:r>
            <w:t>03846/INFOEM/IP/RR/2020</w:t>
          </w:r>
        </w:p>
      </w:tc>
    </w:tr>
    <w:tr w:rsidR="00FF73DC">
      <w:trPr>
        <w:trHeight w:val="261"/>
      </w:trPr>
      <w:tc>
        <w:tcPr>
          <w:tcW w:w="0" w:type="auto"/>
        </w:tcPr>
        <w:p w:rsidR="00FF73DC" w:rsidRDefault="000605F1">
          <w:pPr>
            <w:tabs>
              <w:tab w:val="right" w:pos="8838"/>
            </w:tabs>
            <w:ind w:right="-105"/>
            <w:rPr>
              <w:b/>
              <w:bCs/>
            </w:rPr>
          </w:pPr>
          <w:r>
            <w:rPr>
              <w:b/>
              <w:bCs/>
            </w:rPr>
            <w:t>Sujeto Obligado:</w:t>
          </w:r>
        </w:p>
      </w:tc>
      <w:tc>
        <w:tcPr>
          <w:tcW w:w="0" w:type="auto"/>
        </w:tcPr>
        <w:p w:rsidR="00FF73DC" w:rsidRDefault="000605F1">
          <w:pPr>
            <w:tabs>
              <w:tab w:val="right" w:pos="8838"/>
            </w:tabs>
            <w:ind w:right="-32"/>
          </w:pPr>
          <w:r>
            <w:t xml:space="preserve">Ayuntamiento de </w:t>
          </w:r>
          <w:proofErr w:type="spellStart"/>
          <w:r>
            <w:t>Temascalcingo</w:t>
          </w:r>
          <w:proofErr w:type="spellEnd"/>
        </w:p>
      </w:tc>
    </w:tr>
    <w:tr w:rsidR="00FF73DC">
      <w:trPr>
        <w:trHeight w:val="261"/>
      </w:trPr>
      <w:tc>
        <w:tcPr>
          <w:tcW w:w="0" w:type="auto"/>
        </w:tcPr>
        <w:p w:rsidR="00FF73DC" w:rsidRDefault="000605F1">
          <w:pPr>
            <w:tabs>
              <w:tab w:val="right" w:pos="8838"/>
            </w:tabs>
            <w:ind w:right="-105"/>
            <w:rPr>
              <w:b/>
              <w:bCs/>
            </w:rPr>
          </w:pPr>
          <w:r>
            <w:rPr>
              <w:b/>
              <w:bCs/>
            </w:rPr>
            <w:t>Comisionado Ponente:</w:t>
          </w:r>
        </w:p>
      </w:tc>
      <w:tc>
        <w:tcPr>
          <w:tcW w:w="0" w:type="auto"/>
        </w:tcPr>
        <w:p w:rsidR="00FF73DC" w:rsidRDefault="000605F1">
          <w:pPr>
            <w:tabs>
              <w:tab w:val="right" w:pos="8838"/>
            </w:tabs>
            <w:ind w:right="-32"/>
            <w:rPr>
              <w:b/>
              <w:bCs/>
            </w:rPr>
          </w:pPr>
          <w:r>
            <w:t>Luis Gustavo Parra Noriega</w:t>
          </w:r>
        </w:p>
      </w:tc>
    </w:tr>
  </w:tbl>
  <w:p w:rsidR="00FF73DC" w:rsidRDefault="002841CE">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3DC" w:rsidRDefault="00FF73DC">
    <w:pPr>
      <w:widowControl w:val="0"/>
      <w:pBdr>
        <w:top w:val="nil"/>
        <w:left w:val="nil"/>
        <w:bottom w:val="nil"/>
        <w:right w:val="nil"/>
        <w:between w:val="nil"/>
      </w:pBdr>
      <w:spacing w:after="0" w:line="276" w:lineRule="auto"/>
      <w:jc w:val="left"/>
      <w:rPr>
        <w:color w:val="000000"/>
      </w:rPr>
    </w:pPr>
  </w:p>
  <w:tbl>
    <w:tblPr>
      <w:tblStyle w:val="a3"/>
      <w:tblW w:w="6461"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705"/>
      <w:gridCol w:w="3756"/>
    </w:tblGrid>
    <w:tr w:rsidR="00FF73DC">
      <w:trPr>
        <w:trHeight w:val="152"/>
      </w:trPr>
      <w:tc>
        <w:tcPr>
          <w:tcW w:w="2705" w:type="dxa"/>
          <w:vAlign w:val="center"/>
        </w:tcPr>
        <w:p w:rsidR="00FF73DC" w:rsidRDefault="000605F1">
          <w:pPr>
            <w:tabs>
              <w:tab w:val="right" w:pos="8838"/>
            </w:tabs>
            <w:ind w:right="-105"/>
            <w:jc w:val="left"/>
            <w:rPr>
              <w:b/>
              <w:bCs/>
            </w:rPr>
          </w:pPr>
          <w:r>
            <w:rPr>
              <w:b/>
              <w:bCs/>
            </w:rPr>
            <w:t>Recurso de Revisión:</w:t>
          </w:r>
        </w:p>
      </w:tc>
      <w:tc>
        <w:tcPr>
          <w:tcW w:w="3756" w:type="dxa"/>
        </w:tcPr>
        <w:p w:rsidR="00FF73DC" w:rsidRDefault="000605F1">
          <w:pPr>
            <w:tabs>
              <w:tab w:val="right" w:pos="8838"/>
            </w:tabs>
            <w:ind w:left="-113" w:right="57"/>
          </w:pPr>
          <w:r>
            <w:t xml:space="preserve">05126/INFOEM/IP/RR/2025 </w:t>
          </w:r>
        </w:p>
      </w:tc>
    </w:tr>
    <w:tr w:rsidR="00FF73DC">
      <w:trPr>
        <w:trHeight w:val="301"/>
      </w:trPr>
      <w:tc>
        <w:tcPr>
          <w:tcW w:w="2705" w:type="dxa"/>
        </w:tcPr>
        <w:p w:rsidR="00FF73DC" w:rsidRDefault="000605F1">
          <w:pPr>
            <w:tabs>
              <w:tab w:val="right" w:pos="8838"/>
            </w:tabs>
            <w:ind w:right="-105"/>
            <w:rPr>
              <w:b/>
              <w:bCs/>
            </w:rPr>
          </w:pPr>
          <w:r>
            <w:rPr>
              <w:b/>
              <w:bCs/>
            </w:rPr>
            <w:t>Sujeto Obligado:</w:t>
          </w:r>
        </w:p>
      </w:tc>
      <w:tc>
        <w:tcPr>
          <w:tcW w:w="3756" w:type="dxa"/>
        </w:tcPr>
        <w:p w:rsidR="00FF73DC" w:rsidRDefault="000605F1">
          <w:pPr>
            <w:tabs>
              <w:tab w:val="right" w:pos="8838"/>
            </w:tabs>
            <w:ind w:left="-113" w:right="-170"/>
          </w:pPr>
          <w:r>
            <w:rPr>
              <w:color w:val="000000"/>
            </w:rPr>
            <w:t>Ayuntamiento de Zinacantepec</w:t>
          </w:r>
        </w:p>
      </w:tc>
    </w:tr>
    <w:tr w:rsidR="00FF73DC">
      <w:trPr>
        <w:trHeight w:val="301"/>
      </w:trPr>
      <w:tc>
        <w:tcPr>
          <w:tcW w:w="2705" w:type="dxa"/>
        </w:tcPr>
        <w:p w:rsidR="00FF73DC" w:rsidRDefault="000605F1">
          <w:pPr>
            <w:tabs>
              <w:tab w:val="right" w:pos="8838"/>
            </w:tabs>
            <w:ind w:right="-105"/>
            <w:rPr>
              <w:b/>
              <w:bCs/>
            </w:rPr>
          </w:pPr>
          <w:r>
            <w:rPr>
              <w:b/>
              <w:bCs/>
            </w:rPr>
            <w:t>Comisionado Ponente:</w:t>
          </w:r>
        </w:p>
      </w:tc>
      <w:tc>
        <w:tcPr>
          <w:tcW w:w="3756" w:type="dxa"/>
        </w:tcPr>
        <w:p w:rsidR="00FF73DC" w:rsidRDefault="000605F1">
          <w:pPr>
            <w:tabs>
              <w:tab w:val="right" w:pos="8838"/>
            </w:tabs>
            <w:ind w:left="-113" w:right="-170"/>
            <w:rPr>
              <w:b/>
              <w:bCs/>
            </w:rPr>
          </w:pPr>
          <w:r>
            <w:t>Luis Gustavo Parra Noriega</w:t>
          </w:r>
        </w:p>
      </w:tc>
    </w:tr>
  </w:tbl>
  <w:p w:rsidR="00FF73DC" w:rsidRDefault="002841CE">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3DC" w:rsidRDefault="002841CE">
    <w:pPr>
      <w:widowControl w:val="0"/>
      <w:pBdr>
        <w:top w:val="nil"/>
        <w:left w:val="nil"/>
        <w:bottom w:val="nil"/>
        <w:right w:val="nil"/>
        <w:between w:val="nil"/>
      </w:pBdr>
      <w:spacing w:after="0" w:line="276" w:lineRule="auto"/>
      <w:jc w:val="left"/>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margin-left:-57.15pt;margin-top:-123.5pt;width:663.5pt;height:12in;z-index:-251658752;mso-position-horizontal:absolute;mso-position-horizontal-relative:margin;mso-position-vertical:absolute;mso-position-vertical-relative:margin">
          <v:imagedata r:id="rId1" o:title="image4"/>
          <w10:wrap anchorx="margin" anchory="margin"/>
        </v:shape>
      </w:pict>
    </w:r>
  </w:p>
  <w:tbl>
    <w:tblPr>
      <w:tblStyle w:val="a4"/>
      <w:tblW w:w="6378"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3827"/>
    </w:tblGrid>
    <w:tr w:rsidR="00FF73DC">
      <w:trPr>
        <w:trHeight w:val="132"/>
      </w:trPr>
      <w:tc>
        <w:tcPr>
          <w:tcW w:w="2551" w:type="dxa"/>
        </w:tcPr>
        <w:p w:rsidR="00FF73DC" w:rsidRDefault="000605F1">
          <w:pPr>
            <w:tabs>
              <w:tab w:val="right" w:pos="8838"/>
            </w:tabs>
            <w:ind w:right="-105"/>
            <w:rPr>
              <w:b/>
              <w:bCs/>
            </w:rPr>
          </w:pPr>
          <w:r>
            <w:rPr>
              <w:b/>
              <w:bCs/>
            </w:rPr>
            <w:t>Recurso de Revisión:</w:t>
          </w:r>
        </w:p>
      </w:tc>
      <w:tc>
        <w:tcPr>
          <w:tcW w:w="3827" w:type="dxa"/>
        </w:tcPr>
        <w:p w:rsidR="00FF73DC" w:rsidRDefault="000605F1">
          <w:pPr>
            <w:tabs>
              <w:tab w:val="right" w:pos="8838"/>
            </w:tabs>
            <w:ind w:left="-111" w:right="-32"/>
          </w:pPr>
          <w:r>
            <w:t xml:space="preserve">05126/INFOEM/IP/RR/2025 </w:t>
          </w:r>
        </w:p>
      </w:tc>
    </w:tr>
    <w:tr w:rsidR="00FF73DC">
      <w:trPr>
        <w:trHeight w:val="132"/>
      </w:trPr>
      <w:tc>
        <w:tcPr>
          <w:tcW w:w="2551" w:type="dxa"/>
          <w:shd w:val="clear" w:color="auto" w:fill="auto"/>
        </w:tcPr>
        <w:p w:rsidR="00FF73DC" w:rsidRDefault="000605F1">
          <w:pPr>
            <w:tabs>
              <w:tab w:val="left" w:pos="1875"/>
            </w:tabs>
            <w:ind w:right="-105"/>
            <w:rPr>
              <w:b/>
              <w:bCs/>
            </w:rPr>
          </w:pPr>
          <w:r>
            <w:rPr>
              <w:b/>
              <w:bCs/>
            </w:rPr>
            <w:t>Recurrente:</w:t>
          </w:r>
          <w:r>
            <w:rPr>
              <w:b/>
              <w:bCs/>
            </w:rPr>
            <w:tab/>
          </w:r>
        </w:p>
      </w:tc>
      <w:tc>
        <w:tcPr>
          <w:tcW w:w="3827" w:type="dxa"/>
          <w:shd w:val="clear" w:color="auto" w:fill="auto"/>
        </w:tcPr>
        <w:p w:rsidR="00FF73DC" w:rsidRDefault="00FF73DC">
          <w:pPr>
            <w:tabs>
              <w:tab w:val="right" w:pos="8838"/>
            </w:tabs>
            <w:ind w:left="-113"/>
          </w:pPr>
        </w:p>
      </w:tc>
    </w:tr>
    <w:tr w:rsidR="00FF73DC">
      <w:trPr>
        <w:trHeight w:val="261"/>
      </w:trPr>
      <w:tc>
        <w:tcPr>
          <w:tcW w:w="2551" w:type="dxa"/>
        </w:tcPr>
        <w:p w:rsidR="00FF73DC" w:rsidRDefault="000605F1">
          <w:pPr>
            <w:tabs>
              <w:tab w:val="right" w:pos="8838"/>
            </w:tabs>
            <w:ind w:right="-105"/>
            <w:rPr>
              <w:b/>
              <w:bCs/>
            </w:rPr>
          </w:pPr>
          <w:r>
            <w:rPr>
              <w:b/>
              <w:bCs/>
            </w:rPr>
            <w:t>Sujeto Obligado:</w:t>
          </w:r>
        </w:p>
      </w:tc>
      <w:tc>
        <w:tcPr>
          <w:tcW w:w="3827" w:type="dxa"/>
        </w:tcPr>
        <w:p w:rsidR="00FF73DC" w:rsidRDefault="000605F1">
          <w:pPr>
            <w:tabs>
              <w:tab w:val="right" w:pos="8838"/>
            </w:tabs>
            <w:ind w:left="-111" w:right="-32"/>
          </w:pPr>
          <w:r>
            <w:rPr>
              <w:color w:val="000000"/>
            </w:rPr>
            <w:t>Ayuntamiento de Zinacantepec</w:t>
          </w:r>
        </w:p>
      </w:tc>
    </w:tr>
    <w:tr w:rsidR="00FF73DC">
      <w:trPr>
        <w:trHeight w:val="261"/>
      </w:trPr>
      <w:tc>
        <w:tcPr>
          <w:tcW w:w="2551" w:type="dxa"/>
        </w:tcPr>
        <w:p w:rsidR="00FF73DC" w:rsidRDefault="000605F1">
          <w:pPr>
            <w:tabs>
              <w:tab w:val="right" w:pos="8838"/>
            </w:tabs>
            <w:ind w:right="-105"/>
            <w:rPr>
              <w:b/>
              <w:bCs/>
            </w:rPr>
          </w:pPr>
          <w:r>
            <w:rPr>
              <w:b/>
              <w:bCs/>
            </w:rPr>
            <w:t>Comisionado Ponente:</w:t>
          </w:r>
        </w:p>
      </w:tc>
      <w:tc>
        <w:tcPr>
          <w:tcW w:w="3827" w:type="dxa"/>
        </w:tcPr>
        <w:p w:rsidR="00FF73DC" w:rsidRDefault="000605F1">
          <w:pPr>
            <w:tabs>
              <w:tab w:val="right" w:pos="8838"/>
            </w:tabs>
            <w:ind w:left="-111" w:right="-32"/>
            <w:rPr>
              <w:b/>
              <w:bCs/>
            </w:rPr>
          </w:pPr>
          <w:r>
            <w:t>Luis Gustavo Parra Noriega</w:t>
          </w:r>
        </w:p>
      </w:tc>
    </w:tr>
  </w:tbl>
  <w:p w:rsidR="00FF73DC" w:rsidRDefault="00FF73DC">
    <w:pPr>
      <w:pBdr>
        <w:top w:val="nil"/>
        <w:left w:val="nil"/>
        <w:bottom w:val="nil"/>
        <w:right w:val="nil"/>
        <w:between w:val="nil"/>
      </w:pBdr>
      <w:tabs>
        <w:tab w:val="center" w:pos="4419"/>
        <w:tab w:val="right" w:pos="8838"/>
        <w:tab w:val="left" w:pos="581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F16EC"/>
    <w:multiLevelType w:val="multilevel"/>
    <w:tmpl w:val="3BA451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561355D"/>
    <w:multiLevelType w:val="multilevel"/>
    <w:tmpl w:val="E5C0899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2405C7"/>
    <w:multiLevelType w:val="multilevel"/>
    <w:tmpl w:val="971A3DB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6C77A20"/>
    <w:multiLevelType w:val="multilevel"/>
    <w:tmpl w:val="F1C0D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EAE3E03"/>
    <w:multiLevelType w:val="multilevel"/>
    <w:tmpl w:val="783AAB4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4F9C4CB2"/>
    <w:multiLevelType w:val="multilevel"/>
    <w:tmpl w:val="1A2ED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33E154E"/>
    <w:multiLevelType w:val="multilevel"/>
    <w:tmpl w:val="1A5CB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6"/>
  </w:num>
  <w:num w:numId="3">
    <w:abstractNumId w:val="4"/>
  </w:num>
  <w:num w:numId="4">
    <w:abstractNumId w:val="2"/>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3DC"/>
    <w:rsid w:val="000605F1"/>
    <w:rsid w:val="002841CE"/>
    <w:rsid w:val="00361E13"/>
    <w:rsid w:val="008A5E84"/>
    <w:rsid w:val="009B6908"/>
    <w:rsid w:val="00B0706F"/>
    <w:rsid w:val="00F43656"/>
    <w:rsid w:val="00FF73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2FC4892-480A-45F7-9593-2ABEC9E7F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de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ebapps.condusef.gob.mx/SIPRES/jsp/pub/index.jsp"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hyperlink" Target="https://www.condusef.gob.mx/Revista/index.php/usuario-inteligente/condusef-responde/777-la-condusef-te-puede-ayudar"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F6nfWXl6pNHyOTAj9vkV4t/Pgw==">CgMxLjAyDmgub2I0d2U1ZHBmaWViMg5oLndjbjRicnoxNzFtazIOaC5jMDgzYmliemE5cjQyDmgudjBhcXJzcnNraG95Mg5oLnl4czg4N250aDhtajINaC5rdnhveGJ0Z3B3dTIOaC43MjdqMDhuOWxrOTUyDmguOG1vcWVhZnFxNjFlMg5oLmY2ZTB5N3Z2aWg1bDIOaC5lNWs3NjBnNTc0dnoyDmgubno4ZWJheTg2dGk1Mg5oLnhiNjEwZXlpb2p0bTIOaC41MHEyYjNwMzY0emoyDmguNDBsdXNyajhhd3Q5Mg5oLmw4M2s0cXg4cnB4eTIOaC5ha242Ym9kaG02aWoyDmgucnd0cHFicWdkdnY1Mg5oLjJsOWY5cDliZ3F1ZTIOaC5wMmVkZXptaDVodTU4AHIhMU9EN3E3RUVORlhrcEFKWVZhbVYwTTZoODRQRVZYVUt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8579</Words>
  <Characters>47185</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55653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3</cp:revision>
  <cp:lastPrinted>2025-12-05T16:22:00Z</cp:lastPrinted>
  <dcterms:created xsi:type="dcterms:W3CDTF">2025-12-05T16:22:00Z</dcterms:created>
  <dcterms:modified xsi:type="dcterms:W3CDTF">2025-12-05T16:22:00Z</dcterms:modified>
</cp:coreProperties>
</file>