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0D2F8D" w:rsidRDefault="001E3125">
      <w:pPr>
        <w:spacing w:line="360" w:lineRule="auto"/>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7E10E3" w:rsidRPr="000D2F8D">
        <w:rPr>
          <w:rFonts w:ascii="Palatino Linotype" w:eastAsia="Palatino Linotype" w:hAnsi="Palatino Linotype" w:cs="Palatino Linotype"/>
        </w:rPr>
        <w:t xml:space="preserve">veintiséis </w:t>
      </w:r>
      <w:r w:rsidR="00BE4003" w:rsidRPr="000D2F8D">
        <w:rPr>
          <w:rFonts w:ascii="Palatino Linotype" w:eastAsia="Palatino Linotype" w:hAnsi="Palatino Linotype" w:cs="Palatino Linotype"/>
        </w:rPr>
        <w:t>de marzo</w:t>
      </w:r>
      <w:r w:rsidR="00AE262A" w:rsidRPr="000D2F8D">
        <w:rPr>
          <w:rFonts w:ascii="Palatino Linotype" w:eastAsia="Palatino Linotype" w:hAnsi="Palatino Linotype" w:cs="Palatino Linotype"/>
        </w:rPr>
        <w:t xml:space="preserve"> de dos mil veinticinco</w:t>
      </w:r>
      <w:r w:rsidRPr="000D2F8D">
        <w:rPr>
          <w:rFonts w:ascii="Palatino Linotype" w:eastAsia="Palatino Linotype" w:hAnsi="Palatino Linotype" w:cs="Palatino Linotype"/>
        </w:rPr>
        <w:t>.</w:t>
      </w:r>
    </w:p>
    <w:p w:rsidR="00E94D86" w:rsidRPr="000D2F8D" w:rsidRDefault="00E94D86" w:rsidP="00C82ED1">
      <w:pPr>
        <w:jc w:val="both"/>
        <w:rPr>
          <w:rFonts w:ascii="Palatino Linotype" w:eastAsia="Palatino Linotype" w:hAnsi="Palatino Linotype" w:cs="Palatino Linotype"/>
        </w:rPr>
      </w:pPr>
    </w:p>
    <w:p w:rsidR="00E94D86" w:rsidRPr="000D2F8D" w:rsidRDefault="001E3125">
      <w:pPr>
        <w:spacing w:line="360" w:lineRule="auto"/>
        <w:jc w:val="both"/>
        <w:rPr>
          <w:rFonts w:ascii="Palatino Linotype" w:eastAsia="Palatino Linotype" w:hAnsi="Palatino Linotype" w:cs="Palatino Linotype"/>
        </w:rPr>
      </w:pPr>
      <w:r w:rsidRPr="000D2F8D">
        <w:rPr>
          <w:rFonts w:ascii="Palatino Linotype" w:eastAsia="Palatino Linotype" w:hAnsi="Palatino Linotype" w:cs="Palatino Linotype"/>
          <w:b/>
        </w:rPr>
        <w:t>VISTO</w:t>
      </w:r>
      <w:r w:rsidRPr="000D2F8D">
        <w:rPr>
          <w:rFonts w:ascii="Palatino Linotype" w:eastAsia="Palatino Linotype" w:hAnsi="Palatino Linotype" w:cs="Palatino Linotype"/>
        </w:rPr>
        <w:t xml:space="preserve"> el expediente electrónico formado con motivo del recurso de revisión </w:t>
      </w:r>
      <w:r w:rsidR="007E10E3" w:rsidRPr="000D2F8D">
        <w:rPr>
          <w:rFonts w:ascii="Palatino Linotype" w:eastAsia="Palatino Linotype" w:hAnsi="Palatino Linotype" w:cs="Palatino Linotype"/>
          <w:b/>
        </w:rPr>
        <w:t>00373/INFOEM/IP/RR/2025</w:t>
      </w:r>
      <w:r w:rsidRPr="000D2F8D">
        <w:rPr>
          <w:rFonts w:ascii="Palatino Linotype" w:eastAsia="Palatino Linotype" w:hAnsi="Palatino Linotype" w:cs="Palatino Linotype"/>
          <w:b/>
        </w:rPr>
        <w:t xml:space="preserve">, </w:t>
      </w:r>
      <w:r w:rsidRPr="000D2F8D">
        <w:rPr>
          <w:rFonts w:ascii="Palatino Linotype" w:eastAsia="Palatino Linotype" w:hAnsi="Palatino Linotype" w:cs="Palatino Linotype"/>
        </w:rPr>
        <w:t>promovido por</w:t>
      </w:r>
      <w:r w:rsidR="004401C8" w:rsidRPr="000D2F8D">
        <w:rPr>
          <w:rFonts w:ascii="Palatino Linotype" w:eastAsia="Palatino Linotype" w:hAnsi="Palatino Linotype" w:cs="Palatino Linotype"/>
        </w:rPr>
        <w:t xml:space="preserve"> </w:t>
      </w:r>
      <w:r w:rsidR="00233E77">
        <w:rPr>
          <w:rFonts w:ascii="Palatino Linotype" w:eastAsia="Palatino Linotype" w:hAnsi="Palatino Linotype" w:cs="Palatino Linotype"/>
          <w:b/>
        </w:rPr>
        <w:t>XXXX</w:t>
      </w:r>
      <w:r w:rsidR="00111B6F" w:rsidRPr="000D2F8D">
        <w:rPr>
          <w:rFonts w:ascii="Palatino Linotype" w:eastAsia="Palatino Linotype" w:hAnsi="Palatino Linotype" w:cs="Palatino Linotype"/>
          <w:b/>
        </w:rPr>
        <w:t xml:space="preserve">, </w:t>
      </w:r>
      <w:r w:rsidR="00111B6F" w:rsidRPr="000D2F8D">
        <w:rPr>
          <w:rFonts w:ascii="Palatino Linotype" w:eastAsia="Palatino Linotype" w:hAnsi="Palatino Linotype" w:cs="Palatino Linotype"/>
        </w:rPr>
        <w:t xml:space="preserve">a quien en lo sucesivo se le denominará </w:t>
      </w:r>
      <w:r w:rsidR="00111B6F" w:rsidRPr="000D2F8D">
        <w:rPr>
          <w:rFonts w:ascii="Palatino Linotype" w:eastAsia="Palatino Linotype" w:hAnsi="Palatino Linotype" w:cs="Palatino Linotype"/>
          <w:b/>
        </w:rPr>
        <w:t xml:space="preserve">EL </w:t>
      </w:r>
      <w:r w:rsidR="004401C8" w:rsidRPr="000D2F8D">
        <w:rPr>
          <w:rFonts w:ascii="Palatino Linotype" w:eastAsia="Palatino Linotype" w:hAnsi="Palatino Linotype" w:cs="Palatino Linotype"/>
          <w:b/>
        </w:rPr>
        <w:t>RECURRENTE</w:t>
      </w:r>
      <w:r w:rsidRPr="000D2F8D">
        <w:rPr>
          <w:rFonts w:ascii="Palatino Linotype" w:eastAsia="Palatino Linotype" w:hAnsi="Palatino Linotype" w:cs="Palatino Linotype"/>
          <w:b/>
        </w:rPr>
        <w:t>,</w:t>
      </w:r>
      <w:r w:rsidRPr="000D2F8D">
        <w:rPr>
          <w:rFonts w:ascii="Palatino Linotype" w:eastAsia="Palatino Linotype" w:hAnsi="Palatino Linotype" w:cs="Palatino Linotype"/>
        </w:rPr>
        <w:t xml:space="preserve"> en contra de la respuesta de</w:t>
      </w:r>
      <w:r w:rsidR="00BE4003" w:rsidRPr="000D2F8D">
        <w:rPr>
          <w:rFonts w:ascii="Palatino Linotype" w:eastAsia="Palatino Linotype" w:hAnsi="Palatino Linotype" w:cs="Palatino Linotype"/>
        </w:rPr>
        <w:t xml:space="preserve">l </w:t>
      </w:r>
      <w:r w:rsidR="007E10E3" w:rsidRPr="000D2F8D">
        <w:rPr>
          <w:rFonts w:ascii="Palatino Linotype" w:eastAsia="Palatino Linotype" w:hAnsi="Palatino Linotype" w:cs="Palatino Linotype"/>
          <w:b/>
        </w:rPr>
        <w:t>Sistema Municipal Para el Desarrollo Integral de la Familia de Toluca</w:t>
      </w:r>
      <w:r w:rsidRPr="000D2F8D">
        <w:rPr>
          <w:rFonts w:ascii="Palatino Linotype" w:eastAsia="Palatino Linotype" w:hAnsi="Palatino Linotype" w:cs="Palatino Linotype"/>
          <w:b/>
        </w:rPr>
        <w:t xml:space="preserve">, </w:t>
      </w:r>
      <w:r w:rsidRPr="000D2F8D">
        <w:rPr>
          <w:rFonts w:ascii="Palatino Linotype" w:eastAsia="Palatino Linotype" w:hAnsi="Palatino Linotype" w:cs="Palatino Linotype"/>
        </w:rPr>
        <w:t>en adelante el</w:t>
      </w:r>
      <w:r w:rsidRPr="000D2F8D">
        <w:rPr>
          <w:rFonts w:ascii="Palatino Linotype" w:eastAsia="Palatino Linotype" w:hAnsi="Palatino Linotype" w:cs="Palatino Linotype"/>
          <w:b/>
        </w:rPr>
        <w:t xml:space="preserve"> SUJETO OBLIGADO</w:t>
      </w:r>
      <w:r w:rsidRPr="000D2F8D">
        <w:rPr>
          <w:rFonts w:ascii="Palatino Linotype" w:eastAsia="Palatino Linotype" w:hAnsi="Palatino Linotype" w:cs="Palatino Linotype"/>
        </w:rPr>
        <w:t>, por lo que se procede a dictar la presente resolución, con base en los siguientes:</w:t>
      </w:r>
    </w:p>
    <w:p w:rsidR="00E94D86" w:rsidRPr="000D2F8D" w:rsidRDefault="00E94D86" w:rsidP="00C82ED1">
      <w:pPr>
        <w:jc w:val="both"/>
        <w:rPr>
          <w:rFonts w:ascii="Palatino Linotype" w:eastAsia="Palatino Linotype" w:hAnsi="Palatino Linotype" w:cs="Palatino Linotype"/>
        </w:rPr>
      </w:pPr>
    </w:p>
    <w:p w:rsidR="00E94D86" w:rsidRPr="000D2F8D" w:rsidRDefault="001E3125">
      <w:pPr>
        <w:keepNext/>
        <w:keepLines/>
        <w:spacing w:line="360" w:lineRule="auto"/>
        <w:jc w:val="center"/>
        <w:rPr>
          <w:rFonts w:ascii="Palatino Linotype" w:eastAsia="Palatino Linotype" w:hAnsi="Palatino Linotype" w:cs="Palatino Linotype"/>
          <w:b/>
        </w:rPr>
      </w:pPr>
      <w:r w:rsidRPr="000D2F8D">
        <w:rPr>
          <w:rFonts w:ascii="Palatino Linotype" w:eastAsia="Palatino Linotype" w:hAnsi="Palatino Linotype" w:cs="Palatino Linotype"/>
          <w:b/>
        </w:rPr>
        <w:t>A N T E C E D E N T E S</w:t>
      </w:r>
    </w:p>
    <w:p w:rsidR="00E94D86" w:rsidRPr="000D2F8D" w:rsidRDefault="00E94D86" w:rsidP="00C82ED1">
      <w:pPr>
        <w:rPr>
          <w:rFonts w:ascii="Palatino Linotype" w:eastAsia="Palatino Linotype" w:hAnsi="Palatino Linotype" w:cs="Palatino Linotype"/>
        </w:rPr>
      </w:pPr>
    </w:p>
    <w:p w:rsidR="00E94D86" w:rsidRPr="000D2F8D" w:rsidRDefault="001E3125" w:rsidP="004D3DBB">
      <w:pPr>
        <w:numPr>
          <w:ilvl w:val="0"/>
          <w:numId w:val="1"/>
        </w:numPr>
        <w:spacing w:line="360" w:lineRule="auto"/>
        <w:ind w:left="0"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El </w:t>
      </w:r>
      <w:r w:rsidR="007E10E3" w:rsidRPr="000D2F8D">
        <w:rPr>
          <w:rFonts w:ascii="Palatino Linotype" w:eastAsia="Palatino Linotype" w:hAnsi="Palatino Linotype" w:cs="Palatino Linotype"/>
        </w:rPr>
        <w:t>quince de enero</w:t>
      </w:r>
      <w:r w:rsidR="006E5F99" w:rsidRPr="000D2F8D">
        <w:rPr>
          <w:rFonts w:ascii="Palatino Linotype" w:eastAsia="Palatino Linotype" w:hAnsi="Palatino Linotype" w:cs="Palatino Linotype"/>
        </w:rPr>
        <w:t xml:space="preserve"> </w:t>
      </w:r>
      <w:r w:rsidR="007E10E3" w:rsidRPr="000D2F8D">
        <w:rPr>
          <w:rFonts w:ascii="Palatino Linotype" w:eastAsia="Palatino Linotype" w:hAnsi="Palatino Linotype" w:cs="Palatino Linotype"/>
        </w:rPr>
        <w:t>de dos mil veinticinco</w:t>
      </w:r>
      <w:r w:rsidR="004D3DBB" w:rsidRPr="000D2F8D">
        <w:rPr>
          <w:rFonts w:ascii="Palatino Linotype" w:eastAsia="Palatino Linotype" w:hAnsi="Palatino Linotype" w:cs="Palatino Linotype"/>
        </w:rPr>
        <w:t>, el</w:t>
      </w:r>
      <w:r w:rsidRPr="000D2F8D">
        <w:rPr>
          <w:rFonts w:ascii="Palatino Linotype" w:eastAsia="Palatino Linotype" w:hAnsi="Palatino Linotype" w:cs="Palatino Linotype"/>
          <w:b/>
        </w:rPr>
        <w:t xml:space="preserve"> RECURRENTE </w:t>
      </w:r>
      <w:r w:rsidRPr="000D2F8D">
        <w:rPr>
          <w:rFonts w:ascii="Palatino Linotype" w:eastAsia="Palatino Linotype" w:hAnsi="Palatino Linotype" w:cs="Palatino Linotype"/>
        </w:rPr>
        <w:t xml:space="preserve">presentó ante 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rPr>
        <w:t xml:space="preserve"> </w:t>
      </w:r>
      <w:r w:rsidR="004D3DBB" w:rsidRPr="000D2F8D">
        <w:rPr>
          <w:rFonts w:ascii="Palatino Linotype" w:eastAsia="Palatino Linotype" w:hAnsi="Palatino Linotype" w:cs="Palatino Linotype"/>
        </w:rPr>
        <w:t xml:space="preserve">a través </w:t>
      </w:r>
      <w:r w:rsidR="007E10E3" w:rsidRPr="000D2F8D">
        <w:rPr>
          <w:rFonts w:ascii="Palatino Linotype" w:eastAsia="Palatino Linotype" w:hAnsi="Palatino Linotype" w:cs="Palatino Linotype"/>
        </w:rPr>
        <w:t>del</w:t>
      </w:r>
      <w:r w:rsidR="004D3DBB" w:rsidRPr="000D2F8D">
        <w:rPr>
          <w:rFonts w:ascii="Palatino Linotype" w:eastAsia="Palatino Linotype" w:hAnsi="Palatino Linotype" w:cs="Palatino Linotype"/>
        </w:rPr>
        <w:t xml:space="preserve"> Sistema de Acceso a la Información Mexiquense </w:t>
      </w:r>
      <w:r w:rsidR="004D3DBB" w:rsidRPr="000D2F8D">
        <w:rPr>
          <w:rFonts w:ascii="Palatino Linotype" w:eastAsia="Palatino Linotype" w:hAnsi="Palatino Linotype" w:cs="Palatino Linotype"/>
          <w:b/>
        </w:rPr>
        <w:t>(SAIMEX),</w:t>
      </w:r>
      <w:r w:rsidR="004D3DBB" w:rsidRPr="000D2F8D">
        <w:rPr>
          <w:rFonts w:ascii="Palatino Linotype" w:eastAsia="Palatino Linotype" w:hAnsi="Palatino Linotype" w:cs="Palatino Linotype"/>
        </w:rPr>
        <w:t xml:space="preserve"> </w:t>
      </w:r>
      <w:r w:rsidRPr="000D2F8D">
        <w:rPr>
          <w:rFonts w:ascii="Palatino Linotype" w:eastAsia="Palatino Linotype" w:hAnsi="Palatino Linotype" w:cs="Palatino Linotype"/>
        </w:rPr>
        <w:t xml:space="preserve">la solicitud de información pública </w:t>
      </w:r>
      <w:r w:rsidR="007E10E3" w:rsidRPr="000D2F8D">
        <w:rPr>
          <w:rFonts w:ascii="Palatino Linotype" w:eastAsia="Palatino Linotype" w:hAnsi="Palatino Linotype" w:cs="Palatino Linotype"/>
          <w:b/>
        </w:rPr>
        <w:t>00028</w:t>
      </w:r>
      <w:r w:rsidRPr="000D2F8D">
        <w:rPr>
          <w:rFonts w:ascii="Palatino Linotype" w:eastAsia="Palatino Linotype" w:hAnsi="Palatino Linotype" w:cs="Palatino Linotype"/>
          <w:b/>
        </w:rPr>
        <w:t>/</w:t>
      </w:r>
      <w:r w:rsidR="007E10E3" w:rsidRPr="000D2F8D">
        <w:rPr>
          <w:rFonts w:ascii="Palatino Linotype" w:eastAsia="Palatino Linotype" w:hAnsi="Palatino Linotype" w:cs="Palatino Linotype"/>
          <w:b/>
        </w:rPr>
        <w:t>DIFTOLUCA/</w:t>
      </w:r>
      <w:r w:rsidR="00F94D59" w:rsidRPr="000D2F8D">
        <w:rPr>
          <w:rFonts w:ascii="Palatino Linotype" w:eastAsia="Palatino Linotype" w:hAnsi="Palatino Linotype" w:cs="Palatino Linotype"/>
          <w:b/>
        </w:rPr>
        <w:t>IP/</w:t>
      </w:r>
      <w:r w:rsidR="007E10E3" w:rsidRPr="000D2F8D">
        <w:rPr>
          <w:rFonts w:ascii="Palatino Linotype" w:eastAsia="Palatino Linotype" w:hAnsi="Palatino Linotype" w:cs="Palatino Linotype"/>
          <w:b/>
        </w:rPr>
        <w:t>2025</w:t>
      </w:r>
      <w:r w:rsidRPr="000D2F8D">
        <w:rPr>
          <w:rFonts w:ascii="Palatino Linotype" w:eastAsia="Palatino Linotype" w:hAnsi="Palatino Linotype" w:cs="Palatino Linotype"/>
        </w:rPr>
        <w:t>, en la que solicitó:</w:t>
      </w:r>
    </w:p>
    <w:p w:rsidR="00E94D86" w:rsidRPr="000D2F8D" w:rsidRDefault="00E94D86" w:rsidP="00C82ED1">
      <w:pPr>
        <w:jc w:val="both"/>
        <w:rPr>
          <w:rFonts w:ascii="Palatino Linotype" w:eastAsia="Palatino Linotype" w:hAnsi="Palatino Linotype" w:cs="Palatino Linotype"/>
        </w:rPr>
      </w:pPr>
    </w:p>
    <w:p w:rsidR="006E5F99" w:rsidRPr="000D2F8D" w:rsidRDefault="001E3125" w:rsidP="003A1F84">
      <w:pPr>
        <w:ind w:left="567" w:right="567"/>
        <w:jc w:val="both"/>
        <w:rPr>
          <w:rFonts w:ascii="Palatino Linotype" w:eastAsia="Palatino Linotype" w:hAnsi="Palatino Linotype" w:cs="Palatino Linotype"/>
          <w:i/>
          <w:color w:val="000000"/>
        </w:rPr>
      </w:pPr>
      <w:r w:rsidRPr="000D2F8D">
        <w:rPr>
          <w:rFonts w:ascii="Palatino Linotype" w:eastAsia="Palatino Linotype" w:hAnsi="Palatino Linotype" w:cs="Palatino Linotype"/>
          <w:i/>
          <w:color w:val="000000"/>
        </w:rPr>
        <w:t>“</w:t>
      </w:r>
      <w:r w:rsidR="00BE4003" w:rsidRPr="000D2F8D">
        <w:rPr>
          <w:rFonts w:ascii="Palatino Linotype" w:hAnsi="Palatino Linotype"/>
          <w:i/>
          <w:color w:val="000000"/>
        </w:rPr>
        <w:t>S</w:t>
      </w:r>
      <w:r w:rsidR="007E10E3" w:rsidRPr="000D2F8D">
        <w:rPr>
          <w:rFonts w:ascii="Palatino Linotype" w:hAnsi="Palatino Linotype"/>
          <w:i/>
          <w:color w:val="000000"/>
        </w:rPr>
        <w:t>OLICITO EL ANTEPROYECTO DEL PRESUPUESTO DE EGRESOS DEL SISTEMA MUNICIPAL PARA EL DESARROLLO INTEGRAL DE LA FAMILIA DE TOLUCA, PARA EL AÑO 2025, MISMO QUE DEBIO ENTREGARSE A LA ACTUAL ADMINISTRACION DEL DIF 2025 - 2027</w:t>
      </w:r>
      <w:r w:rsidR="00B82092" w:rsidRPr="000D2F8D">
        <w:rPr>
          <w:rFonts w:ascii="Palatino Linotype" w:hAnsi="Palatino Linotype"/>
          <w:i/>
          <w:color w:val="000000"/>
        </w:rPr>
        <w:t>.</w:t>
      </w:r>
      <w:r w:rsidRPr="000D2F8D">
        <w:rPr>
          <w:rFonts w:ascii="Palatino Linotype" w:eastAsia="Palatino Linotype" w:hAnsi="Palatino Linotype" w:cs="Palatino Linotype"/>
          <w:i/>
          <w:color w:val="000000"/>
        </w:rPr>
        <w:t xml:space="preserve">” (Sic) </w:t>
      </w:r>
    </w:p>
    <w:p w:rsidR="00E94D86" w:rsidRPr="000D2F8D" w:rsidRDefault="00E94D86" w:rsidP="00AC67F7">
      <w:pPr>
        <w:pBdr>
          <w:top w:val="nil"/>
          <w:left w:val="nil"/>
          <w:bottom w:val="nil"/>
          <w:right w:val="nil"/>
          <w:between w:val="nil"/>
        </w:pBdr>
        <w:jc w:val="both"/>
        <w:rPr>
          <w:rFonts w:ascii="Palatino Linotype" w:eastAsia="Palatino Linotype" w:hAnsi="Palatino Linotype" w:cs="Palatino Linotype"/>
          <w:color w:val="000000"/>
        </w:rPr>
      </w:pPr>
    </w:p>
    <w:p w:rsidR="00E94D86" w:rsidRPr="000D2F8D" w:rsidRDefault="001E3125">
      <w:pPr>
        <w:numPr>
          <w:ilvl w:val="0"/>
          <w:numId w:val="1"/>
        </w:numPr>
        <w:spacing w:line="360" w:lineRule="auto"/>
        <w:ind w:left="0"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Se hace constar que se señaló como modalidad de entrega de la información a través del </w:t>
      </w:r>
      <w:r w:rsidR="007E10E3" w:rsidRPr="000D2F8D">
        <w:rPr>
          <w:rFonts w:ascii="Palatino Linotype" w:eastAsia="Palatino Linotype" w:hAnsi="Palatino Linotype" w:cs="Palatino Linotype"/>
          <w:b/>
        </w:rPr>
        <w:t>SAIMEX.</w:t>
      </w:r>
    </w:p>
    <w:p w:rsidR="00E94D86" w:rsidRPr="000D2F8D" w:rsidRDefault="00E94D86" w:rsidP="00C82ED1">
      <w:pPr>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El </w:t>
      </w:r>
      <w:r w:rsidR="007E10E3" w:rsidRPr="000D2F8D">
        <w:rPr>
          <w:rFonts w:ascii="Palatino Linotype" w:eastAsia="Palatino Linotype" w:hAnsi="Palatino Linotype" w:cs="Palatino Linotype"/>
        </w:rPr>
        <w:t>veintiuno de enero de dos mil veinticinco</w:t>
      </w:r>
      <w:r w:rsidRPr="000D2F8D">
        <w:rPr>
          <w:rFonts w:ascii="Palatino Linotype" w:eastAsia="Palatino Linotype" w:hAnsi="Palatino Linotype" w:cs="Palatino Linotype"/>
        </w:rPr>
        <w:t xml:space="preserve">, 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b/>
          <w:i/>
        </w:rPr>
        <w:t xml:space="preserve"> </w:t>
      </w:r>
      <w:r w:rsidRPr="000D2F8D">
        <w:rPr>
          <w:rFonts w:ascii="Palatino Linotype" w:eastAsia="Palatino Linotype" w:hAnsi="Palatino Linotype" w:cs="Palatino Linotype"/>
        </w:rPr>
        <w:t>dio respuesta a la solicitud de información, en los siguientes términos:</w:t>
      </w:r>
    </w:p>
    <w:p w:rsidR="00E94D86" w:rsidRPr="000D2F8D" w:rsidRDefault="00E94D86" w:rsidP="00C82ED1">
      <w:pPr>
        <w:ind w:right="-592"/>
        <w:jc w:val="both"/>
        <w:rPr>
          <w:rFonts w:ascii="Palatino Linotype" w:eastAsia="Palatino Linotype" w:hAnsi="Palatino Linotype" w:cs="Palatino Linotype"/>
          <w:i/>
        </w:rPr>
      </w:pPr>
    </w:p>
    <w:p w:rsidR="007E10E3" w:rsidRPr="000D2F8D" w:rsidRDefault="007E10E3" w:rsidP="007E10E3">
      <w:pPr>
        <w:ind w:left="567" w:right="567"/>
        <w:jc w:val="both"/>
        <w:rPr>
          <w:rFonts w:ascii="Palatino Linotype" w:eastAsia="Palatino Linotype" w:hAnsi="Palatino Linotype" w:cs="Palatino Linotype"/>
          <w:i/>
          <w:color w:val="000000"/>
        </w:rPr>
      </w:pPr>
      <w:r w:rsidRPr="000D2F8D">
        <w:rPr>
          <w:rFonts w:ascii="Palatino Linotype" w:eastAsia="Palatino Linotype" w:hAnsi="Palatino Linotype" w:cs="Palatino Linotype"/>
          <w:i/>
          <w:color w:val="000000"/>
        </w:rPr>
        <w:t>“</w:t>
      </w:r>
      <w:r w:rsidRPr="000D2F8D">
        <w:rPr>
          <w:rFonts w:ascii="Palatino Linotype" w:hAnsi="Palatino Linotype"/>
          <w:i/>
          <w:color w:val="000000"/>
        </w:rPr>
        <w:t>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r w:rsidRPr="000D2F8D">
        <w:rPr>
          <w:rFonts w:ascii="Palatino Linotype" w:eastAsia="Palatino Linotype" w:hAnsi="Palatino Linotype" w:cs="Palatino Linotype"/>
          <w:i/>
          <w:color w:val="000000"/>
        </w:rPr>
        <w:t xml:space="preserve">” (Sic) </w:t>
      </w:r>
    </w:p>
    <w:p w:rsidR="007E10E3" w:rsidRPr="000D2F8D" w:rsidRDefault="007E10E3" w:rsidP="00E61883">
      <w:pPr>
        <w:ind w:right="567"/>
        <w:jc w:val="both"/>
        <w:rPr>
          <w:rFonts w:ascii="Palatino Linotype" w:eastAsia="Palatino Linotype" w:hAnsi="Palatino Linotype" w:cs="Palatino Linotype"/>
        </w:rPr>
      </w:pPr>
    </w:p>
    <w:p w:rsidR="003A1F84" w:rsidRPr="000D2F8D" w:rsidRDefault="001E3125" w:rsidP="00E61883">
      <w:pPr>
        <w:ind w:right="567"/>
        <w:jc w:val="both"/>
        <w:rPr>
          <w:rFonts w:ascii="Palatino Linotype" w:eastAsia="Palatino Linotype" w:hAnsi="Palatino Linotype" w:cs="Palatino Linotype"/>
        </w:rPr>
      </w:pPr>
      <w:r w:rsidRPr="000D2F8D">
        <w:rPr>
          <w:rFonts w:ascii="Palatino Linotype" w:eastAsia="Palatino Linotype" w:hAnsi="Palatino Linotype" w:cs="Palatino Linotype"/>
        </w:rPr>
        <w:t>Archivos electrónicos adjuntos:</w:t>
      </w:r>
    </w:p>
    <w:p w:rsidR="003A1F84" w:rsidRPr="000D2F8D" w:rsidRDefault="003A1F84" w:rsidP="007E10E3">
      <w:pPr>
        <w:ind w:right="567"/>
        <w:jc w:val="both"/>
        <w:rPr>
          <w:rFonts w:ascii="Palatino Linotype" w:eastAsia="Palatino Linotype" w:hAnsi="Palatino Linotype" w:cs="Palatino Linotype"/>
          <w:b/>
        </w:rPr>
      </w:pPr>
    </w:p>
    <w:p w:rsidR="007E10E3" w:rsidRPr="000D2F8D" w:rsidRDefault="00AF2E90" w:rsidP="007E10E3">
      <w:pPr>
        <w:ind w:left="567" w:right="567"/>
        <w:jc w:val="both"/>
        <w:rPr>
          <w:rFonts w:ascii="Palatino Linotype" w:hAnsi="Palatino Linotype"/>
        </w:rPr>
      </w:pPr>
      <w:hyperlink r:id="rId8" w:tgtFrame="_blank" w:history="1">
        <w:r w:rsidR="007E10E3" w:rsidRPr="000D2F8D">
          <w:rPr>
            <w:rStyle w:val="Hipervnculo"/>
            <w:rFonts w:ascii="Palatino Linotype" w:hAnsi="Palatino Linotype" w:cs="Arial"/>
            <w:b/>
            <w:bCs/>
            <w:color w:val="auto"/>
            <w:u w:val="none"/>
          </w:rPr>
          <w:t>Respuesta SPH 28-2025.pdf</w:t>
        </w:r>
      </w:hyperlink>
      <w:r w:rsidR="007E10E3" w:rsidRPr="000D2F8D">
        <w:rPr>
          <w:rFonts w:ascii="Palatino Linotype" w:hAnsi="Palatino Linotype"/>
          <w:b/>
        </w:rPr>
        <w:t>:</w:t>
      </w:r>
      <w:r w:rsidR="007E714E" w:rsidRPr="000D2F8D">
        <w:rPr>
          <w:rFonts w:ascii="Palatino Linotype" w:hAnsi="Palatino Linotype"/>
          <w:b/>
        </w:rPr>
        <w:t xml:space="preserve"> </w:t>
      </w:r>
      <w:r w:rsidR="007E714E" w:rsidRPr="000D2F8D">
        <w:rPr>
          <w:rFonts w:ascii="Palatino Linotype" w:hAnsi="Palatino Linotype"/>
        </w:rPr>
        <w:t>Oficio número 200B10500/46/2025, suscrito por el Director de Administración y Tesorería, por medio del cual, refirió anexar una copia del Anteproyecto de Presupuesto para el ejercicio fiscal 2025. Asimismo, adjuntó una copia digitalizada del PbRM-04d “Caratula de presupuesto de egresos” del 01 de enero al 31 de diciembre de 2025, del Presupuesto basado en Resultados Municipal del DIF de Toluca.</w:t>
      </w:r>
    </w:p>
    <w:p w:rsidR="007E714E" w:rsidRPr="000D2F8D" w:rsidRDefault="007E714E" w:rsidP="007E10E3">
      <w:pPr>
        <w:ind w:left="567" w:right="567"/>
        <w:jc w:val="both"/>
        <w:rPr>
          <w:rFonts w:ascii="Palatino Linotype" w:hAnsi="Palatino Linotype"/>
          <w:b/>
        </w:rPr>
      </w:pPr>
    </w:p>
    <w:p w:rsidR="007E10E3" w:rsidRPr="000D2F8D" w:rsidRDefault="00AF2E90" w:rsidP="007E10E3">
      <w:pPr>
        <w:ind w:left="567" w:right="567"/>
        <w:jc w:val="both"/>
        <w:rPr>
          <w:rStyle w:val="Hipervnculo"/>
          <w:rFonts w:ascii="Palatino Linotype" w:hAnsi="Palatino Linotype" w:cs="Arial"/>
          <w:bCs/>
          <w:color w:val="auto"/>
          <w:u w:val="none"/>
        </w:rPr>
      </w:pPr>
      <w:hyperlink r:id="rId9" w:tgtFrame="_blank" w:history="1">
        <w:r w:rsidR="007E10E3" w:rsidRPr="000D2F8D">
          <w:rPr>
            <w:rStyle w:val="Hipervnculo"/>
            <w:rFonts w:ascii="Palatino Linotype" w:hAnsi="Palatino Linotype" w:cs="Arial"/>
            <w:b/>
            <w:bCs/>
            <w:color w:val="auto"/>
            <w:u w:val="none"/>
          </w:rPr>
          <w:t>Respuesta UIPPE 28-2025.pdf</w:t>
        </w:r>
      </w:hyperlink>
      <w:r w:rsidR="007E10E3" w:rsidRPr="000D2F8D">
        <w:rPr>
          <w:rFonts w:ascii="Palatino Linotype" w:hAnsi="Palatino Linotype"/>
        </w:rPr>
        <w:t>:</w:t>
      </w:r>
      <w:r w:rsidR="007E714E" w:rsidRPr="000D2F8D">
        <w:rPr>
          <w:rFonts w:ascii="Palatino Linotype" w:hAnsi="Palatino Linotype"/>
        </w:rPr>
        <w:t xml:space="preserve"> Oficio 200B10100/090/2025, suscrito por el Titular de la Unidad de Información, Planeación, Programación y Evaluación, por medio del cual, refirió hacer del conocimiento del Solicitante, la respuesta emitida por la Dirección de Administración y Tesorería del Sistema Municipal para el Desarrollo Integral de la Familia de Toluca.</w:t>
      </w:r>
    </w:p>
    <w:p w:rsidR="00B82092" w:rsidRPr="000D2F8D" w:rsidRDefault="00B82092" w:rsidP="00C82ED1">
      <w:pPr>
        <w:ind w:right="-592"/>
        <w:jc w:val="both"/>
        <w:rPr>
          <w:rFonts w:ascii="Palatino Linotype" w:eastAsia="Palatino Linotype" w:hAnsi="Palatino Linotype" w:cs="Palatino Linotype"/>
        </w:rPr>
      </w:pPr>
    </w:p>
    <w:p w:rsidR="00C82ED1" w:rsidRPr="000D2F8D" w:rsidRDefault="001E3125" w:rsidP="00C82ED1">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El </w:t>
      </w:r>
      <w:r w:rsidR="007E10E3" w:rsidRPr="000D2F8D">
        <w:rPr>
          <w:rFonts w:ascii="Palatino Linotype" w:eastAsia="Palatino Linotype" w:hAnsi="Palatino Linotype" w:cs="Palatino Linotype"/>
        </w:rPr>
        <w:t>treinta y uno de enero de dos mil veinticinco</w:t>
      </w:r>
      <w:r w:rsidRPr="000D2F8D">
        <w:rPr>
          <w:rFonts w:ascii="Palatino Linotype" w:eastAsia="Palatino Linotype" w:hAnsi="Palatino Linotype" w:cs="Palatino Linotype"/>
        </w:rPr>
        <w:t>,</w:t>
      </w:r>
      <w:r w:rsidRPr="000D2F8D">
        <w:rPr>
          <w:rFonts w:ascii="Palatino Linotype" w:eastAsia="Palatino Linotype" w:hAnsi="Palatino Linotype" w:cs="Palatino Linotype"/>
          <w:b/>
        </w:rPr>
        <w:t xml:space="preserve"> </w:t>
      </w:r>
      <w:r w:rsidRPr="000D2F8D">
        <w:rPr>
          <w:rFonts w:ascii="Palatino Linotype" w:eastAsia="Palatino Linotype" w:hAnsi="Palatino Linotype" w:cs="Palatino Linotype"/>
        </w:rPr>
        <w:t xml:space="preserve">el </w:t>
      </w:r>
      <w:r w:rsidRPr="000D2F8D">
        <w:rPr>
          <w:rFonts w:ascii="Palatino Linotype" w:eastAsia="Palatino Linotype" w:hAnsi="Palatino Linotype" w:cs="Palatino Linotype"/>
          <w:b/>
        </w:rPr>
        <w:t>RECURRENTE</w:t>
      </w:r>
      <w:r w:rsidRPr="000D2F8D">
        <w:rPr>
          <w:rFonts w:ascii="Palatino Linotype" w:eastAsia="Palatino Linotype" w:hAnsi="Palatino Linotype" w:cs="Palatino Linotype"/>
        </w:rPr>
        <w:t xml:space="preserve"> interpuso el recurso de revisión en contra de la respuesta, señalando como:</w:t>
      </w:r>
    </w:p>
    <w:p w:rsidR="00C82ED1" w:rsidRPr="000D2F8D" w:rsidRDefault="00C82ED1" w:rsidP="00C82ED1">
      <w:pPr>
        <w:ind w:right="1"/>
        <w:jc w:val="both"/>
        <w:rPr>
          <w:rFonts w:ascii="Palatino Linotype" w:eastAsia="Palatino Linotype" w:hAnsi="Palatino Linotype" w:cs="Palatino Linotype"/>
        </w:rPr>
      </w:pPr>
    </w:p>
    <w:p w:rsidR="00E94D86" w:rsidRPr="000D2F8D" w:rsidRDefault="001E3125" w:rsidP="004D20C3">
      <w:pPr>
        <w:ind w:left="567" w:right="567"/>
        <w:jc w:val="both"/>
        <w:rPr>
          <w:rFonts w:ascii="Palatino Linotype" w:hAnsi="Palatino Linotype"/>
          <w:i/>
        </w:rPr>
      </w:pPr>
      <w:r w:rsidRPr="000D2F8D">
        <w:rPr>
          <w:rFonts w:ascii="Palatino Linotype" w:eastAsia="Palatino Linotype" w:hAnsi="Palatino Linotype" w:cs="Palatino Linotype"/>
          <w:b/>
        </w:rPr>
        <w:t>Acto impugnado</w:t>
      </w:r>
      <w:r w:rsidRPr="000D2F8D">
        <w:rPr>
          <w:rFonts w:ascii="Palatino Linotype" w:eastAsia="Palatino Linotype" w:hAnsi="Palatino Linotype" w:cs="Palatino Linotype"/>
          <w:b/>
          <w:i/>
        </w:rPr>
        <w:t>:</w:t>
      </w:r>
      <w:r w:rsidRPr="000D2F8D">
        <w:rPr>
          <w:rFonts w:ascii="Palatino Linotype" w:eastAsia="Palatino Linotype" w:hAnsi="Palatino Linotype" w:cs="Palatino Linotype"/>
          <w:i/>
          <w:color w:val="000000"/>
        </w:rPr>
        <w:t xml:space="preserve"> “</w:t>
      </w:r>
      <w:r w:rsidR="00B82092" w:rsidRPr="000D2F8D">
        <w:rPr>
          <w:rFonts w:ascii="Palatino Linotype" w:hAnsi="Palatino Linotype"/>
          <w:i/>
          <w:color w:val="000000"/>
        </w:rPr>
        <w:t>La</w:t>
      </w:r>
      <w:r w:rsidR="00B82092" w:rsidRPr="000D2F8D">
        <w:rPr>
          <w:rFonts w:ascii="Palatino Linotype" w:hAnsi="Palatino Linotype"/>
          <w:i/>
        </w:rPr>
        <w:t xml:space="preserve"> </w:t>
      </w:r>
      <w:r w:rsidR="007E10E3" w:rsidRPr="000D2F8D">
        <w:rPr>
          <w:rFonts w:ascii="Palatino Linotype" w:hAnsi="Palatino Linotype"/>
          <w:i/>
          <w:color w:val="000000"/>
        </w:rPr>
        <w:t>respuesta del director de administracion y tesoreria mediante oficio 200B10500/46/2025 , de fecha 20 de enero del 2025</w:t>
      </w:r>
      <w:r w:rsidRPr="000D2F8D">
        <w:rPr>
          <w:rFonts w:ascii="Palatino Linotype" w:eastAsia="Palatino Linotype" w:hAnsi="Palatino Linotype" w:cs="Palatino Linotype"/>
          <w:i/>
          <w:color w:val="000000"/>
        </w:rPr>
        <w:t>” (Sic)</w:t>
      </w:r>
    </w:p>
    <w:p w:rsidR="00E94D86" w:rsidRPr="000D2F8D" w:rsidRDefault="00E94D86" w:rsidP="004D20C3">
      <w:pPr>
        <w:ind w:left="567" w:right="567"/>
        <w:jc w:val="both"/>
        <w:rPr>
          <w:rFonts w:ascii="Palatino Linotype" w:eastAsia="Palatino Linotype" w:hAnsi="Palatino Linotype" w:cs="Palatino Linotype"/>
        </w:rPr>
      </w:pPr>
    </w:p>
    <w:p w:rsidR="00E94D86" w:rsidRPr="000D2F8D" w:rsidRDefault="001E3125" w:rsidP="004D20C3">
      <w:pPr>
        <w:ind w:left="567" w:right="567"/>
        <w:jc w:val="both"/>
        <w:rPr>
          <w:rFonts w:ascii="Palatino Linotype" w:eastAsia="Palatino Linotype" w:hAnsi="Palatino Linotype" w:cs="Palatino Linotype"/>
          <w:i/>
          <w:color w:val="000000"/>
        </w:rPr>
      </w:pPr>
      <w:r w:rsidRPr="000D2F8D">
        <w:rPr>
          <w:rFonts w:ascii="Palatino Linotype" w:eastAsia="Palatino Linotype" w:hAnsi="Palatino Linotype" w:cs="Palatino Linotype"/>
          <w:b/>
        </w:rPr>
        <w:t xml:space="preserve">Razones o Motivos de inconformidad: </w:t>
      </w:r>
      <w:r w:rsidR="006E5F99" w:rsidRPr="000D2F8D">
        <w:rPr>
          <w:rFonts w:ascii="Palatino Linotype" w:eastAsia="Palatino Linotype" w:hAnsi="Palatino Linotype" w:cs="Palatino Linotype"/>
          <w:i/>
          <w:color w:val="000000"/>
        </w:rPr>
        <w:t>“</w:t>
      </w:r>
      <w:r w:rsidR="007E10E3" w:rsidRPr="000D2F8D">
        <w:rPr>
          <w:rFonts w:ascii="Palatino Linotype" w:hAnsi="Palatino Linotype"/>
          <w:i/>
          <w:color w:val="000000"/>
        </w:rPr>
        <w:t>no  entrega lo solicitado de forma completa</w:t>
      </w:r>
      <w:r w:rsidRPr="000D2F8D">
        <w:rPr>
          <w:rFonts w:ascii="Palatino Linotype" w:eastAsia="Palatino Linotype" w:hAnsi="Palatino Linotype" w:cs="Palatino Linotype"/>
          <w:i/>
          <w:color w:val="000000"/>
        </w:rPr>
        <w:t>” (Sic)</w:t>
      </w:r>
      <w:bookmarkStart w:id="0" w:name="_GoBack"/>
      <w:bookmarkEnd w:id="0"/>
    </w:p>
    <w:p w:rsidR="00E94D86" w:rsidRPr="000D2F8D" w:rsidRDefault="00E94D86" w:rsidP="00C82ED1">
      <w:pPr>
        <w:ind w:right="568"/>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0D2F8D">
        <w:rPr>
          <w:rFonts w:ascii="Palatino Linotype" w:eastAsia="Palatino Linotype" w:hAnsi="Palatino Linotype" w:cs="Palatino Linotype"/>
          <w:b/>
        </w:rPr>
        <w:t xml:space="preserve">Ley de </w:t>
      </w:r>
      <w:r w:rsidRPr="000D2F8D">
        <w:rPr>
          <w:rFonts w:ascii="Palatino Linotype" w:eastAsia="Palatino Linotype" w:hAnsi="Palatino Linotype" w:cs="Palatino Linotype"/>
          <w:b/>
        </w:rPr>
        <w:lastRenderedPageBreak/>
        <w:t xml:space="preserve">Transparencia y Acceso a la Información Pública del Estado de México y Municipios </w:t>
      </w:r>
      <w:r w:rsidRPr="000D2F8D">
        <w:rPr>
          <w:rFonts w:ascii="Palatino Linotype" w:eastAsia="Palatino Linotype" w:hAnsi="Palatino Linotype" w:cs="Palatino Linotype"/>
        </w:rPr>
        <w:t xml:space="preserve">se turna a la </w:t>
      </w:r>
      <w:r w:rsidRPr="000D2F8D">
        <w:rPr>
          <w:rFonts w:ascii="Palatino Linotype" w:eastAsia="Palatino Linotype" w:hAnsi="Palatino Linotype" w:cs="Palatino Linotype"/>
          <w:b/>
        </w:rPr>
        <w:t xml:space="preserve">Comisionada María del Rosario Mejía Ayala, </w:t>
      </w:r>
      <w:r w:rsidRPr="000D2F8D">
        <w:rPr>
          <w:rFonts w:ascii="Palatino Linotype" w:eastAsia="Palatino Linotype" w:hAnsi="Palatino Linotype" w:cs="Palatino Linotype"/>
        </w:rPr>
        <w:t xml:space="preserve">para su análisis. </w:t>
      </w:r>
    </w:p>
    <w:p w:rsidR="00E94D86" w:rsidRPr="000D2F8D" w:rsidRDefault="00E94D86" w:rsidP="00C82ED1">
      <w:pPr>
        <w:ind w:right="-592"/>
        <w:jc w:val="both"/>
        <w:rPr>
          <w:rFonts w:ascii="Palatino Linotype" w:eastAsia="Palatino Linotype" w:hAnsi="Palatino Linotype" w:cs="Palatino Linotype"/>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color w:val="000000"/>
        </w:rPr>
      </w:pPr>
      <w:r w:rsidRPr="000D2F8D">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007E10E3" w:rsidRPr="000D2F8D">
        <w:rPr>
          <w:rFonts w:ascii="Palatino Linotype" w:eastAsia="Palatino Linotype" w:hAnsi="Palatino Linotype" w:cs="Palatino Linotype"/>
        </w:rPr>
        <w:t>cinco de febrero de dos mil veinticinco</w:t>
      </w:r>
      <w:r w:rsidRPr="000D2F8D">
        <w:rPr>
          <w:rFonts w:ascii="Palatino Linotype" w:eastAsia="Palatino Linotype" w:hAnsi="Palatino Linotype" w:cs="Palatino Linotype"/>
        </w:rPr>
        <w:t xml:space="preserve">, puso a disposición de las partes el expediente electrónico vía </w:t>
      </w:r>
      <w:r w:rsidRPr="000D2F8D">
        <w:rPr>
          <w:rFonts w:ascii="Palatino Linotype" w:eastAsia="Palatino Linotype" w:hAnsi="Palatino Linotype" w:cs="Palatino Linotype"/>
          <w:b/>
        </w:rPr>
        <w:t xml:space="preserve">SAIMEX </w:t>
      </w:r>
      <w:r w:rsidRPr="000D2F8D">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rPr>
        <w:t xml:space="preserve"> presentará el informe justificado procedente. </w:t>
      </w:r>
    </w:p>
    <w:p w:rsidR="00E94D86" w:rsidRPr="000D2F8D" w:rsidRDefault="00E94D86" w:rsidP="00C82ED1">
      <w:pPr>
        <w:ind w:right="-592"/>
        <w:rPr>
          <w:rFonts w:ascii="Palatino Linotype" w:eastAsia="Palatino Linotype" w:hAnsi="Palatino Linotype" w:cs="Palatino Linotype"/>
        </w:rPr>
      </w:pPr>
    </w:p>
    <w:p w:rsidR="00B82092" w:rsidRPr="000D2F8D" w:rsidRDefault="006E5F99" w:rsidP="00AF2A58">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E</w:t>
      </w:r>
      <w:r w:rsidR="001E3125" w:rsidRPr="000D2F8D">
        <w:rPr>
          <w:rFonts w:ascii="Palatino Linotype" w:eastAsia="Palatino Linotype" w:hAnsi="Palatino Linotype" w:cs="Palatino Linotype"/>
        </w:rPr>
        <w:t>l</w:t>
      </w:r>
      <w:r w:rsidR="004F5574" w:rsidRPr="000D2F8D">
        <w:rPr>
          <w:rFonts w:ascii="Palatino Linotype" w:eastAsia="Palatino Linotype" w:hAnsi="Palatino Linotype" w:cs="Palatino Linotype"/>
        </w:rPr>
        <w:t xml:space="preserve"> </w:t>
      </w:r>
      <w:r w:rsidR="007E10E3" w:rsidRPr="000D2F8D">
        <w:rPr>
          <w:rFonts w:ascii="Palatino Linotype" w:eastAsia="Palatino Linotype" w:hAnsi="Palatino Linotype" w:cs="Palatino Linotype"/>
        </w:rPr>
        <w:t>diecisiete de febrero de dos mil veinticinco</w:t>
      </w:r>
      <w:r w:rsidR="004F5574" w:rsidRPr="000D2F8D">
        <w:rPr>
          <w:rFonts w:ascii="Palatino Linotype" w:eastAsia="Palatino Linotype" w:hAnsi="Palatino Linotype" w:cs="Palatino Linotype"/>
        </w:rPr>
        <w:t xml:space="preserve">, </w:t>
      </w:r>
      <w:r w:rsidR="007E10E3" w:rsidRPr="000D2F8D">
        <w:rPr>
          <w:rFonts w:ascii="Palatino Linotype" w:eastAsia="Palatino Linotype" w:hAnsi="Palatino Linotype" w:cs="Palatino Linotype"/>
        </w:rPr>
        <w:t xml:space="preserve">el </w:t>
      </w:r>
      <w:r w:rsidR="007E10E3" w:rsidRPr="000D2F8D">
        <w:rPr>
          <w:rFonts w:ascii="Palatino Linotype" w:eastAsia="Palatino Linotype" w:hAnsi="Palatino Linotype" w:cs="Palatino Linotype"/>
          <w:b/>
        </w:rPr>
        <w:t>SUJETO OBLIGADO</w:t>
      </w:r>
      <w:r w:rsidR="007E10E3" w:rsidRPr="000D2F8D">
        <w:rPr>
          <w:rFonts w:ascii="Palatino Linotype" w:eastAsia="Palatino Linotype" w:hAnsi="Palatino Linotype" w:cs="Palatino Linotype"/>
        </w:rPr>
        <w:t xml:space="preserve"> rindió el informe justificado correspondiente, </w:t>
      </w:r>
      <w:r w:rsidR="00A277C4" w:rsidRPr="000D2F8D">
        <w:rPr>
          <w:rFonts w:ascii="Palatino Linotype" w:eastAsia="Palatino Linotype" w:hAnsi="Palatino Linotype" w:cs="Palatino Linotype"/>
        </w:rPr>
        <w:t>mediante el</w:t>
      </w:r>
      <w:r w:rsidR="007E10E3" w:rsidRPr="000D2F8D">
        <w:rPr>
          <w:rFonts w:ascii="Palatino Linotype" w:eastAsia="Palatino Linotype" w:hAnsi="Palatino Linotype" w:cs="Palatino Linotype"/>
        </w:rPr>
        <w:t xml:space="preserve"> archivo electrónico denominado</w:t>
      </w:r>
      <w:r w:rsidR="00702785" w:rsidRPr="000D2F8D">
        <w:rPr>
          <w:rFonts w:ascii="Palatino Linotype" w:eastAsia="Palatino Linotype" w:hAnsi="Palatino Linotype" w:cs="Palatino Linotype"/>
        </w:rPr>
        <w:t xml:space="preserve"> </w:t>
      </w:r>
      <w:r w:rsidR="00702785" w:rsidRPr="000D2F8D">
        <w:rPr>
          <w:rFonts w:ascii="Palatino Linotype" w:eastAsia="Palatino Linotype" w:hAnsi="Palatino Linotype" w:cs="Palatino Linotype"/>
          <w:b/>
        </w:rPr>
        <w:t>“</w:t>
      </w:r>
      <w:r w:rsidR="007E10E3" w:rsidRPr="000D2F8D">
        <w:rPr>
          <w:rFonts w:ascii="Palatino Linotype" w:eastAsia="Palatino Linotype" w:hAnsi="Palatino Linotype" w:cs="Palatino Linotype"/>
          <w:b/>
        </w:rPr>
        <w:t>Informes Justificados RR373 S 028.pdf</w:t>
      </w:r>
      <w:r w:rsidR="00702785" w:rsidRPr="000D2F8D">
        <w:rPr>
          <w:rFonts w:ascii="Palatino Linotype" w:eastAsia="Palatino Linotype" w:hAnsi="Palatino Linotype" w:cs="Palatino Linotype"/>
          <w:b/>
        </w:rPr>
        <w:t>”,</w:t>
      </w:r>
      <w:r w:rsidR="00AC67F7" w:rsidRPr="000D2F8D">
        <w:rPr>
          <w:rFonts w:ascii="Palatino Linotype" w:eastAsia="Palatino Linotype" w:hAnsi="Palatino Linotype" w:cs="Palatino Linotype"/>
        </w:rPr>
        <w:t xml:space="preserve"> </w:t>
      </w:r>
      <w:r w:rsidR="00AC67F7" w:rsidRPr="000D2F8D">
        <w:rPr>
          <w:rFonts w:ascii="Palatino Linotype" w:hAnsi="Palatino Linotype" w:cs="Arial"/>
          <w:noProof/>
        </w:rPr>
        <w:t>consistente en</w:t>
      </w:r>
      <w:r w:rsidR="007E714E" w:rsidRPr="000D2F8D">
        <w:rPr>
          <w:rFonts w:ascii="Palatino Linotype" w:hAnsi="Palatino Linotype" w:cs="Arial"/>
          <w:noProof/>
        </w:rPr>
        <w:t xml:space="preserve"> el oficio número 200B10100/356/2025, suscrito por la Titular de la </w:t>
      </w:r>
      <w:r w:rsidR="00A277C4" w:rsidRPr="000D2F8D">
        <w:rPr>
          <w:rFonts w:ascii="Palatino Linotype" w:hAnsi="Palatino Linotype" w:cs="Arial"/>
          <w:noProof/>
        </w:rPr>
        <w:t xml:space="preserve">Unidad de Información, Planeación, Programación y Evaluación, por medio del cual, </w:t>
      </w:r>
      <w:r w:rsidR="00A277C4" w:rsidRPr="000D2F8D">
        <w:rPr>
          <w:rFonts w:ascii="Palatino Linotype" w:hAnsi="Palatino Linotype" w:cs="Arial"/>
          <w:b/>
          <w:noProof/>
        </w:rPr>
        <w:t xml:space="preserve">ratificó la respuesta. </w:t>
      </w:r>
    </w:p>
    <w:p w:rsidR="00AF2A58" w:rsidRPr="000D2F8D" w:rsidRDefault="00AF2A58" w:rsidP="00C82ED1">
      <w:pPr>
        <w:rPr>
          <w:rFonts w:ascii="Palatino Linotype" w:hAnsi="Palatino Linotype"/>
        </w:rPr>
      </w:pPr>
    </w:p>
    <w:p w:rsidR="00AF2A58" w:rsidRPr="000D2F8D"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hAnsi="Palatino Linotype"/>
        </w:rPr>
        <w:t xml:space="preserve">El </w:t>
      </w:r>
      <w:r w:rsidR="000A6B82" w:rsidRPr="000D2F8D">
        <w:rPr>
          <w:rFonts w:ascii="Palatino Linotype" w:hAnsi="Palatino Linotype"/>
        </w:rPr>
        <w:t xml:space="preserve">catorce de </w:t>
      </w:r>
      <w:r w:rsidR="007E10E3" w:rsidRPr="000D2F8D">
        <w:rPr>
          <w:rFonts w:ascii="Palatino Linotype" w:hAnsi="Palatino Linotype"/>
        </w:rPr>
        <w:t>marzo</w:t>
      </w:r>
      <w:r w:rsidR="00CB6ECF" w:rsidRPr="000D2F8D">
        <w:rPr>
          <w:rFonts w:ascii="Palatino Linotype" w:hAnsi="Palatino Linotype"/>
        </w:rPr>
        <w:t xml:space="preserve"> de dos mil veinticinco</w:t>
      </w:r>
      <w:r w:rsidRPr="000D2F8D">
        <w:rPr>
          <w:rFonts w:ascii="Palatino Linotype" w:hAnsi="Palatino Linotype"/>
        </w:rPr>
        <w:t xml:space="preserve">, </w:t>
      </w:r>
      <w:r w:rsidRPr="000D2F8D">
        <w:rPr>
          <w:rFonts w:ascii="Palatino Linotype" w:hAnsi="Palatino Linotype" w:cs="Tahoma"/>
        </w:rPr>
        <w:t>se notificó el acuerdo mediante el cual se amplió el plazo para emitir resolución por un término de 15 días adicionales.</w:t>
      </w:r>
    </w:p>
    <w:p w:rsidR="00AF2A58" w:rsidRPr="000D2F8D" w:rsidRDefault="00AF2A58" w:rsidP="00C82ED1">
      <w:pPr>
        <w:ind w:right="1"/>
        <w:jc w:val="both"/>
        <w:rPr>
          <w:rFonts w:ascii="Palatino Linotype" w:eastAsia="Palatino Linotype" w:hAnsi="Palatino Linotype" w:cs="Palatino Linotype"/>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 xml:space="preserve">La Comisionada Ponente decretó el cierre de instrucción mediante el acuerdo del </w:t>
      </w:r>
      <w:r w:rsidR="007E10E3" w:rsidRPr="000D2F8D">
        <w:rPr>
          <w:rFonts w:ascii="Palatino Linotype" w:eastAsia="Palatino Linotype" w:hAnsi="Palatino Linotype" w:cs="Palatino Linotype"/>
        </w:rPr>
        <w:t xml:space="preserve">veintiséis </w:t>
      </w:r>
      <w:r w:rsidR="00CB6ECF" w:rsidRPr="000D2F8D">
        <w:rPr>
          <w:rFonts w:ascii="Palatino Linotype" w:eastAsia="Palatino Linotype" w:hAnsi="Palatino Linotype" w:cs="Palatino Linotype"/>
        </w:rPr>
        <w:t>de marzo</w:t>
      </w:r>
      <w:r w:rsidR="00AF2A58" w:rsidRPr="000D2F8D">
        <w:rPr>
          <w:rFonts w:ascii="Palatino Linotype" w:eastAsia="Palatino Linotype" w:hAnsi="Palatino Linotype" w:cs="Palatino Linotype"/>
        </w:rPr>
        <w:t xml:space="preserve"> de dos mil veinticinco</w:t>
      </w:r>
      <w:r w:rsidRPr="000D2F8D">
        <w:rPr>
          <w:rFonts w:ascii="Palatino Linotype" w:eastAsia="Palatino Linotype" w:hAnsi="Palatino Linotype" w:cs="Palatino Linotype"/>
        </w:rPr>
        <w:t>.-----------------------------</w:t>
      </w:r>
      <w:r w:rsidR="00111B6F" w:rsidRPr="000D2F8D">
        <w:rPr>
          <w:rFonts w:ascii="Palatino Linotype" w:eastAsia="Palatino Linotype" w:hAnsi="Palatino Linotype" w:cs="Palatino Linotype"/>
        </w:rPr>
        <w:t>-------------------------------</w:t>
      </w:r>
    </w:p>
    <w:p w:rsidR="00E94D86" w:rsidRPr="000D2F8D" w:rsidRDefault="00E94D86" w:rsidP="00C82ED1">
      <w:pPr>
        <w:rPr>
          <w:rFonts w:ascii="Palatino Linotype" w:eastAsia="Palatino Linotype" w:hAnsi="Palatino Linotype" w:cs="Palatino Linotype"/>
          <w:b/>
        </w:rPr>
      </w:pPr>
    </w:p>
    <w:p w:rsidR="00E94D86" w:rsidRPr="000D2F8D" w:rsidRDefault="001E3125">
      <w:pPr>
        <w:keepNext/>
        <w:keepLines/>
        <w:spacing w:line="360" w:lineRule="auto"/>
        <w:ind w:right="-592"/>
        <w:jc w:val="center"/>
        <w:rPr>
          <w:rFonts w:ascii="Palatino Linotype" w:eastAsia="Palatino Linotype" w:hAnsi="Palatino Linotype" w:cs="Palatino Linotype"/>
          <w:b/>
        </w:rPr>
      </w:pPr>
      <w:r w:rsidRPr="000D2F8D">
        <w:rPr>
          <w:rFonts w:ascii="Palatino Linotype" w:eastAsia="Palatino Linotype" w:hAnsi="Palatino Linotype" w:cs="Palatino Linotype"/>
          <w:b/>
        </w:rPr>
        <w:lastRenderedPageBreak/>
        <w:t xml:space="preserve">C O N S I D E R A N D O </w:t>
      </w:r>
    </w:p>
    <w:p w:rsidR="00E94D86" w:rsidRPr="000D2F8D" w:rsidRDefault="00E94D86" w:rsidP="00C82ED1">
      <w:pPr>
        <w:keepNext/>
        <w:keepLines/>
        <w:ind w:right="-592"/>
        <w:rPr>
          <w:rFonts w:ascii="Palatino Linotype" w:eastAsia="Palatino Linotype" w:hAnsi="Palatino Linotype" w:cs="Palatino Linotype"/>
        </w:rPr>
      </w:pPr>
    </w:p>
    <w:p w:rsidR="00E94D86" w:rsidRPr="000D2F8D" w:rsidRDefault="001E3125">
      <w:pPr>
        <w:keepNext/>
        <w:keepLines/>
        <w:spacing w:line="360" w:lineRule="auto"/>
        <w:ind w:right="-592"/>
        <w:rPr>
          <w:rFonts w:ascii="Palatino Linotype" w:eastAsia="Palatino Linotype" w:hAnsi="Palatino Linotype" w:cs="Palatino Linotype"/>
          <w:b/>
        </w:rPr>
      </w:pPr>
      <w:r w:rsidRPr="000D2F8D">
        <w:rPr>
          <w:rFonts w:ascii="Palatino Linotype" w:eastAsia="Palatino Linotype" w:hAnsi="Palatino Linotype" w:cs="Palatino Linotype"/>
          <w:b/>
        </w:rPr>
        <w:t>PRIMERO. De la competencia.</w:t>
      </w:r>
    </w:p>
    <w:p w:rsidR="00E94D86" w:rsidRPr="000D2F8D" w:rsidRDefault="00E94D86" w:rsidP="00C82ED1">
      <w:pPr>
        <w:rPr>
          <w:rFonts w:ascii="Palatino Linotype" w:eastAsia="Palatino Linotype" w:hAnsi="Palatino Linotype" w:cs="Palatino Linotype"/>
          <w:b/>
        </w:rPr>
      </w:pPr>
    </w:p>
    <w:p w:rsidR="00E94D86" w:rsidRPr="000D2F8D" w:rsidRDefault="001E3125" w:rsidP="00C82ED1">
      <w:pPr>
        <w:numPr>
          <w:ilvl w:val="0"/>
          <w:numId w:val="1"/>
        </w:numPr>
        <w:spacing w:line="360" w:lineRule="auto"/>
        <w:ind w:left="0" w:right="1" w:firstLine="0"/>
        <w:jc w:val="both"/>
        <w:rPr>
          <w:rFonts w:ascii="Palatino Linotype" w:eastAsia="Palatino Linotype" w:hAnsi="Palatino Linotype" w:cs="Palatino Linotype"/>
          <w:b/>
        </w:rPr>
      </w:pPr>
      <w:bookmarkStart w:id="1" w:name="_heading=h.3znysh7" w:colFirst="0" w:colLast="0"/>
      <w:bookmarkEnd w:id="1"/>
      <w:r w:rsidRPr="000D2F8D">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CE6D4F" w:rsidRPr="000D2F8D" w:rsidRDefault="00CE6D4F" w:rsidP="00CE6D4F">
      <w:pPr>
        <w:spacing w:line="360" w:lineRule="auto"/>
        <w:ind w:right="1"/>
        <w:jc w:val="both"/>
        <w:rPr>
          <w:rFonts w:ascii="Palatino Linotype" w:eastAsia="Palatino Linotype" w:hAnsi="Palatino Linotype" w:cs="Palatino Linotype"/>
          <w:b/>
        </w:rPr>
      </w:pPr>
    </w:p>
    <w:p w:rsidR="00E94D86" w:rsidRPr="000D2F8D" w:rsidRDefault="001E3125">
      <w:pPr>
        <w:keepNext/>
        <w:keepLines/>
        <w:spacing w:line="360" w:lineRule="auto"/>
        <w:ind w:right="1"/>
        <w:rPr>
          <w:rFonts w:ascii="Palatino Linotype" w:eastAsia="Palatino Linotype" w:hAnsi="Palatino Linotype" w:cs="Palatino Linotype"/>
          <w:b/>
        </w:rPr>
      </w:pPr>
      <w:r w:rsidRPr="000D2F8D">
        <w:rPr>
          <w:rFonts w:ascii="Palatino Linotype" w:eastAsia="Palatino Linotype" w:hAnsi="Palatino Linotype" w:cs="Palatino Linotype"/>
          <w:b/>
        </w:rPr>
        <w:t>SEGUNDO. De la oportunidad y procedencia.</w:t>
      </w:r>
    </w:p>
    <w:p w:rsidR="00E94D86" w:rsidRPr="000D2F8D" w:rsidRDefault="00E94D86" w:rsidP="00C82ED1">
      <w:pPr>
        <w:ind w:right="1"/>
        <w:jc w:val="both"/>
        <w:rPr>
          <w:rFonts w:ascii="Palatino Linotype" w:eastAsia="Palatino Linotype" w:hAnsi="Palatino Linotype" w:cs="Palatino Linotype"/>
          <w:b/>
        </w:rPr>
      </w:pPr>
    </w:p>
    <w:p w:rsidR="00AF2A58" w:rsidRPr="000D2F8D" w:rsidRDefault="001E3125" w:rsidP="00C82ED1">
      <w:pPr>
        <w:numPr>
          <w:ilvl w:val="0"/>
          <w:numId w:val="1"/>
        </w:numPr>
        <w:spacing w:line="360" w:lineRule="auto"/>
        <w:ind w:left="0" w:right="1" w:firstLine="0"/>
        <w:jc w:val="both"/>
        <w:rPr>
          <w:rFonts w:ascii="Palatino Linotype" w:eastAsia="Palatino Linotype" w:hAnsi="Palatino Linotype" w:cs="Palatino Linotype"/>
          <w:b/>
        </w:rPr>
      </w:pPr>
      <w:bookmarkStart w:id="2" w:name="_heading=h.3dy6vkm" w:colFirst="0" w:colLast="0"/>
      <w:bookmarkEnd w:id="2"/>
      <w:r w:rsidRPr="000D2F8D">
        <w:rPr>
          <w:rFonts w:ascii="Palatino Linotype" w:eastAsia="Palatino Linotype" w:hAnsi="Palatino Linotype" w:cs="Palatino Linotype"/>
        </w:rPr>
        <w:t xml:space="preserve">El medio de impugnación fue presentado a través del </w:t>
      </w:r>
      <w:r w:rsidRPr="000D2F8D">
        <w:rPr>
          <w:rFonts w:ascii="Palatino Linotype" w:eastAsia="Palatino Linotype" w:hAnsi="Palatino Linotype" w:cs="Palatino Linotype"/>
          <w:b/>
        </w:rPr>
        <w:t>SAIMEX,</w:t>
      </w:r>
      <w:r w:rsidRPr="000D2F8D">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rPr>
        <w:t xml:space="preserve"> entregó respuesta el </w:t>
      </w:r>
      <w:r w:rsidR="00CE6D4F" w:rsidRPr="000D2F8D">
        <w:rPr>
          <w:rFonts w:ascii="Palatino Linotype" w:eastAsia="Palatino Linotype" w:hAnsi="Palatino Linotype" w:cs="Palatino Linotype"/>
        </w:rPr>
        <w:t>veintiuno de enero de dos mil veinticinco</w:t>
      </w:r>
      <w:r w:rsidRPr="000D2F8D">
        <w:rPr>
          <w:rFonts w:ascii="Palatino Linotype" w:eastAsia="Palatino Linotype" w:hAnsi="Palatino Linotype" w:cs="Palatino Linotype"/>
        </w:rPr>
        <w:t xml:space="preserve">, de tal forma que el plazo para interponer el recurso de revisión transcurrió del </w:t>
      </w:r>
      <w:r w:rsidR="00CE6D4F" w:rsidRPr="000D2F8D">
        <w:rPr>
          <w:rFonts w:ascii="Palatino Linotype" w:eastAsia="Palatino Linotype" w:hAnsi="Palatino Linotype" w:cs="Palatino Linotype"/>
        </w:rPr>
        <w:t>veintidós de enero</w:t>
      </w:r>
      <w:r w:rsidR="00AF2A58" w:rsidRPr="000D2F8D">
        <w:rPr>
          <w:rFonts w:ascii="Palatino Linotype" w:eastAsia="Palatino Linotype" w:hAnsi="Palatino Linotype" w:cs="Palatino Linotype"/>
        </w:rPr>
        <w:t xml:space="preserve"> </w:t>
      </w:r>
      <w:r w:rsidRPr="000D2F8D">
        <w:rPr>
          <w:rFonts w:ascii="Palatino Linotype" w:eastAsia="Palatino Linotype" w:hAnsi="Palatino Linotype" w:cs="Palatino Linotype"/>
        </w:rPr>
        <w:t xml:space="preserve">al </w:t>
      </w:r>
      <w:r w:rsidR="00CE6D4F" w:rsidRPr="000D2F8D">
        <w:rPr>
          <w:rFonts w:ascii="Palatino Linotype" w:eastAsia="Palatino Linotype" w:hAnsi="Palatino Linotype" w:cs="Palatino Linotype"/>
        </w:rPr>
        <w:t>doce de febrero de dos mil veinticinco</w:t>
      </w:r>
      <w:r w:rsidRPr="000D2F8D">
        <w:rPr>
          <w:rFonts w:ascii="Palatino Linotype" w:eastAsia="Palatino Linotype" w:hAnsi="Palatino Linotype" w:cs="Palatino Linotype"/>
        </w:rPr>
        <w:t xml:space="preserve">; en consecuencia, presentó su inconformidad el </w:t>
      </w:r>
      <w:r w:rsidR="00CE6D4F" w:rsidRPr="000D2F8D">
        <w:rPr>
          <w:rFonts w:ascii="Palatino Linotype" w:eastAsia="Palatino Linotype" w:hAnsi="Palatino Linotype" w:cs="Palatino Linotype"/>
        </w:rPr>
        <w:t>treinta y uno de enero de dos mil veinticinco</w:t>
      </w:r>
      <w:r w:rsidRPr="000D2F8D">
        <w:rPr>
          <w:rFonts w:ascii="Palatino Linotype" w:eastAsia="Palatino Linotype" w:hAnsi="Palatino Linotype" w:cs="Palatino Linotype"/>
        </w:rPr>
        <w:t xml:space="preserve">, por lo que se encuentra dentro de los márgenes temporales previstos en el artículo 178 de </w:t>
      </w:r>
      <w:r w:rsidRPr="000D2F8D">
        <w:rPr>
          <w:rFonts w:ascii="Palatino Linotype" w:eastAsia="Palatino Linotype" w:hAnsi="Palatino Linotype" w:cs="Palatino Linotype"/>
        </w:rPr>
        <w:lastRenderedPageBreak/>
        <w:t xml:space="preserve">la </w:t>
      </w:r>
      <w:r w:rsidRPr="000D2F8D">
        <w:rPr>
          <w:rFonts w:ascii="Palatino Linotype" w:eastAsia="Palatino Linotype" w:hAnsi="Palatino Linotype" w:cs="Palatino Linotype"/>
          <w:b/>
        </w:rPr>
        <w:t xml:space="preserve">Ley de Transparencia y Acceso a la Información Pública del Estado de México y Municipios </w:t>
      </w:r>
      <w:r w:rsidRPr="000D2F8D">
        <w:rPr>
          <w:rFonts w:ascii="Palatino Linotype" w:eastAsia="Palatino Linotype" w:hAnsi="Palatino Linotype" w:cs="Palatino Linotype"/>
        </w:rPr>
        <w:t>vigente.</w:t>
      </w:r>
    </w:p>
    <w:p w:rsidR="00A277C4" w:rsidRPr="000D2F8D" w:rsidRDefault="00A277C4" w:rsidP="00A277C4">
      <w:pPr>
        <w:spacing w:line="360" w:lineRule="auto"/>
        <w:ind w:right="1"/>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0D2F8D" w:rsidRDefault="00E94D86" w:rsidP="00C82ED1">
      <w:pPr>
        <w:ind w:right="-592"/>
        <w:jc w:val="both"/>
        <w:rPr>
          <w:rFonts w:ascii="Palatino Linotype" w:eastAsia="Palatino Linotype" w:hAnsi="Palatino Linotype" w:cs="Palatino Linotype"/>
          <w:b/>
        </w:rPr>
      </w:pPr>
    </w:p>
    <w:p w:rsidR="00E94D86" w:rsidRPr="000D2F8D" w:rsidRDefault="001E3125">
      <w:pPr>
        <w:spacing w:line="360" w:lineRule="auto"/>
        <w:ind w:right="-592"/>
        <w:jc w:val="both"/>
        <w:rPr>
          <w:rFonts w:ascii="Palatino Linotype" w:eastAsia="Palatino Linotype" w:hAnsi="Palatino Linotype" w:cs="Palatino Linotype"/>
          <w:b/>
        </w:rPr>
      </w:pPr>
      <w:r w:rsidRPr="000D2F8D">
        <w:rPr>
          <w:rFonts w:ascii="Palatino Linotype" w:eastAsia="Palatino Linotype" w:hAnsi="Palatino Linotype" w:cs="Palatino Linotype"/>
          <w:b/>
        </w:rPr>
        <w:t>TERCERO. Planteamiento de la Litis.</w:t>
      </w:r>
    </w:p>
    <w:p w:rsidR="00E94D86" w:rsidRPr="000D2F8D" w:rsidRDefault="00E94D86" w:rsidP="00C82ED1">
      <w:pPr>
        <w:ind w:right="-592"/>
        <w:jc w:val="both"/>
        <w:rPr>
          <w:rFonts w:ascii="Palatino Linotype" w:eastAsia="Palatino Linotype" w:hAnsi="Palatino Linotype" w:cs="Palatino Linotype"/>
          <w:b/>
        </w:rPr>
      </w:pPr>
    </w:p>
    <w:p w:rsidR="00E94D86" w:rsidRPr="000D2F8D" w:rsidRDefault="001E3125" w:rsidP="00073512">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 xml:space="preserve">El </w:t>
      </w:r>
      <w:r w:rsidRPr="000D2F8D">
        <w:rPr>
          <w:rFonts w:ascii="Palatino Linotype" w:eastAsia="Palatino Linotype" w:hAnsi="Palatino Linotype" w:cs="Palatino Linotype"/>
          <w:b/>
        </w:rPr>
        <w:t>RECURRENTE</w:t>
      </w:r>
      <w:r w:rsidR="00A42556" w:rsidRPr="000D2F8D">
        <w:rPr>
          <w:rFonts w:ascii="Palatino Linotype" w:eastAsia="Palatino Linotype" w:hAnsi="Palatino Linotype" w:cs="Palatino Linotype"/>
          <w:b/>
        </w:rPr>
        <w:t xml:space="preserve"> </w:t>
      </w:r>
      <w:r w:rsidR="00A42556" w:rsidRPr="000D2F8D">
        <w:rPr>
          <w:rFonts w:ascii="Palatino Linotype" w:eastAsia="Palatino Linotype" w:hAnsi="Palatino Linotype" w:cs="Palatino Linotype"/>
        </w:rPr>
        <w:t xml:space="preserve">solicitó </w:t>
      </w:r>
      <w:r w:rsidR="00CE6D4F" w:rsidRPr="000D2F8D">
        <w:rPr>
          <w:rFonts w:ascii="Palatino Linotype" w:hAnsi="Palatino Linotype"/>
          <w:color w:val="000000"/>
        </w:rPr>
        <w:t>el anteproyecto del presupuesto de egresos del Sistema Municipal para el Desarrollo Integral de la Familia de Toluca para el 2025.</w:t>
      </w:r>
    </w:p>
    <w:p w:rsidR="00CE6D4F" w:rsidRPr="000D2F8D" w:rsidRDefault="00CE6D4F" w:rsidP="00CE6D4F">
      <w:pPr>
        <w:spacing w:line="360" w:lineRule="auto"/>
        <w:ind w:right="1"/>
        <w:jc w:val="both"/>
        <w:rPr>
          <w:rFonts w:ascii="Palatino Linotype" w:eastAsia="Palatino Linotype" w:hAnsi="Palatino Linotype" w:cs="Palatino Linotype"/>
          <w:b/>
        </w:rPr>
      </w:pPr>
    </w:p>
    <w:p w:rsidR="00A277C4" w:rsidRPr="000D2F8D" w:rsidRDefault="001E3125" w:rsidP="00A277C4">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En respuesta, 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rPr>
        <w:t xml:space="preserve"> </w:t>
      </w:r>
      <w:r w:rsidR="004C53D4" w:rsidRPr="000D2F8D">
        <w:rPr>
          <w:rFonts w:ascii="Palatino Linotype" w:eastAsia="Palatino Linotype" w:hAnsi="Palatino Linotype" w:cs="Palatino Linotype"/>
        </w:rPr>
        <w:t>por medio del</w:t>
      </w:r>
      <w:r w:rsidR="00A277C4" w:rsidRPr="000D2F8D">
        <w:rPr>
          <w:rFonts w:ascii="Palatino Linotype" w:eastAsia="Palatino Linotype" w:hAnsi="Palatino Linotype" w:cs="Palatino Linotype"/>
        </w:rPr>
        <w:t xml:space="preserve"> </w:t>
      </w:r>
      <w:r w:rsidR="00A277C4" w:rsidRPr="000D2F8D">
        <w:rPr>
          <w:rFonts w:ascii="Palatino Linotype" w:hAnsi="Palatino Linotype"/>
        </w:rPr>
        <w:t>Director de Administración y Tesorería, remitió una copia digitalizada del PbRM-04d “Caratula de presupuesto de egresos” del 01 de enero al 31 de diciembre de 2025, del Presupuesto basado en Resultados Municipal del DIF de Toluca.</w:t>
      </w:r>
    </w:p>
    <w:p w:rsidR="00E94D86" w:rsidRPr="000D2F8D" w:rsidRDefault="00E94D86" w:rsidP="00C82ED1">
      <w:pPr>
        <w:ind w:right="1"/>
        <w:rPr>
          <w:rFonts w:ascii="Palatino Linotype" w:eastAsia="Palatino Linotype" w:hAnsi="Palatino Linotype" w:cs="Palatino Linotype"/>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 xml:space="preserve">Posteriormente, el </w:t>
      </w:r>
      <w:r w:rsidRPr="000D2F8D">
        <w:rPr>
          <w:rFonts w:ascii="Palatino Linotype" w:eastAsia="Palatino Linotype" w:hAnsi="Palatino Linotype" w:cs="Palatino Linotype"/>
          <w:b/>
        </w:rPr>
        <w:t>RECURRENTE</w:t>
      </w:r>
      <w:r w:rsidRPr="000D2F8D">
        <w:rPr>
          <w:rFonts w:ascii="Palatino Linotype" w:eastAsia="Palatino Linotype" w:hAnsi="Palatino Linotype" w:cs="Palatino Linotype"/>
        </w:rPr>
        <w:t xml:space="preserve"> se inconformó por </w:t>
      </w:r>
      <w:r w:rsidR="00F10800" w:rsidRPr="000D2F8D">
        <w:rPr>
          <w:rFonts w:ascii="Palatino Linotype" w:eastAsia="Palatino Linotype" w:hAnsi="Palatino Linotype" w:cs="Palatino Linotype"/>
          <w:b/>
        </w:rPr>
        <w:t xml:space="preserve">la </w:t>
      </w:r>
      <w:r w:rsidR="00A277C4" w:rsidRPr="000D2F8D">
        <w:rPr>
          <w:rFonts w:ascii="Palatino Linotype" w:eastAsia="Palatino Linotype" w:hAnsi="Palatino Linotype" w:cs="Palatino Linotype"/>
          <w:b/>
        </w:rPr>
        <w:t>entrega de información incompleta.</w:t>
      </w:r>
    </w:p>
    <w:p w:rsidR="00E94D86" w:rsidRPr="000D2F8D" w:rsidRDefault="00E94D86" w:rsidP="00C82ED1">
      <w:pPr>
        <w:ind w:right="1"/>
        <w:rPr>
          <w:rFonts w:ascii="Palatino Linotype" w:eastAsia="Palatino Linotype" w:hAnsi="Palatino Linotype" w:cs="Palatino Linotype"/>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bookmarkStart w:id="3" w:name="_heading=h.gjdgxs" w:colFirst="0" w:colLast="0"/>
      <w:bookmarkEnd w:id="3"/>
      <w:r w:rsidRPr="000D2F8D">
        <w:rPr>
          <w:rFonts w:ascii="Palatino Linotype" w:eastAsia="Palatino Linotype" w:hAnsi="Palatino Linotype" w:cs="Palatino Linotype"/>
        </w:rPr>
        <w:t xml:space="preserve">En dichas condiciones, la </w:t>
      </w:r>
      <w:r w:rsidRPr="000D2F8D">
        <w:rPr>
          <w:rFonts w:ascii="Palatino Linotype" w:eastAsia="Palatino Linotype" w:hAnsi="Palatino Linotype" w:cs="Palatino Linotype"/>
          <w:i/>
        </w:rPr>
        <w:t>Litis</w:t>
      </w:r>
      <w:r w:rsidRPr="000D2F8D">
        <w:rPr>
          <w:rFonts w:ascii="Palatino Linotype" w:eastAsia="Palatino Linotype" w:hAnsi="Palatino Linotype" w:cs="Palatino Linotype"/>
        </w:rPr>
        <w:t xml:space="preserve"> a resolver en el presente recurso de revisión se circunscribe a determinar si se actualizan la causal de procedencia prevista en el artículo </w:t>
      </w:r>
      <w:r w:rsidRPr="000D2F8D">
        <w:rPr>
          <w:rFonts w:ascii="Palatino Linotype" w:eastAsia="Palatino Linotype" w:hAnsi="Palatino Linotype" w:cs="Palatino Linotype"/>
        </w:rPr>
        <w:lastRenderedPageBreak/>
        <w:t>179, fracción</w:t>
      </w:r>
      <w:r w:rsidRPr="000D2F8D">
        <w:rPr>
          <w:rFonts w:ascii="Palatino Linotype" w:eastAsia="Palatino Linotype" w:hAnsi="Palatino Linotype" w:cs="Palatino Linotype"/>
          <w:b/>
        </w:rPr>
        <w:t xml:space="preserve"> </w:t>
      </w:r>
      <w:r w:rsidR="00A277C4" w:rsidRPr="000D2F8D">
        <w:rPr>
          <w:rFonts w:ascii="Palatino Linotype" w:eastAsia="Palatino Linotype" w:hAnsi="Palatino Linotype" w:cs="Palatino Linotype"/>
          <w:b/>
        </w:rPr>
        <w:t xml:space="preserve">V </w:t>
      </w:r>
      <w:r w:rsidRPr="000D2F8D">
        <w:rPr>
          <w:rFonts w:ascii="Palatino Linotype" w:eastAsia="Palatino Linotype" w:hAnsi="Palatino Linotype" w:cs="Palatino Linotype"/>
        </w:rPr>
        <w:t xml:space="preserve">de la </w:t>
      </w:r>
      <w:r w:rsidRPr="000D2F8D">
        <w:rPr>
          <w:rFonts w:ascii="Palatino Linotype" w:eastAsia="Palatino Linotype" w:hAnsi="Palatino Linotype" w:cs="Palatino Linotype"/>
          <w:b/>
        </w:rPr>
        <w:t>Ley de Transparencia y Acceso a la Información Pública del Estado de México y Municipios</w:t>
      </w:r>
      <w:r w:rsidRPr="000D2F8D">
        <w:rPr>
          <w:rFonts w:ascii="Palatino Linotype" w:eastAsia="Palatino Linotype" w:hAnsi="Palatino Linotype" w:cs="Palatino Linotype"/>
        </w:rPr>
        <w:t>.</w:t>
      </w:r>
    </w:p>
    <w:p w:rsidR="00E94D86" w:rsidRPr="000D2F8D" w:rsidRDefault="00E94D86" w:rsidP="00C82ED1">
      <w:pPr>
        <w:ind w:right="1"/>
        <w:jc w:val="both"/>
        <w:rPr>
          <w:rFonts w:ascii="Palatino Linotype" w:eastAsia="Palatino Linotype" w:hAnsi="Palatino Linotype" w:cs="Palatino Linotype"/>
          <w:b/>
        </w:rPr>
      </w:pPr>
    </w:p>
    <w:p w:rsidR="00111B6F" w:rsidRPr="000D2F8D" w:rsidRDefault="00111B6F" w:rsidP="00C82ED1">
      <w:pPr>
        <w:ind w:right="1"/>
        <w:jc w:val="both"/>
        <w:rPr>
          <w:rFonts w:ascii="Palatino Linotype" w:eastAsia="Palatino Linotype" w:hAnsi="Palatino Linotype" w:cs="Palatino Linotype"/>
          <w:b/>
        </w:rPr>
      </w:pPr>
    </w:p>
    <w:p w:rsidR="00111B6F" w:rsidRPr="000D2F8D" w:rsidRDefault="00111B6F" w:rsidP="00C82ED1">
      <w:pPr>
        <w:ind w:right="1"/>
        <w:jc w:val="both"/>
        <w:rPr>
          <w:rFonts w:ascii="Palatino Linotype" w:eastAsia="Palatino Linotype" w:hAnsi="Palatino Linotype" w:cs="Palatino Linotype"/>
          <w:b/>
        </w:rPr>
      </w:pPr>
    </w:p>
    <w:p w:rsidR="00E94D86" w:rsidRPr="000D2F8D" w:rsidRDefault="001E3125">
      <w:pPr>
        <w:pStyle w:val="Ttulo2"/>
        <w:spacing w:before="0" w:line="360" w:lineRule="auto"/>
        <w:ind w:right="1"/>
        <w:rPr>
          <w:rFonts w:ascii="Palatino Linotype" w:eastAsia="Palatino Linotype" w:hAnsi="Palatino Linotype" w:cs="Palatino Linotype"/>
          <w:b/>
          <w:color w:val="000000"/>
          <w:sz w:val="24"/>
          <w:szCs w:val="24"/>
        </w:rPr>
      </w:pPr>
      <w:r w:rsidRPr="000D2F8D">
        <w:rPr>
          <w:rFonts w:ascii="Palatino Linotype" w:eastAsia="Palatino Linotype" w:hAnsi="Palatino Linotype" w:cs="Palatino Linotype"/>
          <w:b/>
          <w:color w:val="000000"/>
          <w:sz w:val="24"/>
          <w:szCs w:val="24"/>
        </w:rPr>
        <w:t>CUARTA. Estudio y resolución del asunto.</w:t>
      </w:r>
    </w:p>
    <w:p w:rsidR="00E94D86" w:rsidRPr="000D2F8D" w:rsidRDefault="00E94D86" w:rsidP="000A31EF">
      <w:pPr>
        <w:ind w:right="1"/>
        <w:jc w:val="both"/>
        <w:rPr>
          <w:rFonts w:ascii="Palatino Linotype" w:eastAsia="Palatino Linotype" w:hAnsi="Palatino Linotype" w:cs="Palatino Linotype"/>
          <w:b/>
        </w:rPr>
      </w:pPr>
    </w:p>
    <w:p w:rsidR="00E94D86" w:rsidRPr="000D2F8D" w:rsidRDefault="001E3125" w:rsidP="00831332">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b/>
        </w:rPr>
        <w:t xml:space="preserve"> </w:t>
      </w:r>
      <w:r w:rsidRPr="000D2F8D">
        <w:rPr>
          <w:rFonts w:ascii="Palatino Linotype" w:eastAsia="Palatino Linotype" w:hAnsi="Palatino Linotype" w:cs="Palatino Linotype"/>
        </w:rPr>
        <w:t xml:space="preserve">El </w:t>
      </w:r>
      <w:r w:rsidRPr="000D2F8D">
        <w:rPr>
          <w:rFonts w:ascii="Palatino Linotype" w:eastAsia="Palatino Linotype" w:hAnsi="Palatino Linotype" w:cs="Palatino Linotype"/>
          <w:color w:val="000000"/>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0D2F8D">
        <w:rPr>
          <w:rFonts w:ascii="Palatino Linotype" w:eastAsia="Palatino Linotype" w:hAnsi="Palatino Linotype" w:cs="Palatino Linotype"/>
        </w:rPr>
        <w:t>Particular</w:t>
      </w:r>
      <w:r w:rsidRPr="000D2F8D">
        <w:rPr>
          <w:rFonts w:ascii="Palatino Linotype" w:eastAsia="Palatino Linotype" w:hAnsi="Palatino Linotype" w:cs="Palatino Linotype"/>
          <w:color w:val="000000"/>
        </w:rPr>
        <w:t xml:space="preserve"> del Estado de México.</w:t>
      </w:r>
    </w:p>
    <w:p w:rsidR="0042456D" w:rsidRPr="000D2F8D" w:rsidRDefault="0042456D" w:rsidP="0042456D">
      <w:pPr>
        <w:spacing w:line="360" w:lineRule="auto"/>
        <w:ind w:right="1"/>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000000"/>
        </w:rPr>
        <w:t xml:space="preserve">Definiendo </w:t>
      </w:r>
      <w:r w:rsidRPr="000D2F8D">
        <w:rPr>
          <w:rFonts w:ascii="Palatino Linotype" w:eastAsia="Palatino Linotype" w:hAnsi="Palatino Linotype" w:cs="Palatino Linotype"/>
        </w:rPr>
        <w:t xml:space="preserve">el Derecho de Acceso a la Información Pública como: </w:t>
      </w:r>
      <w:r w:rsidRPr="000D2F8D">
        <w:rPr>
          <w:rFonts w:ascii="Palatino Linotype" w:eastAsia="Palatino Linotype" w:hAnsi="Palatino Linotype" w:cs="Palatino Linotype"/>
          <w:i/>
          <w:color w:val="000000"/>
        </w:rPr>
        <w:t xml:space="preserve">La igualdad de </w:t>
      </w:r>
      <w:r w:rsidRPr="000D2F8D">
        <w:rPr>
          <w:rFonts w:ascii="Palatino Linotype" w:eastAsia="Palatino Linotype" w:hAnsi="Palatino Linotype" w:cs="Palatino Linotype"/>
        </w:rPr>
        <w:t>oportunidades</w:t>
      </w:r>
      <w:r w:rsidRPr="000D2F8D">
        <w:rPr>
          <w:rFonts w:ascii="Palatino Linotype" w:eastAsia="Palatino Linotype" w:hAnsi="Palatino Linotype" w:cs="Palatino Linotype"/>
          <w:i/>
          <w:color w:val="000000"/>
        </w:rPr>
        <w:t xml:space="preserve"> para recibir, buscar e impartir información</w:t>
      </w:r>
      <w:r w:rsidRPr="000D2F8D">
        <w:rPr>
          <w:rFonts w:ascii="Palatino Linotype" w:eastAsia="Palatino Linotype" w:hAnsi="Palatino Linotype" w:cs="Palatino Linotype"/>
          <w:i/>
          <w:color w:val="000000"/>
          <w:vertAlign w:val="superscript"/>
        </w:rPr>
        <w:footnoteReference w:id="1"/>
      </w:r>
      <w:r w:rsidRPr="000D2F8D">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0D2F8D">
        <w:rPr>
          <w:rFonts w:ascii="Palatino Linotype" w:eastAsia="Palatino Linotype" w:hAnsi="Palatino Linotype" w:cs="Palatino Linotype"/>
          <w:i/>
          <w:color w:val="000000"/>
          <w:vertAlign w:val="superscript"/>
        </w:rPr>
        <w:footnoteReference w:id="2"/>
      </w:r>
      <w:r w:rsidRPr="000D2F8D">
        <w:rPr>
          <w:rFonts w:ascii="Palatino Linotype" w:eastAsia="Palatino Linotype" w:hAnsi="Palatino Linotype" w:cs="Palatino Linotype"/>
          <w:color w:val="000000"/>
        </w:rPr>
        <w:t>que se constituye como una herramienta fundamental para ejercer</w:t>
      </w:r>
      <w:r w:rsidRPr="000D2F8D">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0D2F8D">
        <w:rPr>
          <w:rFonts w:ascii="Palatino Linotype" w:eastAsia="Palatino Linotype" w:hAnsi="Palatino Linotype" w:cs="Palatino Linotype"/>
          <w:i/>
          <w:color w:val="000000"/>
          <w:vertAlign w:val="superscript"/>
        </w:rPr>
        <w:footnoteReference w:id="3"/>
      </w:r>
      <w:r w:rsidRPr="000D2F8D">
        <w:rPr>
          <w:rFonts w:ascii="Palatino Linotype" w:eastAsia="Palatino Linotype" w:hAnsi="Palatino Linotype" w:cs="Palatino Linotype"/>
          <w:color w:val="000000"/>
        </w:rPr>
        <w:t>fomentando</w:t>
      </w:r>
      <w:r w:rsidRPr="000D2F8D">
        <w:rPr>
          <w:rFonts w:ascii="Palatino Linotype" w:eastAsia="Palatino Linotype" w:hAnsi="Palatino Linotype" w:cs="Palatino Linotype"/>
          <w:i/>
          <w:color w:val="000000"/>
        </w:rPr>
        <w:t xml:space="preserve"> la </w:t>
      </w:r>
      <w:r w:rsidRPr="000D2F8D">
        <w:rPr>
          <w:rFonts w:ascii="Palatino Linotype" w:eastAsia="Palatino Linotype" w:hAnsi="Palatino Linotype" w:cs="Palatino Linotype"/>
          <w:i/>
          <w:color w:val="000000"/>
        </w:rPr>
        <w:lastRenderedPageBreak/>
        <w:t xml:space="preserve">transparencia de las actividades estatales y </w:t>
      </w:r>
      <w:r w:rsidRPr="000D2F8D">
        <w:rPr>
          <w:rFonts w:ascii="Palatino Linotype" w:eastAsia="Palatino Linotype" w:hAnsi="Palatino Linotype" w:cs="Palatino Linotype"/>
          <w:color w:val="000000"/>
        </w:rPr>
        <w:t>promoviendo</w:t>
      </w:r>
      <w:r w:rsidRPr="000D2F8D">
        <w:rPr>
          <w:rFonts w:ascii="Palatino Linotype" w:eastAsia="Palatino Linotype" w:hAnsi="Palatino Linotype" w:cs="Palatino Linotype"/>
          <w:i/>
          <w:color w:val="000000"/>
        </w:rPr>
        <w:t xml:space="preserve"> la responsabilidad de los funcionarios sobre su gestión pública,</w:t>
      </w:r>
      <w:r w:rsidRPr="000D2F8D">
        <w:rPr>
          <w:rFonts w:ascii="Palatino Linotype" w:eastAsia="Palatino Linotype" w:hAnsi="Palatino Linotype" w:cs="Palatino Linotype"/>
          <w:i/>
          <w:color w:val="000000"/>
          <w:vertAlign w:val="superscript"/>
        </w:rPr>
        <w:footnoteReference w:id="4"/>
      </w:r>
      <w:r w:rsidRPr="000D2F8D">
        <w:rPr>
          <w:rFonts w:ascii="Palatino Linotype" w:eastAsia="Palatino Linotype" w:hAnsi="Palatino Linotype" w:cs="Palatino Linotype"/>
          <w:color w:val="000000"/>
        </w:rPr>
        <w:t>que permite</w:t>
      </w:r>
      <w:r w:rsidRPr="000D2F8D">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E94D86" w:rsidRPr="000D2F8D" w:rsidRDefault="00E94D86" w:rsidP="00827BFE">
      <w:pPr>
        <w:ind w:right="1"/>
        <w:rPr>
          <w:rFonts w:ascii="Palatino Linotype" w:eastAsia="Palatino Linotype" w:hAnsi="Palatino Linotype" w:cs="Palatino Linotype"/>
          <w:color w:val="000000"/>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000000"/>
        </w:rPr>
        <w:t xml:space="preserve">En </w:t>
      </w:r>
      <w:r w:rsidRPr="000D2F8D">
        <w:rPr>
          <w:rFonts w:ascii="Palatino Linotype" w:eastAsia="Palatino Linotype" w:hAnsi="Palatino Linotype" w:cs="Palatino Linotype"/>
        </w:rPr>
        <w:t>México, además de los derechos, están reconocidas las garantías para su protección, en ese sentido el párrafo tercero de artículo primero de la Constitución Política de los Estados Unidos Mexicanos, dispone lo siguiente:</w:t>
      </w:r>
    </w:p>
    <w:p w:rsidR="00E94D86" w:rsidRPr="000D2F8D" w:rsidRDefault="00E94D86" w:rsidP="00831332">
      <w:pPr>
        <w:ind w:right="-592"/>
        <w:jc w:val="both"/>
        <w:rPr>
          <w:rFonts w:ascii="Palatino Linotype" w:eastAsia="Palatino Linotype" w:hAnsi="Palatino Linotype" w:cs="Palatino Linotype"/>
          <w:b/>
        </w:rPr>
      </w:pP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r w:rsidRPr="000D2F8D">
        <w:rPr>
          <w:rFonts w:ascii="Palatino Linotype" w:eastAsia="Palatino Linotype" w:hAnsi="Palatino Linotype" w:cs="Palatino Linotype"/>
          <w:b/>
          <w:i/>
        </w:rPr>
        <w:t>Artículo 1.-</w:t>
      </w:r>
      <w:r w:rsidRPr="000D2F8D">
        <w:rPr>
          <w:rFonts w:ascii="Palatino Linotype" w:eastAsia="Palatino Linotype" w:hAnsi="Palatino Linotype" w:cs="Palatino Linotype"/>
          <w:i/>
        </w:rPr>
        <w:t xml:space="preserve"> </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i/>
        </w:rPr>
        <w:t>Todas las</w:t>
      </w:r>
      <w:r w:rsidRPr="000D2F8D">
        <w:rPr>
          <w:rFonts w:ascii="Palatino Linotype" w:eastAsia="Palatino Linotype" w:hAnsi="Palatino Linotype" w:cs="Palatino Linotype"/>
        </w:rPr>
        <w:t xml:space="preserve"> </w:t>
      </w:r>
      <w:r w:rsidRPr="000D2F8D">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94D86" w:rsidRPr="000D2F8D" w:rsidRDefault="001E3125">
      <w:pPr>
        <w:ind w:left="567" w:right="710"/>
        <w:jc w:val="both"/>
        <w:rPr>
          <w:rFonts w:ascii="Palatino Linotype" w:eastAsia="Palatino Linotype" w:hAnsi="Palatino Linotype" w:cs="Palatino Linotype"/>
        </w:rPr>
      </w:pPr>
      <w:r w:rsidRPr="000D2F8D">
        <w:rPr>
          <w:rFonts w:ascii="Palatino Linotype" w:eastAsia="Palatino Linotype" w:hAnsi="Palatino Linotype" w:cs="Palatino Linotype"/>
          <w:i/>
        </w:rPr>
        <w:t>(…)</w:t>
      </w:r>
      <w:r w:rsidRPr="000D2F8D">
        <w:rPr>
          <w:rFonts w:ascii="Palatino Linotype" w:eastAsia="Palatino Linotype" w:hAnsi="Palatino Linotype" w:cs="Palatino Linotype"/>
        </w:rPr>
        <w:t>”</w:t>
      </w:r>
    </w:p>
    <w:p w:rsidR="00E94D86" w:rsidRPr="000D2F8D" w:rsidRDefault="00E94D86" w:rsidP="000A31EF">
      <w:pPr>
        <w:ind w:right="-592"/>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000000"/>
        </w:rPr>
        <w:t xml:space="preserve">Por </w:t>
      </w:r>
      <w:r w:rsidRPr="000D2F8D">
        <w:rPr>
          <w:rFonts w:ascii="Palatino Linotype" w:eastAsia="Palatino Linotype" w:hAnsi="Palatino Linotype" w:cs="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94D86" w:rsidRPr="000D2F8D" w:rsidRDefault="00E94D86" w:rsidP="000A31EF">
      <w:pPr>
        <w:ind w:right="1"/>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000000"/>
        </w:rPr>
        <w:t xml:space="preserve">Así </w:t>
      </w:r>
      <w:r w:rsidRPr="000D2F8D">
        <w:rPr>
          <w:rFonts w:ascii="Palatino Linotype" w:eastAsia="Palatino Linotype" w:hAnsi="Palatino Linotype" w:cs="Palatino Linotype"/>
        </w:rPr>
        <w:t xml:space="preserve">conforme a la Constitución Política de las Estado Unidos Mexicanos y la Constitución Política del Estado Libre y Soberano de México respectivamente, el cumplimiento de las garantías primarias, entendidas como obligaciones inmediatamente </w:t>
      </w:r>
      <w:r w:rsidRPr="000D2F8D">
        <w:rPr>
          <w:rFonts w:ascii="Palatino Linotype" w:eastAsia="Palatino Linotype" w:hAnsi="Palatino Linotype" w:cs="Palatino Linotype"/>
        </w:rPr>
        <w:lastRenderedPageBreak/>
        <w:t>relacionadas con el Derecho de Acceso a la Información Pública, permiten que todas las autoridades, en el ámbito de sus atribuciones lo respeten, protejan y garanticen:</w:t>
      </w:r>
    </w:p>
    <w:p w:rsidR="00E94D86" w:rsidRPr="000D2F8D" w:rsidRDefault="00E94D86" w:rsidP="000A31EF">
      <w:pPr>
        <w:rPr>
          <w:rFonts w:ascii="Palatino Linotype" w:eastAsia="Palatino Linotype" w:hAnsi="Palatino Linotype" w:cs="Palatino Linotype"/>
          <w:b/>
        </w:rPr>
      </w:pPr>
    </w:p>
    <w:p w:rsidR="00E94D86" w:rsidRPr="000D2F8D" w:rsidRDefault="001E3125">
      <w:pPr>
        <w:ind w:left="567" w:right="710"/>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Constitución Política de los Estados Unidos Mexicanos</w:t>
      </w:r>
    </w:p>
    <w:p w:rsidR="00E94D86" w:rsidRPr="000D2F8D" w:rsidRDefault="00E94D86">
      <w:pPr>
        <w:ind w:left="567" w:right="710"/>
        <w:jc w:val="both"/>
        <w:rPr>
          <w:rFonts w:ascii="Palatino Linotype" w:eastAsia="Palatino Linotype" w:hAnsi="Palatino Linotype" w:cs="Palatino Linotype"/>
          <w:b/>
          <w:i/>
        </w:rPr>
      </w:pPr>
    </w:p>
    <w:p w:rsidR="00E94D86" w:rsidRPr="000D2F8D" w:rsidRDefault="001E3125">
      <w:pPr>
        <w:ind w:left="567" w:right="710"/>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“Artículo 6.</w:t>
      </w:r>
      <w:r w:rsidRPr="000D2F8D">
        <w:rPr>
          <w:rFonts w:ascii="Palatino Linotype" w:eastAsia="Palatino Linotype" w:hAnsi="Palatino Linotype" w:cs="Palatino Linotype"/>
          <w:i/>
        </w:rPr>
        <w:t xml:space="preserve"> …</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i/>
        </w:rPr>
        <w:t>Para efectos de lo dispuesto en el presente artículo se observará lo siguiente:</w:t>
      </w:r>
    </w:p>
    <w:p w:rsidR="00E94D86" w:rsidRPr="000D2F8D" w:rsidRDefault="001E3125">
      <w:pPr>
        <w:ind w:left="567" w:right="710"/>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A</w:t>
      </w:r>
      <w:r w:rsidRPr="000D2F8D">
        <w:rPr>
          <w:rFonts w:ascii="Palatino Linotype" w:eastAsia="Palatino Linotype" w:hAnsi="Palatino Linotype" w:cs="Palatino Linotype"/>
          <w:i/>
        </w:rPr>
        <w:t xml:space="preserve">. </w:t>
      </w:r>
      <w:r w:rsidRPr="000D2F8D">
        <w:rPr>
          <w:rFonts w:ascii="Palatino Linotype" w:eastAsia="Palatino Linotype" w:hAnsi="Palatino Linotype" w:cs="Palatino Linotype"/>
          <w:b/>
          <w:i/>
        </w:rPr>
        <w:t>Para el ejercicio del derecho de acceso a la información</w:t>
      </w:r>
      <w:r w:rsidRPr="000D2F8D">
        <w:rPr>
          <w:rFonts w:ascii="Palatino Linotype" w:eastAsia="Palatino Linotype" w:hAnsi="Palatino Linotype" w:cs="Palatino Linotype"/>
          <w:i/>
        </w:rPr>
        <w:t xml:space="preserve">, la Federación y </w:t>
      </w:r>
      <w:r w:rsidRPr="000D2F8D">
        <w:rPr>
          <w:rFonts w:ascii="Palatino Linotype" w:eastAsia="Palatino Linotype" w:hAnsi="Palatino Linotype" w:cs="Palatino Linotype"/>
          <w:b/>
          <w:i/>
        </w:rPr>
        <w:t>las entidades federativas, en el ámbito de sus respectivas competencias, se regirán por los siguientes principios y bases:</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b/>
          <w:i/>
        </w:rPr>
        <w:t xml:space="preserve">I. </w:t>
      </w:r>
      <w:r w:rsidRPr="000D2F8D">
        <w:rPr>
          <w:rFonts w:ascii="Palatino Linotype" w:eastAsia="Palatino Linotype" w:hAnsi="Palatino Linotype" w:cs="Palatino Linotype"/>
          <w:b/>
          <w:i/>
        </w:rPr>
        <w:tab/>
        <w:t>Toda la información en posesión de cualquier</w:t>
      </w:r>
      <w:r w:rsidRPr="000D2F8D">
        <w:rPr>
          <w:rFonts w:ascii="Palatino Linotype" w:eastAsia="Palatino Linotype" w:hAnsi="Palatino Linotype" w:cs="Palatino Linotype"/>
          <w:i/>
        </w:rPr>
        <w:t xml:space="preserve"> </w:t>
      </w:r>
      <w:r w:rsidRPr="000D2F8D">
        <w:rPr>
          <w:rFonts w:ascii="Palatino Linotype" w:eastAsia="Palatino Linotype" w:hAnsi="Palatino Linotype" w:cs="Palatino Linotype"/>
          <w:b/>
          <w:i/>
        </w:rPr>
        <w:t>autoridad</w:t>
      </w:r>
      <w:r w:rsidRPr="000D2F8D">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D2F8D">
        <w:rPr>
          <w:rFonts w:ascii="Palatino Linotype" w:eastAsia="Palatino Linotype" w:hAnsi="Palatino Linotype" w:cs="Palatino Linotype"/>
          <w:b/>
          <w:i/>
        </w:rPr>
        <w:t>municipal</w:t>
      </w:r>
      <w:r w:rsidRPr="000D2F8D">
        <w:rPr>
          <w:rFonts w:ascii="Palatino Linotype" w:eastAsia="Palatino Linotype" w:hAnsi="Palatino Linotype" w:cs="Palatino Linotype"/>
          <w:i/>
        </w:rPr>
        <w:t xml:space="preserve">, </w:t>
      </w:r>
      <w:r w:rsidRPr="000D2F8D">
        <w:rPr>
          <w:rFonts w:ascii="Palatino Linotype" w:eastAsia="Palatino Linotype" w:hAnsi="Palatino Linotype" w:cs="Palatino Linotype"/>
          <w:b/>
          <w:i/>
        </w:rPr>
        <w:t>es pública</w:t>
      </w:r>
      <w:r w:rsidRPr="000D2F8D">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0D2F8D">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0D2F8D">
        <w:rPr>
          <w:rFonts w:ascii="Palatino Linotype" w:eastAsia="Palatino Linotype" w:hAnsi="Palatino Linotype" w:cs="Palatino Linotype"/>
          <w:i/>
        </w:rPr>
        <w:t>, la ley determinará los supuestos específicos bajo los cuales procederá la declaración de inexistencia de la información.”</w:t>
      </w:r>
    </w:p>
    <w:p w:rsidR="00E94D86" w:rsidRPr="000D2F8D" w:rsidRDefault="00E94D86" w:rsidP="00831332">
      <w:pPr>
        <w:tabs>
          <w:tab w:val="left" w:pos="426"/>
          <w:tab w:val="left" w:pos="567"/>
        </w:tabs>
        <w:ind w:left="567" w:right="710"/>
        <w:jc w:val="both"/>
        <w:rPr>
          <w:rFonts w:ascii="Palatino Linotype" w:eastAsia="Palatino Linotype" w:hAnsi="Palatino Linotype" w:cs="Palatino Linotype"/>
          <w:color w:val="000000"/>
        </w:rPr>
      </w:pPr>
    </w:p>
    <w:p w:rsidR="00E94D86" w:rsidRPr="000D2F8D" w:rsidRDefault="001E3125">
      <w:pPr>
        <w:ind w:left="567" w:right="710"/>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Constitución Política del Estado Libre y Soberano de México</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b/>
          <w:i/>
        </w:rPr>
        <w:t>“Artículo 5</w:t>
      </w:r>
      <w:r w:rsidRPr="000D2F8D">
        <w:rPr>
          <w:rFonts w:ascii="Palatino Linotype" w:eastAsia="Palatino Linotype" w:hAnsi="Palatino Linotype" w:cs="Palatino Linotype"/>
          <w:i/>
        </w:rPr>
        <w:t>.-…</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0D2F8D">
        <w:rPr>
          <w:rFonts w:ascii="Palatino Linotype" w:eastAsia="Palatino Linotype" w:hAnsi="Palatino Linotype" w:cs="Palatino Linotype"/>
          <w:i/>
        </w:rPr>
        <w:t>.</w:t>
      </w: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94D86" w:rsidRPr="000D2F8D" w:rsidRDefault="00E94D86">
      <w:pPr>
        <w:ind w:left="567" w:right="710"/>
        <w:jc w:val="both"/>
        <w:rPr>
          <w:rFonts w:ascii="Palatino Linotype" w:eastAsia="Palatino Linotype" w:hAnsi="Palatino Linotype" w:cs="Palatino Linotype"/>
          <w:i/>
        </w:rPr>
      </w:pPr>
    </w:p>
    <w:p w:rsidR="00E94D86" w:rsidRPr="000D2F8D" w:rsidRDefault="001E3125">
      <w:pPr>
        <w:ind w:left="567" w:right="710"/>
        <w:jc w:val="both"/>
        <w:rPr>
          <w:rFonts w:ascii="Palatino Linotype" w:eastAsia="Palatino Linotype" w:hAnsi="Palatino Linotype" w:cs="Palatino Linotype"/>
          <w:i/>
        </w:rPr>
      </w:pPr>
      <w:r w:rsidRPr="000D2F8D">
        <w:rPr>
          <w:rFonts w:ascii="Palatino Linotype" w:eastAsia="Palatino Linotype" w:hAnsi="Palatino Linotype" w:cs="Palatino Linotype"/>
          <w:b/>
          <w:i/>
        </w:rPr>
        <w:t>Este derecho se regirá por los principios y bases siguientes</w:t>
      </w:r>
      <w:r w:rsidRPr="000D2F8D">
        <w:rPr>
          <w:rFonts w:ascii="Palatino Linotype" w:eastAsia="Palatino Linotype" w:hAnsi="Palatino Linotype" w:cs="Palatino Linotype"/>
          <w:i/>
        </w:rPr>
        <w:t>:</w:t>
      </w:r>
    </w:p>
    <w:p w:rsidR="00E94D86" w:rsidRPr="000D2F8D" w:rsidRDefault="001E3125">
      <w:pPr>
        <w:ind w:left="567" w:right="710"/>
        <w:jc w:val="both"/>
        <w:rPr>
          <w:rFonts w:ascii="Palatino Linotype" w:eastAsia="Palatino Linotype" w:hAnsi="Palatino Linotype" w:cs="Palatino Linotype"/>
          <w:b/>
        </w:rPr>
      </w:pPr>
      <w:r w:rsidRPr="000D2F8D">
        <w:rPr>
          <w:rFonts w:ascii="Palatino Linotype" w:eastAsia="Palatino Linotype" w:hAnsi="Palatino Linotype" w:cs="Palatino Linotype"/>
          <w:b/>
          <w:i/>
        </w:rPr>
        <w:t>Toda la información en posesión de cualquier autoridad, entidad, órgano y organismos de los</w:t>
      </w:r>
      <w:r w:rsidRPr="000D2F8D">
        <w:rPr>
          <w:rFonts w:ascii="Palatino Linotype" w:eastAsia="Palatino Linotype" w:hAnsi="Palatino Linotype" w:cs="Palatino Linotype"/>
          <w:i/>
        </w:rPr>
        <w:t xml:space="preserve"> Poderes Ejecutivo, Legislativo y Judicial, órganos autónomos, partidos políticos, fideicomisos y fondos públicos estatales y </w:t>
      </w:r>
      <w:r w:rsidRPr="000D2F8D">
        <w:rPr>
          <w:rFonts w:ascii="Palatino Linotype" w:eastAsia="Palatino Linotype" w:hAnsi="Palatino Linotype" w:cs="Palatino Linotype"/>
          <w:b/>
          <w:i/>
        </w:rPr>
        <w:t>municipales</w:t>
      </w:r>
      <w:r w:rsidRPr="000D2F8D">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D2F8D">
        <w:rPr>
          <w:rFonts w:ascii="Palatino Linotype" w:eastAsia="Palatino Linotype" w:hAnsi="Palatino Linotype" w:cs="Palatino Linotype"/>
          <w:b/>
          <w:i/>
        </w:rPr>
        <w:t>es pública</w:t>
      </w:r>
      <w:r w:rsidRPr="000D2F8D">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0D2F8D">
        <w:rPr>
          <w:rFonts w:ascii="Palatino Linotype" w:eastAsia="Palatino Linotype" w:hAnsi="Palatino Linotype" w:cs="Palatino Linotype"/>
          <w:b/>
          <w:i/>
        </w:rPr>
        <w:t>En la interpretación de este derecho deberá prevalecer el principio de máxima publicidad</w:t>
      </w:r>
      <w:r w:rsidRPr="000D2F8D">
        <w:rPr>
          <w:rFonts w:ascii="Palatino Linotype" w:eastAsia="Palatino Linotype" w:hAnsi="Palatino Linotype" w:cs="Palatino Linotype"/>
          <w:i/>
        </w:rPr>
        <w:t xml:space="preserve">. </w:t>
      </w:r>
      <w:r w:rsidRPr="000D2F8D">
        <w:rPr>
          <w:rFonts w:ascii="Palatino Linotype" w:eastAsia="Palatino Linotype" w:hAnsi="Palatino Linotype" w:cs="Palatino Linotype"/>
          <w:b/>
          <w:i/>
        </w:rPr>
        <w:t>Los sujetos obligados deberán documentar todo acto que derive del ejercicio de sus facultades, competencias o funciones</w:t>
      </w:r>
      <w:r w:rsidRPr="000D2F8D">
        <w:rPr>
          <w:rFonts w:ascii="Palatino Linotype" w:eastAsia="Palatino Linotype" w:hAnsi="Palatino Linotype" w:cs="Palatino Linotype"/>
          <w:i/>
        </w:rPr>
        <w:t>, la ley determinará los supuestos específicos bajo los cuales procederá la declaración de inexistencia de la información.”</w:t>
      </w:r>
    </w:p>
    <w:p w:rsidR="00E94D86" w:rsidRPr="000D2F8D" w:rsidRDefault="00E94D86" w:rsidP="000A31EF">
      <w:pPr>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000000"/>
        </w:rPr>
        <w:t xml:space="preserve">Según </w:t>
      </w:r>
      <w:r w:rsidRPr="000D2F8D">
        <w:rPr>
          <w:rFonts w:ascii="Palatino Linotype" w:eastAsia="Palatino Linotype" w:hAnsi="Palatino Linotype" w:cs="Palatino Linotype"/>
        </w:rPr>
        <w:t xml:space="preserve">el artículo 150 de la Ley de Transparencia del Estado, la solicitud es la garantía primaria del Derecho de Acceso a la Información, además, establece que se regirá </w:t>
      </w:r>
      <w:r w:rsidRPr="000D2F8D">
        <w:rPr>
          <w:rFonts w:ascii="Palatino Linotype" w:eastAsia="Palatino Linotype" w:hAnsi="Palatino Linotype" w:cs="Palatino Linotype"/>
          <w:i/>
        </w:rPr>
        <w:t>por los principios de simplicidad, rapidez gratuidad del procedimiento, auxilio y orientación a los particulares</w:t>
      </w:r>
      <w:r w:rsidRPr="000D2F8D">
        <w:rPr>
          <w:rFonts w:ascii="Palatino Linotype" w:eastAsia="Palatino Linotype" w:hAnsi="Palatino Linotype" w:cs="Palatino Linotype"/>
        </w:rPr>
        <w:t>, contemplando el derecho de las personas con discapacidad y hablantes de lengua indígena.</w:t>
      </w:r>
    </w:p>
    <w:p w:rsidR="00E94D86" w:rsidRPr="000D2F8D" w:rsidRDefault="00E94D86" w:rsidP="000A31EF">
      <w:pPr>
        <w:ind w:right="-592"/>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000000"/>
        </w:rPr>
        <w:t xml:space="preserve">El </w:t>
      </w:r>
      <w:r w:rsidRPr="000D2F8D">
        <w:rPr>
          <w:rFonts w:ascii="Palatino Linotype" w:eastAsia="Palatino Linotype" w:hAnsi="Palatino Linotype" w:cs="Palatino Linotype"/>
        </w:rPr>
        <w:t xml:space="preserve">Derecho de Acceso a la Información se garantiza y respeta oportunamente, y según lo que dispone la Ley, las </w:t>
      </w:r>
      <w:r w:rsidRPr="000D2F8D">
        <w:rPr>
          <w:rFonts w:ascii="Palatino Linotype" w:eastAsia="Palatino Linotype" w:hAnsi="Palatino Linotype" w:cs="Palatino Linotype"/>
          <w:i/>
        </w:rPr>
        <w:t>solicitudes de acceso a la información</w:t>
      </w:r>
      <w:r w:rsidRPr="000D2F8D">
        <w:rPr>
          <w:rFonts w:ascii="Palatino Linotype" w:eastAsia="Palatino Linotype" w:hAnsi="Palatino Linotype" w:cs="Palatino Linotype"/>
        </w:rPr>
        <w:t>.</w:t>
      </w:r>
    </w:p>
    <w:p w:rsidR="0033488B" w:rsidRPr="000D2F8D" w:rsidRDefault="0033488B" w:rsidP="000A31EF">
      <w:pPr>
        <w:ind w:right="1"/>
        <w:jc w:val="both"/>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000000"/>
        </w:rPr>
        <w:t xml:space="preserve">Así </w:t>
      </w:r>
      <w:r w:rsidRPr="000D2F8D">
        <w:rPr>
          <w:rFonts w:ascii="Palatino Linotype" w:eastAsia="Palatino Linotype" w:hAnsi="Palatino Linotype" w:cs="Palatino Linotype"/>
        </w:rPr>
        <w:t xml:space="preserve">entonces, se procede analizar, en primer lugar, si 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w:t>
      </w:r>
      <w:r w:rsidRPr="000D2F8D">
        <w:rPr>
          <w:rFonts w:ascii="Palatino Linotype" w:eastAsia="Palatino Linotype" w:hAnsi="Palatino Linotype" w:cs="Palatino Linotype"/>
        </w:rPr>
        <w:lastRenderedPageBreak/>
        <w:t>Información Pública del Estado de México y Municipios y en segundo término si cumplió con su deber de respetar y garantizar el derecho, entregando la información solicitada.</w:t>
      </w:r>
    </w:p>
    <w:p w:rsidR="00E94D86" w:rsidRPr="000D2F8D" w:rsidRDefault="00E94D86" w:rsidP="000A31EF">
      <w:pPr>
        <w:rPr>
          <w:rFonts w:ascii="Palatino Linotype" w:eastAsia="Palatino Linotype" w:hAnsi="Palatino Linotype" w:cs="Palatino Linotype"/>
          <w:b/>
        </w:rPr>
      </w:pPr>
    </w:p>
    <w:p w:rsidR="00E94D86" w:rsidRPr="000D2F8D" w:rsidRDefault="001E3125">
      <w:pPr>
        <w:keepNext/>
        <w:keepLines/>
        <w:numPr>
          <w:ilvl w:val="1"/>
          <w:numId w:val="2"/>
        </w:numPr>
        <w:spacing w:line="360" w:lineRule="auto"/>
        <w:ind w:left="567" w:right="-592"/>
        <w:jc w:val="both"/>
        <w:rPr>
          <w:rFonts w:ascii="Palatino Linotype" w:eastAsia="Palatino Linotype" w:hAnsi="Palatino Linotype" w:cs="Palatino Linotype"/>
          <w:b/>
        </w:rPr>
      </w:pPr>
      <w:r w:rsidRPr="000D2F8D">
        <w:rPr>
          <w:rFonts w:ascii="Palatino Linotype" w:eastAsia="Palatino Linotype" w:hAnsi="Palatino Linotype" w:cs="Palatino Linotype"/>
          <w:b/>
        </w:rPr>
        <w:t>De la información solicitada y la respuesta del SUJETO OBLIGADO.</w:t>
      </w:r>
    </w:p>
    <w:p w:rsidR="00E94D86" w:rsidRPr="000D2F8D" w:rsidRDefault="00E94D86" w:rsidP="000A31EF">
      <w:pPr>
        <w:rPr>
          <w:rFonts w:ascii="Palatino Linotype" w:eastAsia="Palatino Linotype" w:hAnsi="Palatino Linotype" w:cs="Palatino Linotype"/>
          <w:b/>
        </w:rPr>
      </w:pPr>
    </w:p>
    <w:p w:rsidR="00E94D86" w:rsidRPr="000D2F8D" w:rsidRDefault="001E3125">
      <w:pPr>
        <w:numPr>
          <w:ilvl w:val="0"/>
          <w:numId w:val="1"/>
        </w:numPr>
        <w:spacing w:line="360" w:lineRule="auto"/>
        <w:ind w:left="0" w:right="1" w:firstLine="0"/>
        <w:jc w:val="both"/>
        <w:rPr>
          <w:rFonts w:ascii="Palatino Linotype" w:eastAsia="Palatino Linotype" w:hAnsi="Palatino Linotype" w:cs="Palatino Linotype"/>
          <w:b/>
        </w:rPr>
      </w:pPr>
      <w:bookmarkStart w:id="4" w:name="_heading=h.30j0zll" w:colFirst="0" w:colLast="0"/>
      <w:bookmarkEnd w:id="4"/>
      <w:r w:rsidRPr="000D2F8D">
        <w:rPr>
          <w:rFonts w:ascii="Palatino Linotype" w:eastAsia="Palatino Linotype" w:hAnsi="Palatino Linotype" w:cs="Palatino Linotype"/>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E94D86" w:rsidRPr="000D2F8D" w:rsidRDefault="00E94D86" w:rsidP="000A31EF">
      <w:pPr>
        <w:ind w:right="1"/>
        <w:jc w:val="both"/>
        <w:rPr>
          <w:rFonts w:ascii="Palatino Linotype" w:eastAsia="Palatino Linotype" w:hAnsi="Palatino Linotype" w:cs="Palatino Linotype"/>
          <w:b/>
        </w:rPr>
      </w:pPr>
    </w:p>
    <w:p w:rsidR="00A277C4" w:rsidRPr="000D2F8D" w:rsidRDefault="001E3125" w:rsidP="00A277C4">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 xml:space="preserve">Así, </w:t>
      </w:r>
      <w:r w:rsidR="0042456D" w:rsidRPr="000D2F8D">
        <w:rPr>
          <w:rFonts w:ascii="Palatino Linotype" w:eastAsia="Palatino Linotype" w:hAnsi="Palatino Linotype" w:cs="Palatino Linotype"/>
        </w:rPr>
        <w:t xml:space="preserve">resulta conveniente </w:t>
      </w:r>
      <w:r w:rsidR="00A277C4" w:rsidRPr="000D2F8D">
        <w:rPr>
          <w:rFonts w:ascii="Palatino Linotype" w:eastAsia="Palatino Linotype" w:hAnsi="Palatino Linotype" w:cs="Palatino Linotype"/>
        </w:rPr>
        <w:t xml:space="preserve">reiterar que el RECURRENTE solicitó el </w:t>
      </w:r>
      <w:r w:rsidR="00A277C4" w:rsidRPr="000D2F8D">
        <w:rPr>
          <w:rFonts w:ascii="Palatino Linotype" w:hAnsi="Palatino Linotype"/>
          <w:b/>
          <w:color w:val="000000"/>
        </w:rPr>
        <w:t>anteproyecto del presupuesto de egresos del Sistema Municipal para el Desarrollo Integral de la Familia de Toluca para el 2025.</w:t>
      </w:r>
    </w:p>
    <w:p w:rsidR="00A277C4" w:rsidRPr="000D2F8D" w:rsidRDefault="00A277C4" w:rsidP="00A277C4">
      <w:pPr>
        <w:rPr>
          <w:rFonts w:ascii="Palatino Linotype" w:eastAsia="Palatino Linotype" w:hAnsi="Palatino Linotype" w:cs="Palatino Linotype"/>
        </w:rPr>
      </w:pPr>
    </w:p>
    <w:p w:rsidR="00A277C4" w:rsidRPr="000D2F8D" w:rsidRDefault="00A277C4" w:rsidP="00A277C4">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En respuesta, 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rPr>
        <w:t xml:space="preserve"> por medio del </w:t>
      </w:r>
      <w:r w:rsidRPr="000D2F8D">
        <w:rPr>
          <w:rFonts w:ascii="Palatino Linotype" w:hAnsi="Palatino Linotype"/>
        </w:rPr>
        <w:t>Director de Administración y Tesorería, remitió una copia digitalizada del PbRM-04d “Caratula de presupuesto de egresos” del 01 de enero al 31 de diciembre de 2025, del Presupuesto basado en Resultados Municipal del DIF de Toluca. Como se observa:</w:t>
      </w:r>
    </w:p>
    <w:p w:rsidR="00A277C4" w:rsidRPr="000D2F8D" w:rsidRDefault="00111B6F" w:rsidP="00A277C4">
      <w:pPr>
        <w:pStyle w:val="Prrafodelista"/>
        <w:rPr>
          <w:rFonts w:ascii="Palatino Linotype" w:eastAsia="Palatino Linotype" w:hAnsi="Palatino Linotype" w:cs="Palatino Linotype"/>
          <w:sz w:val="24"/>
        </w:rPr>
      </w:pPr>
      <w:r w:rsidRPr="000D2F8D">
        <w:rPr>
          <w:rFonts w:ascii="Palatino Linotype" w:eastAsia="Palatino Linotype" w:hAnsi="Palatino Linotype" w:cs="Palatino Linotype"/>
          <w:noProof/>
          <w:sz w:val="24"/>
        </w:rPr>
        <w:lastRenderedPageBreak/>
        <w:drawing>
          <wp:anchor distT="0" distB="0" distL="114300" distR="114300" simplePos="0" relativeHeight="251658240" behindDoc="0" locked="0" layoutInCell="1" allowOverlap="1">
            <wp:simplePos x="0" y="0"/>
            <wp:positionH relativeFrom="page">
              <wp:posOffset>1181100</wp:posOffset>
            </wp:positionH>
            <wp:positionV relativeFrom="paragraph">
              <wp:posOffset>281940</wp:posOffset>
            </wp:positionV>
            <wp:extent cx="5581650" cy="3305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411" b="9479"/>
                    <a:stretch/>
                  </pic:blipFill>
                  <pic:spPr bwMode="auto">
                    <a:xfrm>
                      <a:off x="0" y="0"/>
                      <a:ext cx="5581650" cy="3305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77C4" w:rsidRPr="000D2F8D" w:rsidRDefault="00A277C4" w:rsidP="00A277C4">
      <w:pPr>
        <w:spacing w:line="360" w:lineRule="auto"/>
        <w:ind w:right="1"/>
        <w:jc w:val="both"/>
        <w:rPr>
          <w:rFonts w:ascii="Palatino Linotype" w:eastAsia="Palatino Linotype" w:hAnsi="Palatino Linotype" w:cs="Palatino Linotype"/>
        </w:rPr>
      </w:pPr>
    </w:p>
    <w:p w:rsidR="00A277C4" w:rsidRPr="000D2F8D" w:rsidRDefault="00A277C4" w:rsidP="00A277C4">
      <w:pPr>
        <w:rPr>
          <w:rFonts w:ascii="Palatino Linotype" w:eastAsia="Palatino Linotype" w:hAnsi="Palatino Linotype" w:cs="Palatino Linotype"/>
        </w:rPr>
      </w:pPr>
    </w:p>
    <w:p w:rsidR="00AC179D" w:rsidRPr="000D2F8D" w:rsidRDefault="00A277C4" w:rsidP="00AC179D">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Posteriormente, el </w:t>
      </w:r>
      <w:r w:rsidRPr="000D2F8D">
        <w:rPr>
          <w:rFonts w:ascii="Palatino Linotype" w:eastAsia="Palatino Linotype" w:hAnsi="Palatino Linotype" w:cs="Palatino Linotype"/>
          <w:b/>
        </w:rPr>
        <w:t xml:space="preserve">RECURRENTE </w:t>
      </w:r>
      <w:r w:rsidRPr="000D2F8D">
        <w:rPr>
          <w:rFonts w:ascii="Palatino Linotype" w:eastAsia="Palatino Linotype" w:hAnsi="Palatino Linotype" w:cs="Palatino Linotype"/>
        </w:rPr>
        <w:t xml:space="preserve">se inconformó por la entrega de información incompleta, en los siguientes términos: </w:t>
      </w:r>
      <w:r w:rsidR="00AC179D" w:rsidRPr="000D2F8D">
        <w:rPr>
          <w:rFonts w:ascii="Palatino Linotype" w:eastAsia="Palatino Linotype" w:hAnsi="Palatino Linotype" w:cs="Palatino Linotype"/>
          <w:b/>
          <w:i/>
          <w:color w:val="000000"/>
        </w:rPr>
        <w:t>“</w:t>
      </w:r>
      <w:r w:rsidR="00AC179D" w:rsidRPr="000D2F8D">
        <w:rPr>
          <w:rFonts w:ascii="Palatino Linotype" w:hAnsi="Palatino Linotype"/>
          <w:b/>
          <w:i/>
          <w:color w:val="000000"/>
        </w:rPr>
        <w:t>no entrega lo solicitado de forma completa</w:t>
      </w:r>
      <w:r w:rsidR="00AC179D" w:rsidRPr="000D2F8D">
        <w:rPr>
          <w:rFonts w:ascii="Palatino Linotype" w:eastAsia="Palatino Linotype" w:hAnsi="Palatino Linotype" w:cs="Palatino Linotype"/>
          <w:b/>
          <w:i/>
          <w:color w:val="000000"/>
        </w:rPr>
        <w:t>” (Sic)</w:t>
      </w:r>
    </w:p>
    <w:p w:rsidR="00A277C4" w:rsidRPr="000D2F8D" w:rsidRDefault="00A277C4" w:rsidP="00AC179D">
      <w:pPr>
        <w:spacing w:line="360" w:lineRule="auto"/>
        <w:ind w:right="1"/>
        <w:jc w:val="both"/>
        <w:rPr>
          <w:rFonts w:ascii="Palatino Linotype" w:eastAsia="Palatino Linotype" w:hAnsi="Palatino Linotype" w:cs="Palatino Linotype"/>
          <w:b/>
        </w:rPr>
      </w:pPr>
    </w:p>
    <w:p w:rsidR="00AC179D" w:rsidRPr="000D2F8D" w:rsidRDefault="00AC179D" w:rsidP="00AC179D">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Expuesto lo anterior, resulta necesario señalar que, se obvia el análisis de la competencia por parte del</w:t>
      </w:r>
      <w:r w:rsidRPr="000D2F8D">
        <w:rPr>
          <w:rFonts w:ascii="Palatino Linotype" w:eastAsia="Palatino Linotype" w:hAnsi="Palatino Linotype" w:cs="Palatino Linotype"/>
          <w:b/>
        </w:rPr>
        <w:t xml:space="preserve"> SUJETO OBLIGADO, </w:t>
      </w:r>
      <w:r w:rsidRPr="000D2F8D">
        <w:rPr>
          <w:rFonts w:ascii="Palatino Linotype" w:eastAsia="Palatino Linotype" w:hAnsi="Palatino Linotype" w:cs="Palatino Linotype"/>
        </w:rPr>
        <w:t>para generar, administrar o poseer la información solicitada, dado que esta ha asumido la misma.</w:t>
      </w:r>
    </w:p>
    <w:p w:rsidR="00111B6F" w:rsidRPr="000D2F8D" w:rsidRDefault="00111B6F" w:rsidP="00111B6F">
      <w:pPr>
        <w:spacing w:line="360" w:lineRule="auto"/>
        <w:ind w:right="1"/>
        <w:jc w:val="both"/>
        <w:rPr>
          <w:rFonts w:ascii="Palatino Linotype" w:eastAsia="Palatino Linotype" w:hAnsi="Palatino Linotype" w:cs="Palatino Linotype"/>
          <w:b/>
        </w:rPr>
      </w:pPr>
    </w:p>
    <w:p w:rsidR="00AC179D" w:rsidRPr="000D2F8D" w:rsidRDefault="00AC179D" w:rsidP="00AC179D">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No obstante, derivado de los motivos de inconformidad vertidos en el recurso de revisión, resulta conveniente señalar que el Reglamento Interno del Sistema Municipal Para el Desarrollo Integral de la Familia de Toluca</w:t>
      </w:r>
      <w:r w:rsidR="00394FBB" w:rsidRPr="000D2F8D">
        <w:rPr>
          <w:rFonts w:ascii="Palatino Linotype" w:eastAsia="Palatino Linotype" w:hAnsi="Palatino Linotype" w:cs="Palatino Linotype"/>
        </w:rPr>
        <w:t xml:space="preserve">, en su artículo 6, establece que la </w:t>
      </w:r>
      <w:r w:rsidR="00394FBB" w:rsidRPr="000D2F8D">
        <w:rPr>
          <w:rFonts w:ascii="Palatino Linotype" w:eastAsia="Palatino Linotype" w:hAnsi="Palatino Linotype" w:cs="Palatino Linotype"/>
        </w:rPr>
        <w:lastRenderedPageBreak/>
        <w:t xml:space="preserve">Dirección y administración del SMDIFTOL, corresponde a: la Junta de Gobierno, la Presidencia y a </w:t>
      </w:r>
      <w:r w:rsidR="00394FBB" w:rsidRPr="000D2F8D">
        <w:rPr>
          <w:rFonts w:ascii="Palatino Linotype" w:eastAsia="Palatino Linotype" w:hAnsi="Palatino Linotype" w:cs="Palatino Linotype"/>
          <w:b/>
        </w:rPr>
        <w:t>la Dirección General.</w:t>
      </w:r>
    </w:p>
    <w:p w:rsidR="00394FBB" w:rsidRPr="000D2F8D" w:rsidRDefault="00394FBB" w:rsidP="00394FBB">
      <w:pPr>
        <w:spacing w:line="360" w:lineRule="auto"/>
        <w:ind w:right="1"/>
        <w:jc w:val="both"/>
        <w:rPr>
          <w:rFonts w:ascii="Palatino Linotype" w:eastAsia="Palatino Linotype" w:hAnsi="Palatino Linotype" w:cs="Palatino Linotype"/>
          <w:b/>
        </w:rPr>
      </w:pPr>
    </w:p>
    <w:p w:rsidR="00AC179D" w:rsidRPr="000D2F8D" w:rsidRDefault="00252980" w:rsidP="00AC179D">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Así</w:t>
      </w:r>
      <w:r w:rsidR="00394FBB" w:rsidRPr="000D2F8D">
        <w:rPr>
          <w:rFonts w:ascii="Palatino Linotype" w:eastAsia="Palatino Linotype" w:hAnsi="Palatino Linotype" w:cs="Palatino Linotype"/>
        </w:rPr>
        <w:t xml:space="preserve">, el artículo 12 del mismo ordenamiento legal, establece que </w:t>
      </w:r>
      <w:r w:rsidR="00394FBB" w:rsidRPr="000D2F8D">
        <w:rPr>
          <w:rFonts w:ascii="Palatino Linotype" w:eastAsia="Palatino Linotype" w:hAnsi="Palatino Linotype" w:cs="Palatino Linotype"/>
          <w:b/>
        </w:rPr>
        <w:t>l</w:t>
      </w:r>
      <w:r w:rsidR="00394FBB" w:rsidRPr="000D2F8D">
        <w:rPr>
          <w:rFonts w:ascii="Palatino Linotype" w:eastAsia="Palatino Linotype" w:hAnsi="Palatino Linotype" w:cs="Palatino Linotype"/>
        </w:rPr>
        <w:t>a Dirección General del SMDIFTOL estará a cargo de un/a Director/a, el/la cual será propuesto/a por el/la Presidente/a Municipal y autorizado por el Cabildo del H. Ayuntamiento; quien tendrá las siguientes atribuciones:</w:t>
      </w:r>
    </w:p>
    <w:p w:rsidR="00394FBB" w:rsidRPr="000D2F8D" w:rsidRDefault="00394FBB" w:rsidP="00252980">
      <w:pPr>
        <w:pStyle w:val="Prrafodelista"/>
        <w:ind w:right="567"/>
        <w:rPr>
          <w:rFonts w:ascii="Palatino Linotype" w:eastAsia="Palatino Linotype" w:hAnsi="Palatino Linotype" w:cs="Palatino Linotype"/>
          <w:sz w:val="24"/>
        </w:rPr>
      </w:pP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“I. Dirigir técnica y administrativamente al SMDIFTOL;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II. Proponer a la Junta de Gobierno políticas generales para el funcionamiento del SMDIFTOL y, en su caso, llevar a cabo la aplicación;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III. Conducir el funcionamiento del SMDIFTOL, vigilando el cumplimiento de su objetivo, planes y programas;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IV. Evaluar las actividades del SMDIFTOL y disponer las acciones necesarias para el cumplimiento de los programas institucionales;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 Operar un sistema de evaluación institucional para atender los requerimientos del SMDIFTOL;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VI. Despachar con su firma los acuerdos de la Junta de Gobierno;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VII. Delegar las facultades que le otorgan las disposiciones jurídicas, previo acuerdo de la Junta de Gobierno, sin perjuicio de su ejercicio directo; </w:t>
      </w:r>
    </w:p>
    <w:p w:rsidR="00394FBB"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VIII. Promover que las funciones de las Unidades Administrativas del SMDIFTOL se realicen de manera coordinada, cuando así se requiera;</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IX. Proponer a la Presidencia del SMDIFTOL la celebración de convenios, acuerdos y contratos relacionados con las funciones del SMDIFTOL; X. Proponer a la Junta de Gobierno, la integración de comités y grupos de trabajo internos y vigilar su funcionamiento; </w:t>
      </w:r>
    </w:p>
    <w:p w:rsidR="00252980" w:rsidRPr="000D2F8D" w:rsidRDefault="00252980" w:rsidP="00252980">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XI. Presentar a la Junta de Gobierno para su autorización, los anteproyectos de ingresos y presupuesto anual de egresos del SMDIFTOL;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XII. Proponer a la Presidencia, los nombramientos que no estén reservados a la Junta de Gobierno;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lastRenderedPageBreak/>
        <w:t xml:space="preserve">XIII. Proponer a la Junta de Gobierno el otorgamiento de reconocimientos a los/as servidores/as públicos del SMDIFTOL que por sus méritos se hagan acreedores a los mismos; XIV. Otorgar a los/as servidores/as públicos del SMDIFTOL, las licencias, permisos y autorizaciones que le correspondan,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XV. Administrar el patrimonio del SMDIFTOL;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XVI. Promover la modernización administrativa, mejora regulatoria y gestión de la calidad en los trámites y servicios que ofrece el SMDIFTOL;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XVII. Suscribir los documentos relativos al ejercicio de sus atribuciones;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XVIII. Certificar la documentación oficial que obre en sus archivos y cuando se trate de documentación presentada ante el OSFEM;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XIX. Resolver, en el ámbito administrativo, las dudas que se susciten con motivo de la interpretación y aplicación de este Reglamento, así como los casos no previstos en el mismo; XX. Asumir la Presidencia del SMDIFTOL durante las ausencias temporales del/la titular de la misma, previa aprobación de la Junta de Gobierno;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XXI. Coordinar y autorizar a través de agenda, el alquiler de las instalaciones del parque “Luis Donaldo Colosio”; y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XXII. Realizar todas aquellas funciones inherentes y aplicables al área de su competencia.  </w:t>
      </w:r>
    </w:p>
    <w:p w:rsidR="00252980" w:rsidRPr="000D2F8D" w:rsidRDefault="00252980" w:rsidP="0025298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X. Las demás que le señalan otras disposiciones legales y las que le confiera la Presidencia y la Junta de Gobierno;”</w:t>
      </w:r>
    </w:p>
    <w:p w:rsidR="00AC179D" w:rsidRPr="000D2F8D" w:rsidRDefault="00AC179D" w:rsidP="00AC179D">
      <w:pPr>
        <w:spacing w:line="360" w:lineRule="auto"/>
        <w:ind w:right="1"/>
        <w:jc w:val="both"/>
        <w:rPr>
          <w:rFonts w:ascii="Palatino Linotype" w:eastAsia="Palatino Linotype" w:hAnsi="Palatino Linotype" w:cs="Palatino Linotype"/>
          <w:b/>
        </w:rPr>
      </w:pPr>
    </w:p>
    <w:p w:rsidR="00252980" w:rsidRPr="000D2F8D" w:rsidRDefault="00252980" w:rsidP="00252980">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Correlativo a lo anterior, el artículo 13 establece que para el estudio, planeación, despacho, control y evaluación de los asuntos de su competencia, la Dirección General se auxiliará de las Unidades Administrativas básicas siguientes:</w:t>
      </w:r>
    </w:p>
    <w:p w:rsidR="00252980" w:rsidRPr="000D2F8D" w:rsidRDefault="00252980" w:rsidP="00252980">
      <w:pPr>
        <w:spacing w:line="360" w:lineRule="auto"/>
        <w:ind w:right="1"/>
        <w:jc w:val="both"/>
        <w:rPr>
          <w:rFonts w:ascii="Palatino Linotype" w:eastAsia="Palatino Linotype" w:hAnsi="Palatino Linotype" w:cs="Palatino Linotype"/>
        </w:rPr>
      </w:pP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I. Coordinación de Apoyo Técnico;</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II. Unidad de Información, Planeación, Programación y Evaluación;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III. Enlace de Comunicación Social y Gobierno Digital;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IV. Procuraduría Municipal de la Protección de los Niños, Niñas y Adolescentes;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V. Departamento de Desarrollo Comunitario;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VI. Órgano Interno de Control; </w:t>
      </w:r>
    </w:p>
    <w:p w:rsidR="00252980" w:rsidRPr="000D2F8D" w:rsidRDefault="00252980" w:rsidP="00252980">
      <w:pPr>
        <w:ind w:left="567" w:right="567"/>
        <w:jc w:val="both"/>
        <w:rPr>
          <w:rFonts w:ascii="Palatino Linotype" w:eastAsia="Palatino Linotype" w:hAnsi="Palatino Linotype" w:cs="Palatino Linotype"/>
          <w:b/>
        </w:rPr>
      </w:pPr>
      <w:r w:rsidRPr="000D2F8D">
        <w:rPr>
          <w:rFonts w:ascii="Palatino Linotype" w:eastAsia="Palatino Linotype" w:hAnsi="Palatino Linotype" w:cs="Palatino Linotype"/>
          <w:b/>
        </w:rPr>
        <w:lastRenderedPageBreak/>
        <w:t xml:space="preserve">VII. Dirección de Administración y Tesorería;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VIII. Dirección de Salud Integral a la Familia;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IX. Dirección de Bienestar, Integración Familiar y Salud Mental;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X. Dirección de Servicios Jurídicos Asistenciales;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XI. Dirección de Programas al Adulto Mayor; </w:t>
      </w:r>
    </w:p>
    <w:p w:rsidR="00252980" w:rsidRPr="000D2F8D" w:rsidRDefault="00252980" w:rsidP="00252980">
      <w:pPr>
        <w:ind w:left="567" w:right="567"/>
        <w:jc w:val="both"/>
        <w:rPr>
          <w:rFonts w:ascii="Palatino Linotype" w:eastAsia="Palatino Linotype" w:hAnsi="Palatino Linotype" w:cs="Palatino Linotype"/>
        </w:rPr>
      </w:pPr>
      <w:r w:rsidRPr="000D2F8D">
        <w:rPr>
          <w:rFonts w:ascii="Palatino Linotype" w:eastAsia="Palatino Linotype" w:hAnsi="Palatino Linotype" w:cs="Palatino Linotype"/>
        </w:rPr>
        <w:t>XII. Dirección de Atención a la Discapacidad.</w:t>
      </w:r>
    </w:p>
    <w:p w:rsidR="00252980" w:rsidRPr="000D2F8D" w:rsidRDefault="00252980" w:rsidP="00252980">
      <w:pPr>
        <w:spacing w:line="360" w:lineRule="auto"/>
        <w:ind w:right="1"/>
        <w:jc w:val="both"/>
        <w:rPr>
          <w:rFonts w:ascii="Palatino Linotype" w:eastAsia="Palatino Linotype" w:hAnsi="Palatino Linotype" w:cs="Palatino Linotype"/>
        </w:rPr>
      </w:pPr>
    </w:p>
    <w:p w:rsidR="00311547" w:rsidRPr="000D2F8D" w:rsidRDefault="00252980" w:rsidP="00311547">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 xml:space="preserve">Al respecto, el artículo </w:t>
      </w:r>
      <w:r w:rsidR="00311547" w:rsidRPr="000D2F8D">
        <w:rPr>
          <w:rFonts w:ascii="Palatino Linotype" w:eastAsia="Palatino Linotype" w:hAnsi="Palatino Linotype" w:cs="Palatino Linotype"/>
        </w:rPr>
        <w:t>20 el Reglamento Interior del SMDIFTOL; refiere que corresponde a la Dirección de Administración y Tesorería, las siguientes atribuciones, así como las establecidas en el artículo 16 del mimo ordenamiento legal:</w:t>
      </w:r>
    </w:p>
    <w:p w:rsidR="00311547" w:rsidRPr="000D2F8D" w:rsidRDefault="00311547" w:rsidP="00311547">
      <w:pPr>
        <w:spacing w:line="360" w:lineRule="auto"/>
        <w:ind w:right="1"/>
        <w:jc w:val="both"/>
        <w:rPr>
          <w:rFonts w:ascii="Palatino Linotype" w:eastAsia="Palatino Linotype" w:hAnsi="Palatino Linotype" w:cs="Palatino Linotype"/>
        </w:rPr>
      </w:pP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r w:rsidRPr="000D2F8D">
        <w:rPr>
          <w:rFonts w:ascii="Palatino Linotype" w:eastAsia="Palatino Linotype" w:hAnsi="Palatino Linotype" w:cs="Palatino Linotype"/>
          <w:b/>
          <w:i/>
        </w:rPr>
        <w:t>Artículo 16.-</w:t>
      </w:r>
      <w:r w:rsidRPr="000D2F8D">
        <w:rPr>
          <w:rFonts w:ascii="Palatino Linotype" w:eastAsia="Palatino Linotype" w:hAnsi="Palatino Linotype" w:cs="Palatino Linotype"/>
          <w:i/>
        </w:rPr>
        <w:t xml:space="preserve"> Corresponde al Órgano Interno de Control: </w:t>
      </w:r>
    </w:p>
    <w:p w:rsidR="00311547" w:rsidRPr="000D2F8D" w:rsidRDefault="00311547" w:rsidP="00311547">
      <w:pPr>
        <w:ind w:left="567" w:right="567"/>
        <w:jc w:val="both"/>
        <w:rPr>
          <w:rFonts w:ascii="Palatino Linotype" w:eastAsia="Palatino Linotype" w:hAnsi="Palatino Linotype" w:cs="Palatino Linotype"/>
          <w:b/>
          <w:i/>
        </w:rPr>
      </w:pP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I. Fiscalizar el ejercicio de los presupuestos autorizados en el Organismo, cumpliendo con las medidas de racionalidad, austeridad y disciplina presupuestal establecidas y su congruencia con el avance programático;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II. Coordinar con el Órgano Superior de Fiscalización del Estado de México, la Secretaría de la Contraloría y la Contraloría Municipal, asimismo cualquier otra instancia de control para el cumplimiento de sus funciones;</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III. Participar en los procesos de entrega-recepción de las Unidades Administrativas del SMDIFTOL;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IV. Vigilar la actualización del inventario general de los bienes muebles e inmuebles propiedad del Sistema, expresando las características, identificación y destino de los mismos;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 Informar al Órgano Superior de Fiscalización del Estado de México sobre la situación que guardan las observaciones derivadas de la revisión a los informes mensuales, trimestrales y de la cuenta pública anual del SMDIFTOL;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VI. Dar seguimiento al correcto cumplimiento a los objetivos, metas y prioridades establecidas en el Plan de Desarrollo Municipal y demás programas autorizados;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VII. Ejecutar supervisiones, investigaciones, revisiones y auditorías tendientes a verificar que en el SMDIFTOL se observen las normas y disposiciones que regulan la </w:t>
      </w:r>
      <w:r w:rsidRPr="000D2F8D">
        <w:rPr>
          <w:rFonts w:ascii="Palatino Linotype" w:eastAsia="Palatino Linotype" w:hAnsi="Palatino Linotype" w:cs="Palatino Linotype"/>
          <w:i/>
        </w:rPr>
        <w:lastRenderedPageBreak/>
        <w:t xml:space="preserve">prestación del servicio público, así como particulares que puedan constituir responsabilidades administrativas en el ámbito de su competencia, así como las relativas al sistema de registro y contabilidad, contratación y pago de servicios personales, contratación de servicios, obra pública, adquisición de bienes, arrendamientos, conservación, uso y destino, afectación, enajenación y baja de bienes y demás activos y recursos materiales;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VIII. Participar en el Comité de Adquisiciones como vocal, de acuerdo a lo previsto reglamentariamente;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IX. Investigar las denuncias que se interpongan en contra de los/las servidores/as públicos/as;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 Promover la implantación de medidas de control interno que coadyuven a la protección de los recursos, obtención de información oportuna y confiable, la promoción de la eficiencia operacional y la adhesión a las políticas institucionales;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XI. Cumplir con las tareas en materia de Transparencia y Protección de Datos Personales, de acuerdo con la normatividad vigente;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XII. Atender de manera directa toda instrucción del superior jerárquico del SMDIFTOL; y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XIII. Realizar todas aquellas funciones inherentes y aplicables al área de su competencia.</w:t>
      </w:r>
    </w:p>
    <w:p w:rsidR="00311547" w:rsidRPr="000D2F8D" w:rsidRDefault="00311547" w:rsidP="00311547">
      <w:pPr>
        <w:ind w:left="567" w:right="567"/>
        <w:jc w:val="both"/>
        <w:rPr>
          <w:rFonts w:ascii="Palatino Linotype" w:eastAsia="Palatino Linotype" w:hAnsi="Palatino Linotype" w:cs="Palatino Linotype"/>
        </w:rPr>
      </w:pP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b/>
          <w:i/>
        </w:rPr>
        <w:t xml:space="preserve">“Artículo 20. </w:t>
      </w:r>
      <w:r w:rsidRPr="000D2F8D">
        <w:rPr>
          <w:rFonts w:ascii="Palatino Linotype" w:eastAsia="Palatino Linotype" w:hAnsi="Palatino Linotype" w:cs="Palatino Linotype"/>
          <w:i/>
        </w:rPr>
        <w:t>Corresponde a la Dirección de Administración y Tesorería, quien tendrá además de las señaladas en el artículo 16 de la Ley, las siguientes atribuciones:</w:t>
      </w:r>
    </w:p>
    <w:p w:rsidR="00311547" w:rsidRPr="000D2F8D" w:rsidRDefault="00311547" w:rsidP="00311547">
      <w:pPr>
        <w:ind w:left="567" w:right="567"/>
        <w:jc w:val="both"/>
        <w:rPr>
          <w:rFonts w:ascii="Palatino Linotype" w:eastAsia="Palatino Linotype" w:hAnsi="Palatino Linotype" w:cs="Palatino Linotype"/>
          <w:i/>
        </w:rPr>
      </w:pP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I. Elaborar el presupuesto anual del SMDIFTOL bajo la coordinación de sus diferentes Unidades Administrativas;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II. Supervisar y controlar la integración del presupuesto general optimizando los recursos financieros;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III. Administrar de manera eficiente los recursos del SMDIFTOL;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IV. Coordinar el ejercicio del presupuesto asignado al SMDIFTOL, cuidando que su aplicación se realice con base en los principios de racionalidad, austeridad y disciplina financiera;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 Validar las pólizas-cheque generadas por el Departamento de Finanzas para efectuar los pagos a proveedores de bienes y servicios otorgados al SMDIFTOL, los correspondientes al pago de nómina y de obligaciones fiscales, laborales, de seguridad </w:t>
      </w:r>
      <w:r w:rsidRPr="000D2F8D">
        <w:rPr>
          <w:rFonts w:ascii="Palatino Linotype" w:eastAsia="Palatino Linotype" w:hAnsi="Palatino Linotype" w:cs="Palatino Linotype"/>
          <w:i/>
        </w:rPr>
        <w:lastRenderedPageBreak/>
        <w:t xml:space="preserve">social sindical y administrativas, así como verificar que las mismas cumplan con las políticas y normas aplicables;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VI. Alimentar, actualizar y controlar los resultados del Sistema de Control Patrimonial con la finalidad de establecer políticas para la toma de decisiones en materia de bienes muebles e inmuebles, uso y destino de los mismos;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VII. Presentar a la Junta de Gobierno, los estados financieros mensuales, para su revisión y aprobación;</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VIII. Establecer el plan y las estrategias financieras de contingencia del SMDIFTOL;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IX. Fungir como Tesorero/a de la Junta de Gobierno del SMDIFTOL;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 Proveer a las Unidades Administrativas de los recursos humanos y materiales necesarios para su buen funcionamiento, así como de servicios de mantenimiento de inmuebles, parque vehicular y apoyo para la realización de eventos cuando así sea requerido;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XI. Fungir como Vocal Financiero en el Comité de Adquisiciones, Enajenaciones, Arrendamientos y Servicios;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XII. Dar atención a requerimientos propios de los eventos a realizar en el Parque “Luis Dolando Colosio”;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XIII. Suscribir contratos de bienes y servicios en términos de la legislación aplicable;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XIV. Evaluar de manera periódica el avance del Programa Anual para cada una de las áreas a su cargo generando acciones correctivas en caso de ser necesario, garantizando su cumplimiento;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XV. Participar en el Comité de Interno de Mejora Regulatoria como vocal, de acuerdo a lo previsto reglamentariamente;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XVI. Cumplir con las tareas en materia de Transparencia y Protección de Datos Personales, de acuerdo con la normatividad vigente; </w:t>
      </w:r>
    </w:p>
    <w:p w:rsidR="00311547" w:rsidRPr="000D2F8D" w:rsidRDefault="00311547" w:rsidP="00311547">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XVII. Atender de manera directa toda instrucción del superior jerárquico del SMDIFTOL; y </w:t>
      </w:r>
    </w:p>
    <w:p w:rsidR="00311547" w:rsidRPr="000D2F8D" w:rsidRDefault="00311547" w:rsidP="00311547">
      <w:pP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XVIII. Realizar todas aquellas funciones inherentes y aplicables al área de su competencia.”</w:t>
      </w:r>
    </w:p>
    <w:p w:rsidR="00311547" w:rsidRPr="000D2F8D" w:rsidRDefault="00311547" w:rsidP="00311547">
      <w:pPr>
        <w:spacing w:line="360" w:lineRule="auto"/>
        <w:ind w:right="1"/>
        <w:jc w:val="both"/>
        <w:rPr>
          <w:rFonts w:ascii="Palatino Linotype" w:eastAsia="Palatino Linotype" w:hAnsi="Palatino Linotype" w:cs="Palatino Linotype"/>
        </w:rPr>
      </w:pPr>
    </w:p>
    <w:p w:rsidR="006A11BF" w:rsidRPr="000D2F8D" w:rsidRDefault="006A11BF" w:rsidP="006A11BF">
      <w:pPr>
        <w:numPr>
          <w:ilvl w:val="0"/>
          <w:numId w:val="1"/>
        </w:numPr>
        <w:spacing w:line="360" w:lineRule="auto"/>
        <w:ind w:left="0" w:right="1" w:firstLine="0"/>
        <w:jc w:val="both"/>
        <w:rPr>
          <w:rFonts w:ascii="Palatino Linotype" w:eastAsia="Palatino Linotype" w:hAnsi="Palatino Linotype" w:cs="Palatino Linotype"/>
        </w:rPr>
      </w:pPr>
      <w:r w:rsidRPr="000D2F8D">
        <w:rPr>
          <w:rFonts w:ascii="Palatino Linotype" w:eastAsia="Palatino Linotype" w:hAnsi="Palatino Linotype" w:cs="Palatino Linotype"/>
        </w:rPr>
        <w:t>En atención a lo anterior, se advierte que la respuesta fue emitida por el Servidor Público habilitado competente, en el presente caso el Titular de la Dirección de Administración y Tesorería</w:t>
      </w:r>
      <w:r w:rsidR="008F4CCE" w:rsidRPr="000D2F8D">
        <w:rPr>
          <w:rFonts w:ascii="Palatino Linotype" w:eastAsia="Palatino Linotype" w:hAnsi="Palatino Linotype" w:cs="Palatino Linotype"/>
        </w:rPr>
        <w:t xml:space="preserve">, </w:t>
      </w:r>
      <w:r w:rsidRPr="000D2F8D">
        <w:rPr>
          <w:rFonts w:ascii="Palatino Linotype" w:eastAsia="Palatino Linotype" w:hAnsi="Palatino Linotype" w:cs="Palatino Linotype"/>
        </w:rPr>
        <w:t xml:space="preserve">no obstante, se limitó a entregar la </w:t>
      </w:r>
      <w:r w:rsidRPr="000D2F8D">
        <w:rPr>
          <w:rFonts w:ascii="Palatino Linotype" w:hAnsi="Palatino Linotype"/>
        </w:rPr>
        <w:t xml:space="preserve">copia digitalizada del </w:t>
      </w:r>
      <w:r w:rsidRPr="000D2F8D">
        <w:rPr>
          <w:rFonts w:ascii="Palatino Linotype" w:hAnsi="Palatino Linotype"/>
        </w:rPr>
        <w:lastRenderedPageBreak/>
        <w:t xml:space="preserve">PbRM-04d “Caratula de presupuesto de egresos” del 01 de enero al 31 de diciembre de 2025, del Presupuesto basado en Resultados Municipal del DIF de Toluca; motivo de inconformidad del Particular. </w:t>
      </w:r>
    </w:p>
    <w:p w:rsidR="006A11BF" w:rsidRPr="000D2F8D" w:rsidRDefault="006A11BF" w:rsidP="006A11BF">
      <w:pPr>
        <w:spacing w:line="360" w:lineRule="auto"/>
        <w:ind w:right="1"/>
        <w:jc w:val="both"/>
        <w:rPr>
          <w:rFonts w:ascii="Palatino Linotype" w:eastAsia="Palatino Linotype" w:hAnsi="Palatino Linotype" w:cs="Palatino Linotype"/>
        </w:rPr>
      </w:pPr>
    </w:p>
    <w:p w:rsidR="008F4CCE" w:rsidRPr="000D2F8D" w:rsidRDefault="008F4CCE" w:rsidP="008F4CCE">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En atención a lo anterior, el Código Financiero del Estado de México y Municipios en su artículo 285, en lo medular señala que el Presupuesto de Egresos de los Municipios se constituye en el instrumento jurídico, de política económica y de política de gasto, que aprueba el Ayuntamiento en el cual se establece el ejercicio, control y evaluación del gasto público, precepto cuyo texto y sentido literal es el siguiente:</w:t>
      </w:r>
    </w:p>
    <w:p w:rsidR="008F4CCE" w:rsidRPr="000D2F8D" w:rsidRDefault="008F4CCE" w:rsidP="008F4CCE">
      <w:pPr>
        <w:spacing w:line="360" w:lineRule="auto"/>
        <w:ind w:right="1"/>
        <w:jc w:val="both"/>
        <w:rPr>
          <w:rFonts w:ascii="Palatino Linotype" w:eastAsia="Palatino Linotype" w:hAnsi="Palatino Linotype" w:cs="Palatino Linotype"/>
        </w:rPr>
      </w:pPr>
    </w:p>
    <w:p w:rsidR="008F4CCE" w:rsidRPr="000D2F8D" w:rsidRDefault="008F4CCE" w:rsidP="008F4CCE">
      <w:pPr>
        <w:pBdr>
          <w:top w:val="nil"/>
          <w:left w:val="nil"/>
          <w:bottom w:val="nil"/>
          <w:right w:val="nil"/>
          <w:between w:val="nil"/>
        </w:pBd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b/>
          <w:i/>
        </w:rPr>
        <w:t>“Artículo 285</w:t>
      </w:r>
      <w:r w:rsidRPr="000D2F8D">
        <w:rPr>
          <w:rFonts w:ascii="Palatino Linotype" w:eastAsia="Palatino Linotype" w:hAnsi="Palatino Linotype" w:cs="Palatino Linotype"/>
          <w:i/>
        </w:rPr>
        <w:t xml:space="preserve">.- </w:t>
      </w:r>
      <w:r w:rsidRPr="000D2F8D">
        <w:rPr>
          <w:rFonts w:ascii="Palatino Linotype" w:eastAsia="Palatino Linotype" w:hAnsi="Palatino Linotype" w:cs="Palatino Linotype"/>
          <w:b/>
          <w:i/>
        </w:rPr>
        <w:t>El Presupuesto de Egresos</w:t>
      </w:r>
      <w:r w:rsidRPr="000D2F8D">
        <w:rPr>
          <w:rFonts w:ascii="Palatino Linotype" w:eastAsia="Palatino Linotype" w:hAnsi="Palatino Linotype" w:cs="Palatino Linotype"/>
          <w:i/>
        </w:rPr>
        <w:t xml:space="preserve"> del Estado </w:t>
      </w:r>
      <w:r w:rsidRPr="000D2F8D">
        <w:rPr>
          <w:rFonts w:ascii="Palatino Linotype" w:eastAsia="Palatino Linotype" w:hAnsi="Palatino Linotype" w:cs="Palatino Linotype"/>
          <w:b/>
          <w:i/>
        </w:rPr>
        <w:t>es el instrumento jurídico, de política económica y de política de gasto</w:t>
      </w:r>
      <w:r w:rsidRPr="000D2F8D">
        <w:rPr>
          <w:rFonts w:ascii="Palatino Linotype" w:eastAsia="Palatino Linotype" w:hAnsi="Palatino Linotype" w:cs="Palatino Linotype"/>
          <w:i/>
        </w:rPr>
        <w:t xml:space="preserve">, que aprueba la Legislatura conforme a la iniciativa que presenta el Gobernador, </w:t>
      </w:r>
      <w:r w:rsidRPr="000D2F8D">
        <w:rPr>
          <w:rFonts w:ascii="Palatino Linotype" w:eastAsia="Palatino Linotype" w:hAnsi="Palatino Linotype" w:cs="Palatino Linotype"/>
          <w:b/>
          <w:i/>
        </w:rPr>
        <w:t>en el cual se establece el ejercicio, control y evaluación del gasto público de las Dependencias</w:t>
      </w:r>
      <w:r w:rsidRPr="000D2F8D">
        <w:rPr>
          <w:rFonts w:ascii="Palatino Linotype" w:eastAsia="Palatino Linotype" w:hAnsi="Palatino Linotype" w:cs="Palatino Linotype"/>
          <w:i/>
        </w:rPr>
        <w:t>, Entidades Públicas y Organismos Autónomos a través de los programas derivados del Plan de Desarrollo del Estado de México, durante el ejercicio fiscal correspondiente, así como de aquellos de naturaleza multianual propuestos por la Secretaría.</w:t>
      </w:r>
    </w:p>
    <w:p w:rsidR="008F4CCE" w:rsidRPr="000D2F8D" w:rsidRDefault="008F4CCE" w:rsidP="008F4CCE">
      <w:pPr>
        <w:pBdr>
          <w:top w:val="nil"/>
          <w:left w:val="nil"/>
          <w:bottom w:val="nil"/>
          <w:right w:val="nil"/>
          <w:between w:val="nil"/>
        </w:pBd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p>
    <w:p w:rsidR="008F4CCE" w:rsidRPr="000D2F8D" w:rsidRDefault="008F4CCE" w:rsidP="008F4CCE">
      <w:pPr>
        <w:pBdr>
          <w:top w:val="nil"/>
          <w:left w:val="nil"/>
          <w:bottom w:val="nil"/>
          <w:right w:val="nil"/>
          <w:between w:val="nil"/>
        </w:pBdr>
        <w:ind w:left="567" w:right="567"/>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En el caso de los municipios, el Presupuesto de Egresos, será el que se apruebe por el Ayuntamiento…”</w:t>
      </w:r>
    </w:p>
    <w:p w:rsidR="008F4CCE" w:rsidRPr="000D2F8D" w:rsidRDefault="008F4CCE" w:rsidP="008F4CCE">
      <w:pPr>
        <w:spacing w:line="360" w:lineRule="auto"/>
        <w:ind w:right="1"/>
        <w:jc w:val="both"/>
        <w:rPr>
          <w:rFonts w:ascii="Palatino Linotype" w:eastAsia="Palatino Linotype" w:hAnsi="Palatino Linotype" w:cs="Palatino Linotype"/>
          <w:b/>
        </w:rPr>
      </w:pPr>
    </w:p>
    <w:p w:rsidR="004A46E4" w:rsidRPr="000D2F8D" w:rsidRDefault="008F4CCE" w:rsidP="004A46E4">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Por su parte el Manual para la Planeación, Programación y P</w:t>
      </w:r>
      <w:r w:rsidR="004A46E4" w:rsidRPr="000D2F8D">
        <w:rPr>
          <w:rFonts w:ascii="Palatino Linotype" w:eastAsia="Palatino Linotype" w:hAnsi="Palatino Linotype" w:cs="Palatino Linotype"/>
        </w:rPr>
        <w:t xml:space="preserve">resupuesto de Egresos Municipal, </w:t>
      </w:r>
      <w:r w:rsidRPr="000D2F8D">
        <w:rPr>
          <w:rFonts w:ascii="Palatino Linotype" w:eastAsia="Palatino Linotype" w:hAnsi="Palatino Linotype" w:cs="Palatino Linotype"/>
        </w:rPr>
        <w:t xml:space="preserve">señala: </w:t>
      </w:r>
    </w:p>
    <w:p w:rsidR="004A46E4" w:rsidRPr="000D2F8D" w:rsidRDefault="004A46E4" w:rsidP="004A46E4">
      <w:pPr>
        <w:ind w:left="567"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Con base en lo que establece el artículo 285 del Código Financiero del Estado de México y Municipios, el Presupuesto de Egresos Municipal se conceptualiza como el instrumento jurídico, de política económica y de política de gasto, que aprueba el Cabildo, conforme a la propuesta que presenta el C. Presidente Municipal, en el cual se establece el ejercicio, control y evaluación del gasto público de las Dependencias </w:t>
      </w:r>
      <w:r w:rsidRPr="000D2F8D">
        <w:rPr>
          <w:rFonts w:ascii="Palatino Linotype" w:eastAsia="Palatino Linotype" w:hAnsi="Palatino Linotype" w:cs="Palatino Linotype"/>
          <w:i/>
        </w:rPr>
        <w:lastRenderedPageBreak/>
        <w:t xml:space="preserve">Administrativas y Organismos Municipales Descentralizados, a través de los programas derivados del Plan de Desarrollo Municipal (PDM), durante el ejercicio fiscal correspondiente. </w:t>
      </w:r>
    </w:p>
    <w:p w:rsidR="004A46E4" w:rsidRPr="000D2F8D" w:rsidRDefault="004A46E4" w:rsidP="004A46E4">
      <w:pPr>
        <w:ind w:left="567"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p>
    <w:p w:rsidR="004A46E4" w:rsidRPr="000D2F8D" w:rsidRDefault="004A46E4" w:rsidP="004A46E4">
      <w:pPr>
        <w:ind w:left="567"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Para las administraciones municipales, el Presupuesto basado en Resultados (PbR), es un instrumento que permite mediante el proceso de evaluación, apoyar las decisiones presupuestarias con información sustantiva de los resultados de la aplicación de los recursos públicos, incorporando los principales hallazgos al proceso de programación, del ejercicio fiscal subsecuente a la evaluación, permitiendo establecer compromisos a fin de optimizar la calidad del gasto público. </w:t>
      </w:r>
    </w:p>
    <w:p w:rsidR="004A46E4" w:rsidRPr="000D2F8D" w:rsidRDefault="004A46E4" w:rsidP="004A46E4">
      <w:pPr>
        <w:ind w:left="567" w:right="569"/>
        <w:jc w:val="both"/>
        <w:rPr>
          <w:rFonts w:ascii="Palatino Linotype" w:eastAsia="Palatino Linotype" w:hAnsi="Palatino Linotype" w:cs="Palatino Linotype"/>
          <w:i/>
        </w:rPr>
      </w:pPr>
    </w:p>
    <w:p w:rsidR="004A46E4" w:rsidRPr="000D2F8D" w:rsidRDefault="004A46E4" w:rsidP="004A46E4">
      <w:pPr>
        <w:ind w:left="567"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El PbR apoya la asignación objetiva de los recursos públicos para fortalecer las políticas, programas y proyectos para el desempeño gubernamental, a fin de que aporten mejoras sustantivas a las condiciones de vida de la sociedad. Por ello, fomenta la optimización de los recursos para brindar mayor cantidad y calidad de bienes y servicios públicos. </w:t>
      </w:r>
    </w:p>
    <w:p w:rsidR="004A46E4" w:rsidRPr="000D2F8D" w:rsidRDefault="004A46E4" w:rsidP="004A46E4">
      <w:pPr>
        <w:ind w:left="567"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El PbR pretende que la definición de los programas presupuestarios se derive de un proceso secuencial, alineado con la planeación – asignación presupuestal, estableciendo objetivos, metas e indicadores, a efecto de hacer más eficiente la asignación de recursos, considerando la evaluación de los resultados alcanzados y la manera en que las Dependencias y Entidades de la Administración Pública Municipal ejercen los recursos públicos</w:t>
      </w:r>
    </w:p>
    <w:p w:rsidR="004A46E4" w:rsidRPr="000D2F8D" w:rsidRDefault="004A46E4" w:rsidP="004A46E4">
      <w:pPr>
        <w:ind w:left="567" w:right="569"/>
        <w:jc w:val="both"/>
        <w:rPr>
          <w:rFonts w:ascii="Palatino Linotype" w:eastAsia="Palatino Linotype" w:hAnsi="Palatino Linotype" w:cs="Palatino Linotype"/>
          <w:b/>
          <w:i/>
        </w:rPr>
      </w:pPr>
    </w:p>
    <w:p w:rsidR="004A46E4" w:rsidRPr="000D2F8D" w:rsidRDefault="004A46E4" w:rsidP="004A46E4">
      <w:pPr>
        <w:ind w:left="567"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3. Elaboración del Presupuesto Integración Presupuestal: S</w:t>
      </w:r>
      <w:r w:rsidRPr="000D2F8D">
        <w:rPr>
          <w:rFonts w:ascii="Palatino Linotype" w:eastAsia="Palatino Linotype" w:hAnsi="Palatino Linotype" w:cs="Palatino Linotype"/>
          <w:i/>
        </w:rPr>
        <w:t>e basa en la definición de las estructuras funcional-programática, administrativa y económica del presupuesto, vinculadas entre sí con los objetivos institucionales, a partir de la selección de las Categorías Programáticas (Finalidad, Funciones, Subfunciones, Programas presupuestarios, Subprogramas y Proyectos) contenidas en la Estructura Programática Municipal, a los cuales se orientan recursos para que dichos objetivos puedan llevarse a cabo por las Dependencias Generales y/o Auxiliares, así como por los Organismos Municipale</w:t>
      </w:r>
      <w:r w:rsidRPr="000D2F8D">
        <w:rPr>
          <w:rFonts w:ascii="Palatino Linotype" w:eastAsia="Palatino Linotype" w:hAnsi="Palatino Linotype" w:cs="Palatino Linotype"/>
          <w:b/>
          <w:i/>
        </w:rPr>
        <w:t>s.</w:t>
      </w:r>
    </w:p>
    <w:p w:rsidR="004A46E4" w:rsidRPr="000D2F8D" w:rsidRDefault="004A46E4" w:rsidP="004A46E4">
      <w:pPr>
        <w:spacing w:line="360" w:lineRule="auto"/>
        <w:ind w:right="1"/>
        <w:jc w:val="both"/>
        <w:rPr>
          <w:rFonts w:ascii="Palatino Linotype" w:eastAsia="Palatino Linotype" w:hAnsi="Palatino Linotype" w:cs="Palatino Linotype"/>
          <w:b/>
        </w:rPr>
      </w:pPr>
    </w:p>
    <w:p w:rsidR="004A46E4" w:rsidRPr="000D2F8D" w:rsidRDefault="008F4CCE" w:rsidP="008F4CCE">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lastRenderedPageBreak/>
        <w:t xml:space="preserve">De acuerdo a lo anterior, el Presupuesto basado en Resultados (PbR), es un instrumento que permite realizar las decisiones presupuestarias para la aplicación de los recursos públicos, de acuerdo a su proceso de programación para el ejercicio fiscal subsecuente a la evaluación, a efecto de optimizar la calidad del gasto público, por lo que El PbR pretende que la definición de los programas presupuestarios, considere la evaluación de los resultados alcanzados y la manera en que las Dependencias y Entidades de la Administración Pública Municipal ejercen los recursos públicos, en este sentido la elaboración del Presupuesto Integración Presupuestal, se basa en la definición de las estructuras funcional-programática, administrativa y económica del presupuesto, vinculadas entre sí con los objetivos institucionales, a partir de la selección de las Categorías Programáticas (Finalidad, Funciones, Subfunciones, Programas presupuestarios, Subprogramas y Proyectos) contenidas en la Estructura Programática Municipal, a los cuales se orientan recursos para que dichos objetivos puedan llevarse a cabo por las Dependencias Generales y/o Auxiliares, así como por los Organismos Municipales, por lo que de igual forma resulta oportuno mencionar que: </w:t>
      </w:r>
    </w:p>
    <w:p w:rsidR="004A46E4" w:rsidRPr="000D2F8D" w:rsidRDefault="004A46E4" w:rsidP="004A46E4">
      <w:pPr>
        <w:ind w:left="567" w:right="567"/>
        <w:jc w:val="both"/>
        <w:rPr>
          <w:rFonts w:ascii="Palatino Linotype" w:eastAsia="Palatino Linotype" w:hAnsi="Palatino Linotype" w:cs="Palatino Linotype"/>
          <w:b/>
        </w:rPr>
      </w:pPr>
    </w:p>
    <w:p w:rsidR="004A46E4" w:rsidRPr="000D2F8D" w:rsidRDefault="004A46E4" w:rsidP="004A46E4">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“2. CLASIFICACIÓN FUNCIONAL - PROGRAMÁTICA MUNICIPAL </w:t>
      </w:r>
    </w:p>
    <w:p w:rsidR="004A46E4" w:rsidRPr="000D2F8D" w:rsidRDefault="004A46E4" w:rsidP="004A46E4">
      <w:pPr>
        <w:ind w:left="567" w:right="567"/>
        <w:jc w:val="both"/>
        <w:rPr>
          <w:rFonts w:ascii="Palatino Linotype" w:eastAsia="Palatino Linotype" w:hAnsi="Palatino Linotype" w:cs="Palatino Linotype"/>
          <w:i/>
        </w:rPr>
      </w:pPr>
    </w:p>
    <w:p w:rsidR="004A46E4" w:rsidRPr="000D2F8D" w:rsidRDefault="004A46E4" w:rsidP="004A46E4">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La Estructura Programática Municipal (EPM), es un instrumento clasificador de acciones para la planeación, programación, presupuesto y control del gasto público, así como para evaluar el desempeño gubernamental, la EPM, se apoya en los elementos de la planeación estratégica y constituye un medio para ordenar las acciones y recursos de la gestión gubernamental; ésta relaciona las metas con los recursos presupuestados y los resultados que esperan alcanzar las dependencias y organismos municipales, permitiendo evaluar de forma amplia el impacto de las acciones del quehacer municipal en el ámbito social, económico y territorial.</w:t>
      </w:r>
    </w:p>
    <w:p w:rsidR="004A46E4" w:rsidRPr="000D2F8D" w:rsidRDefault="004A46E4" w:rsidP="004A46E4">
      <w:pPr>
        <w:ind w:left="567" w:right="567"/>
        <w:jc w:val="both"/>
        <w:rPr>
          <w:rFonts w:ascii="Palatino Linotype" w:eastAsia="Palatino Linotype" w:hAnsi="Palatino Linotype" w:cs="Palatino Linotype"/>
          <w:i/>
        </w:rPr>
      </w:pPr>
    </w:p>
    <w:p w:rsidR="004A46E4" w:rsidRPr="000D2F8D" w:rsidRDefault="004A46E4" w:rsidP="004A46E4">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lastRenderedPageBreak/>
        <w:t>La EPM contribuye a la integración del Presupuesto basado en Resultados (PbR)...”</w:t>
      </w:r>
    </w:p>
    <w:p w:rsidR="004A46E4" w:rsidRPr="000D2F8D" w:rsidRDefault="004A46E4" w:rsidP="004A46E4">
      <w:pPr>
        <w:spacing w:line="360" w:lineRule="auto"/>
        <w:ind w:right="1"/>
        <w:jc w:val="both"/>
        <w:rPr>
          <w:rFonts w:ascii="Palatino Linotype" w:eastAsia="Palatino Linotype" w:hAnsi="Palatino Linotype" w:cs="Palatino Linotype"/>
          <w:b/>
        </w:rPr>
      </w:pPr>
    </w:p>
    <w:p w:rsidR="004A46E4" w:rsidRPr="000D2F8D" w:rsidRDefault="008F4CCE" w:rsidP="008F4CCE">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 xml:space="preserve">De acuerdo a lo anterior, la Estructura Programática Municipal (EPM), clasifica las acciones para la planeación, programación, presupuesto y control del gasto público, que también le permite evaluar su siendo un medio para ordenar las acciones y recursos de la gestión gubernamental en donde se relacionan las metas con los recursos presupuestados y los resultados que esperan alcanzar las dependencias y organismos municipales, siendo así, que la Estructura Programática Municipal contribuye a la integración del Presupuesto basado en Resultados (PbR), aunando a ello, se menciona lo siguiente: </w:t>
      </w:r>
    </w:p>
    <w:p w:rsidR="004A46E4" w:rsidRPr="000D2F8D" w:rsidRDefault="004A46E4" w:rsidP="004A46E4">
      <w:pPr>
        <w:spacing w:line="360" w:lineRule="auto"/>
        <w:ind w:right="1"/>
        <w:jc w:val="both"/>
        <w:rPr>
          <w:rFonts w:ascii="Palatino Linotype" w:eastAsia="Palatino Linotype" w:hAnsi="Palatino Linotype" w:cs="Palatino Linotype"/>
          <w:b/>
        </w:rPr>
      </w:pPr>
    </w:p>
    <w:p w:rsidR="004A46E4" w:rsidRPr="000D2F8D" w:rsidRDefault="004A46E4"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“3. LINEAMIENTOS PARA LA INTEGRACIÓN DEL PRESUPUESTO DE EGRESOS MUNICIPAL</w:t>
      </w:r>
    </w:p>
    <w:p w:rsidR="004A46E4" w:rsidRPr="000D2F8D" w:rsidRDefault="004A46E4" w:rsidP="004A46E4">
      <w:pPr>
        <w:ind w:left="566" w:right="569"/>
        <w:jc w:val="both"/>
        <w:rPr>
          <w:rFonts w:ascii="Palatino Linotype" w:eastAsia="Palatino Linotype" w:hAnsi="Palatino Linotype" w:cs="Palatino Linotype"/>
          <w:i/>
        </w:rPr>
      </w:pPr>
    </w:p>
    <w:p w:rsidR="004A46E4" w:rsidRPr="000D2F8D" w:rsidRDefault="004A46E4"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1. La Tesorería y la UIPPE serán, en el ámbito de sus competencias, los responsables de coordinar los trabajos de anteproyecto de las Dependencias Generales, Auxiliares y Organismos Municipales, para posteriormente integrar el Proyecto de Presupuesto de Egresos Municipal, que el Presidente Municipal presentará para análisis, discusión y eventual aprobación por parte del Cabildo. Es importante mencionar que en caso de no existir UIPPE, los servidores públicos serán los responsables de realizar dichas funciones.</w:t>
      </w:r>
    </w:p>
    <w:p w:rsidR="004A46E4" w:rsidRPr="000D2F8D" w:rsidRDefault="004A46E4" w:rsidP="004A46E4">
      <w:pPr>
        <w:ind w:left="566" w:right="569"/>
        <w:jc w:val="both"/>
        <w:rPr>
          <w:rFonts w:ascii="Palatino Linotype" w:eastAsia="Palatino Linotype" w:hAnsi="Palatino Linotype" w:cs="Palatino Linotype"/>
          <w:i/>
        </w:rPr>
      </w:pPr>
    </w:p>
    <w:p w:rsidR="00D840B8" w:rsidRPr="000D2F8D" w:rsidRDefault="004A46E4" w:rsidP="00D840B8">
      <w:pPr>
        <w:ind w:left="566"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2. </w:t>
      </w:r>
      <w:r w:rsidR="00D840B8" w:rsidRPr="000D2F8D">
        <w:rPr>
          <w:rFonts w:ascii="Palatino Linotype" w:eastAsia="Palatino Linotype" w:hAnsi="Palatino Linotype" w:cs="Palatino Linotype"/>
          <w:b/>
          <w:i/>
        </w:rPr>
        <w:t xml:space="preserve">Las Dependencias Generales, Auxiliares y Organismos Municipales o similares, deben integrar y presentar a la UIPPE y Tesorería sus respectivos anteproyectos de acuerdo con el presente manual, identificando la congruencia con el PDM vigente y la asignación de los recursos públicos, que deberán ser presupuestados observando las disposiciones de disciplina financiera y un enfoque para resultados. En la integración del Anteproyecto, Proyecto y eventualmente el Presupuesto de Egresos Municipal, se deberán </w:t>
      </w:r>
      <w:r w:rsidR="00D840B8" w:rsidRPr="000D2F8D">
        <w:rPr>
          <w:rFonts w:ascii="Palatino Linotype" w:eastAsia="Palatino Linotype" w:hAnsi="Palatino Linotype" w:cs="Palatino Linotype"/>
          <w:b/>
          <w:i/>
        </w:rPr>
        <w:lastRenderedPageBreak/>
        <w:t>observar en lo conducente las leyes y reglamentaciones establecidas sobre la igualdad entre mujeres y hombres, la atención de niños, niñas y adolescentes, el desarrollo integral de los pueblos y comunidades indígenas, el desarrollo de los jóvenes, la atención a grupos vulnerables y para la protección al ambiente, así como los catálogos que en este manual se anexan, a fin de cumplir con la presentación del Presupuesto de Egresos en su clasificación funcional, administrativa y económica homologada para todos los gobiernos municipales de la Entidad.</w:t>
      </w:r>
    </w:p>
    <w:p w:rsidR="00D840B8" w:rsidRPr="000D2F8D" w:rsidRDefault="00D840B8" w:rsidP="00D840B8">
      <w:pPr>
        <w:ind w:left="566" w:right="569"/>
        <w:jc w:val="both"/>
        <w:rPr>
          <w:rFonts w:ascii="Palatino Linotype" w:eastAsia="Palatino Linotype" w:hAnsi="Palatino Linotype" w:cs="Palatino Linotype"/>
          <w:i/>
        </w:rPr>
      </w:pPr>
    </w:p>
    <w:p w:rsidR="00D840B8" w:rsidRPr="000D2F8D" w:rsidRDefault="00D840B8" w:rsidP="00D840B8">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3.- El Proyecto de Presupuesto de Egresos es considerado una herramienta de programación anual, deberá contener sus respectivos objetivos, metas de actividad e indicadores, mismos que deberán vincularse al Plan de Desarrollo Municipal correspondiente. </w:t>
      </w:r>
    </w:p>
    <w:p w:rsidR="00D840B8" w:rsidRPr="000D2F8D" w:rsidRDefault="00D840B8" w:rsidP="00D840B8">
      <w:pPr>
        <w:ind w:left="566" w:right="569"/>
        <w:jc w:val="both"/>
        <w:rPr>
          <w:rFonts w:ascii="Palatino Linotype" w:eastAsia="Palatino Linotype" w:hAnsi="Palatino Linotype" w:cs="Palatino Linotype"/>
          <w:i/>
        </w:rPr>
      </w:pPr>
    </w:p>
    <w:p w:rsidR="004A46E4" w:rsidRPr="000D2F8D" w:rsidRDefault="00D840B8" w:rsidP="00D840B8">
      <w:pPr>
        <w:ind w:left="566"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4. Las Dependencias Generales, Auxiliares y Organismos formularán su Anteproyecto de Presupuesto de Egresos con estricto apego al marco jurídico y normativo aplicable, ajustándose al techo presupuestario que la Tesorería comunique, aplicando criterios de racionalidad para la programación de recursos a cada proyecto, de acuerdo al catálogo de la estructura programática municipal, capítulo y partida del gasto, a fin de que les permita desarrollar y cumplir los procesos sustantivos y prioritarios comprometidos en el Programa Anual.</w:t>
      </w:r>
    </w:p>
    <w:p w:rsidR="00D840B8" w:rsidRPr="000D2F8D" w:rsidRDefault="00D840B8" w:rsidP="00D840B8">
      <w:pPr>
        <w:ind w:right="569"/>
        <w:jc w:val="both"/>
        <w:rPr>
          <w:rFonts w:ascii="Palatino Linotype" w:eastAsia="Palatino Linotype" w:hAnsi="Palatino Linotype" w:cs="Palatino Linotype"/>
          <w:b/>
          <w:i/>
        </w:rPr>
      </w:pPr>
    </w:p>
    <w:p w:rsidR="008F4CCE" w:rsidRPr="000D2F8D" w:rsidRDefault="008F4CCE" w:rsidP="008F4CCE">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 xml:space="preserve">En este sentido, los responsables de coordinar los trabajos de </w:t>
      </w:r>
      <w:r w:rsidRPr="000D2F8D">
        <w:rPr>
          <w:rFonts w:ascii="Palatino Linotype" w:eastAsia="Palatino Linotype" w:hAnsi="Palatino Linotype" w:cs="Palatino Linotype"/>
          <w:b/>
        </w:rPr>
        <w:t xml:space="preserve">anteproyecto </w:t>
      </w:r>
      <w:r w:rsidRPr="000D2F8D">
        <w:rPr>
          <w:rFonts w:ascii="Palatino Linotype" w:eastAsia="Palatino Linotype" w:hAnsi="Palatino Linotype" w:cs="Palatino Linotype"/>
        </w:rPr>
        <w:t>de las Dependencias Generales, Auxiliares y Organismos Municipales, se encuentra el formato denominado “D</w:t>
      </w:r>
      <w:r w:rsidRPr="000D2F8D">
        <w:rPr>
          <w:rFonts w:ascii="Palatino Linotype" w:eastAsia="Palatino Linotype" w:hAnsi="Palatino Linotype" w:cs="Palatino Linotype"/>
          <w:b/>
        </w:rPr>
        <w:t>imensión administrativa del gasto” (PbRM-01a), el cual permite identificar la asignación de recursos por Programa presupuestario, Proyecto y Dependencia</w:t>
      </w:r>
      <w:r w:rsidRPr="000D2F8D">
        <w:rPr>
          <w:rFonts w:ascii="Palatino Linotype" w:eastAsia="Palatino Linotype" w:hAnsi="Palatino Linotype" w:cs="Palatino Linotype"/>
        </w:rPr>
        <w:t xml:space="preserve"> que realiza las acciones que permiten dar cumplimiento a objetivos definidos, asimismo asumir el compromiso y responsabilidad de cada unidad administrativa municipal.</w:t>
      </w:r>
    </w:p>
    <w:p w:rsidR="004A46E4" w:rsidRPr="000D2F8D" w:rsidRDefault="004A46E4" w:rsidP="004A46E4">
      <w:pPr>
        <w:spacing w:line="360" w:lineRule="auto"/>
        <w:ind w:right="1"/>
        <w:jc w:val="both"/>
        <w:rPr>
          <w:rFonts w:ascii="Palatino Linotype" w:eastAsia="Palatino Linotype" w:hAnsi="Palatino Linotype" w:cs="Palatino Linotype"/>
        </w:rPr>
      </w:pPr>
    </w:p>
    <w:p w:rsidR="004A46E4" w:rsidRPr="000D2F8D" w:rsidRDefault="00D840B8" w:rsidP="004A46E4">
      <w:pPr>
        <w:ind w:left="566"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lastRenderedPageBreak/>
        <w:t>“</w:t>
      </w:r>
      <w:r w:rsidR="004A46E4" w:rsidRPr="000D2F8D">
        <w:rPr>
          <w:rFonts w:ascii="Palatino Linotype" w:eastAsia="Palatino Linotype" w:hAnsi="Palatino Linotype" w:cs="Palatino Linotype"/>
          <w:b/>
          <w:i/>
        </w:rPr>
        <w:t>3.2. Primera Etapa: Anteproyecto de Presupuesto de Egresos.</w:t>
      </w:r>
    </w:p>
    <w:p w:rsidR="004A46E4" w:rsidRPr="000D2F8D" w:rsidRDefault="004A46E4" w:rsidP="004A46E4">
      <w:pPr>
        <w:ind w:left="566"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3.2.1. Lineamientos para la integración del Programa Anual.</w:t>
      </w:r>
    </w:p>
    <w:p w:rsidR="004A46E4" w:rsidRPr="000D2F8D" w:rsidRDefault="004A46E4"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p>
    <w:p w:rsidR="004A46E4" w:rsidRPr="000D2F8D" w:rsidRDefault="004A46E4" w:rsidP="004A46E4">
      <w:pPr>
        <w:ind w:left="566" w:right="569"/>
        <w:jc w:val="both"/>
        <w:rPr>
          <w:rFonts w:ascii="Palatino Linotype" w:eastAsia="Palatino Linotype" w:hAnsi="Palatino Linotype" w:cs="Palatino Linotype"/>
          <w:i/>
        </w:rPr>
      </w:pPr>
    </w:p>
    <w:p w:rsidR="004A46E4" w:rsidRPr="000D2F8D" w:rsidRDefault="004A46E4" w:rsidP="008F19D0">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Para iniciar con el llenado de los formatos que integran el Programa Anual y el Anteproyecto de Presupuesto de Egresos se deberá llenar el formato PbRM-01a “Dimensión Administrativa del Gasto”, el cual tiene como propósito identificar a nivel de estructura administrativa los programas y proyectos de los cuales se responsabiliza cada una de las Dependencias y Organismos municipales.</w:t>
      </w:r>
    </w:p>
    <w:p w:rsidR="004A46E4" w:rsidRPr="000D2F8D" w:rsidRDefault="004A46E4"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w:t>
      </w:r>
    </w:p>
    <w:p w:rsidR="004A46E4" w:rsidRPr="000D2F8D" w:rsidRDefault="004A46E4" w:rsidP="004A46E4">
      <w:pPr>
        <w:ind w:left="566" w:right="569"/>
        <w:jc w:val="both"/>
        <w:rPr>
          <w:rFonts w:ascii="Palatino Linotype" w:eastAsia="Palatino Linotype" w:hAnsi="Palatino Linotype" w:cs="Palatino Linotype"/>
          <w:i/>
        </w:rPr>
      </w:pPr>
    </w:p>
    <w:p w:rsidR="004A46E4" w:rsidRPr="000D2F8D" w:rsidRDefault="004A46E4" w:rsidP="004A46E4">
      <w:pPr>
        <w:ind w:left="566"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 xml:space="preserve">3.2.6. Formatos que integran el Anteproyecto de Presupuesto de Egresos. </w:t>
      </w:r>
    </w:p>
    <w:p w:rsidR="004A46E4" w:rsidRPr="000D2F8D" w:rsidRDefault="004A46E4" w:rsidP="004A46E4">
      <w:pPr>
        <w:ind w:left="566" w:right="569"/>
        <w:jc w:val="both"/>
        <w:rPr>
          <w:rFonts w:ascii="Palatino Linotype" w:eastAsia="Palatino Linotype" w:hAnsi="Palatino Linotype" w:cs="Palatino Linotype"/>
          <w:i/>
        </w:rPr>
      </w:pPr>
    </w:p>
    <w:p w:rsidR="004A46E4" w:rsidRPr="000D2F8D" w:rsidRDefault="004A46E4"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b/>
          <w:i/>
        </w:rPr>
        <w:t>Para la integración del Anteproyecto de Presupuesto de Egresos Municipal, además de los formatos:</w:t>
      </w:r>
      <w:r w:rsidRPr="000D2F8D">
        <w:rPr>
          <w:rFonts w:ascii="Palatino Linotype" w:eastAsia="Palatino Linotype" w:hAnsi="Palatino Linotype" w:cs="Palatino Linotype"/>
          <w:i/>
        </w:rPr>
        <w:t xml:space="preserve"> </w:t>
      </w:r>
      <w:r w:rsidRPr="000D2F8D">
        <w:rPr>
          <w:rFonts w:ascii="Palatino Linotype" w:eastAsia="Palatino Linotype" w:hAnsi="Palatino Linotype" w:cs="Palatino Linotype"/>
          <w:b/>
          <w:i/>
        </w:rPr>
        <w:t xml:space="preserve">PbRM-01a, PbRM-01b, PbRM-01c, PbRM-01d y PbRM-01e </w:t>
      </w:r>
      <w:r w:rsidRPr="000D2F8D">
        <w:rPr>
          <w:rFonts w:ascii="Palatino Linotype" w:eastAsia="Palatino Linotype" w:hAnsi="Palatino Linotype" w:cs="Palatino Linotype"/>
          <w:i/>
        </w:rPr>
        <w:t xml:space="preserve">que integran el Programa Anual, en los que se deben definir las necesidades y oportunidades del Municipio, mismas que deben coincidir con el Plan de Desarrollo Municipal para ser traducidas en proyectos y acciones concretas a desarrollarse en el periodo presupuestal determinado, se deberán integrar los formatos que identifiquen la asignación presupuestal por concepto de gasto, los cuales se mencionan a continuación: </w:t>
      </w:r>
    </w:p>
    <w:p w:rsidR="00D840B8" w:rsidRPr="000D2F8D" w:rsidRDefault="00D840B8" w:rsidP="004A46E4">
      <w:pPr>
        <w:ind w:left="566" w:right="569"/>
        <w:jc w:val="both"/>
        <w:rPr>
          <w:rFonts w:ascii="Palatino Linotype" w:eastAsia="Palatino Linotype" w:hAnsi="Palatino Linotype" w:cs="Palatino Linotype"/>
          <w:b/>
          <w:i/>
        </w:rPr>
      </w:pPr>
    </w:p>
    <w:p w:rsidR="00D840B8" w:rsidRPr="000D2F8D" w:rsidRDefault="00D840B8" w:rsidP="008F19D0">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b/>
          <w:i/>
        </w:rPr>
        <w:t>Presupuesto de ingresos detallado para el ejercicio fiscal 2025 PbRM-03a:</w:t>
      </w:r>
      <w:r w:rsidRPr="000D2F8D">
        <w:rPr>
          <w:rFonts w:ascii="Palatino Linotype" w:eastAsia="Palatino Linotype" w:hAnsi="Palatino Linotype" w:cs="Palatino Linotype"/>
          <w:i/>
        </w:rPr>
        <w:t xml:space="preserve"> En este formato se deben registrar los ingresos que se estiman recaudar para el siguiente ejercicio, antes de la publicación de la Ley de Ingresos, Participaciones Federales y Programas Federales y Estatales, el cual servirá como base para comunicar los techos financieros a cada una de las Dependencias Generales. </w:t>
      </w:r>
    </w:p>
    <w:p w:rsidR="00D840B8" w:rsidRPr="000D2F8D" w:rsidRDefault="00D840B8" w:rsidP="004A46E4">
      <w:pPr>
        <w:ind w:left="566" w:right="569"/>
        <w:jc w:val="both"/>
        <w:rPr>
          <w:rFonts w:ascii="Palatino Linotype" w:eastAsia="Palatino Linotype" w:hAnsi="Palatino Linotype" w:cs="Palatino Linotype"/>
          <w:b/>
          <w:i/>
        </w:rPr>
      </w:pPr>
      <w:r w:rsidRPr="000D2F8D">
        <w:rPr>
          <w:rFonts w:ascii="Palatino Linotype" w:eastAsia="Palatino Linotype" w:hAnsi="Palatino Linotype" w:cs="Palatino Linotype"/>
          <w:b/>
          <w:i/>
        </w:rPr>
        <w:t>Estimación de los egresos.</w:t>
      </w:r>
    </w:p>
    <w:p w:rsidR="00D840B8" w:rsidRPr="000D2F8D" w:rsidRDefault="00D840B8" w:rsidP="004A46E4">
      <w:pPr>
        <w:ind w:left="566" w:right="569"/>
        <w:jc w:val="both"/>
        <w:rPr>
          <w:rFonts w:ascii="Palatino Linotype" w:eastAsia="Palatino Linotype" w:hAnsi="Palatino Linotype" w:cs="Palatino Linotype"/>
          <w:b/>
          <w:i/>
        </w:rPr>
      </w:pPr>
    </w:p>
    <w:p w:rsidR="008F19D0" w:rsidRPr="000D2F8D" w:rsidRDefault="00D840B8"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 xml:space="preserve">Una vez conociendo la proyección de ingresos, la Tesorería podrá utilizar el siguiente formato para proporcionar a cada Dependencia General sus techos financieros, reflejando los gastos fijos e indirectos (servicios personales + materiales y suministros necesarios + servicios generales necesarios + gastos de deuda). </w:t>
      </w:r>
    </w:p>
    <w:p w:rsidR="008F19D0" w:rsidRPr="000D2F8D" w:rsidRDefault="008F19D0" w:rsidP="004A46E4">
      <w:pPr>
        <w:ind w:left="566" w:right="569"/>
        <w:jc w:val="both"/>
        <w:rPr>
          <w:rFonts w:ascii="Palatino Linotype" w:eastAsia="Palatino Linotype" w:hAnsi="Palatino Linotype" w:cs="Palatino Linotype"/>
          <w:i/>
        </w:rPr>
      </w:pPr>
    </w:p>
    <w:p w:rsidR="008F19D0" w:rsidRPr="000D2F8D" w:rsidRDefault="00D840B8"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b/>
          <w:i/>
        </w:rPr>
        <w:lastRenderedPageBreak/>
        <w:t>Presupuesto de Egresos detallado para el ejercicio fiscal 2025 PbRM-04a:</w:t>
      </w:r>
      <w:r w:rsidRPr="000D2F8D">
        <w:rPr>
          <w:rFonts w:ascii="Palatino Linotype" w:eastAsia="Palatino Linotype" w:hAnsi="Palatino Linotype" w:cs="Palatino Linotype"/>
          <w:i/>
        </w:rPr>
        <w:t xml:space="preserve"> </w:t>
      </w:r>
    </w:p>
    <w:p w:rsidR="00D840B8" w:rsidRPr="000D2F8D" w:rsidRDefault="00D840B8" w:rsidP="004A46E4">
      <w:pPr>
        <w:ind w:left="566" w:right="569"/>
        <w:jc w:val="both"/>
        <w:rPr>
          <w:rFonts w:ascii="Palatino Linotype" w:eastAsia="Palatino Linotype" w:hAnsi="Palatino Linotype" w:cs="Palatino Linotype"/>
          <w:i/>
        </w:rPr>
      </w:pPr>
      <w:r w:rsidRPr="000D2F8D">
        <w:rPr>
          <w:rFonts w:ascii="Palatino Linotype" w:eastAsia="Palatino Linotype" w:hAnsi="Palatino Linotype" w:cs="Palatino Linotype"/>
          <w:i/>
        </w:rPr>
        <w:t>Este formato deberá registrar los proyectos por partida de gasto, los cuales tendrán que coincidir con los formatos del Programa Anual (PbRM-01a, PbRM-01c) en estructura programática y gasto estimado por proyecto.</w:t>
      </w:r>
    </w:p>
    <w:p w:rsidR="00D840B8" w:rsidRPr="000D2F8D" w:rsidRDefault="00D840B8" w:rsidP="004A46E4">
      <w:pPr>
        <w:ind w:left="566" w:right="569"/>
        <w:jc w:val="both"/>
        <w:rPr>
          <w:rFonts w:ascii="Palatino Linotype" w:eastAsia="Palatino Linotype" w:hAnsi="Palatino Linotype" w:cs="Palatino Linotype"/>
          <w:i/>
        </w:rPr>
      </w:pPr>
    </w:p>
    <w:p w:rsidR="008F19D0" w:rsidRPr="000D2F8D" w:rsidRDefault="008F19D0" w:rsidP="008F19D0">
      <w:pPr>
        <w:ind w:left="566" w:right="569"/>
        <w:jc w:val="center"/>
        <w:rPr>
          <w:rFonts w:ascii="Palatino Linotype" w:eastAsia="Palatino Linotype" w:hAnsi="Palatino Linotype" w:cs="Palatino Linotype"/>
          <w:i/>
        </w:rPr>
      </w:pPr>
      <w:r w:rsidRPr="000D2F8D">
        <w:rPr>
          <w:rFonts w:ascii="Palatino Linotype" w:eastAsia="Palatino Linotype" w:hAnsi="Palatino Linotype" w:cs="Palatino Linotype"/>
          <w:i/>
          <w:noProof/>
        </w:rPr>
        <w:drawing>
          <wp:inline distT="0" distB="0" distL="0" distR="0" wp14:anchorId="7D237FFD" wp14:editId="218BEC0A">
            <wp:extent cx="4620270" cy="2353003"/>
            <wp:effectExtent l="0" t="0" r="889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0270" cy="2353003"/>
                    </a:xfrm>
                    <a:prstGeom prst="rect">
                      <a:avLst/>
                    </a:prstGeom>
                  </pic:spPr>
                </pic:pic>
              </a:graphicData>
            </a:graphic>
          </wp:inline>
        </w:drawing>
      </w:r>
    </w:p>
    <w:p w:rsidR="008F19D0" w:rsidRPr="000D2F8D" w:rsidRDefault="008F19D0" w:rsidP="008F4CCE">
      <w:pPr>
        <w:spacing w:line="360" w:lineRule="auto"/>
        <w:ind w:right="1"/>
        <w:jc w:val="both"/>
        <w:rPr>
          <w:rFonts w:ascii="Palatino Linotype" w:eastAsia="Palatino Linotype" w:hAnsi="Palatino Linotype" w:cs="Palatino Linotype"/>
        </w:rPr>
      </w:pPr>
    </w:p>
    <w:p w:rsidR="008F4CCE" w:rsidRPr="000D2F8D" w:rsidRDefault="008F19D0" w:rsidP="008F19D0">
      <w:pPr>
        <w:ind w:left="567" w:right="567"/>
        <w:jc w:val="both"/>
        <w:rPr>
          <w:rFonts w:ascii="Palatino Linotype" w:eastAsia="Palatino Linotype" w:hAnsi="Palatino Linotype" w:cs="Palatino Linotype"/>
          <w:i/>
        </w:rPr>
      </w:pPr>
      <w:r w:rsidRPr="000D2F8D">
        <w:rPr>
          <w:rFonts w:ascii="Palatino Linotype" w:eastAsia="Palatino Linotype" w:hAnsi="Palatino Linotype" w:cs="Palatino Linotype"/>
          <w:i/>
        </w:rPr>
        <w:t>La Tesorería, con base en la información proporcionada en el formato PbRM-04a, deberá integrar el siguiente formato Presupuesto de Egresos por Objeto del Gasto y Dependencia General PbRM-04b, en el cual deberá identificar el gasto a nivel de dependencia general por partida del gasto, con calendarización mensual y total anual.</w:t>
      </w:r>
    </w:p>
    <w:p w:rsidR="008F19D0" w:rsidRPr="000D2F8D" w:rsidRDefault="008F19D0" w:rsidP="008F4CCE">
      <w:pPr>
        <w:spacing w:line="360" w:lineRule="auto"/>
        <w:ind w:right="1"/>
        <w:jc w:val="both"/>
        <w:rPr>
          <w:rFonts w:ascii="Palatino Linotype" w:eastAsia="Palatino Linotype" w:hAnsi="Palatino Linotype" w:cs="Palatino Linotype"/>
        </w:rPr>
      </w:pPr>
    </w:p>
    <w:p w:rsidR="008F19D0" w:rsidRPr="000D2F8D" w:rsidRDefault="004A46E4" w:rsidP="008F19D0">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t>En atención a lo expuesto, se reitera que el</w:t>
      </w:r>
      <w:r w:rsidRPr="000D2F8D">
        <w:rPr>
          <w:rFonts w:ascii="Palatino Linotype" w:eastAsia="Palatino Linotype" w:hAnsi="Palatino Linotype" w:cs="Palatino Linotype"/>
          <w:b/>
        </w:rPr>
        <w:t xml:space="preserve"> SUJETO OBLIGADO </w:t>
      </w:r>
      <w:r w:rsidRPr="000D2F8D">
        <w:rPr>
          <w:rFonts w:ascii="Palatino Linotype" w:eastAsia="Palatino Linotype" w:hAnsi="Palatino Linotype" w:cs="Palatino Linotype"/>
        </w:rPr>
        <w:t>se limitó a entregar</w:t>
      </w:r>
      <w:r w:rsidRPr="000D2F8D">
        <w:rPr>
          <w:rFonts w:ascii="Palatino Linotype" w:eastAsia="Palatino Linotype" w:hAnsi="Palatino Linotype" w:cs="Palatino Linotype"/>
          <w:b/>
        </w:rPr>
        <w:t xml:space="preserve"> </w:t>
      </w:r>
      <w:r w:rsidRPr="000D2F8D">
        <w:rPr>
          <w:rFonts w:ascii="Palatino Linotype" w:eastAsia="Palatino Linotype" w:hAnsi="Palatino Linotype" w:cs="Palatino Linotype"/>
        </w:rPr>
        <w:t xml:space="preserve">la </w:t>
      </w:r>
      <w:r w:rsidRPr="000D2F8D">
        <w:rPr>
          <w:rFonts w:ascii="Palatino Linotype" w:hAnsi="Palatino Linotype"/>
        </w:rPr>
        <w:t>copia digitalizada del PbRM-04d “Caratula de presupuesto de egresos” del 01 de enero al 31 de diciembre de 2025</w:t>
      </w:r>
      <w:r w:rsidR="008F19D0" w:rsidRPr="000D2F8D">
        <w:rPr>
          <w:rFonts w:ascii="Palatino Linotype" w:hAnsi="Palatino Linotype"/>
        </w:rPr>
        <w:t>, en consecuencia, no se puede tener por atendido el requerimiento del Particular.</w:t>
      </w:r>
    </w:p>
    <w:p w:rsidR="008F19D0" w:rsidRPr="000D2F8D" w:rsidRDefault="008F19D0" w:rsidP="008F19D0">
      <w:pPr>
        <w:spacing w:line="360" w:lineRule="auto"/>
        <w:ind w:right="1"/>
        <w:jc w:val="both"/>
        <w:rPr>
          <w:rFonts w:ascii="Palatino Linotype" w:eastAsia="Palatino Linotype" w:hAnsi="Palatino Linotype" w:cs="Palatino Linotype"/>
          <w:b/>
        </w:rPr>
      </w:pPr>
    </w:p>
    <w:p w:rsidR="008F19D0" w:rsidRPr="000D2F8D" w:rsidRDefault="008F68AC" w:rsidP="008F19D0">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rPr>
        <w:lastRenderedPageBreak/>
        <w:t xml:space="preserve">En consecuencia, </w:t>
      </w:r>
      <w:r w:rsidR="006936C0" w:rsidRPr="000D2F8D">
        <w:rPr>
          <w:rFonts w:ascii="Palatino Linotype" w:eastAsia="Palatino Linotype" w:hAnsi="Palatino Linotype" w:cs="Palatino Linotype"/>
        </w:rPr>
        <w:t xml:space="preserve">resulta procedente </w:t>
      </w:r>
      <w:r w:rsidR="00920211" w:rsidRPr="000D2F8D">
        <w:rPr>
          <w:rFonts w:ascii="Palatino Linotype" w:eastAsia="Palatino Linotype" w:hAnsi="Palatino Linotype" w:cs="Palatino Linotype"/>
          <w:b/>
        </w:rPr>
        <w:t>MODIFICAR</w:t>
      </w:r>
      <w:r w:rsidR="008F19D0" w:rsidRPr="000D2F8D">
        <w:rPr>
          <w:rFonts w:ascii="Palatino Linotype" w:eastAsia="Palatino Linotype" w:hAnsi="Palatino Linotype" w:cs="Palatino Linotype"/>
          <w:b/>
        </w:rPr>
        <w:t xml:space="preserve"> </w:t>
      </w:r>
      <w:r w:rsidR="006936C0" w:rsidRPr="000D2F8D">
        <w:rPr>
          <w:rFonts w:ascii="Palatino Linotype" w:eastAsia="Palatino Linotype" w:hAnsi="Palatino Linotype" w:cs="Palatino Linotype"/>
        </w:rPr>
        <w:t>la respuesta y</w:t>
      </w:r>
      <w:r w:rsidR="008F19D0" w:rsidRPr="000D2F8D">
        <w:rPr>
          <w:rFonts w:ascii="Palatino Linotype" w:eastAsia="Palatino Linotype" w:hAnsi="Palatino Linotype" w:cs="Palatino Linotype"/>
          <w:b/>
        </w:rPr>
        <w:t xml:space="preserve"> ORDENAR</w:t>
      </w:r>
      <w:r w:rsidR="008F19D0" w:rsidRPr="000D2F8D">
        <w:rPr>
          <w:rFonts w:ascii="Palatino Linotype" w:eastAsia="Palatino Linotype" w:hAnsi="Palatino Linotype" w:cs="Palatino Linotype"/>
        </w:rPr>
        <w:t xml:space="preserve">, </w:t>
      </w:r>
      <w:r w:rsidRPr="000D2F8D">
        <w:rPr>
          <w:rFonts w:ascii="Palatino Linotype" w:eastAsia="Palatino Linotype" w:hAnsi="Palatino Linotype" w:cs="Palatino Linotype"/>
        </w:rPr>
        <w:t xml:space="preserve">a través del </w:t>
      </w:r>
      <w:r w:rsidR="008F19D0" w:rsidRPr="000D2F8D">
        <w:rPr>
          <w:rFonts w:ascii="Palatino Linotype" w:eastAsia="Palatino Linotype" w:hAnsi="Palatino Linotype" w:cs="Palatino Linotype"/>
        </w:rPr>
        <w:t xml:space="preserve">SAIMEX, </w:t>
      </w:r>
      <w:r w:rsidR="008F19D0" w:rsidRPr="000D2F8D">
        <w:rPr>
          <w:rFonts w:ascii="Palatino Linotype" w:hAnsi="Palatino Linotype"/>
        </w:rPr>
        <w:t xml:space="preserve">el </w:t>
      </w:r>
      <w:r w:rsidR="008F19D0" w:rsidRPr="000D2F8D">
        <w:rPr>
          <w:rFonts w:ascii="Palatino Linotype" w:hAnsi="Palatino Linotype"/>
          <w:b/>
        </w:rPr>
        <w:t xml:space="preserve">Anteproyecto </w:t>
      </w:r>
      <w:r w:rsidR="008F19D0" w:rsidRPr="000D2F8D">
        <w:rPr>
          <w:rFonts w:ascii="Palatino Linotype" w:hAnsi="Palatino Linotype"/>
          <w:b/>
          <w:color w:val="000000"/>
        </w:rPr>
        <w:t>del Presupuesto de Egresos del Sistema Municipal para el Desarrollo Integral de la Familia de Toluca, para el año 2025.</w:t>
      </w:r>
    </w:p>
    <w:p w:rsidR="008F19D0" w:rsidRPr="000D2F8D" w:rsidRDefault="008F19D0" w:rsidP="008F19D0">
      <w:pPr>
        <w:spacing w:line="360" w:lineRule="auto"/>
        <w:ind w:right="1"/>
        <w:jc w:val="both"/>
        <w:rPr>
          <w:rFonts w:ascii="Palatino Linotype" w:eastAsia="Palatino Linotype" w:hAnsi="Palatino Linotype" w:cs="Palatino Linotype"/>
          <w:b/>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Calibri" w:hAnsi="Palatino Linotype" w:cs="Arial"/>
          <w:color w:val="000000" w:themeColor="text1"/>
          <w:lang w:val="es-ES"/>
        </w:rPr>
        <w:t xml:space="preserve">Ahora bien, </w:t>
      </w:r>
      <w:r w:rsidRPr="000D2F8D">
        <w:rPr>
          <w:rFonts w:ascii="Palatino Linotype" w:hAnsi="Palatino Linotype"/>
        </w:rPr>
        <w:t>es importante señalar que el artículo 4, párrafo segundo de la Ley de Transparencia y Acceso a la Información Pública del Estado de México y Municipios, dispone:</w:t>
      </w:r>
    </w:p>
    <w:p w:rsidR="00FD0C3F" w:rsidRPr="000D2F8D" w:rsidRDefault="00FD0C3F" w:rsidP="00FD0C3F">
      <w:pPr>
        <w:spacing w:line="360" w:lineRule="auto"/>
        <w:ind w:right="1"/>
        <w:jc w:val="both"/>
        <w:rPr>
          <w:rFonts w:ascii="Palatino Linotype" w:eastAsia="Palatino Linotype" w:hAnsi="Palatino Linotype" w:cs="Palatino Linotype"/>
          <w:b/>
        </w:rPr>
      </w:pPr>
    </w:p>
    <w:p w:rsidR="00FD0C3F" w:rsidRPr="000D2F8D" w:rsidRDefault="00FD0C3F" w:rsidP="00FD0C3F">
      <w:pPr>
        <w:pStyle w:val="Prrafodelista"/>
        <w:tabs>
          <w:tab w:val="left" w:pos="426"/>
          <w:tab w:val="left" w:pos="567"/>
        </w:tabs>
        <w:ind w:left="567" w:right="565"/>
        <w:jc w:val="both"/>
        <w:rPr>
          <w:rFonts w:ascii="Palatino Linotype" w:hAnsi="Palatino Linotype"/>
          <w:i/>
          <w:sz w:val="24"/>
        </w:rPr>
      </w:pPr>
      <w:r w:rsidRPr="000D2F8D">
        <w:rPr>
          <w:rFonts w:ascii="Palatino Linotype" w:hAnsi="Palatino Linotype"/>
          <w:i/>
          <w:sz w:val="24"/>
        </w:rPr>
        <w:t>“</w:t>
      </w:r>
      <w:r w:rsidRPr="000D2F8D">
        <w:rPr>
          <w:rFonts w:ascii="Palatino Linotype" w:hAnsi="Palatino Linotype"/>
          <w:b/>
          <w:i/>
          <w:sz w:val="24"/>
        </w:rPr>
        <w:t>Artículo 4. …</w:t>
      </w:r>
    </w:p>
    <w:p w:rsidR="00FD0C3F" w:rsidRPr="000D2F8D" w:rsidRDefault="00FD0C3F" w:rsidP="00FD0C3F">
      <w:pPr>
        <w:pStyle w:val="Prrafodelista"/>
        <w:tabs>
          <w:tab w:val="left" w:pos="426"/>
          <w:tab w:val="left" w:pos="567"/>
        </w:tabs>
        <w:ind w:left="567" w:right="565"/>
        <w:jc w:val="both"/>
        <w:rPr>
          <w:rFonts w:ascii="Palatino Linotype" w:hAnsi="Palatino Linotype"/>
          <w:i/>
          <w:sz w:val="24"/>
        </w:rPr>
      </w:pPr>
      <w:r w:rsidRPr="000D2F8D">
        <w:rPr>
          <w:rFonts w:ascii="Palatino Linotype" w:hAnsi="Palatino Linotype"/>
          <w:i/>
          <w:sz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w:t>
      </w:r>
      <w:r w:rsidR="00E714CF" w:rsidRPr="000D2F8D">
        <w:rPr>
          <w:rFonts w:ascii="Palatino Linotype" w:hAnsi="Palatino Linotype"/>
          <w:i/>
          <w:sz w:val="24"/>
        </w:rPr>
        <w:t xml:space="preserve"> Vigente a la fecha de la solicitud,</w:t>
      </w:r>
      <w:r w:rsidRPr="000D2F8D">
        <w:rPr>
          <w:rFonts w:ascii="Palatino Linotype" w:hAnsi="Palatino Linotype"/>
          <w:i/>
          <w:sz w:val="24"/>
        </w:rPr>
        <w:t xml:space="preserve">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FD0C3F" w:rsidRPr="000D2F8D" w:rsidRDefault="00FD0C3F" w:rsidP="00FD0C3F">
      <w:pPr>
        <w:rPr>
          <w:rFonts w:ascii="Palatino Linotype" w:eastAsia="Calibri" w:hAnsi="Palatino Linotype" w:cs="Arial"/>
          <w:color w:val="000000" w:themeColor="text1"/>
          <w:lang w:val="es-ES"/>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Calibri" w:hAnsi="Palatino Linotype" w:cs="Arial"/>
          <w:color w:val="000000" w:themeColor="text1"/>
          <w:lang w:val="es-ES"/>
        </w:rPr>
        <w:t xml:space="preserve">De lo anterior, se desprende </w:t>
      </w:r>
      <w:r w:rsidRPr="000D2F8D">
        <w:rPr>
          <w:rFonts w:ascii="Palatino Linotype" w:hAnsi="Palatino Linotype"/>
        </w:rPr>
        <w:t xml:space="preserve">que la información generada, obtenida, adquirida, transmitida, administrada o en posesión de los Sujetos Obligados, será accesible de manera permanente a cualquier persona, privilegiando el principio de máxima publicidad de la información. </w:t>
      </w:r>
    </w:p>
    <w:p w:rsidR="00FD0C3F" w:rsidRPr="000D2F8D" w:rsidRDefault="00FD0C3F" w:rsidP="00FD0C3F">
      <w:pPr>
        <w:spacing w:line="360" w:lineRule="auto"/>
        <w:ind w:right="1"/>
        <w:jc w:val="both"/>
        <w:rPr>
          <w:rFonts w:ascii="Palatino Linotype" w:eastAsia="Palatino Linotype" w:hAnsi="Palatino Linotype" w:cs="Palatino Linotype"/>
          <w:b/>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hAnsi="Palatino Linotype"/>
        </w:rPr>
        <w:t xml:space="preserve">Por su parte, el artículo 12, de la Ley de la materia establece que los Sujetos Obligados sólo proporcionarán la información que generen, recopilen, administren, manejen, procesen, archiven o conserven, y sólo facilitarán las que se les requiera y obre </w:t>
      </w:r>
      <w:r w:rsidRPr="000D2F8D">
        <w:rPr>
          <w:rFonts w:ascii="Palatino Linotype" w:hAnsi="Palatino Linotype"/>
        </w:rPr>
        <w:lastRenderedPageBreak/>
        <w:t xml:space="preserve">en sus archivos, en el estado en el que se encuentre, sin la obligación de generarla, resumirla, efectuar cálculos o practicar investigaciones; tal y como se señala a continuación: </w:t>
      </w:r>
    </w:p>
    <w:p w:rsidR="00FD0C3F" w:rsidRPr="000D2F8D" w:rsidRDefault="00FD0C3F" w:rsidP="00FD0C3F">
      <w:pPr>
        <w:spacing w:line="360" w:lineRule="auto"/>
        <w:ind w:right="1"/>
        <w:jc w:val="both"/>
        <w:rPr>
          <w:rFonts w:ascii="Palatino Linotype" w:eastAsia="Calibri" w:hAnsi="Palatino Linotype" w:cs="Arial"/>
          <w:color w:val="000000" w:themeColor="text1"/>
          <w:lang w:val="es-ES"/>
        </w:rPr>
      </w:pPr>
    </w:p>
    <w:p w:rsidR="00FD0C3F" w:rsidRPr="000D2F8D" w:rsidRDefault="00FD0C3F" w:rsidP="00FD0C3F">
      <w:pPr>
        <w:pStyle w:val="Prrafodelista"/>
        <w:tabs>
          <w:tab w:val="left" w:pos="1134"/>
        </w:tabs>
        <w:ind w:left="567" w:right="565"/>
        <w:jc w:val="both"/>
        <w:rPr>
          <w:rFonts w:ascii="Palatino Linotype" w:hAnsi="Palatino Linotype"/>
          <w:i/>
          <w:sz w:val="24"/>
        </w:rPr>
      </w:pPr>
      <w:r w:rsidRPr="000D2F8D">
        <w:rPr>
          <w:rFonts w:ascii="Palatino Linotype" w:hAnsi="Palatino Linotype"/>
          <w:i/>
          <w:sz w:val="24"/>
        </w:rPr>
        <w:t>“</w:t>
      </w:r>
      <w:r w:rsidRPr="000D2F8D">
        <w:rPr>
          <w:rFonts w:ascii="Palatino Linotype" w:hAnsi="Palatino Linotype"/>
          <w:b/>
          <w:i/>
          <w:sz w:val="24"/>
        </w:rPr>
        <w:t>Artículo 12.</w:t>
      </w:r>
      <w:r w:rsidRPr="000D2F8D">
        <w:rPr>
          <w:rFonts w:ascii="Palatino Linotype" w:hAnsi="Palatino Linotype"/>
          <w:i/>
          <w:sz w:val="24"/>
        </w:rPr>
        <w:t xml:space="preserve"> Quienes generen, recopilen, administren, manejen, procesen, archiven o conserven información pública serán responsables de la misma en los términos de las disposiciones jurídicas aplicables. </w:t>
      </w:r>
    </w:p>
    <w:p w:rsidR="00FD0C3F" w:rsidRPr="000D2F8D" w:rsidRDefault="00FD0C3F" w:rsidP="00FD0C3F">
      <w:pPr>
        <w:pStyle w:val="Prrafodelista"/>
        <w:tabs>
          <w:tab w:val="left" w:pos="1134"/>
        </w:tabs>
        <w:ind w:left="567" w:right="565"/>
        <w:jc w:val="both"/>
        <w:rPr>
          <w:rFonts w:ascii="Palatino Linotype" w:hAnsi="Palatino Linotype"/>
          <w:i/>
          <w:sz w:val="24"/>
        </w:rPr>
      </w:pPr>
    </w:p>
    <w:p w:rsidR="00FD0C3F" w:rsidRPr="000D2F8D" w:rsidRDefault="00FD0C3F" w:rsidP="00FD0C3F">
      <w:pPr>
        <w:tabs>
          <w:tab w:val="left" w:pos="1134"/>
        </w:tabs>
        <w:ind w:left="567" w:right="565"/>
        <w:jc w:val="both"/>
        <w:rPr>
          <w:rFonts w:ascii="Palatino Linotype" w:hAnsi="Palatino Linotype"/>
          <w:i/>
        </w:rPr>
      </w:pPr>
      <w:r w:rsidRPr="000D2F8D">
        <w:rPr>
          <w:rFonts w:ascii="Palatino Linotype" w:hAnsi="Palatino Linotype"/>
          <w:i/>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FD0C3F" w:rsidRPr="000D2F8D" w:rsidRDefault="00FD0C3F" w:rsidP="00FD0C3F">
      <w:pPr>
        <w:tabs>
          <w:tab w:val="left" w:pos="1134"/>
        </w:tabs>
        <w:ind w:right="565"/>
        <w:jc w:val="both"/>
        <w:rPr>
          <w:rFonts w:ascii="Palatino Linotype" w:eastAsia="Calibri" w:hAnsi="Palatino Linotype" w:cs="Arial"/>
          <w:color w:val="000000" w:themeColor="text1"/>
          <w:lang w:val="es-ES"/>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Calibri" w:hAnsi="Palatino Linotype" w:cs="Arial"/>
          <w:color w:val="000000" w:themeColor="text1"/>
          <w:lang w:val="es-ES"/>
        </w:rPr>
        <w:t xml:space="preserve">En síntesis, </w:t>
      </w:r>
      <w:r w:rsidRPr="000D2F8D">
        <w:rPr>
          <w:rFonts w:ascii="Palatino Linotype" w:hAnsi="Palatino Linotype"/>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FD0C3F" w:rsidRPr="000D2F8D" w:rsidRDefault="00FD0C3F" w:rsidP="00FD0C3F">
      <w:pPr>
        <w:spacing w:line="360" w:lineRule="auto"/>
        <w:ind w:right="1"/>
        <w:jc w:val="both"/>
        <w:rPr>
          <w:rFonts w:ascii="Palatino Linotype" w:eastAsia="Palatino Linotype" w:hAnsi="Palatino Linotype" w:cs="Palatino Linotype"/>
          <w:b/>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hAnsi="Palatino Linotype"/>
        </w:rPr>
        <w:t xml:space="preserve">Como apoyo a lo anterior, es aplicable el Criterio 03-17, emitido por el Instituto Nacional de Transparencia, Acceso a la Información y Protección de Datos Personales, que dice: </w:t>
      </w:r>
    </w:p>
    <w:p w:rsidR="00FD0C3F" w:rsidRPr="000D2F8D" w:rsidRDefault="00FD0C3F" w:rsidP="00FD0C3F">
      <w:pPr>
        <w:spacing w:line="360" w:lineRule="auto"/>
        <w:ind w:right="1"/>
        <w:jc w:val="both"/>
        <w:rPr>
          <w:rFonts w:ascii="Palatino Linotype" w:eastAsia="Calibri" w:hAnsi="Palatino Linotype" w:cs="Arial"/>
          <w:color w:val="000000" w:themeColor="text1"/>
          <w:lang w:val="es-ES"/>
        </w:rPr>
      </w:pPr>
    </w:p>
    <w:p w:rsidR="00FD0C3F" w:rsidRPr="000D2F8D" w:rsidRDefault="00FD0C3F" w:rsidP="00FD0C3F">
      <w:pPr>
        <w:pStyle w:val="Prrafodelista"/>
        <w:tabs>
          <w:tab w:val="left" w:pos="709"/>
          <w:tab w:val="left" w:pos="1985"/>
        </w:tabs>
        <w:ind w:left="567" w:right="565"/>
        <w:jc w:val="both"/>
        <w:rPr>
          <w:rFonts w:ascii="Palatino Linotype" w:hAnsi="Palatino Linotype"/>
          <w:i/>
          <w:sz w:val="24"/>
        </w:rPr>
      </w:pPr>
      <w:r w:rsidRPr="000D2F8D">
        <w:rPr>
          <w:rFonts w:ascii="Palatino Linotype" w:hAnsi="Palatino Linotype"/>
          <w:b/>
          <w:i/>
          <w:sz w:val="24"/>
        </w:rPr>
        <w:t>“No existe obligación de elaborar documentos ad hoc para atender las solicitudes de acceso a la información.</w:t>
      </w:r>
      <w:r w:rsidRPr="000D2F8D">
        <w:rPr>
          <w:rFonts w:ascii="Palatino Linotype" w:hAnsi="Palatino Linotype"/>
          <w:i/>
          <w:sz w:val="24"/>
        </w:rPr>
        <w:t xml:space="preserve"> Los artículos 129 de la Ley General de </w:t>
      </w:r>
      <w:r w:rsidRPr="000D2F8D">
        <w:rPr>
          <w:rFonts w:ascii="Palatino Linotype" w:hAnsi="Palatino Linotype"/>
          <w:i/>
          <w:sz w:val="24"/>
        </w:rPr>
        <w:lastRenderedPageBreak/>
        <w:t xml:space="preserve">Transparencia y </w:t>
      </w:r>
      <w:r w:rsidR="00E714CF" w:rsidRPr="000D2F8D">
        <w:rPr>
          <w:rFonts w:ascii="Palatino Linotype" w:hAnsi="Palatino Linotype"/>
          <w:i/>
          <w:sz w:val="24"/>
        </w:rPr>
        <w:t xml:space="preserve">Acceso a la Información Pública, Vigente a la fecha de la solicitud </w:t>
      </w:r>
      <w:r w:rsidRPr="000D2F8D">
        <w:rPr>
          <w:rFonts w:ascii="Palatino Linotype" w:hAnsi="Palatino Linotype"/>
          <w:i/>
          <w:sz w:val="24"/>
        </w:rPr>
        <w:t xml:space="preserve">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FD0C3F" w:rsidRPr="000D2F8D" w:rsidRDefault="00FD0C3F" w:rsidP="00FD0C3F">
      <w:pPr>
        <w:pStyle w:val="Prrafodelista"/>
        <w:tabs>
          <w:tab w:val="left" w:pos="709"/>
          <w:tab w:val="left" w:pos="1985"/>
        </w:tabs>
        <w:ind w:left="567" w:right="565"/>
        <w:jc w:val="both"/>
        <w:rPr>
          <w:rFonts w:ascii="Palatino Linotype" w:hAnsi="Palatino Linotype"/>
          <w:i/>
          <w:sz w:val="24"/>
        </w:rPr>
      </w:pPr>
    </w:p>
    <w:p w:rsidR="00FD0C3F" w:rsidRPr="000D2F8D" w:rsidRDefault="00FD0C3F" w:rsidP="00FD0C3F">
      <w:pPr>
        <w:pStyle w:val="Prrafodelista"/>
        <w:tabs>
          <w:tab w:val="left" w:pos="709"/>
          <w:tab w:val="left" w:pos="1985"/>
        </w:tabs>
        <w:ind w:left="567" w:right="565"/>
        <w:jc w:val="both"/>
        <w:rPr>
          <w:rFonts w:ascii="Palatino Linotype" w:hAnsi="Palatino Linotype"/>
          <w:i/>
          <w:sz w:val="24"/>
        </w:rPr>
      </w:pPr>
      <w:r w:rsidRPr="000D2F8D">
        <w:rPr>
          <w:rFonts w:ascii="Palatino Linotype" w:hAnsi="Palatino Linotype"/>
          <w:i/>
          <w:sz w:val="24"/>
        </w:rPr>
        <w:t xml:space="preserve">Resoluciones: </w:t>
      </w:r>
    </w:p>
    <w:p w:rsidR="00FD0C3F" w:rsidRPr="000D2F8D" w:rsidRDefault="00FD0C3F" w:rsidP="00FD0C3F">
      <w:pPr>
        <w:pStyle w:val="Prrafodelista"/>
        <w:tabs>
          <w:tab w:val="left" w:pos="709"/>
          <w:tab w:val="left" w:pos="1985"/>
        </w:tabs>
        <w:ind w:left="567" w:right="565"/>
        <w:jc w:val="both"/>
        <w:rPr>
          <w:rFonts w:ascii="Palatino Linotype" w:hAnsi="Palatino Linotype"/>
          <w:i/>
          <w:sz w:val="24"/>
        </w:rPr>
      </w:pPr>
      <w:r w:rsidRPr="000D2F8D">
        <w:rPr>
          <w:rFonts w:ascii="Palatino Linotype" w:hAnsi="Palatino Linotype"/>
          <w:i/>
          <w:sz w:val="24"/>
        </w:rPr>
        <w:sym w:font="Symbol" w:char="F0B7"/>
      </w:r>
      <w:r w:rsidRPr="000D2F8D">
        <w:rPr>
          <w:rFonts w:ascii="Palatino Linotype" w:hAnsi="Palatino Linotype"/>
          <w:i/>
          <w:sz w:val="24"/>
        </w:rPr>
        <w:t xml:space="preserve"> RRA 0050/16. Instituto Nacional para la Evaluación de la Educación. 13 julio de 2016. Por unanimidad. Comisionado Ponente: Francisco Javier Acuña Llamas. </w:t>
      </w:r>
    </w:p>
    <w:p w:rsidR="00FD0C3F" w:rsidRPr="000D2F8D" w:rsidRDefault="00FD0C3F" w:rsidP="00FD0C3F">
      <w:pPr>
        <w:pStyle w:val="Prrafodelista"/>
        <w:tabs>
          <w:tab w:val="left" w:pos="709"/>
          <w:tab w:val="left" w:pos="1985"/>
        </w:tabs>
        <w:ind w:left="567" w:right="565"/>
        <w:jc w:val="both"/>
        <w:rPr>
          <w:rFonts w:ascii="Palatino Linotype" w:hAnsi="Palatino Linotype"/>
          <w:i/>
          <w:sz w:val="24"/>
        </w:rPr>
      </w:pPr>
      <w:r w:rsidRPr="000D2F8D">
        <w:rPr>
          <w:rFonts w:ascii="Palatino Linotype" w:hAnsi="Palatino Linotype"/>
          <w:i/>
          <w:sz w:val="24"/>
        </w:rPr>
        <w:sym w:font="Symbol" w:char="F0B7"/>
      </w:r>
      <w:r w:rsidRPr="000D2F8D">
        <w:rPr>
          <w:rFonts w:ascii="Palatino Linotype" w:hAnsi="Palatino Linotype"/>
          <w:i/>
          <w:sz w:val="24"/>
        </w:rPr>
        <w:t xml:space="preserve"> RRA 0310/16. Instituto Nacional de Transparencia, Acceso a la Información y Protección de Datos Personales. 10 de agosto de 2016. Por unanimidad. Comisionada Ponente. Areli Cano Guadiana. </w:t>
      </w:r>
    </w:p>
    <w:p w:rsidR="008F19D0" w:rsidRPr="000D2F8D" w:rsidRDefault="00FD0C3F" w:rsidP="008F19D0">
      <w:pPr>
        <w:tabs>
          <w:tab w:val="left" w:pos="709"/>
          <w:tab w:val="left" w:pos="1985"/>
        </w:tabs>
        <w:ind w:left="567" w:right="565"/>
        <w:jc w:val="both"/>
        <w:rPr>
          <w:rFonts w:ascii="Palatino Linotype" w:hAnsi="Palatino Linotype"/>
          <w:i/>
        </w:rPr>
      </w:pPr>
      <w:r w:rsidRPr="000D2F8D">
        <w:rPr>
          <w:rFonts w:ascii="Palatino Linotype" w:hAnsi="Palatino Linotype"/>
          <w:i/>
        </w:rPr>
        <w:sym w:font="Symbol" w:char="F0B7"/>
      </w:r>
      <w:r w:rsidRPr="000D2F8D">
        <w:rPr>
          <w:rFonts w:ascii="Palatino Linotype" w:hAnsi="Palatino Linotype"/>
          <w:i/>
        </w:rPr>
        <w:t xml:space="preserve"> RRA 1889/16. Secretaría de Hacienda y Crédito Público. 05 de octubre de 2016. Por unanimidad. Comisionada Ponente. Ximena Puente de la Mora.”</w:t>
      </w:r>
    </w:p>
    <w:p w:rsidR="00111B6F" w:rsidRPr="000D2F8D" w:rsidRDefault="00111B6F" w:rsidP="008F19D0">
      <w:pPr>
        <w:tabs>
          <w:tab w:val="left" w:pos="709"/>
          <w:tab w:val="left" w:pos="1985"/>
        </w:tabs>
        <w:ind w:left="567" w:right="565"/>
        <w:jc w:val="both"/>
        <w:rPr>
          <w:rFonts w:ascii="Palatino Linotype" w:hAnsi="Palatino Linotype"/>
          <w:i/>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Calibri" w:hAnsi="Palatino Linotype" w:cs="Arial"/>
          <w:color w:val="000000" w:themeColor="text1"/>
          <w:lang w:val="es-ES"/>
        </w:rPr>
        <w:t xml:space="preserve">Asimos, </w:t>
      </w:r>
      <w:r w:rsidRPr="000D2F8D">
        <w:rPr>
          <w:rFonts w:ascii="Palatino Linotype" w:hAnsi="Palatino Linotype"/>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FD0C3F" w:rsidRPr="000D2F8D" w:rsidRDefault="00FD0C3F" w:rsidP="00FD0C3F">
      <w:pPr>
        <w:spacing w:line="360" w:lineRule="auto"/>
        <w:ind w:right="1"/>
        <w:jc w:val="both"/>
        <w:rPr>
          <w:rFonts w:ascii="Palatino Linotype" w:eastAsia="Palatino Linotype" w:hAnsi="Palatino Linotype" w:cs="Palatino Linotype"/>
          <w:b/>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hAnsi="Palatino Linotype"/>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w:t>
      </w:r>
      <w:r w:rsidRPr="000D2F8D">
        <w:rPr>
          <w:rFonts w:ascii="Palatino Linotype" w:hAnsi="Palatino Linotype"/>
        </w:rPr>
        <w:lastRenderedPageBreak/>
        <w:t xml:space="preserve">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FD0C3F" w:rsidRPr="000D2F8D" w:rsidRDefault="00FD0C3F" w:rsidP="00FD0C3F">
      <w:pPr>
        <w:spacing w:line="360" w:lineRule="auto"/>
        <w:ind w:right="1"/>
        <w:jc w:val="both"/>
        <w:rPr>
          <w:rFonts w:ascii="Palatino Linotype" w:eastAsia="Calibri" w:hAnsi="Palatino Linotype" w:cs="Arial"/>
          <w:color w:val="000000" w:themeColor="text1"/>
          <w:lang w:val="es-ES"/>
        </w:rPr>
      </w:pPr>
    </w:p>
    <w:p w:rsidR="00FD0C3F" w:rsidRPr="000D2F8D" w:rsidRDefault="00FD0C3F" w:rsidP="00FD0C3F">
      <w:pPr>
        <w:pStyle w:val="Prrafodelista"/>
        <w:tabs>
          <w:tab w:val="left" w:pos="426"/>
          <w:tab w:val="left" w:pos="567"/>
        </w:tabs>
        <w:ind w:left="567" w:right="565"/>
        <w:jc w:val="both"/>
        <w:rPr>
          <w:rFonts w:ascii="Palatino Linotype" w:hAnsi="Palatino Linotype"/>
          <w:i/>
          <w:sz w:val="24"/>
        </w:rPr>
      </w:pPr>
      <w:r w:rsidRPr="000D2F8D">
        <w:rPr>
          <w:rFonts w:ascii="Palatino Linotype" w:hAnsi="Palatino Linotype"/>
          <w:b/>
          <w:i/>
          <w:sz w:val="24"/>
        </w:rPr>
        <w:t>“Artículo 3.</w:t>
      </w:r>
      <w:r w:rsidRPr="000D2F8D">
        <w:rPr>
          <w:rFonts w:ascii="Palatino Linotype" w:hAnsi="Palatino Linotype"/>
          <w:i/>
          <w:sz w:val="24"/>
        </w:rPr>
        <w:t xml:space="preserve"> Para los efectos de la presente Ley se entenderá por: </w:t>
      </w:r>
    </w:p>
    <w:p w:rsidR="00FD0C3F" w:rsidRPr="000D2F8D" w:rsidRDefault="00FD0C3F" w:rsidP="00FD0C3F">
      <w:pPr>
        <w:pStyle w:val="Prrafodelista"/>
        <w:tabs>
          <w:tab w:val="left" w:pos="426"/>
          <w:tab w:val="left" w:pos="567"/>
        </w:tabs>
        <w:ind w:left="567" w:right="565"/>
        <w:jc w:val="both"/>
        <w:rPr>
          <w:rFonts w:ascii="Palatino Linotype" w:hAnsi="Palatino Linotype"/>
          <w:i/>
          <w:sz w:val="24"/>
        </w:rPr>
      </w:pPr>
      <w:r w:rsidRPr="000D2F8D">
        <w:rPr>
          <w:rFonts w:ascii="Palatino Linotype" w:hAnsi="Palatino Linotype"/>
          <w:i/>
          <w:sz w:val="24"/>
        </w:rPr>
        <w:t xml:space="preserve">(…) </w:t>
      </w:r>
    </w:p>
    <w:p w:rsidR="00FD0C3F" w:rsidRPr="000D2F8D" w:rsidRDefault="00FD0C3F" w:rsidP="00FD0C3F">
      <w:pPr>
        <w:pStyle w:val="Prrafodelista"/>
        <w:tabs>
          <w:tab w:val="left" w:pos="426"/>
          <w:tab w:val="left" w:pos="567"/>
        </w:tabs>
        <w:ind w:left="567" w:right="565"/>
        <w:jc w:val="both"/>
        <w:rPr>
          <w:rFonts w:ascii="Palatino Linotype" w:hAnsi="Palatino Linotype"/>
          <w:b/>
          <w:i/>
          <w:sz w:val="24"/>
        </w:rPr>
      </w:pPr>
      <w:r w:rsidRPr="000D2F8D">
        <w:rPr>
          <w:rFonts w:ascii="Palatino Linotype" w:hAnsi="Palatino Linotype"/>
          <w:b/>
          <w:i/>
          <w:sz w:val="24"/>
        </w:rPr>
        <w:t>XI. Documento:</w:t>
      </w:r>
      <w:r w:rsidRPr="000D2F8D">
        <w:rPr>
          <w:rFonts w:ascii="Palatino Linotype" w:hAnsi="Palatino Linotype"/>
          <w:i/>
          <w:sz w:val="24"/>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0D2F8D">
        <w:rPr>
          <w:rFonts w:ascii="Palatino Linotype" w:hAnsi="Palatino Linotype"/>
          <w:b/>
          <w:i/>
          <w:sz w:val="24"/>
        </w:rPr>
        <w:t xml:space="preserve">Los documentos podrán estar en cualquier medio, sea escrito, impreso, sonoro, visual, electrónico, informático u holográfico; </w:t>
      </w:r>
    </w:p>
    <w:p w:rsidR="00FD0C3F" w:rsidRPr="000D2F8D" w:rsidRDefault="00FD0C3F" w:rsidP="00FD0C3F">
      <w:pPr>
        <w:pStyle w:val="Prrafodelista"/>
        <w:tabs>
          <w:tab w:val="left" w:pos="426"/>
          <w:tab w:val="left" w:pos="567"/>
        </w:tabs>
        <w:ind w:left="567" w:right="565"/>
        <w:jc w:val="both"/>
        <w:rPr>
          <w:rFonts w:ascii="Palatino Linotype" w:eastAsia="Calibri" w:hAnsi="Palatino Linotype" w:cs="Arial"/>
          <w:i/>
          <w:color w:val="000000" w:themeColor="text1"/>
          <w:sz w:val="24"/>
          <w:lang w:val="es-ES"/>
        </w:rPr>
      </w:pPr>
      <w:r w:rsidRPr="000D2F8D">
        <w:rPr>
          <w:rFonts w:ascii="Palatino Linotype" w:hAnsi="Palatino Linotype"/>
          <w:i/>
          <w:sz w:val="24"/>
        </w:rPr>
        <w:t>(…)”</w:t>
      </w:r>
    </w:p>
    <w:p w:rsidR="00FD0C3F" w:rsidRPr="000D2F8D" w:rsidRDefault="00FD0C3F" w:rsidP="00FD0C3F">
      <w:pPr>
        <w:spacing w:line="360" w:lineRule="auto"/>
        <w:ind w:right="1"/>
        <w:jc w:val="both"/>
        <w:rPr>
          <w:rFonts w:ascii="Palatino Linotype" w:eastAsia="Palatino Linotype" w:hAnsi="Palatino Linotype" w:cs="Palatino Linotype"/>
          <w:b/>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Calibri" w:hAnsi="Palatino Linotype" w:cs="Arial"/>
          <w:color w:val="000000" w:themeColor="text1"/>
          <w:lang w:val="es-ES"/>
        </w:rPr>
        <w:t xml:space="preserve">Siendo </w:t>
      </w:r>
      <w:r w:rsidRPr="000D2F8D">
        <w:rPr>
          <w:rFonts w:ascii="Palatino Linotype" w:hAnsi="Palatino Linotype"/>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FD0C3F" w:rsidRPr="000D2F8D" w:rsidRDefault="00FD0C3F" w:rsidP="00FD0C3F">
      <w:pPr>
        <w:spacing w:line="360" w:lineRule="auto"/>
        <w:ind w:right="1"/>
        <w:jc w:val="both"/>
        <w:rPr>
          <w:rFonts w:ascii="Palatino Linotype" w:eastAsia="Calibri" w:hAnsi="Palatino Linotype" w:cs="Arial"/>
          <w:color w:val="000000" w:themeColor="text1"/>
          <w:lang w:val="es-ES"/>
        </w:rPr>
      </w:pPr>
    </w:p>
    <w:p w:rsidR="00FD0C3F" w:rsidRPr="000D2F8D" w:rsidRDefault="00FD0C3F" w:rsidP="00FD0C3F">
      <w:pPr>
        <w:pStyle w:val="Prrafodelista"/>
        <w:tabs>
          <w:tab w:val="left" w:pos="426"/>
          <w:tab w:val="left" w:pos="567"/>
        </w:tabs>
        <w:ind w:left="567" w:right="565"/>
        <w:jc w:val="both"/>
        <w:rPr>
          <w:rFonts w:ascii="Palatino Linotype" w:hAnsi="Palatino Linotype"/>
          <w:i/>
          <w:sz w:val="24"/>
        </w:rPr>
      </w:pPr>
      <w:r w:rsidRPr="000D2F8D">
        <w:rPr>
          <w:rFonts w:ascii="Palatino Linotype" w:hAnsi="Palatino Linotype"/>
          <w:i/>
          <w:sz w:val="24"/>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w:t>
      </w:r>
      <w:r w:rsidRPr="000D2F8D">
        <w:rPr>
          <w:rFonts w:ascii="Palatino Linotype" w:hAnsi="Palatino Linotype"/>
          <w:i/>
          <w:sz w:val="24"/>
        </w:rPr>
        <w:lastRenderedPageBreak/>
        <w:t>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FD0C3F" w:rsidRPr="000D2F8D" w:rsidRDefault="00FD0C3F" w:rsidP="00FD0C3F">
      <w:pPr>
        <w:spacing w:line="360" w:lineRule="auto"/>
        <w:ind w:right="1"/>
        <w:jc w:val="both"/>
        <w:rPr>
          <w:rFonts w:ascii="Palatino Linotype" w:eastAsia="Palatino Linotype" w:hAnsi="Palatino Linotype" w:cs="Palatino Linotype"/>
          <w:b/>
        </w:rPr>
      </w:pPr>
    </w:p>
    <w:p w:rsidR="00FD0C3F" w:rsidRPr="000D2F8D" w:rsidRDefault="00FD0C3F" w:rsidP="00FD0C3F">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hAnsi="Palatino Linotype"/>
          <w:color w:val="000000" w:themeColor="text1"/>
        </w:rPr>
        <w:t xml:space="preserve">Por </w:t>
      </w:r>
      <w:r w:rsidRPr="000D2F8D">
        <w:rPr>
          <w:rFonts w:ascii="Palatino Linotype" w:hAnsi="Palatino Linotype" w:cs="Arial"/>
          <w:lang w:val="es-ES"/>
        </w:rPr>
        <w:t xml:space="preserve">lo tanto, este Organismo Garante considera procedente </w:t>
      </w:r>
      <w:r w:rsidR="00920211" w:rsidRPr="000D2F8D">
        <w:rPr>
          <w:rFonts w:ascii="Palatino Linotype" w:hAnsi="Palatino Linotype" w:cs="Arial"/>
          <w:b/>
          <w:bCs/>
          <w:lang w:val="es-ES"/>
        </w:rPr>
        <w:t>MODIFICAR</w:t>
      </w:r>
      <w:r w:rsidR="000727EE" w:rsidRPr="000D2F8D">
        <w:rPr>
          <w:rFonts w:ascii="Palatino Linotype" w:hAnsi="Palatino Linotype" w:cs="Arial"/>
          <w:b/>
          <w:bCs/>
          <w:lang w:val="es-ES"/>
        </w:rPr>
        <w:t xml:space="preserve"> </w:t>
      </w:r>
      <w:r w:rsidRPr="000D2F8D">
        <w:rPr>
          <w:rFonts w:ascii="Palatino Linotype" w:hAnsi="Palatino Linotype" w:cs="Arial"/>
          <w:lang w:val="es-ES"/>
        </w:rPr>
        <w:t xml:space="preserve">la respuesta otorgada por el </w:t>
      </w:r>
      <w:r w:rsidR="008F19D0" w:rsidRPr="000D2F8D">
        <w:rPr>
          <w:rFonts w:ascii="Palatino Linotype" w:hAnsi="Palatino Linotype" w:cs="Arial"/>
          <w:b/>
          <w:lang w:val="es-ES"/>
        </w:rPr>
        <w:t>Sistema Municipal Para el Desarrollo Integral de la Familia de Toluca</w:t>
      </w:r>
      <w:r w:rsidRPr="000D2F8D">
        <w:rPr>
          <w:rFonts w:ascii="Palatino Linotype" w:eastAsia="Palatino Linotype" w:hAnsi="Palatino Linotype" w:cs="Palatino Linotype"/>
          <w:b/>
        </w:rPr>
        <w:t xml:space="preserve">, </w:t>
      </w:r>
      <w:r w:rsidRPr="000D2F8D">
        <w:rPr>
          <w:rFonts w:ascii="Palatino Linotype" w:hAnsi="Palatino Linotype" w:cs="Arial"/>
          <w:lang w:val="es-ES"/>
        </w:rPr>
        <w:t>a la solicitud de información</w:t>
      </w:r>
      <w:r w:rsidR="008F19D0" w:rsidRPr="000D2F8D">
        <w:rPr>
          <w:rFonts w:ascii="Palatino Linotype" w:hAnsi="Palatino Linotype" w:cs="Arial"/>
          <w:b/>
          <w:lang w:val="es-ES"/>
        </w:rPr>
        <w:t xml:space="preserve"> 00028</w:t>
      </w:r>
      <w:r w:rsidRPr="000D2F8D">
        <w:rPr>
          <w:rFonts w:ascii="Palatino Linotype" w:hAnsi="Palatino Linotype" w:cs="Arial"/>
          <w:b/>
          <w:lang w:val="es-ES"/>
        </w:rPr>
        <w:t>/</w:t>
      </w:r>
      <w:r w:rsidR="008F19D0" w:rsidRPr="000D2F8D">
        <w:rPr>
          <w:rFonts w:ascii="Palatino Linotype" w:hAnsi="Palatino Linotype" w:cs="Arial"/>
          <w:b/>
          <w:lang w:val="es-ES"/>
        </w:rPr>
        <w:t>DIFTOLUCA/IP/2025</w:t>
      </w:r>
      <w:r w:rsidRPr="000D2F8D">
        <w:rPr>
          <w:rFonts w:ascii="Palatino Linotype" w:hAnsi="Palatino Linotype" w:cs="Arial"/>
          <w:b/>
          <w:lang w:val="es-ES"/>
        </w:rPr>
        <w:t>.</w:t>
      </w:r>
    </w:p>
    <w:p w:rsidR="00FD0C3F" w:rsidRPr="000D2F8D" w:rsidRDefault="00FD0C3F" w:rsidP="000A31EF">
      <w:pPr>
        <w:spacing w:line="360" w:lineRule="auto"/>
        <w:ind w:right="1"/>
        <w:jc w:val="both"/>
        <w:rPr>
          <w:rFonts w:ascii="Palatino Linotype" w:eastAsia="Palatino Linotype" w:hAnsi="Palatino Linotype" w:cs="Palatino Linotype"/>
          <w:b/>
        </w:rPr>
      </w:pPr>
    </w:p>
    <w:p w:rsidR="00E94D86" w:rsidRPr="000D2F8D" w:rsidRDefault="001E3125" w:rsidP="00FD2459">
      <w:pPr>
        <w:numPr>
          <w:ilvl w:val="0"/>
          <w:numId w:val="1"/>
        </w:numPr>
        <w:spacing w:line="360" w:lineRule="auto"/>
        <w:ind w:left="0" w:right="1" w:firstLine="0"/>
        <w:jc w:val="both"/>
        <w:rPr>
          <w:rFonts w:ascii="Palatino Linotype" w:eastAsia="Palatino Linotype" w:hAnsi="Palatino Linotype" w:cs="Palatino Linotype"/>
          <w:b/>
        </w:rPr>
      </w:pPr>
      <w:r w:rsidRPr="000D2F8D">
        <w:rPr>
          <w:rFonts w:ascii="Palatino Linotype" w:eastAsia="Palatino Linotype" w:hAnsi="Palatino Linotype" w:cs="Palatino Linotype"/>
          <w:color w:val="222222"/>
        </w:rPr>
        <w:t xml:space="preserve">Por lo anteriormente expuesto y fundado, este </w:t>
      </w:r>
      <w:r w:rsidRPr="000D2F8D">
        <w:rPr>
          <w:rFonts w:ascii="Palatino Linotype" w:eastAsia="Palatino Linotype" w:hAnsi="Palatino Linotype" w:cs="Palatino Linotype"/>
          <w:b/>
          <w:color w:val="222222"/>
        </w:rPr>
        <w:t>ÓRGANO GARANTE</w:t>
      </w:r>
      <w:r w:rsidRPr="000D2F8D">
        <w:rPr>
          <w:rFonts w:ascii="Palatino Linotype" w:eastAsia="Palatino Linotype" w:hAnsi="Palatino Linotype" w:cs="Palatino Linotype"/>
          <w:color w:val="222222"/>
        </w:rPr>
        <w:t xml:space="preserve"> emite los siguientes:</w:t>
      </w:r>
    </w:p>
    <w:p w:rsidR="006936C0" w:rsidRPr="000D2F8D" w:rsidRDefault="001E3125" w:rsidP="006936C0">
      <w:pPr>
        <w:keepNext/>
        <w:keepLines/>
        <w:spacing w:line="360" w:lineRule="auto"/>
        <w:ind w:right="-592"/>
        <w:jc w:val="center"/>
        <w:rPr>
          <w:rFonts w:ascii="Palatino Linotype" w:eastAsia="Palatino Linotype" w:hAnsi="Palatino Linotype" w:cs="Palatino Linotype"/>
          <w:b/>
          <w:color w:val="000000"/>
        </w:rPr>
      </w:pPr>
      <w:r w:rsidRPr="000D2F8D">
        <w:rPr>
          <w:rFonts w:ascii="Palatino Linotype" w:eastAsia="Palatino Linotype" w:hAnsi="Palatino Linotype" w:cs="Palatino Linotype"/>
          <w:b/>
          <w:color w:val="000000"/>
        </w:rPr>
        <w:t>R E S O L U T I V O S</w:t>
      </w:r>
    </w:p>
    <w:p w:rsidR="006936C0" w:rsidRPr="000D2F8D" w:rsidRDefault="006936C0" w:rsidP="006936C0">
      <w:pPr>
        <w:keepNext/>
        <w:keepLines/>
        <w:spacing w:line="360" w:lineRule="auto"/>
        <w:ind w:right="-592"/>
        <w:rPr>
          <w:rFonts w:ascii="Palatino Linotype" w:eastAsia="Palatino Linotype" w:hAnsi="Palatino Linotype" w:cs="Palatino Linotype"/>
          <w:b/>
          <w:color w:val="000000"/>
        </w:rPr>
      </w:pPr>
    </w:p>
    <w:p w:rsidR="006936C0" w:rsidRPr="000D2F8D" w:rsidRDefault="00FD0C3F" w:rsidP="006936C0">
      <w:pPr>
        <w:spacing w:before="240" w:after="240" w:line="360" w:lineRule="auto"/>
        <w:ind w:right="1"/>
        <w:jc w:val="both"/>
        <w:rPr>
          <w:rFonts w:ascii="Palatino Linotype" w:eastAsia="Palatino Linotype" w:hAnsi="Palatino Linotype" w:cs="Palatino Linotype"/>
        </w:rPr>
      </w:pPr>
      <w:r w:rsidRPr="000D2F8D">
        <w:rPr>
          <w:rFonts w:ascii="Palatino Linotype" w:hAnsi="Palatino Linotype" w:cs="Arial"/>
          <w:b/>
        </w:rPr>
        <w:t xml:space="preserve">PRIMERO. </w:t>
      </w:r>
      <w:r w:rsidR="006936C0" w:rsidRPr="000D2F8D">
        <w:rPr>
          <w:rFonts w:ascii="Palatino Linotype" w:eastAsia="Palatino Linotype" w:hAnsi="Palatino Linotype" w:cs="Palatino Linotype"/>
        </w:rPr>
        <w:t xml:space="preserve">Resultan parcialmente fundadas las razones o motivos de inconformidad hechos valer en el Recurso de Revisión </w:t>
      </w:r>
      <w:r w:rsidR="008F19D0" w:rsidRPr="000D2F8D">
        <w:rPr>
          <w:rFonts w:ascii="Palatino Linotype" w:eastAsia="Palatino Linotype" w:hAnsi="Palatino Linotype" w:cs="Palatino Linotype"/>
          <w:b/>
        </w:rPr>
        <w:t>00373/INFOEM/IP/RR/2025</w:t>
      </w:r>
      <w:r w:rsidR="006936C0" w:rsidRPr="000D2F8D">
        <w:rPr>
          <w:rFonts w:ascii="Palatino Linotype" w:eastAsia="Palatino Linotype" w:hAnsi="Palatino Linotype" w:cs="Palatino Linotype"/>
        </w:rPr>
        <w:t>,</w:t>
      </w:r>
      <w:r w:rsidR="006936C0" w:rsidRPr="000D2F8D">
        <w:rPr>
          <w:rFonts w:ascii="Palatino Linotype" w:eastAsia="Palatino Linotype" w:hAnsi="Palatino Linotype" w:cs="Palatino Linotype"/>
          <w:b/>
        </w:rPr>
        <w:t xml:space="preserve"> </w:t>
      </w:r>
      <w:r w:rsidR="006936C0" w:rsidRPr="000D2F8D">
        <w:rPr>
          <w:rFonts w:ascii="Palatino Linotype" w:eastAsia="Palatino Linotype" w:hAnsi="Palatino Linotype" w:cs="Palatino Linotype"/>
        </w:rPr>
        <w:t xml:space="preserve">en términos del </w:t>
      </w:r>
      <w:r w:rsidR="006936C0" w:rsidRPr="000D2F8D">
        <w:rPr>
          <w:rFonts w:ascii="Palatino Linotype" w:eastAsia="Palatino Linotype" w:hAnsi="Palatino Linotype" w:cs="Palatino Linotype"/>
          <w:b/>
        </w:rPr>
        <w:t>Considerando Cuarto</w:t>
      </w:r>
      <w:r w:rsidR="006936C0" w:rsidRPr="000D2F8D">
        <w:rPr>
          <w:rFonts w:ascii="Palatino Linotype" w:eastAsia="Palatino Linotype" w:hAnsi="Palatino Linotype" w:cs="Palatino Linotype"/>
        </w:rPr>
        <w:t xml:space="preserve"> de la presente Resolución.</w:t>
      </w:r>
    </w:p>
    <w:p w:rsidR="000727EE" w:rsidRPr="000D2F8D" w:rsidRDefault="006936C0" w:rsidP="00DD209C">
      <w:pPr>
        <w:shd w:val="clear" w:color="auto" w:fill="FFFFFF"/>
        <w:spacing w:before="240" w:after="360" w:line="360" w:lineRule="auto"/>
        <w:ind w:right="1"/>
        <w:jc w:val="both"/>
        <w:rPr>
          <w:rFonts w:ascii="Palatino Linotype" w:eastAsia="Palatino Linotype" w:hAnsi="Palatino Linotype" w:cs="Palatino Linotype"/>
          <w:b/>
        </w:rPr>
      </w:pPr>
      <w:bookmarkStart w:id="5" w:name="_heading=h.1fob9te" w:colFirst="0" w:colLast="0"/>
      <w:bookmarkEnd w:id="5"/>
      <w:r w:rsidRPr="000D2F8D">
        <w:rPr>
          <w:rFonts w:ascii="Palatino Linotype" w:eastAsia="Palatino Linotype" w:hAnsi="Palatino Linotype" w:cs="Palatino Linotype"/>
          <w:b/>
        </w:rPr>
        <w:t>SEGUNDO.</w:t>
      </w:r>
      <w:r w:rsidRPr="000D2F8D">
        <w:rPr>
          <w:rFonts w:ascii="Palatino Linotype" w:eastAsia="Palatino Linotype" w:hAnsi="Palatino Linotype" w:cs="Palatino Linotype"/>
          <w:b/>
          <w:color w:val="000000"/>
        </w:rPr>
        <w:t xml:space="preserve"> </w:t>
      </w:r>
      <w:r w:rsidRPr="000D2F8D">
        <w:rPr>
          <w:rFonts w:ascii="Palatino Linotype" w:eastAsia="Palatino Linotype" w:hAnsi="Palatino Linotype" w:cs="Palatino Linotype"/>
          <w:color w:val="000000"/>
        </w:rPr>
        <w:t xml:space="preserve">Se </w:t>
      </w:r>
      <w:r w:rsidR="00920211" w:rsidRPr="000D2F8D">
        <w:rPr>
          <w:rFonts w:ascii="Palatino Linotype" w:eastAsia="Palatino Linotype" w:hAnsi="Palatino Linotype" w:cs="Palatino Linotype"/>
          <w:b/>
          <w:color w:val="000000"/>
        </w:rPr>
        <w:t>MODIFICA</w:t>
      </w:r>
      <w:r w:rsidRPr="000D2F8D">
        <w:rPr>
          <w:rFonts w:ascii="Palatino Linotype" w:eastAsia="Palatino Linotype" w:hAnsi="Palatino Linotype" w:cs="Palatino Linotype"/>
          <w:b/>
          <w:color w:val="000000"/>
        </w:rPr>
        <w:t xml:space="preserve"> </w:t>
      </w:r>
      <w:r w:rsidRPr="000D2F8D">
        <w:rPr>
          <w:rFonts w:ascii="Palatino Linotype" w:eastAsia="Palatino Linotype" w:hAnsi="Palatino Linotype" w:cs="Palatino Linotype"/>
          <w:color w:val="000000"/>
        </w:rPr>
        <w:t xml:space="preserve">la respuesta emitida por el </w:t>
      </w:r>
      <w:r w:rsidR="008F19D0" w:rsidRPr="000D2F8D">
        <w:rPr>
          <w:rFonts w:ascii="Palatino Linotype" w:hAnsi="Palatino Linotype" w:cs="Arial"/>
          <w:b/>
          <w:lang w:val="es-ES"/>
        </w:rPr>
        <w:t>Sistema Municipal Para el Desarrollo Integral de la Familia de Toluca</w:t>
      </w:r>
      <w:r w:rsidR="008F19D0" w:rsidRPr="000D2F8D">
        <w:rPr>
          <w:rFonts w:ascii="Palatino Linotype" w:eastAsia="Palatino Linotype" w:hAnsi="Palatino Linotype" w:cs="Palatino Linotype"/>
          <w:color w:val="000000"/>
        </w:rPr>
        <w:t xml:space="preserve"> </w:t>
      </w:r>
      <w:r w:rsidRPr="000D2F8D">
        <w:rPr>
          <w:rFonts w:ascii="Palatino Linotype" w:eastAsia="Palatino Linotype" w:hAnsi="Palatino Linotype" w:cs="Palatino Linotype"/>
          <w:color w:val="000000"/>
        </w:rPr>
        <w:t xml:space="preserve">y se </w:t>
      </w:r>
      <w:r w:rsidRPr="000D2F8D">
        <w:rPr>
          <w:rFonts w:ascii="Palatino Linotype" w:eastAsia="Palatino Linotype" w:hAnsi="Palatino Linotype" w:cs="Palatino Linotype"/>
          <w:b/>
          <w:color w:val="000000"/>
        </w:rPr>
        <w:t>ORDENA</w:t>
      </w:r>
      <w:r w:rsidRPr="000D2F8D">
        <w:rPr>
          <w:rFonts w:ascii="Palatino Linotype" w:eastAsia="Palatino Linotype" w:hAnsi="Palatino Linotype" w:cs="Palatino Linotype"/>
          <w:color w:val="000000"/>
        </w:rPr>
        <w:t xml:space="preserve"> </w:t>
      </w:r>
      <w:r w:rsidRPr="000D2F8D">
        <w:rPr>
          <w:rFonts w:ascii="Palatino Linotype" w:eastAsia="Palatino Linotype" w:hAnsi="Palatino Linotype" w:cs="Palatino Linotype"/>
        </w:rPr>
        <w:t xml:space="preserve">entregar vía </w:t>
      </w:r>
      <w:r w:rsidR="008F19D0" w:rsidRPr="000D2F8D">
        <w:rPr>
          <w:rFonts w:ascii="Palatino Linotype" w:eastAsia="Palatino Linotype" w:hAnsi="Palatino Linotype" w:cs="Palatino Linotype"/>
          <w:b/>
        </w:rPr>
        <w:t xml:space="preserve">SAIMEX, </w:t>
      </w:r>
      <w:r w:rsidR="000727EE" w:rsidRPr="000D2F8D">
        <w:rPr>
          <w:rFonts w:ascii="Palatino Linotype" w:eastAsia="Palatino Linotype" w:hAnsi="Palatino Linotype" w:cs="Palatino Linotype"/>
        </w:rPr>
        <w:t>lo siguiente:</w:t>
      </w:r>
    </w:p>
    <w:p w:rsidR="008F19D0" w:rsidRPr="000D2F8D" w:rsidRDefault="000727EE" w:rsidP="000727EE">
      <w:pPr>
        <w:pStyle w:val="Prrafodelista"/>
        <w:numPr>
          <w:ilvl w:val="0"/>
          <w:numId w:val="30"/>
        </w:numPr>
        <w:shd w:val="clear" w:color="auto" w:fill="FFFFFF"/>
        <w:spacing w:before="240" w:after="360" w:line="360" w:lineRule="auto"/>
        <w:ind w:left="567" w:right="567" w:hanging="141"/>
        <w:jc w:val="both"/>
        <w:rPr>
          <w:rFonts w:ascii="Palatino Linotype" w:eastAsia="Palatino Linotype" w:hAnsi="Palatino Linotype" w:cs="Palatino Linotype"/>
          <w:sz w:val="24"/>
        </w:rPr>
      </w:pPr>
      <w:r w:rsidRPr="000D2F8D">
        <w:rPr>
          <w:rFonts w:ascii="Palatino Linotype" w:eastAsia="Palatino Linotype" w:hAnsi="Palatino Linotype" w:cs="Palatino Linotype"/>
          <w:b/>
          <w:sz w:val="24"/>
        </w:rPr>
        <w:lastRenderedPageBreak/>
        <w:t>E</w:t>
      </w:r>
      <w:r w:rsidR="008F19D0" w:rsidRPr="000D2F8D">
        <w:rPr>
          <w:rFonts w:ascii="Palatino Linotype" w:eastAsia="Palatino Linotype" w:hAnsi="Palatino Linotype" w:cs="Palatino Linotype"/>
          <w:b/>
          <w:sz w:val="24"/>
        </w:rPr>
        <w:t xml:space="preserve">l </w:t>
      </w:r>
      <w:r w:rsidR="008F19D0" w:rsidRPr="000D2F8D">
        <w:rPr>
          <w:rFonts w:ascii="Palatino Linotype" w:hAnsi="Palatino Linotype"/>
          <w:b/>
          <w:sz w:val="24"/>
        </w:rPr>
        <w:t xml:space="preserve">Anteproyecto </w:t>
      </w:r>
      <w:r w:rsidR="008F19D0" w:rsidRPr="000D2F8D">
        <w:rPr>
          <w:rFonts w:ascii="Palatino Linotype" w:hAnsi="Palatino Linotype"/>
          <w:b/>
          <w:color w:val="000000"/>
          <w:sz w:val="24"/>
        </w:rPr>
        <w:t>del Presupuesto de Egresos del Sistema Municipal para el Desarrollo Integral de la Familia de Toluca, para el año 2025.</w:t>
      </w:r>
    </w:p>
    <w:p w:rsidR="006936C0" w:rsidRPr="000D2F8D" w:rsidRDefault="006936C0" w:rsidP="006936C0">
      <w:pPr>
        <w:spacing w:line="360" w:lineRule="auto"/>
        <w:ind w:right="1"/>
        <w:jc w:val="both"/>
        <w:rPr>
          <w:rFonts w:ascii="Palatino Linotype" w:eastAsia="Palatino Linotype" w:hAnsi="Palatino Linotype" w:cs="Palatino Linotype"/>
          <w:b/>
        </w:rPr>
      </w:pPr>
      <w:r w:rsidRPr="000D2F8D">
        <w:rPr>
          <w:rFonts w:ascii="Palatino Linotype" w:eastAsia="Palatino Linotype" w:hAnsi="Palatino Linotype" w:cs="Palatino Linotype"/>
          <w:b/>
        </w:rPr>
        <w:t xml:space="preserve">TERCERO. </w:t>
      </w:r>
      <w:r w:rsidRPr="000D2F8D">
        <w:rPr>
          <w:rFonts w:ascii="Palatino Linotype" w:eastAsia="Palatino Linotype" w:hAnsi="Palatino Linotype" w:cs="Palatino Linotype"/>
          <w:b/>
          <w:color w:val="000000"/>
        </w:rPr>
        <w:t>Notifíquese vía SAIMEX l</w:t>
      </w:r>
      <w:r w:rsidRPr="000D2F8D">
        <w:rPr>
          <w:rFonts w:ascii="Palatino Linotype" w:eastAsia="Palatino Linotype" w:hAnsi="Palatino Linotype" w:cs="Palatino Linotype"/>
        </w:rPr>
        <w:t xml:space="preserve">a presente resolución al Titular de la Unidad de Transparencia del </w:t>
      </w:r>
      <w:r w:rsidRPr="000D2F8D">
        <w:rPr>
          <w:rFonts w:ascii="Palatino Linotype" w:eastAsia="Palatino Linotype" w:hAnsi="Palatino Linotype" w:cs="Palatino Linotype"/>
          <w:b/>
        </w:rPr>
        <w:t>SUJETO OBLIGADO</w:t>
      </w:r>
      <w:r w:rsidRPr="000D2F8D">
        <w:rPr>
          <w:rFonts w:ascii="Palatino Linotype" w:eastAsia="Palatino Linotype" w:hAnsi="Palatino Linotype" w:cs="Palatino Linotype"/>
        </w:rPr>
        <w:t xml:space="preserve">, para que conforme al artículo 186 último párrafo, 189 segundo párrafo y 194 de la Ley de Transparencia y Acceso a la Información Pública del Estado de México y Municipios; </w:t>
      </w:r>
      <w:r w:rsidRPr="000D2F8D">
        <w:rPr>
          <w:rFonts w:ascii="Palatino Linotype" w:eastAsia="Palatino Linotype" w:hAnsi="Palatino Linotype" w:cs="Palatino Linotype"/>
          <w:b/>
        </w:rPr>
        <w:t>dé cumplimiento a lo ordenado dentro del plazo de diez días hábiles</w:t>
      </w:r>
      <w:r w:rsidRPr="000D2F8D">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936C0" w:rsidRPr="000D2F8D" w:rsidRDefault="006936C0" w:rsidP="006936C0">
      <w:pPr>
        <w:tabs>
          <w:tab w:val="left" w:pos="8080"/>
        </w:tabs>
        <w:ind w:right="1"/>
        <w:jc w:val="both"/>
        <w:rPr>
          <w:rFonts w:ascii="Palatino Linotype" w:eastAsia="Palatino Linotype" w:hAnsi="Palatino Linotype" w:cs="Palatino Linotype"/>
          <w:color w:val="222222"/>
        </w:rPr>
      </w:pPr>
    </w:p>
    <w:p w:rsidR="006936C0" w:rsidRPr="000D2F8D" w:rsidRDefault="006936C0" w:rsidP="006936C0">
      <w:pPr>
        <w:shd w:val="clear" w:color="auto" w:fill="FFFFFF"/>
        <w:spacing w:after="240" w:line="360" w:lineRule="auto"/>
        <w:ind w:right="1"/>
        <w:jc w:val="both"/>
        <w:rPr>
          <w:rFonts w:ascii="Palatino Linotype" w:eastAsia="Palatino Linotype" w:hAnsi="Palatino Linotype" w:cs="Palatino Linotype"/>
          <w:b/>
        </w:rPr>
      </w:pPr>
      <w:r w:rsidRPr="000D2F8D">
        <w:rPr>
          <w:rFonts w:ascii="Palatino Linotype" w:eastAsia="Palatino Linotype" w:hAnsi="Palatino Linotype" w:cs="Palatino Linotype"/>
          <w:b/>
        </w:rPr>
        <w:t>CUARTO. Notifíquese al RECURRENTE</w:t>
      </w:r>
      <w:r w:rsidRPr="000D2F8D">
        <w:rPr>
          <w:rFonts w:ascii="Palatino Linotype" w:eastAsia="Palatino Linotype" w:hAnsi="Palatino Linotype" w:cs="Palatino Linotype"/>
        </w:rPr>
        <w:t xml:space="preserve"> la presente resolución vía </w:t>
      </w:r>
      <w:r w:rsidR="008F19D0" w:rsidRPr="000D2F8D">
        <w:rPr>
          <w:rFonts w:ascii="Palatino Linotype" w:eastAsia="Palatino Linotype" w:hAnsi="Palatino Linotype" w:cs="Palatino Linotype"/>
          <w:b/>
        </w:rPr>
        <w:t>SAIMEX.</w:t>
      </w:r>
    </w:p>
    <w:p w:rsidR="006936C0" w:rsidRPr="000D2F8D" w:rsidRDefault="006936C0" w:rsidP="006936C0">
      <w:pPr>
        <w:spacing w:before="240" w:after="240" w:line="360" w:lineRule="auto"/>
        <w:ind w:right="1"/>
        <w:jc w:val="both"/>
        <w:rPr>
          <w:rFonts w:ascii="Palatino Linotype" w:eastAsia="Palatino Linotype" w:hAnsi="Palatino Linotype" w:cs="Palatino Linotype"/>
        </w:rPr>
      </w:pPr>
      <w:r w:rsidRPr="000D2F8D">
        <w:rPr>
          <w:rFonts w:ascii="Palatino Linotype" w:eastAsia="Palatino Linotype" w:hAnsi="Palatino Linotype" w:cs="Palatino Linotype"/>
          <w:b/>
        </w:rPr>
        <w:t>QUINTO.</w:t>
      </w:r>
      <w:r w:rsidRPr="000D2F8D">
        <w:rPr>
          <w:rFonts w:ascii="Palatino Linotype" w:eastAsia="Palatino Linotype" w:hAnsi="Palatino Linotype" w:cs="Palatino Linotype"/>
        </w:rPr>
        <w:t xml:space="preserve"> Se hace del conocimiento del </w:t>
      </w:r>
      <w:r w:rsidRPr="000D2F8D">
        <w:rPr>
          <w:rFonts w:ascii="Palatino Linotype" w:eastAsia="Palatino Linotype" w:hAnsi="Palatino Linotype" w:cs="Palatino Linotype"/>
          <w:b/>
        </w:rPr>
        <w:t>RECURRENTE</w:t>
      </w:r>
      <w:r w:rsidRPr="000D2F8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F46C8E" w:rsidRPr="000D2F8D" w:rsidRDefault="006936C0" w:rsidP="006936C0">
      <w:pPr>
        <w:spacing w:before="240" w:after="240" w:line="360" w:lineRule="auto"/>
        <w:ind w:right="1"/>
        <w:jc w:val="both"/>
        <w:rPr>
          <w:rFonts w:ascii="Palatino Linotype" w:eastAsia="Palatino Linotype" w:hAnsi="Palatino Linotype" w:cs="Palatino Linotype"/>
        </w:rPr>
      </w:pPr>
      <w:r w:rsidRPr="000D2F8D">
        <w:rPr>
          <w:rFonts w:ascii="Palatino Linotype" w:eastAsia="Palatino Linotype" w:hAnsi="Palatino Linotype" w:cs="Palatino Linotype"/>
          <w:b/>
          <w:color w:val="000000"/>
        </w:rPr>
        <w:t xml:space="preserve">SEXTO. </w:t>
      </w:r>
      <w:r w:rsidRPr="000D2F8D">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0D2F8D">
        <w:rPr>
          <w:rFonts w:ascii="Palatino Linotype" w:eastAsia="Palatino Linotype" w:hAnsi="Palatino Linotype" w:cs="Palatino Linotype"/>
        </w:rPr>
        <w:lastRenderedPageBreak/>
        <w:t>Sujeto Obligado de manera fundada y motivada, podrá solicitar una ampliación de plazo para el cumplimiento de la presente resolución.</w:t>
      </w:r>
    </w:p>
    <w:p w:rsidR="00111B6F" w:rsidRPr="000D2F8D" w:rsidRDefault="00111B6F" w:rsidP="006936C0">
      <w:pPr>
        <w:spacing w:before="240" w:after="240" w:line="360" w:lineRule="auto"/>
        <w:ind w:right="1"/>
        <w:jc w:val="both"/>
        <w:rPr>
          <w:rFonts w:ascii="Palatino Linotype" w:eastAsia="Palatino Linotype" w:hAnsi="Palatino Linotype" w:cs="Palatino Linotype"/>
        </w:rPr>
      </w:pPr>
    </w:p>
    <w:p w:rsidR="00E94D86" w:rsidRPr="00E714CF" w:rsidRDefault="00D40DC2" w:rsidP="00F94D59">
      <w:pPr>
        <w:spacing w:before="240" w:after="240" w:line="360" w:lineRule="auto"/>
        <w:ind w:right="1"/>
        <w:jc w:val="both"/>
        <w:rPr>
          <w:rFonts w:ascii="Palatino Linotype" w:eastAsia="Palatino Linotype" w:hAnsi="Palatino Linotype" w:cs="Palatino Linotype"/>
        </w:rPr>
      </w:pPr>
      <w:r w:rsidRPr="000D2F8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r w:rsidR="00F94D59" w:rsidRPr="000D2F8D">
        <w:rPr>
          <w:rFonts w:ascii="Palatino Linotype" w:eastAsia="Palatino Linotype" w:hAnsi="Palatino Linotype" w:cs="Palatino Linotype"/>
        </w:rPr>
        <w:t>.</w:t>
      </w:r>
    </w:p>
    <w:p w:rsidR="00E94D86" w:rsidRPr="00E714CF" w:rsidRDefault="00E94D86">
      <w:pPr>
        <w:spacing w:line="360" w:lineRule="auto"/>
        <w:ind w:right="-592"/>
        <w:jc w:val="both"/>
        <w:rPr>
          <w:rFonts w:ascii="Palatino Linotype" w:eastAsia="Palatino Linotype" w:hAnsi="Palatino Linotype" w:cs="Palatino Linotype"/>
        </w:rPr>
      </w:pPr>
    </w:p>
    <w:p w:rsidR="00E94D86" w:rsidRPr="00E714CF" w:rsidRDefault="00E94D86">
      <w:pPr>
        <w:spacing w:line="360" w:lineRule="auto"/>
        <w:ind w:right="-592"/>
        <w:jc w:val="both"/>
        <w:rPr>
          <w:rFonts w:ascii="Palatino Linotype" w:eastAsia="Palatino Linotype" w:hAnsi="Palatino Linotype" w:cs="Palatino Linotype"/>
        </w:rPr>
      </w:pPr>
    </w:p>
    <w:p w:rsidR="00E94D86" w:rsidRPr="00E714CF" w:rsidRDefault="00E94D86">
      <w:pPr>
        <w:spacing w:line="360" w:lineRule="auto"/>
        <w:ind w:right="-592"/>
        <w:jc w:val="both"/>
        <w:rPr>
          <w:rFonts w:ascii="Palatino Linotype" w:eastAsia="Palatino Linotype" w:hAnsi="Palatino Linotype" w:cs="Palatino Linotype"/>
        </w:rPr>
      </w:pPr>
    </w:p>
    <w:p w:rsidR="00E94D86" w:rsidRPr="00E714CF" w:rsidRDefault="00E94D86">
      <w:pPr>
        <w:spacing w:line="360" w:lineRule="auto"/>
        <w:ind w:right="-592"/>
        <w:jc w:val="both"/>
        <w:rPr>
          <w:rFonts w:ascii="Palatino Linotype" w:eastAsia="Palatino Linotype" w:hAnsi="Palatino Linotype" w:cs="Palatino Linotype"/>
        </w:rPr>
      </w:pPr>
    </w:p>
    <w:p w:rsidR="00E94D86" w:rsidRPr="00E714CF" w:rsidRDefault="00E94D86">
      <w:pPr>
        <w:spacing w:line="360" w:lineRule="auto"/>
        <w:ind w:right="-592"/>
        <w:rPr>
          <w:rFonts w:ascii="Palatino Linotype" w:eastAsia="Palatino Linotype" w:hAnsi="Palatino Linotype" w:cs="Palatino Linotype"/>
        </w:rPr>
      </w:pPr>
    </w:p>
    <w:p w:rsidR="00E94D86" w:rsidRPr="00E714CF" w:rsidRDefault="00E94D86">
      <w:pPr>
        <w:spacing w:line="360" w:lineRule="auto"/>
        <w:ind w:right="-592"/>
        <w:rPr>
          <w:rFonts w:ascii="Palatino Linotype" w:eastAsia="Palatino Linotype" w:hAnsi="Palatino Linotype" w:cs="Palatino Linotype"/>
        </w:rPr>
      </w:pPr>
    </w:p>
    <w:p w:rsidR="00E94D86" w:rsidRPr="00E714CF" w:rsidRDefault="00E94D86">
      <w:pPr>
        <w:spacing w:line="360" w:lineRule="auto"/>
        <w:ind w:right="-592"/>
        <w:rPr>
          <w:rFonts w:ascii="Palatino Linotype" w:eastAsia="Palatino Linotype" w:hAnsi="Palatino Linotype" w:cs="Palatino Linotype"/>
        </w:rPr>
      </w:pPr>
    </w:p>
    <w:p w:rsidR="00E94D86" w:rsidRPr="00E714CF" w:rsidRDefault="00E94D86">
      <w:pPr>
        <w:spacing w:line="360" w:lineRule="auto"/>
        <w:ind w:right="-592"/>
        <w:rPr>
          <w:rFonts w:ascii="Palatino Linotype" w:eastAsia="Palatino Linotype" w:hAnsi="Palatino Linotype" w:cs="Palatino Linotype"/>
        </w:rPr>
      </w:pPr>
    </w:p>
    <w:p w:rsidR="00E94D86" w:rsidRPr="00E714CF" w:rsidRDefault="00E94D86">
      <w:pPr>
        <w:spacing w:line="360" w:lineRule="auto"/>
        <w:ind w:right="-592"/>
        <w:rPr>
          <w:rFonts w:ascii="Palatino Linotype" w:eastAsia="Palatino Linotype" w:hAnsi="Palatino Linotype" w:cs="Palatino Linotype"/>
        </w:rPr>
      </w:pPr>
    </w:p>
    <w:p w:rsidR="00E94D86" w:rsidRPr="00E714CF" w:rsidRDefault="00E94D86">
      <w:pPr>
        <w:spacing w:line="360" w:lineRule="auto"/>
        <w:ind w:right="-592"/>
        <w:rPr>
          <w:rFonts w:ascii="Palatino Linotype" w:eastAsia="Palatino Linotype" w:hAnsi="Palatino Linotype" w:cs="Palatino Linotype"/>
        </w:rPr>
      </w:pPr>
    </w:p>
    <w:p w:rsidR="00E94D86" w:rsidRPr="00E714CF" w:rsidRDefault="00E94D86">
      <w:pPr>
        <w:ind w:right="-592"/>
        <w:rPr>
          <w:rFonts w:ascii="Palatino Linotype" w:eastAsia="Palatino Linotype" w:hAnsi="Palatino Linotype" w:cs="Palatino Linotype"/>
        </w:rPr>
      </w:pPr>
    </w:p>
    <w:p w:rsidR="00647AFA" w:rsidRPr="00E714CF" w:rsidRDefault="00647AFA">
      <w:pPr>
        <w:ind w:right="-592"/>
        <w:rPr>
          <w:rFonts w:ascii="Palatino Linotype" w:eastAsia="Palatino Linotype" w:hAnsi="Palatino Linotype" w:cs="Palatino Linotype"/>
        </w:rPr>
      </w:pPr>
    </w:p>
    <w:p w:rsidR="001E3608" w:rsidRPr="00E714CF" w:rsidRDefault="001E3608">
      <w:pPr>
        <w:ind w:right="-592"/>
        <w:rPr>
          <w:rFonts w:ascii="Palatino Linotype" w:eastAsia="Palatino Linotype" w:hAnsi="Palatino Linotype" w:cs="Palatino Linotype"/>
        </w:rPr>
      </w:pPr>
    </w:p>
    <w:p w:rsidR="004D3DBB" w:rsidRPr="00E714CF" w:rsidRDefault="004D3DBB">
      <w:pPr>
        <w:ind w:right="-592"/>
        <w:rPr>
          <w:rFonts w:ascii="Palatino Linotype" w:eastAsia="Palatino Linotype" w:hAnsi="Palatino Linotype" w:cs="Palatino Linotype"/>
        </w:rPr>
      </w:pPr>
    </w:p>
    <w:sectPr w:rsidR="004D3DBB" w:rsidRPr="00E714CF">
      <w:headerReference w:type="even" r:id="rId12"/>
      <w:headerReference w:type="default" r:id="rId13"/>
      <w:footerReference w:type="default" r:id="rId14"/>
      <w:headerReference w:type="first" r:id="rId15"/>
      <w:footerReference w:type="first" r:id="rId16"/>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E90" w:rsidRDefault="00AF2E90">
      <w:r>
        <w:separator/>
      </w:r>
    </w:p>
  </w:endnote>
  <w:endnote w:type="continuationSeparator" w:id="0">
    <w:p w:rsidR="00AF2E90" w:rsidRDefault="00AF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0" w:rsidRDefault="008F19D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33E77">
      <w:rPr>
        <w:b/>
        <w:noProof/>
        <w:color w:val="000000"/>
      </w:rPr>
      <w:t>4</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33E77">
      <w:rPr>
        <w:b/>
        <w:noProof/>
        <w:color w:val="000000"/>
      </w:rPr>
      <w:t>31</w:t>
    </w:r>
    <w:r>
      <w:rPr>
        <w:b/>
        <w:color w:val="000000"/>
      </w:rPr>
      <w:fldChar w:fldCharType="end"/>
    </w:r>
  </w:p>
  <w:p w:rsidR="008F19D0" w:rsidRDefault="008F19D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0" w:rsidRDefault="008F19D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233E7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233E77">
      <w:rPr>
        <w:b/>
        <w:noProof/>
        <w:color w:val="000000"/>
      </w:rPr>
      <w:t>31</w:t>
    </w:r>
    <w:r>
      <w:rPr>
        <w:b/>
        <w:color w:val="000000"/>
      </w:rPr>
      <w:fldChar w:fldCharType="end"/>
    </w:r>
  </w:p>
  <w:p w:rsidR="008F19D0" w:rsidRDefault="008F19D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E90" w:rsidRDefault="00AF2E90">
      <w:r>
        <w:separator/>
      </w:r>
    </w:p>
  </w:footnote>
  <w:footnote w:type="continuationSeparator" w:id="0">
    <w:p w:rsidR="00AF2E90" w:rsidRDefault="00AF2E90">
      <w:r>
        <w:continuationSeparator/>
      </w:r>
    </w:p>
  </w:footnote>
  <w:footnote w:id="1">
    <w:p w:rsidR="008F19D0" w:rsidRDefault="008F19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8F19D0" w:rsidRDefault="008F19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8F19D0" w:rsidRDefault="008F19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8F19D0" w:rsidRDefault="008F19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0" w:rsidRDefault="00AF2E9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0" w:rsidRDefault="008F19D0">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8F19D0" w:rsidRPr="004401C8">
      <w:trPr>
        <w:trHeight w:val="1435"/>
      </w:trPr>
      <w:tc>
        <w:tcPr>
          <w:tcW w:w="2268" w:type="dxa"/>
          <w:shd w:val="clear" w:color="auto" w:fill="auto"/>
        </w:tcPr>
        <w:p w:rsidR="008F19D0" w:rsidRDefault="008F19D0">
          <w:pPr>
            <w:tabs>
              <w:tab w:val="right" w:pos="4273"/>
            </w:tabs>
            <w:rPr>
              <w:rFonts w:ascii="Garamond" w:eastAsia="Garamond" w:hAnsi="Garamond" w:cs="Garamond"/>
              <w:sz w:val="16"/>
              <w:szCs w:val="16"/>
            </w:rPr>
          </w:pPr>
        </w:p>
      </w:tc>
      <w:tc>
        <w:tcPr>
          <w:tcW w:w="6946" w:type="dxa"/>
          <w:shd w:val="clear" w:color="auto" w:fill="auto"/>
        </w:tcPr>
        <w:p w:rsidR="008F19D0" w:rsidRPr="004401C8" w:rsidRDefault="008F19D0"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8F19D0" w:rsidRPr="004401C8">
            <w:trPr>
              <w:trHeight w:val="150"/>
            </w:trPr>
            <w:tc>
              <w:tcPr>
                <w:tcW w:w="3377" w:type="dxa"/>
                <w:shd w:val="clear" w:color="auto" w:fill="auto"/>
              </w:tcPr>
              <w:p w:rsidR="008F19D0" w:rsidRPr="00F94D59" w:rsidRDefault="008F19D0" w:rsidP="004401C8">
                <w:pPr>
                  <w:tabs>
                    <w:tab w:val="right" w:pos="8838"/>
                  </w:tabs>
                  <w:ind w:left="850" w:right="-105"/>
                  <w:jc w:val="both"/>
                  <w:rPr>
                    <w:rFonts w:ascii="Palatino Linotype" w:eastAsia="Palatino Linotype" w:hAnsi="Palatino Linotype" w:cs="Palatino Linotype"/>
                    <w:b/>
                    <w:sz w:val="22"/>
                    <w:szCs w:val="22"/>
                  </w:rPr>
                </w:pPr>
                <w:r w:rsidRPr="00F94D59">
                  <w:rPr>
                    <w:rFonts w:ascii="Palatino Linotype" w:eastAsia="Palatino Linotype" w:hAnsi="Palatino Linotype" w:cs="Palatino Linotype"/>
                    <w:b/>
                    <w:sz w:val="22"/>
                    <w:szCs w:val="22"/>
                  </w:rPr>
                  <w:t>Recurso de Revisión:</w:t>
                </w:r>
              </w:p>
            </w:tc>
            <w:tc>
              <w:tcPr>
                <w:tcW w:w="3283" w:type="dxa"/>
                <w:shd w:val="clear" w:color="auto" w:fill="auto"/>
              </w:tcPr>
              <w:p w:rsidR="008F19D0" w:rsidRPr="00F94D59" w:rsidRDefault="008F19D0" w:rsidP="004401C8">
                <w:pPr>
                  <w:tabs>
                    <w:tab w:val="right" w:pos="8838"/>
                  </w:tabs>
                  <w:ind w:right="-781"/>
                  <w:jc w:val="both"/>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00373/INFOEM/IP/RR/2025</w:t>
                </w:r>
              </w:p>
            </w:tc>
          </w:tr>
          <w:tr w:rsidR="008F19D0" w:rsidRPr="004401C8">
            <w:trPr>
              <w:trHeight w:val="295"/>
            </w:trPr>
            <w:tc>
              <w:tcPr>
                <w:tcW w:w="3377" w:type="dxa"/>
                <w:shd w:val="clear" w:color="auto" w:fill="auto"/>
              </w:tcPr>
              <w:p w:rsidR="008F19D0" w:rsidRPr="00F94D59" w:rsidRDefault="008F19D0" w:rsidP="004401C8">
                <w:pPr>
                  <w:tabs>
                    <w:tab w:val="right" w:pos="8838"/>
                  </w:tabs>
                  <w:ind w:left="850" w:right="-105"/>
                  <w:jc w:val="both"/>
                  <w:rPr>
                    <w:rFonts w:ascii="Palatino Linotype" w:eastAsia="Palatino Linotype" w:hAnsi="Palatino Linotype" w:cs="Palatino Linotype"/>
                    <w:b/>
                    <w:sz w:val="22"/>
                    <w:szCs w:val="22"/>
                  </w:rPr>
                </w:pPr>
                <w:r w:rsidRPr="00F94D59">
                  <w:rPr>
                    <w:rFonts w:ascii="Palatino Linotype" w:eastAsia="Palatino Linotype" w:hAnsi="Palatino Linotype" w:cs="Palatino Linotype"/>
                    <w:b/>
                    <w:sz w:val="22"/>
                    <w:szCs w:val="22"/>
                  </w:rPr>
                  <w:t>Sujeto Obligado:</w:t>
                </w:r>
              </w:p>
            </w:tc>
            <w:tc>
              <w:tcPr>
                <w:tcW w:w="3283" w:type="dxa"/>
                <w:shd w:val="clear" w:color="auto" w:fill="auto"/>
              </w:tcPr>
              <w:p w:rsidR="00F94D59" w:rsidRDefault="008F19D0" w:rsidP="007E10E3">
                <w:pPr>
                  <w:tabs>
                    <w:tab w:val="left" w:pos="2834"/>
                    <w:tab w:val="right" w:pos="8838"/>
                  </w:tabs>
                  <w:ind w:right="-1552"/>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 xml:space="preserve">Sistema Municipal Para el </w:t>
                </w:r>
              </w:p>
              <w:p w:rsidR="00F94D59" w:rsidRDefault="008F19D0" w:rsidP="007E10E3">
                <w:pPr>
                  <w:tabs>
                    <w:tab w:val="left" w:pos="2834"/>
                    <w:tab w:val="right" w:pos="8838"/>
                  </w:tabs>
                  <w:ind w:right="-1552"/>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Desarrollo Integral de la Familia</w:t>
                </w:r>
              </w:p>
              <w:p w:rsidR="008F19D0" w:rsidRPr="00F94D59" w:rsidRDefault="008F19D0" w:rsidP="007E10E3">
                <w:pPr>
                  <w:tabs>
                    <w:tab w:val="left" w:pos="2834"/>
                    <w:tab w:val="right" w:pos="8838"/>
                  </w:tabs>
                  <w:ind w:right="-1552"/>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de Toluca</w:t>
                </w:r>
              </w:p>
            </w:tc>
          </w:tr>
          <w:tr w:rsidR="008F19D0" w:rsidRPr="004401C8">
            <w:trPr>
              <w:trHeight w:val="295"/>
            </w:trPr>
            <w:tc>
              <w:tcPr>
                <w:tcW w:w="3377" w:type="dxa"/>
                <w:shd w:val="clear" w:color="auto" w:fill="auto"/>
              </w:tcPr>
              <w:p w:rsidR="008F19D0" w:rsidRPr="00F94D59" w:rsidRDefault="008F19D0" w:rsidP="004401C8">
                <w:pPr>
                  <w:tabs>
                    <w:tab w:val="right" w:pos="8838"/>
                  </w:tabs>
                  <w:ind w:left="850" w:right="-105"/>
                  <w:jc w:val="both"/>
                  <w:rPr>
                    <w:rFonts w:ascii="Palatino Linotype" w:eastAsia="Palatino Linotype" w:hAnsi="Palatino Linotype" w:cs="Palatino Linotype"/>
                    <w:b/>
                    <w:sz w:val="22"/>
                    <w:szCs w:val="22"/>
                  </w:rPr>
                </w:pPr>
                <w:r w:rsidRPr="00F94D59">
                  <w:rPr>
                    <w:rFonts w:ascii="Palatino Linotype" w:eastAsia="Palatino Linotype" w:hAnsi="Palatino Linotype" w:cs="Palatino Linotype"/>
                    <w:b/>
                    <w:sz w:val="22"/>
                    <w:szCs w:val="22"/>
                  </w:rPr>
                  <w:t>Comisionada ponente:</w:t>
                </w:r>
              </w:p>
            </w:tc>
            <w:tc>
              <w:tcPr>
                <w:tcW w:w="3283" w:type="dxa"/>
                <w:shd w:val="clear" w:color="auto" w:fill="auto"/>
              </w:tcPr>
              <w:p w:rsidR="008F19D0" w:rsidRPr="00F94D59" w:rsidRDefault="008F19D0" w:rsidP="004401C8">
                <w:pPr>
                  <w:tabs>
                    <w:tab w:val="right" w:pos="8838"/>
                  </w:tabs>
                  <w:ind w:right="-781"/>
                  <w:jc w:val="both"/>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María del Rosario Mejía Ayala</w:t>
                </w:r>
              </w:p>
              <w:p w:rsidR="008F19D0" w:rsidRPr="00F94D59" w:rsidRDefault="008F19D0" w:rsidP="004401C8">
                <w:pPr>
                  <w:tabs>
                    <w:tab w:val="right" w:pos="8838"/>
                  </w:tabs>
                  <w:ind w:left="141" w:right="-781"/>
                  <w:jc w:val="both"/>
                  <w:rPr>
                    <w:rFonts w:ascii="Palatino Linotype" w:eastAsia="Palatino Linotype" w:hAnsi="Palatino Linotype" w:cs="Palatino Linotype"/>
                    <w:sz w:val="22"/>
                    <w:szCs w:val="22"/>
                  </w:rPr>
                </w:pPr>
              </w:p>
            </w:tc>
          </w:tr>
        </w:tbl>
        <w:p w:rsidR="008F19D0" w:rsidRPr="004401C8" w:rsidRDefault="008F19D0" w:rsidP="004401C8">
          <w:pPr>
            <w:tabs>
              <w:tab w:val="right" w:pos="8838"/>
            </w:tabs>
            <w:ind w:left="-28"/>
            <w:jc w:val="both"/>
            <w:rPr>
              <w:rFonts w:ascii="Arial" w:eastAsia="Arial" w:hAnsi="Arial" w:cs="Arial"/>
              <w:b/>
              <w:sz w:val="18"/>
              <w:szCs w:val="22"/>
            </w:rPr>
          </w:pPr>
        </w:p>
      </w:tc>
    </w:tr>
  </w:tbl>
  <w:p w:rsidR="008F19D0" w:rsidRDefault="00AF2E90">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9D0" w:rsidRDefault="008F19D0">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8F19D0">
      <w:trPr>
        <w:trHeight w:val="1435"/>
      </w:trPr>
      <w:tc>
        <w:tcPr>
          <w:tcW w:w="2265" w:type="dxa"/>
          <w:shd w:val="clear" w:color="auto" w:fill="auto"/>
        </w:tcPr>
        <w:p w:rsidR="008F19D0" w:rsidRDefault="008F19D0">
          <w:pPr>
            <w:tabs>
              <w:tab w:val="right" w:pos="4273"/>
            </w:tabs>
            <w:rPr>
              <w:rFonts w:ascii="Garamond" w:eastAsia="Garamond" w:hAnsi="Garamond" w:cs="Garamond"/>
              <w:sz w:val="22"/>
              <w:szCs w:val="22"/>
            </w:rPr>
          </w:pPr>
        </w:p>
      </w:tc>
      <w:tc>
        <w:tcPr>
          <w:tcW w:w="7800" w:type="dxa"/>
          <w:shd w:val="clear" w:color="auto" w:fill="auto"/>
        </w:tcPr>
        <w:p w:rsidR="008F19D0" w:rsidRDefault="008F19D0">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8F19D0">
            <w:trPr>
              <w:trHeight w:val="144"/>
            </w:trPr>
            <w:tc>
              <w:tcPr>
                <w:tcW w:w="2490" w:type="dxa"/>
                <w:shd w:val="clear" w:color="auto" w:fill="auto"/>
              </w:tcPr>
              <w:p w:rsidR="008F19D0" w:rsidRPr="00F94D59" w:rsidRDefault="008F19D0" w:rsidP="004401C8">
                <w:pPr>
                  <w:tabs>
                    <w:tab w:val="right" w:pos="8838"/>
                  </w:tabs>
                  <w:ind w:left="-264" w:right="-105" w:firstLine="195"/>
                  <w:rPr>
                    <w:rFonts w:ascii="Palatino Linotype" w:eastAsia="Palatino Linotype" w:hAnsi="Palatino Linotype" w:cs="Palatino Linotype"/>
                    <w:b/>
                    <w:sz w:val="22"/>
                    <w:szCs w:val="22"/>
                  </w:rPr>
                </w:pPr>
                <w:r w:rsidRPr="00F94D59">
                  <w:rPr>
                    <w:rFonts w:ascii="Palatino Linotype" w:eastAsia="Palatino Linotype" w:hAnsi="Palatino Linotype" w:cs="Palatino Linotype"/>
                    <w:b/>
                    <w:sz w:val="22"/>
                    <w:szCs w:val="22"/>
                  </w:rPr>
                  <w:t>Recurso de Revisión:</w:t>
                </w:r>
              </w:p>
            </w:tc>
            <w:tc>
              <w:tcPr>
                <w:tcW w:w="4920" w:type="dxa"/>
                <w:shd w:val="clear" w:color="auto" w:fill="auto"/>
              </w:tcPr>
              <w:p w:rsidR="008F19D0" w:rsidRPr="00F94D59" w:rsidRDefault="008F19D0" w:rsidP="003A1F84">
                <w:pPr>
                  <w:tabs>
                    <w:tab w:val="right" w:pos="8838"/>
                  </w:tabs>
                  <w:ind w:right="-1552"/>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00373/INFOEM/IP/RR/2025</w:t>
                </w:r>
              </w:p>
            </w:tc>
          </w:tr>
          <w:tr w:rsidR="008F19D0">
            <w:trPr>
              <w:trHeight w:val="144"/>
            </w:trPr>
            <w:tc>
              <w:tcPr>
                <w:tcW w:w="2490" w:type="dxa"/>
                <w:shd w:val="clear" w:color="auto" w:fill="auto"/>
              </w:tcPr>
              <w:p w:rsidR="008F19D0" w:rsidRPr="00F94D59" w:rsidRDefault="008F19D0" w:rsidP="004401C8">
                <w:pPr>
                  <w:tabs>
                    <w:tab w:val="right" w:pos="8838"/>
                  </w:tabs>
                  <w:ind w:left="-74" w:right="-105"/>
                  <w:rPr>
                    <w:rFonts w:ascii="Palatino Linotype" w:eastAsia="Palatino Linotype" w:hAnsi="Palatino Linotype" w:cs="Palatino Linotype"/>
                    <w:b/>
                    <w:sz w:val="22"/>
                    <w:szCs w:val="22"/>
                  </w:rPr>
                </w:pPr>
                <w:r w:rsidRPr="00F94D59">
                  <w:rPr>
                    <w:rFonts w:ascii="Palatino Linotype" w:eastAsia="Palatino Linotype" w:hAnsi="Palatino Linotype" w:cs="Palatino Linotype"/>
                    <w:b/>
                    <w:sz w:val="22"/>
                    <w:szCs w:val="22"/>
                  </w:rPr>
                  <w:t>Recurrente:</w:t>
                </w:r>
              </w:p>
            </w:tc>
            <w:tc>
              <w:tcPr>
                <w:tcW w:w="4920" w:type="dxa"/>
                <w:shd w:val="clear" w:color="auto" w:fill="auto"/>
              </w:tcPr>
              <w:p w:rsidR="008F19D0" w:rsidRPr="00F94D59" w:rsidRDefault="00233E77" w:rsidP="004401C8">
                <w:pPr>
                  <w:tabs>
                    <w:tab w:val="left" w:pos="3122"/>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r w:rsidR="008F19D0" w:rsidRPr="00F94D59">
                  <w:rPr>
                    <w:rFonts w:ascii="Palatino Linotype" w:eastAsia="Palatino Linotype" w:hAnsi="Palatino Linotype" w:cs="Palatino Linotype"/>
                    <w:sz w:val="22"/>
                    <w:szCs w:val="22"/>
                  </w:rPr>
                  <w:t xml:space="preserve">  </w:t>
                </w:r>
              </w:p>
            </w:tc>
          </w:tr>
          <w:tr w:rsidR="008F19D0" w:rsidTr="004401C8">
            <w:trPr>
              <w:trHeight w:val="80"/>
            </w:trPr>
            <w:tc>
              <w:tcPr>
                <w:tcW w:w="2490" w:type="dxa"/>
                <w:shd w:val="clear" w:color="auto" w:fill="auto"/>
              </w:tcPr>
              <w:p w:rsidR="008F19D0" w:rsidRPr="00F94D59" w:rsidRDefault="008F19D0" w:rsidP="004401C8">
                <w:pPr>
                  <w:tabs>
                    <w:tab w:val="right" w:pos="8838"/>
                  </w:tabs>
                  <w:ind w:left="-74" w:right="-105"/>
                  <w:rPr>
                    <w:rFonts w:ascii="Palatino Linotype" w:eastAsia="Palatino Linotype" w:hAnsi="Palatino Linotype" w:cs="Palatino Linotype"/>
                    <w:b/>
                    <w:sz w:val="22"/>
                    <w:szCs w:val="22"/>
                  </w:rPr>
                </w:pPr>
                <w:r w:rsidRPr="00F94D59">
                  <w:rPr>
                    <w:rFonts w:ascii="Palatino Linotype" w:eastAsia="Palatino Linotype" w:hAnsi="Palatino Linotype" w:cs="Palatino Linotype"/>
                    <w:b/>
                    <w:sz w:val="22"/>
                    <w:szCs w:val="22"/>
                  </w:rPr>
                  <w:t>Sujeto Obligado:</w:t>
                </w:r>
              </w:p>
            </w:tc>
            <w:tc>
              <w:tcPr>
                <w:tcW w:w="4920" w:type="dxa"/>
                <w:shd w:val="clear" w:color="auto" w:fill="auto"/>
              </w:tcPr>
              <w:p w:rsidR="00F94D59" w:rsidRDefault="008F19D0" w:rsidP="00B82092">
                <w:pPr>
                  <w:tabs>
                    <w:tab w:val="left" w:pos="2834"/>
                    <w:tab w:val="right" w:pos="8838"/>
                  </w:tabs>
                  <w:ind w:right="-1552"/>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 xml:space="preserve">Sistema Municipal Para el Desarrollo Integral </w:t>
                </w:r>
              </w:p>
              <w:p w:rsidR="008F19D0" w:rsidRPr="00F94D59" w:rsidRDefault="008F19D0" w:rsidP="00B82092">
                <w:pPr>
                  <w:tabs>
                    <w:tab w:val="left" w:pos="2834"/>
                    <w:tab w:val="right" w:pos="8838"/>
                  </w:tabs>
                  <w:ind w:right="-1552"/>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de la Familia</w:t>
                </w:r>
                <w:r w:rsidR="00F94D59">
                  <w:rPr>
                    <w:rFonts w:ascii="Palatino Linotype" w:eastAsia="Palatino Linotype" w:hAnsi="Palatino Linotype" w:cs="Palatino Linotype"/>
                    <w:sz w:val="22"/>
                    <w:szCs w:val="22"/>
                  </w:rPr>
                  <w:t xml:space="preserve"> </w:t>
                </w:r>
                <w:r w:rsidRPr="00F94D59">
                  <w:rPr>
                    <w:rFonts w:ascii="Palatino Linotype" w:eastAsia="Palatino Linotype" w:hAnsi="Palatino Linotype" w:cs="Palatino Linotype"/>
                    <w:sz w:val="22"/>
                    <w:szCs w:val="22"/>
                  </w:rPr>
                  <w:t>de Toluca</w:t>
                </w:r>
              </w:p>
            </w:tc>
          </w:tr>
          <w:tr w:rsidR="008F19D0">
            <w:trPr>
              <w:trHeight w:val="283"/>
            </w:trPr>
            <w:tc>
              <w:tcPr>
                <w:tcW w:w="2490" w:type="dxa"/>
                <w:shd w:val="clear" w:color="auto" w:fill="auto"/>
              </w:tcPr>
              <w:p w:rsidR="008F19D0" w:rsidRPr="00F94D59" w:rsidRDefault="008F19D0" w:rsidP="004401C8">
                <w:pPr>
                  <w:tabs>
                    <w:tab w:val="right" w:pos="8838"/>
                  </w:tabs>
                  <w:ind w:right="-105"/>
                  <w:rPr>
                    <w:rFonts w:ascii="Palatino Linotype" w:eastAsia="Palatino Linotype" w:hAnsi="Palatino Linotype" w:cs="Palatino Linotype"/>
                    <w:b/>
                    <w:sz w:val="22"/>
                    <w:szCs w:val="22"/>
                  </w:rPr>
                </w:pPr>
                <w:r w:rsidRPr="00F94D59">
                  <w:rPr>
                    <w:rFonts w:ascii="Palatino Linotype" w:eastAsia="Palatino Linotype" w:hAnsi="Palatino Linotype" w:cs="Palatino Linotype"/>
                    <w:b/>
                    <w:sz w:val="22"/>
                    <w:szCs w:val="22"/>
                  </w:rPr>
                  <w:t>Comisionada ponente:</w:t>
                </w:r>
              </w:p>
            </w:tc>
            <w:tc>
              <w:tcPr>
                <w:tcW w:w="4920" w:type="dxa"/>
                <w:shd w:val="clear" w:color="auto" w:fill="auto"/>
              </w:tcPr>
              <w:p w:rsidR="008F19D0" w:rsidRPr="00F94D59" w:rsidRDefault="008F19D0" w:rsidP="004401C8">
                <w:pPr>
                  <w:tabs>
                    <w:tab w:val="right" w:pos="8838"/>
                  </w:tabs>
                  <w:ind w:right="-1552"/>
                  <w:rPr>
                    <w:rFonts w:ascii="Palatino Linotype" w:eastAsia="Palatino Linotype" w:hAnsi="Palatino Linotype" w:cs="Palatino Linotype"/>
                    <w:sz w:val="22"/>
                    <w:szCs w:val="22"/>
                  </w:rPr>
                </w:pPr>
                <w:r w:rsidRPr="00F94D59">
                  <w:rPr>
                    <w:rFonts w:ascii="Palatino Linotype" w:eastAsia="Palatino Linotype" w:hAnsi="Palatino Linotype" w:cs="Palatino Linotype"/>
                    <w:sz w:val="22"/>
                    <w:szCs w:val="22"/>
                  </w:rPr>
                  <w:t>María del Rosario Mejía Ayala</w:t>
                </w:r>
              </w:p>
              <w:p w:rsidR="008F19D0" w:rsidRPr="00F94D59" w:rsidRDefault="008F19D0" w:rsidP="004401C8">
                <w:pPr>
                  <w:tabs>
                    <w:tab w:val="right" w:pos="8838"/>
                  </w:tabs>
                  <w:ind w:right="-1552"/>
                  <w:rPr>
                    <w:rFonts w:ascii="Palatino Linotype" w:eastAsia="Palatino Linotype" w:hAnsi="Palatino Linotype" w:cs="Palatino Linotype"/>
                    <w:sz w:val="22"/>
                    <w:szCs w:val="22"/>
                  </w:rPr>
                </w:pPr>
              </w:p>
            </w:tc>
          </w:tr>
        </w:tbl>
        <w:p w:rsidR="008F19D0" w:rsidRDefault="008F19D0">
          <w:pPr>
            <w:tabs>
              <w:tab w:val="right" w:pos="8838"/>
            </w:tabs>
            <w:ind w:left="-28"/>
            <w:jc w:val="both"/>
            <w:rPr>
              <w:rFonts w:ascii="Arial" w:eastAsia="Arial" w:hAnsi="Arial" w:cs="Arial"/>
              <w:b/>
              <w:sz w:val="22"/>
              <w:szCs w:val="22"/>
            </w:rPr>
          </w:pPr>
        </w:p>
      </w:tc>
    </w:tr>
  </w:tbl>
  <w:p w:rsidR="008F19D0" w:rsidRDefault="00AF2E90">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68E"/>
    <w:multiLevelType w:val="hybridMultilevel"/>
    <w:tmpl w:val="4EF463E4"/>
    <w:lvl w:ilvl="0" w:tplc="E2BE5898">
      <w:start w:val="1"/>
      <w:numFmt w:val="lowerLetter"/>
      <w:lvlText w:val="%1)"/>
      <w:lvlJc w:val="left"/>
      <w:pPr>
        <w:ind w:left="1069" w:hanging="360"/>
      </w:pPr>
      <w:rPr>
        <w:rFonts w:hint="default"/>
      </w:rPr>
    </w:lvl>
    <w:lvl w:ilvl="1" w:tplc="DB1C5A80">
      <w:start w:val="1"/>
      <w:numFmt w:val="lowerLetter"/>
      <w:lvlText w:val="%2)"/>
      <w:lvlJc w:val="left"/>
      <w:pPr>
        <w:ind w:left="1789" w:hanging="360"/>
      </w:pPr>
      <w:rPr>
        <w:rFonts w:eastAsia="Calibri" w:hint="default"/>
        <w:i w:val="0"/>
        <w:u w:val="none"/>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39176D"/>
    <w:multiLevelType w:val="hybridMultilevel"/>
    <w:tmpl w:val="D3CCC1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B47A2F"/>
    <w:multiLevelType w:val="hybridMultilevel"/>
    <w:tmpl w:val="3B882C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F40F66"/>
    <w:multiLevelType w:val="hybridMultilevel"/>
    <w:tmpl w:val="E460E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0B7BEC"/>
    <w:multiLevelType w:val="hybridMultilevel"/>
    <w:tmpl w:val="AA7E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38797A"/>
    <w:multiLevelType w:val="hybridMultilevel"/>
    <w:tmpl w:val="3F680A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692663"/>
    <w:multiLevelType w:val="multilevel"/>
    <w:tmpl w:val="BBB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9"/>
  </w:num>
  <w:num w:numId="3">
    <w:abstractNumId w:val="8"/>
  </w:num>
  <w:num w:numId="4">
    <w:abstractNumId w:val="15"/>
  </w:num>
  <w:num w:numId="5">
    <w:abstractNumId w:val="5"/>
  </w:num>
  <w:num w:numId="6">
    <w:abstractNumId w:val="28"/>
  </w:num>
  <w:num w:numId="7">
    <w:abstractNumId w:val="20"/>
  </w:num>
  <w:num w:numId="8">
    <w:abstractNumId w:val="17"/>
  </w:num>
  <w:num w:numId="9">
    <w:abstractNumId w:val="16"/>
  </w:num>
  <w:num w:numId="10">
    <w:abstractNumId w:val="7"/>
  </w:num>
  <w:num w:numId="11">
    <w:abstractNumId w:val="1"/>
  </w:num>
  <w:num w:numId="12">
    <w:abstractNumId w:val="22"/>
  </w:num>
  <w:num w:numId="13">
    <w:abstractNumId w:val="6"/>
  </w:num>
  <w:num w:numId="14">
    <w:abstractNumId w:val="3"/>
  </w:num>
  <w:num w:numId="15">
    <w:abstractNumId w:val="11"/>
  </w:num>
  <w:num w:numId="16">
    <w:abstractNumId w:val="18"/>
  </w:num>
  <w:num w:numId="17">
    <w:abstractNumId w:val="19"/>
  </w:num>
  <w:num w:numId="18">
    <w:abstractNumId w:val="10"/>
  </w:num>
  <w:num w:numId="19">
    <w:abstractNumId w:val="9"/>
  </w:num>
  <w:num w:numId="20">
    <w:abstractNumId w:val="12"/>
  </w:num>
  <w:num w:numId="21">
    <w:abstractNumId w:val="23"/>
  </w:num>
  <w:num w:numId="22">
    <w:abstractNumId w:val="13"/>
  </w:num>
  <w:num w:numId="23">
    <w:abstractNumId w:val="24"/>
  </w:num>
  <w:num w:numId="24">
    <w:abstractNumId w:val="21"/>
  </w:num>
  <w:num w:numId="25">
    <w:abstractNumId w:val="4"/>
  </w:num>
  <w:num w:numId="26">
    <w:abstractNumId w:val="26"/>
  </w:num>
  <w:num w:numId="27">
    <w:abstractNumId w:val="14"/>
  </w:num>
  <w:num w:numId="28">
    <w:abstractNumId w:val="0"/>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031F7"/>
    <w:rsid w:val="00021087"/>
    <w:rsid w:val="00042FAE"/>
    <w:rsid w:val="00055A1A"/>
    <w:rsid w:val="00060AE6"/>
    <w:rsid w:val="00071244"/>
    <w:rsid w:val="000727EE"/>
    <w:rsid w:val="00073512"/>
    <w:rsid w:val="000A31EF"/>
    <w:rsid w:val="000A6B82"/>
    <w:rsid w:val="000C0976"/>
    <w:rsid w:val="000D2F8D"/>
    <w:rsid w:val="00105645"/>
    <w:rsid w:val="00111B6F"/>
    <w:rsid w:val="00111C7B"/>
    <w:rsid w:val="00125384"/>
    <w:rsid w:val="00143950"/>
    <w:rsid w:val="00145D84"/>
    <w:rsid w:val="00154636"/>
    <w:rsid w:val="001E3125"/>
    <w:rsid w:val="001E3608"/>
    <w:rsid w:val="002109F9"/>
    <w:rsid w:val="00233E77"/>
    <w:rsid w:val="00244DA9"/>
    <w:rsid w:val="00246FC0"/>
    <w:rsid w:val="00251F21"/>
    <w:rsid w:val="00252980"/>
    <w:rsid w:val="002748F7"/>
    <w:rsid w:val="002B0131"/>
    <w:rsid w:val="002C3B1F"/>
    <w:rsid w:val="002C7271"/>
    <w:rsid w:val="00302FE8"/>
    <w:rsid w:val="00305C25"/>
    <w:rsid w:val="00311547"/>
    <w:rsid w:val="00327CB5"/>
    <w:rsid w:val="00327D76"/>
    <w:rsid w:val="0033488B"/>
    <w:rsid w:val="00350878"/>
    <w:rsid w:val="00364F0E"/>
    <w:rsid w:val="003843C2"/>
    <w:rsid w:val="00394FBB"/>
    <w:rsid w:val="003A1F84"/>
    <w:rsid w:val="003D39FD"/>
    <w:rsid w:val="00415A07"/>
    <w:rsid w:val="0042456D"/>
    <w:rsid w:val="004401C8"/>
    <w:rsid w:val="004512E5"/>
    <w:rsid w:val="00475288"/>
    <w:rsid w:val="004A46E4"/>
    <w:rsid w:val="004C53D4"/>
    <w:rsid w:val="004D20C3"/>
    <w:rsid w:val="004D3DBB"/>
    <w:rsid w:val="004D4CAA"/>
    <w:rsid w:val="004E66BD"/>
    <w:rsid w:val="004E7B76"/>
    <w:rsid w:val="004F5574"/>
    <w:rsid w:val="00503E63"/>
    <w:rsid w:val="0051644E"/>
    <w:rsid w:val="00550B75"/>
    <w:rsid w:val="005626F4"/>
    <w:rsid w:val="00571F2A"/>
    <w:rsid w:val="00600A77"/>
    <w:rsid w:val="00613DF7"/>
    <w:rsid w:val="00647AFA"/>
    <w:rsid w:val="00651426"/>
    <w:rsid w:val="00663C8A"/>
    <w:rsid w:val="0066562E"/>
    <w:rsid w:val="006769AF"/>
    <w:rsid w:val="006800B9"/>
    <w:rsid w:val="00681958"/>
    <w:rsid w:val="006936C0"/>
    <w:rsid w:val="006977DF"/>
    <w:rsid w:val="006A11BF"/>
    <w:rsid w:val="006B7FF0"/>
    <w:rsid w:val="006E5F99"/>
    <w:rsid w:val="00702785"/>
    <w:rsid w:val="007322F6"/>
    <w:rsid w:val="00735470"/>
    <w:rsid w:val="0075718F"/>
    <w:rsid w:val="007B4642"/>
    <w:rsid w:val="007E10E3"/>
    <w:rsid w:val="007E714E"/>
    <w:rsid w:val="00827BFE"/>
    <w:rsid w:val="00831332"/>
    <w:rsid w:val="00850EB3"/>
    <w:rsid w:val="00860381"/>
    <w:rsid w:val="008A4128"/>
    <w:rsid w:val="008A7695"/>
    <w:rsid w:val="008B2665"/>
    <w:rsid w:val="008B68CE"/>
    <w:rsid w:val="008D5425"/>
    <w:rsid w:val="008D6B9E"/>
    <w:rsid w:val="008E27B3"/>
    <w:rsid w:val="008F19D0"/>
    <w:rsid w:val="008F4CCE"/>
    <w:rsid w:val="008F68AC"/>
    <w:rsid w:val="009060A0"/>
    <w:rsid w:val="0090631B"/>
    <w:rsid w:val="009144F5"/>
    <w:rsid w:val="00920211"/>
    <w:rsid w:val="0094243F"/>
    <w:rsid w:val="00956C4F"/>
    <w:rsid w:val="009669CB"/>
    <w:rsid w:val="009A021C"/>
    <w:rsid w:val="009B7760"/>
    <w:rsid w:val="009C5E65"/>
    <w:rsid w:val="00A20D8F"/>
    <w:rsid w:val="00A277C4"/>
    <w:rsid w:val="00A42556"/>
    <w:rsid w:val="00A54ACB"/>
    <w:rsid w:val="00A64061"/>
    <w:rsid w:val="00A807B4"/>
    <w:rsid w:val="00A83CED"/>
    <w:rsid w:val="00AA0813"/>
    <w:rsid w:val="00AA23EF"/>
    <w:rsid w:val="00AA6962"/>
    <w:rsid w:val="00AB686B"/>
    <w:rsid w:val="00AC179D"/>
    <w:rsid w:val="00AC67F7"/>
    <w:rsid w:val="00AE262A"/>
    <w:rsid w:val="00AF2038"/>
    <w:rsid w:val="00AF2A58"/>
    <w:rsid w:val="00AF2E90"/>
    <w:rsid w:val="00B06C82"/>
    <w:rsid w:val="00B81ACA"/>
    <w:rsid w:val="00B82092"/>
    <w:rsid w:val="00BA4312"/>
    <w:rsid w:val="00BD000C"/>
    <w:rsid w:val="00BE4003"/>
    <w:rsid w:val="00BF3FE3"/>
    <w:rsid w:val="00C07A2E"/>
    <w:rsid w:val="00C61F17"/>
    <w:rsid w:val="00C806D4"/>
    <w:rsid w:val="00C82ED1"/>
    <w:rsid w:val="00CB3083"/>
    <w:rsid w:val="00CB6ECF"/>
    <w:rsid w:val="00CE6D4F"/>
    <w:rsid w:val="00D063C3"/>
    <w:rsid w:val="00D40DC2"/>
    <w:rsid w:val="00D647DF"/>
    <w:rsid w:val="00D77678"/>
    <w:rsid w:val="00D840B8"/>
    <w:rsid w:val="00D84840"/>
    <w:rsid w:val="00D857BB"/>
    <w:rsid w:val="00DD209C"/>
    <w:rsid w:val="00E17201"/>
    <w:rsid w:val="00E61883"/>
    <w:rsid w:val="00E714CF"/>
    <w:rsid w:val="00E84299"/>
    <w:rsid w:val="00E94D86"/>
    <w:rsid w:val="00E94DFC"/>
    <w:rsid w:val="00EA1AB7"/>
    <w:rsid w:val="00EE7DC4"/>
    <w:rsid w:val="00F10800"/>
    <w:rsid w:val="00F32383"/>
    <w:rsid w:val="00F46C8E"/>
    <w:rsid w:val="00F5723F"/>
    <w:rsid w:val="00F703A3"/>
    <w:rsid w:val="00F94D59"/>
    <w:rsid w:val="00FA59C9"/>
    <w:rsid w:val="00FC50EC"/>
    <w:rsid w:val="00FC7F8F"/>
    <w:rsid w:val="00FD0C3F"/>
    <w:rsid w:val="00FD12F2"/>
    <w:rsid w:val="00FD2459"/>
    <w:rsid w:val="00FE0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customStyle="1" w:styleId="m5907675151158779931gmail-msolistparagraph">
    <w:name w:val="m_5907675151158779931gmail-msolistparagraph"/>
    <w:basedOn w:val="Normal"/>
    <w:rsid w:val="00F32383"/>
    <w:pPr>
      <w:spacing w:before="100" w:beforeAutospacing="1" w:after="100" w:afterAutospacing="1"/>
    </w:pPr>
  </w:style>
  <w:style w:type="paragraph" w:styleId="Textoindependiente">
    <w:name w:val="Body Text"/>
    <w:basedOn w:val="Normal"/>
    <w:link w:val="TextoindependienteCar"/>
    <w:rsid w:val="00FD0C3F"/>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FD0C3F"/>
    <w:rPr>
      <w:rFonts w:ascii="Arial" w:hAnsi="Arial"/>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241863263">
      <w:bodyDiv w:val="1"/>
      <w:marLeft w:val="0"/>
      <w:marRight w:val="0"/>
      <w:marTop w:val="0"/>
      <w:marBottom w:val="0"/>
      <w:divBdr>
        <w:top w:val="none" w:sz="0" w:space="0" w:color="auto"/>
        <w:left w:val="none" w:sz="0" w:space="0" w:color="auto"/>
        <w:bottom w:val="none" w:sz="0" w:space="0" w:color="auto"/>
        <w:right w:val="none" w:sz="0" w:space="0" w:color="auto"/>
      </w:divBdr>
    </w:div>
    <w:div w:id="1564558815">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 w:id="198904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26946.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326947.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7433</Words>
  <Characters>40882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Cuenta Microsoft</cp:lastModifiedBy>
  <cp:revision>10</cp:revision>
  <cp:lastPrinted>2025-03-27T16:17:00Z</cp:lastPrinted>
  <dcterms:created xsi:type="dcterms:W3CDTF">2025-03-24T20:40:00Z</dcterms:created>
  <dcterms:modified xsi:type="dcterms:W3CDTF">2025-04-01T23:36:00Z</dcterms:modified>
</cp:coreProperties>
</file>