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0F5CB"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6F6879" w:rsidRPr="004E7A2E">
        <w:rPr>
          <w:rFonts w:ascii="Palatino Linotype" w:eastAsia="Palatino Linotype" w:hAnsi="Palatino Linotype" w:cs="Palatino Linotype"/>
          <w:sz w:val="22"/>
          <w:szCs w:val="22"/>
        </w:rPr>
        <w:t>cuatro de junio</w:t>
      </w:r>
      <w:r w:rsidRPr="004E7A2E">
        <w:rPr>
          <w:rFonts w:ascii="Palatino Linotype" w:eastAsia="Palatino Linotype" w:hAnsi="Palatino Linotype" w:cs="Palatino Linotype"/>
          <w:sz w:val="22"/>
          <w:szCs w:val="22"/>
        </w:rPr>
        <w:t xml:space="preserve"> de dos mil veinticinco. </w:t>
      </w:r>
    </w:p>
    <w:p w14:paraId="34626382"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3D904852" w14:textId="77777777" w:rsidR="000B1642" w:rsidRPr="004E7A2E" w:rsidRDefault="009F5022">
      <w:pPr>
        <w:spacing w:line="360" w:lineRule="auto"/>
        <w:jc w:val="both"/>
        <w:rPr>
          <w:rFonts w:ascii="Palatino Linotype" w:eastAsia="Palatino Linotype" w:hAnsi="Palatino Linotype" w:cs="Palatino Linotype"/>
          <w:b/>
          <w:sz w:val="22"/>
          <w:szCs w:val="22"/>
        </w:rPr>
      </w:pPr>
      <w:r w:rsidRPr="004E7A2E">
        <w:rPr>
          <w:rFonts w:ascii="Palatino Linotype" w:eastAsia="Palatino Linotype" w:hAnsi="Palatino Linotype" w:cs="Palatino Linotype"/>
          <w:b/>
          <w:sz w:val="22"/>
          <w:szCs w:val="22"/>
        </w:rPr>
        <w:t>Visto</w:t>
      </w:r>
      <w:r w:rsidRPr="004E7A2E">
        <w:rPr>
          <w:rFonts w:ascii="Palatino Linotype" w:eastAsia="Palatino Linotype" w:hAnsi="Palatino Linotype" w:cs="Palatino Linotype"/>
          <w:sz w:val="22"/>
          <w:szCs w:val="22"/>
        </w:rPr>
        <w:t xml:space="preserve"> el expediente relativo al recurso de revisión </w:t>
      </w:r>
      <w:r w:rsidRPr="004E7A2E">
        <w:rPr>
          <w:rFonts w:ascii="Palatino Linotype" w:eastAsia="Palatino Linotype" w:hAnsi="Palatino Linotype" w:cs="Palatino Linotype"/>
          <w:b/>
          <w:sz w:val="22"/>
          <w:szCs w:val="22"/>
        </w:rPr>
        <w:t>03004/INFOEM/IP/RR/2025</w:t>
      </w:r>
      <w:r w:rsidRPr="004E7A2E">
        <w:rPr>
          <w:rFonts w:ascii="Palatino Linotype" w:eastAsia="Palatino Linotype" w:hAnsi="Palatino Linotype" w:cs="Palatino Linotype"/>
          <w:sz w:val="22"/>
          <w:szCs w:val="22"/>
        </w:rPr>
        <w:t xml:space="preserve">, interpuesto por </w:t>
      </w:r>
      <w:r w:rsidRPr="004E7A2E">
        <w:rPr>
          <w:rFonts w:ascii="Palatino Linotype" w:eastAsia="Palatino Linotype" w:hAnsi="Palatino Linotype" w:cs="Palatino Linotype"/>
          <w:b/>
          <w:sz w:val="22"/>
          <w:szCs w:val="22"/>
        </w:rPr>
        <w:t xml:space="preserve">un particular que no proporcionó nombre o seudónimo para ser identificado, </w:t>
      </w:r>
      <w:r w:rsidRPr="004E7A2E">
        <w:rPr>
          <w:rFonts w:ascii="Palatino Linotype" w:eastAsia="Palatino Linotype" w:hAnsi="Palatino Linotype" w:cs="Palatino Linotype"/>
          <w:sz w:val="22"/>
          <w:szCs w:val="22"/>
        </w:rPr>
        <w:t>en lo sucesivo se le denominará la parte</w:t>
      </w:r>
      <w:r w:rsidRPr="004E7A2E">
        <w:rPr>
          <w:rFonts w:ascii="Palatino Linotype" w:eastAsia="Palatino Linotype" w:hAnsi="Palatino Linotype" w:cs="Palatino Linotype"/>
          <w:b/>
          <w:sz w:val="22"/>
          <w:szCs w:val="22"/>
        </w:rPr>
        <w:t xml:space="preserve"> Recurrente</w:t>
      </w:r>
      <w:r w:rsidRPr="004E7A2E">
        <w:rPr>
          <w:rFonts w:ascii="Palatino Linotype" w:eastAsia="Palatino Linotype" w:hAnsi="Palatino Linotype" w:cs="Palatino Linotype"/>
          <w:sz w:val="22"/>
          <w:szCs w:val="22"/>
        </w:rPr>
        <w:t>, en contra de la respuesta a su solicitud de información con número de folio</w:t>
      </w:r>
      <w:r w:rsidRPr="004E7A2E">
        <w:rPr>
          <w:rFonts w:ascii="Palatino Linotype" w:eastAsia="Palatino Linotype" w:hAnsi="Palatino Linotype" w:cs="Palatino Linotype"/>
          <w:b/>
          <w:sz w:val="22"/>
          <w:szCs w:val="22"/>
        </w:rPr>
        <w:t xml:space="preserve"> 01049/TOLUCA/IP/2025</w:t>
      </w:r>
      <w:r w:rsidRPr="004E7A2E">
        <w:rPr>
          <w:rFonts w:ascii="Palatino Linotype" w:eastAsia="Palatino Linotype" w:hAnsi="Palatino Linotype" w:cs="Palatino Linotype"/>
          <w:sz w:val="22"/>
          <w:szCs w:val="22"/>
        </w:rPr>
        <w:t xml:space="preserve">, por parte del </w:t>
      </w:r>
      <w:r w:rsidRPr="004E7A2E">
        <w:rPr>
          <w:rFonts w:ascii="Palatino Linotype" w:eastAsia="Palatino Linotype" w:hAnsi="Palatino Linotype" w:cs="Palatino Linotype"/>
          <w:b/>
          <w:sz w:val="22"/>
          <w:szCs w:val="22"/>
        </w:rPr>
        <w:t xml:space="preserve">Ayuntamiento de Toluca </w:t>
      </w:r>
      <w:r w:rsidRPr="004E7A2E">
        <w:rPr>
          <w:rFonts w:ascii="Palatino Linotype" w:eastAsia="Palatino Linotype" w:hAnsi="Palatino Linotype" w:cs="Palatino Linotype"/>
          <w:sz w:val="22"/>
          <w:szCs w:val="22"/>
        </w:rPr>
        <w:t xml:space="preserve">en lo sucesivo 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w:t>
      </w:r>
      <w:r w:rsidRPr="004E7A2E">
        <w:rPr>
          <w:rFonts w:ascii="Palatino Linotype" w:eastAsia="Palatino Linotype" w:hAnsi="Palatino Linotype" w:cs="Palatino Linotype"/>
          <w:b/>
          <w:sz w:val="22"/>
          <w:szCs w:val="22"/>
        </w:rPr>
        <w:t xml:space="preserve"> </w:t>
      </w:r>
      <w:r w:rsidRPr="004E7A2E">
        <w:rPr>
          <w:rFonts w:ascii="Palatino Linotype" w:eastAsia="Palatino Linotype" w:hAnsi="Palatino Linotype" w:cs="Palatino Linotype"/>
          <w:sz w:val="22"/>
          <w:szCs w:val="22"/>
        </w:rPr>
        <w:t xml:space="preserve">se procede a dictar la presente resolución, con base en los siguientes: </w:t>
      </w:r>
    </w:p>
    <w:p w14:paraId="63334050" w14:textId="77777777" w:rsidR="000B1642" w:rsidRPr="004E7A2E" w:rsidRDefault="009F5022">
      <w:pPr>
        <w:numPr>
          <w:ilvl w:val="0"/>
          <w:numId w:val="4"/>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4E7A2E">
        <w:rPr>
          <w:rFonts w:ascii="Palatino Linotype" w:eastAsia="Palatino Linotype" w:hAnsi="Palatino Linotype" w:cs="Palatino Linotype"/>
          <w:b/>
          <w:sz w:val="22"/>
          <w:szCs w:val="22"/>
        </w:rPr>
        <w:t>A N T E C E D E N T E S:</w:t>
      </w:r>
    </w:p>
    <w:p w14:paraId="403724B0" w14:textId="77777777" w:rsidR="000B1642" w:rsidRPr="004E7A2E" w:rsidRDefault="000B1642">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1E8755CC" w14:textId="77777777" w:rsidR="000B1642" w:rsidRPr="004E7A2E" w:rsidRDefault="009F5022">
      <w:pPr>
        <w:numPr>
          <w:ilvl w:val="1"/>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4E7A2E">
        <w:rPr>
          <w:rFonts w:ascii="Palatino Linotype" w:eastAsia="Palatino Linotype" w:hAnsi="Palatino Linotype" w:cs="Palatino Linotype"/>
          <w:b/>
          <w:sz w:val="22"/>
          <w:szCs w:val="22"/>
        </w:rPr>
        <w:t xml:space="preserve">Solicitud de acceso a la información. </w:t>
      </w:r>
      <w:r w:rsidRPr="004E7A2E">
        <w:rPr>
          <w:rFonts w:ascii="Palatino Linotype" w:eastAsia="Palatino Linotype" w:hAnsi="Palatino Linotype" w:cs="Palatino Linotype"/>
          <w:sz w:val="22"/>
          <w:szCs w:val="22"/>
        </w:rPr>
        <w:t xml:space="preserve">Con fecha </w:t>
      </w:r>
      <w:r w:rsidRPr="004E7A2E">
        <w:rPr>
          <w:rFonts w:ascii="Palatino Linotype" w:eastAsia="Palatino Linotype" w:hAnsi="Palatino Linotype" w:cs="Palatino Linotype"/>
          <w:b/>
          <w:sz w:val="22"/>
          <w:szCs w:val="22"/>
        </w:rPr>
        <w:t>veinte de febrero de dos mil veinticinco</w:t>
      </w:r>
      <w:r w:rsidRPr="004E7A2E">
        <w:rPr>
          <w:rFonts w:ascii="Palatino Linotype" w:eastAsia="Palatino Linotype" w:hAnsi="Palatino Linotype" w:cs="Palatino Linotype"/>
          <w:sz w:val="22"/>
          <w:szCs w:val="22"/>
        </w:rPr>
        <w:t xml:space="preserve">, la parte </w:t>
      </w:r>
      <w:r w:rsidRPr="004E7A2E">
        <w:rPr>
          <w:rFonts w:ascii="Palatino Linotype" w:eastAsia="Palatino Linotype" w:hAnsi="Palatino Linotype" w:cs="Palatino Linotype"/>
          <w:b/>
          <w:sz w:val="22"/>
          <w:szCs w:val="22"/>
        </w:rPr>
        <w:t>Recurrente</w:t>
      </w:r>
      <w:r w:rsidRPr="004E7A2E">
        <w:rPr>
          <w:rFonts w:ascii="Palatino Linotype" w:eastAsia="Palatino Linotype" w:hAnsi="Palatino Linotype" w:cs="Palatino Linotype"/>
          <w:sz w:val="22"/>
          <w:szCs w:val="22"/>
        </w:rPr>
        <w:t xml:space="preserve"> formuló solicitud de acceso a información pública al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a través del Sistema de Acceso a la Información Mexiquense, en adelante </w:t>
      </w:r>
      <w:r w:rsidRPr="004E7A2E">
        <w:rPr>
          <w:rFonts w:ascii="Palatino Linotype" w:eastAsia="Palatino Linotype" w:hAnsi="Palatino Linotype" w:cs="Palatino Linotype"/>
          <w:b/>
          <w:sz w:val="22"/>
          <w:szCs w:val="22"/>
        </w:rPr>
        <w:t>SAIMEX</w:t>
      </w:r>
      <w:r w:rsidRPr="004E7A2E">
        <w:rPr>
          <w:rFonts w:ascii="Palatino Linotype" w:eastAsia="Palatino Linotype" w:hAnsi="Palatino Linotype" w:cs="Palatino Linotype"/>
          <w:sz w:val="22"/>
          <w:szCs w:val="22"/>
        </w:rPr>
        <w:t>, requiriéndole lo siguiente:</w:t>
      </w:r>
    </w:p>
    <w:p w14:paraId="48F32F20" w14:textId="77777777" w:rsidR="000B1642" w:rsidRPr="004E7A2E" w:rsidRDefault="000B1642">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3463CB6C" w14:textId="77777777" w:rsidR="000B1642" w:rsidRPr="004E7A2E" w:rsidRDefault="009F5022">
      <w:pP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“SOLICITO LA PLANTILLA DE PERSONAL DE LA UNIDAD DE TRANSPARENCIA, LISTAS DE ASISTENCIA O DE LECTOR BIOMETRICO, INVENTARIO DE BIENES DE LOS SERVIDORES DE LA UNIDAD, GABFETES INSTITUCIONALES FUNCIONES DE CADA UNO, HORARIO LABORAL EVIDECNIA DE SUS FUNCIONES POR QUE ALGUNOS SON CONCENTIDOS Y OTROS NO VAN LOS OFICIOS FIRMADOS POR EL TITULAR Y JEFES DE DEPARTAMENTO, INFORME DIARIO DE ACTIVIDADES, EXPEDIENTE LABORAL COMPLETO CON CURRICULUM, COMPROBANTE ESTUDIOS, ANTECEDENTES NO PENALES, CERTIFICACIÓN, CURSOS PARA DEMOSTAR QUE SON ACTOS PARA EL CARGO, FECHA DE ALTA CON EL FUM TODO DEL PERSONAL ALCTUAL”</w:t>
      </w:r>
    </w:p>
    <w:p w14:paraId="737FBE2E" w14:textId="77777777" w:rsidR="000B1642" w:rsidRPr="004E7A2E" w:rsidRDefault="000B1642">
      <w:pPr>
        <w:spacing w:line="360" w:lineRule="auto"/>
        <w:ind w:left="709" w:right="900"/>
        <w:jc w:val="both"/>
        <w:rPr>
          <w:rFonts w:ascii="Palatino Linotype" w:eastAsia="Palatino Linotype" w:hAnsi="Palatino Linotype" w:cs="Palatino Linotype"/>
          <w:b/>
          <w:i/>
          <w:sz w:val="22"/>
          <w:szCs w:val="22"/>
        </w:rPr>
      </w:pPr>
    </w:p>
    <w:p w14:paraId="06AFE3A6"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sz w:val="22"/>
          <w:szCs w:val="22"/>
        </w:rPr>
        <w:t xml:space="preserve">Modalidad elegida para la entrega de la información: </w:t>
      </w:r>
      <w:r w:rsidRPr="004E7A2E">
        <w:rPr>
          <w:rFonts w:ascii="Palatino Linotype" w:eastAsia="Palatino Linotype" w:hAnsi="Palatino Linotype" w:cs="Palatino Linotype"/>
          <w:sz w:val="22"/>
          <w:szCs w:val="22"/>
        </w:rPr>
        <w:t xml:space="preserve">a través del Sistema de Acceso a la Información Mexiquense. </w:t>
      </w:r>
    </w:p>
    <w:p w14:paraId="24BD1160"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045060F4" w14:textId="77777777" w:rsidR="000B1642" w:rsidRPr="004E7A2E" w:rsidRDefault="009F502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sz w:val="22"/>
          <w:szCs w:val="22"/>
        </w:rPr>
        <w:t xml:space="preserve">Respuesta. </w:t>
      </w:r>
      <w:r w:rsidRPr="004E7A2E">
        <w:rPr>
          <w:rFonts w:ascii="Palatino Linotype" w:eastAsia="Palatino Linotype" w:hAnsi="Palatino Linotype" w:cs="Palatino Linotype"/>
          <w:sz w:val="22"/>
          <w:szCs w:val="22"/>
        </w:rPr>
        <w:t xml:space="preserve">Con fecha </w:t>
      </w:r>
      <w:r w:rsidRPr="004E7A2E">
        <w:rPr>
          <w:rFonts w:ascii="Palatino Linotype" w:eastAsia="Palatino Linotype" w:hAnsi="Palatino Linotype" w:cs="Palatino Linotype"/>
          <w:b/>
          <w:sz w:val="22"/>
          <w:szCs w:val="22"/>
        </w:rPr>
        <w:t>catorce de marzo de dos mil veinticinco</w:t>
      </w:r>
      <w:r w:rsidRPr="004E7A2E">
        <w:rPr>
          <w:rFonts w:ascii="Palatino Linotype" w:eastAsia="Palatino Linotype" w:hAnsi="Palatino Linotype" w:cs="Palatino Linotype"/>
          <w:sz w:val="22"/>
          <w:szCs w:val="22"/>
        </w:rPr>
        <w:t xml:space="preserve">, 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envió su respuesta a la solicitud de acceso a la información a través del SAIMEX, la cual versa como sigue: </w:t>
      </w:r>
    </w:p>
    <w:p w14:paraId="1AA41249" w14:textId="77777777" w:rsidR="000B1642" w:rsidRPr="004E7A2E" w:rsidRDefault="000B1642">
      <w:pPr>
        <w:tabs>
          <w:tab w:val="left" w:pos="7371"/>
        </w:tabs>
        <w:spacing w:line="360" w:lineRule="auto"/>
        <w:ind w:left="567" w:right="616"/>
        <w:jc w:val="both"/>
        <w:rPr>
          <w:rFonts w:ascii="Palatino Linotype" w:eastAsia="Palatino Linotype" w:hAnsi="Palatino Linotype" w:cs="Palatino Linotype"/>
          <w:i/>
          <w:sz w:val="22"/>
          <w:szCs w:val="22"/>
        </w:rPr>
      </w:pPr>
      <w:bookmarkStart w:id="0" w:name="_heading=h.3znysh7" w:colFirst="0" w:colLast="0"/>
      <w:bookmarkEnd w:id="0"/>
    </w:p>
    <w:p w14:paraId="235E435A" w14:textId="77777777" w:rsidR="000B1642" w:rsidRPr="004E7A2E" w:rsidRDefault="009F5022">
      <w:pPr>
        <w:tabs>
          <w:tab w:val="left" w:pos="7371"/>
        </w:tabs>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24A9C73" w14:textId="77777777" w:rsidR="000B1642" w:rsidRPr="004E7A2E" w:rsidRDefault="009F5022">
      <w:pPr>
        <w:tabs>
          <w:tab w:val="left" w:pos="7371"/>
        </w:tabs>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En atención a la solicitud con folio 01049/TOLUCA/IP/2025, me permito adjuntar al presente la respuesta correspondiente. Sin más por el momento, reciba un saludo.</w:t>
      </w:r>
    </w:p>
    <w:p w14:paraId="3360CFEE" w14:textId="77777777" w:rsidR="000B1642" w:rsidRPr="004E7A2E" w:rsidRDefault="009F5022">
      <w:pPr>
        <w:tabs>
          <w:tab w:val="left" w:pos="7371"/>
        </w:tabs>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ATENTAMENTE</w:t>
      </w:r>
    </w:p>
    <w:p w14:paraId="2415A385" w14:textId="77777777" w:rsidR="000B1642" w:rsidRPr="004E7A2E" w:rsidRDefault="009F5022">
      <w:pPr>
        <w:tabs>
          <w:tab w:val="left" w:pos="7371"/>
        </w:tabs>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Dr. Nahum Miguel Mendoza Morales.”</w:t>
      </w:r>
    </w:p>
    <w:p w14:paraId="6D2EF8C9" w14:textId="77777777" w:rsidR="000B1642" w:rsidRPr="004E7A2E" w:rsidRDefault="000B1642">
      <w:pPr>
        <w:spacing w:line="360" w:lineRule="auto"/>
        <w:ind w:right="49"/>
        <w:jc w:val="both"/>
        <w:rPr>
          <w:rFonts w:ascii="Palatino Linotype" w:eastAsia="Palatino Linotype" w:hAnsi="Palatino Linotype" w:cs="Palatino Linotype"/>
          <w:sz w:val="22"/>
          <w:szCs w:val="22"/>
        </w:rPr>
      </w:pPr>
    </w:p>
    <w:p w14:paraId="3E0B1E32"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bookmarkStart w:id="1" w:name="_heading=h.gsspo2bk86xa" w:colFirst="0" w:colLast="0"/>
      <w:bookmarkEnd w:id="1"/>
      <w:r w:rsidRPr="004E7A2E">
        <w:rPr>
          <w:rFonts w:ascii="Palatino Linotype" w:eastAsia="Palatino Linotype" w:hAnsi="Palatino Linotype" w:cs="Palatino Linotype"/>
          <w:sz w:val="22"/>
          <w:szCs w:val="22"/>
        </w:rPr>
        <w:t xml:space="preserve">Del mismo modo, 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adjuntó a su respuesta el archivo electrónico denominado “</w:t>
      </w:r>
      <w:r w:rsidRPr="004E7A2E">
        <w:rPr>
          <w:rFonts w:ascii="Palatino Linotype" w:eastAsia="Palatino Linotype" w:hAnsi="Palatino Linotype" w:cs="Palatino Linotype"/>
          <w:b/>
          <w:i/>
          <w:sz w:val="22"/>
          <w:szCs w:val="22"/>
        </w:rPr>
        <w:t>R. 01049_25.pdf</w:t>
      </w:r>
      <w:r w:rsidRPr="004E7A2E">
        <w:rPr>
          <w:rFonts w:ascii="Palatino Linotype" w:eastAsia="Palatino Linotype" w:hAnsi="Palatino Linotype" w:cs="Palatino Linotype"/>
          <w:sz w:val="22"/>
          <w:szCs w:val="22"/>
        </w:rPr>
        <w:t xml:space="preserve">”, el cual contiene: </w:t>
      </w:r>
    </w:p>
    <w:p w14:paraId="4B9242A6" w14:textId="77777777" w:rsidR="000B1642" w:rsidRPr="004E7A2E" w:rsidRDefault="000B1642">
      <w:pPr>
        <w:spacing w:line="360" w:lineRule="auto"/>
        <w:ind w:right="49"/>
        <w:jc w:val="both"/>
        <w:rPr>
          <w:rFonts w:ascii="Palatino Linotype" w:eastAsia="Palatino Linotype" w:hAnsi="Palatino Linotype" w:cs="Palatino Linotype"/>
          <w:sz w:val="22"/>
          <w:szCs w:val="22"/>
        </w:rPr>
      </w:pPr>
    </w:p>
    <w:p w14:paraId="4513B604" w14:textId="77777777" w:rsidR="000B1642" w:rsidRPr="004E7A2E" w:rsidRDefault="009F5022">
      <w:pPr>
        <w:spacing w:line="276" w:lineRule="auto"/>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“Oficio de fecha catorce de marzo de dos mil veinticinco, signado por el Titular de la Unidad de Transparencia, mediante el cual hizo del conocimiento al particular que la Dirección General de Administración informó que después de una búsqueda exhaustiva y razonable en los archivos físicos y electrónicos que obran en el Departamento de Nóminas y en el Departamento de Administración de Personal, remite en formato digital la información solicitada. </w:t>
      </w:r>
    </w:p>
    <w:p w14:paraId="203A9DE2" w14:textId="77777777" w:rsidR="000B1642" w:rsidRPr="004E7A2E" w:rsidRDefault="000B1642">
      <w:pPr>
        <w:spacing w:line="276" w:lineRule="auto"/>
        <w:ind w:left="851" w:right="567"/>
        <w:jc w:val="both"/>
        <w:rPr>
          <w:rFonts w:ascii="Palatino Linotype" w:eastAsia="Palatino Linotype" w:hAnsi="Palatino Linotype" w:cs="Palatino Linotype"/>
          <w:i/>
          <w:sz w:val="22"/>
          <w:szCs w:val="22"/>
        </w:rPr>
      </w:pPr>
    </w:p>
    <w:p w14:paraId="03C7A632" w14:textId="77777777" w:rsidR="000B1642" w:rsidRPr="004E7A2E" w:rsidRDefault="009F5022">
      <w:pPr>
        <w:spacing w:line="276" w:lineRule="auto"/>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No omite mencionar que, en términos del artículo 143 fracción I de la Ley de Transparencia y Acceso a la Información Pública del Estado de México y Municipios, la información personal contenida en la constancia de no inhabilitación, certificado de no deudor alimentario moroso, alta de ISSEMYM, у comprobante de </w:t>
      </w:r>
      <w:r w:rsidRPr="004E7A2E">
        <w:rPr>
          <w:rFonts w:ascii="Palatino Linotype" w:eastAsia="Palatino Linotype" w:hAnsi="Palatino Linotype" w:cs="Palatino Linotype"/>
          <w:i/>
          <w:sz w:val="22"/>
          <w:szCs w:val="22"/>
        </w:rPr>
        <w:lastRenderedPageBreak/>
        <w:t>estudios ha sido considerada como confidencial de forma parcial mediante acuerdo número CT/SE/260/01/2025; por su parte, los datos personales contenidos en la identificación oficial INE, acta de nacimiento, certificado médico, comprobante de domicilio, cédula del CURP y cédula del RFC, ha sido clasificada como confidencial de forma total de conformidad con el artículo 140 fracción X, y demás aplicables de la Ley de Transparencia y Acceso a la Información Pública del Estado de México y Municipios, mediante acuerdo número CT/SE/260/02/2025; los acuerdos antes citados aprobados por el Comité de Transparencia en la Ducentésima Sexagésima Sesión Extraordinaria 2025.</w:t>
      </w:r>
    </w:p>
    <w:p w14:paraId="1D3F7D65" w14:textId="77777777" w:rsidR="000B1642" w:rsidRPr="004E7A2E" w:rsidRDefault="000B1642">
      <w:pPr>
        <w:spacing w:line="276" w:lineRule="auto"/>
        <w:ind w:left="851" w:right="567"/>
        <w:jc w:val="both"/>
        <w:rPr>
          <w:rFonts w:ascii="Palatino Linotype" w:eastAsia="Palatino Linotype" w:hAnsi="Palatino Linotype" w:cs="Palatino Linotype"/>
          <w:i/>
          <w:sz w:val="22"/>
          <w:szCs w:val="22"/>
        </w:rPr>
      </w:pPr>
    </w:p>
    <w:p w14:paraId="27BA4C22" w14:textId="77777777" w:rsidR="000B1642" w:rsidRPr="004E7A2E" w:rsidRDefault="009F5022">
      <w:pPr>
        <w:spacing w:line="276" w:lineRule="auto"/>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Así mismo, la Unidad de Transparencia informó que derivado de una búsqueda exhaustiva y razonable en sus archivos, las funciones a cargo de la Unidad de Transparencia y su estructura se encuentran a contenidas en la Manual de Organización de la Secretaría, información que de acuerdo a lo establecido por el artículo 161 de la Ley de Transparencia del Estado, la información se encuentra ya publicada para su consulta en el sitio web: </w:t>
      </w:r>
      <w:hyperlink r:id="rId8">
        <w:r w:rsidRPr="004E7A2E">
          <w:rPr>
            <w:rFonts w:ascii="Palatino Linotype" w:eastAsia="Palatino Linotype" w:hAnsi="Palatino Linotype" w:cs="Palatino Linotype"/>
            <w:i/>
            <w:sz w:val="22"/>
            <w:szCs w:val="22"/>
            <w:u w:val="single"/>
          </w:rPr>
          <w:t>https://www2.toluca.gob.mx/wp-content/uploads/2024/10/02-MO-SA.pdf</w:t>
        </w:r>
      </w:hyperlink>
      <w:r w:rsidRPr="004E7A2E">
        <w:rPr>
          <w:rFonts w:ascii="Palatino Linotype" w:eastAsia="Palatino Linotype" w:hAnsi="Palatino Linotype" w:cs="Palatino Linotype"/>
          <w:i/>
          <w:sz w:val="22"/>
          <w:szCs w:val="22"/>
        </w:rPr>
        <w:t xml:space="preserve"> </w:t>
      </w:r>
    </w:p>
    <w:p w14:paraId="31076FEC" w14:textId="77777777" w:rsidR="000B1642" w:rsidRPr="004E7A2E" w:rsidRDefault="000B1642">
      <w:pPr>
        <w:spacing w:line="276" w:lineRule="auto"/>
        <w:ind w:left="851" w:right="567"/>
        <w:jc w:val="both"/>
        <w:rPr>
          <w:rFonts w:ascii="Palatino Linotype" w:eastAsia="Palatino Linotype" w:hAnsi="Palatino Linotype" w:cs="Palatino Linotype"/>
          <w:i/>
          <w:sz w:val="22"/>
          <w:szCs w:val="22"/>
        </w:rPr>
      </w:pPr>
    </w:p>
    <w:p w14:paraId="055D73B9" w14:textId="77777777" w:rsidR="000B1642" w:rsidRPr="004E7A2E" w:rsidRDefault="009F5022">
      <w:pPr>
        <w:spacing w:line="276" w:lineRule="auto"/>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Por otro lado, señaló que el particular busca un pronunciamiento por parte del Sujeto Obligado, lo cual no constituye un derecho de acceso a la información; sino un derecho de petición debido a que realiza manifestaciones subjetivas por el solicitante, acusaciones y declaraciones que no se colman con la entrega de documentos, situación que conlleva a afirmar que se está ante la presencia del ejercicio del derecho ya anunciado.</w:t>
      </w:r>
    </w:p>
    <w:p w14:paraId="6D2D4284" w14:textId="77777777" w:rsidR="000B1642" w:rsidRPr="004E7A2E" w:rsidRDefault="000B1642">
      <w:pPr>
        <w:spacing w:line="276" w:lineRule="auto"/>
        <w:ind w:left="851" w:right="567"/>
        <w:jc w:val="both"/>
        <w:rPr>
          <w:rFonts w:ascii="Palatino Linotype" w:eastAsia="Palatino Linotype" w:hAnsi="Palatino Linotype" w:cs="Palatino Linotype"/>
          <w:i/>
          <w:sz w:val="22"/>
          <w:szCs w:val="22"/>
        </w:rPr>
      </w:pPr>
    </w:p>
    <w:p w14:paraId="7C5DB8A3" w14:textId="77777777" w:rsidR="000B1642" w:rsidRPr="004E7A2E" w:rsidRDefault="009F5022">
      <w:pPr>
        <w:spacing w:line="276" w:lineRule="auto"/>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Por lo que la entrega de una razón o un razonamiento por parte de este Sujeto Obligado no es algo que la ley establezca como atribución, derecho o facultad, pues ello implicaría un juicio de valor referente a un cuestionamiento realizado, los cuales al constituir interrogantes, inquietudes y manifestaciones se satisfacen vía derecho de petición.</w:t>
      </w:r>
    </w:p>
    <w:p w14:paraId="32813AA1" w14:textId="77777777" w:rsidR="000B1642" w:rsidRPr="004E7A2E" w:rsidRDefault="000B1642">
      <w:pPr>
        <w:spacing w:line="276" w:lineRule="auto"/>
        <w:ind w:left="851" w:right="567"/>
        <w:jc w:val="both"/>
        <w:rPr>
          <w:rFonts w:ascii="Palatino Linotype" w:eastAsia="Palatino Linotype" w:hAnsi="Palatino Linotype" w:cs="Palatino Linotype"/>
          <w:i/>
          <w:sz w:val="22"/>
          <w:szCs w:val="22"/>
        </w:rPr>
      </w:pPr>
    </w:p>
    <w:p w14:paraId="22B2FE3E" w14:textId="77777777" w:rsidR="000B1642" w:rsidRPr="004E7A2E" w:rsidRDefault="009F5022">
      <w:pPr>
        <w:spacing w:line="276" w:lineRule="auto"/>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En consecuencia, al realizar este tipo de manifestaciones que no se relacionan con el asunto principal, no significa ejercer el derecho de acceso a la información de manera respetuosa, sino por el contrario, se traduce en una posible afectación a la esfera íntima de las personas referidas en la solicitud, y en consecuencia a las personas </w:t>
      </w:r>
      <w:r w:rsidRPr="004E7A2E">
        <w:rPr>
          <w:rFonts w:ascii="Palatino Linotype" w:eastAsia="Palatino Linotype" w:hAnsi="Palatino Linotype" w:cs="Palatino Linotype"/>
          <w:i/>
          <w:sz w:val="22"/>
          <w:szCs w:val="22"/>
        </w:rPr>
        <w:lastRenderedPageBreak/>
        <w:t>señaladas por lo que se puede incurrir en un tipo de responsabilidad, que bien, este Sujeto Obligado no es competente para conocer, no es óbice para atenderse por otras vías.</w:t>
      </w:r>
    </w:p>
    <w:p w14:paraId="47D05C80" w14:textId="77777777" w:rsidR="000B1642" w:rsidRPr="004E7A2E" w:rsidRDefault="000B1642">
      <w:pPr>
        <w:spacing w:line="276" w:lineRule="auto"/>
        <w:ind w:left="851" w:right="567"/>
        <w:jc w:val="both"/>
        <w:rPr>
          <w:rFonts w:ascii="Palatino Linotype" w:eastAsia="Palatino Linotype" w:hAnsi="Palatino Linotype" w:cs="Palatino Linotype"/>
          <w:i/>
          <w:sz w:val="22"/>
          <w:szCs w:val="22"/>
        </w:rPr>
      </w:pPr>
    </w:p>
    <w:p w14:paraId="1F797B62" w14:textId="77777777" w:rsidR="000B1642" w:rsidRPr="004E7A2E" w:rsidRDefault="009F5022">
      <w:pPr>
        <w:spacing w:line="276" w:lineRule="auto"/>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Cuestiones de previo y especial pronunciamiento, no pasa desapercibido para esta Autoridad que del contenido de la solicitud de mérito, el particular, expresó imputaciones que difaman el honor de las personas servidoras públicas las cuales atacan a la moral; al respecto, este Sujeto Obligado, no omite comentar que, si bien frente al derecho a la libertad de expresión reconocido en el artículo 6 de la Constitución Política de los Estado Unidos Mexicanos que señala que toda persona tiene el libre derecho a la manifestación de las ideas y esta no será objeto de ninguna inquisición judicial o administrativa, también lo es que, para aquellos casos en donde se ataque la moral, la vida privada o de los derechos de terceros, puede ser sujeta a un estricto régimen de responsabilidad establecidas en las diferentes disposiciones que rigen el sistema jurídico mexicano.”</w:t>
      </w:r>
    </w:p>
    <w:p w14:paraId="127F3320" w14:textId="77777777" w:rsidR="000B1642" w:rsidRPr="004E7A2E" w:rsidRDefault="000B1642">
      <w:pPr>
        <w:spacing w:line="360" w:lineRule="auto"/>
        <w:ind w:right="49"/>
        <w:jc w:val="both"/>
        <w:rPr>
          <w:rFonts w:ascii="Palatino Linotype" w:eastAsia="Palatino Linotype" w:hAnsi="Palatino Linotype" w:cs="Palatino Linotype"/>
          <w:sz w:val="22"/>
          <w:szCs w:val="22"/>
        </w:rPr>
      </w:pPr>
    </w:p>
    <w:p w14:paraId="34D901E8" w14:textId="77777777" w:rsidR="000B1642" w:rsidRPr="004E7A2E" w:rsidRDefault="009F5022">
      <w:pPr>
        <w:numPr>
          <w:ilvl w:val="0"/>
          <w:numId w:val="1"/>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sz w:val="22"/>
          <w:szCs w:val="22"/>
        </w:rPr>
        <w:t xml:space="preserve">Interposición del recurso de revisión. </w:t>
      </w:r>
      <w:r w:rsidRPr="004E7A2E">
        <w:rPr>
          <w:rFonts w:ascii="Palatino Linotype" w:eastAsia="Palatino Linotype" w:hAnsi="Palatino Linotype" w:cs="Palatino Linotype"/>
          <w:sz w:val="22"/>
          <w:szCs w:val="22"/>
        </w:rPr>
        <w:t xml:space="preserve">Inconforme con la respuesta del </w:t>
      </w:r>
      <w:r w:rsidRPr="004E7A2E">
        <w:rPr>
          <w:rFonts w:ascii="Palatino Linotype" w:eastAsia="Palatino Linotype" w:hAnsi="Palatino Linotype" w:cs="Palatino Linotype"/>
          <w:b/>
          <w:sz w:val="22"/>
          <w:szCs w:val="22"/>
        </w:rPr>
        <w:t xml:space="preserve">Sujeto Obligado </w:t>
      </w:r>
      <w:r w:rsidRPr="004E7A2E">
        <w:rPr>
          <w:rFonts w:ascii="Palatino Linotype" w:eastAsia="Palatino Linotype" w:hAnsi="Palatino Linotype" w:cs="Palatino Linotype"/>
          <w:sz w:val="22"/>
          <w:szCs w:val="22"/>
        </w:rPr>
        <w:t>la parte</w:t>
      </w:r>
      <w:r w:rsidRPr="004E7A2E">
        <w:rPr>
          <w:rFonts w:ascii="Palatino Linotype" w:eastAsia="Palatino Linotype" w:hAnsi="Palatino Linotype" w:cs="Palatino Linotype"/>
          <w:b/>
          <w:sz w:val="22"/>
          <w:szCs w:val="22"/>
        </w:rPr>
        <w:t xml:space="preserve"> Recurrente</w:t>
      </w:r>
      <w:r w:rsidRPr="004E7A2E">
        <w:rPr>
          <w:rFonts w:ascii="Palatino Linotype" w:eastAsia="Palatino Linotype" w:hAnsi="Palatino Linotype" w:cs="Palatino Linotype"/>
          <w:sz w:val="22"/>
          <w:szCs w:val="22"/>
        </w:rPr>
        <w:t xml:space="preserve"> interpuso recurso de revisión a través del </w:t>
      </w:r>
      <w:r w:rsidRPr="004E7A2E">
        <w:rPr>
          <w:rFonts w:ascii="Palatino Linotype" w:eastAsia="Palatino Linotype" w:hAnsi="Palatino Linotype" w:cs="Palatino Linotype"/>
          <w:b/>
          <w:sz w:val="22"/>
          <w:szCs w:val="22"/>
        </w:rPr>
        <w:t>SAIMEX</w:t>
      </w:r>
      <w:r w:rsidRPr="004E7A2E">
        <w:rPr>
          <w:rFonts w:ascii="Palatino Linotype" w:eastAsia="Palatino Linotype" w:hAnsi="Palatino Linotype" w:cs="Palatino Linotype"/>
          <w:sz w:val="22"/>
          <w:szCs w:val="22"/>
        </w:rPr>
        <w:t xml:space="preserve"> en fecha </w:t>
      </w:r>
      <w:r w:rsidRPr="004E7A2E">
        <w:rPr>
          <w:rFonts w:ascii="Palatino Linotype" w:eastAsia="Palatino Linotype" w:hAnsi="Palatino Linotype" w:cs="Palatino Linotype"/>
          <w:b/>
          <w:sz w:val="22"/>
          <w:szCs w:val="22"/>
        </w:rPr>
        <w:t>catorce de marzo de dos mil veinticinco</w:t>
      </w:r>
      <w:r w:rsidRPr="004E7A2E">
        <w:rPr>
          <w:rFonts w:ascii="Palatino Linotype" w:eastAsia="Palatino Linotype" w:hAnsi="Palatino Linotype" w:cs="Palatino Linotype"/>
          <w:sz w:val="22"/>
          <w:szCs w:val="22"/>
        </w:rPr>
        <w:t>, a través del cual expresó lo siguiente:</w:t>
      </w:r>
    </w:p>
    <w:p w14:paraId="042AEC5D" w14:textId="77777777" w:rsidR="000B1642" w:rsidRPr="004E7A2E" w:rsidRDefault="000B1642">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7DBA5F68" w14:textId="77777777" w:rsidR="000B1642" w:rsidRPr="004E7A2E" w:rsidRDefault="009F5022">
      <w:pPr>
        <w:spacing w:line="360" w:lineRule="auto"/>
        <w:ind w:left="851" w:right="567"/>
        <w:jc w:val="both"/>
        <w:rPr>
          <w:rFonts w:ascii="Palatino Linotype" w:eastAsia="Palatino Linotype" w:hAnsi="Palatino Linotype" w:cs="Palatino Linotype"/>
          <w:b/>
          <w:sz w:val="22"/>
          <w:szCs w:val="22"/>
        </w:rPr>
      </w:pPr>
      <w:r w:rsidRPr="004E7A2E">
        <w:rPr>
          <w:rFonts w:ascii="Palatino Linotype" w:eastAsia="Palatino Linotype" w:hAnsi="Palatino Linotype" w:cs="Palatino Linotype"/>
          <w:b/>
          <w:sz w:val="22"/>
          <w:szCs w:val="22"/>
        </w:rPr>
        <w:t xml:space="preserve">Acto impugnado. </w:t>
      </w:r>
    </w:p>
    <w:p w14:paraId="71EB1EC0" w14:textId="77777777" w:rsidR="000B1642" w:rsidRPr="004E7A2E" w:rsidRDefault="009F5022">
      <w:pPr>
        <w:spacing w:line="276" w:lineRule="auto"/>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“Con toda la intensión oculta la información lo que debe ser </w:t>
      </w:r>
      <w:proofErr w:type="spellStart"/>
      <w:r w:rsidRPr="004E7A2E">
        <w:rPr>
          <w:rFonts w:ascii="Palatino Linotype" w:eastAsia="Palatino Linotype" w:hAnsi="Palatino Linotype" w:cs="Palatino Linotype"/>
          <w:i/>
          <w:sz w:val="22"/>
          <w:szCs w:val="22"/>
        </w:rPr>
        <w:t>sansionado</w:t>
      </w:r>
      <w:proofErr w:type="spellEnd"/>
      <w:r w:rsidRPr="004E7A2E">
        <w:rPr>
          <w:rFonts w:ascii="Palatino Linotype" w:eastAsia="Palatino Linotype" w:hAnsi="Palatino Linotype" w:cs="Palatino Linotype"/>
          <w:i/>
          <w:sz w:val="22"/>
          <w:szCs w:val="22"/>
        </w:rPr>
        <w:t xml:space="preserve"> por el </w:t>
      </w:r>
      <w:proofErr w:type="spellStart"/>
      <w:r w:rsidRPr="004E7A2E">
        <w:rPr>
          <w:rFonts w:ascii="Palatino Linotype" w:eastAsia="Palatino Linotype" w:hAnsi="Palatino Linotype" w:cs="Palatino Linotype"/>
          <w:i/>
          <w:sz w:val="22"/>
          <w:szCs w:val="22"/>
        </w:rPr>
        <w:t>el</w:t>
      </w:r>
      <w:proofErr w:type="spellEnd"/>
      <w:r w:rsidRPr="004E7A2E">
        <w:rPr>
          <w:rFonts w:ascii="Palatino Linotype" w:eastAsia="Palatino Linotype" w:hAnsi="Palatino Linotype" w:cs="Palatino Linotype"/>
          <w:i/>
          <w:sz w:val="22"/>
          <w:szCs w:val="22"/>
        </w:rPr>
        <w:t xml:space="preserve"> </w:t>
      </w:r>
      <w:proofErr w:type="spellStart"/>
      <w:r w:rsidRPr="004E7A2E">
        <w:rPr>
          <w:rFonts w:ascii="Palatino Linotype" w:eastAsia="Palatino Linotype" w:hAnsi="Palatino Linotype" w:cs="Palatino Linotype"/>
          <w:i/>
          <w:sz w:val="22"/>
          <w:szCs w:val="22"/>
        </w:rPr>
        <w:t>infoem</w:t>
      </w:r>
      <w:proofErr w:type="spellEnd"/>
      <w:r w:rsidRPr="004E7A2E">
        <w:rPr>
          <w:rFonts w:ascii="Palatino Linotype" w:eastAsia="Palatino Linotype" w:hAnsi="Palatino Linotype" w:cs="Palatino Linotype"/>
          <w:i/>
          <w:sz w:val="22"/>
          <w:szCs w:val="22"/>
        </w:rPr>
        <w:t xml:space="preserve">” </w:t>
      </w:r>
    </w:p>
    <w:p w14:paraId="6407A342" w14:textId="77777777" w:rsidR="000B1642" w:rsidRPr="004E7A2E" w:rsidRDefault="000B1642">
      <w:pPr>
        <w:spacing w:line="360" w:lineRule="auto"/>
        <w:ind w:left="851" w:right="567"/>
        <w:rPr>
          <w:rFonts w:ascii="Palatino Linotype" w:eastAsia="Palatino Linotype" w:hAnsi="Palatino Linotype" w:cs="Palatino Linotype"/>
          <w:sz w:val="22"/>
          <w:szCs w:val="22"/>
        </w:rPr>
      </w:pPr>
    </w:p>
    <w:p w14:paraId="140F1064" w14:textId="77777777" w:rsidR="000B1642" w:rsidRPr="004E7A2E" w:rsidRDefault="009F5022">
      <w:pPr>
        <w:pBdr>
          <w:top w:val="nil"/>
          <w:left w:val="nil"/>
          <w:bottom w:val="nil"/>
          <w:right w:val="nil"/>
          <w:between w:val="nil"/>
        </w:pBdr>
        <w:spacing w:line="360" w:lineRule="auto"/>
        <w:ind w:left="851" w:right="567"/>
        <w:jc w:val="both"/>
        <w:rPr>
          <w:rFonts w:ascii="Palatino Linotype" w:eastAsia="Palatino Linotype" w:hAnsi="Palatino Linotype" w:cs="Palatino Linotype"/>
          <w:b/>
          <w:sz w:val="22"/>
          <w:szCs w:val="22"/>
        </w:rPr>
      </w:pPr>
      <w:r w:rsidRPr="004E7A2E">
        <w:rPr>
          <w:rFonts w:ascii="Palatino Linotype" w:eastAsia="Palatino Linotype" w:hAnsi="Palatino Linotype" w:cs="Palatino Linotype"/>
          <w:b/>
          <w:sz w:val="22"/>
          <w:szCs w:val="22"/>
        </w:rPr>
        <w:t xml:space="preserve">Motivos de inconformidad. </w:t>
      </w:r>
    </w:p>
    <w:p w14:paraId="20F49802" w14:textId="77777777" w:rsidR="000B1642" w:rsidRPr="004E7A2E" w:rsidRDefault="009F5022">
      <w:pPr>
        <w:spacing w:line="276" w:lineRule="auto"/>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“Dicen que anexan y no anexan nada de información lo hacen con toda la mala intensión se exigen que ese entregue la información y que </w:t>
      </w:r>
      <w:proofErr w:type="spellStart"/>
      <w:r w:rsidRPr="004E7A2E">
        <w:rPr>
          <w:rFonts w:ascii="Palatino Linotype" w:eastAsia="Palatino Linotype" w:hAnsi="Palatino Linotype" w:cs="Palatino Linotype"/>
          <w:i/>
          <w:sz w:val="22"/>
          <w:szCs w:val="22"/>
        </w:rPr>
        <w:t>Infoem</w:t>
      </w:r>
      <w:proofErr w:type="spellEnd"/>
      <w:r w:rsidRPr="004E7A2E">
        <w:rPr>
          <w:rFonts w:ascii="Palatino Linotype" w:eastAsia="Palatino Linotype" w:hAnsi="Palatino Linotype" w:cs="Palatino Linotype"/>
          <w:i/>
          <w:sz w:val="22"/>
          <w:szCs w:val="22"/>
        </w:rPr>
        <w:t xml:space="preserve"> </w:t>
      </w:r>
      <w:proofErr w:type="spellStart"/>
      <w:r w:rsidRPr="004E7A2E">
        <w:rPr>
          <w:rFonts w:ascii="Palatino Linotype" w:eastAsia="Palatino Linotype" w:hAnsi="Palatino Linotype" w:cs="Palatino Linotype"/>
          <w:i/>
          <w:sz w:val="22"/>
          <w:szCs w:val="22"/>
        </w:rPr>
        <w:t>sansiones</w:t>
      </w:r>
      <w:proofErr w:type="spellEnd"/>
      <w:r w:rsidRPr="004E7A2E">
        <w:rPr>
          <w:rFonts w:ascii="Palatino Linotype" w:eastAsia="Palatino Linotype" w:hAnsi="Palatino Linotype" w:cs="Palatino Linotype"/>
          <w:i/>
          <w:sz w:val="22"/>
          <w:szCs w:val="22"/>
        </w:rPr>
        <w:t xml:space="preserve"> estas malas </w:t>
      </w:r>
      <w:proofErr w:type="spellStart"/>
      <w:r w:rsidRPr="004E7A2E">
        <w:rPr>
          <w:rFonts w:ascii="Palatino Linotype" w:eastAsia="Palatino Linotype" w:hAnsi="Palatino Linotype" w:cs="Palatino Linotype"/>
          <w:i/>
          <w:sz w:val="22"/>
          <w:szCs w:val="22"/>
        </w:rPr>
        <w:t>practicas</w:t>
      </w:r>
      <w:proofErr w:type="spellEnd"/>
      <w:r w:rsidRPr="004E7A2E">
        <w:rPr>
          <w:rFonts w:ascii="Palatino Linotype" w:eastAsia="Palatino Linotype" w:hAnsi="Palatino Linotype" w:cs="Palatino Linotype"/>
          <w:i/>
          <w:sz w:val="22"/>
          <w:szCs w:val="22"/>
        </w:rPr>
        <w:t xml:space="preserve"> </w:t>
      </w:r>
      <w:proofErr w:type="spellStart"/>
      <w:r w:rsidRPr="004E7A2E">
        <w:rPr>
          <w:rFonts w:ascii="Palatino Linotype" w:eastAsia="Palatino Linotype" w:hAnsi="Palatino Linotype" w:cs="Palatino Linotype"/>
          <w:i/>
          <w:sz w:val="22"/>
          <w:szCs w:val="22"/>
        </w:rPr>
        <w:t>por que</w:t>
      </w:r>
      <w:proofErr w:type="spellEnd"/>
      <w:r w:rsidRPr="004E7A2E">
        <w:rPr>
          <w:rFonts w:ascii="Palatino Linotype" w:eastAsia="Palatino Linotype" w:hAnsi="Palatino Linotype" w:cs="Palatino Linotype"/>
          <w:i/>
          <w:sz w:val="22"/>
          <w:szCs w:val="22"/>
        </w:rPr>
        <w:t xml:space="preserve"> solo ganan tiempo y violenta los derechos de terceros” </w:t>
      </w:r>
    </w:p>
    <w:p w14:paraId="627849BC" w14:textId="77777777" w:rsidR="000B1642" w:rsidRPr="004E7A2E" w:rsidRDefault="000B1642">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p>
    <w:p w14:paraId="3BB1964D" w14:textId="77777777" w:rsidR="000B1642" w:rsidRPr="004E7A2E" w:rsidRDefault="009F5022">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sz w:val="22"/>
          <w:szCs w:val="22"/>
        </w:rPr>
        <w:t xml:space="preserve">Turno. </w:t>
      </w:r>
      <w:r w:rsidRPr="004E7A2E">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w:t>
      </w:r>
      <w:r w:rsidRPr="004E7A2E">
        <w:rPr>
          <w:rFonts w:ascii="Palatino Linotype" w:eastAsia="Palatino Linotype" w:hAnsi="Palatino Linotype" w:cs="Palatino Linotype"/>
          <w:sz w:val="22"/>
          <w:szCs w:val="22"/>
        </w:rPr>
        <w:lastRenderedPageBreak/>
        <w:t xml:space="preserve">número </w:t>
      </w:r>
      <w:r w:rsidRPr="004E7A2E">
        <w:rPr>
          <w:rFonts w:ascii="Palatino Linotype" w:eastAsia="Palatino Linotype" w:hAnsi="Palatino Linotype" w:cs="Palatino Linotype"/>
          <w:b/>
          <w:sz w:val="22"/>
          <w:szCs w:val="22"/>
        </w:rPr>
        <w:t>03004/INFOEM/IP/RR/2025</w:t>
      </w:r>
      <w:r w:rsidRPr="004E7A2E">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4E7A2E">
        <w:rPr>
          <w:rFonts w:ascii="Palatino Linotype" w:eastAsia="Palatino Linotype" w:hAnsi="Palatino Linotype" w:cs="Palatino Linotype"/>
          <w:b/>
          <w:sz w:val="22"/>
          <w:szCs w:val="22"/>
        </w:rPr>
        <w:t>Guadalupe Ramírez Peña</w:t>
      </w:r>
      <w:r w:rsidRPr="004E7A2E">
        <w:rPr>
          <w:rFonts w:ascii="Palatino Linotype" w:eastAsia="Palatino Linotype" w:hAnsi="Palatino Linotype" w:cs="Palatino Linotype"/>
          <w:sz w:val="22"/>
          <w:szCs w:val="22"/>
        </w:rPr>
        <w:t>, para su análisis, estudio, elaboración del proyecto y presentación ante el Pleno de este Instituto.</w:t>
      </w:r>
    </w:p>
    <w:p w14:paraId="26DFDC1E" w14:textId="77777777" w:rsidR="000B1642" w:rsidRPr="004E7A2E" w:rsidRDefault="000B164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750C440F" w14:textId="77777777" w:rsidR="000B1642" w:rsidRPr="004E7A2E" w:rsidRDefault="009F5022">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2" w:name="_heading=h.gjdgxs" w:colFirst="0" w:colLast="0"/>
      <w:bookmarkEnd w:id="2"/>
      <w:r w:rsidRPr="004E7A2E">
        <w:rPr>
          <w:rFonts w:ascii="Palatino Linotype" w:eastAsia="Palatino Linotype" w:hAnsi="Palatino Linotype" w:cs="Palatino Linotype"/>
          <w:b/>
          <w:sz w:val="22"/>
          <w:szCs w:val="22"/>
        </w:rPr>
        <w:t xml:space="preserve">Admisión del recurso de revisión: </w:t>
      </w:r>
      <w:r w:rsidRPr="004E7A2E">
        <w:rPr>
          <w:rFonts w:ascii="Palatino Linotype" w:eastAsia="Palatino Linotype" w:hAnsi="Palatino Linotype" w:cs="Palatino Linotype"/>
          <w:sz w:val="22"/>
          <w:szCs w:val="22"/>
        </w:rPr>
        <w:t xml:space="preserve">En fecha </w:t>
      </w:r>
      <w:r w:rsidRPr="004E7A2E">
        <w:rPr>
          <w:rFonts w:ascii="Palatino Linotype" w:eastAsia="Palatino Linotype" w:hAnsi="Palatino Linotype" w:cs="Palatino Linotype"/>
          <w:b/>
          <w:sz w:val="22"/>
          <w:szCs w:val="22"/>
        </w:rPr>
        <w:t>veintiuno de marzo de dos mil veinticinco</w:t>
      </w:r>
      <w:r w:rsidRPr="004E7A2E">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presentara su informe justificado.</w:t>
      </w:r>
    </w:p>
    <w:p w14:paraId="729BF97E" w14:textId="77777777" w:rsidR="000B1642" w:rsidRPr="004E7A2E" w:rsidRDefault="000B164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64BF5553" w14:textId="77777777" w:rsidR="000B1642" w:rsidRPr="004E7A2E" w:rsidRDefault="009F5022">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3" w:name="_heading=h.s6xtewwvxfle" w:colFirst="0" w:colLast="0"/>
      <w:bookmarkEnd w:id="3"/>
      <w:r w:rsidRPr="004E7A2E">
        <w:rPr>
          <w:rFonts w:ascii="Palatino Linotype" w:eastAsia="Palatino Linotype" w:hAnsi="Palatino Linotype" w:cs="Palatino Linotype"/>
          <w:b/>
          <w:sz w:val="22"/>
          <w:szCs w:val="22"/>
        </w:rPr>
        <w:t>Manifestaciones</w:t>
      </w:r>
      <w:r w:rsidRPr="004E7A2E">
        <w:rPr>
          <w:rFonts w:ascii="Palatino Linotype" w:eastAsia="Palatino Linotype" w:hAnsi="Palatino Linotype" w:cs="Palatino Linotype"/>
          <w:sz w:val="22"/>
          <w:szCs w:val="22"/>
        </w:rPr>
        <w:t xml:space="preserve">: De las constancias que obran en el expediente electrónico del </w:t>
      </w:r>
      <w:r w:rsidRPr="004E7A2E">
        <w:rPr>
          <w:rFonts w:ascii="Palatino Linotype" w:eastAsia="Palatino Linotype" w:hAnsi="Palatino Linotype" w:cs="Palatino Linotype"/>
          <w:b/>
          <w:sz w:val="22"/>
          <w:szCs w:val="22"/>
        </w:rPr>
        <w:t>SAIMEX</w:t>
      </w:r>
      <w:r w:rsidRPr="004E7A2E">
        <w:rPr>
          <w:rFonts w:ascii="Palatino Linotype" w:eastAsia="Palatino Linotype" w:hAnsi="Palatino Linotype" w:cs="Palatino Linotype"/>
          <w:sz w:val="22"/>
          <w:szCs w:val="22"/>
        </w:rPr>
        <w:t xml:space="preserve"> se desprende que 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en fechas </w:t>
      </w:r>
      <w:r w:rsidRPr="004E7A2E">
        <w:rPr>
          <w:rFonts w:ascii="Palatino Linotype" w:eastAsia="Palatino Linotype" w:hAnsi="Palatino Linotype" w:cs="Palatino Linotype"/>
          <w:b/>
          <w:sz w:val="22"/>
          <w:szCs w:val="22"/>
        </w:rPr>
        <w:t xml:space="preserve">uno y dos de abril de dos mil veinticinco </w:t>
      </w:r>
      <w:r w:rsidRPr="004E7A2E">
        <w:rPr>
          <w:rFonts w:ascii="Palatino Linotype" w:eastAsia="Palatino Linotype" w:hAnsi="Palatino Linotype" w:cs="Palatino Linotype"/>
          <w:sz w:val="22"/>
          <w:szCs w:val="22"/>
        </w:rPr>
        <w:t xml:space="preserve">rindió su informe justificado a través de los archivos electrónicos </w:t>
      </w:r>
      <w:r w:rsidRPr="004E7A2E">
        <w:rPr>
          <w:rFonts w:ascii="Palatino Linotype" w:eastAsia="Palatino Linotype" w:hAnsi="Palatino Linotype" w:cs="Palatino Linotype"/>
          <w:b/>
          <w:i/>
          <w:sz w:val="22"/>
          <w:szCs w:val="22"/>
        </w:rPr>
        <w:t xml:space="preserve">“2. Ratificación 3004.pdf </w:t>
      </w:r>
      <w:r w:rsidRPr="004E7A2E">
        <w:rPr>
          <w:rFonts w:ascii="Palatino Linotype" w:eastAsia="Palatino Linotype" w:hAnsi="Palatino Linotype" w:cs="Palatino Linotype"/>
          <w:sz w:val="22"/>
          <w:szCs w:val="22"/>
        </w:rPr>
        <w:t xml:space="preserve">e </w:t>
      </w:r>
      <w:r w:rsidRPr="004E7A2E">
        <w:rPr>
          <w:rFonts w:ascii="Palatino Linotype" w:eastAsia="Palatino Linotype" w:hAnsi="Palatino Linotype" w:cs="Palatino Linotype"/>
          <w:b/>
          <w:i/>
          <w:sz w:val="22"/>
          <w:szCs w:val="22"/>
        </w:rPr>
        <w:t>INFORME JUSTIFICADO 03004.pdf”</w:t>
      </w:r>
      <w:r w:rsidRPr="004E7A2E">
        <w:rPr>
          <w:rFonts w:ascii="Palatino Linotype" w:eastAsia="Palatino Linotype" w:hAnsi="Palatino Linotype" w:cs="Palatino Linotype"/>
          <w:sz w:val="22"/>
          <w:szCs w:val="22"/>
        </w:rPr>
        <w:t xml:space="preserve">, los cuales contienen: </w:t>
      </w:r>
    </w:p>
    <w:p w14:paraId="1B39496A" w14:textId="77777777" w:rsidR="000B1642" w:rsidRPr="004E7A2E" w:rsidRDefault="000B164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7FC22F6F" w14:textId="77777777" w:rsidR="000B1642" w:rsidRPr="004E7A2E" w:rsidRDefault="009F5022">
      <w:pPr>
        <w:numPr>
          <w:ilvl w:val="0"/>
          <w:numId w:val="11"/>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Oficio número 206010000/1604/2025 de fecha treinta y uno de marzo de dos mil veinticinco, signado por la </w:t>
      </w:r>
      <w:proofErr w:type="gramStart"/>
      <w:r w:rsidRPr="004E7A2E">
        <w:rPr>
          <w:rFonts w:ascii="Palatino Linotype" w:eastAsia="Palatino Linotype" w:hAnsi="Palatino Linotype" w:cs="Palatino Linotype"/>
          <w:sz w:val="22"/>
          <w:szCs w:val="22"/>
        </w:rPr>
        <w:t>Directora General</w:t>
      </w:r>
      <w:proofErr w:type="gramEnd"/>
      <w:r w:rsidRPr="004E7A2E">
        <w:rPr>
          <w:rFonts w:ascii="Palatino Linotype" w:eastAsia="Palatino Linotype" w:hAnsi="Palatino Linotype" w:cs="Palatino Linotype"/>
          <w:sz w:val="22"/>
          <w:szCs w:val="22"/>
        </w:rPr>
        <w:t xml:space="preserve"> de Administración, mediante el cual informó que ratifica su respuesta inicial. </w:t>
      </w:r>
    </w:p>
    <w:p w14:paraId="57A2C3E9" w14:textId="77777777" w:rsidR="000B1642" w:rsidRPr="004E7A2E" w:rsidRDefault="009F5022">
      <w:pPr>
        <w:numPr>
          <w:ilvl w:val="0"/>
          <w:numId w:val="11"/>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Oficio número 206012000/947/2025 de fecha veintiocho de marzo de dos mil veinticinco, signado por la Directora de Recursos Humanos, mediante el cual ratificó su respuesta inicial; asimismo señaló que referente a los registros de asistencia del personal del área en mención, derivado de una búsqueda exhaustiva y razonable, se envía en medio magnético los registros que están bajo el resguardo del Departamento de Administración del Personal del periodo enero de dos mil veinticuatro a enero de dos mil veinticinco, no omite comentar que la documental enviada se maneja como clasificada en partes por contener datos personales, con </w:t>
      </w:r>
      <w:r w:rsidRPr="004E7A2E">
        <w:rPr>
          <w:rFonts w:ascii="Palatino Linotype" w:eastAsia="Palatino Linotype" w:hAnsi="Palatino Linotype" w:cs="Palatino Linotype"/>
          <w:sz w:val="22"/>
          <w:szCs w:val="22"/>
        </w:rPr>
        <w:lastRenderedPageBreak/>
        <w:t>fundamento en los artículos 24 fracciones VI, XIV, 48, 132 fracción II y 143 Fracción I de la Ley de Transparencia y Acceso a la Información Pública del Estado de México y Municipios.</w:t>
      </w:r>
    </w:p>
    <w:p w14:paraId="1A42B4F6" w14:textId="77777777" w:rsidR="000B1642" w:rsidRPr="004E7A2E" w:rsidRDefault="009F5022">
      <w:pPr>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Declarando que la Dirección de Recursos Humanos garantizo el derecho humano de acceso a la información pública, todo esto con fundamento en la reglamentación municipal, así como de los artículos 12 segundo párrafo y 160 de la Ley de Transparencia y Acceso a la Información Pública del Estado de México y Municipios.</w:t>
      </w:r>
    </w:p>
    <w:p w14:paraId="0C2509C0" w14:textId="77777777" w:rsidR="000B1642" w:rsidRPr="004E7A2E" w:rsidRDefault="009F5022">
      <w:pPr>
        <w:numPr>
          <w:ilvl w:val="0"/>
          <w:numId w:val="11"/>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Oficio de fecha primero de abril de dos mil veinticinco, signado por el Titular de la Unidad de Transparencia, mediante el cual ratificó la respuesta emitida el catorce de marzo de dos mil veinticinco. </w:t>
      </w:r>
    </w:p>
    <w:p w14:paraId="03F3D010" w14:textId="77777777" w:rsidR="000B1642" w:rsidRPr="004E7A2E" w:rsidRDefault="000B164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3B81A9F7" w14:textId="77777777" w:rsidR="000B1642" w:rsidRPr="004E7A2E" w:rsidRDefault="009F502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Documentos que fueron hechos del conocimiento de la parte </w:t>
      </w:r>
      <w:r w:rsidRPr="004E7A2E">
        <w:rPr>
          <w:rFonts w:ascii="Palatino Linotype" w:eastAsia="Palatino Linotype" w:hAnsi="Palatino Linotype" w:cs="Palatino Linotype"/>
          <w:b/>
          <w:sz w:val="22"/>
          <w:szCs w:val="22"/>
        </w:rPr>
        <w:t>Recurrente</w:t>
      </w:r>
      <w:r w:rsidRPr="004E7A2E">
        <w:rPr>
          <w:rFonts w:ascii="Palatino Linotype" w:eastAsia="Palatino Linotype" w:hAnsi="Palatino Linotype" w:cs="Palatino Linotype"/>
          <w:sz w:val="22"/>
          <w:szCs w:val="22"/>
        </w:rPr>
        <w:t xml:space="preserve">, en fecha </w:t>
      </w:r>
      <w:r w:rsidRPr="004E7A2E">
        <w:rPr>
          <w:rFonts w:ascii="Palatino Linotype" w:eastAsia="Palatino Linotype" w:hAnsi="Palatino Linotype" w:cs="Palatino Linotype"/>
          <w:b/>
          <w:sz w:val="22"/>
          <w:szCs w:val="22"/>
        </w:rPr>
        <w:t>quince de mayo de dos mil veinticinco</w:t>
      </w:r>
      <w:r w:rsidRPr="004E7A2E">
        <w:rPr>
          <w:rFonts w:ascii="Palatino Linotype" w:eastAsia="Palatino Linotype" w:hAnsi="Palatino Linotype" w:cs="Palatino Linotype"/>
          <w:sz w:val="22"/>
          <w:szCs w:val="22"/>
        </w:rPr>
        <w:t xml:space="preserve">. </w:t>
      </w:r>
    </w:p>
    <w:p w14:paraId="78622C63" w14:textId="77777777" w:rsidR="000B1642" w:rsidRPr="004E7A2E" w:rsidRDefault="000B164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694DD2FD" w14:textId="77777777" w:rsidR="000B1642" w:rsidRPr="004E7A2E" w:rsidRDefault="009F5022">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sz w:val="22"/>
          <w:szCs w:val="22"/>
        </w:rPr>
        <w:t xml:space="preserve">Cierre de instrucción. </w:t>
      </w:r>
      <w:r w:rsidRPr="004E7A2E">
        <w:rPr>
          <w:rFonts w:ascii="Palatino Linotype" w:eastAsia="Palatino Linotype" w:hAnsi="Palatino Linotype" w:cs="Palatino Linotype"/>
          <w:sz w:val="22"/>
          <w:szCs w:val="22"/>
        </w:rPr>
        <w:t xml:space="preserve">El </w:t>
      </w:r>
      <w:r w:rsidRPr="004E7A2E">
        <w:rPr>
          <w:rFonts w:ascii="Palatino Linotype" w:eastAsia="Palatino Linotype" w:hAnsi="Palatino Linotype" w:cs="Palatino Linotype"/>
          <w:b/>
          <w:sz w:val="22"/>
          <w:szCs w:val="22"/>
        </w:rPr>
        <w:t>veintiuno de mayo de dos mil veinticinco</w:t>
      </w:r>
      <w:r w:rsidRPr="004E7A2E">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69A42C05" w14:textId="77777777" w:rsidR="000B1642" w:rsidRPr="004E7A2E" w:rsidRDefault="000B164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sz w:val="22"/>
          <w:szCs w:val="22"/>
        </w:rPr>
      </w:pPr>
    </w:p>
    <w:p w14:paraId="5A399C2C" w14:textId="77777777" w:rsidR="000B1642" w:rsidRPr="004E7A2E" w:rsidRDefault="009F5022">
      <w:pPr>
        <w:numPr>
          <w:ilvl w:val="0"/>
          <w:numId w:val="1"/>
        </w:numPr>
        <w:pBdr>
          <w:top w:val="nil"/>
          <w:left w:val="nil"/>
          <w:bottom w:val="nil"/>
          <w:right w:val="nil"/>
          <w:between w:val="nil"/>
        </w:pBdr>
        <w:tabs>
          <w:tab w:val="left" w:pos="426"/>
        </w:tabs>
        <w:spacing w:before="240" w:after="240" w:line="360" w:lineRule="auto"/>
        <w:ind w:left="0" w:firstLine="0"/>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sz w:val="22"/>
          <w:szCs w:val="22"/>
        </w:rPr>
        <w:t xml:space="preserve">Ampliación de plazo. </w:t>
      </w:r>
      <w:r w:rsidRPr="004E7A2E">
        <w:rPr>
          <w:rFonts w:ascii="Palatino Linotype" w:eastAsia="Palatino Linotype" w:hAnsi="Palatino Linotype" w:cs="Palatino Linotype"/>
          <w:sz w:val="22"/>
          <w:szCs w:val="22"/>
        </w:rPr>
        <w:t xml:space="preserve">El </w:t>
      </w:r>
      <w:r w:rsidRPr="004E7A2E">
        <w:rPr>
          <w:rFonts w:ascii="Palatino Linotype" w:eastAsia="Palatino Linotype" w:hAnsi="Palatino Linotype" w:cs="Palatino Linotype"/>
          <w:b/>
          <w:sz w:val="22"/>
          <w:szCs w:val="22"/>
        </w:rPr>
        <w:t xml:space="preserve">veintiuno de mayo de dos mil veinticinco, </w:t>
      </w:r>
      <w:r w:rsidRPr="004E7A2E">
        <w:rPr>
          <w:rFonts w:ascii="Palatino Linotype" w:eastAsia="Palatino Linotype" w:hAnsi="Palatino Linotype" w:cs="Palatino Linotype"/>
          <w:sz w:val="22"/>
          <w:szCs w:val="22"/>
        </w:rPr>
        <w:t>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6F293473"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lastRenderedPageBreak/>
        <w:t xml:space="preserve">En razón de que fue debidamente sustanciado el expediente electrónico y no existe diligencia pendiente de desahogo, se emite la Resolución que conforme a Derecho proceda, de acuerdo con los siguientes: </w:t>
      </w:r>
    </w:p>
    <w:p w14:paraId="1ACE1245"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6E9FA985" w14:textId="77777777" w:rsidR="000B1642" w:rsidRPr="004E7A2E" w:rsidRDefault="009F5022">
      <w:pPr>
        <w:numPr>
          <w:ilvl w:val="0"/>
          <w:numId w:val="4"/>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4" w:name="_heading=h.30j0zll" w:colFirst="0" w:colLast="0"/>
      <w:bookmarkEnd w:id="4"/>
      <w:r w:rsidRPr="004E7A2E">
        <w:rPr>
          <w:rFonts w:ascii="Palatino Linotype" w:eastAsia="Palatino Linotype" w:hAnsi="Palatino Linotype" w:cs="Palatino Linotype"/>
          <w:b/>
          <w:sz w:val="22"/>
          <w:szCs w:val="22"/>
        </w:rPr>
        <w:t>C O N S I D E R A N D O:</w:t>
      </w:r>
    </w:p>
    <w:p w14:paraId="7E3745F4" w14:textId="77777777" w:rsidR="000B1642" w:rsidRPr="004E7A2E" w:rsidRDefault="000B1642">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29839E8C"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sz w:val="22"/>
          <w:szCs w:val="22"/>
        </w:rPr>
        <w:t xml:space="preserve">Primero. Competencia. </w:t>
      </w:r>
      <w:r w:rsidRPr="004E7A2E">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96632E8" w14:textId="77777777" w:rsidR="000B1642" w:rsidRPr="004E7A2E" w:rsidRDefault="000B1642">
      <w:pPr>
        <w:spacing w:line="360" w:lineRule="auto"/>
        <w:jc w:val="both"/>
        <w:rPr>
          <w:rFonts w:ascii="Palatino Linotype" w:eastAsia="Palatino Linotype" w:hAnsi="Palatino Linotype" w:cs="Palatino Linotype"/>
          <w:b/>
          <w:sz w:val="22"/>
          <w:szCs w:val="22"/>
        </w:rPr>
      </w:pPr>
    </w:p>
    <w:p w14:paraId="20BBC427"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sz w:val="22"/>
          <w:szCs w:val="22"/>
        </w:rPr>
        <w:t>Segundo. Oportunidad y Procedibilidad del Recurso de Revisión</w:t>
      </w:r>
      <w:r w:rsidRPr="004E7A2E">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E60C5C9"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4190A402"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proporcionó su respuesta a la solicitud de información el </w:t>
      </w:r>
      <w:r w:rsidRPr="004E7A2E">
        <w:rPr>
          <w:rFonts w:ascii="Palatino Linotype" w:eastAsia="Palatino Linotype" w:hAnsi="Palatino Linotype" w:cs="Palatino Linotype"/>
          <w:b/>
          <w:sz w:val="22"/>
          <w:szCs w:val="22"/>
        </w:rPr>
        <w:t>catorce de marzo de dos mil veinticinco</w:t>
      </w:r>
      <w:r w:rsidRPr="004E7A2E">
        <w:rPr>
          <w:rFonts w:ascii="Palatino Linotype" w:eastAsia="Palatino Linotype" w:hAnsi="Palatino Linotype" w:cs="Palatino Linotype"/>
          <w:sz w:val="22"/>
          <w:szCs w:val="22"/>
        </w:rPr>
        <w:t xml:space="preserve">, y la parte </w:t>
      </w:r>
      <w:r w:rsidRPr="004E7A2E">
        <w:rPr>
          <w:rFonts w:ascii="Palatino Linotype" w:eastAsia="Palatino Linotype" w:hAnsi="Palatino Linotype" w:cs="Palatino Linotype"/>
          <w:b/>
          <w:sz w:val="22"/>
          <w:szCs w:val="22"/>
        </w:rPr>
        <w:t>Recurrente</w:t>
      </w:r>
      <w:r w:rsidRPr="004E7A2E">
        <w:rPr>
          <w:rFonts w:ascii="Palatino Linotype" w:eastAsia="Palatino Linotype" w:hAnsi="Palatino Linotype" w:cs="Palatino Linotype"/>
          <w:sz w:val="22"/>
          <w:szCs w:val="22"/>
        </w:rPr>
        <w:t xml:space="preserve"> presentó </w:t>
      </w:r>
      <w:r w:rsidRPr="004E7A2E">
        <w:rPr>
          <w:rFonts w:ascii="Palatino Linotype" w:eastAsia="Palatino Linotype" w:hAnsi="Palatino Linotype" w:cs="Palatino Linotype"/>
          <w:sz w:val="22"/>
          <w:szCs w:val="22"/>
        </w:rPr>
        <w:lastRenderedPageBreak/>
        <w:t xml:space="preserve">su recurso de revisión el </w:t>
      </w:r>
      <w:r w:rsidRPr="004E7A2E">
        <w:rPr>
          <w:rFonts w:ascii="Palatino Linotype" w:eastAsia="Palatino Linotype" w:hAnsi="Palatino Linotype" w:cs="Palatino Linotype"/>
          <w:b/>
          <w:sz w:val="22"/>
          <w:szCs w:val="22"/>
        </w:rPr>
        <w:t>catorce de marzo de dos mil veinticinco</w:t>
      </w:r>
      <w:r w:rsidRPr="004E7A2E">
        <w:rPr>
          <w:rFonts w:ascii="Palatino Linotype" w:eastAsia="Palatino Linotype" w:hAnsi="Palatino Linotype" w:cs="Palatino Linotype"/>
          <w:sz w:val="22"/>
          <w:szCs w:val="22"/>
        </w:rPr>
        <w:t>;</w:t>
      </w:r>
      <w:r w:rsidRPr="004E7A2E">
        <w:rPr>
          <w:rFonts w:ascii="Palatino Linotype" w:eastAsia="Palatino Linotype" w:hAnsi="Palatino Linotype" w:cs="Palatino Linotype"/>
          <w:b/>
          <w:sz w:val="22"/>
          <w:szCs w:val="22"/>
        </w:rPr>
        <w:t xml:space="preserve"> </w:t>
      </w:r>
      <w:r w:rsidRPr="004E7A2E">
        <w:rPr>
          <w:rFonts w:ascii="Palatino Linotype" w:eastAsia="Palatino Linotype" w:hAnsi="Palatino Linotype" w:cs="Palatino Linotype"/>
          <w:sz w:val="22"/>
          <w:szCs w:val="22"/>
        </w:rPr>
        <w:t xml:space="preserve">esto es el mismo día hábil en que tuvo conocimiento de la respuesta. </w:t>
      </w:r>
    </w:p>
    <w:p w14:paraId="64F0C175" w14:textId="77777777" w:rsidR="000B1642" w:rsidRPr="004E7A2E" w:rsidRDefault="000B1642">
      <w:pPr>
        <w:spacing w:line="360" w:lineRule="auto"/>
        <w:ind w:right="843"/>
        <w:jc w:val="both"/>
        <w:rPr>
          <w:rFonts w:ascii="Palatino Linotype" w:eastAsia="Palatino Linotype" w:hAnsi="Palatino Linotype" w:cs="Palatino Linotype"/>
          <w:sz w:val="22"/>
          <w:szCs w:val="22"/>
        </w:rPr>
      </w:pPr>
    </w:p>
    <w:p w14:paraId="033A9274"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En este sentido, al considerar la fecha en que se formuló la solicitud y la fecha en que respondió a esta 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así como la fecha en que se interpuso el recurso de revisión, se concluye que el presente recurso de revisión se encuentra dentro de los márgenes temporales previstos las disposiciones legales referidas.</w:t>
      </w:r>
    </w:p>
    <w:p w14:paraId="791123A9" w14:textId="77777777" w:rsidR="000B1642" w:rsidRPr="004E7A2E" w:rsidRDefault="009F5022">
      <w:pPr>
        <w:spacing w:before="240" w:after="240"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2191FB17" w14:textId="77777777" w:rsidR="000B1642" w:rsidRPr="004E7A2E" w:rsidRDefault="009F5022">
      <w:pPr>
        <w:spacing w:before="120" w:after="120"/>
        <w:ind w:left="851" w:right="902"/>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4E7A2E">
        <w:rPr>
          <w:rFonts w:ascii="Palatino Linotype" w:eastAsia="Palatino Linotype" w:hAnsi="Palatino Linotype" w:cs="Palatino Linotype"/>
          <w:i/>
          <w:sz w:val="22"/>
          <w:szCs w:val="22"/>
        </w:rPr>
        <w:t>.</w:t>
      </w:r>
    </w:p>
    <w:p w14:paraId="785A7319" w14:textId="77777777" w:rsidR="000B1642" w:rsidRPr="004E7A2E" w:rsidRDefault="009F5022">
      <w:pPr>
        <w:spacing w:before="120" w:after="120"/>
        <w:ind w:left="851" w:right="902"/>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roofErr w:type="gramStart"/>
      <w:r w:rsidRPr="004E7A2E">
        <w:rPr>
          <w:rFonts w:ascii="Palatino Linotype" w:eastAsia="Palatino Linotype" w:hAnsi="Palatino Linotype" w:cs="Palatino Linotype"/>
          <w:i/>
          <w:sz w:val="22"/>
          <w:szCs w:val="22"/>
        </w:rPr>
        <w:t>.”(</w:t>
      </w:r>
      <w:proofErr w:type="gramEnd"/>
      <w:r w:rsidRPr="004E7A2E">
        <w:rPr>
          <w:rFonts w:ascii="Palatino Linotype" w:eastAsia="Palatino Linotype" w:hAnsi="Palatino Linotype" w:cs="Palatino Linotype"/>
          <w:i/>
          <w:sz w:val="22"/>
          <w:szCs w:val="22"/>
        </w:rPr>
        <w:t>Sic)</w:t>
      </w:r>
    </w:p>
    <w:p w14:paraId="40FE8CCE" w14:textId="77777777" w:rsidR="000B1642" w:rsidRPr="004E7A2E" w:rsidRDefault="000B1642">
      <w:pPr>
        <w:spacing w:line="360" w:lineRule="auto"/>
        <w:ind w:right="843"/>
        <w:jc w:val="both"/>
        <w:rPr>
          <w:rFonts w:ascii="Palatino Linotype" w:eastAsia="Palatino Linotype" w:hAnsi="Palatino Linotype" w:cs="Palatino Linotype"/>
          <w:sz w:val="22"/>
          <w:szCs w:val="22"/>
        </w:rPr>
      </w:pPr>
    </w:p>
    <w:p w14:paraId="006C8518"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lastRenderedPageBreak/>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w:t>
      </w:r>
      <w:r w:rsidRPr="004E7A2E">
        <w:rPr>
          <w:rFonts w:ascii="Palatino Linotype" w:eastAsia="Palatino Linotype" w:hAnsi="Palatino Linotype" w:cs="Palatino Linotype"/>
          <w:b/>
          <w:sz w:val="22"/>
          <w:szCs w:val="22"/>
        </w:rPr>
        <w:t>SAIMEX</w:t>
      </w:r>
      <w:r w:rsidRPr="004E7A2E">
        <w:rPr>
          <w:rFonts w:ascii="Palatino Linotype" w:eastAsia="Palatino Linotype" w:hAnsi="Palatino Linotype" w:cs="Palatino Linotype"/>
          <w:sz w:val="22"/>
          <w:szCs w:val="22"/>
        </w:rPr>
        <w:t>.</w:t>
      </w:r>
    </w:p>
    <w:p w14:paraId="5E3A9D6B"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09B5F874"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 de la ley de la materia, que a la letra dice:</w:t>
      </w:r>
    </w:p>
    <w:p w14:paraId="25092C45"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6BF41A65" w14:textId="77777777" w:rsidR="000B1642" w:rsidRPr="004E7A2E" w:rsidRDefault="009F5022">
      <w:pP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w:t>
      </w:r>
      <w:r w:rsidRPr="004E7A2E">
        <w:rPr>
          <w:rFonts w:ascii="Palatino Linotype" w:eastAsia="Palatino Linotype" w:hAnsi="Palatino Linotype" w:cs="Palatino Linotype"/>
          <w:b/>
          <w:i/>
          <w:sz w:val="22"/>
          <w:szCs w:val="22"/>
        </w:rPr>
        <w:t xml:space="preserve">Artículo 179. </w:t>
      </w:r>
      <w:r w:rsidRPr="004E7A2E">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EA591E6" w14:textId="77777777" w:rsidR="000B1642" w:rsidRPr="004E7A2E" w:rsidRDefault="009F5022">
      <w:pP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I. La negativa a la información solicitada;</w:t>
      </w:r>
    </w:p>
    <w:p w14:paraId="00DAEC1E" w14:textId="77777777" w:rsidR="000B1642" w:rsidRPr="004E7A2E" w:rsidRDefault="009F5022">
      <w:pPr>
        <w:spacing w:line="360"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 </w:t>
      </w:r>
    </w:p>
    <w:p w14:paraId="69A0D9EB" w14:textId="77777777" w:rsidR="000B1642" w:rsidRPr="004E7A2E" w:rsidRDefault="000B1642">
      <w:pPr>
        <w:spacing w:line="360" w:lineRule="auto"/>
        <w:ind w:left="567" w:right="616"/>
        <w:jc w:val="both"/>
        <w:rPr>
          <w:rFonts w:ascii="Palatino Linotype" w:eastAsia="Palatino Linotype" w:hAnsi="Palatino Linotype" w:cs="Palatino Linotype"/>
          <w:i/>
          <w:sz w:val="22"/>
          <w:szCs w:val="22"/>
        </w:rPr>
      </w:pPr>
    </w:p>
    <w:p w14:paraId="5AD4EDDA"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sz w:val="22"/>
          <w:szCs w:val="22"/>
        </w:rPr>
        <w:t>Tercero. Materia de Revisión</w:t>
      </w:r>
      <w:r w:rsidRPr="004E7A2E">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actualiza la fracción I del artículo 179 de la Ley de Transparencia y Acceso a la Información Pública del Estado de México y Municipios.  </w:t>
      </w:r>
    </w:p>
    <w:p w14:paraId="35B5B590"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17032856"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sz w:val="22"/>
          <w:szCs w:val="22"/>
        </w:rPr>
        <w:t xml:space="preserve">Cuarto. Estudio de fondo del asunto. </w:t>
      </w:r>
      <w:r w:rsidRPr="004E7A2E">
        <w:rPr>
          <w:rFonts w:ascii="Palatino Linotype" w:eastAsia="Palatino Linotype" w:hAnsi="Palatino Linotype" w:cs="Palatino Linotype"/>
          <w:sz w:val="22"/>
          <w:szCs w:val="22"/>
        </w:rPr>
        <w:t>Es conveniente analizar si la respuesta del Sujeto Obligado</w:t>
      </w:r>
      <w:r w:rsidRPr="004E7A2E">
        <w:rPr>
          <w:rFonts w:ascii="Palatino Linotype" w:eastAsia="Palatino Linotype" w:hAnsi="Palatino Linotype" w:cs="Palatino Linotype"/>
          <w:b/>
          <w:sz w:val="22"/>
          <w:szCs w:val="22"/>
        </w:rPr>
        <w:t xml:space="preserve"> </w:t>
      </w:r>
      <w:r w:rsidRPr="004E7A2E">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F2F289B"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7F35B971" w14:textId="77777777" w:rsidR="000B1642" w:rsidRPr="004E7A2E" w:rsidRDefault="009F5022">
      <w:pPr>
        <w:tabs>
          <w:tab w:val="left" w:pos="851"/>
        </w:tabs>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w:t>
      </w:r>
      <w:r w:rsidRPr="004E7A2E">
        <w:rPr>
          <w:rFonts w:ascii="Palatino Linotype" w:eastAsia="Palatino Linotype" w:hAnsi="Palatino Linotype" w:cs="Palatino Linotype"/>
          <w:b/>
          <w:i/>
          <w:sz w:val="22"/>
          <w:szCs w:val="22"/>
        </w:rPr>
        <w:t>Artículo 4</w:t>
      </w:r>
      <w:r w:rsidRPr="004E7A2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B181D0F" w14:textId="77777777" w:rsidR="000B1642" w:rsidRPr="004E7A2E" w:rsidRDefault="009F5022">
      <w:pPr>
        <w:tabs>
          <w:tab w:val="left" w:pos="851"/>
        </w:tabs>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E7A2E">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71FAFC6" w14:textId="77777777" w:rsidR="000B1642" w:rsidRPr="004E7A2E" w:rsidRDefault="009F5022">
      <w:pPr>
        <w:tabs>
          <w:tab w:val="left" w:pos="851"/>
        </w:tabs>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4E7A2E">
        <w:rPr>
          <w:rFonts w:ascii="Palatino Linotype" w:eastAsia="Palatino Linotype" w:hAnsi="Palatino Linotype" w:cs="Palatino Linotype"/>
          <w:i/>
          <w:sz w:val="22"/>
          <w:szCs w:val="22"/>
        </w:rPr>
        <w:t>.”(</w:t>
      </w:r>
      <w:proofErr w:type="gramEnd"/>
      <w:r w:rsidRPr="004E7A2E">
        <w:rPr>
          <w:rFonts w:ascii="Palatino Linotype" w:eastAsia="Palatino Linotype" w:hAnsi="Palatino Linotype" w:cs="Palatino Linotype"/>
          <w:i/>
          <w:sz w:val="22"/>
          <w:szCs w:val="22"/>
        </w:rPr>
        <w:t>Sic)</w:t>
      </w:r>
    </w:p>
    <w:p w14:paraId="15A72B47"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49340F72"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D415B48" w14:textId="77777777" w:rsidR="000B1642" w:rsidRPr="004E7A2E" w:rsidRDefault="000B1642">
      <w:pPr>
        <w:spacing w:line="276" w:lineRule="auto"/>
        <w:ind w:left="567" w:right="616"/>
        <w:jc w:val="both"/>
        <w:rPr>
          <w:rFonts w:ascii="Palatino Linotype" w:eastAsia="Palatino Linotype" w:hAnsi="Palatino Linotype" w:cs="Palatino Linotype"/>
          <w:sz w:val="22"/>
          <w:szCs w:val="22"/>
        </w:rPr>
      </w:pPr>
    </w:p>
    <w:p w14:paraId="7F57D54F" w14:textId="77777777" w:rsidR="000B1642" w:rsidRPr="004E7A2E" w:rsidRDefault="009F5022">
      <w:pP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w:t>
      </w:r>
      <w:r w:rsidRPr="004E7A2E">
        <w:rPr>
          <w:rFonts w:ascii="Palatino Linotype" w:eastAsia="Palatino Linotype" w:hAnsi="Palatino Linotype" w:cs="Palatino Linotype"/>
          <w:b/>
          <w:i/>
          <w:sz w:val="22"/>
          <w:szCs w:val="22"/>
        </w:rPr>
        <w:t>Artículo 12.-</w:t>
      </w:r>
      <w:r w:rsidRPr="004E7A2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9F3726" w14:textId="77777777" w:rsidR="000B1642" w:rsidRPr="004E7A2E" w:rsidRDefault="000B1642">
      <w:pPr>
        <w:spacing w:line="276" w:lineRule="auto"/>
        <w:ind w:left="851" w:right="616"/>
        <w:jc w:val="both"/>
        <w:rPr>
          <w:rFonts w:ascii="Palatino Linotype" w:eastAsia="Palatino Linotype" w:hAnsi="Palatino Linotype" w:cs="Palatino Linotype"/>
          <w:i/>
          <w:sz w:val="22"/>
          <w:szCs w:val="22"/>
        </w:rPr>
      </w:pPr>
    </w:p>
    <w:p w14:paraId="6213ABF5" w14:textId="77777777" w:rsidR="000B1642" w:rsidRPr="004E7A2E" w:rsidRDefault="009F5022">
      <w:pP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E7A2E">
        <w:rPr>
          <w:rFonts w:ascii="Palatino Linotype" w:eastAsia="Palatino Linotype" w:hAnsi="Palatino Linotype" w:cs="Palatino Linotype"/>
          <w:i/>
          <w:sz w:val="22"/>
          <w:szCs w:val="22"/>
        </w:rPr>
        <w:t xml:space="preserve">. </w:t>
      </w:r>
      <w:r w:rsidRPr="004E7A2E">
        <w:rPr>
          <w:rFonts w:ascii="Palatino Linotype" w:eastAsia="Palatino Linotype" w:hAnsi="Palatino Linotype" w:cs="Palatino Linotype"/>
          <w:b/>
          <w:i/>
          <w:sz w:val="22"/>
          <w:szCs w:val="22"/>
        </w:rPr>
        <w:lastRenderedPageBreak/>
        <w:t>La obligación de proporcionar información no comprende el procesamiento de la misma, ni el presentarla conforme al interés del solicitante; no estarán obligados a generarla, resumirla, efectuar cálculos o practicar investigaciones</w:t>
      </w:r>
      <w:r w:rsidRPr="004E7A2E">
        <w:rPr>
          <w:rFonts w:ascii="Palatino Linotype" w:eastAsia="Palatino Linotype" w:hAnsi="Palatino Linotype" w:cs="Palatino Linotype"/>
          <w:i/>
          <w:sz w:val="22"/>
          <w:szCs w:val="22"/>
        </w:rPr>
        <w:t xml:space="preserve">.” </w:t>
      </w:r>
    </w:p>
    <w:p w14:paraId="27B8B936" w14:textId="77777777" w:rsidR="000B1642" w:rsidRPr="004E7A2E" w:rsidRDefault="000B1642">
      <w:pPr>
        <w:spacing w:line="360" w:lineRule="auto"/>
        <w:ind w:right="-93"/>
        <w:jc w:val="both"/>
        <w:rPr>
          <w:rFonts w:ascii="Palatino Linotype" w:eastAsia="Palatino Linotype" w:hAnsi="Palatino Linotype" w:cs="Palatino Linotype"/>
          <w:sz w:val="22"/>
          <w:szCs w:val="22"/>
        </w:rPr>
      </w:pPr>
    </w:p>
    <w:p w14:paraId="74A612F9" w14:textId="77777777" w:rsidR="000B1642" w:rsidRPr="004E7A2E" w:rsidRDefault="009F5022">
      <w:pPr>
        <w:spacing w:line="360" w:lineRule="auto"/>
        <w:ind w:right="-93"/>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2232C9CD" w14:textId="77777777" w:rsidR="000B1642" w:rsidRPr="004E7A2E" w:rsidRDefault="000B1642">
      <w:pPr>
        <w:spacing w:line="360" w:lineRule="auto"/>
        <w:ind w:right="-93"/>
        <w:jc w:val="both"/>
        <w:rPr>
          <w:rFonts w:ascii="Palatino Linotype" w:eastAsia="Palatino Linotype" w:hAnsi="Palatino Linotype" w:cs="Palatino Linotype"/>
          <w:sz w:val="22"/>
          <w:szCs w:val="22"/>
        </w:rPr>
      </w:pPr>
    </w:p>
    <w:p w14:paraId="11749451" w14:textId="77777777" w:rsidR="000B1642" w:rsidRPr="004E7A2E" w:rsidRDefault="009F5022">
      <w:pPr>
        <w:spacing w:line="360" w:lineRule="auto"/>
        <w:jc w:val="both"/>
        <w:rPr>
          <w:rFonts w:ascii="Palatino Linotype" w:eastAsia="Palatino Linotype" w:hAnsi="Palatino Linotype" w:cs="Palatino Linotype"/>
          <w:b/>
          <w:sz w:val="22"/>
          <w:szCs w:val="22"/>
        </w:rPr>
      </w:pPr>
      <w:r w:rsidRPr="004E7A2E">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4E7A2E">
        <w:rPr>
          <w:rFonts w:ascii="Palatino Linotype" w:eastAsia="Palatino Linotype" w:hAnsi="Palatino Linotype" w:cs="Palatino Linotype"/>
          <w:b/>
          <w:sz w:val="22"/>
          <w:szCs w:val="22"/>
        </w:rPr>
        <w:t xml:space="preserve"> </w:t>
      </w:r>
    </w:p>
    <w:p w14:paraId="406AAEE8" w14:textId="77777777" w:rsidR="000B1642" w:rsidRPr="004E7A2E" w:rsidRDefault="009F5022">
      <w:pP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w:t>
      </w:r>
      <w:r w:rsidRPr="004E7A2E">
        <w:rPr>
          <w:rFonts w:ascii="Palatino Linotype" w:eastAsia="Palatino Linotype" w:hAnsi="Palatino Linotype" w:cs="Palatino Linotype"/>
          <w:b/>
          <w:i/>
          <w:sz w:val="22"/>
          <w:szCs w:val="22"/>
        </w:rPr>
        <w:t>No existe obligación de elaborar documentos ad hoc para atender las solicitudes de acceso a la información.</w:t>
      </w:r>
      <w:r w:rsidRPr="004E7A2E">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7C4DF0F" w14:textId="77777777" w:rsidR="000B1642" w:rsidRPr="004E7A2E" w:rsidRDefault="000B1642">
      <w:pPr>
        <w:spacing w:line="276" w:lineRule="auto"/>
        <w:ind w:left="567" w:right="616"/>
        <w:jc w:val="both"/>
        <w:rPr>
          <w:rFonts w:ascii="Palatino Linotype" w:eastAsia="Palatino Linotype" w:hAnsi="Palatino Linotype" w:cs="Palatino Linotype"/>
          <w:i/>
          <w:sz w:val="22"/>
          <w:szCs w:val="22"/>
        </w:rPr>
      </w:pPr>
    </w:p>
    <w:p w14:paraId="36AE280E"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En esa tesitura, el artículo 24 en su último párrafo de la Ley de la Materia, dispone que los Sujetos Obligados sólo proporcionarán la información pública que generen, administren o </w:t>
      </w:r>
      <w:r w:rsidRPr="004E7A2E">
        <w:rPr>
          <w:rFonts w:ascii="Palatino Linotype" w:eastAsia="Palatino Linotype" w:hAnsi="Palatino Linotype" w:cs="Palatino Linotype"/>
          <w:sz w:val="22"/>
          <w:szCs w:val="22"/>
        </w:rPr>
        <w:lastRenderedPageBreak/>
        <w:t>posean en el ejercicio de sus atribuciones; por consiguiente, la información pública se encuentra a disposición de cualquier persona, lo que implica que es deber de los Sujetos Obligados, garantizar el Derecho de Acceso a la Información Pública.</w:t>
      </w:r>
    </w:p>
    <w:p w14:paraId="52436040"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7DD055CE"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C78C8E1"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00BF4220" w14:textId="77777777" w:rsidR="000B1642" w:rsidRPr="004E7A2E" w:rsidRDefault="009F5022">
      <w:pP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w:t>
      </w:r>
      <w:r w:rsidRPr="004E7A2E">
        <w:rPr>
          <w:rFonts w:ascii="Palatino Linotype" w:eastAsia="Palatino Linotype" w:hAnsi="Palatino Linotype" w:cs="Palatino Linotype"/>
          <w:b/>
          <w:i/>
          <w:sz w:val="22"/>
          <w:szCs w:val="22"/>
        </w:rPr>
        <w:t xml:space="preserve">Artículo 3. </w:t>
      </w:r>
      <w:r w:rsidRPr="004E7A2E">
        <w:rPr>
          <w:rFonts w:ascii="Palatino Linotype" w:eastAsia="Palatino Linotype" w:hAnsi="Palatino Linotype" w:cs="Palatino Linotype"/>
          <w:i/>
          <w:sz w:val="22"/>
          <w:szCs w:val="22"/>
        </w:rPr>
        <w:t>Para los efectos de la presente Ley se entenderá por:</w:t>
      </w:r>
    </w:p>
    <w:p w14:paraId="445865B2" w14:textId="77777777" w:rsidR="000B1642" w:rsidRPr="004E7A2E" w:rsidRDefault="009F5022">
      <w:pP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w:t>
      </w:r>
    </w:p>
    <w:p w14:paraId="0E422D9E" w14:textId="77777777" w:rsidR="000B1642" w:rsidRPr="004E7A2E" w:rsidRDefault="009F5022">
      <w:pP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XI. Documento:</w:t>
      </w:r>
      <w:r w:rsidRPr="004E7A2E">
        <w:rPr>
          <w:rFonts w:ascii="Palatino Linotype" w:eastAsia="Palatino Linotype" w:hAnsi="Palatino Linotype" w:cs="Palatino Linotype"/>
          <w:i/>
          <w:sz w:val="22"/>
          <w:szCs w:val="22"/>
        </w:rPr>
        <w:t xml:space="preserve"> Los expedientes, reportes, estudios, actas</w:t>
      </w:r>
      <w:r w:rsidRPr="004E7A2E">
        <w:rPr>
          <w:rFonts w:ascii="Palatino Linotype" w:eastAsia="Palatino Linotype" w:hAnsi="Palatino Linotype" w:cs="Palatino Linotype"/>
          <w:b/>
          <w:i/>
          <w:sz w:val="22"/>
          <w:szCs w:val="22"/>
        </w:rPr>
        <w:t>,</w:t>
      </w:r>
      <w:r w:rsidRPr="004E7A2E">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BDCBE13" w14:textId="77777777" w:rsidR="000B1642" w:rsidRPr="004E7A2E" w:rsidRDefault="000B1642">
      <w:pPr>
        <w:spacing w:line="360" w:lineRule="auto"/>
        <w:ind w:left="851" w:right="899"/>
        <w:jc w:val="both"/>
        <w:rPr>
          <w:rFonts w:ascii="Palatino Linotype" w:eastAsia="Palatino Linotype" w:hAnsi="Palatino Linotype" w:cs="Palatino Linotype"/>
          <w:sz w:val="22"/>
          <w:szCs w:val="22"/>
        </w:rPr>
      </w:pPr>
    </w:p>
    <w:p w14:paraId="7E7490CD"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8E407A0" w14:textId="77777777" w:rsidR="000B1642" w:rsidRPr="004E7A2E" w:rsidRDefault="000B1642">
      <w:pPr>
        <w:spacing w:line="360" w:lineRule="auto"/>
        <w:ind w:left="851" w:right="899"/>
        <w:jc w:val="both"/>
        <w:rPr>
          <w:rFonts w:ascii="Palatino Linotype" w:eastAsia="Palatino Linotype" w:hAnsi="Palatino Linotype" w:cs="Palatino Linotype"/>
          <w:sz w:val="22"/>
          <w:szCs w:val="22"/>
        </w:rPr>
      </w:pPr>
    </w:p>
    <w:p w14:paraId="3F056868" w14:textId="77777777" w:rsidR="000B1642" w:rsidRPr="004E7A2E" w:rsidRDefault="009F5022">
      <w:pPr>
        <w:spacing w:line="276" w:lineRule="auto"/>
        <w:ind w:left="851" w:right="616"/>
        <w:jc w:val="both"/>
        <w:rPr>
          <w:rFonts w:ascii="Palatino Linotype" w:eastAsia="Palatino Linotype" w:hAnsi="Palatino Linotype" w:cs="Palatino Linotype"/>
          <w:b/>
          <w:i/>
          <w:sz w:val="22"/>
          <w:szCs w:val="22"/>
        </w:rPr>
      </w:pPr>
      <w:r w:rsidRPr="004E7A2E">
        <w:rPr>
          <w:rFonts w:ascii="Palatino Linotype" w:eastAsia="Palatino Linotype" w:hAnsi="Palatino Linotype" w:cs="Palatino Linotype"/>
          <w:sz w:val="22"/>
          <w:szCs w:val="22"/>
        </w:rPr>
        <w:lastRenderedPageBreak/>
        <w:t>“</w:t>
      </w:r>
      <w:r w:rsidRPr="004E7A2E">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4E7A2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D832B1B" w14:textId="77777777" w:rsidR="000B1642" w:rsidRPr="004E7A2E" w:rsidRDefault="009F5022">
      <w:pP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En </w:t>
      </w:r>
      <w:proofErr w:type="gramStart"/>
      <w:r w:rsidRPr="004E7A2E">
        <w:rPr>
          <w:rFonts w:ascii="Palatino Linotype" w:eastAsia="Palatino Linotype" w:hAnsi="Palatino Linotype" w:cs="Palatino Linotype"/>
          <w:i/>
          <w:sz w:val="22"/>
          <w:szCs w:val="22"/>
        </w:rPr>
        <w:t>consecuencia</w:t>
      </w:r>
      <w:proofErr w:type="gramEnd"/>
      <w:r w:rsidRPr="004E7A2E">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C199608" w14:textId="77777777" w:rsidR="000B1642" w:rsidRPr="004E7A2E" w:rsidRDefault="009F5022">
      <w:pP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1) Que se trate de información registrada en cualquier soporte documental, </w:t>
      </w:r>
      <w:proofErr w:type="gramStart"/>
      <w:r w:rsidRPr="004E7A2E">
        <w:rPr>
          <w:rFonts w:ascii="Palatino Linotype" w:eastAsia="Palatino Linotype" w:hAnsi="Palatino Linotype" w:cs="Palatino Linotype"/>
          <w:i/>
          <w:sz w:val="22"/>
          <w:szCs w:val="22"/>
        </w:rPr>
        <w:t>que</w:t>
      </w:r>
      <w:proofErr w:type="gramEnd"/>
      <w:r w:rsidRPr="004E7A2E">
        <w:rPr>
          <w:rFonts w:ascii="Palatino Linotype" w:eastAsia="Palatino Linotype" w:hAnsi="Palatino Linotype" w:cs="Palatino Linotype"/>
          <w:i/>
          <w:sz w:val="22"/>
          <w:szCs w:val="22"/>
        </w:rPr>
        <w:t xml:space="preserve"> en ejercicio de las atribuciones conferidas, sea generada por los Sujetos Obligados;</w:t>
      </w:r>
    </w:p>
    <w:p w14:paraId="3C9D87F9" w14:textId="77777777" w:rsidR="000B1642" w:rsidRPr="004E7A2E" w:rsidRDefault="009F5022">
      <w:pPr>
        <w:spacing w:line="276" w:lineRule="auto"/>
        <w:ind w:left="851" w:right="616"/>
        <w:jc w:val="both"/>
        <w:rPr>
          <w:rFonts w:ascii="Palatino Linotype" w:eastAsia="Palatino Linotype" w:hAnsi="Palatino Linotype" w:cs="Palatino Linotype"/>
          <w:b/>
          <w:i/>
          <w:sz w:val="22"/>
          <w:szCs w:val="22"/>
        </w:rPr>
      </w:pPr>
      <w:r w:rsidRPr="004E7A2E">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4E7A2E">
        <w:rPr>
          <w:rFonts w:ascii="Palatino Linotype" w:eastAsia="Palatino Linotype" w:hAnsi="Palatino Linotype" w:cs="Palatino Linotype"/>
          <w:b/>
          <w:i/>
          <w:sz w:val="22"/>
          <w:szCs w:val="22"/>
        </w:rPr>
        <w:t>que</w:t>
      </w:r>
      <w:proofErr w:type="gramEnd"/>
      <w:r w:rsidRPr="004E7A2E">
        <w:rPr>
          <w:rFonts w:ascii="Palatino Linotype" w:eastAsia="Palatino Linotype" w:hAnsi="Palatino Linotype" w:cs="Palatino Linotype"/>
          <w:b/>
          <w:i/>
          <w:sz w:val="22"/>
          <w:szCs w:val="22"/>
        </w:rPr>
        <w:t xml:space="preserve"> en ejercicio de las atribuciones conferidas, sea administrada por los Sujetos Obligados, y</w:t>
      </w:r>
    </w:p>
    <w:p w14:paraId="027637D9" w14:textId="77777777" w:rsidR="000B1642" w:rsidRPr="004E7A2E" w:rsidRDefault="009F5022">
      <w:pP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4E7A2E">
        <w:rPr>
          <w:rFonts w:ascii="Palatino Linotype" w:eastAsia="Palatino Linotype" w:hAnsi="Palatino Linotype" w:cs="Palatino Linotype"/>
          <w:b/>
          <w:i/>
          <w:sz w:val="22"/>
          <w:szCs w:val="22"/>
        </w:rPr>
        <w:t>que</w:t>
      </w:r>
      <w:proofErr w:type="gramEnd"/>
      <w:r w:rsidRPr="004E7A2E">
        <w:rPr>
          <w:rFonts w:ascii="Palatino Linotype" w:eastAsia="Palatino Linotype" w:hAnsi="Palatino Linotype" w:cs="Palatino Linotype"/>
          <w:b/>
          <w:i/>
          <w:sz w:val="22"/>
          <w:szCs w:val="22"/>
        </w:rPr>
        <w:t xml:space="preserve"> en ejercicio de las atribuciones conferidas, se encuentre en posesión de los Sujetos Obligados</w:t>
      </w:r>
      <w:r w:rsidRPr="004E7A2E">
        <w:rPr>
          <w:rFonts w:ascii="Palatino Linotype" w:eastAsia="Palatino Linotype" w:hAnsi="Palatino Linotype" w:cs="Palatino Linotype"/>
          <w:i/>
          <w:sz w:val="22"/>
          <w:szCs w:val="22"/>
        </w:rPr>
        <w:t>.” (Sic)</w:t>
      </w:r>
    </w:p>
    <w:p w14:paraId="0C4931E3"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6F0B91D4"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9E663F9"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06961CA8"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w:t>
      </w:r>
      <w:r w:rsidRPr="004E7A2E">
        <w:rPr>
          <w:rFonts w:ascii="Palatino Linotype" w:eastAsia="Palatino Linotype" w:hAnsi="Palatino Linotype" w:cs="Palatino Linotype"/>
          <w:sz w:val="22"/>
          <w:szCs w:val="22"/>
        </w:rPr>
        <w:lastRenderedPageBreak/>
        <w:t>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47D5FA4D" w14:textId="77777777" w:rsidR="000B1642" w:rsidRPr="004E7A2E" w:rsidRDefault="009F5022">
      <w:pPr>
        <w:spacing w:before="240" w:after="240" w:line="360" w:lineRule="auto"/>
        <w:ind w:right="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Ahora bien, del análisis a la solicitud de información, motivo del recurso de revisión que ahora se resuelve, se advierte que la parte </w:t>
      </w:r>
      <w:r w:rsidRPr="004E7A2E">
        <w:rPr>
          <w:rFonts w:ascii="Palatino Linotype" w:eastAsia="Palatino Linotype" w:hAnsi="Palatino Linotype" w:cs="Palatino Linotype"/>
          <w:b/>
          <w:sz w:val="22"/>
          <w:szCs w:val="22"/>
        </w:rPr>
        <w:t>Recurrente</w:t>
      </w:r>
      <w:r w:rsidRPr="004E7A2E">
        <w:rPr>
          <w:rFonts w:ascii="Palatino Linotype" w:eastAsia="Palatino Linotype" w:hAnsi="Palatino Linotype" w:cs="Palatino Linotype"/>
          <w:sz w:val="22"/>
          <w:szCs w:val="22"/>
        </w:rPr>
        <w:t xml:space="preserve"> requirió al </w:t>
      </w:r>
      <w:r w:rsidRPr="004E7A2E">
        <w:rPr>
          <w:rFonts w:ascii="Palatino Linotype" w:eastAsia="Palatino Linotype" w:hAnsi="Palatino Linotype" w:cs="Palatino Linotype"/>
          <w:b/>
          <w:sz w:val="22"/>
          <w:szCs w:val="22"/>
        </w:rPr>
        <w:t xml:space="preserve">Sujeto Obligado </w:t>
      </w:r>
      <w:r w:rsidRPr="004E7A2E">
        <w:rPr>
          <w:rFonts w:ascii="Palatino Linotype" w:eastAsia="Palatino Linotype" w:hAnsi="Palatino Linotype" w:cs="Palatino Linotype"/>
          <w:sz w:val="22"/>
          <w:szCs w:val="22"/>
        </w:rPr>
        <w:t>le proporcione, lo siguiente:</w:t>
      </w:r>
    </w:p>
    <w:p w14:paraId="76F02852" w14:textId="77777777" w:rsidR="000B1642" w:rsidRPr="004E7A2E" w:rsidRDefault="009F5022">
      <w:pPr>
        <w:numPr>
          <w:ilvl w:val="0"/>
          <w:numId w:val="10"/>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4E7A2E">
        <w:rPr>
          <w:rFonts w:ascii="Palatino Linotype" w:eastAsia="Palatino Linotype" w:hAnsi="Palatino Linotype" w:cs="Palatino Linotype"/>
          <w:b/>
          <w:sz w:val="22"/>
          <w:szCs w:val="22"/>
        </w:rPr>
        <w:t xml:space="preserve">De la Unidad de Transparencia: </w:t>
      </w:r>
    </w:p>
    <w:p w14:paraId="7647D583" w14:textId="77777777" w:rsidR="000B1642" w:rsidRPr="004E7A2E" w:rsidRDefault="009F5022">
      <w:pPr>
        <w:numPr>
          <w:ilvl w:val="0"/>
          <w:numId w:val="1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Plantilla de Personal, </w:t>
      </w:r>
    </w:p>
    <w:p w14:paraId="3CD6E904" w14:textId="77777777" w:rsidR="000B1642" w:rsidRPr="004E7A2E" w:rsidRDefault="009F5022">
      <w:pPr>
        <w:numPr>
          <w:ilvl w:val="0"/>
          <w:numId w:val="1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Listas de Asistencia o de lector biométrico, </w:t>
      </w:r>
    </w:p>
    <w:p w14:paraId="1BB623FC" w14:textId="77777777" w:rsidR="000B1642" w:rsidRPr="004E7A2E" w:rsidRDefault="009F5022">
      <w:pPr>
        <w:numPr>
          <w:ilvl w:val="0"/>
          <w:numId w:val="1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Inventario de Bienes de los servidores de la unidad, </w:t>
      </w:r>
    </w:p>
    <w:p w14:paraId="358F32BE" w14:textId="77777777" w:rsidR="000B1642" w:rsidRPr="004E7A2E" w:rsidRDefault="009F5022">
      <w:pPr>
        <w:numPr>
          <w:ilvl w:val="0"/>
          <w:numId w:val="1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Gafetes Institucionales </w:t>
      </w:r>
    </w:p>
    <w:p w14:paraId="519A85B4" w14:textId="77777777" w:rsidR="000B1642" w:rsidRPr="004E7A2E" w:rsidRDefault="009F5022">
      <w:pPr>
        <w:numPr>
          <w:ilvl w:val="0"/>
          <w:numId w:val="1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Funciones de cada servidor público, </w:t>
      </w:r>
    </w:p>
    <w:p w14:paraId="30082CB3" w14:textId="77777777" w:rsidR="000B1642" w:rsidRPr="004E7A2E" w:rsidRDefault="009F5022">
      <w:pPr>
        <w:numPr>
          <w:ilvl w:val="0"/>
          <w:numId w:val="1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Evidencia de sus funciones</w:t>
      </w:r>
    </w:p>
    <w:p w14:paraId="44A78E7E" w14:textId="77777777" w:rsidR="000B1642" w:rsidRPr="004E7A2E" w:rsidRDefault="009F5022">
      <w:pPr>
        <w:numPr>
          <w:ilvl w:val="0"/>
          <w:numId w:val="1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Horario laboral,</w:t>
      </w:r>
    </w:p>
    <w:p w14:paraId="6B124BD7" w14:textId="77777777" w:rsidR="000B1642" w:rsidRPr="004E7A2E" w:rsidRDefault="009F5022">
      <w:pPr>
        <w:numPr>
          <w:ilvl w:val="0"/>
          <w:numId w:val="1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Oficios firmados por el titular y jefes de departamento, </w:t>
      </w:r>
    </w:p>
    <w:p w14:paraId="37F46FAA" w14:textId="77777777" w:rsidR="000B1642" w:rsidRPr="004E7A2E" w:rsidRDefault="009F5022">
      <w:pPr>
        <w:numPr>
          <w:ilvl w:val="0"/>
          <w:numId w:val="1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Informe Diario de Actividades, </w:t>
      </w:r>
    </w:p>
    <w:p w14:paraId="376CB0A3" w14:textId="77777777" w:rsidR="000B1642" w:rsidRPr="004E7A2E" w:rsidRDefault="009F5022">
      <w:pPr>
        <w:numPr>
          <w:ilvl w:val="0"/>
          <w:numId w:val="1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Expediente Laboral completo con currículum, comprobante estudios, antecedentes no penales, certificación, </w:t>
      </w:r>
    </w:p>
    <w:p w14:paraId="5FC13BEC" w14:textId="77777777" w:rsidR="000B1642" w:rsidRPr="004E7A2E" w:rsidRDefault="009F5022">
      <w:pPr>
        <w:numPr>
          <w:ilvl w:val="0"/>
          <w:numId w:val="1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Cursos para demostrar que son aptos para el cargo, </w:t>
      </w:r>
    </w:p>
    <w:p w14:paraId="1324BD5B" w14:textId="77777777" w:rsidR="000B1642" w:rsidRPr="004E7A2E" w:rsidRDefault="009F5022">
      <w:pPr>
        <w:numPr>
          <w:ilvl w:val="0"/>
          <w:numId w:val="12"/>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4E7A2E">
        <w:rPr>
          <w:rFonts w:ascii="Palatino Linotype" w:eastAsia="Palatino Linotype" w:hAnsi="Palatino Linotype" w:cs="Palatino Linotype"/>
          <w:sz w:val="22"/>
          <w:szCs w:val="22"/>
        </w:rPr>
        <w:t xml:space="preserve">Fecha de alta con el </w:t>
      </w:r>
      <w:proofErr w:type="spellStart"/>
      <w:r w:rsidRPr="004E7A2E">
        <w:rPr>
          <w:rFonts w:ascii="Palatino Linotype" w:eastAsia="Palatino Linotype" w:hAnsi="Palatino Linotype" w:cs="Palatino Linotype"/>
          <w:sz w:val="22"/>
          <w:szCs w:val="22"/>
        </w:rPr>
        <w:t>Fump</w:t>
      </w:r>
      <w:proofErr w:type="spellEnd"/>
      <w:r w:rsidRPr="004E7A2E">
        <w:rPr>
          <w:rFonts w:ascii="Palatino Linotype" w:eastAsia="Palatino Linotype" w:hAnsi="Palatino Linotype" w:cs="Palatino Linotype"/>
          <w:b/>
          <w:sz w:val="22"/>
          <w:szCs w:val="22"/>
        </w:rPr>
        <w:t xml:space="preserve">. </w:t>
      </w:r>
    </w:p>
    <w:p w14:paraId="0380FFC3" w14:textId="77777777" w:rsidR="000B1642" w:rsidRPr="004E7A2E" w:rsidRDefault="000B1642">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06E09C0F" w14:textId="77777777" w:rsidR="000B1642" w:rsidRPr="004E7A2E" w:rsidRDefault="009F5022">
      <w:pPr>
        <w:spacing w:line="360" w:lineRule="auto"/>
        <w:ind w:right="49"/>
        <w:jc w:val="both"/>
        <w:rPr>
          <w:rFonts w:ascii="Palatino Linotype" w:eastAsia="Palatino Linotype" w:hAnsi="Palatino Linotype" w:cs="Palatino Linotype"/>
          <w:b/>
          <w:sz w:val="22"/>
          <w:szCs w:val="22"/>
          <w:u w:val="single"/>
        </w:rPr>
      </w:pPr>
      <w:r w:rsidRPr="004E7A2E">
        <w:rPr>
          <w:rFonts w:ascii="Palatino Linotype" w:eastAsia="Palatino Linotype" w:hAnsi="Palatino Linotype" w:cs="Palatino Linotype"/>
          <w:sz w:val="22"/>
          <w:szCs w:val="22"/>
        </w:rPr>
        <w:lastRenderedPageBreak/>
        <w:t xml:space="preserve">En tal sentido, 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a través de los Departamentos de Nóminas y Administración de Personal adscritos a la Dirección General de Administración, informaron la entrega de la información solicitada, señalando que en términos del artículo 143 fracción I de la Ley de Transparencia y Acceso a la Información Pública del Estado de México y Municipios, la información personal contenida en la constancia de no inhabilitación, certificado de no deudor alimentario moroso, alta de ISSEMYM, у comprobante de estudios ha sido considerada como confidencial de forma parcial mediante acuerdo número CT/SE/260/01/2025; por su parte, los datos personales contenidos en la identificación oficial INE, acta de nacimiento, certificado médico, comprobante de domicilio, cédula del CURP y cédula del RFC, ha sido clasificada como confidencial de forma total de conformidad con el artículo 140 fracción X, y demás aplicables de la Ley de Transparencia y Acceso a la Información Pública del Estado de México y Municipios, mediante acuerdo número CT/SE/260/02/2025; los acuerdos antes citados aprobados por el Comité de Transparencia en la Ducentésima Sexagésima Sesión Extraordinaria 2025. </w:t>
      </w:r>
      <w:r w:rsidRPr="004E7A2E">
        <w:rPr>
          <w:rFonts w:ascii="Palatino Linotype" w:eastAsia="Palatino Linotype" w:hAnsi="Palatino Linotype" w:cs="Palatino Linotype"/>
          <w:b/>
          <w:sz w:val="22"/>
          <w:szCs w:val="22"/>
          <w:u w:val="single"/>
        </w:rPr>
        <w:t xml:space="preserve">No obstante, no se adjuntó a la respuesta, la información referida. </w:t>
      </w:r>
    </w:p>
    <w:p w14:paraId="71CF921C" w14:textId="77777777" w:rsidR="000B1642" w:rsidRPr="004E7A2E" w:rsidRDefault="000B1642">
      <w:pPr>
        <w:spacing w:line="360" w:lineRule="auto"/>
        <w:ind w:right="49"/>
        <w:jc w:val="both"/>
        <w:rPr>
          <w:rFonts w:ascii="Palatino Linotype" w:eastAsia="Palatino Linotype" w:hAnsi="Palatino Linotype" w:cs="Palatino Linotype"/>
          <w:b/>
          <w:sz w:val="22"/>
          <w:szCs w:val="22"/>
          <w:u w:val="single"/>
        </w:rPr>
      </w:pPr>
    </w:p>
    <w:p w14:paraId="432531E2"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Así mismo, la Unidad de Transparencia informó que derivado de una búsqueda exhaustiva y razonable en sus archivos, las funciones a cargo de la Unidad de Transparencia y su estructura se encuentran a contenidas en la Manual de Organización de la Secretaría, información que de acuerdo a lo establecido por el artículo 161 de la Ley de Transparencia del Estado, la información se encuentra ya publicada para su consulta en el sitio web: </w:t>
      </w:r>
      <w:hyperlink r:id="rId9">
        <w:r w:rsidRPr="004E7A2E">
          <w:rPr>
            <w:rFonts w:ascii="Palatino Linotype" w:eastAsia="Palatino Linotype" w:hAnsi="Palatino Linotype" w:cs="Palatino Linotype"/>
            <w:sz w:val="22"/>
            <w:szCs w:val="22"/>
            <w:u w:val="single"/>
          </w:rPr>
          <w:t>https://www2.toluca.gob.mx/wp-content/uploads/2024/10/02-MO-SA.pdf</w:t>
        </w:r>
      </w:hyperlink>
      <w:r w:rsidRPr="004E7A2E">
        <w:rPr>
          <w:rFonts w:ascii="Palatino Linotype" w:eastAsia="Palatino Linotype" w:hAnsi="Palatino Linotype" w:cs="Palatino Linotype"/>
          <w:sz w:val="22"/>
          <w:szCs w:val="22"/>
        </w:rPr>
        <w:t xml:space="preserve">. </w:t>
      </w:r>
    </w:p>
    <w:p w14:paraId="04F792BB" w14:textId="77777777" w:rsidR="000B1642" w:rsidRPr="004E7A2E" w:rsidRDefault="000B1642">
      <w:pPr>
        <w:spacing w:line="360" w:lineRule="auto"/>
        <w:ind w:right="49"/>
        <w:jc w:val="both"/>
        <w:rPr>
          <w:rFonts w:ascii="Palatino Linotype" w:eastAsia="Palatino Linotype" w:hAnsi="Palatino Linotype" w:cs="Palatino Linotype"/>
          <w:sz w:val="22"/>
          <w:szCs w:val="22"/>
        </w:rPr>
      </w:pPr>
    </w:p>
    <w:p w14:paraId="28C4CB6E"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Por otro lado, señaló que el particular busca un pronunciamiento por parte del Sujeto Obligado, lo cual no constituye un derecho de acceso a la información; sino un derecho de petición debido a que realiza manifestaciones subjetivas, acusaciones y declaraciones que </w:t>
      </w:r>
      <w:r w:rsidRPr="004E7A2E">
        <w:rPr>
          <w:rFonts w:ascii="Palatino Linotype" w:eastAsia="Palatino Linotype" w:hAnsi="Palatino Linotype" w:cs="Palatino Linotype"/>
          <w:sz w:val="22"/>
          <w:szCs w:val="22"/>
        </w:rPr>
        <w:lastRenderedPageBreak/>
        <w:t>no se colman con la entrega de documentos, situación que conlleva a afirmar que se está ante la presencia del ejercicio del derecho ya anunciado.</w:t>
      </w:r>
    </w:p>
    <w:p w14:paraId="20BCF6FB" w14:textId="77777777" w:rsidR="000B1642" w:rsidRPr="004E7A2E" w:rsidRDefault="000B1642">
      <w:pPr>
        <w:spacing w:line="360" w:lineRule="auto"/>
        <w:ind w:right="49"/>
        <w:jc w:val="both"/>
        <w:rPr>
          <w:rFonts w:ascii="Palatino Linotype" w:eastAsia="Palatino Linotype" w:hAnsi="Palatino Linotype" w:cs="Palatino Linotype"/>
          <w:sz w:val="22"/>
          <w:szCs w:val="22"/>
        </w:rPr>
      </w:pPr>
    </w:p>
    <w:p w14:paraId="0C5BC19F"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Por lo que la entrega de una razón o un razonamiento por parte de este Sujeto Obligado no es algo que la ley establezca como atribución, derecho o facultad, pues ello implicaría un juicio de valor referente a un cuestionamiento realizado, los cuales al constituir interrogantes, inquietudes y manifestaciones se satisfacen vía derecho de petición.</w:t>
      </w:r>
    </w:p>
    <w:p w14:paraId="371F9A59" w14:textId="77777777" w:rsidR="000B1642" w:rsidRPr="004E7A2E" w:rsidRDefault="000B1642">
      <w:pPr>
        <w:spacing w:line="360" w:lineRule="auto"/>
        <w:ind w:right="49"/>
        <w:jc w:val="both"/>
        <w:rPr>
          <w:rFonts w:ascii="Palatino Linotype" w:eastAsia="Palatino Linotype" w:hAnsi="Palatino Linotype" w:cs="Palatino Linotype"/>
          <w:sz w:val="22"/>
          <w:szCs w:val="22"/>
        </w:rPr>
      </w:pPr>
    </w:p>
    <w:p w14:paraId="52711AE7"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En consecuencia, al realizar este tipo de manifestaciones que no se relacionan con el asunto principal, no significa ejercer el derecho de acceso a la información de manera respetuosa, sino por el contrario, se traduce en una posible afectación a la esfera íntima de las personas referidas en la solicitud, y en consecuencia a las personas señaladas por lo que se puede incurrir en un tipo de responsabilidad, que bien, este Sujeto Obligado no es competente para conocer, no es óbice para atenderse por otras vías.</w:t>
      </w:r>
    </w:p>
    <w:p w14:paraId="5821F033" w14:textId="77777777" w:rsidR="000B1642" w:rsidRPr="004E7A2E" w:rsidRDefault="000B1642">
      <w:pPr>
        <w:spacing w:line="360" w:lineRule="auto"/>
        <w:ind w:right="49"/>
        <w:jc w:val="both"/>
        <w:rPr>
          <w:rFonts w:ascii="Palatino Linotype" w:eastAsia="Palatino Linotype" w:hAnsi="Palatino Linotype" w:cs="Palatino Linotype"/>
          <w:sz w:val="22"/>
          <w:szCs w:val="22"/>
        </w:rPr>
      </w:pPr>
    </w:p>
    <w:p w14:paraId="2908BE07"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Cuestiones de previo y especial pronunciamiento, no pasa desapercibido para esta Autoridad que del contenido de la solicitud de mérito, el particular, expresó imputaciones que difaman el honor de las personas servidoras públicas las cuales atacan a la moral; al respecto, este Sujeto Obligado, no omite comentar que, si bien frente al derecho a la libertad de expresión reconocido en el artículo 6 de la Constitución Política de los Estado Unidos Mexicanos que señala que toda persona tiene el libre derecho a la manifestación de las ideas y esta no será objeto de ninguna inquisición judicial o administrativa, también lo es que, para aquellos casos en donde se ataque la moral, la vida privada o de los derechos de terceros, puede ser sujeta a un estricto régimen de responsabilidad establecidas en las diferentes disposiciones que rigen el sistema jurídico mexicano.”</w:t>
      </w:r>
    </w:p>
    <w:p w14:paraId="4F6EE2CA" w14:textId="77777777" w:rsidR="000B1642" w:rsidRPr="004E7A2E" w:rsidRDefault="000B1642">
      <w:pPr>
        <w:spacing w:line="360" w:lineRule="auto"/>
        <w:ind w:right="49"/>
        <w:jc w:val="both"/>
        <w:rPr>
          <w:rFonts w:ascii="Palatino Linotype" w:eastAsia="Palatino Linotype" w:hAnsi="Palatino Linotype" w:cs="Palatino Linotype"/>
          <w:sz w:val="22"/>
          <w:szCs w:val="22"/>
        </w:rPr>
      </w:pPr>
    </w:p>
    <w:p w14:paraId="6BFF4DD3"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lastRenderedPageBreak/>
        <w:t xml:space="preserve">Inconforme con la respuesta el hoy </w:t>
      </w:r>
      <w:r w:rsidRPr="004E7A2E">
        <w:rPr>
          <w:rFonts w:ascii="Palatino Linotype" w:eastAsia="Palatino Linotype" w:hAnsi="Palatino Linotype" w:cs="Palatino Linotype"/>
          <w:b/>
          <w:sz w:val="22"/>
          <w:szCs w:val="22"/>
        </w:rPr>
        <w:t>Recurrente</w:t>
      </w:r>
      <w:r w:rsidRPr="004E7A2E">
        <w:rPr>
          <w:rFonts w:ascii="Palatino Linotype" w:eastAsia="Palatino Linotype" w:hAnsi="Palatino Linotype" w:cs="Palatino Linotype"/>
          <w:sz w:val="22"/>
          <w:szCs w:val="22"/>
        </w:rPr>
        <w:t>, interpuso el recurso de revisión que se analiza en el presente asunto, en el que expreso “</w:t>
      </w:r>
      <w:r w:rsidRPr="004E7A2E">
        <w:rPr>
          <w:rFonts w:ascii="Palatino Linotype" w:eastAsia="Palatino Linotype" w:hAnsi="Palatino Linotype" w:cs="Palatino Linotype"/>
          <w:i/>
          <w:sz w:val="22"/>
          <w:szCs w:val="22"/>
        </w:rPr>
        <w:t xml:space="preserve">Dicen que anexan y no anexan nada de información lo hacen con toda la mala intensión se exigen que ese entregue la información y que </w:t>
      </w:r>
      <w:proofErr w:type="spellStart"/>
      <w:r w:rsidRPr="004E7A2E">
        <w:rPr>
          <w:rFonts w:ascii="Palatino Linotype" w:eastAsia="Palatino Linotype" w:hAnsi="Palatino Linotype" w:cs="Palatino Linotype"/>
          <w:i/>
          <w:sz w:val="22"/>
          <w:szCs w:val="22"/>
        </w:rPr>
        <w:t>Infoem</w:t>
      </w:r>
      <w:proofErr w:type="spellEnd"/>
      <w:r w:rsidRPr="004E7A2E">
        <w:rPr>
          <w:rFonts w:ascii="Palatino Linotype" w:eastAsia="Palatino Linotype" w:hAnsi="Palatino Linotype" w:cs="Palatino Linotype"/>
          <w:i/>
          <w:sz w:val="22"/>
          <w:szCs w:val="22"/>
        </w:rPr>
        <w:t xml:space="preserve"> </w:t>
      </w:r>
      <w:proofErr w:type="spellStart"/>
      <w:r w:rsidRPr="004E7A2E">
        <w:rPr>
          <w:rFonts w:ascii="Palatino Linotype" w:eastAsia="Palatino Linotype" w:hAnsi="Palatino Linotype" w:cs="Palatino Linotype"/>
          <w:i/>
          <w:sz w:val="22"/>
          <w:szCs w:val="22"/>
        </w:rPr>
        <w:t>sansiones</w:t>
      </w:r>
      <w:proofErr w:type="spellEnd"/>
      <w:r w:rsidRPr="004E7A2E">
        <w:rPr>
          <w:rFonts w:ascii="Palatino Linotype" w:eastAsia="Palatino Linotype" w:hAnsi="Palatino Linotype" w:cs="Palatino Linotype"/>
          <w:i/>
          <w:sz w:val="22"/>
          <w:szCs w:val="22"/>
        </w:rPr>
        <w:t xml:space="preserve"> estas malas </w:t>
      </w:r>
      <w:proofErr w:type="spellStart"/>
      <w:r w:rsidRPr="004E7A2E">
        <w:rPr>
          <w:rFonts w:ascii="Palatino Linotype" w:eastAsia="Palatino Linotype" w:hAnsi="Palatino Linotype" w:cs="Palatino Linotype"/>
          <w:i/>
          <w:sz w:val="22"/>
          <w:szCs w:val="22"/>
        </w:rPr>
        <w:t>practicas</w:t>
      </w:r>
      <w:proofErr w:type="spellEnd"/>
      <w:r w:rsidRPr="004E7A2E">
        <w:rPr>
          <w:rFonts w:ascii="Palatino Linotype" w:eastAsia="Palatino Linotype" w:hAnsi="Palatino Linotype" w:cs="Palatino Linotype"/>
          <w:i/>
          <w:sz w:val="22"/>
          <w:szCs w:val="22"/>
        </w:rPr>
        <w:t xml:space="preserve"> </w:t>
      </w:r>
      <w:proofErr w:type="spellStart"/>
      <w:r w:rsidRPr="004E7A2E">
        <w:rPr>
          <w:rFonts w:ascii="Palatino Linotype" w:eastAsia="Palatino Linotype" w:hAnsi="Palatino Linotype" w:cs="Palatino Linotype"/>
          <w:i/>
          <w:sz w:val="22"/>
          <w:szCs w:val="22"/>
        </w:rPr>
        <w:t>por que</w:t>
      </w:r>
      <w:proofErr w:type="spellEnd"/>
      <w:r w:rsidRPr="004E7A2E">
        <w:rPr>
          <w:rFonts w:ascii="Palatino Linotype" w:eastAsia="Palatino Linotype" w:hAnsi="Palatino Linotype" w:cs="Palatino Linotype"/>
          <w:i/>
          <w:sz w:val="22"/>
          <w:szCs w:val="22"/>
        </w:rPr>
        <w:t xml:space="preserve"> solo ganan tiempo y violenta los derechos de terceros</w:t>
      </w:r>
      <w:r w:rsidRPr="004E7A2E">
        <w:rPr>
          <w:rFonts w:ascii="Palatino Linotype" w:eastAsia="Palatino Linotype" w:hAnsi="Palatino Linotype" w:cs="Palatino Linotype"/>
          <w:sz w:val="22"/>
          <w:szCs w:val="22"/>
        </w:rPr>
        <w:t xml:space="preserve">”. </w:t>
      </w:r>
    </w:p>
    <w:p w14:paraId="3C598DD1" w14:textId="77777777" w:rsidR="000B1642" w:rsidRPr="004E7A2E" w:rsidRDefault="000B1642">
      <w:pPr>
        <w:spacing w:line="360" w:lineRule="auto"/>
        <w:ind w:right="49"/>
        <w:jc w:val="both"/>
        <w:rPr>
          <w:rFonts w:ascii="Palatino Linotype" w:eastAsia="Palatino Linotype" w:hAnsi="Palatino Linotype" w:cs="Palatino Linotype"/>
          <w:sz w:val="22"/>
          <w:szCs w:val="22"/>
        </w:rPr>
      </w:pPr>
    </w:p>
    <w:p w14:paraId="52A24FA2"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Es así como, el </w:t>
      </w:r>
      <w:r w:rsidRPr="004E7A2E">
        <w:rPr>
          <w:rFonts w:ascii="Palatino Linotype" w:eastAsia="Palatino Linotype" w:hAnsi="Palatino Linotype" w:cs="Palatino Linotype"/>
          <w:b/>
          <w:sz w:val="22"/>
          <w:szCs w:val="22"/>
        </w:rPr>
        <w:t>Recurrente</w:t>
      </w:r>
      <w:r w:rsidRPr="004E7A2E">
        <w:rPr>
          <w:rFonts w:ascii="Palatino Linotype" w:eastAsia="Palatino Linotype" w:hAnsi="Palatino Linotype" w:cs="Palatino Linotype"/>
          <w:sz w:val="22"/>
          <w:szCs w:val="22"/>
        </w:rPr>
        <w:t xml:space="preserve"> no realizó manifestaciones, alegatos o pruebas que a su derecho convinieran y por su parte el </w:t>
      </w:r>
      <w:r w:rsidRPr="004E7A2E">
        <w:rPr>
          <w:rFonts w:ascii="Palatino Linotype" w:eastAsia="Palatino Linotype" w:hAnsi="Palatino Linotype" w:cs="Palatino Linotype"/>
          <w:b/>
          <w:sz w:val="22"/>
          <w:szCs w:val="22"/>
        </w:rPr>
        <w:t xml:space="preserve">Sujeto Obligado </w:t>
      </w:r>
      <w:r w:rsidRPr="004E7A2E">
        <w:rPr>
          <w:rFonts w:ascii="Palatino Linotype" w:eastAsia="Palatino Linotype" w:hAnsi="Palatino Linotype" w:cs="Palatino Linotype"/>
          <w:sz w:val="22"/>
          <w:szCs w:val="22"/>
        </w:rPr>
        <w:t xml:space="preserve">ratificó su respuesta inicial, precisando que referente a los </w:t>
      </w:r>
      <w:r w:rsidRPr="004E7A2E">
        <w:rPr>
          <w:rFonts w:ascii="Palatino Linotype" w:eastAsia="Palatino Linotype" w:hAnsi="Palatino Linotype" w:cs="Palatino Linotype"/>
          <w:b/>
          <w:i/>
          <w:sz w:val="22"/>
          <w:szCs w:val="22"/>
        </w:rPr>
        <w:t>registros de asistencia del personal</w:t>
      </w:r>
      <w:r w:rsidRPr="004E7A2E">
        <w:rPr>
          <w:rFonts w:ascii="Palatino Linotype" w:eastAsia="Palatino Linotype" w:hAnsi="Palatino Linotype" w:cs="Palatino Linotype"/>
          <w:sz w:val="22"/>
          <w:szCs w:val="22"/>
        </w:rPr>
        <w:t xml:space="preserve"> del área en mención y derivado de una búsqueda exhaustiva y razonable, envía en medio magnético los registros que están bajo el resguardo del Departamento de Administración del Personal del periodo enero de dos mil veinticuatro a enero de dos mil veinticinco, comentando que en la documental enviada se maneja como clasificada en partes por contener datos personales, con fundamento en los artículos 24 fracciones VI, XIV, 48, 132 fracción II y 143 Fracción I de la Ley de Transparencia y Acceso a la Información Pública del Estado de México y Municipios de Transparencia y Acceso a la Información Pública del Estado de México y Municipios; sin embargo, fue omiso en hacer entrega de la información referida. </w:t>
      </w:r>
    </w:p>
    <w:p w14:paraId="37D5E958" w14:textId="77777777" w:rsidR="000B1642" w:rsidRPr="004E7A2E" w:rsidRDefault="000B1642">
      <w:pPr>
        <w:spacing w:line="360" w:lineRule="auto"/>
        <w:ind w:right="49"/>
        <w:jc w:val="both"/>
        <w:rPr>
          <w:rFonts w:ascii="Palatino Linotype" w:eastAsia="Palatino Linotype" w:hAnsi="Palatino Linotype" w:cs="Palatino Linotype"/>
          <w:sz w:val="22"/>
          <w:szCs w:val="22"/>
        </w:rPr>
      </w:pPr>
    </w:p>
    <w:p w14:paraId="2465B999"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Aclarado lo anterior, se procede al análisis de la respuesta emitida por 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a efecto de determinar si es suficiente para tener por colmado el derecho de acceso a la información de la parte </w:t>
      </w:r>
      <w:r w:rsidRPr="004E7A2E">
        <w:rPr>
          <w:rFonts w:ascii="Palatino Linotype" w:eastAsia="Palatino Linotype" w:hAnsi="Palatino Linotype" w:cs="Palatino Linotype"/>
          <w:b/>
          <w:sz w:val="22"/>
          <w:szCs w:val="22"/>
        </w:rPr>
        <w:t>Recurrente</w:t>
      </w:r>
      <w:r w:rsidRPr="004E7A2E">
        <w:rPr>
          <w:rFonts w:ascii="Palatino Linotype" w:eastAsia="Palatino Linotype" w:hAnsi="Palatino Linotype" w:cs="Palatino Linotype"/>
          <w:sz w:val="22"/>
          <w:szCs w:val="22"/>
        </w:rPr>
        <w:t>, o en su defecto ordenar la entrega del o los documentos que lo satisfagan.</w:t>
      </w:r>
    </w:p>
    <w:p w14:paraId="6D8DFA3F" w14:textId="77777777" w:rsidR="000B1642" w:rsidRPr="004E7A2E" w:rsidRDefault="009F5022">
      <w:pPr>
        <w:spacing w:before="240" w:after="240"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En este orden de ideas, se procede a realizar un cuadro comparativo de la información solicitada con la información entregada en respuesta, para determinar si colman el derecho de acceso a la información pública del hoy Recurrente, conforme a lo siguiente: </w:t>
      </w:r>
    </w:p>
    <w:tbl>
      <w:tblPr>
        <w:tblStyle w:val="af5"/>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6"/>
        <w:gridCol w:w="2432"/>
        <w:gridCol w:w="2395"/>
        <w:gridCol w:w="1716"/>
      </w:tblGrid>
      <w:tr w:rsidR="001111FB" w:rsidRPr="004E7A2E" w14:paraId="0877D1E3" w14:textId="77777777">
        <w:tc>
          <w:tcPr>
            <w:tcW w:w="1816" w:type="dxa"/>
            <w:shd w:val="clear" w:color="auto" w:fill="CCFFFF"/>
          </w:tcPr>
          <w:p w14:paraId="7AC630A7" w14:textId="77777777" w:rsidR="000B1642" w:rsidRPr="004E7A2E" w:rsidRDefault="009F5022">
            <w:pPr>
              <w:jc w:val="center"/>
              <w:rPr>
                <w:rFonts w:ascii="Palatino Linotype" w:eastAsia="Palatino Linotype" w:hAnsi="Palatino Linotype" w:cs="Palatino Linotype"/>
                <w:b/>
                <w:sz w:val="20"/>
                <w:szCs w:val="20"/>
              </w:rPr>
            </w:pPr>
            <w:r w:rsidRPr="004E7A2E">
              <w:rPr>
                <w:rFonts w:ascii="Palatino Linotype" w:eastAsia="Palatino Linotype" w:hAnsi="Palatino Linotype" w:cs="Palatino Linotype"/>
                <w:b/>
                <w:sz w:val="20"/>
                <w:szCs w:val="20"/>
              </w:rPr>
              <w:lastRenderedPageBreak/>
              <w:t>Solicitud</w:t>
            </w:r>
          </w:p>
          <w:p w14:paraId="20457AEB" w14:textId="77777777" w:rsidR="000B1642" w:rsidRPr="004E7A2E" w:rsidRDefault="009F5022">
            <w:pPr>
              <w:jc w:val="both"/>
              <w:rPr>
                <w:rFonts w:ascii="Palatino Linotype" w:eastAsia="Palatino Linotype" w:hAnsi="Palatino Linotype" w:cs="Palatino Linotype"/>
                <w:b/>
                <w:i/>
                <w:sz w:val="20"/>
                <w:szCs w:val="20"/>
              </w:rPr>
            </w:pPr>
            <w:r w:rsidRPr="004E7A2E">
              <w:rPr>
                <w:rFonts w:ascii="Palatino Linotype" w:eastAsia="Palatino Linotype" w:hAnsi="Palatino Linotype" w:cs="Palatino Linotype"/>
                <w:b/>
                <w:i/>
                <w:sz w:val="20"/>
                <w:szCs w:val="20"/>
              </w:rPr>
              <w:t>De la unidad de Transparencia:</w:t>
            </w:r>
          </w:p>
        </w:tc>
        <w:tc>
          <w:tcPr>
            <w:tcW w:w="2432" w:type="dxa"/>
            <w:shd w:val="clear" w:color="auto" w:fill="CCFFFF"/>
          </w:tcPr>
          <w:p w14:paraId="248953C7" w14:textId="77777777" w:rsidR="000B1642" w:rsidRPr="004E7A2E" w:rsidRDefault="009F5022">
            <w:pPr>
              <w:jc w:val="center"/>
              <w:rPr>
                <w:rFonts w:ascii="Palatino Linotype" w:eastAsia="Palatino Linotype" w:hAnsi="Palatino Linotype" w:cs="Palatino Linotype"/>
                <w:b/>
                <w:sz w:val="20"/>
                <w:szCs w:val="20"/>
              </w:rPr>
            </w:pPr>
            <w:r w:rsidRPr="004E7A2E">
              <w:rPr>
                <w:rFonts w:ascii="Palatino Linotype" w:eastAsia="Palatino Linotype" w:hAnsi="Palatino Linotype" w:cs="Palatino Linotype"/>
                <w:b/>
                <w:sz w:val="20"/>
                <w:szCs w:val="20"/>
              </w:rPr>
              <w:t>Respuesta</w:t>
            </w:r>
          </w:p>
        </w:tc>
        <w:tc>
          <w:tcPr>
            <w:tcW w:w="2395" w:type="dxa"/>
            <w:shd w:val="clear" w:color="auto" w:fill="CCFFFF"/>
          </w:tcPr>
          <w:p w14:paraId="435FBAEE" w14:textId="77777777" w:rsidR="000B1642" w:rsidRPr="004E7A2E" w:rsidRDefault="009F5022">
            <w:pPr>
              <w:jc w:val="center"/>
              <w:rPr>
                <w:rFonts w:ascii="Palatino Linotype" w:eastAsia="Palatino Linotype" w:hAnsi="Palatino Linotype" w:cs="Palatino Linotype"/>
                <w:b/>
                <w:sz w:val="20"/>
                <w:szCs w:val="20"/>
              </w:rPr>
            </w:pPr>
            <w:r w:rsidRPr="004E7A2E">
              <w:rPr>
                <w:rFonts w:ascii="Palatino Linotype" w:eastAsia="Palatino Linotype" w:hAnsi="Palatino Linotype" w:cs="Palatino Linotype"/>
                <w:b/>
                <w:sz w:val="20"/>
                <w:szCs w:val="20"/>
              </w:rPr>
              <w:t>Informe Justificado</w:t>
            </w:r>
          </w:p>
        </w:tc>
        <w:tc>
          <w:tcPr>
            <w:tcW w:w="1716" w:type="dxa"/>
            <w:shd w:val="clear" w:color="auto" w:fill="CCFFFF"/>
          </w:tcPr>
          <w:p w14:paraId="4A931ACC" w14:textId="77777777" w:rsidR="000B1642" w:rsidRPr="004E7A2E" w:rsidRDefault="009F5022">
            <w:pPr>
              <w:jc w:val="center"/>
              <w:rPr>
                <w:rFonts w:ascii="Palatino Linotype" w:eastAsia="Palatino Linotype" w:hAnsi="Palatino Linotype" w:cs="Palatino Linotype"/>
                <w:b/>
                <w:sz w:val="20"/>
                <w:szCs w:val="20"/>
              </w:rPr>
            </w:pPr>
            <w:r w:rsidRPr="004E7A2E">
              <w:rPr>
                <w:rFonts w:ascii="Palatino Linotype" w:eastAsia="Palatino Linotype" w:hAnsi="Palatino Linotype" w:cs="Palatino Linotype"/>
                <w:b/>
                <w:sz w:val="20"/>
                <w:szCs w:val="20"/>
              </w:rPr>
              <w:t xml:space="preserve">Atendió / No atendió la solicitud </w:t>
            </w:r>
          </w:p>
        </w:tc>
      </w:tr>
      <w:tr w:rsidR="001111FB" w:rsidRPr="004E7A2E" w14:paraId="29150951" w14:textId="77777777">
        <w:tc>
          <w:tcPr>
            <w:tcW w:w="1816" w:type="dxa"/>
          </w:tcPr>
          <w:p w14:paraId="77BBB9C4"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1. Plantilla de Personal,</w:t>
            </w:r>
          </w:p>
        </w:tc>
        <w:tc>
          <w:tcPr>
            <w:tcW w:w="2432" w:type="dxa"/>
            <w:vMerge w:val="restart"/>
          </w:tcPr>
          <w:p w14:paraId="77D29F44"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 xml:space="preserve">La Dirección General de Administración informó que después de una búsqueda exhaustiva y razonable en los archivos físicos y electrónicos que obran en el Departamento de Nóminas y en el Departamento de Administración de Personal, remite en formato digital la información solicitada.  </w:t>
            </w:r>
          </w:p>
          <w:p w14:paraId="6634F8B3" w14:textId="77777777" w:rsidR="000B1642" w:rsidRPr="004E7A2E" w:rsidRDefault="000B1642">
            <w:pPr>
              <w:jc w:val="both"/>
              <w:rPr>
                <w:rFonts w:ascii="Palatino Linotype" w:eastAsia="Palatino Linotype" w:hAnsi="Palatino Linotype" w:cs="Palatino Linotype"/>
                <w:sz w:val="20"/>
                <w:szCs w:val="20"/>
              </w:rPr>
            </w:pPr>
          </w:p>
          <w:p w14:paraId="1935D4C1"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 xml:space="preserve">Mencionando que, en términos del artículo 143, fracción I de la Ley de la materia, la información personal contenida en la constancia de no inhabilitación, certificado de no deudor alimentario moroso, alta de ISSEMYM, у comprobante de estudios ha sido considerada como confidencial de forma parcial mediante acuerdo número CT/SE/260/01/2025.  </w:t>
            </w:r>
          </w:p>
          <w:p w14:paraId="412FAEE7" w14:textId="77777777" w:rsidR="000B1642" w:rsidRPr="004E7A2E" w:rsidRDefault="000B1642">
            <w:pPr>
              <w:jc w:val="both"/>
              <w:rPr>
                <w:rFonts w:ascii="Palatino Linotype" w:eastAsia="Palatino Linotype" w:hAnsi="Palatino Linotype" w:cs="Palatino Linotype"/>
                <w:sz w:val="20"/>
                <w:szCs w:val="20"/>
              </w:rPr>
            </w:pPr>
          </w:p>
          <w:p w14:paraId="5D55B5FF"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 xml:space="preserve">Por su parte, los datos personales contenidos en la identificación oficial INE, acta de nacimiento, certificado médico, comprobante de domicilio, cédula del CURP y cédula del RFC, ha sido clasificada como </w:t>
            </w:r>
            <w:r w:rsidRPr="004E7A2E">
              <w:rPr>
                <w:rFonts w:ascii="Palatino Linotype" w:eastAsia="Palatino Linotype" w:hAnsi="Palatino Linotype" w:cs="Palatino Linotype"/>
                <w:sz w:val="20"/>
                <w:szCs w:val="20"/>
              </w:rPr>
              <w:lastRenderedPageBreak/>
              <w:t>confidencial de forma total de conformidad con el artículo 140 fracción X, y demás aplicables de la Ley de Transparencia y Acceso a la Información Pública del Estado de México y Municipios, mediante acuerdo número CT/SE/260/02/2025; los acuerdos antes citados aprobados por el Comité de Transparencia en la Ducentésima Sexagésima Sesión Extraordinaria 2025.</w:t>
            </w:r>
          </w:p>
          <w:p w14:paraId="3C33EEEC" w14:textId="77777777" w:rsidR="000B1642" w:rsidRPr="004E7A2E" w:rsidRDefault="000B1642">
            <w:pPr>
              <w:jc w:val="both"/>
              <w:rPr>
                <w:rFonts w:ascii="Palatino Linotype" w:eastAsia="Palatino Linotype" w:hAnsi="Palatino Linotype" w:cs="Palatino Linotype"/>
                <w:sz w:val="20"/>
                <w:szCs w:val="20"/>
              </w:rPr>
            </w:pPr>
          </w:p>
        </w:tc>
        <w:tc>
          <w:tcPr>
            <w:tcW w:w="2395" w:type="dxa"/>
          </w:tcPr>
          <w:p w14:paraId="2F61B42B"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lastRenderedPageBreak/>
              <w:t xml:space="preserve">Ratificó su respuesta </w:t>
            </w:r>
          </w:p>
        </w:tc>
        <w:tc>
          <w:tcPr>
            <w:tcW w:w="1716" w:type="dxa"/>
          </w:tcPr>
          <w:p w14:paraId="5249A6B1" w14:textId="77777777" w:rsidR="000B1642" w:rsidRPr="004E7A2E" w:rsidRDefault="009F5022">
            <w:pPr>
              <w:jc w:val="center"/>
              <w:rPr>
                <w:rFonts w:ascii="Palatino Linotype" w:eastAsia="Palatino Linotype" w:hAnsi="Palatino Linotype" w:cs="Palatino Linotype"/>
                <w:b/>
                <w:sz w:val="20"/>
                <w:szCs w:val="20"/>
              </w:rPr>
            </w:pPr>
            <w:r w:rsidRPr="004E7A2E">
              <w:rPr>
                <w:rFonts w:ascii="Palatino Linotype" w:eastAsia="Palatino Linotype" w:hAnsi="Palatino Linotype" w:cs="Palatino Linotype"/>
                <w:b/>
                <w:sz w:val="20"/>
                <w:szCs w:val="20"/>
              </w:rPr>
              <w:t>No</w:t>
            </w:r>
          </w:p>
          <w:p w14:paraId="6E8CC2AB" w14:textId="77777777" w:rsidR="000B1642" w:rsidRPr="004E7A2E" w:rsidRDefault="009F5022">
            <w:pPr>
              <w:jc w:val="both"/>
              <w:rPr>
                <w:rFonts w:ascii="Palatino Linotype" w:eastAsia="Palatino Linotype" w:hAnsi="Palatino Linotype" w:cs="Palatino Linotype"/>
                <w:b/>
                <w:sz w:val="20"/>
                <w:szCs w:val="20"/>
              </w:rPr>
            </w:pPr>
            <w:r w:rsidRPr="004E7A2E">
              <w:rPr>
                <w:rFonts w:ascii="Palatino Linotype" w:eastAsia="Palatino Linotype" w:hAnsi="Palatino Linotype" w:cs="Palatino Linotype"/>
                <w:sz w:val="20"/>
                <w:szCs w:val="20"/>
              </w:rPr>
              <w:t>Fue omiso en adjuntar la información</w:t>
            </w:r>
            <w:r w:rsidRPr="004E7A2E">
              <w:rPr>
                <w:rFonts w:ascii="Palatino Linotype" w:eastAsia="Palatino Linotype" w:hAnsi="Palatino Linotype" w:cs="Palatino Linotype"/>
                <w:b/>
                <w:sz w:val="20"/>
                <w:szCs w:val="20"/>
              </w:rPr>
              <w:t xml:space="preserve"> </w:t>
            </w:r>
          </w:p>
        </w:tc>
      </w:tr>
      <w:tr w:rsidR="001111FB" w:rsidRPr="004E7A2E" w14:paraId="2C019685" w14:textId="77777777">
        <w:tc>
          <w:tcPr>
            <w:tcW w:w="1816" w:type="dxa"/>
          </w:tcPr>
          <w:p w14:paraId="2713312F"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2. Listas de Asistencia o de lector biométrico,</w:t>
            </w:r>
          </w:p>
        </w:tc>
        <w:tc>
          <w:tcPr>
            <w:tcW w:w="2432" w:type="dxa"/>
            <w:vMerge/>
          </w:tcPr>
          <w:p w14:paraId="265299DD" w14:textId="77777777" w:rsidR="000B1642" w:rsidRPr="004E7A2E" w:rsidRDefault="000B1642">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395" w:type="dxa"/>
          </w:tcPr>
          <w:p w14:paraId="49E57931"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 xml:space="preserve">La </w:t>
            </w:r>
            <w:proofErr w:type="gramStart"/>
            <w:r w:rsidRPr="004E7A2E">
              <w:rPr>
                <w:rFonts w:ascii="Palatino Linotype" w:eastAsia="Palatino Linotype" w:hAnsi="Palatino Linotype" w:cs="Palatino Linotype"/>
                <w:sz w:val="20"/>
                <w:szCs w:val="20"/>
              </w:rPr>
              <w:t>Directora</w:t>
            </w:r>
            <w:proofErr w:type="gramEnd"/>
            <w:r w:rsidRPr="004E7A2E">
              <w:rPr>
                <w:rFonts w:ascii="Palatino Linotype" w:eastAsia="Palatino Linotype" w:hAnsi="Palatino Linotype" w:cs="Palatino Linotype"/>
                <w:sz w:val="20"/>
                <w:szCs w:val="20"/>
              </w:rPr>
              <w:t xml:space="preserve"> de Recursos Humanos, informó la entrega de los registros de asistencia del personal del área en mención, del periodo enero de dos mil veinticuatro a enero de dos mil veinticinco. </w:t>
            </w:r>
          </w:p>
          <w:p w14:paraId="036738B4"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No omite comentar que la documental enviada se maneja como clasificada en partes por contener datos personales, con fundamento en los artículos 24 fracciones VI, XIV, 48, 132 fracción II y 143 Fracción I de la Ley de Transparencia y Acceso a la Información Pública del Estado de México y Municipios.</w:t>
            </w:r>
          </w:p>
          <w:p w14:paraId="29F6F416" w14:textId="77777777" w:rsidR="000B1642" w:rsidRPr="004E7A2E" w:rsidRDefault="000B1642">
            <w:pPr>
              <w:jc w:val="both"/>
              <w:rPr>
                <w:rFonts w:ascii="Palatino Linotype" w:eastAsia="Palatino Linotype" w:hAnsi="Palatino Linotype" w:cs="Palatino Linotype"/>
                <w:sz w:val="20"/>
                <w:szCs w:val="20"/>
              </w:rPr>
            </w:pPr>
          </w:p>
        </w:tc>
        <w:tc>
          <w:tcPr>
            <w:tcW w:w="1716" w:type="dxa"/>
          </w:tcPr>
          <w:p w14:paraId="01FEA74B" w14:textId="77777777" w:rsidR="000B1642" w:rsidRPr="004E7A2E" w:rsidRDefault="009F5022">
            <w:pPr>
              <w:jc w:val="center"/>
              <w:rPr>
                <w:rFonts w:ascii="Palatino Linotype" w:eastAsia="Palatino Linotype" w:hAnsi="Palatino Linotype" w:cs="Palatino Linotype"/>
                <w:b/>
                <w:sz w:val="20"/>
                <w:szCs w:val="20"/>
              </w:rPr>
            </w:pPr>
            <w:r w:rsidRPr="004E7A2E">
              <w:rPr>
                <w:rFonts w:ascii="Palatino Linotype" w:eastAsia="Palatino Linotype" w:hAnsi="Palatino Linotype" w:cs="Palatino Linotype"/>
                <w:b/>
                <w:sz w:val="20"/>
                <w:szCs w:val="20"/>
              </w:rPr>
              <w:t>No</w:t>
            </w:r>
          </w:p>
          <w:p w14:paraId="21649DAC"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 xml:space="preserve">Si bien es cierto que informó la entrega de la información, lo cierto es que, fue omiso en adjuntar la documental referida. </w:t>
            </w:r>
          </w:p>
        </w:tc>
      </w:tr>
      <w:tr w:rsidR="001111FB" w:rsidRPr="004E7A2E" w14:paraId="12FBB6BC" w14:textId="77777777">
        <w:tc>
          <w:tcPr>
            <w:tcW w:w="1816" w:type="dxa"/>
          </w:tcPr>
          <w:p w14:paraId="53F83E49"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3. Inventario de Bienes de los servidores de la unidad,</w:t>
            </w:r>
          </w:p>
        </w:tc>
        <w:tc>
          <w:tcPr>
            <w:tcW w:w="2432" w:type="dxa"/>
            <w:vMerge/>
          </w:tcPr>
          <w:p w14:paraId="757A6BC8" w14:textId="77777777" w:rsidR="000B1642" w:rsidRPr="004E7A2E" w:rsidRDefault="000B1642">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395" w:type="dxa"/>
          </w:tcPr>
          <w:p w14:paraId="7485BBC2"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 xml:space="preserve">Ratificó su respuesta </w:t>
            </w:r>
          </w:p>
        </w:tc>
        <w:tc>
          <w:tcPr>
            <w:tcW w:w="1716" w:type="dxa"/>
          </w:tcPr>
          <w:p w14:paraId="4980F517" w14:textId="77777777" w:rsidR="000B1642" w:rsidRPr="004E7A2E" w:rsidRDefault="009F5022">
            <w:pPr>
              <w:jc w:val="center"/>
              <w:rPr>
                <w:rFonts w:ascii="Palatino Linotype" w:eastAsia="Palatino Linotype" w:hAnsi="Palatino Linotype" w:cs="Palatino Linotype"/>
                <w:b/>
                <w:sz w:val="20"/>
                <w:szCs w:val="20"/>
              </w:rPr>
            </w:pPr>
            <w:r w:rsidRPr="004E7A2E">
              <w:rPr>
                <w:rFonts w:ascii="Palatino Linotype" w:eastAsia="Palatino Linotype" w:hAnsi="Palatino Linotype" w:cs="Palatino Linotype"/>
                <w:b/>
                <w:sz w:val="20"/>
                <w:szCs w:val="20"/>
              </w:rPr>
              <w:t>No</w:t>
            </w:r>
          </w:p>
          <w:p w14:paraId="734757AF"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Fue omiso en adjuntar la información</w:t>
            </w:r>
          </w:p>
        </w:tc>
      </w:tr>
      <w:tr w:rsidR="001111FB" w:rsidRPr="004E7A2E" w14:paraId="07FB078F" w14:textId="77777777">
        <w:tc>
          <w:tcPr>
            <w:tcW w:w="1816" w:type="dxa"/>
          </w:tcPr>
          <w:p w14:paraId="5D9DFBF9" w14:textId="77777777" w:rsidR="000B1642" w:rsidRPr="004E7A2E" w:rsidRDefault="009F5022">
            <w:pPr>
              <w:tabs>
                <w:tab w:val="left" w:pos="29"/>
              </w:tabs>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4. Gafetes Institucionales</w:t>
            </w:r>
          </w:p>
        </w:tc>
        <w:tc>
          <w:tcPr>
            <w:tcW w:w="2432" w:type="dxa"/>
            <w:vMerge/>
          </w:tcPr>
          <w:p w14:paraId="10D869B5" w14:textId="77777777" w:rsidR="000B1642" w:rsidRPr="004E7A2E" w:rsidRDefault="000B1642">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395" w:type="dxa"/>
          </w:tcPr>
          <w:p w14:paraId="595C0DF5"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Ratificó su respuesta</w:t>
            </w:r>
          </w:p>
        </w:tc>
        <w:tc>
          <w:tcPr>
            <w:tcW w:w="1716" w:type="dxa"/>
          </w:tcPr>
          <w:p w14:paraId="3B905B9A" w14:textId="77777777" w:rsidR="000B1642" w:rsidRPr="004E7A2E" w:rsidRDefault="009F5022">
            <w:pPr>
              <w:jc w:val="center"/>
              <w:rPr>
                <w:rFonts w:ascii="Palatino Linotype" w:eastAsia="Palatino Linotype" w:hAnsi="Palatino Linotype" w:cs="Palatino Linotype"/>
                <w:b/>
                <w:sz w:val="20"/>
                <w:szCs w:val="20"/>
              </w:rPr>
            </w:pPr>
            <w:r w:rsidRPr="004E7A2E">
              <w:rPr>
                <w:rFonts w:ascii="Palatino Linotype" w:eastAsia="Palatino Linotype" w:hAnsi="Palatino Linotype" w:cs="Palatino Linotype"/>
                <w:b/>
                <w:sz w:val="20"/>
                <w:szCs w:val="20"/>
              </w:rPr>
              <w:t>No</w:t>
            </w:r>
          </w:p>
          <w:p w14:paraId="2C16F67E"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Fue omiso en adjuntar la información</w:t>
            </w:r>
          </w:p>
        </w:tc>
      </w:tr>
      <w:tr w:rsidR="001111FB" w:rsidRPr="004E7A2E" w14:paraId="4BB302E3" w14:textId="77777777">
        <w:tc>
          <w:tcPr>
            <w:tcW w:w="1816" w:type="dxa"/>
          </w:tcPr>
          <w:p w14:paraId="445DACE0"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5. Funciones de cada servidor público,</w:t>
            </w:r>
          </w:p>
        </w:tc>
        <w:tc>
          <w:tcPr>
            <w:tcW w:w="2432" w:type="dxa"/>
            <w:vMerge w:val="restart"/>
          </w:tcPr>
          <w:p w14:paraId="58BDE27E"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 xml:space="preserve">la Unidad de Transparencia informó que derivado de una búsqueda exhaustiva y razonable en sus archivos, las funciones a cargo de la Unidad de Transparencia y su estructura se encuentran a contenidas en la Manual de Organización de la Secretaría, información que de acuerdo a lo establecido por el artículo 161 de la Ley de Transparencia del Estado, se encuentra ya publicada para su consulta en el sitio web: </w:t>
            </w:r>
            <w:hyperlink r:id="rId10">
              <w:r w:rsidRPr="004E7A2E">
                <w:rPr>
                  <w:rFonts w:ascii="Palatino Linotype" w:eastAsia="Palatino Linotype" w:hAnsi="Palatino Linotype" w:cs="Palatino Linotype"/>
                  <w:sz w:val="20"/>
                  <w:szCs w:val="20"/>
                  <w:u w:val="single"/>
                </w:rPr>
                <w:t>https://www2.toluca.gob.mx/wp-content/uploads/2024/10/02-MO-SA.pdf</w:t>
              </w:r>
            </w:hyperlink>
            <w:r w:rsidRPr="004E7A2E">
              <w:rPr>
                <w:rFonts w:ascii="Palatino Linotype" w:eastAsia="Palatino Linotype" w:hAnsi="Palatino Linotype" w:cs="Palatino Linotype"/>
                <w:sz w:val="20"/>
                <w:szCs w:val="20"/>
              </w:rPr>
              <w:t xml:space="preserve"> </w:t>
            </w:r>
          </w:p>
          <w:p w14:paraId="07A6E2CE" w14:textId="77777777" w:rsidR="000B1642" w:rsidRPr="004E7A2E" w:rsidRDefault="000B1642">
            <w:pPr>
              <w:jc w:val="both"/>
              <w:rPr>
                <w:rFonts w:ascii="Palatino Linotype" w:eastAsia="Palatino Linotype" w:hAnsi="Palatino Linotype" w:cs="Palatino Linotype"/>
                <w:sz w:val="20"/>
                <w:szCs w:val="20"/>
              </w:rPr>
            </w:pPr>
          </w:p>
          <w:p w14:paraId="2857A2F3"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 xml:space="preserve">Por otro lado, señaló que el particular busca un </w:t>
            </w:r>
            <w:r w:rsidRPr="004E7A2E">
              <w:rPr>
                <w:rFonts w:ascii="Palatino Linotype" w:eastAsia="Palatino Linotype" w:hAnsi="Palatino Linotype" w:cs="Palatino Linotype"/>
                <w:sz w:val="20"/>
                <w:szCs w:val="20"/>
              </w:rPr>
              <w:lastRenderedPageBreak/>
              <w:t>pronunciamiento por parte del Sujeto Obligado, lo cual no constituye un derecho de acceso a la información; sino un derecho de petición debido a que realiza manifestaciones subjetivas por el solicitante, acusaciones y declaraciones que no se colman con la entrega de documentos, situación que conlleva a afirmar que se está ante la presencia del ejercicio del derecho ya anunciado.</w:t>
            </w:r>
          </w:p>
        </w:tc>
        <w:tc>
          <w:tcPr>
            <w:tcW w:w="2395" w:type="dxa"/>
            <w:vMerge w:val="restart"/>
          </w:tcPr>
          <w:p w14:paraId="4512FAE6"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lastRenderedPageBreak/>
              <w:t xml:space="preserve">Ratificó su respuesta </w:t>
            </w:r>
          </w:p>
        </w:tc>
        <w:tc>
          <w:tcPr>
            <w:tcW w:w="1716" w:type="dxa"/>
          </w:tcPr>
          <w:p w14:paraId="0430335B" w14:textId="77777777" w:rsidR="000B1642" w:rsidRPr="004E7A2E" w:rsidRDefault="009F5022">
            <w:pPr>
              <w:jc w:val="center"/>
              <w:rPr>
                <w:rFonts w:ascii="Palatino Linotype" w:eastAsia="Palatino Linotype" w:hAnsi="Palatino Linotype" w:cs="Palatino Linotype"/>
                <w:b/>
                <w:sz w:val="20"/>
                <w:szCs w:val="20"/>
              </w:rPr>
            </w:pPr>
            <w:r w:rsidRPr="004E7A2E">
              <w:rPr>
                <w:rFonts w:ascii="Palatino Linotype" w:eastAsia="Palatino Linotype" w:hAnsi="Palatino Linotype" w:cs="Palatino Linotype"/>
                <w:b/>
                <w:sz w:val="20"/>
                <w:szCs w:val="20"/>
              </w:rPr>
              <w:t>Parcialmente</w:t>
            </w:r>
          </w:p>
          <w:p w14:paraId="482EEFD1"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 xml:space="preserve">Si bien la liga electrónica remite al Manual de Organización de la Secretaría del Ayuntamiento, del que se advierten las atribuciones del Titular de la Unidad de Transparencia y de sus Departamentos de Acceso a la Información Pública y de Protección de Datos Personales, lo cierto es que, el particular desea conocer las funciones de </w:t>
            </w:r>
            <w:r w:rsidRPr="004E7A2E">
              <w:rPr>
                <w:rFonts w:ascii="Palatino Linotype" w:eastAsia="Palatino Linotype" w:hAnsi="Palatino Linotype" w:cs="Palatino Linotype"/>
                <w:sz w:val="20"/>
                <w:szCs w:val="20"/>
              </w:rPr>
              <w:lastRenderedPageBreak/>
              <w:t xml:space="preserve">cada uno de los integrantes de la Unidad.   </w:t>
            </w:r>
          </w:p>
        </w:tc>
      </w:tr>
      <w:tr w:rsidR="001111FB" w:rsidRPr="004E7A2E" w14:paraId="605A204F" w14:textId="77777777">
        <w:tc>
          <w:tcPr>
            <w:tcW w:w="1816" w:type="dxa"/>
          </w:tcPr>
          <w:p w14:paraId="2D828FC3"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lastRenderedPageBreak/>
              <w:t xml:space="preserve">6. Evidencia de sus funciones, </w:t>
            </w:r>
          </w:p>
        </w:tc>
        <w:tc>
          <w:tcPr>
            <w:tcW w:w="2432" w:type="dxa"/>
            <w:vMerge/>
          </w:tcPr>
          <w:p w14:paraId="04D208C1" w14:textId="77777777" w:rsidR="000B1642" w:rsidRPr="004E7A2E" w:rsidRDefault="000B1642">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395" w:type="dxa"/>
            <w:vMerge/>
          </w:tcPr>
          <w:p w14:paraId="08A69096" w14:textId="77777777" w:rsidR="000B1642" w:rsidRPr="004E7A2E" w:rsidRDefault="000B1642">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1716" w:type="dxa"/>
          </w:tcPr>
          <w:p w14:paraId="79056E01" w14:textId="77777777" w:rsidR="000B1642" w:rsidRPr="004E7A2E" w:rsidRDefault="009F5022">
            <w:pPr>
              <w:jc w:val="center"/>
              <w:rPr>
                <w:rFonts w:ascii="Palatino Linotype" w:eastAsia="Palatino Linotype" w:hAnsi="Palatino Linotype" w:cs="Palatino Linotype"/>
                <w:b/>
                <w:sz w:val="20"/>
                <w:szCs w:val="20"/>
              </w:rPr>
            </w:pPr>
            <w:r w:rsidRPr="004E7A2E">
              <w:rPr>
                <w:rFonts w:ascii="Palatino Linotype" w:eastAsia="Palatino Linotype" w:hAnsi="Palatino Linotype" w:cs="Palatino Linotype"/>
                <w:b/>
                <w:sz w:val="20"/>
                <w:szCs w:val="20"/>
              </w:rPr>
              <w:t>No atendió</w:t>
            </w:r>
          </w:p>
        </w:tc>
      </w:tr>
      <w:tr w:rsidR="001111FB" w:rsidRPr="004E7A2E" w14:paraId="5569A04E" w14:textId="77777777">
        <w:tc>
          <w:tcPr>
            <w:tcW w:w="1816" w:type="dxa"/>
          </w:tcPr>
          <w:p w14:paraId="7C9671F4"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7. Horario laboral,</w:t>
            </w:r>
          </w:p>
        </w:tc>
        <w:tc>
          <w:tcPr>
            <w:tcW w:w="2432" w:type="dxa"/>
            <w:vMerge w:val="restart"/>
          </w:tcPr>
          <w:p w14:paraId="329E9620"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La Dirección General de Administración informó que después de una búsqueda exhaustiva y razonable en los archivos físicos y electrónicos que obran en el Departamento de Nóminas y en el Departamento de Administración de Personal, remite en formato digital la información solicitada.</w:t>
            </w:r>
          </w:p>
          <w:p w14:paraId="08F22677" w14:textId="77777777" w:rsidR="000B1642" w:rsidRPr="004E7A2E" w:rsidRDefault="000B1642">
            <w:pPr>
              <w:jc w:val="both"/>
              <w:rPr>
                <w:rFonts w:ascii="Palatino Linotype" w:eastAsia="Palatino Linotype" w:hAnsi="Palatino Linotype" w:cs="Palatino Linotype"/>
                <w:sz w:val="20"/>
                <w:szCs w:val="20"/>
              </w:rPr>
            </w:pPr>
          </w:p>
          <w:p w14:paraId="4CBA58BB"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 xml:space="preserve">Mencionando que, en términos del artículo 143, fracción I de la Ley de la materia, la información personal contenida en la constancia de no inhabilitación, certificado de no deudor alimentario moroso, alta de ISSEMYM, у comprobante de estudios </w:t>
            </w:r>
            <w:r w:rsidRPr="004E7A2E">
              <w:rPr>
                <w:rFonts w:ascii="Palatino Linotype" w:eastAsia="Palatino Linotype" w:hAnsi="Palatino Linotype" w:cs="Palatino Linotype"/>
                <w:sz w:val="20"/>
                <w:szCs w:val="20"/>
              </w:rPr>
              <w:lastRenderedPageBreak/>
              <w:t xml:space="preserve">ha sido considerada como confidencial de forma parcial mediante acuerdo número CT/SE/260/01/2025. </w:t>
            </w:r>
          </w:p>
          <w:p w14:paraId="23EACBF0" w14:textId="77777777" w:rsidR="000B1642" w:rsidRPr="004E7A2E" w:rsidRDefault="000B1642">
            <w:pPr>
              <w:jc w:val="both"/>
              <w:rPr>
                <w:rFonts w:ascii="Palatino Linotype" w:eastAsia="Palatino Linotype" w:hAnsi="Palatino Linotype" w:cs="Palatino Linotype"/>
                <w:sz w:val="20"/>
                <w:szCs w:val="20"/>
              </w:rPr>
            </w:pPr>
          </w:p>
          <w:p w14:paraId="019E6D0A"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Por su parte, los datos personales contenidos en la identificación oficial INE, acta de nacimiento, certificado médico, comprobante de domicilio, cédula del CURP y cédula del RFC, ha sido clasificada como confidencial de forma total de conformidad con el artículo 140 fracción X, y demás aplicables de la Ley de Transparencia y Acceso a la Información Pública del Estado de México y Municipios, mediante acuerdo número CT/SE/260/02/2025; los acuerdos antes citados aprobados por el Comité de Transparencia en la Ducentésima Sexagésima Sesión Extraordinaria 2025</w:t>
            </w:r>
          </w:p>
        </w:tc>
        <w:tc>
          <w:tcPr>
            <w:tcW w:w="2395" w:type="dxa"/>
            <w:vMerge w:val="restart"/>
          </w:tcPr>
          <w:p w14:paraId="35C9CA9C"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lastRenderedPageBreak/>
              <w:t xml:space="preserve">Ratificó su respuesta. </w:t>
            </w:r>
          </w:p>
        </w:tc>
        <w:tc>
          <w:tcPr>
            <w:tcW w:w="1716" w:type="dxa"/>
            <w:vMerge w:val="restart"/>
          </w:tcPr>
          <w:p w14:paraId="196EA26F" w14:textId="77777777" w:rsidR="000B1642" w:rsidRPr="004E7A2E" w:rsidRDefault="009F5022">
            <w:pPr>
              <w:jc w:val="center"/>
              <w:rPr>
                <w:rFonts w:ascii="Palatino Linotype" w:eastAsia="Palatino Linotype" w:hAnsi="Palatino Linotype" w:cs="Palatino Linotype"/>
                <w:b/>
                <w:sz w:val="20"/>
                <w:szCs w:val="20"/>
              </w:rPr>
            </w:pPr>
            <w:r w:rsidRPr="004E7A2E">
              <w:rPr>
                <w:rFonts w:ascii="Palatino Linotype" w:eastAsia="Palatino Linotype" w:hAnsi="Palatino Linotype" w:cs="Palatino Linotype"/>
                <w:b/>
                <w:sz w:val="20"/>
                <w:szCs w:val="20"/>
              </w:rPr>
              <w:t>No</w:t>
            </w:r>
          </w:p>
          <w:p w14:paraId="445A4082"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 xml:space="preserve">Fue omiso en adjuntar la información referida. </w:t>
            </w:r>
          </w:p>
        </w:tc>
      </w:tr>
      <w:tr w:rsidR="001111FB" w:rsidRPr="004E7A2E" w14:paraId="080CBCB7" w14:textId="77777777">
        <w:tc>
          <w:tcPr>
            <w:tcW w:w="1816" w:type="dxa"/>
          </w:tcPr>
          <w:p w14:paraId="5037AB73"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8. Oficios firmados por el titular y jefes de departamento,</w:t>
            </w:r>
          </w:p>
        </w:tc>
        <w:tc>
          <w:tcPr>
            <w:tcW w:w="2432" w:type="dxa"/>
            <w:vMerge/>
          </w:tcPr>
          <w:p w14:paraId="02B92FD3" w14:textId="77777777" w:rsidR="000B1642" w:rsidRPr="004E7A2E" w:rsidRDefault="000B1642">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395" w:type="dxa"/>
            <w:vMerge/>
          </w:tcPr>
          <w:p w14:paraId="156C6B5A" w14:textId="77777777" w:rsidR="000B1642" w:rsidRPr="004E7A2E" w:rsidRDefault="000B1642">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1716" w:type="dxa"/>
            <w:vMerge/>
          </w:tcPr>
          <w:p w14:paraId="7B5F09ED" w14:textId="77777777" w:rsidR="000B1642" w:rsidRPr="004E7A2E" w:rsidRDefault="000B1642">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1111FB" w:rsidRPr="004E7A2E" w14:paraId="74718007" w14:textId="77777777">
        <w:tc>
          <w:tcPr>
            <w:tcW w:w="1816" w:type="dxa"/>
          </w:tcPr>
          <w:p w14:paraId="6BB07672"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9. Informe Diario de Actividades,</w:t>
            </w:r>
          </w:p>
        </w:tc>
        <w:tc>
          <w:tcPr>
            <w:tcW w:w="2432" w:type="dxa"/>
            <w:vMerge/>
          </w:tcPr>
          <w:p w14:paraId="6BBCD591" w14:textId="77777777" w:rsidR="000B1642" w:rsidRPr="004E7A2E" w:rsidRDefault="000B1642">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395" w:type="dxa"/>
            <w:vMerge/>
          </w:tcPr>
          <w:p w14:paraId="465A1A14" w14:textId="77777777" w:rsidR="000B1642" w:rsidRPr="004E7A2E" w:rsidRDefault="000B1642">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1716" w:type="dxa"/>
            <w:vMerge/>
          </w:tcPr>
          <w:p w14:paraId="09A75B98" w14:textId="77777777" w:rsidR="000B1642" w:rsidRPr="004E7A2E" w:rsidRDefault="000B1642">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1111FB" w:rsidRPr="004E7A2E" w14:paraId="5C57C024" w14:textId="77777777">
        <w:tc>
          <w:tcPr>
            <w:tcW w:w="1816" w:type="dxa"/>
          </w:tcPr>
          <w:p w14:paraId="41497405"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10. Expediente Laboral completo con currículum, comprobante estudios, antecedentes no penales, certificación,</w:t>
            </w:r>
          </w:p>
        </w:tc>
        <w:tc>
          <w:tcPr>
            <w:tcW w:w="2432" w:type="dxa"/>
            <w:vMerge/>
          </w:tcPr>
          <w:p w14:paraId="39F4B7D0" w14:textId="77777777" w:rsidR="000B1642" w:rsidRPr="004E7A2E" w:rsidRDefault="000B1642">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395" w:type="dxa"/>
            <w:vMerge/>
          </w:tcPr>
          <w:p w14:paraId="7C3C71CA" w14:textId="77777777" w:rsidR="000B1642" w:rsidRPr="004E7A2E" w:rsidRDefault="000B1642">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1716" w:type="dxa"/>
            <w:vMerge/>
          </w:tcPr>
          <w:p w14:paraId="35E63A4F" w14:textId="77777777" w:rsidR="000B1642" w:rsidRPr="004E7A2E" w:rsidRDefault="000B1642">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1111FB" w:rsidRPr="004E7A2E" w14:paraId="047C09C3" w14:textId="77777777">
        <w:tc>
          <w:tcPr>
            <w:tcW w:w="1816" w:type="dxa"/>
          </w:tcPr>
          <w:p w14:paraId="2D72FDF2"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11. Cursos para demostrar que son aptos para el cargo,</w:t>
            </w:r>
          </w:p>
        </w:tc>
        <w:tc>
          <w:tcPr>
            <w:tcW w:w="2432" w:type="dxa"/>
            <w:vMerge/>
          </w:tcPr>
          <w:p w14:paraId="2F84F0BA" w14:textId="77777777" w:rsidR="000B1642" w:rsidRPr="004E7A2E" w:rsidRDefault="000B1642">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395" w:type="dxa"/>
            <w:vMerge/>
          </w:tcPr>
          <w:p w14:paraId="1A13D1CF" w14:textId="77777777" w:rsidR="000B1642" w:rsidRPr="004E7A2E" w:rsidRDefault="000B1642">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1716" w:type="dxa"/>
            <w:vMerge/>
          </w:tcPr>
          <w:p w14:paraId="0564BB8F" w14:textId="77777777" w:rsidR="000B1642" w:rsidRPr="004E7A2E" w:rsidRDefault="000B1642">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1111FB" w:rsidRPr="004E7A2E" w14:paraId="4BD2D31D" w14:textId="77777777">
        <w:tc>
          <w:tcPr>
            <w:tcW w:w="1816" w:type="dxa"/>
          </w:tcPr>
          <w:p w14:paraId="258F22C8"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 xml:space="preserve">12. Fecha de alta con el </w:t>
            </w:r>
            <w:proofErr w:type="spellStart"/>
            <w:r w:rsidRPr="004E7A2E">
              <w:rPr>
                <w:rFonts w:ascii="Palatino Linotype" w:eastAsia="Palatino Linotype" w:hAnsi="Palatino Linotype" w:cs="Palatino Linotype"/>
                <w:sz w:val="20"/>
                <w:szCs w:val="20"/>
              </w:rPr>
              <w:t>Fump</w:t>
            </w:r>
            <w:proofErr w:type="spellEnd"/>
            <w:r w:rsidRPr="004E7A2E">
              <w:rPr>
                <w:rFonts w:ascii="Palatino Linotype" w:eastAsia="Palatino Linotype" w:hAnsi="Palatino Linotype" w:cs="Palatino Linotype"/>
                <w:sz w:val="20"/>
                <w:szCs w:val="20"/>
              </w:rPr>
              <w:t>.</w:t>
            </w:r>
          </w:p>
        </w:tc>
        <w:tc>
          <w:tcPr>
            <w:tcW w:w="2432" w:type="dxa"/>
            <w:vMerge/>
          </w:tcPr>
          <w:p w14:paraId="7F361B2F" w14:textId="77777777" w:rsidR="000B1642" w:rsidRPr="004E7A2E" w:rsidRDefault="000B1642">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395" w:type="dxa"/>
            <w:vMerge/>
          </w:tcPr>
          <w:p w14:paraId="59BDD3AE" w14:textId="77777777" w:rsidR="000B1642" w:rsidRPr="004E7A2E" w:rsidRDefault="000B1642">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1716" w:type="dxa"/>
            <w:vMerge/>
          </w:tcPr>
          <w:p w14:paraId="626EB2EB" w14:textId="77777777" w:rsidR="000B1642" w:rsidRPr="004E7A2E" w:rsidRDefault="000B1642">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14:paraId="71F9CF08" w14:textId="77777777" w:rsidR="000B1642" w:rsidRPr="004E7A2E" w:rsidRDefault="009F5022">
      <w:pPr>
        <w:spacing w:before="240" w:after="240"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Determinado lo anterior, resulta claro que 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no fue congruente ni exhaustivo en su respuesta de conformidad con el Criterio orientador 02/17 emitido por el entonces Instituto Nacional de Transparencia, Acceso a la Información y Protección de Datos Personales el cual establece lo siguiente:</w:t>
      </w:r>
    </w:p>
    <w:p w14:paraId="17885B66" w14:textId="77777777" w:rsidR="000B1642" w:rsidRPr="004E7A2E" w:rsidRDefault="009F5022">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w:t>
      </w:r>
      <w:r w:rsidRPr="004E7A2E">
        <w:rPr>
          <w:rFonts w:ascii="Palatino Linotype" w:eastAsia="Palatino Linotype" w:hAnsi="Palatino Linotype" w:cs="Palatino Linotype"/>
          <w:b/>
          <w:i/>
          <w:sz w:val="22"/>
          <w:szCs w:val="22"/>
        </w:rPr>
        <w:t>Congruencia y exhaustividad. Sus alcances para garantizar el derecho de acceso a la información.</w:t>
      </w:r>
      <w:r w:rsidRPr="004E7A2E">
        <w:rPr>
          <w:rFonts w:ascii="Palatino Linotype" w:eastAsia="Palatino Linotype" w:hAnsi="Palatino Linotype" w:cs="Palatino Linotype"/>
          <w:i/>
          <w:sz w:val="22"/>
          <w:szCs w:val="22"/>
        </w:rPr>
        <w:t xml:space="preserve"> De conformidad con el artículo 3 de la Ley Federal de Procedimiento Administrativo, de aplicación supletoria a la Ley Federal de </w:t>
      </w:r>
      <w:r w:rsidRPr="004E7A2E">
        <w:rPr>
          <w:rFonts w:ascii="Palatino Linotype" w:eastAsia="Palatino Linotype" w:hAnsi="Palatino Linotype" w:cs="Palatino Linotype"/>
          <w:i/>
          <w:sz w:val="22"/>
          <w:szCs w:val="22"/>
        </w:rPr>
        <w:lastRenderedPageBreak/>
        <w:t>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65270456" w14:textId="77777777" w:rsidR="000B1642" w:rsidRPr="004E7A2E" w:rsidRDefault="000B1642">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24DE3E7F" w14:textId="77777777" w:rsidR="000B1642" w:rsidRPr="004E7A2E" w:rsidRDefault="009F50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Es así, que los sujetos obligados para garantizar el derecho de acceso a la Información, deberán cumplir con los principios de exhaustividad y congruencia, esto es, que la congruencia </w:t>
      </w:r>
      <w:r w:rsidRPr="004E7A2E">
        <w:rPr>
          <w:rFonts w:ascii="Palatino Linotype" w:eastAsia="Palatino Linotype" w:hAnsi="Palatino Linotype" w:cs="Palatino Linotype"/>
          <w:b/>
          <w:sz w:val="22"/>
          <w:szCs w:val="22"/>
        </w:rPr>
        <w:t>implica que exista concordancia entre el requerimiento formulado por el particular y la respuesta proporcionada por el sujeto obligado</w:t>
      </w:r>
      <w:r w:rsidRPr="004E7A2E">
        <w:rPr>
          <w:rFonts w:ascii="Palatino Linotype" w:eastAsia="Palatino Linotype" w:hAnsi="Palatino Linotype" w:cs="Palatino Linotype"/>
          <w:sz w:val="22"/>
          <w:szCs w:val="22"/>
        </w:rPr>
        <w:t xml:space="preserve">, mientras que la exhaustividad establece que el sujeto obligado </w:t>
      </w:r>
      <w:r w:rsidRPr="004E7A2E">
        <w:rPr>
          <w:rFonts w:ascii="Palatino Linotype" w:eastAsia="Palatino Linotype" w:hAnsi="Palatino Linotype" w:cs="Palatino Linotype"/>
          <w:b/>
          <w:sz w:val="22"/>
          <w:szCs w:val="22"/>
        </w:rPr>
        <w:t>deberá atender de manera expresa cada uno de los puntos solicitados</w:t>
      </w:r>
      <w:r w:rsidRPr="004E7A2E">
        <w:rPr>
          <w:rFonts w:ascii="Palatino Linotype" w:eastAsia="Palatino Linotype" w:hAnsi="Palatino Linotype" w:cs="Palatino Linotype"/>
          <w:sz w:val="22"/>
          <w:szCs w:val="22"/>
        </w:rPr>
        <w:t xml:space="preserve">, situación que en el presente caso </w:t>
      </w:r>
      <w:r w:rsidRPr="004E7A2E">
        <w:rPr>
          <w:rFonts w:ascii="Palatino Linotype" w:eastAsia="Palatino Linotype" w:hAnsi="Palatino Linotype" w:cs="Palatino Linotype"/>
          <w:b/>
          <w:sz w:val="22"/>
          <w:szCs w:val="22"/>
          <w:u w:val="single"/>
        </w:rPr>
        <w:t>no aconteció</w:t>
      </w:r>
      <w:r w:rsidRPr="004E7A2E">
        <w:rPr>
          <w:rFonts w:ascii="Palatino Linotype" w:eastAsia="Palatino Linotype" w:hAnsi="Palatino Linotype" w:cs="Palatino Linotype"/>
          <w:sz w:val="22"/>
          <w:szCs w:val="22"/>
        </w:rPr>
        <w:t xml:space="preserve">, pues 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no fue congruente ni exhaustivo en proporcionar la información que requirió específicamente la parte </w:t>
      </w:r>
      <w:r w:rsidRPr="004E7A2E">
        <w:rPr>
          <w:rFonts w:ascii="Palatino Linotype" w:eastAsia="Palatino Linotype" w:hAnsi="Palatino Linotype" w:cs="Palatino Linotype"/>
          <w:b/>
          <w:sz w:val="22"/>
          <w:szCs w:val="22"/>
        </w:rPr>
        <w:t>Recurrente</w:t>
      </w:r>
      <w:r w:rsidRPr="004E7A2E">
        <w:rPr>
          <w:rFonts w:ascii="Palatino Linotype" w:eastAsia="Palatino Linotype" w:hAnsi="Palatino Linotype" w:cs="Palatino Linotype"/>
          <w:sz w:val="22"/>
          <w:szCs w:val="22"/>
        </w:rPr>
        <w:t xml:space="preserve">. </w:t>
      </w:r>
    </w:p>
    <w:p w14:paraId="7D104D26" w14:textId="77777777" w:rsidR="000B1642" w:rsidRPr="004E7A2E" w:rsidRDefault="000B1642">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756CA1CA" w14:textId="77777777" w:rsidR="000B1642" w:rsidRPr="004E7A2E" w:rsidRDefault="009F5022">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De tal manera que, es de mencionar que, de la respuesta otorgada por 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si bien se advierte que asume contar con la información al referir su entrega, lo cierto es que, fue omiso en adjuntar dicha información, situación por la que no puede tenerse por colmado el Derecho de Acceso a la Información de la parte </w:t>
      </w:r>
      <w:r w:rsidRPr="004E7A2E">
        <w:rPr>
          <w:rFonts w:ascii="Palatino Linotype" w:eastAsia="Palatino Linotype" w:hAnsi="Palatino Linotype" w:cs="Palatino Linotype"/>
          <w:b/>
          <w:sz w:val="22"/>
          <w:szCs w:val="22"/>
        </w:rPr>
        <w:t xml:space="preserve">Recurrente </w:t>
      </w:r>
      <w:r w:rsidRPr="004E7A2E">
        <w:rPr>
          <w:rFonts w:ascii="Palatino Linotype" w:eastAsia="Palatino Linotype" w:hAnsi="Palatino Linotype" w:cs="Palatino Linotype"/>
          <w:sz w:val="22"/>
          <w:szCs w:val="22"/>
        </w:rPr>
        <w:t>y, por ende, se determina que los agravios hechos valer por la misma devienen fundados; de modo que, se procede al análisis pormenorizado de los puntos solicitados, para efecto de determinar si es pertinente su entrega:</w:t>
      </w:r>
    </w:p>
    <w:p w14:paraId="6387AD4E" w14:textId="77777777" w:rsidR="000B1642" w:rsidRPr="004E7A2E" w:rsidRDefault="000B1642">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67106AF7" w14:textId="77777777" w:rsidR="000B1642" w:rsidRPr="004E7A2E" w:rsidRDefault="009F5022">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E7A2E">
        <w:rPr>
          <w:rFonts w:ascii="Palatino Linotype" w:eastAsia="Palatino Linotype" w:hAnsi="Palatino Linotype" w:cs="Palatino Linotype"/>
          <w:b/>
          <w:sz w:val="22"/>
          <w:szCs w:val="22"/>
        </w:rPr>
        <w:t xml:space="preserve">Plantilla de Personal </w:t>
      </w:r>
    </w:p>
    <w:p w14:paraId="7BE47991"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lastRenderedPageBreak/>
        <w:t xml:space="preserve">El artículo 90 del Bando Municipal del Ayuntamiento de Toluca, precisa que para el estudio, planeación, gestión y ejecución en los diferentes ámbitos de aplicación de la Administración Pública Municipal, la o el Presidente Municipal se auxiliará de una Dirección General de Administración, quien tiene como objetivo definir, establecer, difundir y aplicar la normatividad para la administración de personal, ello de conformidad con el Manual de Organización de la Dirección General de Administración. </w:t>
      </w:r>
    </w:p>
    <w:p w14:paraId="0718A8D7"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5811E8A4"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En ese sentido, el organigrama que se encuentra inmerso dentro del referido manual contempla que la Dirección de Administración se auxilia de diversas direcciones, entre ellas la Dirección de Recursos Humanos, tal y como se muestra a continuación: </w:t>
      </w:r>
    </w:p>
    <w:p w14:paraId="4216BFAF" w14:textId="77777777" w:rsidR="000B1642" w:rsidRPr="004E7A2E" w:rsidRDefault="009F5022">
      <w:pPr>
        <w:spacing w:line="360" w:lineRule="auto"/>
        <w:jc w:val="center"/>
        <w:rPr>
          <w:rFonts w:ascii="Palatino Linotype" w:eastAsia="Palatino Linotype" w:hAnsi="Palatino Linotype" w:cs="Palatino Linotype"/>
          <w:sz w:val="22"/>
          <w:szCs w:val="22"/>
        </w:rPr>
      </w:pPr>
      <w:r w:rsidRPr="004E7A2E">
        <w:rPr>
          <w:rFonts w:ascii="Palatino Linotype" w:eastAsia="Palatino Linotype" w:hAnsi="Palatino Linotype" w:cs="Palatino Linotype"/>
          <w:noProof/>
          <w:sz w:val="22"/>
          <w:szCs w:val="22"/>
          <w:lang w:val="es-MX" w:eastAsia="es-MX"/>
        </w:rPr>
        <w:drawing>
          <wp:inline distT="0" distB="0" distL="0" distR="0" wp14:anchorId="0CA868FE" wp14:editId="33D089F4">
            <wp:extent cx="4277670" cy="3854006"/>
            <wp:effectExtent l="0" t="0" r="0" b="0"/>
            <wp:docPr id="1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t="4946"/>
                    <a:stretch>
                      <a:fillRect/>
                    </a:stretch>
                  </pic:blipFill>
                  <pic:spPr>
                    <a:xfrm>
                      <a:off x="0" y="0"/>
                      <a:ext cx="4277670" cy="3854006"/>
                    </a:xfrm>
                    <a:prstGeom prst="rect">
                      <a:avLst/>
                    </a:prstGeom>
                    <a:ln/>
                  </pic:spPr>
                </pic:pic>
              </a:graphicData>
            </a:graphic>
          </wp:inline>
        </w:drawing>
      </w:r>
      <w:r w:rsidRPr="004E7A2E">
        <w:rPr>
          <w:noProof/>
          <w:lang w:val="es-MX" w:eastAsia="es-MX"/>
        </w:rPr>
        <mc:AlternateContent>
          <mc:Choice Requires="wpg">
            <w:drawing>
              <wp:anchor distT="0" distB="0" distL="114300" distR="114300" simplePos="0" relativeHeight="251658240" behindDoc="0" locked="0" layoutInCell="1" hidden="0" allowOverlap="1" wp14:anchorId="62491986" wp14:editId="29651940">
                <wp:simplePos x="0" y="0"/>
                <wp:positionH relativeFrom="column">
                  <wp:posOffset>1930400</wp:posOffset>
                </wp:positionH>
                <wp:positionV relativeFrom="paragraph">
                  <wp:posOffset>1409700</wp:posOffset>
                </wp:positionV>
                <wp:extent cx="942975" cy="495300"/>
                <wp:effectExtent l="0" t="0" r="0" b="0"/>
                <wp:wrapNone/>
                <wp:docPr id="159" name="Rectángulo 159"/>
                <wp:cNvGraphicFramePr/>
                <a:graphic xmlns:a="http://schemas.openxmlformats.org/drawingml/2006/main">
                  <a:graphicData uri="http://schemas.microsoft.com/office/word/2010/wordprocessingShape">
                    <wps:wsp>
                      <wps:cNvSpPr/>
                      <wps:spPr>
                        <a:xfrm>
                          <a:off x="4893563" y="3551400"/>
                          <a:ext cx="904875" cy="457200"/>
                        </a:xfrm>
                        <a:prstGeom prst="rect">
                          <a:avLst/>
                        </a:prstGeom>
                        <a:noFill/>
                        <a:ln w="19050" cap="flat" cmpd="sng">
                          <a:solidFill>
                            <a:srgbClr val="FF0000"/>
                          </a:solidFill>
                          <a:prstDash val="solid"/>
                          <a:miter lim="800000"/>
                          <a:headEnd type="none" w="sm" len="sm"/>
                          <a:tailEnd type="none" w="sm" len="sm"/>
                        </a:ln>
                      </wps:spPr>
                      <wps:txbx>
                        <w:txbxContent>
                          <w:p w14:paraId="0F5E56FB" w14:textId="77777777" w:rsidR="000B1642" w:rsidRDefault="000B1642">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1930400</wp:posOffset>
                </wp:positionH>
                <wp:positionV relativeFrom="paragraph">
                  <wp:posOffset>1409700</wp:posOffset>
                </wp:positionV>
                <wp:extent cx="942975" cy="495300"/>
                <wp:effectExtent b="0" l="0" r="0" t="0"/>
                <wp:wrapNone/>
                <wp:docPr id="159"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942975" cy="495300"/>
                        </a:xfrm>
                        <a:prstGeom prst="rect"/>
                        <a:ln/>
                      </pic:spPr>
                    </pic:pic>
                  </a:graphicData>
                </a:graphic>
              </wp:anchor>
            </w:drawing>
          </mc:Fallback>
        </mc:AlternateContent>
      </w:r>
      <w:r w:rsidRPr="004E7A2E">
        <w:rPr>
          <w:noProof/>
          <w:lang w:val="es-MX" w:eastAsia="es-MX"/>
        </w:rPr>
        <mc:AlternateContent>
          <mc:Choice Requires="wpg">
            <w:drawing>
              <wp:anchor distT="0" distB="0" distL="114300" distR="114300" simplePos="0" relativeHeight="251659264" behindDoc="0" locked="0" layoutInCell="1" hidden="0" allowOverlap="1" wp14:anchorId="2686717C" wp14:editId="0EBC7598">
                <wp:simplePos x="0" y="0"/>
                <wp:positionH relativeFrom="column">
                  <wp:posOffset>1943100</wp:posOffset>
                </wp:positionH>
                <wp:positionV relativeFrom="paragraph">
                  <wp:posOffset>2794000</wp:posOffset>
                </wp:positionV>
                <wp:extent cx="942975" cy="495300"/>
                <wp:effectExtent l="0" t="0" r="0" b="0"/>
                <wp:wrapNone/>
                <wp:docPr id="158" name="Rectángulo 158"/>
                <wp:cNvGraphicFramePr/>
                <a:graphic xmlns:a="http://schemas.openxmlformats.org/drawingml/2006/main">
                  <a:graphicData uri="http://schemas.microsoft.com/office/word/2010/wordprocessingShape">
                    <wps:wsp>
                      <wps:cNvSpPr/>
                      <wps:spPr>
                        <a:xfrm>
                          <a:off x="4893563" y="3551400"/>
                          <a:ext cx="904875" cy="457200"/>
                        </a:xfrm>
                        <a:prstGeom prst="rect">
                          <a:avLst/>
                        </a:prstGeom>
                        <a:noFill/>
                        <a:ln w="19050" cap="flat" cmpd="sng">
                          <a:solidFill>
                            <a:srgbClr val="FF0000"/>
                          </a:solidFill>
                          <a:prstDash val="solid"/>
                          <a:miter lim="800000"/>
                          <a:headEnd type="none" w="sm" len="sm"/>
                          <a:tailEnd type="none" w="sm" len="sm"/>
                        </a:ln>
                      </wps:spPr>
                      <wps:txbx>
                        <w:txbxContent>
                          <w:p w14:paraId="53AEE8A5" w14:textId="77777777" w:rsidR="000B1642" w:rsidRDefault="000B1642">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1943100</wp:posOffset>
                </wp:positionH>
                <wp:positionV relativeFrom="paragraph">
                  <wp:posOffset>2794000</wp:posOffset>
                </wp:positionV>
                <wp:extent cx="942975" cy="495300"/>
                <wp:effectExtent b="0" l="0" r="0" t="0"/>
                <wp:wrapNone/>
                <wp:docPr id="158"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942975" cy="495300"/>
                        </a:xfrm>
                        <a:prstGeom prst="rect"/>
                        <a:ln/>
                      </pic:spPr>
                    </pic:pic>
                  </a:graphicData>
                </a:graphic>
              </wp:anchor>
            </w:drawing>
          </mc:Fallback>
        </mc:AlternateContent>
      </w:r>
    </w:p>
    <w:p w14:paraId="7DC469D2"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Por su parte, la Dirección de Derechos Humanos, se auxilia del Departamento de Nóminas, el cual tiene como objetivo gestionar y actualizar los mecanismos administrativos y de control interno necesarios en la operación del proceso para el pago oportuno de las </w:t>
      </w:r>
      <w:r w:rsidRPr="004E7A2E">
        <w:rPr>
          <w:rFonts w:ascii="Palatino Linotype" w:eastAsia="Palatino Linotype" w:hAnsi="Palatino Linotype" w:cs="Palatino Linotype"/>
          <w:sz w:val="22"/>
          <w:szCs w:val="22"/>
        </w:rPr>
        <w:lastRenderedPageBreak/>
        <w:t xml:space="preserve">remuneraciones al personal de la administración pública municipal, y cuyas funciones específicas son las siguientes: </w:t>
      </w:r>
    </w:p>
    <w:p w14:paraId="731CA7E7"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2D624A9F" w14:textId="77777777" w:rsidR="000B1642" w:rsidRPr="004E7A2E" w:rsidRDefault="009F5022">
      <w:pP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w:t>
      </w:r>
      <w:r w:rsidRPr="004E7A2E">
        <w:rPr>
          <w:rFonts w:ascii="Palatino Linotype" w:eastAsia="Palatino Linotype" w:hAnsi="Palatino Linotype" w:cs="Palatino Linotype"/>
          <w:b/>
          <w:i/>
          <w:sz w:val="22"/>
          <w:szCs w:val="22"/>
        </w:rPr>
        <w:t>206012003 Departamento de Nóminas</w:t>
      </w:r>
    </w:p>
    <w:p w14:paraId="2ED5796C" w14:textId="77777777" w:rsidR="000B1642" w:rsidRPr="004E7A2E" w:rsidRDefault="009F5022">
      <w:pP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Funciones:</w:t>
      </w:r>
    </w:p>
    <w:p w14:paraId="4E9FFEE6" w14:textId="77777777" w:rsidR="000B1642" w:rsidRPr="004E7A2E" w:rsidRDefault="009F5022">
      <w:pP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1. Validar que las remuneraciones de las y los servidores públicos correspondan al Tabulador de Sueldos y Salarios autorizado;</w:t>
      </w:r>
      <w:r w:rsidRPr="004E7A2E">
        <w:rPr>
          <w:rFonts w:ascii="Palatino Linotype" w:eastAsia="Palatino Linotype" w:hAnsi="Palatino Linotype" w:cs="Palatino Linotype"/>
          <w:i/>
          <w:sz w:val="22"/>
          <w:szCs w:val="22"/>
        </w:rPr>
        <w:br/>
        <w:t>2. Planear, calendarizar, validar y autorizar anualmente los procesos de nómina para el pago de las remuneraciones de la administración pública municipal;</w:t>
      </w:r>
    </w:p>
    <w:p w14:paraId="6B028F26" w14:textId="77777777" w:rsidR="000B1642" w:rsidRPr="004E7A2E" w:rsidRDefault="009F5022">
      <w:pP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3. Entregar la nómina de transferencia electrónica a las y los coordinadores y delegados administrativos de cada una de las unidades administrativas para su distribución, control y conciliación;</w:t>
      </w:r>
    </w:p>
    <w:p w14:paraId="5C3A9D96" w14:textId="77777777" w:rsidR="000B1642" w:rsidRPr="004E7A2E" w:rsidRDefault="009F5022">
      <w:pP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4. Generar, integrar y documentar los reportes de nómina como</w:t>
      </w:r>
      <w:r w:rsidRPr="004E7A2E">
        <w:rPr>
          <w:rFonts w:ascii="Palatino Linotype" w:eastAsia="Palatino Linotype" w:hAnsi="Palatino Linotype" w:cs="Palatino Linotype"/>
          <w:i/>
          <w:sz w:val="22"/>
          <w:szCs w:val="22"/>
        </w:rPr>
        <w:t xml:space="preserve"> recibos</w:t>
      </w:r>
      <w:r w:rsidRPr="004E7A2E">
        <w:rPr>
          <w:rFonts w:ascii="Palatino Linotype" w:eastAsia="Palatino Linotype" w:hAnsi="Palatino Linotype" w:cs="Palatino Linotype"/>
          <w:b/>
          <w:i/>
          <w:sz w:val="22"/>
          <w:szCs w:val="22"/>
        </w:rPr>
        <w:t>, plantillas</w:t>
      </w:r>
      <w:r w:rsidRPr="004E7A2E">
        <w:rPr>
          <w:rFonts w:ascii="Palatino Linotype" w:eastAsia="Palatino Linotype" w:hAnsi="Palatino Linotype" w:cs="Palatino Linotype"/>
          <w:i/>
          <w:sz w:val="22"/>
          <w:szCs w:val="22"/>
        </w:rPr>
        <w:t xml:space="preserve"> u otros necesarios para coadyuvar con las áreas involucradas de la administración pública municipal;</w:t>
      </w:r>
    </w:p>
    <w:p w14:paraId="4FBC7C33" w14:textId="77777777" w:rsidR="000B1642" w:rsidRPr="004E7A2E" w:rsidRDefault="009F5022">
      <w:pP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5. Integrar en el sistema de nóminas, las cuentas bancarias de débito de las y los servidores públicos de nuevo ingreso, previamente </w:t>
      </w:r>
      <w:proofErr w:type="spellStart"/>
      <w:r w:rsidRPr="004E7A2E">
        <w:rPr>
          <w:rFonts w:ascii="Palatino Linotype" w:eastAsia="Palatino Linotype" w:hAnsi="Palatino Linotype" w:cs="Palatino Linotype"/>
          <w:i/>
          <w:sz w:val="22"/>
          <w:szCs w:val="22"/>
        </w:rPr>
        <w:t>aperturadas</w:t>
      </w:r>
      <w:proofErr w:type="spellEnd"/>
      <w:r w:rsidRPr="004E7A2E">
        <w:rPr>
          <w:rFonts w:ascii="Palatino Linotype" w:eastAsia="Palatino Linotype" w:hAnsi="Palatino Linotype" w:cs="Palatino Linotype"/>
          <w:i/>
          <w:sz w:val="22"/>
          <w:szCs w:val="22"/>
        </w:rPr>
        <w:t>, validadas y relacionadas por el Departamento de Control de Pagos de Servicios Personales de la Tesorería Municipal;</w:t>
      </w:r>
    </w:p>
    <w:p w14:paraId="0CF5A246" w14:textId="77777777" w:rsidR="000B1642" w:rsidRPr="004E7A2E" w:rsidRDefault="009F5022">
      <w:pP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6. </w:t>
      </w:r>
      <w:r w:rsidRPr="004E7A2E">
        <w:rPr>
          <w:rFonts w:ascii="Palatino Linotype" w:eastAsia="Palatino Linotype" w:hAnsi="Palatino Linotype" w:cs="Palatino Linotype"/>
          <w:b/>
          <w:i/>
          <w:sz w:val="22"/>
          <w:szCs w:val="22"/>
          <w:u w:val="single"/>
        </w:rPr>
        <w:t>Integrar el listado de nómina</w:t>
      </w:r>
      <w:r w:rsidRPr="004E7A2E">
        <w:rPr>
          <w:rFonts w:ascii="Palatino Linotype" w:eastAsia="Palatino Linotype" w:hAnsi="Palatino Linotype" w:cs="Palatino Linotype"/>
          <w:i/>
          <w:sz w:val="22"/>
          <w:szCs w:val="22"/>
        </w:rPr>
        <w:t xml:space="preserve"> (</w:t>
      </w:r>
      <w:proofErr w:type="spellStart"/>
      <w:r w:rsidRPr="004E7A2E">
        <w:rPr>
          <w:rFonts w:ascii="Palatino Linotype" w:eastAsia="Palatino Linotype" w:hAnsi="Palatino Linotype" w:cs="Palatino Linotype"/>
          <w:i/>
          <w:sz w:val="22"/>
          <w:szCs w:val="22"/>
        </w:rPr>
        <w:t>layout</w:t>
      </w:r>
      <w:proofErr w:type="spellEnd"/>
      <w:r w:rsidRPr="004E7A2E">
        <w:rPr>
          <w:rFonts w:ascii="Palatino Linotype" w:eastAsia="Palatino Linotype" w:hAnsi="Palatino Linotype" w:cs="Palatino Linotype"/>
          <w:i/>
          <w:sz w:val="22"/>
          <w:szCs w:val="22"/>
        </w:rPr>
        <w:t>) y entregarlo al Departamento de Control de Pagos de Servicios Personales de la Tesorería Municipal quincenalmente o cuando sea requerido, para su dispersión en la institución bancaria correspondiente;</w:t>
      </w:r>
    </w:p>
    <w:p w14:paraId="465F0091" w14:textId="77777777" w:rsidR="000B1642" w:rsidRPr="004E7A2E" w:rsidRDefault="009F5022">
      <w:pP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w:t>
      </w:r>
    </w:p>
    <w:p w14:paraId="45A589CD"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Por lo anteriormente expuesto, se advierte que la unidad administrativa que cuenta con atribuciones para generar, integrar y documentar las plantillas de personal, es la Dirección General de Administración a través del Departamento de Nóminas. </w:t>
      </w:r>
    </w:p>
    <w:p w14:paraId="7AA4501E"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0CA27627"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Ahora bien, en el caso que nos ocupa, derivado de las constancias que obran en el expediente en el que se actúa, se advierte que la Unidad de Transparencia, en observancia </w:t>
      </w:r>
      <w:r w:rsidRPr="004E7A2E">
        <w:rPr>
          <w:rFonts w:ascii="Palatino Linotype" w:eastAsia="Palatino Linotype" w:hAnsi="Palatino Linotype" w:cs="Palatino Linotype"/>
          <w:sz w:val="22"/>
          <w:szCs w:val="22"/>
        </w:rPr>
        <w:lastRenderedPageBreak/>
        <w:t>de lo previsto en los artículos 53, fracciones II y IV</w:t>
      </w:r>
      <w:r w:rsidRPr="004E7A2E">
        <w:rPr>
          <w:rFonts w:ascii="Palatino Linotype" w:eastAsia="Palatino Linotype" w:hAnsi="Palatino Linotype" w:cs="Palatino Linotype"/>
          <w:sz w:val="22"/>
          <w:szCs w:val="22"/>
          <w:vertAlign w:val="superscript"/>
        </w:rPr>
        <w:t xml:space="preserve"> </w:t>
      </w:r>
      <w:r w:rsidRPr="004E7A2E">
        <w:rPr>
          <w:rFonts w:ascii="Palatino Linotype" w:eastAsia="Palatino Linotype" w:hAnsi="Palatino Linotype" w:cs="Palatino Linotype"/>
          <w:sz w:val="22"/>
          <w:szCs w:val="22"/>
          <w:vertAlign w:val="superscript"/>
        </w:rPr>
        <w:footnoteReference w:id="1"/>
      </w:r>
      <w:r w:rsidRPr="004E7A2E">
        <w:rPr>
          <w:rFonts w:ascii="Palatino Linotype" w:eastAsia="Palatino Linotype" w:hAnsi="Palatino Linotype" w:cs="Palatino Linotype"/>
          <w:sz w:val="22"/>
          <w:szCs w:val="22"/>
        </w:rPr>
        <w:t xml:space="preserve"> y 162</w:t>
      </w:r>
      <w:r w:rsidRPr="004E7A2E">
        <w:rPr>
          <w:rFonts w:ascii="Palatino Linotype" w:eastAsia="Palatino Linotype" w:hAnsi="Palatino Linotype" w:cs="Palatino Linotype"/>
          <w:sz w:val="22"/>
          <w:szCs w:val="22"/>
          <w:vertAlign w:val="superscript"/>
        </w:rPr>
        <w:footnoteReference w:id="2"/>
      </w:r>
      <w:r w:rsidRPr="004E7A2E">
        <w:rPr>
          <w:rFonts w:ascii="Palatino Linotype" w:eastAsia="Palatino Linotype" w:hAnsi="Palatino Linotype" w:cs="Palatino Linotype"/>
          <w:sz w:val="22"/>
          <w:szCs w:val="22"/>
        </w:rPr>
        <w:t xml:space="preserve"> de la Ley de Transparencia y Acceso a la Información Pública del Estado de México y Municipios, turnó la solicitud de información al área que, de acuerdo con sus facultades, competencias y funciones, cuenta con la información materia de la solicitud, esto es la Dirección General de Administración. </w:t>
      </w:r>
    </w:p>
    <w:p w14:paraId="4F9B7555"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19F11C71" w14:textId="77777777" w:rsidR="000B1642" w:rsidRPr="004E7A2E" w:rsidRDefault="009F5022">
      <w:pPr>
        <w:spacing w:line="360" w:lineRule="auto"/>
        <w:ind w:right="49"/>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sz w:val="22"/>
          <w:szCs w:val="22"/>
        </w:rPr>
        <w:t>Aclarado lo anterior, y respecto a la naturaleza de la información solicitada, conveniente destacar que en la Legislación del Estado de México no existe precepto alguno que conceptualice la plantilla del personal; sin embargo, la norma mexicana para la igualdad laboral entre hombres y mujeres número NMX-R-025-SCFI-2009 la define de manera textual como “</w:t>
      </w:r>
      <w:r w:rsidRPr="004E7A2E">
        <w:rPr>
          <w:rFonts w:ascii="Palatino Linotype" w:eastAsia="Palatino Linotype" w:hAnsi="Palatino Linotype" w:cs="Palatino Linotype"/>
          <w:i/>
          <w:sz w:val="22"/>
          <w:szCs w:val="22"/>
        </w:rPr>
        <w:t xml:space="preserve">todas las personas que laboran en la organización, independientemente del tipo de contrato con el que cuentan, incluidas las subcontratadas.” </w:t>
      </w:r>
    </w:p>
    <w:p w14:paraId="51DCD75E"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203F1375" w14:textId="77777777" w:rsidR="000B1642" w:rsidRPr="004E7A2E" w:rsidRDefault="009F5022">
      <w:pPr>
        <w:spacing w:line="360" w:lineRule="auto"/>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sz w:val="22"/>
          <w:szCs w:val="22"/>
        </w:rPr>
        <w:t xml:space="preserve">Ahora bien, por analogía el Instituto de Seguridad Social del Estado de México y Municipios emitió el Manual del Procedimiento Operativo de Control de Plantilla de Personal que la define como el </w:t>
      </w:r>
      <w:r w:rsidRPr="004E7A2E">
        <w:rPr>
          <w:rFonts w:ascii="Palatino Linotype" w:eastAsia="Palatino Linotype" w:hAnsi="Palatino Linotype" w:cs="Palatino Linotype"/>
          <w:i/>
          <w:sz w:val="22"/>
          <w:szCs w:val="22"/>
        </w:rPr>
        <w:t xml:space="preserve">“documento autorizado por el Gobierno del Estado de México, el cual contiene el número de plazas autorizadas por puestos, categorías, unidades de adscripción, percepciones brutas mensuales y datos personales del servidor público, así como tipo de relación laboral (sindicalizado o confianza).” </w:t>
      </w:r>
    </w:p>
    <w:p w14:paraId="2EDA2EF8"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0348B42B"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Conforme a lo anterior, se advierte que la plantilla de personal es el documento del que se puede obtener entre otras cosas, el nombre del servidor público o funcionario público que ocupe el puesto, el nombre o denominación de cada puesto e incluso sus percepciones, </w:t>
      </w:r>
      <w:r w:rsidRPr="004E7A2E">
        <w:rPr>
          <w:rFonts w:ascii="Palatino Linotype" w:eastAsia="Palatino Linotype" w:hAnsi="Palatino Linotype" w:cs="Palatino Linotype"/>
          <w:sz w:val="22"/>
          <w:szCs w:val="22"/>
        </w:rPr>
        <w:lastRenderedPageBreak/>
        <w:t xml:space="preserve">pues se considera que en dicho documento se contempla a todas las personas que laboran en la organización, independientemente del tipo de contrato con el que cuentan, incluidas las subcontratadas. </w:t>
      </w:r>
    </w:p>
    <w:p w14:paraId="17348175"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545722F2" w14:textId="77777777" w:rsidR="000B1642" w:rsidRPr="004E7A2E" w:rsidRDefault="009F5022">
      <w:pPr>
        <w:widowControl w:val="0"/>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En consecuencia, podemos concluir que el</w:t>
      </w:r>
      <w:r w:rsidRPr="004E7A2E">
        <w:rPr>
          <w:rFonts w:ascii="Palatino Linotype" w:eastAsia="Palatino Linotype" w:hAnsi="Palatino Linotype" w:cs="Palatino Linotype"/>
          <w:b/>
          <w:sz w:val="22"/>
          <w:szCs w:val="22"/>
        </w:rPr>
        <w:t xml:space="preserve"> Sujeto Obligado </w:t>
      </w:r>
      <w:r w:rsidRPr="004E7A2E">
        <w:rPr>
          <w:rFonts w:ascii="Palatino Linotype" w:eastAsia="Palatino Linotype" w:hAnsi="Palatino Linotype" w:cs="Palatino Linotype"/>
          <w:sz w:val="22"/>
          <w:szCs w:val="22"/>
        </w:rPr>
        <w:t xml:space="preserve">se encuentra en posibilidad de atender lo solicitado, motivo por el que se ordena la entrega del documento en donde conste el total de servidores públicos que integran la plantilla de la Unidad de Transparencia del Ayuntamiento de Toluca, vigente al veinte de febrero de dos mil veinticinco, de ser procedente en versión pública, en términos del considerando quinto. </w:t>
      </w:r>
    </w:p>
    <w:p w14:paraId="2DE48CA9" w14:textId="77777777" w:rsidR="000B1642" w:rsidRPr="004E7A2E" w:rsidRDefault="000B1642">
      <w:pPr>
        <w:widowControl w:val="0"/>
        <w:spacing w:line="360" w:lineRule="auto"/>
        <w:jc w:val="both"/>
        <w:rPr>
          <w:rFonts w:ascii="Palatino Linotype" w:eastAsia="Palatino Linotype" w:hAnsi="Palatino Linotype" w:cs="Palatino Linotype"/>
          <w:b/>
          <w:sz w:val="22"/>
          <w:szCs w:val="22"/>
        </w:rPr>
      </w:pPr>
    </w:p>
    <w:p w14:paraId="33F4F4B4" w14:textId="77777777" w:rsidR="000B1642" w:rsidRPr="004E7A2E" w:rsidRDefault="009F5022">
      <w:pPr>
        <w:numPr>
          <w:ilvl w:val="0"/>
          <w:numId w:val="13"/>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E7A2E">
        <w:rPr>
          <w:rFonts w:ascii="Palatino Linotype" w:eastAsia="Palatino Linotype" w:hAnsi="Palatino Linotype" w:cs="Palatino Linotype"/>
          <w:b/>
          <w:sz w:val="22"/>
          <w:szCs w:val="22"/>
        </w:rPr>
        <w:t>Listas de Asistencia o de lector biométrico</w:t>
      </w:r>
    </w:p>
    <w:p w14:paraId="575C77E7" w14:textId="77777777" w:rsidR="000B1642" w:rsidRPr="004E7A2E" w:rsidRDefault="009F5022">
      <w:pPr>
        <w:numPr>
          <w:ilvl w:val="0"/>
          <w:numId w:val="13"/>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E7A2E">
        <w:rPr>
          <w:rFonts w:ascii="Palatino Linotype" w:eastAsia="Palatino Linotype" w:hAnsi="Palatino Linotype" w:cs="Palatino Linotype"/>
          <w:b/>
          <w:sz w:val="22"/>
          <w:szCs w:val="22"/>
        </w:rPr>
        <w:t>Horario laboral</w:t>
      </w:r>
    </w:p>
    <w:p w14:paraId="1170C2F2" w14:textId="77777777" w:rsidR="000B1642" w:rsidRPr="004E7A2E" w:rsidRDefault="000B1642">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p>
    <w:p w14:paraId="2DF37237"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En atención a este punto, la Directora de Recursos Humanos, asume contar con la información, al informar la entrega de los registros de asistencia del personal del área en mención, del periodo enero de dos mil veinticuatro a enero de dos mil veinticinco en versión púbica, por contener datos personales y con fundamento en los artículos 24 fracciones VI, XIV, 48, 132 fracción II y 143 Fracción I de la Ley de Transparencia y Acceso a la Información Pública del Estado de México y Municipios; sin que de las constancias que integran el expediente electrónico, se advierta la documental referida. </w:t>
      </w:r>
    </w:p>
    <w:p w14:paraId="6F717993"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6F51F52F"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Para ello, el artículo 11.32 del Código Reglamentario Municipal de Toluca refiere que la jornada de trabajo, es el tiempo durante el cual el servidor público está a disposición de la Dependencia o Unidad Administrativa para prestar sus servicios, mientras que el artículo 11.40 señala que el horario que regirá en las Dependencias y Unidades Administrativas será de las 9:00 a las 18:00 horas, para quienes tengan jornada laboral de 9 horas diarias continuas; y de las 9:00 a las 16:00 horas para los servidores públicos con jornada laboral de </w:t>
      </w:r>
      <w:r w:rsidRPr="004E7A2E">
        <w:rPr>
          <w:rFonts w:ascii="Palatino Linotype" w:eastAsia="Palatino Linotype" w:hAnsi="Palatino Linotype" w:cs="Palatino Linotype"/>
          <w:sz w:val="22"/>
          <w:szCs w:val="22"/>
        </w:rPr>
        <w:lastRenderedPageBreak/>
        <w:t>7 horas diarias. En todo caso podrán existir horarios especiales de conformidad con el artículo 60 de la Ley en la materia, los cuales, para su autorización, deberá mediar visto bueno de la Dirección General de Administración a través de la Dirección de Recursos Humanos, exceptuando del horario que antecede a los servidores públicos que determine la Dirección General de Administración, por medio de la Dirección de Recursos Humanos</w:t>
      </w:r>
    </w:p>
    <w:p w14:paraId="363804C9"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1E1C5E7A"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Por su parte, el artículo 11.41 del referido código reglamentario, establece que las y los servidores públicos que laboran un horario continuo de 8 o de 9 horas diarias, tendrán derecho a disfrutar de treinta minutos de descanso durante los cuales podrán tomar sus alimentos, tiempo que se considerará como efectivo.</w:t>
      </w:r>
    </w:p>
    <w:p w14:paraId="41611E6D"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Del mismo modo, los artículos 11.44 y 141.45 señalan que el control de asistencia de las y los servidores públicos, se sujetara a las siguientes disposiciones </w:t>
      </w:r>
    </w:p>
    <w:p w14:paraId="45D9069A"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31DF14F8" w14:textId="77777777" w:rsidR="000B1642" w:rsidRPr="004E7A2E" w:rsidRDefault="009F5022">
      <w:pPr>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Artículo 11.44</w:t>
      </w:r>
      <w:r w:rsidRPr="004E7A2E">
        <w:rPr>
          <w:rFonts w:ascii="Palatino Linotype" w:eastAsia="Palatino Linotype" w:hAnsi="Palatino Linotype" w:cs="Palatino Linotype"/>
          <w:i/>
          <w:sz w:val="22"/>
          <w:szCs w:val="22"/>
        </w:rPr>
        <w:t>. El control de asistencia de las y los servidores públicos se sujetará a las siguientes disposiciones:</w:t>
      </w:r>
    </w:p>
    <w:p w14:paraId="56342B76" w14:textId="77777777" w:rsidR="000B1642" w:rsidRPr="004E7A2E" w:rsidRDefault="000B1642">
      <w:pPr>
        <w:ind w:left="851" w:right="567"/>
        <w:jc w:val="both"/>
        <w:rPr>
          <w:rFonts w:ascii="Palatino Linotype" w:eastAsia="Palatino Linotype" w:hAnsi="Palatino Linotype" w:cs="Palatino Linotype"/>
          <w:i/>
          <w:sz w:val="22"/>
          <w:szCs w:val="22"/>
        </w:rPr>
      </w:pPr>
    </w:p>
    <w:p w14:paraId="2A741EA4" w14:textId="77777777" w:rsidR="000B1642" w:rsidRPr="004E7A2E" w:rsidRDefault="009F5022">
      <w:pPr>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I. </w:t>
      </w:r>
      <w:r w:rsidRPr="004E7A2E">
        <w:rPr>
          <w:rFonts w:ascii="Palatino Linotype" w:eastAsia="Palatino Linotype" w:hAnsi="Palatino Linotype" w:cs="Palatino Linotype"/>
          <w:b/>
          <w:i/>
          <w:sz w:val="22"/>
          <w:szCs w:val="22"/>
        </w:rPr>
        <w:t xml:space="preserve">El </w:t>
      </w:r>
      <w:r w:rsidRPr="004E7A2E">
        <w:rPr>
          <w:rFonts w:ascii="Palatino Linotype" w:eastAsia="Palatino Linotype" w:hAnsi="Palatino Linotype" w:cs="Palatino Linotype"/>
          <w:b/>
          <w:i/>
          <w:sz w:val="22"/>
          <w:szCs w:val="22"/>
          <w:u w:val="single"/>
        </w:rPr>
        <w:t>control se llevará mediante</w:t>
      </w:r>
      <w:r w:rsidRPr="004E7A2E">
        <w:rPr>
          <w:rFonts w:ascii="Palatino Linotype" w:eastAsia="Palatino Linotype" w:hAnsi="Palatino Linotype" w:cs="Palatino Linotype"/>
          <w:i/>
          <w:sz w:val="22"/>
          <w:szCs w:val="22"/>
        </w:rPr>
        <w:t xml:space="preserve"> lectores manuales, tarjetas, </w:t>
      </w:r>
      <w:r w:rsidRPr="004E7A2E">
        <w:rPr>
          <w:rFonts w:ascii="Palatino Linotype" w:eastAsia="Palatino Linotype" w:hAnsi="Palatino Linotype" w:cs="Palatino Linotype"/>
          <w:b/>
          <w:i/>
          <w:sz w:val="22"/>
          <w:szCs w:val="22"/>
          <w:u w:val="single"/>
        </w:rPr>
        <w:t>listas de asistencia</w:t>
      </w:r>
      <w:r w:rsidRPr="004E7A2E">
        <w:rPr>
          <w:rFonts w:ascii="Palatino Linotype" w:eastAsia="Palatino Linotype" w:hAnsi="Palatino Linotype" w:cs="Palatino Linotype"/>
          <w:i/>
          <w:sz w:val="22"/>
          <w:szCs w:val="22"/>
        </w:rPr>
        <w:t xml:space="preserve"> o por cualquier otro sistema que disponga la Dirección General de Administración.</w:t>
      </w:r>
    </w:p>
    <w:p w14:paraId="43C84C13" w14:textId="77777777" w:rsidR="000B1642" w:rsidRPr="004E7A2E" w:rsidRDefault="000B1642">
      <w:pPr>
        <w:ind w:left="851" w:right="567"/>
        <w:jc w:val="both"/>
        <w:rPr>
          <w:rFonts w:ascii="Palatino Linotype" w:eastAsia="Palatino Linotype" w:hAnsi="Palatino Linotype" w:cs="Palatino Linotype"/>
          <w:i/>
          <w:sz w:val="22"/>
          <w:szCs w:val="22"/>
        </w:rPr>
      </w:pPr>
    </w:p>
    <w:p w14:paraId="761B4E37" w14:textId="77777777" w:rsidR="000B1642" w:rsidRPr="004E7A2E" w:rsidRDefault="009F5022">
      <w:pPr>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Las tarjetas y listas de asistencia deberán contener el </w:t>
      </w:r>
      <w:r w:rsidRPr="004E7A2E">
        <w:rPr>
          <w:rFonts w:ascii="Palatino Linotype" w:eastAsia="Palatino Linotype" w:hAnsi="Palatino Linotype" w:cs="Palatino Linotype"/>
          <w:b/>
          <w:i/>
          <w:sz w:val="22"/>
          <w:szCs w:val="22"/>
        </w:rPr>
        <w:t>nombre de la Dependencia</w:t>
      </w:r>
      <w:r w:rsidRPr="004E7A2E">
        <w:rPr>
          <w:rFonts w:ascii="Palatino Linotype" w:eastAsia="Palatino Linotype" w:hAnsi="Palatino Linotype" w:cs="Palatino Linotype"/>
          <w:i/>
          <w:sz w:val="22"/>
          <w:szCs w:val="22"/>
        </w:rPr>
        <w:t xml:space="preserve"> o Unidad Administrativa </w:t>
      </w:r>
      <w:r w:rsidRPr="004E7A2E">
        <w:rPr>
          <w:rFonts w:ascii="Palatino Linotype" w:eastAsia="Palatino Linotype" w:hAnsi="Palatino Linotype" w:cs="Palatino Linotype"/>
          <w:b/>
          <w:i/>
          <w:sz w:val="22"/>
          <w:szCs w:val="22"/>
        </w:rPr>
        <w:t>donde presta sus servicios el servidor público, el nombre de éste, su lugar de adscripción, número de empleado y todo dato que permita el debido control</w:t>
      </w:r>
      <w:r w:rsidRPr="004E7A2E">
        <w:rPr>
          <w:rFonts w:ascii="Palatino Linotype" w:eastAsia="Palatino Linotype" w:hAnsi="Palatino Linotype" w:cs="Palatino Linotype"/>
          <w:i/>
          <w:sz w:val="22"/>
          <w:szCs w:val="22"/>
        </w:rPr>
        <w:t>. Si el sistema dispuesto requiere que la tarjeta o similar se coloque en un lugar predeterminado, la o el servidor público no podrá retirarla sin la autorización correspondiente;</w:t>
      </w:r>
    </w:p>
    <w:p w14:paraId="1094819B" w14:textId="77777777" w:rsidR="000B1642" w:rsidRPr="004E7A2E" w:rsidRDefault="000B1642">
      <w:pPr>
        <w:ind w:left="851" w:right="567"/>
        <w:jc w:val="both"/>
        <w:rPr>
          <w:rFonts w:ascii="Palatino Linotype" w:eastAsia="Palatino Linotype" w:hAnsi="Palatino Linotype" w:cs="Palatino Linotype"/>
          <w:i/>
          <w:sz w:val="22"/>
          <w:szCs w:val="22"/>
        </w:rPr>
      </w:pPr>
    </w:p>
    <w:p w14:paraId="2C3CC0E5" w14:textId="77777777" w:rsidR="000B1642" w:rsidRPr="004E7A2E" w:rsidRDefault="009F5022">
      <w:pPr>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II. Se exceptúa del control de asistencia a los servidores públicos que en forma expresa hayan sido autorizados por los titulares de las Dependencias o Unidades Administrativas, en razón de la naturaleza del servicio o de las circunstancias especiales que medien, previa autorización de la Dirección General de Administración;</w:t>
      </w:r>
    </w:p>
    <w:p w14:paraId="31C0E3C3" w14:textId="77777777" w:rsidR="000B1642" w:rsidRPr="004E7A2E" w:rsidRDefault="000B1642">
      <w:pPr>
        <w:ind w:left="851" w:right="567"/>
        <w:jc w:val="both"/>
        <w:rPr>
          <w:rFonts w:ascii="Palatino Linotype" w:eastAsia="Palatino Linotype" w:hAnsi="Palatino Linotype" w:cs="Palatino Linotype"/>
          <w:i/>
          <w:sz w:val="22"/>
          <w:szCs w:val="22"/>
        </w:rPr>
      </w:pPr>
    </w:p>
    <w:p w14:paraId="4FEE901F" w14:textId="77777777" w:rsidR="000B1642" w:rsidRPr="004E7A2E" w:rsidRDefault="009F5022">
      <w:pPr>
        <w:ind w:left="851" w:right="567"/>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lastRenderedPageBreak/>
        <w:t xml:space="preserve">III. Cuando por alguna circunstancia el servidor público no pueda registrar su asistencia, inmediatamente deberá hacerlo del conocimiento de su </w:t>
      </w:r>
      <w:proofErr w:type="gramStart"/>
      <w:r w:rsidRPr="004E7A2E">
        <w:rPr>
          <w:rFonts w:ascii="Palatino Linotype" w:eastAsia="Palatino Linotype" w:hAnsi="Palatino Linotype" w:cs="Palatino Linotype"/>
          <w:i/>
          <w:sz w:val="22"/>
          <w:szCs w:val="22"/>
        </w:rPr>
        <w:t>Delegado</w:t>
      </w:r>
      <w:proofErr w:type="gramEnd"/>
      <w:r w:rsidRPr="004E7A2E">
        <w:rPr>
          <w:rFonts w:ascii="Palatino Linotype" w:eastAsia="Palatino Linotype" w:hAnsi="Palatino Linotype" w:cs="Palatino Linotype"/>
          <w:i/>
          <w:sz w:val="22"/>
          <w:szCs w:val="22"/>
        </w:rPr>
        <w:t xml:space="preserve"> Administrativo, para que tome las acciones conducentes</w:t>
      </w:r>
      <w:r w:rsidRPr="004E7A2E">
        <w:rPr>
          <w:rFonts w:ascii="Palatino Linotype" w:eastAsia="Palatino Linotype" w:hAnsi="Palatino Linotype" w:cs="Palatino Linotype"/>
          <w:sz w:val="22"/>
          <w:szCs w:val="22"/>
        </w:rPr>
        <w:t>.</w:t>
      </w:r>
    </w:p>
    <w:p w14:paraId="0E1BDEC4" w14:textId="77777777" w:rsidR="000B1642" w:rsidRPr="004E7A2E" w:rsidRDefault="000B1642">
      <w:pPr>
        <w:ind w:left="851" w:right="567"/>
        <w:jc w:val="both"/>
        <w:rPr>
          <w:rFonts w:ascii="Palatino Linotype" w:eastAsia="Palatino Linotype" w:hAnsi="Palatino Linotype" w:cs="Palatino Linotype"/>
          <w:sz w:val="22"/>
          <w:szCs w:val="22"/>
        </w:rPr>
      </w:pPr>
    </w:p>
    <w:p w14:paraId="5E3DAF16" w14:textId="77777777" w:rsidR="000B1642" w:rsidRPr="004E7A2E" w:rsidRDefault="009F5022">
      <w:pPr>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Artículo 11.45. Para la entrada a sus labores y registro de asistencia, se concederá a la o el servidor público, una tolerancia de diez minutos después de la hora señalada para la iniciarlas. </w:t>
      </w:r>
    </w:p>
    <w:p w14:paraId="7F72CD6F" w14:textId="77777777" w:rsidR="000B1642" w:rsidRPr="004E7A2E" w:rsidRDefault="000B1642">
      <w:pPr>
        <w:ind w:left="851" w:right="567"/>
        <w:jc w:val="both"/>
        <w:rPr>
          <w:rFonts w:ascii="Palatino Linotype" w:eastAsia="Palatino Linotype" w:hAnsi="Palatino Linotype" w:cs="Palatino Linotype"/>
          <w:i/>
          <w:sz w:val="22"/>
          <w:szCs w:val="22"/>
        </w:rPr>
      </w:pPr>
    </w:p>
    <w:p w14:paraId="7240117C" w14:textId="77777777" w:rsidR="000B1642" w:rsidRPr="004E7A2E" w:rsidRDefault="009F5022">
      <w:pPr>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Se considerará retardo, cuando la o el servidor público se presente a sus labores entre el minuto once y el quince después de su entrada. Asimismo, tres retardos acumulativos en una quincena serán considerados como una falta.</w:t>
      </w:r>
    </w:p>
    <w:p w14:paraId="1EEBAD1F" w14:textId="77777777" w:rsidR="000B1642" w:rsidRPr="004E7A2E" w:rsidRDefault="000B1642">
      <w:pPr>
        <w:ind w:left="851" w:right="567"/>
        <w:jc w:val="both"/>
        <w:rPr>
          <w:rFonts w:ascii="Palatino Linotype" w:eastAsia="Palatino Linotype" w:hAnsi="Palatino Linotype" w:cs="Palatino Linotype"/>
          <w:i/>
          <w:sz w:val="22"/>
          <w:szCs w:val="22"/>
        </w:rPr>
      </w:pPr>
    </w:p>
    <w:p w14:paraId="525D4777" w14:textId="77777777" w:rsidR="000B1642" w:rsidRPr="004E7A2E" w:rsidRDefault="009F5022">
      <w:pPr>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Se considerará falta de asistencia, el hecho de que la o el servidor público se presente a sus labores después del minuto 16 (dieciséis), así como registrar la salida antes del límite del horario diario establecido.</w:t>
      </w:r>
    </w:p>
    <w:p w14:paraId="5F8B8BD3" w14:textId="77777777" w:rsidR="000B1642" w:rsidRPr="004E7A2E" w:rsidRDefault="000B1642">
      <w:pPr>
        <w:ind w:left="851" w:right="567"/>
        <w:jc w:val="both"/>
        <w:rPr>
          <w:rFonts w:ascii="Palatino Linotype" w:eastAsia="Palatino Linotype" w:hAnsi="Palatino Linotype" w:cs="Palatino Linotype"/>
          <w:i/>
          <w:sz w:val="22"/>
          <w:szCs w:val="22"/>
        </w:rPr>
      </w:pPr>
    </w:p>
    <w:p w14:paraId="07801790" w14:textId="77777777" w:rsidR="000B1642" w:rsidRPr="004E7A2E" w:rsidRDefault="009F5022">
      <w:pPr>
        <w:ind w:left="851" w:right="567"/>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Cuando la o el servidor público incurra en faltas de asistencia y tres retardos, no tendrá derecho al pago correspondiente al tiempo no laborado; el descuento se podrá ver reflejado dentro de alguna de las dos siguientes quincenas, en que se cometió la falta.</w:t>
      </w:r>
    </w:p>
    <w:p w14:paraId="5814B718" w14:textId="77777777" w:rsidR="000B1642" w:rsidRPr="004E7A2E" w:rsidRDefault="009F5022">
      <w:pPr>
        <w:spacing w:before="240" w:after="240"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De lo anterior, resulta claro que la Unidad Administrativa que se pronunció, es la competente para atender el requerimiento de información, al ser quien lleva el control y registro de asistencias de los servidores públicos del Ayuntamiento de Toluca, advirtiendo que para la Unidad de Transparencia, llevan su registro de entrada y salida a través de una lista, mismo del que también se puede advertir el Horario de laboral de cada uno de los servidores públicos que integran dicha unidad administrativa; por lo que, resulta procedente ordenar la entrega del documento donde conste el control o registro de asistencia del personal adscrito a la Unidad de Transparencia del Ayuntamiento de Toluca, generadas del primero de enero al veinte de febrero de dos mil veinticinco</w:t>
      </w:r>
      <w:r w:rsidRPr="004E7A2E">
        <w:t xml:space="preserve"> </w:t>
      </w:r>
      <w:r w:rsidRPr="004E7A2E">
        <w:rPr>
          <w:rFonts w:ascii="Palatino Linotype" w:eastAsia="Palatino Linotype" w:hAnsi="Palatino Linotype" w:cs="Palatino Linotype"/>
          <w:sz w:val="22"/>
          <w:szCs w:val="22"/>
        </w:rPr>
        <w:t xml:space="preserve">o bien, la autorización emitida por autoridad competente para omitir la elaboración de dicho control o exceptuar el registro de asistencia; así como, el horario laboral de los servidores públicos, en funciones al veinte de febrero de dos mil veinticinco. </w:t>
      </w:r>
    </w:p>
    <w:p w14:paraId="2DC0EE02" w14:textId="77777777" w:rsidR="000B1642" w:rsidRPr="004E7A2E" w:rsidRDefault="009F5022">
      <w:pPr>
        <w:spacing w:before="240" w:after="240"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lastRenderedPageBreak/>
        <w:t xml:space="preserve">Por lo que, para el caso de que derivado de la búsqueda exhaustiva y razonable, no se localice el registro de asistencia o con la autorización para omitir el registro de asistencia de alguno de los servidores público adscritos a la Unidad de Transparencia, deberá emitir el Acuerdo de Inexistencia en términos de los artículos 19, párrafo tercero, 49, fracciones II y XIII, 169 y 170 de la Ley de Transparencia y Acceso a la Información Pública del Estado de México y Municipios, debiendo notificarlo a la parte </w:t>
      </w:r>
      <w:r w:rsidRPr="004E7A2E">
        <w:rPr>
          <w:rFonts w:ascii="Palatino Linotype" w:eastAsia="Palatino Linotype" w:hAnsi="Palatino Linotype" w:cs="Palatino Linotype"/>
          <w:b/>
          <w:sz w:val="22"/>
          <w:szCs w:val="22"/>
        </w:rPr>
        <w:t>Recurrente</w:t>
      </w:r>
      <w:r w:rsidRPr="004E7A2E">
        <w:rPr>
          <w:rFonts w:ascii="Palatino Linotype" w:eastAsia="Palatino Linotype" w:hAnsi="Palatino Linotype" w:cs="Palatino Linotype"/>
          <w:sz w:val="22"/>
          <w:szCs w:val="22"/>
        </w:rPr>
        <w:t xml:space="preserve"> al momento de dar cumplimiento a la presente resolución.</w:t>
      </w:r>
    </w:p>
    <w:p w14:paraId="5D7797D8" w14:textId="77777777" w:rsidR="000B1642" w:rsidRPr="004E7A2E" w:rsidRDefault="009F5022">
      <w:pPr>
        <w:numPr>
          <w:ilvl w:val="0"/>
          <w:numId w:val="15"/>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rPr>
      </w:pPr>
      <w:r w:rsidRPr="004E7A2E">
        <w:rPr>
          <w:rFonts w:ascii="Palatino Linotype" w:eastAsia="Palatino Linotype" w:hAnsi="Palatino Linotype" w:cs="Palatino Linotype"/>
          <w:b/>
          <w:sz w:val="22"/>
          <w:szCs w:val="22"/>
        </w:rPr>
        <w:t>Inventario de Bienes de los servidores públicos de la Unidad.</w:t>
      </w:r>
    </w:p>
    <w:p w14:paraId="5009207F" w14:textId="77777777" w:rsidR="000B1642" w:rsidRPr="004E7A2E" w:rsidRDefault="009F5022">
      <w:pPr>
        <w:spacing w:before="240" w:after="240"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Respecto a este punto, es de recordar que de acuerdo con lo establecido en los artículos 53, fracción IV y 162 de la Ley de Transparencia y Acceso a la Información Pública del Estado de México y Municipios, las Unidades de Transparencia deben garantizar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w:t>
      </w:r>
    </w:p>
    <w:p w14:paraId="0930789D" w14:textId="77777777" w:rsidR="000B1642" w:rsidRPr="004E7A2E" w:rsidRDefault="009F5022">
      <w:pPr>
        <w:spacing w:before="240" w:after="240" w:line="360" w:lineRule="auto"/>
        <w:ind w:right="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En el caso particular, la solicitud fue turnada al servidor público habilitado de la Dirección General de Administración, quien de conformidad con la codificación 206010000 del Manual de Organización de la Dirección General de Administración, el objetivo de la Dirección General de Administración, consiste en definir, establecer, difundir y aplicar la normatividad para la administración de personal, adquisición, uso y mantenimiento de bienes, contratación y prestación de servicios, que requieran las diferentes dependencias y órganos que integran la administración pública municipal, a fin de optimizar los recursos humanos, materiales, técnicos y tecnológicos, así como el adecuado control del parque vehicular y de bienes muebles e inmuebles, cuyas atribuciones se encuentran definidas en </w:t>
      </w:r>
      <w:r w:rsidRPr="004E7A2E">
        <w:rPr>
          <w:rFonts w:ascii="Palatino Linotype" w:eastAsia="Palatino Linotype" w:hAnsi="Palatino Linotype" w:cs="Palatino Linotype"/>
          <w:sz w:val="22"/>
          <w:szCs w:val="22"/>
        </w:rPr>
        <w:lastRenderedPageBreak/>
        <w:t>el propio Manual, así como en el artículo 3.40 del Código Reglamentario Municipal de Toluca, entre las que destacan las siguiente respecto al tema que nos interesa:</w:t>
      </w:r>
    </w:p>
    <w:p w14:paraId="238FD5A9" w14:textId="77777777" w:rsidR="000B1642" w:rsidRPr="004E7A2E" w:rsidRDefault="009F5022">
      <w:pPr>
        <w:numPr>
          <w:ilvl w:val="0"/>
          <w:numId w:val="16"/>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Presidir los comités instituidos para atender los procesos de adquisición y enajenación de bienes muebles e inmuebles, contratación de servicios y arrendamientos. Convocar a sus integrantes y desahogar los asuntos que se sometan a consideración de éstos, así como llevar a cabo las funciones que establece la normatividad en la materia;</w:t>
      </w:r>
    </w:p>
    <w:p w14:paraId="600477D4" w14:textId="77777777" w:rsidR="000B1642" w:rsidRPr="004E7A2E" w:rsidRDefault="009F5022">
      <w:pPr>
        <w:numPr>
          <w:ilvl w:val="0"/>
          <w:numId w:val="16"/>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Vigilar, controlar y supervisar el estricto manejo, recepción, resguardo y entrega de los materiales que se reciben en el Almacén General, con la finalidad de que éstos cumplan con las características físicas y técnicas requeridas, asimismo, establecer los mecanismos necesarios para realizar inventarios de manera periódica;</w:t>
      </w:r>
    </w:p>
    <w:p w14:paraId="2675EC24" w14:textId="77777777" w:rsidR="000B1642" w:rsidRPr="004E7A2E" w:rsidRDefault="009F5022">
      <w:pPr>
        <w:spacing w:before="240" w:after="240" w:line="360" w:lineRule="auto"/>
        <w:ind w:right="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Asimismo, es de mencionar que de conformidad con el artículo 3.41 del Código Reglamentario Municipal de Toluca, la Dirección General de Administración se auxilia de diversas áreas para el cumplimiento de sus atribuciones, entre las que se encuentra la </w:t>
      </w:r>
      <w:r w:rsidRPr="004E7A2E">
        <w:rPr>
          <w:rFonts w:ascii="Palatino Linotype" w:eastAsia="Palatino Linotype" w:hAnsi="Palatino Linotype" w:cs="Palatino Linotype"/>
          <w:b/>
          <w:sz w:val="22"/>
          <w:szCs w:val="22"/>
        </w:rPr>
        <w:t>Dirección de Servicios Generales</w:t>
      </w:r>
      <w:r w:rsidRPr="004E7A2E">
        <w:rPr>
          <w:rFonts w:ascii="Palatino Linotype" w:eastAsia="Palatino Linotype" w:hAnsi="Palatino Linotype" w:cs="Palatino Linotype"/>
          <w:sz w:val="22"/>
          <w:szCs w:val="22"/>
        </w:rPr>
        <w:t>, la cual tiene a su cargo, entre otras atribuciones las siguientes:</w:t>
      </w:r>
    </w:p>
    <w:p w14:paraId="14F0D8AE" w14:textId="77777777" w:rsidR="000B1642" w:rsidRPr="004E7A2E" w:rsidRDefault="009F5022">
      <w:pPr>
        <w:ind w:left="851" w:right="567"/>
        <w:jc w:val="both"/>
        <w:rPr>
          <w:rFonts w:ascii="Palatino Linotype" w:eastAsia="Palatino Linotype" w:hAnsi="Palatino Linotype" w:cs="Palatino Linotype"/>
          <w:i/>
          <w:sz w:val="22"/>
          <w:szCs w:val="22"/>
          <w:u w:val="single"/>
        </w:rPr>
      </w:pPr>
      <w:r w:rsidRPr="004E7A2E">
        <w:rPr>
          <w:rFonts w:ascii="Palatino Linotype" w:eastAsia="Palatino Linotype" w:hAnsi="Palatino Linotype" w:cs="Palatino Linotype"/>
          <w:b/>
          <w:i/>
          <w:sz w:val="22"/>
          <w:szCs w:val="22"/>
        </w:rPr>
        <w:t xml:space="preserve">“Artículo 3.44. </w:t>
      </w:r>
      <w:r w:rsidRPr="004E7A2E">
        <w:rPr>
          <w:rFonts w:ascii="Palatino Linotype" w:eastAsia="Palatino Linotype" w:hAnsi="Palatino Linotype" w:cs="Palatino Linotype"/>
          <w:i/>
          <w:sz w:val="22"/>
          <w:szCs w:val="22"/>
        </w:rPr>
        <w:t xml:space="preserve">La o el titular de la </w:t>
      </w:r>
      <w:r w:rsidRPr="004E7A2E">
        <w:rPr>
          <w:rFonts w:ascii="Palatino Linotype" w:eastAsia="Palatino Linotype" w:hAnsi="Palatino Linotype" w:cs="Palatino Linotype"/>
          <w:b/>
          <w:i/>
          <w:sz w:val="22"/>
          <w:szCs w:val="22"/>
        </w:rPr>
        <w:t>Dirección de Servicios Generales</w:t>
      </w:r>
      <w:r w:rsidRPr="004E7A2E">
        <w:rPr>
          <w:rFonts w:ascii="Palatino Linotype" w:eastAsia="Palatino Linotype" w:hAnsi="Palatino Linotype" w:cs="Palatino Linotype"/>
          <w:i/>
          <w:sz w:val="22"/>
          <w:szCs w:val="22"/>
        </w:rPr>
        <w:t xml:space="preserve"> cuenta con las siguientes atribuciones</w:t>
      </w:r>
      <w:r w:rsidRPr="004E7A2E">
        <w:rPr>
          <w:rFonts w:ascii="Palatino Linotype" w:eastAsia="Palatino Linotype" w:hAnsi="Palatino Linotype" w:cs="Palatino Linotype"/>
          <w:b/>
          <w:i/>
          <w:sz w:val="22"/>
          <w:szCs w:val="22"/>
        </w:rPr>
        <w:t>:</w:t>
      </w:r>
    </w:p>
    <w:p w14:paraId="76B53624" w14:textId="77777777" w:rsidR="000B1642" w:rsidRPr="004E7A2E" w:rsidRDefault="009F5022">
      <w:pPr>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w:t>
      </w:r>
    </w:p>
    <w:p w14:paraId="20EB065B" w14:textId="77777777" w:rsidR="000B1642" w:rsidRPr="004E7A2E" w:rsidRDefault="009F5022">
      <w:pPr>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VI.</w:t>
      </w:r>
      <w:r w:rsidRPr="004E7A2E">
        <w:rPr>
          <w:rFonts w:ascii="Palatino Linotype" w:eastAsia="Palatino Linotype" w:hAnsi="Palatino Linotype" w:cs="Palatino Linotype"/>
          <w:i/>
          <w:sz w:val="22"/>
          <w:szCs w:val="22"/>
        </w:rPr>
        <w:t xml:space="preserve"> Implementar, mantener y actualizar el inventario general de bienes muebles y vehículos del Ayuntamiento de Toluca; </w:t>
      </w:r>
    </w:p>
    <w:p w14:paraId="735F8D86" w14:textId="77777777" w:rsidR="000B1642" w:rsidRPr="004E7A2E" w:rsidRDefault="009F5022">
      <w:pPr>
        <w:ind w:left="851" w:right="567"/>
        <w:jc w:val="both"/>
        <w:rPr>
          <w:rFonts w:ascii="Palatino Linotype" w:eastAsia="Palatino Linotype" w:hAnsi="Palatino Linotype" w:cs="Palatino Linotype"/>
          <w:i/>
          <w:sz w:val="22"/>
          <w:szCs w:val="22"/>
          <w:u w:val="single"/>
        </w:rPr>
      </w:pPr>
      <w:r w:rsidRPr="004E7A2E">
        <w:rPr>
          <w:rFonts w:ascii="Palatino Linotype" w:eastAsia="Palatino Linotype" w:hAnsi="Palatino Linotype" w:cs="Palatino Linotype"/>
          <w:b/>
          <w:i/>
          <w:sz w:val="22"/>
          <w:szCs w:val="22"/>
          <w:u w:val="single"/>
        </w:rPr>
        <w:t>VII</w:t>
      </w:r>
      <w:r w:rsidRPr="004E7A2E">
        <w:rPr>
          <w:rFonts w:ascii="Palatino Linotype" w:eastAsia="Palatino Linotype" w:hAnsi="Palatino Linotype" w:cs="Palatino Linotype"/>
          <w:i/>
          <w:sz w:val="22"/>
          <w:szCs w:val="22"/>
          <w:u w:val="single"/>
        </w:rPr>
        <w:t xml:space="preserve">. </w:t>
      </w:r>
      <w:r w:rsidRPr="004E7A2E">
        <w:rPr>
          <w:rFonts w:ascii="Palatino Linotype" w:eastAsia="Palatino Linotype" w:hAnsi="Palatino Linotype" w:cs="Palatino Linotype"/>
          <w:b/>
          <w:i/>
          <w:sz w:val="22"/>
          <w:szCs w:val="22"/>
          <w:u w:val="single"/>
        </w:rPr>
        <w:t>Elaborar y actualizar el resguardo de bienes muebles</w:t>
      </w:r>
      <w:r w:rsidRPr="004E7A2E">
        <w:rPr>
          <w:rFonts w:ascii="Palatino Linotype" w:eastAsia="Palatino Linotype" w:hAnsi="Palatino Linotype" w:cs="Palatino Linotype"/>
          <w:i/>
          <w:sz w:val="22"/>
          <w:szCs w:val="22"/>
          <w:u w:val="single"/>
        </w:rPr>
        <w:t xml:space="preserve"> y </w:t>
      </w:r>
      <w:r w:rsidRPr="004E7A2E">
        <w:rPr>
          <w:rFonts w:ascii="Palatino Linotype" w:eastAsia="Palatino Linotype" w:hAnsi="Palatino Linotype" w:cs="Palatino Linotype"/>
          <w:b/>
          <w:i/>
          <w:sz w:val="22"/>
          <w:szCs w:val="22"/>
          <w:u w:val="single"/>
        </w:rPr>
        <w:t>vehículos a cargo de los servidores públicos para el desempeño de sus funciones;</w:t>
      </w:r>
      <w:r w:rsidRPr="004E7A2E">
        <w:rPr>
          <w:rFonts w:ascii="Palatino Linotype" w:eastAsia="Palatino Linotype" w:hAnsi="Palatino Linotype" w:cs="Palatino Linotype"/>
          <w:i/>
          <w:sz w:val="22"/>
          <w:szCs w:val="22"/>
          <w:u w:val="single"/>
        </w:rPr>
        <w:t xml:space="preserve"> </w:t>
      </w:r>
    </w:p>
    <w:p w14:paraId="33C53DEC" w14:textId="77777777" w:rsidR="000B1642" w:rsidRPr="004E7A2E" w:rsidRDefault="009F5022">
      <w:pPr>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VIII</w:t>
      </w:r>
      <w:r w:rsidRPr="004E7A2E">
        <w:rPr>
          <w:rFonts w:ascii="Palatino Linotype" w:eastAsia="Palatino Linotype" w:hAnsi="Palatino Linotype" w:cs="Palatino Linotype"/>
          <w:i/>
          <w:sz w:val="22"/>
          <w:szCs w:val="22"/>
        </w:rPr>
        <w:t>. Identificar los bienes muebles y vehículos que se encuentren en mal estado y obsoletos, para que, en su caso, se inicie el proceso de baja como activo, con el propósito de someter al Cabildo su enajenación, conforme a la normatividad respectiva; y”</w:t>
      </w:r>
    </w:p>
    <w:p w14:paraId="30E56479" w14:textId="77777777" w:rsidR="000B1642" w:rsidRPr="004E7A2E" w:rsidRDefault="000B1642">
      <w:pPr>
        <w:ind w:left="1134" w:right="567"/>
        <w:jc w:val="both"/>
        <w:rPr>
          <w:rFonts w:ascii="Palatino Linotype" w:eastAsia="Palatino Linotype" w:hAnsi="Palatino Linotype" w:cs="Palatino Linotype"/>
          <w:i/>
          <w:sz w:val="22"/>
          <w:szCs w:val="22"/>
        </w:rPr>
      </w:pPr>
    </w:p>
    <w:p w14:paraId="6B4C3259" w14:textId="77777777" w:rsidR="000B1642" w:rsidRPr="004E7A2E" w:rsidRDefault="009F5022">
      <w:pPr>
        <w:spacing w:before="240" w:after="240" w:line="360" w:lineRule="auto"/>
        <w:ind w:right="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Por otro lado, de conformidad con el Manual de Organización de la Dirección General de Administración, la Dirección de Servicios Generales, tiene bajo su adscripción al Departamento de Control Patrimonial, cuyo objetivo consiste en registrar y revisar los bienes muebles para mantener integrado y actualizado el Inventario General (bienes, activo biológico y vehículos) del Patrimonio del Ayuntamiento de Toluca por medio de los registros y controles administrativos apegados a la normatividad aplicable, para lo cual se le confieren entre otras atribuciones, las siguientes:</w:t>
      </w:r>
    </w:p>
    <w:p w14:paraId="6534699B" w14:textId="77777777" w:rsidR="000B1642" w:rsidRPr="004E7A2E" w:rsidRDefault="009F5022">
      <w:pPr>
        <w:numPr>
          <w:ilvl w:val="0"/>
          <w:numId w:val="17"/>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Registrar, ubicar e identificar, en el depósito correspondiente, los bienes muebles, maquinaria, equipo y vehículos propuestos para baja de las áreas de la administración pública municipal;</w:t>
      </w:r>
    </w:p>
    <w:p w14:paraId="26C44118" w14:textId="77777777" w:rsidR="000B1642" w:rsidRPr="004E7A2E" w:rsidRDefault="009F5022">
      <w:pPr>
        <w:numPr>
          <w:ilvl w:val="0"/>
          <w:numId w:val="17"/>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Registrar en el Padrón de Inventarios del Ayuntamiento los bienes muebles y vehículos de nueva adquisición o aquellos que sean donados o por nacencia de activo biológico mediante el formato denominado: “Movimiento de Alta”;</w:t>
      </w:r>
    </w:p>
    <w:p w14:paraId="5201EAC4" w14:textId="77777777" w:rsidR="000B1642" w:rsidRPr="004E7A2E" w:rsidRDefault="009F5022">
      <w:pPr>
        <w:numPr>
          <w:ilvl w:val="0"/>
          <w:numId w:val="17"/>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sz w:val="22"/>
          <w:szCs w:val="22"/>
        </w:rPr>
        <w:t xml:space="preserve">Planear, organizar y realizar </w:t>
      </w:r>
      <w:r w:rsidRPr="004E7A2E">
        <w:rPr>
          <w:rFonts w:ascii="Palatino Linotype" w:eastAsia="Palatino Linotype" w:hAnsi="Palatino Linotype" w:cs="Palatino Linotype"/>
          <w:b/>
          <w:sz w:val="22"/>
          <w:szCs w:val="22"/>
          <w:u w:val="single"/>
        </w:rPr>
        <w:t>obligatoriamente dos verificaciones al año</w:t>
      </w:r>
      <w:r w:rsidRPr="004E7A2E">
        <w:rPr>
          <w:rFonts w:ascii="Palatino Linotype" w:eastAsia="Palatino Linotype" w:hAnsi="Palatino Linotype" w:cs="Palatino Linotype"/>
          <w:sz w:val="22"/>
          <w:szCs w:val="22"/>
        </w:rPr>
        <w:t xml:space="preserve"> </w:t>
      </w:r>
      <w:r w:rsidRPr="004E7A2E">
        <w:rPr>
          <w:rFonts w:ascii="Palatino Linotype" w:eastAsia="Palatino Linotype" w:hAnsi="Palatino Linotype" w:cs="Palatino Linotype"/>
          <w:b/>
          <w:sz w:val="22"/>
          <w:szCs w:val="22"/>
        </w:rPr>
        <w:t xml:space="preserve">para llevar a cabo el levantamiento físico de bienes muebles </w:t>
      </w:r>
      <w:r w:rsidRPr="004E7A2E">
        <w:rPr>
          <w:rFonts w:ascii="Palatino Linotype" w:eastAsia="Palatino Linotype" w:hAnsi="Palatino Linotype" w:cs="Palatino Linotype"/>
          <w:sz w:val="22"/>
          <w:szCs w:val="22"/>
        </w:rPr>
        <w:t xml:space="preserve">con el propósito de </w:t>
      </w:r>
      <w:r w:rsidRPr="004E7A2E">
        <w:rPr>
          <w:rFonts w:ascii="Palatino Linotype" w:eastAsia="Palatino Linotype" w:hAnsi="Palatino Linotype" w:cs="Palatino Linotype"/>
          <w:b/>
          <w:sz w:val="22"/>
          <w:szCs w:val="22"/>
        </w:rPr>
        <w:t xml:space="preserve">actualizar el inventario </w:t>
      </w:r>
      <w:r w:rsidRPr="004E7A2E">
        <w:rPr>
          <w:rFonts w:ascii="Palatino Linotype" w:eastAsia="Palatino Linotype" w:hAnsi="Palatino Linotype" w:cs="Palatino Linotype"/>
          <w:sz w:val="22"/>
          <w:szCs w:val="22"/>
        </w:rPr>
        <w:t>de los mismos;</w:t>
      </w:r>
    </w:p>
    <w:p w14:paraId="2E98521F" w14:textId="77777777" w:rsidR="000B1642" w:rsidRPr="004E7A2E" w:rsidRDefault="009F5022">
      <w:pPr>
        <w:numPr>
          <w:ilvl w:val="0"/>
          <w:numId w:val="17"/>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Proponer lineamientos, políticas y obligaciones para el adecuado y correcto cuidado de los bienes que se encuentran bajo resguardo y custodia de las y los servidores públicos municipales;</w:t>
      </w:r>
    </w:p>
    <w:p w14:paraId="24933ED6" w14:textId="77777777" w:rsidR="000B1642" w:rsidRPr="004E7A2E" w:rsidRDefault="009F5022">
      <w:pPr>
        <w:spacing w:before="240" w:after="240" w:line="360" w:lineRule="auto"/>
        <w:ind w:right="51"/>
        <w:jc w:val="both"/>
        <w:rPr>
          <w:rFonts w:ascii="Palatino Linotype" w:eastAsia="Palatino Linotype" w:hAnsi="Palatino Linotype" w:cs="Palatino Linotype"/>
          <w:b/>
          <w:sz w:val="22"/>
          <w:szCs w:val="22"/>
        </w:rPr>
      </w:pPr>
      <w:r w:rsidRPr="004E7A2E">
        <w:rPr>
          <w:rFonts w:ascii="Palatino Linotype" w:eastAsia="Palatino Linotype" w:hAnsi="Palatino Linotype" w:cs="Palatino Linotype"/>
          <w:sz w:val="22"/>
          <w:szCs w:val="22"/>
        </w:rPr>
        <w:t xml:space="preserve"> En ese sentido, según Jarquín, Soledad (2019), en el “Diccionario de Transparencia y Acceso a la Información Pública” (p. 68), </w:t>
      </w:r>
      <w:r w:rsidRPr="004E7A2E">
        <w:rPr>
          <w:rFonts w:ascii="Palatino Linotype" w:eastAsia="Palatino Linotype" w:hAnsi="Palatino Linotype" w:cs="Palatino Linotype"/>
          <w:b/>
          <w:sz w:val="22"/>
          <w:szCs w:val="22"/>
        </w:rPr>
        <w:t>la búsqueda exhaustiva</w:t>
      </w:r>
      <w:r w:rsidRPr="004E7A2E">
        <w:rPr>
          <w:rFonts w:ascii="Palatino Linotype" w:eastAsia="Palatino Linotype" w:hAnsi="Palatino Linotype" w:cs="Palatino Linotype"/>
          <w:sz w:val="22"/>
          <w:szCs w:val="22"/>
        </w:rPr>
        <w:t xml:space="preserve"> es la obligación del área administrativa del Sujeto Obligado que cuenta o puede contar con la información </w:t>
      </w:r>
      <w:r w:rsidRPr="004E7A2E">
        <w:rPr>
          <w:rFonts w:ascii="Palatino Linotype" w:eastAsia="Palatino Linotype" w:hAnsi="Palatino Linotype" w:cs="Palatino Linotype"/>
          <w:sz w:val="22"/>
          <w:szCs w:val="22"/>
        </w:rPr>
        <w:lastRenderedPageBreak/>
        <w:t>requerida, la cual consiste en localizar toda aquella que atienda la solicitud, hasta agotar por completo las posibilidades de indagación.</w:t>
      </w:r>
    </w:p>
    <w:p w14:paraId="3FDE6DD6" w14:textId="77777777" w:rsidR="000B1642" w:rsidRPr="004E7A2E" w:rsidRDefault="009F5022">
      <w:pPr>
        <w:spacing w:before="240" w:after="240" w:line="360" w:lineRule="auto"/>
        <w:ind w:right="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Por ello, es de referir que en el caso particular, 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no realizó una correcta búsqueda de la información, pues si bien se turnó la solicitud a la unidad administrativa competente, esta únicamente señaló que realizó la búsqueda de la información dentro de los archivos de la Dirección de Recursos Humanos, no así, dentro de los archivos de la Dirección de Servicios Generales, quien es el área encargada de elaborar y actualizar el resguardo de bienes muebles y vehículos a cargo de los servidores públicos para el desempeño de sus funciones; por lo que resulta procedente ordenar, previa búsqueda exhaustiva y razonable, la entrega del o los documentos que den cuenta del resguardo de bienes a cargo de los servidores públicos adscritos a la Unidad de Transparencia, en funciones al veinte de febrero de dos mil veinticinco. </w:t>
      </w:r>
    </w:p>
    <w:p w14:paraId="53287944" w14:textId="77777777" w:rsidR="000B1642" w:rsidRPr="004E7A2E" w:rsidRDefault="009F5022">
      <w:pPr>
        <w:numPr>
          <w:ilvl w:val="0"/>
          <w:numId w:val="15"/>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b/>
          <w:sz w:val="22"/>
          <w:szCs w:val="22"/>
        </w:rPr>
      </w:pPr>
      <w:r w:rsidRPr="004E7A2E">
        <w:rPr>
          <w:rFonts w:ascii="Palatino Linotype" w:eastAsia="Palatino Linotype" w:hAnsi="Palatino Linotype" w:cs="Palatino Linotype"/>
          <w:b/>
          <w:sz w:val="22"/>
          <w:szCs w:val="22"/>
        </w:rPr>
        <w:t>Gafetes Institucionales</w:t>
      </w:r>
    </w:p>
    <w:p w14:paraId="52C10D54" w14:textId="77777777" w:rsidR="000B1642" w:rsidRPr="004E7A2E" w:rsidRDefault="009F5022">
      <w:pPr>
        <w:spacing w:before="240" w:after="240" w:line="360" w:lineRule="auto"/>
        <w:ind w:right="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Conviene señalar que, de conformidad con el artículo 11.87 del Código Reglamentario Municipal de Toluca, las y los servidores públicos cuentan con la obligación de portar durante la jornada laboral, el Gafete / Credencial expedido por la Dirección General de Administración, tal y como se advierte a continuación: </w:t>
      </w:r>
    </w:p>
    <w:p w14:paraId="5329315F" w14:textId="77777777" w:rsidR="000B1642" w:rsidRPr="004E7A2E" w:rsidRDefault="009F5022">
      <w:pPr>
        <w:spacing w:line="276" w:lineRule="auto"/>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w:t>
      </w:r>
      <w:r w:rsidRPr="004E7A2E">
        <w:rPr>
          <w:rFonts w:ascii="Palatino Linotype" w:eastAsia="Palatino Linotype" w:hAnsi="Palatino Linotype" w:cs="Palatino Linotype"/>
          <w:b/>
          <w:i/>
          <w:sz w:val="22"/>
          <w:szCs w:val="22"/>
        </w:rPr>
        <w:t>Artículo 11.87</w:t>
      </w:r>
      <w:r w:rsidRPr="004E7A2E">
        <w:rPr>
          <w:rFonts w:ascii="Palatino Linotype" w:eastAsia="Palatino Linotype" w:hAnsi="Palatino Linotype" w:cs="Palatino Linotype"/>
          <w:i/>
          <w:sz w:val="22"/>
          <w:szCs w:val="22"/>
        </w:rPr>
        <w:t>. Son obligaciones de las y los servidores públicos:</w:t>
      </w:r>
    </w:p>
    <w:p w14:paraId="6E57EBE4" w14:textId="77777777" w:rsidR="000B1642" w:rsidRPr="004E7A2E" w:rsidRDefault="009F5022">
      <w:pPr>
        <w:spacing w:line="276" w:lineRule="auto"/>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w:t>
      </w:r>
    </w:p>
    <w:p w14:paraId="3E0176A0" w14:textId="77777777" w:rsidR="000B1642" w:rsidRPr="004E7A2E" w:rsidRDefault="009F5022">
      <w:pPr>
        <w:spacing w:line="276" w:lineRule="auto"/>
        <w:ind w:left="851" w:right="567"/>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 xml:space="preserve">XII. </w:t>
      </w:r>
      <w:r w:rsidRPr="004E7A2E">
        <w:rPr>
          <w:rFonts w:ascii="Palatino Linotype" w:eastAsia="Palatino Linotype" w:hAnsi="Palatino Linotype" w:cs="Palatino Linotype"/>
          <w:b/>
          <w:i/>
          <w:sz w:val="22"/>
          <w:szCs w:val="22"/>
        </w:rPr>
        <w:t>Portar en lugar visible, durante la jornada laboral, el gafete/credencial expedido por la Dirección General de Administración</w:t>
      </w:r>
      <w:r w:rsidRPr="004E7A2E">
        <w:rPr>
          <w:rFonts w:ascii="Palatino Linotype" w:eastAsia="Palatino Linotype" w:hAnsi="Palatino Linotype" w:cs="Palatino Linotype"/>
          <w:sz w:val="22"/>
          <w:szCs w:val="22"/>
        </w:rPr>
        <w:t>;</w:t>
      </w:r>
    </w:p>
    <w:p w14:paraId="5930A813" w14:textId="77777777" w:rsidR="000B1642" w:rsidRPr="004E7A2E" w:rsidRDefault="009F5022">
      <w:pPr>
        <w:spacing w:line="276" w:lineRule="auto"/>
        <w:ind w:left="851" w:right="567"/>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w:t>
      </w:r>
    </w:p>
    <w:p w14:paraId="3AACB379" w14:textId="77777777" w:rsidR="000B1642" w:rsidRPr="004E7A2E" w:rsidRDefault="009F5022">
      <w:pPr>
        <w:spacing w:before="240" w:after="240"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Por su parte, el artículo 3.40 del Código Reglamentario Municipal de Toluca, refiere que la Dirección de Administración tiene conferidas las siguientes atribuciones en su parte conducente:</w:t>
      </w:r>
    </w:p>
    <w:p w14:paraId="0E6E093E" w14:textId="77777777" w:rsidR="000B1642" w:rsidRPr="004E7A2E" w:rsidRDefault="009F5022">
      <w:pPr>
        <w:spacing w:line="276" w:lineRule="auto"/>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lastRenderedPageBreak/>
        <w:t xml:space="preserve"> “Artículo 3.40.</w:t>
      </w:r>
      <w:r w:rsidRPr="004E7A2E">
        <w:rPr>
          <w:rFonts w:ascii="Palatino Linotype" w:eastAsia="Palatino Linotype" w:hAnsi="Palatino Linotype" w:cs="Palatino Linotype"/>
          <w:i/>
          <w:sz w:val="22"/>
          <w:szCs w:val="22"/>
        </w:rPr>
        <w:t xml:space="preserve"> La o el titular de la </w:t>
      </w:r>
      <w:r w:rsidRPr="004E7A2E">
        <w:rPr>
          <w:rFonts w:ascii="Palatino Linotype" w:eastAsia="Palatino Linotype" w:hAnsi="Palatino Linotype" w:cs="Palatino Linotype"/>
          <w:b/>
          <w:i/>
          <w:sz w:val="22"/>
          <w:szCs w:val="22"/>
        </w:rPr>
        <w:t>Dirección General de Administración</w:t>
      </w:r>
      <w:r w:rsidRPr="004E7A2E">
        <w:rPr>
          <w:rFonts w:ascii="Palatino Linotype" w:eastAsia="Palatino Linotype" w:hAnsi="Palatino Linotype" w:cs="Palatino Linotype"/>
          <w:i/>
          <w:sz w:val="22"/>
          <w:szCs w:val="22"/>
        </w:rPr>
        <w:t>, tiene las siguientes atribuciones:</w:t>
      </w:r>
    </w:p>
    <w:p w14:paraId="2E6552A9" w14:textId="77777777" w:rsidR="000B1642" w:rsidRPr="004E7A2E" w:rsidRDefault="009F5022">
      <w:pPr>
        <w:spacing w:line="276" w:lineRule="auto"/>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I.</w:t>
      </w:r>
      <w:r w:rsidRPr="004E7A2E">
        <w:rPr>
          <w:rFonts w:ascii="Palatino Linotype" w:eastAsia="Palatino Linotype" w:hAnsi="Palatino Linotype" w:cs="Palatino Linotype"/>
          <w:i/>
          <w:sz w:val="22"/>
          <w:szCs w:val="22"/>
        </w:rPr>
        <w:t xml:space="preserve"> Coordinar y dirigir los sistemas de reclutamiento, selección, contratación e inducción y desarrollo de personal;</w:t>
      </w:r>
    </w:p>
    <w:p w14:paraId="0020EDA6" w14:textId="77777777" w:rsidR="000B1642" w:rsidRPr="004E7A2E" w:rsidRDefault="009F5022">
      <w:pPr>
        <w:spacing w:line="276" w:lineRule="auto"/>
        <w:ind w:left="851" w:right="567"/>
        <w:jc w:val="both"/>
        <w:rPr>
          <w:rFonts w:ascii="Palatino Linotype" w:eastAsia="Palatino Linotype" w:hAnsi="Palatino Linotype" w:cs="Palatino Linotype"/>
          <w:b/>
          <w:i/>
          <w:sz w:val="22"/>
          <w:szCs w:val="22"/>
        </w:rPr>
      </w:pPr>
      <w:r w:rsidRPr="004E7A2E">
        <w:rPr>
          <w:rFonts w:ascii="Palatino Linotype" w:eastAsia="Palatino Linotype" w:hAnsi="Palatino Linotype" w:cs="Palatino Linotype"/>
          <w:i/>
          <w:sz w:val="22"/>
          <w:szCs w:val="22"/>
        </w:rPr>
        <w:t xml:space="preserve">II. </w:t>
      </w:r>
      <w:r w:rsidRPr="004E7A2E">
        <w:rPr>
          <w:rFonts w:ascii="Palatino Linotype" w:eastAsia="Palatino Linotype" w:hAnsi="Palatino Linotype" w:cs="Palatino Linotype"/>
          <w:b/>
          <w:i/>
          <w:sz w:val="22"/>
          <w:szCs w:val="22"/>
        </w:rPr>
        <w:t>Verificar que se cumplan las disposiciones</w:t>
      </w:r>
      <w:r w:rsidRPr="004E7A2E">
        <w:rPr>
          <w:rFonts w:ascii="Palatino Linotype" w:eastAsia="Palatino Linotype" w:hAnsi="Palatino Linotype" w:cs="Palatino Linotype"/>
          <w:i/>
          <w:sz w:val="22"/>
          <w:szCs w:val="22"/>
        </w:rPr>
        <w:t xml:space="preserve"> en materia de trabajo, seguridad e higiene laboral, así como las </w:t>
      </w:r>
      <w:r w:rsidRPr="004E7A2E">
        <w:rPr>
          <w:rFonts w:ascii="Palatino Linotype" w:eastAsia="Palatino Linotype" w:hAnsi="Palatino Linotype" w:cs="Palatino Linotype"/>
          <w:b/>
          <w:i/>
          <w:sz w:val="22"/>
          <w:szCs w:val="22"/>
        </w:rPr>
        <w:t>del Código Reglamentario, respecto de los derechos y obligaciones del personal;</w:t>
      </w:r>
    </w:p>
    <w:p w14:paraId="0A499B07" w14:textId="77777777" w:rsidR="000B1642" w:rsidRPr="004E7A2E" w:rsidRDefault="009F5022">
      <w:pPr>
        <w:spacing w:line="276" w:lineRule="auto"/>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III.</w:t>
      </w:r>
      <w:r w:rsidRPr="004E7A2E">
        <w:rPr>
          <w:rFonts w:ascii="Palatino Linotype" w:eastAsia="Palatino Linotype" w:hAnsi="Palatino Linotype" w:cs="Palatino Linotype"/>
          <w:i/>
          <w:sz w:val="22"/>
          <w:szCs w:val="22"/>
        </w:rPr>
        <w:t xml:space="preserve"> Autorizar las altas, bajas, cambios, permisos, licencias, comisiones del personal, entre otras, para su trámite y efectos;</w:t>
      </w:r>
    </w:p>
    <w:p w14:paraId="44CD04FB" w14:textId="77777777" w:rsidR="000B1642" w:rsidRPr="004E7A2E" w:rsidRDefault="009F5022">
      <w:pPr>
        <w:spacing w:line="276" w:lineRule="auto"/>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IV.</w:t>
      </w:r>
      <w:r w:rsidRPr="004E7A2E">
        <w:rPr>
          <w:rFonts w:ascii="Palatino Linotype" w:eastAsia="Palatino Linotype" w:hAnsi="Palatino Linotype" w:cs="Palatino Linotype"/>
          <w:i/>
          <w:sz w:val="22"/>
          <w:szCs w:val="22"/>
        </w:rPr>
        <w:t xml:space="preserve"> Autorizar la elaboración y distribución oportuna de la nómina al personal que labora en el Ayuntamiento, apegándose a la normatividad en la materia y al presupuesto autorizado; </w:t>
      </w:r>
    </w:p>
    <w:p w14:paraId="0844E433" w14:textId="77777777" w:rsidR="000B1642" w:rsidRPr="004E7A2E" w:rsidRDefault="009F5022">
      <w:pPr>
        <w:spacing w:line="276" w:lineRule="auto"/>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V</w:t>
      </w:r>
      <w:r w:rsidRPr="004E7A2E">
        <w:rPr>
          <w:rFonts w:ascii="Palatino Linotype" w:eastAsia="Palatino Linotype" w:hAnsi="Palatino Linotype" w:cs="Palatino Linotype"/>
          <w:i/>
          <w:sz w:val="22"/>
          <w:szCs w:val="22"/>
        </w:rPr>
        <w:t xml:space="preserve">. Coordinar, programar y establecer las políticas de capacitación y adiestramiento para el desarrollo adecuado de personal, conforme a las necesidades institucionales y a las propias del personal; </w:t>
      </w:r>
    </w:p>
    <w:p w14:paraId="55F3269B" w14:textId="77777777" w:rsidR="000B1642" w:rsidRPr="004E7A2E" w:rsidRDefault="009F5022">
      <w:pPr>
        <w:spacing w:line="276" w:lineRule="auto"/>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VI</w:t>
      </w:r>
      <w:r w:rsidRPr="004E7A2E">
        <w:rPr>
          <w:rFonts w:ascii="Palatino Linotype" w:eastAsia="Palatino Linotype" w:hAnsi="Palatino Linotype" w:cs="Palatino Linotype"/>
          <w:i/>
          <w:sz w:val="22"/>
          <w:szCs w:val="22"/>
        </w:rPr>
        <w:t>. Vigilar y verificar el cumplimiento de las cláusulas establecidas en los convenios sindicales, para mantener y fortalecer las relaciones con las instituciones, y a su vez buscar el beneficio en cuanto a las prestaciones y condiciones laborales de los trabajadores agremiados</w:t>
      </w:r>
      <w:r w:rsidRPr="004E7A2E">
        <w:rPr>
          <w:rFonts w:ascii="Palatino Linotype" w:eastAsia="Palatino Linotype" w:hAnsi="Palatino Linotype" w:cs="Palatino Linotype"/>
          <w:sz w:val="22"/>
          <w:szCs w:val="22"/>
        </w:rPr>
        <w:t>;</w:t>
      </w:r>
      <w:r w:rsidRPr="004E7A2E">
        <w:rPr>
          <w:rFonts w:ascii="Palatino Linotype" w:eastAsia="Palatino Linotype" w:hAnsi="Palatino Linotype" w:cs="Palatino Linotype"/>
          <w:i/>
          <w:sz w:val="22"/>
          <w:szCs w:val="22"/>
        </w:rPr>
        <w:t>”</w:t>
      </w:r>
    </w:p>
    <w:p w14:paraId="6C1CFD58" w14:textId="77777777" w:rsidR="000B1642" w:rsidRPr="004E7A2E" w:rsidRDefault="009F5022">
      <w:pPr>
        <w:spacing w:before="240" w:after="240" w:line="360" w:lineRule="auto"/>
        <w:ind w:right="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Del precepto citado se desprende que la Dirección General de Administración tiene a su cargo la de coordinar y dirigir los sistemas de reclutamiento, selección y contratación de personal, así como verificar que se cumplan las disposiciones en materia de trabajo, seguridad e higiene laboral, así como las del Código Reglamentario, respecto de los derechos y obligaciones del personal, entre otras atribuciones.</w:t>
      </w:r>
    </w:p>
    <w:p w14:paraId="2F300E88" w14:textId="77777777" w:rsidR="000B1642" w:rsidRPr="004E7A2E" w:rsidRDefault="009F5022">
      <w:pPr>
        <w:spacing w:before="240" w:after="240"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Así las cosas, no obsta mencionar que de las constancias que obran en el expediente en el que se actúa, se advierte que, la Dirección General de Administración asume contar con la información, ya que refiere hacer la entrega de la información de la solicita, sin que se adviertan los documentos que den cuenta de su dicho; por lo que se reitera que no fue congruente y exhaustivo con lo solicitado y lo entregado, ya que como se señaló en párrafos anteriores, tiene atribuciones para expedir los gafetes de los servidores públicos que </w:t>
      </w:r>
      <w:r w:rsidRPr="004E7A2E">
        <w:rPr>
          <w:rFonts w:ascii="Palatino Linotype" w:eastAsia="Palatino Linotype" w:hAnsi="Palatino Linotype" w:cs="Palatino Linotype"/>
          <w:sz w:val="22"/>
          <w:szCs w:val="22"/>
        </w:rPr>
        <w:lastRenderedPageBreak/>
        <w:t xml:space="preserve">integran las unidades administrativas del Ayuntamiento de Toluca; por lo que resulta procedente ordenar la entrega, de los Gafetes Institucionales de los servidores públicos que integran la Unidad de Transparencia del Ayuntamiento de Toluca, en funciones al veinte de febrero de dos mil veinticinco, de ser procedente en versión pública. </w:t>
      </w:r>
    </w:p>
    <w:p w14:paraId="61AA5118" w14:textId="77777777" w:rsidR="000B1642" w:rsidRPr="004E7A2E" w:rsidRDefault="009F5022">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4E7A2E">
        <w:rPr>
          <w:rFonts w:ascii="Palatino Linotype" w:eastAsia="Palatino Linotype" w:hAnsi="Palatino Linotype" w:cs="Palatino Linotype"/>
          <w:b/>
          <w:sz w:val="22"/>
          <w:szCs w:val="22"/>
        </w:rPr>
        <w:t>Funciones de cada servidor público.</w:t>
      </w:r>
    </w:p>
    <w:p w14:paraId="5DF5EFD1" w14:textId="77777777" w:rsidR="000B1642" w:rsidRPr="004E7A2E" w:rsidRDefault="009F5022">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4E7A2E">
        <w:rPr>
          <w:rFonts w:ascii="Palatino Linotype" w:eastAsia="Palatino Linotype" w:hAnsi="Palatino Linotype" w:cs="Palatino Linotype"/>
          <w:b/>
          <w:sz w:val="22"/>
          <w:szCs w:val="22"/>
        </w:rPr>
        <w:t>Evidencia de sus funciones.</w:t>
      </w:r>
    </w:p>
    <w:p w14:paraId="3EFE068F" w14:textId="77777777" w:rsidR="000B1642" w:rsidRPr="004E7A2E" w:rsidRDefault="009F5022">
      <w:pPr>
        <w:numPr>
          <w:ilvl w:val="0"/>
          <w:numId w:val="2"/>
        </w:numPr>
        <w:pBdr>
          <w:top w:val="nil"/>
          <w:left w:val="nil"/>
          <w:bottom w:val="nil"/>
          <w:right w:val="nil"/>
          <w:between w:val="nil"/>
        </w:pBdr>
        <w:rPr>
          <w:rFonts w:ascii="Palatino Linotype" w:eastAsia="Palatino Linotype" w:hAnsi="Palatino Linotype" w:cs="Palatino Linotype"/>
          <w:b/>
          <w:sz w:val="22"/>
          <w:szCs w:val="22"/>
        </w:rPr>
      </w:pPr>
      <w:r w:rsidRPr="004E7A2E">
        <w:rPr>
          <w:rFonts w:ascii="Palatino Linotype" w:eastAsia="Palatino Linotype" w:hAnsi="Palatino Linotype" w:cs="Palatino Linotype"/>
          <w:b/>
          <w:sz w:val="22"/>
          <w:szCs w:val="22"/>
        </w:rPr>
        <w:t>Informe Diario de Actividades.</w:t>
      </w:r>
    </w:p>
    <w:p w14:paraId="324E696D" w14:textId="77777777" w:rsidR="000B1642" w:rsidRPr="004E7A2E" w:rsidRDefault="009F5022">
      <w:pPr>
        <w:spacing w:before="240" w:after="240" w:line="360" w:lineRule="auto"/>
        <w:ind w:right="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En respuesta, 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por conducto de la Unidad de Transparencia informó que derivado de una búsqueda exhaustiva y razonable en sus archivos, las funciones a cargo de la Unidad de Transparencia y su estructura se encuentran a contenidas en la Manual de Organización de la Secretaría, información que de acuerdo a lo establecido por el artículo 161 de la Ley de Transparencia del Estado, se encuentra ya publicada para su consulta en el sitio web: </w:t>
      </w:r>
      <w:hyperlink r:id="rId13">
        <w:r w:rsidRPr="004E7A2E">
          <w:rPr>
            <w:rFonts w:ascii="Palatino Linotype" w:eastAsia="Palatino Linotype" w:hAnsi="Palatino Linotype" w:cs="Palatino Linotype"/>
            <w:sz w:val="22"/>
            <w:szCs w:val="22"/>
            <w:u w:val="single"/>
          </w:rPr>
          <w:t>https://www2.toluca.gob.mx/wp-content/uploads/2024/10/02-MO-SA.pdf</w:t>
        </w:r>
      </w:hyperlink>
      <w:r w:rsidRPr="004E7A2E">
        <w:rPr>
          <w:rFonts w:ascii="Palatino Linotype" w:eastAsia="Palatino Linotype" w:hAnsi="Palatino Linotype" w:cs="Palatino Linotype"/>
          <w:sz w:val="22"/>
          <w:szCs w:val="22"/>
        </w:rPr>
        <w:t xml:space="preserve">. </w:t>
      </w:r>
    </w:p>
    <w:p w14:paraId="052F4D66" w14:textId="77777777" w:rsidR="000B1642" w:rsidRPr="004E7A2E" w:rsidRDefault="009F5022">
      <w:pPr>
        <w:spacing w:before="240" w:after="240" w:line="360" w:lineRule="auto"/>
        <w:ind w:right="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Por otro lado, señaló que el particular busca un pronunciamiento por parte del Sujeto Obligado, el cual no constituye un derecho de acceso a la información; sino un derecho de petición debido a que realiza manifestaciones subjetivas por el solicitante, acusaciones y declaraciones que no se colman con la entrega de documentos, situación que conlleva a afirmar que se está ante la presencia del ejercicio del derecho ya anunciado.</w:t>
      </w:r>
    </w:p>
    <w:p w14:paraId="02B8EA85"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En este orden de ideas, conviene mencionar que de conformidad con el Manual de Organización de la Secretaría del Ayuntamiento, la Unidad de Transparencia tiene como objetivo tutelar y garantizar a toda persona el ejercicio del derecho humano de acceso a la información pública privilegiando el principio de máxima publicidad de la información; garantizando la protección de los datos personales en poder del Sujeto Obligado; así como el derecho al acceso, rectificación, cancelación y oposición de los datos personales. </w:t>
      </w:r>
    </w:p>
    <w:p w14:paraId="0B09A718" w14:textId="77777777" w:rsidR="000B1642" w:rsidRPr="004E7A2E" w:rsidRDefault="000B1642">
      <w:pPr>
        <w:spacing w:line="360" w:lineRule="auto"/>
        <w:ind w:right="49"/>
        <w:jc w:val="both"/>
        <w:rPr>
          <w:rFonts w:ascii="Palatino Linotype" w:eastAsia="Palatino Linotype" w:hAnsi="Palatino Linotype" w:cs="Palatino Linotype"/>
          <w:sz w:val="22"/>
          <w:szCs w:val="22"/>
        </w:rPr>
      </w:pPr>
    </w:p>
    <w:p w14:paraId="0C5BEEBC"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Del mismo modo, señala las funciones con las que cuenta, dentro de las que se advierte dirigir y coordinar las actividades de transparencia, acceso a la información y protección de datos personales del Sujeto Obligado, a efecto de que se conduzcan conforme a lo establecido en la normatividad vigente; y, </w:t>
      </w:r>
      <w:r w:rsidRPr="004E7A2E">
        <w:rPr>
          <w:rFonts w:ascii="Palatino Linotype" w:eastAsia="Palatino Linotype" w:hAnsi="Palatino Linotype" w:cs="Palatino Linotype"/>
          <w:b/>
          <w:sz w:val="22"/>
          <w:szCs w:val="22"/>
        </w:rPr>
        <w:t>coordinar las actividades y operaciones de la Unidad de Transparencia en apego a las atribuciones que tiene encomendadas</w:t>
      </w:r>
      <w:r w:rsidRPr="004E7A2E">
        <w:rPr>
          <w:rFonts w:ascii="Palatino Linotype" w:eastAsia="Palatino Linotype" w:hAnsi="Palatino Linotype" w:cs="Palatino Linotype"/>
          <w:sz w:val="22"/>
          <w:szCs w:val="22"/>
        </w:rPr>
        <w:t xml:space="preserve"> de conformidad con la Ley de Transparencia y Acceso a la Información Pública del Estado de México y Municipios, así como a la Ley de Protección de Datos Personales en posesión de los Sujetos Obligados del Estado de México y Municipios. </w:t>
      </w:r>
    </w:p>
    <w:p w14:paraId="3DE25072" w14:textId="77777777" w:rsidR="000B1642" w:rsidRPr="004E7A2E" w:rsidRDefault="000B1642">
      <w:pPr>
        <w:spacing w:line="360" w:lineRule="auto"/>
        <w:ind w:right="49"/>
        <w:jc w:val="both"/>
        <w:rPr>
          <w:rFonts w:ascii="Palatino Linotype" w:eastAsia="Palatino Linotype" w:hAnsi="Palatino Linotype" w:cs="Palatino Linotype"/>
          <w:sz w:val="22"/>
          <w:szCs w:val="22"/>
        </w:rPr>
      </w:pPr>
    </w:p>
    <w:p w14:paraId="2E34EBCD" w14:textId="77777777" w:rsidR="000B1642" w:rsidRPr="004E7A2E" w:rsidRDefault="009F5022">
      <w:pPr>
        <w:spacing w:line="360" w:lineRule="auto"/>
        <w:jc w:val="both"/>
        <w:rPr>
          <w:rFonts w:ascii="Palatino Linotype" w:eastAsia="Palatino Linotype" w:hAnsi="Palatino Linotype" w:cs="Palatino Linotype"/>
          <w:sz w:val="22"/>
          <w:szCs w:val="22"/>
        </w:rPr>
      </w:pPr>
      <w:bookmarkStart w:id="5" w:name="_heading=h.7cbrzj43dnem" w:colFirst="0" w:colLast="0"/>
      <w:bookmarkEnd w:id="5"/>
      <w:r w:rsidRPr="004E7A2E">
        <w:rPr>
          <w:rFonts w:ascii="Palatino Linotype" w:eastAsia="Palatino Linotype" w:hAnsi="Palatino Linotype" w:cs="Palatino Linotype"/>
          <w:sz w:val="22"/>
          <w:szCs w:val="22"/>
        </w:rPr>
        <w:t xml:space="preserve">Por lo anteriormente expuesto, y de la revisión a las constancias que obran en el expediente electrónico, se logra advertir que 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turnó la solicitud de información a la Unidad de Transparencia, por lo que, de conformidad con lo previsto en los artículos 160 y 162 de la Ley de Transparencia y Acceso a la Información Pública del Estado de México y Municipios, 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cumplió con el procedimiento de búsqueda establecido, toda vez que turnó la solicitud a la unidad administrativa competente. </w:t>
      </w:r>
    </w:p>
    <w:p w14:paraId="3F46E7DF"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1E3A2C08"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Ahora bien, toma relevancia señalar que, la información solicitada se encuentra vinculada a las obligaciones de transparencia establecidas en la Ley de Transparencia y Acceso a la Información Pública del Estado de México y Municipios, relativa a la estructura orgánica contemplada en el artículo 92, fracción II, de la Ley de Transparencia y Acceso a la Información Pública del Estado de México y Municipios, que se transcribe a continuación:</w:t>
      </w:r>
    </w:p>
    <w:p w14:paraId="38B7F677"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0476F89E" w14:textId="77777777" w:rsidR="000B1642" w:rsidRPr="004E7A2E" w:rsidRDefault="009F5022">
      <w:pP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w:t>
      </w:r>
      <w:r w:rsidRPr="004E7A2E">
        <w:rPr>
          <w:rFonts w:ascii="Palatino Linotype" w:eastAsia="Palatino Linotype" w:hAnsi="Palatino Linotype" w:cs="Palatino Linotype"/>
          <w:b/>
          <w:i/>
          <w:sz w:val="22"/>
          <w:szCs w:val="22"/>
        </w:rPr>
        <w:t>Artículo 92.</w:t>
      </w:r>
      <w:r w:rsidRPr="004E7A2E">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w:t>
      </w:r>
    </w:p>
    <w:p w14:paraId="632C8084" w14:textId="77777777" w:rsidR="000B1642" w:rsidRPr="004E7A2E" w:rsidRDefault="009F5022">
      <w:pP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w:t>
      </w:r>
    </w:p>
    <w:p w14:paraId="3D4B2DDB" w14:textId="77777777" w:rsidR="000B1642" w:rsidRPr="004E7A2E" w:rsidRDefault="009F5022">
      <w:pP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lastRenderedPageBreak/>
        <w:t xml:space="preserve">II. </w:t>
      </w:r>
      <w:r w:rsidRPr="004E7A2E">
        <w:rPr>
          <w:rFonts w:ascii="Palatino Linotype" w:eastAsia="Palatino Linotype" w:hAnsi="Palatino Linotype" w:cs="Palatino Linotype"/>
          <w:i/>
          <w:sz w:val="22"/>
          <w:szCs w:val="22"/>
        </w:rPr>
        <w:t xml:space="preserve">Su estructura orgánica completa, en un formato que permita vincular cada parte de la estructura, </w:t>
      </w:r>
      <w:r w:rsidRPr="004E7A2E">
        <w:rPr>
          <w:rFonts w:ascii="Palatino Linotype" w:eastAsia="Palatino Linotype" w:hAnsi="Palatino Linotype" w:cs="Palatino Linotype"/>
          <w:b/>
          <w:i/>
          <w:sz w:val="22"/>
          <w:szCs w:val="22"/>
        </w:rPr>
        <w:t xml:space="preserve">las atribuciones y responsabilidades que le corresponden a </w:t>
      </w:r>
      <w:r w:rsidRPr="004E7A2E">
        <w:rPr>
          <w:rFonts w:ascii="Palatino Linotype" w:eastAsia="Palatino Linotype" w:hAnsi="Palatino Linotype" w:cs="Palatino Linotype"/>
          <w:b/>
          <w:i/>
          <w:sz w:val="22"/>
          <w:szCs w:val="22"/>
          <w:u w:val="single"/>
        </w:rPr>
        <w:t>cada servidor público</w:t>
      </w:r>
      <w:r w:rsidRPr="004E7A2E">
        <w:rPr>
          <w:rFonts w:ascii="Palatino Linotype" w:eastAsia="Palatino Linotype" w:hAnsi="Palatino Linotype" w:cs="Palatino Linotype"/>
          <w:i/>
          <w:sz w:val="22"/>
          <w:szCs w:val="22"/>
        </w:rPr>
        <w:t xml:space="preserve">, </w:t>
      </w:r>
      <w:r w:rsidRPr="004E7A2E">
        <w:rPr>
          <w:rFonts w:ascii="Palatino Linotype" w:eastAsia="Palatino Linotype" w:hAnsi="Palatino Linotype" w:cs="Palatino Linotype"/>
          <w:b/>
          <w:i/>
          <w:sz w:val="22"/>
          <w:szCs w:val="22"/>
        </w:rPr>
        <w:t>prestador de servicios profesionales o miembro de los sujetos obligados</w:t>
      </w:r>
      <w:r w:rsidRPr="004E7A2E">
        <w:rPr>
          <w:rFonts w:ascii="Palatino Linotype" w:eastAsia="Palatino Linotype" w:hAnsi="Palatino Linotype" w:cs="Palatino Linotype"/>
          <w:i/>
          <w:sz w:val="22"/>
          <w:szCs w:val="22"/>
        </w:rPr>
        <w:t>, de conformidad con las disposiciones jurídicas aplicables;”</w:t>
      </w:r>
    </w:p>
    <w:p w14:paraId="082B059A" w14:textId="77777777" w:rsidR="000B1642" w:rsidRPr="004E7A2E" w:rsidRDefault="000B1642">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75828CA8" w14:textId="77777777" w:rsidR="000B1642" w:rsidRPr="004E7A2E" w:rsidRDefault="009F5022">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A mayor abundamiento,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contemplan lo siguiente: </w:t>
      </w:r>
    </w:p>
    <w:p w14:paraId="2C5AED36" w14:textId="77777777" w:rsidR="000B1642" w:rsidRPr="004E7A2E" w:rsidRDefault="000B1642">
      <w:pPr>
        <w:rPr>
          <w:rFonts w:ascii="Palatino Linotype" w:eastAsia="Palatino Linotype" w:hAnsi="Palatino Linotype" w:cs="Palatino Linotype"/>
          <w:sz w:val="22"/>
          <w:szCs w:val="22"/>
        </w:rPr>
      </w:pPr>
    </w:p>
    <w:p w14:paraId="374B04EA" w14:textId="77777777" w:rsidR="000B1642" w:rsidRPr="004E7A2E" w:rsidRDefault="009F502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14:paraId="540845BF" w14:textId="77777777" w:rsidR="000B1642" w:rsidRPr="004E7A2E" w:rsidRDefault="000B1642">
      <w:pPr>
        <w:ind w:left="851" w:right="616"/>
        <w:rPr>
          <w:rFonts w:ascii="Palatino Linotype" w:eastAsia="Palatino Linotype" w:hAnsi="Palatino Linotype" w:cs="Palatino Linotype"/>
          <w:sz w:val="22"/>
          <w:szCs w:val="22"/>
        </w:rPr>
      </w:pPr>
    </w:p>
    <w:p w14:paraId="5C6887D4" w14:textId="77777777" w:rsidR="000B1642" w:rsidRPr="004E7A2E" w:rsidRDefault="009F502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i/>
          <w:sz w:val="22"/>
          <w:szCs w:val="22"/>
          <w:u w:val="single"/>
        </w:rPr>
        <w:t>El sujeto obligado incluirá la estructura orgánica que da cuenta de la distribución y orden de las funciones que se establecen para el cumplimiento de sus objetivos conforme a criterios de jerarquía y especialización, ordenados mediante los catálogos de las áreas que integran el sujeto obligado</w:t>
      </w:r>
      <w:r w:rsidRPr="004E7A2E">
        <w:rPr>
          <w:rFonts w:ascii="Palatino Linotype" w:eastAsia="Palatino Linotype" w:hAnsi="Palatino Linotype" w:cs="Palatino Linotype"/>
          <w:i/>
          <w:sz w:val="22"/>
          <w:szCs w:val="22"/>
        </w:rPr>
        <w:t>; de tal forma que sea posible visualizar los niveles jerárquicos y sus relaciones de dependencia de acuerdo con el estatuto orgánico u otro ordenamiento que le aplique. Se deberá publicar la estructura vigente, es decir, la que está en operación en el sujeto obligado y ha sido aprobada y/o dictaminada por la autoridad competente. </w:t>
      </w:r>
    </w:p>
    <w:p w14:paraId="312FA8E2" w14:textId="77777777" w:rsidR="000B1642" w:rsidRPr="004E7A2E" w:rsidRDefault="009F502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En aquellos casos en los que dicha estructura no corresponda con la funcional, deberá especificarse cuáles puestos se encuentran en tránsito de aprobación por parte de las autoridades competentes. </w:t>
      </w:r>
    </w:p>
    <w:p w14:paraId="0C6EA9EA" w14:textId="77777777" w:rsidR="000B1642" w:rsidRPr="004E7A2E" w:rsidRDefault="009F502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Si la estructura aprobada se modifica, los sujetos obligados deberán aclarar mediante una nota fundamentada, motivada y actualizada al periodo que corresponda, cuáles son las áreas de reciente creación, las que cambiaron de denominación (anterior y actual) y aquéllas que desaparecieron. Esta nota se conservará durante un trimestre, el cual empezará a contar a partir de la actualización de la fracción. Los sujetos obligados que no tengan estructura orgánica autorizada deberán incluir una nota fundamentada, motivada y actualizada al periodo que corresponda, que explique la situación del sujeto obligado. </w:t>
      </w:r>
    </w:p>
    <w:p w14:paraId="0C79383F" w14:textId="77777777" w:rsidR="000B1642" w:rsidRPr="004E7A2E" w:rsidRDefault="009F502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i/>
          <w:sz w:val="22"/>
          <w:szCs w:val="22"/>
        </w:rPr>
        <w:lastRenderedPageBreak/>
        <w:t xml:space="preserve">La estructura orgánica deberá incluir </w:t>
      </w:r>
      <w:r w:rsidRPr="004E7A2E">
        <w:rPr>
          <w:rFonts w:ascii="Palatino Linotype" w:eastAsia="Palatino Linotype" w:hAnsi="Palatino Linotype" w:cs="Palatino Linotype"/>
          <w:b/>
          <w:i/>
          <w:sz w:val="22"/>
          <w:szCs w:val="22"/>
          <w:u w:val="single"/>
        </w:rPr>
        <w:t>al titular del sujeto obligado y todos los servidores públicos adscritos a las unidades administrativas</w:t>
      </w:r>
      <w:r w:rsidRPr="004E7A2E">
        <w:rPr>
          <w:rFonts w:ascii="Palatino Linotype" w:eastAsia="Palatino Linotype" w:hAnsi="Palatino Linotype" w:cs="Palatino Linotype"/>
          <w:b/>
          <w:i/>
          <w:sz w:val="22"/>
          <w:szCs w:val="22"/>
        </w:rPr>
        <w:t xml:space="preserve">, áreas, institutos o los que correspondan, incluido el personal de gabinete de apoyo </w:t>
      </w:r>
      <w:proofErr w:type="spellStart"/>
      <w:r w:rsidRPr="004E7A2E">
        <w:rPr>
          <w:rFonts w:ascii="Palatino Linotype" w:eastAsia="Palatino Linotype" w:hAnsi="Palatino Linotype" w:cs="Palatino Linotype"/>
          <w:b/>
          <w:i/>
          <w:sz w:val="22"/>
          <w:szCs w:val="22"/>
        </w:rPr>
        <w:t>u</w:t>
      </w:r>
      <w:proofErr w:type="spellEnd"/>
      <w:r w:rsidRPr="004E7A2E">
        <w:rPr>
          <w:rFonts w:ascii="Palatino Linotype" w:eastAsia="Palatino Linotype" w:hAnsi="Palatino Linotype" w:cs="Palatino Linotype"/>
          <w:b/>
          <w:i/>
          <w:sz w:val="22"/>
          <w:szCs w:val="22"/>
        </w:rPr>
        <w:t xml:space="preserve"> homólogo, prestadores de servicios profesionales, miembros de los sujetos obligados, así como los respectivos niveles de adjunto, homólogo o cualquier otro equivalente, según la denominación que se le dé.</w:t>
      </w:r>
    </w:p>
    <w:p w14:paraId="216F923E" w14:textId="77777777" w:rsidR="000B1642" w:rsidRPr="004E7A2E" w:rsidRDefault="009F502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w:t>
      </w:r>
    </w:p>
    <w:p w14:paraId="504A27B1" w14:textId="77777777" w:rsidR="000B1642" w:rsidRPr="004E7A2E" w:rsidRDefault="009F5022">
      <w:pPr>
        <w:pBdr>
          <w:top w:val="nil"/>
          <w:left w:val="nil"/>
          <w:bottom w:val="nil"/>
          <w:right w:val="nil"/>
          <w:between w:val="nil"/>
        </w:pBdr>
        <w:ind w:left="851" w:right="616"/>
        <w:jc w:val="both"/>
        <w:rPr>
          <w:rFonts w:ascii="Palatino Linotype" w:eastAsia="Palatino Linotype" w:hAnsi="Palatino Linotype" w:cs="Palatino Linotype"/>
          <w:b/>
          <w:i/>
          <w:sz w:val="22"/>
          <w:szCs w:val="22"/>
          <w:u w:val="single"/>
        </w:rPr>
      </w:pPr>
      <w:r w:rsidRPr="004E7A2E">
        <w:rPr>
          <w:rFonts w:ascii="Palatino Linotype" w:eastAsia="Palatino Linotype" w:hAnsi="Palatino Linotype" w:cs="Palatino Linotype"/>
          <w:b/>
          <w:i/>
          <w:sz w:val="22"/>
          <w:szCs w:val="22"/>
          <w:u w:val="single"/>
        </w:rPr>
        <w:t>Todos los sujetos obligados deberán publicar una nota que especifique claramente que los prestadores de servicios profesionales reportados no forman parte de la estructura orgánica en virtud de que fungen como apoyo para el desarrollo de las actividades de los puestos que sí conforman la estructura orgánica.</w:t>
      </w:r>
    </w:p>
    <w:p w14:paraId="47E1A2F8" w14:textId="77777777" w:rsidR="000B1642" w:rsidRPr="004E7A2E" w:rsidRDefault="000B1642">
      <w:pPr>
        <w:pBdr>
          <w:top w:val="nil"/>
          <w:left w:val="nil"/>
          <w:bottom w:val="nil"/>
          <w:right w:val="nil"/>
          <w:between w:val="nil"/>
        </w:pBdr>
        <w:ind w:left="851" w:right="616"/>
        <w:jc w:val="both"/>
        <w:rPr>
          <w:rFonts w:ascii="Palatino Linotype" w:eastAsia="Palatino Linotype" w:hAnsi="Palatino Linotype" w:cs="Palatino Linotype"/>
          <w:b/>
          <w:i/>
          <w:sz w:val="22"/>
          <w:szCs w:val="22"/>
          <w:u w:val="single"/>
        </w:rPr>
      </w:pPr>
    </w:p>
    <w:p w14:paraId="3635CCA0" w14:textId="77777777" w:rsidR="000B1642" w:rsidRPr="004E7A2E" w:rsidRDefault="009F5022">
      <w:pPr>
        <w:pBdr>
          <w:top w:val="nil"/>
          <w:left w:val="nil"/>
          <w:bottom w:val="nil"/>
          <w:right w:val="nil"/>
          <w:between w:val="nil"/>
        </w:pBdr>
        <w:ind w:left="851" w:right="616"/>
        <w:jc w:val="center"/>
        <w:rPr>
          <w:rFonts w:ascii="Palatino Linotype" w:eastAsia="Palatino Linotype" w:hAnsi="Palatino Linotype" w:cs="Palatino Linotype"/>
          <w:b/>
          <w:i/>
          <w:sz w:val="22"/>
          <w:szCs w:val="22"/>
          <w:u w:val="single"/>
        </w:rPr>
      </w:pPr>
      <w:r w:rsidRPr="004E7A2E">
        <w:rPr>
          <w:rFonts w:ascii="Palatino Linotype" w:eastAsia="Palatino Linotype" w:hAnsi="Palatino Linotype" w:cs="Palatino Linotype"/>
          <w:i/>
          <w:noProof/>
          <w:sz w:val="22"/>
          <w:szCs w:val="22"/>
          <w:lang w:val="es-MX" w:eastAsia="es-MX"/>
        </w:rPr>
        <w:drawing>
          <wp:inline distT="0" distB="0" distL="0" distR="0" wp14:anchorId="6EF80FFF" wp14:editId="3D8AAA4A">
            <wp:extent cx="4020433" cy="3570527"/>
            <wp:effectExtent l="0" t="0" r="0" b="0"/>
            <wp:docPr id="163" name="image4.png" descr="https://lh7-us.googleusercontent.com/Em2T3FepT9VaJWw0tVO9TivCdmh6uCuZwpDBqMJDlWo9INEMu2dwLOf_dpW7-U0ArpYyJ1B94JFvCsgwNp-9v93PEM8cRC19Sz4VR8mr0gx6EZbdEvmx84HPZVaDwZveqEaoT8C-JB6q6fmYTLFn"/>
            <wp:cNvGraphicFramePr/>
            <a:graphic xmlns:a="http://schemas.openxmlformats.org/drawingml/2006/main">
              <a:graphicData uri="http://schemas.openxmlformats.org/drawingml/2006/picture">
                <pic:pic xmlns:pic="http://schemas.openxmlformats.org/drawingml/2006/picture">
                  <pic:nvPicPr>
                    <pic:cNvPr id="0" name="image4.png" descr="https://lh7-us.googleusercontent.com/Em2T3FepT9VaJWw0tVO9TivCdmh6uCuZwpDBqMJDlWo9INEMu2dwLOf_dpW7-U0ArpYyJ1B94JFvCsgwNp-9v93PEM8cRC19Sz4VR8mr0gx6EZbdEvmx84HPZVaDwZveqEaoT8C-JB6q6fmYTLFn"/>
                    <pic:cNvPicPr preferRelativeResize="0"/>
                  </pic:nvPicPr>
                  <pic:blipFill>
                    <a:blip r:embed="rId14"/>
                    <a:srcRect/>
                    <a:stretch>
                      <a:fillRect/>
                    </a:stretch>
                  </pic:blipFill>
                  <pic:spPr>
                    <a:xfrm>
                      <a:off x="0" y="0"/>
                      <a:ext cx="4020433" cy="3570527"/>
                    </a:xfrm>
                    <a:prstGeom prst="rect">
                      <a:avLst/>
                    </a:prstGeom>
                    <a:ln/>
                  </pic:spPr>
                </pic:pic>
              </a:graphicData>
            </a:graphic>
          </wp:inline>
        </w:drawing>
      </w:r>
    </w:p>
    <w:p w14:paraId="48F7E95F" w14:textId="77777777" w:rsidR="000B1642" w:rsidRPr="004E7A2E" w:rsidRDefault="000B1642">
      <w:pPr>
        <w:spacing w:line="360" w:lineRule="auto"/>
        <w:ind w:right="51"/>
        <w:jc w:val="both"/>
        <w:rPr>
          <w:rFonts w:ascii="Palatino Linotype" w:eastAsia="Palatino Linotype" w:hAnsi="Palatino Linotype" w:cs="Palatino Linotype"/>
          <w:sz w:val="22"/>
          <w:szCs w:val="22"/>
        </w:rPr>
      </w:pPr>
    </w:p>
    <w:p w14:paraId="69C0B3C8" w14:textId="77777777" w:rsidR="000B1642" w:rsidRPr="004E7A2E" w:rsidRDefault="009F5022">
      <w:pPr>
        <w:spacing w:line="360" w:lineRule="auto"/>
        <w:ind w:right="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En razón de lo anterior, se arriba a la conclusión de que la información requerida no sólo obra en los archivos del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sino que obra en las fronteras conceptuales de las obligaciones de transparencia común. </w:t>
      </w:r>
    </w:p>
    <w:p w14:paraId="20BDEA6E" w14:textId="77777777" w:rsidR="000B1642" w:rsidRPr="004E7A2E" w:rsidRDefault="000B1642">
      <w:pPr>
        <w:spacing w:line="360" w:lineRule="auto"/>
        <w:ind w:right="51"/>
        <w:jc w:val="both"/>
        <w:rPr>
          <w:rFonts w:ascii="Palatino Linotype" w:eastAsia="Palatino Linotype" w:hAnsi="Palatino Linotype" w:cs="Palatino Linotype"/>
          <w:sz w:val="22"/>
          <w:szCs w:val="22"/>
        </w:rPr>
      </w:pPr>
    </w:p>
    <w:p w14:paraId="30D75195" w14:textId="77777777" w:rsidR="000B1642" w:rsidRPr="004E7A2E" w:rsidRDefault="009F5022">
      <w:pPr>
        <w:spacing w:line="360" w:lineRule="auto"/>
        <w:ind w:right="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lastRenderedPageBreak/>
        <w:t xml:space="preserve">Ahora bien, cabe recordar que el hoy </w:t>
      </w:r>
      <w:r w:rsidRPr="004E7A2E">
        <w:rPr>
          <w:rFonts w:ascii="Palatino Linotype" w:eastAsia="Palatino Linotype" w:hAnsi="Palatino Linotype" w:cs="Palatino Linotype"/>
          <w:b/>
          <w:sz w:val="22"/>
          <w:szCs w:val="22"/>
        </w:rPr>
        <w:t>Recurrente</w:t>
      </w:r>
      <w:r w:rsidRPr="004E7A2E">
        <w:rPr>
          <w:rFonts w:ascii="Palatino Linotype" w:eastAsia="Palatino Linotype" w:hAnsi="Palatino Linotype" w:cs="Palatino Linotype"/>
          <w:sz w:val="22"/>
          <w:szCs w:val="22"/>
        </w:rPr>
        <w:t xml:space="preserve"> solicitó la información de la Unidad de Transparencia; por lo </w:t>
      </w:r>
      <w:proofErr w:type="gramStart"/>
      <w:r w:rsidRPr="004E7A2E">
        <w:rPr>
          <w:rFonts w:ascii="Palatino Linotype" w:eastAsia="Palatino Linotype" w:hAnsi="Palatino Linotype" w:cs="Palatino Linotype"/>
          <w:sz w:val="22"/>
          <w:szCs w:val="22"/>
        </w:rPr>
        <w:t>que</w:t>
      </w:r>
      <w:proofErr w:type="gramEnd"/>
      <w:r w:rsidRPr="004E7A2E">
        <w:rPr>
          <w:rFonts w:ascii="Palatino Linotype" w:eastAsia="Palatino Linotype" w:hAnsi="Palatino Linotype" w:cs="Palatino Linotype"/>
          <w:sz w:val="22"/>
          <w:szCs w:val="22"/>
        </w:rPr>
        <w:t xml:space="preserve"> de conformidad con el Organigrama del Sujeto Obligado, dicha unidad administrativa se integra por un Departamento de Acceso a la Información Pública y un Departamento de Protección de Datos Personales. </w:t>
      </w:r>
    </w:p>
    <w:p w14:paraId="4F618FE1" w14:textId="77777777" w:rsidR="000B1642" w:rsidRPr="004E7A2E" w:rsidRDefault="000B1642">
      <w:pPr>
        <w:spacing w:line="360" w:lineRule="auto"/>
        <w:ind w:right="51"/>
        <w:jc w:val="both"/>
        <w:rPr>
          <w:rFonts w:ascii="Palatino Linotype" w:eastAsia="Palatino Linotype" w:hAnsi="Palatino Linotype" w:cs="Palatino Linotype"/>
          <w:sz w:val="22"/>
          <w:szCs w:val="22"/>
        </w:rPr>
      </w:pPr>
    </w:p>
    <w:p w14:paraId="6CD980E7" w14:textId="77777777" w:rsidR="000B1642" w:rsidRPr="004E7A2E" w:rsidRDefault="009F5022">
      <w:pPr>
        <w:spacing w:line="360" w:lineRule="auto"/>
        <w:ind w:right="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Hasta este punto conviene recordar que el servidor público habilitado hizo entrega de la liga electrónica que redirige al Manual de Organización de la Secretaría del Ayuntamiento, mencionando que en esta se podía obtener información relacionada con las funciones a cargo de la Unidad de Transparencia, siendo que de su acceso se obtiene lo siguiente: </w:t>
      </w:r>
    </w:p>
    <w:p w14:paraId="6F3319C6" w14:textId="77777777" w:rsidR="000B1642" w:rsidRPr="004E7A2E" w:rsidRDefault="00047DF5">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hyperlink r:id="rId15">
        <w:r w:rsidR="009F5022" w:rsidRPr="004E7A2E">
          <w:rPr>
            <w:rFonts w:ascii="Palatino Linotype" w:eastAsia="Palatino Linotype" w:hAnsi="Palatino Linotype" w:cs="Palatino Linotype"/>
            <w:sz w:val="22"/>
            <w:szCs w:val="22"/>
            <w:u w:val="single"/>
          </w:rPr>
          <w:t>https://www2.toluca.gob.mx/wp-content/uploads/2024/10/02-MO-SA.pdf</w:t>
        </w:r>
      </w:hyperlink>
      <w:r w:rsidR="009F5022" w:rsidRPr="004E7A2E">
        <w:rPr>
          <w:rFonts w:ascii="Palatino Linotype" w:eastAsia="Palatino Linotype" w:hAnsi="Palatino Linotype" w:cs="Palatino Linotype"/>
          <w:sz w:val="22"/>
          <w:szCs w:val="22"/>
        </w:rPr>
        <w:t xml:space="preserve"> </w:t>
      </w:r>
    </w:p>
    <w:p w14:paraId="1670A483" w14:textId="77777777" w:rsidR="000B1642" w:rsidRPr="004E7A2E" w:rsidRDefault="009F5022">
      <w:pPr>
        <w:spacing w:line="360" w:lineRule="auto"/>
        <w:ind w:right="51"/>
        <w:jc w:val="center"/>
        <w:rPr>
          <w:rFonts w:ascii="Palatino Linotype" w:eastAsia="Palatino Linotype" w:hAnsi="Palatino Linotype" w:cs="Palatino Linotype"/>
          <w:sz w:val="22"/>
          <w:szCs w:val="22"/>
        </w:rPr>
      </w:pPr>
      <w:r w:rsidRPr="004E7A2E">
        <w:rPr>
          <w:rFonts w:ascii="Palatino Linotype" w:eastAsia="Palatino Linotype" w:hAnsi="Palatino Linotype" w:cs="Palatino Linotype"/>
          <w:noProof/>
          <w:sz w:val="22"/>
          <w:szCs w:val="22"/>
          <w:lang w:val="es-MX" w:eastAsia="es-MX"/>
        </w:rPr>
        <w:drawing>
          <wp:inline distT="0" distB="0" distL="0" distR="0" wp14:anchorId="0BB3AE14" wp14:editId="0729FCE7">
            <wp:extent cx="3975648" cy="1475811"/>
            <wp:effectExtent l="0" t="0" r="0" b="0"/>
            <wp:docPr id="1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975648" cy="1475811"/>
                    </a:xfrm>
                    <a:prstGeom prst="rect">
                      <a:avLst/>
                    </a:prstGeom>
                    <a:ln/>
                  </pic:spPr>
                </pic:pic>
              </a:graphicData>
            </a:graphic>
          </wp:inline>
        </w:drawing>
      </w:r>
    </w:p>
    <w:p w14:paraId="7A63F87F" w14:textId="77777777" w:rsidR="000B1642" w:rsidRPr="004E7A2E" w:rsidRDefault="009F5022">
      <w:pPr>
        <w:spacing w:line="360" w:lineRule="auto"/>
        <w:ind w:right="49"/>
        <w:jc w:val="center"/>
        <w:rPr>
          <w:rFonts w:ascii="Palatino Linotype" w:eastAsia="Palatino Linotype" w:hAnsi="Palatino Linotype" w:cs="Palatino Linotype"/>
          <w:sz w:val="22"/>
          <w:szCs w:val="22"/>
        </w:rPr>
      </w:pPr>
      <w:r w:rsidRPr="004E7A2E">
        <w:rPr>
          <w:rFonts w:ascii="Palatino Linotype" w:eastAsia="Palatino Linotype" w:hAnsi="Palatino Linotype" w:cs="Palatino Linotype"/>
          <w:noProof/>
          <w:sz w:val="22"/>
          <w:szCs w:val="22"/>
          <w:lang w:val="es-MX" w:eastAsia="es-MX"/>
        </w:rPr>
        <w:lastRenderedPageBreak/>
        <w:drawing>
          <wp:inline distT="0" distB="0" distL="0" distR="0" wp14:anchorId="70D7CFE7" wp14:editId="224FD4A5">
            <wp:extent cx="3989811" cy="3359545"/>
            <wp:effectExtent l="0" t="0" r="0" b="0"/>
            <wp:docPr id="1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3989811" cy="3359545"/>
                    </a:xfrm>
                    <a:prstGeom prst="rect">
                      <a:avLst/>
                    </a:prstGeom>
                    <a:ln/>
                  </pic:spPr>
                </pic:pic>
              </a:graphicData>
            </a:graphic>
          </wp:inline>
        </w:drawing>
      </w:r>
    </w:p>
    <w:p w14:paraId="68412834" w14:textId="77777777" w:rsidR="000B1642" w:rsidRPr="004E7A2E" w:rsidRDefault="009F5022">
      <w:pPr>
        <w:spacing w:line="360" w:lineRule="auto"/>
        <w:ind w:right="49"/>
        <w:jc w:val="center"/>
        <w:rPr>
          <w:rFonts w:ascii="Palatino Linotype" w:eastAsia="Palatino Linotype" w:hAnsi="Palatino Linotype" w:cs="Palatino Linotype"/>
          <w:sz w:val="22"/>
          <w:szCs w:val="22"/>
        </w:rPr>
      </w:pPr>
      <w:r w:rsidRPr="004E7A2E">
        <w:rPr>
          <w:rFonts w:ascii="Palatino Linotype" w:eastAsia="Palatino Linotype" w:hAnsi="Palatino Linotype" w:cs="Palatino Linotype"/>
          <w:noProof/>
          <w:sz w:val="22"/>
          <w:szCs w:val="22"/>
          <w:lang w:val="es-MX" w:eastAsia="es-MX"/>
        </w:rPr>
        <w:drawing>
          <wp:inline distT="0" distB="0" distL="0" distR="0" wp14:anchorId="6B9D7E01" wp14:editId="13F7D1D2">
            <wp:extent cx="3620868" cy="4008640"/>
            <wp:effectExtent l="0" t="0" r="0" b="0"/>
            <wp:docPr id="1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3620868" cy="4008640"/>
                    </a:xfrm>
                    <a:prstGeom prst="rect">
                      <a:avLst/>
                    </a:prstGeom>
                    <a:ln/>
                  </pic:spPr>
                </pic:pic>
              </a:graphicData>
            </a:graphic>
          </wp:inline>
        </w:drawing>
      </w:r>
    </w:p>
    <w:p w14:paraId="26B04DB3" w14:textId="77777777" w:rsidR="000B1642" w:rsidRPr="004E7A2E" w:rsidRDefault="009F5022">
      <w:pPr>
        <w:spacing w:line="360" w:lineRule="auto"/>
        <w:ind w:right="49"/>
        <w:jc w:val="center"/>
        <w:rPr>
          <w:rFonts w:ascii="Palatino Linotype" w:eastAsia="Palatino Linotype" w:hAnsi="Palatino Linotype" w:cs="Palatino Linotype"/>
          <w:sz w:val="22"/>
          <w:szCs w:val="22"/>
        </w:rPr>
      </w:pPr>
      <w:r w:rsidRPr="004E7A2E">
        <w:rPr>
          <w:rFonts w:ascii="Palatino Linotype" w:eastAsia="Palatino Linotype" w:hAnsi="Palatino Linotype" w:cs="Palatino Linotype"/>
          <w:noProof/>
          <w:sz w:val="22"/>
          <w:szCs w:val="22"/>
          <w:lang w:val="es-MX" w:eastAsia="es-MX"/>
        </w:rPr>
        <w:lastRenderedPageBreak/>
        <w:drawing>
          <wp:inline distT="0" distB="0" distL="0" distR="0" wp14:anchorId="253916AB" wp14:editId="1A276C80">
            <wp:extent cx="3773468" cy="2084854"/>
            <wp:effectExtent l="0" t="0" r="0" b="0"/>
            <wp:docPr id="16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3773468" cy="2084854"/>
                    </a:xfrm>
                    <a:prstGeom prst="rect">
                      <a:avLst/>
                    </a:prstGeom>
                    <a:ln/>
                  </pic:spPr>
                </pic:pic>
              </a:graphicData>
            </a:graphic>
          </wp:inline>
        </w:drawing>
      </w:r>
    </w:p>
    <w:p w14:paraId="54A19AB3" w14:textId="77777777" w:rsidR="000B1642" w:rsidRPr="004E7A2E" w:rsidRDefault="009F5022">
      <w:pPr>
        <w:spacing w:line="360" w:lineRule="auto"/>
        <w:ind w:right="49"/>
        <w:jc w:val="center"/>
        <w:rPr>
          <w:rFonts w:ascii="Palatino Linotype" w:eastAsia="Palatino Linotype" w:hAnsi="Palatino Linotype" w:cs="Palatino Linotype"/>
          <w:sz w:val="22"/>
          <w:szCs w:val="22"/>
        </w:rPr>
      </w:pPr>
      <w:r w:rsidRPr="004E7A2E">
        <w:rPr>
          <w:rFonts w:ascii="Palatino Linotype" w:eastAsia="Palatino Linotype" w:hAnsi="Palatino Linotype" w:cs="Palatino Linotype"/>
          <w:noProof/>
          <w:sz w:val="22"/>
          <w:szCs w:val="22"/>
          <w:lang w:val="es-MX" w:eastAsia="es-MX"/>
        </w:rPr>
        <w:drawing>
          <wp:inline distT="0" distB="0" distL="0" distR="0" wp14:anchorId="757A1DD3" wp14:editId="68D711C0">
            <wp:extent cx="4247801" cy="4825318"/>
            <wp:effectExtent l="0" t="0" r="0" b="0"/>
            <wp:docPr id="16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4247801" cy="4825318"/>
                    </a:xfrm>
                    <a:prstGeom prst="rect">
                      <a:avLst/>
                    </a:prstGeom>
                    <a:ln/>
                  </pic:spPr>
                </pic:pic>
              </a:graphicData>
            </a:graphic>
          </wp:inline>
        </w:drawing>
      </w:r>
    </w:p>
    <w:p w14:paraId="56B8BA97" w14:textId="77777777" w:rsidR="000B1642" w:rsidRPr="004E7A2E" w:rsidRDefault="009F5022">
      <w:pPr>
        <w:spacing w:line="360" w:lineRule="auto"/>
        <w:ind w:right="49"/>
        <w:jc w:val="center"/>
        <w:rPr>
          <w:rFonts w:ascii="Palatino Linotype" w:eastAsia="Palatino Linotype" w:hAnsi="Palatino Linotype" w:cs="Palatino Linotype"/>
          <w:sz w:val="22"/>
          <w:szCs w:val="22"/>
        </w:rPr>
      </w:pPr>
      <w:r w:rsidRPr="004E7A2E">
        <w:rPr>
          <w:rFonts w:ascii="Palatino Linotype" w:eastAsia="Palatino Linotype" w:hAnsi="Palatino Linotype" w:cs="Palatino Linotype"/>
          <w:noProof/>
          <w:sz w:val="22"/>
          <w:szCs w:val="22"/>
          <w:lang w:val="es-MX" w:eastAsia="es-MX"/>
        </w:rPr>
        <w:lastRenderedPageBreak/>
        <w:drawing>
          <wp:inline distT="0" distB="0" distL="0" distR="0" wp14:anchorId="1DD0D462" wp14:editId="6F708113">
            <wp:extent cx="3838998" cy="2251375"/>
            <wp:effectExtent l="0" t="0" r="0" b="0"/>
            <wp:docPr id="1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3838998" cy="2251375"/>
                    </a:xfrm>
                    <a:prstGeom prst="rect">
                      <a:avLst/>
                    </a:prstGeom>
                    <a:ln/>
                  </pic:spPr>
                </pic:pic>
              </a:graphicData>
            </a:graphic>
          </wp:inline>
        </w:drawing>
      </w:r>
    </w:p>
    <w:p w14:paraId="07DB0C79" w14:textId="77777777" w:rsidR="000B1642" w:rsidRPr="004E7A2E" w:rsidRDefault="000B1642">
      <w:pPr>
        <w:spacing w:line="360" w:lineRule="auto"/>
        <w:ind w:right="49"/>
        <w:jc w:val="both"/>
        <w:rPr>
          <w:rFonts w:ascii="Palatino Linotype" w:eastAsia="Palatino Linotype" w:hAnsi="Palatino Linotype" w:cs="Palatino Linotype"/>
          <w:sz w:val="22"/>
          <w:szCs w:val="22"/>
        </w:rPr>
      </w:pPr>
    </w:p>
    <w:p w14:paraId="797A3AB8" w14:textId="77777777" w:rsidR="000B1642" w:rsidRPr="004E7A2E" w:rsidRDefault="009F5022">
      <w:pPr>
        <w:spacing w:line="360" w:lineRule="auto"/>
        <w:ind w:right="49"/>
        <w:jc w:val="center"/>
        <w:rPr>
          <w:rFonts w:ascii="Palatino Linotype" w:eastAsia="Palatino Linotype" w:hAnsi="Palatino Linotype" w:cs="Palatino Linotype"/>
          <w:sz w:val="22"/>
          <w:szCs w:val="22"/>
        </w:rPr>
      </w:pPr>
      <w:r w:rsidRPr="004E7A2E">
        <w:rPr>
          <w:rFonts w:ascii="Palatino Linotype" w:eastAsia="Palatino Linotype" w:hAnsi="Palatino Linotype" w:cs="Palatino Linotype"/>
          <w:noProof/>
          <w:sz w:val="22"/>
          <w:szCs w:val="22"/>
          <w:lang w:val="es-MX" w:eastAsia="es-MX"/>
        </w:rPr>
        <w:lastRenderedPageBreak/>
        <w:drawing>
          <wp:inline distT="0" distB="0" distL="0" distR="0" wp14:anchorId="4A14AF10" wp14:editId="168CC7B7">
            <wp:extent cx="4810292" cy="5746582"/>
            <wp:effectExtent l="0" t="0" r="0" b="0"/>
            <wp:docPr id="16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4810292" cy="5746582"/>
                    </a:xfrm>
                    <a:prstGeom prst="rect">
                      <a:avLst/>
                    </a:prstGeom>
                    <a:ln/>
                  </pic:spPr>
                </pic:pic>
              </a:graphicData>
            </a:graphic>
          </wp:inline>
        </w:drawing>
      </w:r>
    </w:p>
    <w:p w14:paraId="612BB0F5" w14:textId="77777777" w:rsidR="000B1642" w:rsidRPr="004E7A2E" w:rsidRDefault="000B1642">
      <w:pPr>
        <w:spacing w:line="360" w:lineRule="auto"/>
        <w:ind w:right="51"/>
        <w:jc w:val="both"/>
        <w:rPr>
          <w:rFonts w:ascii="Palatino Linotype" w:eastAsia="Palatino Linotype" w:hAnsi="Palatino Linotype" w:cs="Palatino Linotype"/>
          <w:sz w:val="22"/>
          <w:szCs w:val="22"/>
        </w:rPr>
      </w:pPr>
    </w:p>
    <w:p w14:paraId="64309A9E"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De ello, como se logra observar el vínculo proporcionado por el Ayuntamiento redirige al “Manual de Organización de la Secretaría del Ayuntamiento” y en el que se logran observar únicamente las funciones del Titular de la Unidad de Transparencia y de los Jefes de Departamento de Acceso a la Información Pública y de Protección de Datos Personales y no así de todos los servidores públicos que integran a la Unidad de Transparencia; de </w:t>
      </w:r>
      <w:r w:rsidRPr="004E7A2E">
        <w:rPr>
          <w:rFonts w:ascii="Palatino Linotype" w:eastAsia="Palatino Linotype" w:hAnsi="Palatino Linotype" w:cs="Palatino Linotype"/>
          <w:sz w:val="22"/>
          <w:szCs w:val="22"/>
        </w:rPr>
        <w:lastRenderedPageBreak/>
        <w:t xml:space="preserve">modo que, no cumplió cabalmente con la entrega de la información y por lo que este Organismo Garante determina procedente ordenar la entrega al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del documento en donde consten las funciones de los servidores públicos faltantes de la Unidad de Transparencia, al veinte de febrero de dos mil veinticinco, de ser procedente en versión pública.</w:t>
      </w:r>
    </w:p>
    <w:p w14:paraId="37A883A7" w14:textId="77777777" w:rsidR="000B1642" w:rsidRPr="004E7A2E" w:rsidRDefault="009F5022">
      <w:pPr>
        <w:spacing w:before="240" w:after="240" w:line="360" w:lineRule="auto"/>
        <w:ind w:right="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Ahora bien, no pasa desapercibido señalar que referente a las </w:t>
      </w:r>
      <w:r w:rsidRPr="004E7A2E">
        <w:rPr>
          <w:rFonts w:ascii="Palatino Linotype" w:eastAsia="Palatino Linotype" w:hAnsi="Palatino Linotype" w:cs="Palatino Linotype"/>
          <w:b/>
          <w:i/>
          <w:sz w:val="22"/>
          <w:szCs w:val="22"/>
        </w:rPr>
        <w:t>Evidencia de sus funciones</w:t>
      </w:r>
      <w:r w:rsidRPr="004E7A2E">
        <w:rPr>
          <w:rFonts w:ascii="Palatino Linotype" w:eastAsia="Palatino Linotype" w:hAnsi="Palatino Linotype" w:cs="Palatino Linotype"/>
          <w:sz w:val="22"/>
          <w:szCs w:val="22"/>
        </w:rPr>
        <w:t xml:space="preserve"> y el </w:t>
      </w:r>
      <w:r w:rsidRPr="004E7A2E">
        <w:rPr>
          <w:rFonts w:ascii="Palatino Linotype" w:eastAsia="Palatino Linotype" w:hAnsi="Palatino Linotype" w:cs="Palatino Linotype"/>
          <w:b/>
          <w:i/>
          <w:sz w:val="22"/>
          <w:szCs w:val="22"/>
        </w:rPr>
        <w:t xml:space="preserve">Informe Diario de Actividades </w:t>
      </w:r>
      <w:r w:rsidRPr="004E7A2E">
        <w:rPr>
          <w:rFonts w:ascii="Palatino Linotype" w:eastAsia="Palatino Linotype" w:hAnsi="Palatino Linotype" w:cs="Palatino Linotype"/>
          <w:sz w:val="22"/>
          <w:szCs w:val="22"/>
        </w:rPr>
        <w:t xml:space="preserve">que desea conocer la parte </w:t>
      </w:r>
      <w:r w:rsidRPr="004E7A2E">
        <w:rPr>
          <w:rFonts w:ascii="Palatino Linotype" w:eastAsia="Palatino Linotype" w:hAnsi="Palatino Linotype" w:cs="Palatino Linotype"/>
          <w:b/>
          <w:sz w:val="22"/>
          <w:szCs w:val="22"/>
        </w:rPr>
        <w:t>Recurrente</w:t>
      </w:r>
      <w:r w:rsidRPr="004E7A2E">
        <w:rPr>
          <w:rFonts w:ascii="Palatino Linotype" w:eastAsia="Palatino Linotype" w:hAnsi="Palatino Linotype" w:cs="Palatino Linotype"/>
          <w:sz w:val="22"/>
          <w:szCs w:val="22"/>
        </w:rPr>
        <w:t xml:space="preserve">, no se advierte fuente normativa que obligue al Ayuntamiento de Toluca a generar un documento de informes diarios de sus actividades; sin embargo, 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no realizó pronunciamiento alguno específicamente de estos puntos, por lo que es de señalar que todo acto administrativo debe apegarse al principio de congruencia y exhaustividad, robustece lo anterior el criterio orientador 02/17 del entonces Instituto Nacional de Transparencia, Acceso a la Información y Protección de Datos Personales que dispone a la literalidad lo siguiente:</w:t>
      </w:r>
    </w:p>
    <w:p w14:paraId="56CF78DB"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w:t>
      </w:r>
      <w:r w:rsidRPr="004E7A2E">
        <w:rPr>
          <w:rFonts w:ascii="Palatino Linotype" w:eastAsia="Palatino Linotype" w:hAnsi="Palatino Linotype" w:cs="Palatino Linotype"/>
          <w:b/>
          <w:i/>
          <w:sz w:val="22"/>
          <w:szCs w:val="22"/>
        </w:rPr>
        <w:t>Congruencia y exhaustividad. Sus alcances para garantizar el derecho de acceso a la información.</w:t>
      </w:r>
      <w:r w:rsidRPr="004E7A2E">
        <w:rPr>
          <w:rFonts w:ascii="Palatino Linotype" w:eastAsia="Palatino Linotype" w:hAnsi="Palatino Linotype" w:cs="Palatino Linotype"/>
          <w:i/>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05C4591" w14:textId="77777777" w:rsidR="000B1642" w:rsidRPr="004E7A2E" w:rsidRDefault="000B164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EE5CDFA" w14:textId="77777777" w:rsidR="000B1642" w:rsidRPr="004E7A2E" w:rsidRDefault="009F50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lastRenderedPageBreak/>
        <w:t xml:space="preserve">Es así, que los sujetos obligados para garantizar el Derecho de Acceso a la Información Pública, deberán cumplir con los principios de exhaustividad y congruencia, esto es, que la congruencia </w:t>
      </w:r>
      <w:r w:rsidRPr="004E7A2E">
        <w:rPr>
          <w:rFonts w:ascii="Palatino Linotype" w:eastAsia="Palatino Linotype" w:hAnsi="Palatino Linotype" w:cs="Palatino Linotype"/>
          <w:b/>
          <w:sz w:val="22"/>
          <w:szCs w:val="22"/>
        </w:rPr>
        <w:t>implica que exista concordancia entre el requerimiento formulado por el particular y la respuesta proporcionada por el sujeto obligado</w:t>
      </w:r>
      <w:r w:rsidRPr="004E7A2E">
        <w:rPr>
          <w:rFonts w:ascii="Palatino Linotype" w:eastAsia="Palatino Linotype" w:hAnsi="Palatino Linotype" w:cs="Palatino Linotype"/>
          <w:sz w:val="22"/>
          <w:szCs w:val="22"/>
        </w:rPr>
        <w:t xml:space="preserve">, mientras que la exhaustividad establece que el sujeto obligado </w:t>
      </w:r>
      <w:r w:rsidRPr="004E7A2E">
        <w:rPr>
          <w:rFonts w:ascii="Palatino Linotype" w:eastAsia="Palatino Linotype" w:hAnsi="Palatino Linotype" w:cs="Palatino Linotype"/>
          <w:b/>
          <w:sz w:val="22"/>
          <w:szCs w:val="22"/>
        </w:rPr>
        <w:t>deberá atender de manera expresa cada uno de los puntos solicitados</w:t>
      </w:r>
      <w:r w:rsidRPr="004E7A2E">
        <w:rPr>
          <w:rFonts w:ascii="Palatino Linotype" w:eastAsia="Palatino Linotype" w:hAnsi="Palatino Linotype" w:cs="Palatino Linotype"/>
          <w:sz w:val="22"/>
          <w:szCs w:val="22"/>
        </w:rPr>
        <w:t xml:space="preserve">, situación que en el presente caso </w:t>
      </w:r>
      <w:r w:rsidRPr="004E7A2E">
        <w:rPr>
          <w:rFonts w:ascii="Palatino Linotype" w:eastAsia="Palatino Linotype" w:hAnsi="Palatino Linotype" w:cs="Palatino Linotype"/>
          <w:b/>
          <w:sz w:val="22"/>
          <w:szCs w:val="22"/>
          <w:u w:val="single"/>
        </w:rPr>
        <w:t>no aconteció</w:t>
      </w:r>
      <w:r w:rsidRPr="004E7A2E">
        <w:rPr>
          <w:rFonts w:ascii="Palatino Linotype" w:eastAsia="Palatino Linotype" w:hAnsi="Palatino Linotype" w:cs="Palatino Linotype"/>
          <w:sz w:val="22"/>
          <w:szCs w:val="22"/>
        </w:rPr>
        <w:t xml:space="preserve">, pues 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no fue congruente ni exhaustivo en proporcionar la información que requirió específicamente la parte </w:t>
      </w:r>
      <w:r w:rsidRPr="004E7A2E">
        <w:rPr>
          <w:rFonts w:ascii="Palatino Linotype" w:eastAsia="Palatino Linotype" w:hAnsi="Palatino Linotype" w:cs="Palatino Linotype"/>
          <w:b/>
          <w:sz w:val="22"/>
          <w:szCs w:val="22"/>
        </w:rPr>
        <w:t>Recurrente</w:t>
      </w:r>
      <w:r w:rsidRPr="004E7A2E">
        <w:rPr>
          <w:rFonts w:ascii="Palatino Linotype" w:eastAsia="Palatino Linotype" w:hAnsi="Palatino Linotype" w:cs="Palatino Linotype"/>
          <w:sz w:val="22"/>
          <w:szCs w:val="22"/>
        </w:rPr>
        <w:t xml:space="preserve">. </w:t>
      </w:r>
    </w:p>
    <w:p w14:paraId="711BC4DC" w14:textId="77777777" w:rsidR="000B1642" w:rsidRPr="004E7A2E" w:rsidRDefault="009F5022">
      <w:pPr>
        <w:spacing w:before="240" w:after="240"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En este tenor, ante la falta de pronunciamiento específico por el área que puede contar con lo solicitado, en términos del artículo 12, 19 y 24, penúltimo párrafo de la Ley de Transparencia y Acceso a la Información Pública del Estado de México y Municipios, lo conducente es ordenar al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realice una búsqueda exhaustiva y razonable en las áreas competentes para conocer del requerimiento de información en estudio y de ser el caso, haga entrega de la expresión documental que dé cuenta de las evidencia de sus funciones al veinte de febrero de dos mil veinticinco y el Informe Diario de Actividades de los servidores públicos que integran la Unidad de Transparencia, del primero de enero al veinte de febrero de dos mil veinticinco, y para el caso de que la información que se ordena entregar no obre en los archivos del Sujeto Obligado, por no haberse generado, bastará con que así se haga del conocimiento del Particular, en términos del artículo 19, párrafo segundo de la Ley de Transparencia y Acceso a la Información Pública del Estado de México y Municipios, para tenerse por colmado dicho requerimiento.</w:t>
      </w:r>
    </w:p>
    <w:p w14:paraId="515C3258" w14:textId="77777777" w:rsidR="000B1642" w:rsidRPr="004E7A2E" w:rsidRDefault="009F5022">
      <w:pPr>
        <w:spacing w:before="240" w:after="240"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Ahora bien, no pasa desapercibido para este Organismo Garante, que la parte </w:t>
      </w:r>
      <w:r w:rsidRPr="004E7A2E">
        <w:rPr>
          <w:rFonts w:ascii="Palatino Linotype" w:eastAsia="Palatino Linotype" w:hAnsi="Palatino Linotype" w:cs="Palatino Linotype"/>
          <w:b/>
          <w:sz w:val="22"/>
          <w:szCs w:val="22"/>
        </w:rPr>
        <w:t>Recurrente</w:t>
      </w:r>
      <w:r w:rsidRPr="004E7A2E">
        <w:rPr>
          <w:rFonts w:ascii="Palatino Linotype" w:eastAsia="Palatino Linotype" w:hAnsi="Palatino Linotype" w:cs="Palatino Linotype"/>
          <w:sz w:val="22"/>
          <w:szCs w:val="22"/>
        </w:rPr>
        <w:t xml:space="preserve"> señaló en una parte de su solicitud  </w:t>
      </w:r>
      <w:r w:rsidRPr="004E7A2E">
        <w:rPr>
          <w:rFonts w:ascii="Palatino Linotype" w:eastAsia="Palatino Linotype" w:hAnsi="Palatino Linotype" w:cs="Palatino Linotype"/>
          <w:i/>
          <w:sz w:val="22"/>
          <w:szCs w:val="22"/>
        </w:rPr>
        <w:t xml:space="preserve">“… POR QUE ALGUNOS SON CONCENTIDOS Y OTROS NO VAN” (Sic), </w:t>
      </w:r>
      <w:r w:rsidRPr="004E7A2E">
        <w:rPr>
          <w:rFonts w:ascii="Palatino Linotype" w:eastAsia="Palatino Linotype" w:hAnsi="Palatino Linotype" w:cs="Palatino Linotype"/>
          <w:sz w:val="22"/>
          <w:szCs w:val="22"/>
        </w:rPr>
        <w:t xml:space="preserve">ante lo cual se puntualiza que el derecho al acceso a la información pública constituye una prerrogativa para acceder a documentos o registros de información pública generada o en posesión de los sujetos obligados,  motivo por el cual, este Organismo </w:t>
      </w:r>
      <w:r w:rsidRPr="004E7A2E">
        <w:rPr>
          <w:rFonts w:ascii="Palatino Linotype" w:eastAsia="Palatino Linotype" w:hAnsi="Palatino Linotype" w:cs="Palatino Linotype"/>
          <w:sz w:val="22"/>
          <w:szCs w:val="22"/>
        </w:rPr>
        <w:lastRenderedPageBreak/>
        <w:t>Garante reitera que dichas manifestaciones no son susceptibles de ser tomadas en consideración, toda vez que, no constituyen el ejercicio de un derecho de acceso a la información pública, sino más bien el ejercicio de un derecho de expresión, cuya finalidad consiste en dar mayor énfasis a sus requerimientos. En este sentido, se trata de manifestaciones sobre las cuales este Instituto no está facultado para pronunciarse.</w:t>
      </w:r>
    </w:p>
    <w:p w14:paraId="59042EB6" w14:textId="77777777" w:rsidR="000B1642" w:rsidRPr="004E7A2E" w:rsidRDefault="009F5022">
      <w:pPr>
        <w:spacing w:before="240" w:after="240" w:line="360" w:lineRule="auto"/>
        <w:jc w:val="both"/>
        <w:rPr>
          <w:rFonts w:ascii="Palatino Linotype" w:eastAsia="Palatino Linotype" w:hAnsi="Palatino Linotype" w:cs="Palatino Linotype"/>
          <w:b/>
          <w:sz w:val="22"/>
          <w:szCs w:val="22"/>
        </w:rPr>
      </w:pPr>
      <w:r w:rsidRPr="004E7A2E">
        <w:rPr>
          <w:rFonts w:ascii="Palatino Linotype" w:eastAsia="Palatino Linotype" w:hAnsi="Palatino Linotype" w:cs="Palatino Linotype"/>
          <w:b/>
          <w:sz w:val="22"/>
          <w:szCs w:val="22"/>
        </w:rPr>
        <w:t>Oficios firmados por el titular y jefes de departamento.</w:t>
      </w:r>
    </w:p>
    <w:p w14:paraId="1080E6AB" w14:textId="77777777" w:rsidR="000B1642" w:rsidRPr="004E7A2E" w:rsidRDefault="009F5022">
      <w:pPr>
        <w:spacing w:before="240" w:after="240"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Respecto a este punto, es conviene señalar que los </w:t>
      </w:r>
      <w:r w:rsidRPr="004E7A2E">
        <w:rPr>
          <w:rFonts w:ascii="Palatino Linotype" w:eastAsia="Palatino Linotype" w:hAnsi="Palatino Linotype" w:cs="Palatino Linotype"/>
          <w:b/>
          <w:i/>
          <w:sz w:val="22"/>
          <w:szCs w:val="22"/>
        </w:rPr>
        <w:t>oficios</w:t>
      </w:r>
      <w:r w:rsidRPr="004E7A2E">
        <w:rPr>
          <w:rFonts w:ascii="Palatino Linotype" w:eastAsia="Palatino Linotype" w:hAnsi="Palatino Linotype" w:cs="Palatino Linotype"/>
          <w:sz w:val="22"/>
          <w:szCs w:val="22"/>
        </w:rPr>
        <w:t>, son ampliamente conocidos como instrumentos de comunicación entre autoridades o dependencias, que permiten llevar a cabo distintas gestiones para el cumplimiento de sus distintas funciones, conforme a la definición del Diccionario de la Real Academia Española, que señala:</w:t>
      </w:r>
    </w:p>
    <w:p w14:paraId="3C1DECD6" w14:textId="77777777" w:rsidR="000B1642" w:rsidRPr="004E7A2E" w:rsidRDefault="009F5022">
      <w:pPr>
        <w:shd w:val="clear" w:color="auto" w:fill="FFFFFF"/>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“6. m. Comunicación escrita, referente a los asuntos de las Administraciones públicas.</w:t>
      </w:r>
    </w:p>
    <w:p w14:paraId="6313A8DA" w14:textId="77777777" w:rsidR="000B1642" w:rsidRPr="004E7A2E" w:rsidRDefault="009F5022">
      <w:pPr>
        <w:shd w:val="clear" w:color="auto" w:fill="FFFFFF"/>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Sin.: escrito, comunicado, comunicación, documento, expediente.” (Sic)</w:t>
      </w:r>
    </w:p>
    <w:p w14:paraId="0441AE9B" w14:textId="77777777" w:rsidR="000B1642" w:rsidRPr="004E7A2E" w:rsidRDefault="009F5022">
      <w:pPr>
        <w:shd w:val="clear" w:color="auto" w:fill="FFFFFF"/>
        <w:spacing w:before="240" w:after="240"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En ese sentido, resulta importante mencionar que como se precisó en líneas anteriores, el acceso a la información pública versa sobre documentos, en este caso, sobre oficios, por lo tanto, </w:t>
      </w:r>
      <w:r w:rsidRPr="004E7A2E">
        <w:rPr>
          <w:rFonts w:ascii="Palatino Linotype" w:eastAsia="Palatino Linotype" w:hAnsi="Palatino Linotype" w:cs="Palatino Linotype"/>
          <w:b/>
          <w:sz w:val="22"/>
          <w:szCs w:val="22"/>
          <w:u w:val="single"/>
        </w:rPr>
        <w:t>sirve citar como ejemplo</w:t>
      </w:r>
      <w:r w:rsidRPr="004E7A2E">
        <w:rPr>
          <w:rFonts w:ascii="Palatino Linotype" w:eastAsia="Palatino Linotype" w:hAnsi="Palatino Linotype" w:cs="Palatino Linotype"/>
          <w:sz w:val="22"/>
          <w:szCs w:val="22"/>
        </w:rPr>
        <w:t xml:space="preserve"> los </w:t>
      </w:r>
      <w:r w:rsidRPr="004E7A2E">
        <w:rPr>
          <w:rFonts w:ascii="Palatino Linotype" w:eastAsia="Palatino Linotype" w:hAnsi="Palatino Linotype" w:cs="Palatino Linotype"/>
          <w:b/>
          <w:sz w:val="22"/>
          <w:szCs w:val="22"/>
        </w:rPr>
        <w:t>Lineamientos para el trámite de la correspondencia de las unidades orgánicas del Poder Ejecutivo</w:t>
      </w:r>
      <w:r w:rsidRPr="004E7A2E">
        <w:rPr>
          <w:rFonts w:ascii="Palatino Linotype" w:eastAsia="Palatino Linotype" w:hAnsi="Palatino Linotype" w:cs="Palatino Linotype"/>
          <w:sz w:val="22"/>
          <w:szCs w:val="22"/>
        </w:rPr>
        <w:t>, publicados en mayo de dos mil diez por la Secretaría de Finanzas del Gobierno del Estado de México. Dichos lineamientos sujetan a todas las dependencias y unidades orgánicas del Poder Ejecutivo para lograr una homogenización en la comunicación formal de las instituciones públicas:</w:t>
      </w:r>
    </w:p>
    <w:p w14:paraId="66D42A00" w14:textId="77777777" w:rsidR="000B1642" w:rsidRPr="004E7A2E" w:rsidRDefault="009F5022">
      <w:pPr>
        <w:shd w:val="clear" w:color="auto" w:fill="FFFFFF"/>
        <w:spacing w:after="120" w:line="276" w:lineRule="auto"/>
        <w:ind w:left="851" w:right="851"/>
        <w:rPr>
          <w:rFonts w:ascii="Palatino Linotype" w:eastAsia="Palatino Linotype" w:hAnsi="Palatino Linotype" w:cs="Palatino Linotype"/>
          <w:sz w:val="22"/>
          <w:szCs w:val="22"/>
        </w:rPr>
      </w:pPr>
      <w:r w:rsidRPr="004E7A2E">
        <w:rPr>
          <w:rFonts w:ascii="Palatino Linotype" w:eastAsia="Palatino Linotype" w:hAnsi="Palatino Linotype" w:cs="Palatino Linotype"/>
          <w:b/>
          <w:i/>
          <w:sz w:val="22"/>
          <w:szCs w:val="22"/>
        </w:rPr>
        <w:t>“2. Objetivo</w:t>
      </w:r>
    </w:p>
    <w:p w14:paraId="745C3CF4" w14:textId="77777777" w:rsidR="000B1642" w:rsidRPr="004E7A2E" w:rsidRDefault="009F5022">
      <w:pPr>
        <w:shd w:val="clear" w:color="auto" w:fill="FFFFFF"/>
        <w:spacing w:after="120" w:line="276" w:lineRule="auto"/>
        <w:ind w:left="851" w:right="8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i/>
          <w:sz w:val="22"/>
          <w:szCs w:val="22"/>
        </w:rPr>
        <w:t>Proporcionar a las áreas de recepción y despacho de correspondencia de las unidades orgánicas del Poder Ejecutivo</w:t>
      </w:r>
      <w:r w:rsidRPr="004E7A2E">
        <w:rPr>
          <w:rFonts w:ascii="Palatino Linotype" w:eastAsia="Palatino Linotype" w:hAnsi="Palatino Linotype" w:cs="Palatino Linotype"/>
          <w:i/>
          <w:sz w:val="22"/>
          <w:szCs w:val="22"/>
        </w:rPr>
        <w:t>, un instrumento técnico que les permita homogeneizar y </w:t>
      </w:r>
      <w:proofErr w:type="spellStart"/>
      <w:r w:rsidRPr="004E7A2E">
        <w:rPr>
          <w:rFonts w:ascii="Palatino Linotype" w:eastAsia="Palatino Linotype" w:hAnsi="Palatino Linotype" w:cs="Palatino Linotype"/>
          <w:b/>
          <w:i/>
          <w:sz w:val="22"/>
          <w:szCs w:val="22"/>
          <w:u w:val="single"/>
        </w:rPr>
        <w:t>eficientar</w:t>
      </w:r>
      <w:proofErr w:type="spellEnd"/>
      <w:r w:rsidRPr="004E7A2E">
        <w:rPr>
          <w:rFonts w:ascii="Palatino Linotype" w:eastAsia="Palatino Linotype" w:hAnsi="Palatino Linotype" w:cs="Palatino Linotype"/>
          <w:b/>
          <w:i/>
          <w:sz w:val="22"/>
          <w:szCs w:val="22"/>
          <w:u w:val="single"/>
        </w:rPr>
        <w:t xml:space="preserve"> los servicios de correspondencia, a fin de </w:t>
      </w:r>
      <w:r w:rsidRPr="004E7A2E">
        <w:rPr>
          <w:rFonts w:ascii="Palatino Linotype" w:eastAsia="Palatino Linotype" w:hAnsi="Palatino Linotype" w:cs="Palatino Linotype"/>
          <w:b/>
          <w:i/>
          <w:sz w:val="22"/>
          <w:szCs w:val="22"/>
          <w:u w:val="single"/>
        </w:rPr>
        <w:lastRenderedPageBreak/>
        <w:t xml:space="preserve">agilizar la comunicación </w:t>
      </w:r>
      <w:proofErr w:type="gramStart"/>
      <w:r w:rsidRPr="004E7A2E">
        <w:rPr>
          <w:rFonts w:ascii="Palatino Linotype" w:eastAsia="Palatino Linotype" w:hAnsi="Palatino Linotype" w:cs="Palatino Linotype"/>
          <w:b/>
          <w:i/>
          <w:sz w:val="22"/>
          <w:szCs w:val="22"/>
          <w:u w:val="single"/>
        </w:rPr>
        <w:t>formal</w:t>
      </w:r>
      <w:proofErr w:type="gramEnd"/>
      <w:r w:rsidRPr="004E7A2E">
        <w:rPr>
          <w:rFonts w:ascii="Palatino Linotype" w:eastAsia="Palatino Linotype" w:hAnsi="Palatino Linotype" w:cs="Palatino Linotype"/>
          <w:b/>
          <w:i/>
          <w:sz w:val="22"/>
          <w:szCs w:val="22"/>
          <w:u w:val="single"/>
        </w:rPr>
        <w:t xml:space="preserve"> así como coadyuvar a la oportuna toma de decisiones por parte de los servidores públicos</w:t>
      </w:r>
      <w:r w:rsidRPr="004E7A2E">
        <w:rPr>
          <w:rFonts w:ascii="Palatino Linotype" w:eastAsia="Palatino Linotype" w:hAnsi="Palatino Linotype" w:cs="Palatino Linotype"/>
          <w:i/>
          <w:sz w:val="22"/>
          <w:szCs w:val="22"/>
        </w:rPr>
        <w:t>.</w:t>
      </w:r>
    </w:p>
    <w:p w14:paraId="119B5F9E" w14:textId="77777777" w:rsidR="000B1642" w:rsidRPr="004E7A2E" w:rsidRDefault="009F5022">
      <w:pPr>
        <w:shd w:val="clear" w:color="auto" w:fill="FFFFFF"/>
        <w:spacing w:after="120" w:line="276" w:lineRule="auto"/>
        <w:ind w:left="851" w:right="851"/>
        <w:jc w:val="both"/>
        <w:rPr>
          <w:rFonts w:ascii="Palatino Linotype" w:eastAsia="Palatino Linotype" w:hAnsi="Palatino Linotype" w:cs="Palatino Linotype"/>
          <w:sz w:val="22"/>
          <w:szCs w:val="22"/>
        </w:rPr>
      </w:pPr>
      <w:bookmarkStart w:id="6" w:name="_heading=h.u9pz9ybcfpmr" w:colFirst="0" w:colLast="0"/>
      <w:bookmarkEnd w:id="6"/>
      <w:r w:rsidRPr="004E7A2E">
        <w:rPr>
          <w:rFonts w:ascii="Palatino Linotype" w:eastAsia="Palatino Linotype" w:hAnsi="Palatino Linotype" w:cs="Palatino Linotype"/>
          <w:i/>
          <w:sz w:val="22"/>
          <w:szCs w:val="22"/>
        </w:rPr>
        <w:t> </w:t>
      </w:r>
      <w:r w:rsidRPr="004E7A2E">
        <w:rPr>
          <w:rFonts w:ascii="Palatino Linotype" w:eastAsia="Palatino Linotype" w:hAnsi="Palatino Linotype" w:cs="Palatino Linotype"/>
          <w:b/>
          <w:i/>
          <w:sz w:val="22"/>
          <w:szCs w:val="22"/>
        </w:rPr>
        <w:t>Administración de documentos:</w:t>
      </w:r>
    </w:p>
    <w:p w14:paraId="10AFF75C" w14:textId="77777777" w:rsidR="000B1642" w:rsidRPr="004E7A2E" w:rsidRDefault="009F5022">
      <w:pPr>
        <w:shd w:val="clear" w:color="auto" w:fill="FFFFFF"/>
        <w:spacing w:after="120" w:line="276" w:lineRule="auto"/>
        <w:ind w:left="851" w:right="8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i/>
          <w:sz w:val="22"/>
          <w:szCs w:val="22"/>
          <w:u w:val="single"/>
        </w:rPr>
        <w:t>Conjunto de actividades vinculadas con la</w:t>
      </w:r>
      <w:r w:rsidRPr="004E7A2E">
        <w:rPr>
          <w:rFonts w:ascii="Palatino Linotype" w:eastAsia="Palatino Linotype" w:hAnsi="Palatino Linotype" w:cs="Palatino Linotype"/>
          <w:i/>
          <w:sz w:val="22"/>
          <w:szCs w:val="22"/>
        </w:rPr>
        <w:t> generación, adquisición</w:t>
      </w:r>
      <w:r w:rsidRPr="004E7A2E">
        <w:rPr>
          <w:rFonts w:ascii="Palatino Linotype" w:eastAsia="Palatino Linotype" w:hAnsi="Palatino Linotype" w:cs="Palatino Linotype"/>
          <w:b/>
          <w:i/>
          <w:sz w:val="22"/>
          <w:szCs w:val="22"/>
          <w:u w:val="single"/>
        </w:rPr>
        <w:t>, recepción</w:t>
      </w:r>
      <w:r w:rsidRPr="004E7A2E">
        <w:rPr>
          <w:rFonts w:ascii="Palatino Linotype" w:eastAsia="Palatino Linotype" w:hAnsi="Palatino Linotype" w:cs="Palatino Linotype"/>
          <w:i/>
          <w:sz w:val="22"/>
          <w:szCs w:val="22"/>
        </w:rPr>
        <w:t>, control, circulación, reproducción, organización, conservación, custodia, restauración, valoración, selección, eliminación</w:t>
      </w:r>
      <w:r w:rsidRPr="004E7A2E">
        <w:rPr>
          <w:rFonts w:ascii="Palatino Linotype" w:eastAsia="Palatino Linotype" w:hAnsi="Palatino Linotype" w:cs="Palatino Linotype"/>
          <w:b/>
          <w:i/>
          <w:sz w:val="22"/>
          <w:szCs w:val="22"/>
        </w:rPr>
        <w:t>, </w:t>
      </w:r>
      <w:r w:rsidRPr="004E7A2E">
        <w:rPr>
          <w:rFonts w:ascii="Palatino Linotype" w:eastAsia="Palatino Linotype" w:hAnsi="Palatino Linotype" w:cs="Palatino Linotype"/>
          <w:b/>
          <w:i/>
          <w:sz w:val="22"/>
          <w:szCs w:val="22"/>
          <w:u w:val="single"/>
        </w:rPr>
        <w:t>uso y divulgación de los documentos.</w:t>
      </w:r>
    </w:p>
    <w:p w14:paraId="49B1386C" w14:textId="77777777" w:rsidR="000B1642" w:rsidRPr="004E7A2E" w:rsidRDefault="009F5022">
      <w:pPr>
        <w:shd w:val="clear" w:color="auto" w:fill="FFFFFF"/>
        <w:spacing w:after="120" w:line="276" w:lineRule="auto"/>
        <w:ind w:left="851" w:right="8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w:t>
      </w:r>
    </w:p>
    <w:p w14:paraId="2ECE6353" w14:textId="77777777" w:rsidR="000B1642" w:rsidRPr="004E7A2E" w:rsidRDefault="009F5022">
      <w:pPr>
        <w:shd w:val="clear" w:color="auto" w:fill="FFFFFF"/>
        <w:spacing w:after="120" w:line="276" w:lineRule="auto"/>
        <w:ind w:left="851" w:right="8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i/>
          <w:sz w:val="22"/>
          <w:szCs w:val="22"/>
        </w:rPr>
        <w:t>Oficio:</w:t>
      </w:r>
    </w:p>
    <w:p w14:paraId="3EC523B2" w14:textId="77777777" w:rsidR="000B1642" w:rsidRPr="004E7A2E" w:rsidRDefault="009F5022">
      <w:pPr>
        <w:shd w:val="clear" w:color="auto" w:fill="FFFFFF"/>
        <w:spacing w:after="120" w:line="276" w:lineRule="auto"/>
        <w:ind w:left="851" w:right="8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i/>
          <w:sz w:val="22"/>
          <w:szCs w:val="22"/>
        </w:rPr>
        <w:t>Comunicación formal que se utiliza para tratar asuntos de índole oficial. Su característica primordial es la sobriedad de su estilo. Es un documento que inicia una gestión, informa de un hecho relevante, regulariza una situación, transmite órdenes, lineamientos o instrucciones, o trata asuntos específicos relacionados con personas físicas o morales fuera del sector público. La información fluye en línea vertical ascendente o descendente y en forma horizontal</w:t>
      </w:r>
      <w:r w:rsidRPr="004E7A2E">
        <w:rPr>
          <w:rFonts w:ascii="Palatino Linotype" w:eastAsia="Palatino Linotype" w:hAnsi="Palatino Linotype" w:cs="Palatino Linotype"/>
          <w:i/>
          <w:sz w:val="22"/>
          <w:szCs w:val="22"/>
        </w:rPr>
        <w:t>.</w:t>
      </w:r>
    </w:p>
    <w:p w14:paraId="2BF73483" w14:textId="77777777" w:rsidR="000B1642" w:rsidRPr="004E7A2E" w:rsidRDefault="009F5022">
      <w:pPr>
        <w:shd w:val="clear" w:color="auto" w:fill="FFFFFF"/>
        <w:spacing w:after="120" w:line="276" w:lineRule="auto"/>
        <w:ind w:left="851" w:right="8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w:t>
      </w:r>
    </w:p>
    <w:p w14:paraId="45A65F0E" w14:textId="77777777" w:rsidR="000B1642" w:rsidRPr="004E7A2E" w:rsidRDefault="009F5022">
      <w:pPr>
        <w:shd w:val="clear" w:color="auto" w:fill="FFFFFF"/>
        <w:spacing w:after="120" w:line="276" w:lineRule="auto"/>
        <w:ind w:left="851" w:right="8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 </w:t>
      </w:r>
      <w:r w:rsidRPr="004E7A2E">
        <w:rPr>
          <w:rFonts w:ascii="Palatino Linotype" w:eastAsia="Palatino Linotype" w:hAnsi="Palatino Linotype" w:cs="Palatino Linotype"/>
          <w:b/>
          <w:i/>
          <w:sz w:val="22"/>
          <w:szCs w:val="22"/>
        </w:rPr>
        <w:t>Recepción de documentos:</w:t>
      </w:r>
    </w:p>
    <w:p w14:paraId="1A997148" w14:textId="77777777" w:rsidR="000B1642" w:rsidRPr="004E7A2E" w:rsidRDefault="009F5022">
      <w:pPr>
        <w:shd w:val="clear" w:color="auto" w:fill="FFFFFF"/>
        <w:spacing w:after="120" w:line="276" w:lineRule="auto"/>
        <w:ind w:left="851" w:right="8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 </w:t>
      </w:r>
      <w:r w:rsidRPr="004E7A2E">
        <w:rPr>
          <w:rFonts w:ascii="Palatino Linotype" w:eastAsia="Palatino Linotype" w:hAnsi="Palatino Linotype" w:cs="Palatino Linotype"/>
          <w:b/>
          <w:i/>
          <w:sz w:val="22"/>
          <w:szCs w:val="22"/>
          <w:u w:val="single"/>
        </w:rPr>
        <w:t>Acción de recibir e ingresar los documentos </w:t>
      </w:r>
      <w:r w:rsidRPr="004E7A2E">
        <w:rPr>
          <w:rFonts w:ascii="Palatino Linotype" w:eastAsia="Palatino Linotype" w:hAnsi="Palatino Linotype" w:cs="Palatino Linotype"/>
          <w:i/>
          <w:sz w:val="22"/>
          <w:szCs w:val="22"/>
        </w:rPr>
        <w:t>a las unidades orgánicas del Poder Ejecutivo Estatal </w:t>
      </w:r>
      <w:r w:rsidRPr="004E7A2E">
        <w:rPr>
          <w:rFonts w:ascii="Palatino Linotype" w:eastAsia="Palatino Linotype" w:hAnsi="Palatino Linotype" w:cs="Palatino Linotype"/>
          <w:b/>
          <w:i/>
          <w:sz w:val="22"/>
          <w:szCs w:val="22"/>
          <w:u w:val="single"/>
        </w:rPr>
        <w:t>para su atención, custodia o circulación</w:t>
      </w:r>
      <w:r w:rsidRPr="004E7A2E">
        <w:rPr>
          <w:rFonts w:ascii="Palatino Linotype" w:eastAsia="Palatino Linotype" w:hAnsi="Palatino Linotype" w:cs="Palatino Linotype"/>
          <w:i/>
          <w:sz w:val="22"/>
          <w:szCs w:val="22"/>
        </w:rPr>
        <w:t>.</w:t>
      </w:r>
    </w:p>
    <w:p w14:paraId="0B9B9ECB" w14:textId="77777777" w:rsidR="000B1642" w:rsidRPr="004E7A2E" w:rsidRDefault="009F5022">
      <w:pPr>
        <w:shd w:val="clear" w:color="auto" w:fill="FFFFFF"/>
        <w:spacing w:after="120" w:line="276" w:lineRule="auto"/>
        <w:ind w:left="851" w:right="8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w:t>
      </w:r>
    </w:p>
    <w:p w14:paraId="6C2777BB" w14:textId="77777777" w:rsidR="000B1642" w:rsidRPr="004E7A2E" w:rsidRDefault="009F5022">
      <w:pPr>
        <w:shd w:val="clear" w:color="auto" w:fill="FFFFFF"/>
        <w:spacing w:after="120" w:line="276" w:lineRule="auto"/>
        <w:ind w:left="851" w:right="8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4.2 </w:t>
      </w:r>
      <w:r w:rsidRPr="004E7A2E">
        <w:rPr>
          <w:rFonts w:ascii="Palatino Linotype" w:eastAsia="Palatino Linotype" w:hAnsi="Palatino Linotype" w:cs="Palatino Linotype"/>
          <w:b/>
          <w:i/>
          <w:sz w:val="22"/>
          <w:szCs w:val="22"/>
        </w:rPr>
        <w:t>Las disposiciones establecidas en los presentes lineamientos son de </w:t>
      </w:r>
      <w:r w:rsidRPr="004E7A2E">
        <w:rPr>
          <w:rFonts w:ascii="Palatino Linotype" w:eastAsia="Palatino Linotype" w:hAnsi="Palatino Linotype" w:cs="Palatino Linotype"/>
          <w:b/>
          <w:i/>
          <w:sz w:val="22"/>
          <w:szCs w:val="22"/>
          <w:u w:val="single"/>
        </w:rPr>
        <w:t>observancia obligatoria para las unidades orgánicas del Poder Ejecutivo Estatal</w:t>
      </w:r>
      <w:r w:rsidRPr="004E7A2E">
        <w:rPr>
          <w:rFonts w:ascii="Palatino Linotype" w:eastAsia="Palatino Linotype" w:hAnsi="Palatino Linotype" w:cs="Palatino Linotype"/>
          <w:sz w:val="22"/>
          <w:szCs w:val="22"/>
        </w:rPr>
        <w:t>…”</w:t>
      </w:r>
    </w:p>
    <w:p w14:paraId="412944A8" w14:textId="77777777" w:rsidR="000B1642" w:rsidRPr="004E7A2E" w:rsidRDefault="009F5022">
      <w:pPr>
        <w:spacing w:before="240" w:after="240"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De lo anteriormente vertido, se tiene que un </w:t>
      </w:r>
      <w:r w:rsidRPr="004E7A2E">
        <w:rPr>
          <w:rFonts w:ascii="Palatino Linotype" w:eastAsia="Palatino Linotype" w:hAnsi="Palatino Linotype" w:cs="Palatino Linotype"/>
          <w:b/>
          <w:sz w:val="22"/>
          <w:szCs w:val="22"/>
        </w:rPr>
        <w:t>oficio es el medio de comunicación formal que inicia una gestión, informa de un hecho relevante, regulariza una situación, transmite órdenes, lineamientos o instrucciones, o trata asuntos específicos relacionados con personas físicas o morales en el marco de sus actuaciones.</w:t>
      </w:r>
    </w:p>
    <w:p w14:paraId="673BC775" w14:textId="77777777" w:rsidR="000B1642" w:rsidRPr="004E7A2E" w:rsidRDefault="009F5022">
      <w:pPr>
        <w:spacing w:before="240" w:after="240"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lastRenderedPageBreak/>
        <w:t xml:space="preserve">Continuando con el análisis, se procede a examinar la respuesta vertida por 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a través de la unidad que genera, posee y/o administra la información de la que se solicita la entrega, misma que refiere que el particular busca un pronunciamiento por parte del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lo cual no constituye un derecho de acceso a la información; sino un derecho de petición debido a que realiza manifestaciones subjetivas por el solicitante, acusaciones y declaraciones que no se colman con la entrega de documentos; sin embargo, este Organismo Garante advierte que no se acreditó una correcta búsqueda de la información ya que, el Sujeto Obligado únicamente se limitó a señalar que el requerimiento constituye un ejercicio del derecho de petición.</w:t>
      </w:r>
    </w:p>
    <w:p w14:paraId="7B5FB8F4" w14:textId="77777777" w:rsidR="000B1642" w:rsidRPr="004E7A2E" w:rsidRDefault="000B1642">
      <w:pPr>
        <w:spacing w:before="240" w:line="360" w:lineRule="auto"/>
        <w:ind w:right="51"/>
        <w:jc w:val="both"/>
        <w:rPr>
          <w:rFonts w:ascii="Palatino Linotype" w:eastAsia="Palatino Linotype" w:hAnsi="Palatino Linotype" w:cs="Palatino Linotype"/>
          <w:sz w:val="22"/>
          <w:szCs w:val="22"/>
        </w:rPr>
      </w:pPr>
    </w:p>
    <w:p w14:paraId="22476699" w14:textId="77777777" w:rsidR="000B1642" w:rsidRPr="004E7A2E" w:rsidRDefault="009F5022">
      <w:pPr>
        <w:spacing w:line="360" w:lineRule="auto"/>
        <w:ind w:right="51"/>
        <w:jc w:val="both"/>
        <w:rPr>
          <w:rFonts w:ascii="Palatino Linotype" w:eastAsia="Palatino Linotype" w:hAnsi="Palatino Linotype" w:cs="Palatino Linotype"/>
          <w:b/>
          <w:sz w:val="22"/>
          <w:szCs w:val="22"/>
        </w:rPr>
      </w:pPr>
      <w:r w:rsidRPr="004E7A2E">
        <w:rPr>
          <w:rFonts w:ascii="Palatino Linotype" w:eastAsia="Palatino Linotype" w:hAnsi="Palatino Linotype" w:cs="Palatino Linotype"/>
          <w:sz w:val="22"/>
          <w:szCs w:val="22"/>
        </w:rPr>
        <w:t xml:space="preserve">Al respecto, es importante señalar que el proceso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 para ello la misma norma establece que </w:t>
      </w:r>
      <w:r w:rsidRPr="004E7A2E">
        <w:rPr>
          <w:rFonts w:ascii="Palatino Linotype" w:eastAsia="Palatino Linotype" w:hAnsi="Palatino Linotype" w:cs="Palatino Linotype"/>
          <w:b/>
          <w:sz w:val="22"/>
          <w:szCs w:val="22"/>
          <w:u w:val="single"/>
        </w:rPr>
        <w:t>los Sujetos Obligados deberán otorgar el acceso a los documentos que obren en sus archivos o que estén obligados a documentar de acuerdo a sus facultades, competencias o funciones</w:t>
      </w:r>
      <w:r w:rsidRPr="004E7A2E">
        <w:rPr>
          <w:rFonts w:ascii="Palatino Linotype" w:eastAsia="Palatino Linotype" w:hAnsi="Palatino Linotype" w:cs="Palatino Linotype"/>
          <w:b/>
          <w:sz w:val="22"/>
          <w:szCs w:val="22"/>
        </w:rPr>
        <w:t xml:space="preserve">. </w:t>
      </w:r>
    </w:p>
    <w:p w14:paraId="2837BC19" w14:textId="77777777" w:rsidR="000B1642" w:rsidRPr="004E7A2E" w:rsidRDefault="000B1642">
      <w:pPr>
        <w:spacing w:line="360" w:lineRule="auto"/>
        <w:ind w:right="51"/>
        <w:jc w:val="both"/>
        <w:rPr>
          <w:rFonts w:ascii="Palatino Linotype" w:eastAsia="Palatino Linotype" w:hAnsi="Palatino Linotype" w:cs="Palatino Linotype"/>
          <w:i/>
          <w:sz w:val="22"/>
          <w:szCs w:val="22"/>
        </w:rPr>
      </w:pPr>
    </w:p>
    <w:p w14:paraId="7D37CD9D" w14:textId="77777777" w:rsidR="000B1642" w:rsidRPr="004E7A2E" w:rsidRDefault="009F5022">
      <w:pPr>
        <w:spacing w:line="360" w:lineRule="auto"/>
        <w:ind w:right="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Asimismo, en todo caso 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deberá realizar una nueva búsqueda de la información dentro de sus archivos, en el simple ejercicio del principio de búsqueda exhaustiva de la información requerida, el cual de conformidad con el Criterio Reiterado 02/19 emitido por el Pleno de este Organismo Garante refiere que: </w:t>
      </w:r>
    </w:p>
    <w:p w14:paraId="60D80BA0" w14:textId="77777777" w:rsidR="000B1642" w:rsidRPr="004E7A2E" w:rsidRDefault="000B1642">
      <w:pPr>
        <w:spacing w:line="360" w:lineRule="auto"/>
        <w:ind w:right="51"/>
        <w:jc w:val="both"/>
        <w:rPr>
          <w:rFonts w:ascii="Palatino Linotype" w:eastAsia="Palatino Linotype" w:hAnsi="Palatino Linotype" w:cs="Palatino Linotype"/>
          <w:sz w:val="22"/>
          <w:szCs w:val="22"/>
        </w:rPr>
      </w:pPr>
    </w:p>
    <w:p w14:paraId="5B42E240" w14:textId="77777777" w:rsidR="000B1642" w:rsidRPr="004E7A2E" w:rsidRDefault="009F5022">
      <w:pP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 xml:space="preserve">BÚSQUEDA EXHAUSTIVA. SU EJERCICIO PARA LOCALIZAR LA INFORMACIÓN SOLICITADA, NO CONSTITUYE UNA INVESTIGACIÓN A LA CUAL SE REFIERE EL ARTÍCULO 12 DE LA LEY DE TRANSPARENCIA Y ACCESO A LA INFORMACIÓN PÚBLICA DEL </w:t>
      </w:r>
      <w:r w:rsidRPr="004E7A2E">
        <w:rPr>
          <w:rFonts w:ascii="Palatino Linotype" w:eastAsia="Palatino Linotype" w:hAnsi="Palatino Linotype" w:cs="Palatino Linotype"/>
          <w:b/>
          <w:i/>
          <w:sz w:val="22"/>
          <w:szCs w:val="22"/>
        </w:rPr>
        <w:lastRenderedPageBreak/>
        <w:t>ESTADO DE MÉXICO Y MUNICIPIOS.</w:t>
      </w:r>
      <w:r w:rsidRPr="004E7A2E">
        <w:rPr>
          <w:rFonts w:ascii="Palatino Linotype" w:eastAsia="Palatino Linotype" w:hAnsi="Palatino Linotype" w:cs="Palatino Linotype"/>
          <w:i/>
          <w:sz w:val="22"/>
          <w:szCs w:val="22"/>
        </w:rPr>
        <w:t xml:space="preserve"> 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14:paraId="2FEE8505" w14:textId="77777777" w:rsidR="000B1642" w:rsidRPr="004E7A2E" w:rsidRDefault="000B1642">
      <w:pPr>
        <w:spacing w:line="360" w:lineRule="auto"/>
        <w:ind w:right="51"/>
        <w:jc w:val="both"/>
        <w:rPr>
          <w:rFonts w:ascii="Palatino Linotype" w:eastAsia="Palatino Linotype" w:hAnsi="Palatino Linotype" w:cs="Palatino Linotype"/>
          <w:sz w:val="22"/>
          <w:szCs w:val="22"/>
        </w:rPr>
      </w:pPr>
    </w:p>
    <w:p w14:paraId="6C71ED80" w14:textId="77777777" w:rsidR="000B1642" w:rsidRPr="004E7A2E" w:rsidRDefault="009F5022">
      <w:pPr>
        <w:spacing w:line="360" w:lineRule="auto"/>
        <w:ind w:right="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De tal forma que, se entiende que los sujetos obligados deben llevar a cabo las actividades necesarias para la localización de los documentos donde conste la información solicitada; considerando la búsqueda como una actividad necesaria e indispensable para la correcta atención de las solicitudes de información que permita la localización de la documentación requerida.  </w:t>
      </w:r>
    </w:p>
    <w:p w14:paraId="69B13BC9" w14:textId="77777777" w:rsidR="000B1642" w:rsidRPr="004E7A2E" w:rsidRDefault="000B1642">
      <w:pPr>
        <w:spacing w:line="360" w:lineRule="auto"/>
        <w:ind w:right="51"/>
        <w:jc w:val="both"/>
        <w:rPr>
          <w:rFonts w:ascii="Palatino Linotype" w:eastAsia="Palatino Linotype" w:hAnsi="Palatino Linotype" w:cs="Palatino Linotype"/>
          <w:sz w:val="22"/>
          <w:szCs w:val="22"/>
        </w:rPr>
      </w:pPr>
    </w:p>
    <w:p w14:paraId="4F4F8AA0" w14:textId="77777777" w:rsidR="000B1642" w:rsidRPr="004E7A2E" w:rsidRDefault="009F5022">
      <w:pPr>
        <w:spacing w:line="360" w:lineRule="auto"/>
        <w:ind w:right="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De lo anterior, resulta claro que contrario a lo manifestado por 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en respuesta, este Instituto no advierte que el requerimiento del solicitante constituya un </w:t>
      </w:r>
      <w:r w:rsidRPr="004E7A2E">
        <w:rPr>
          <w:rFonts w:ascii="Palatino Linotype" w:eastAsia="Palatino Linotype" w:hAnsi="Palatino Linotype" w:cs="Palatino Linotype"/>
          <w:sz w:val="22"/>
          <w:szCs w:val="22"/>
        </w:rPr>
        <w:lastRenderedPageBreak/>
        <w:t xml:space="preserve">ejercicio del derecho de petición, toda vez que su pretensión es obtener oficios que fueron firmados por el Titular de la Unidad de Transparencia y los Jefes de Departamento de Acceso a la Información Pública y Protección de Datos Personales, que por el cumplimiento de sus atribuciones pudieron haber sido generados, es decir, lo solicitado, se trata de información que puede obrar dentro de los archivos del Sujeto Obligado y que es atendible mediante el derecho de acceso a la información pública; por lo que 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deberá ejercer el principio de búsqueda exhaustiva de la información, el cual </w:t>
      </w:r>
      <w:r w:rsidRPr="004E7A2E">
        <w:rPr>
          <w:rFonts w:ascii="Palatino Linotype" w:eastAsia="Palatino Linotype" w:hAnsi="Palatino Linotype" w:cs="Palatino Linotype"/>
          <w:b/>
          <w:sz w:val="22"/>
          <w:szCs w:val="22"/>
          <w:u w:val="single"/>
        </w:rPr>
        <w:t>todo ente público está obligado a llevar a cabo</w:t>
      </w:r>
      <w:r w:rsidRPr="004E7A2E">
        <w:rPr>
          <w:rFonts w:ascii="Palatino Linotype" w:eastAsia="Palatino Linotype" w:hAnsi="Palatino Linotype" w:cs="Palatino Linotype"/>
          <w:sz w:val="22"/>
          <w:szCs w:val="22"/>
        </w:rPr>
        <w:t xml:space="preserve">. </w:t>
      </w:r>
    </w:p>
    <w:p w14:paraId="3985F896" w14:textId="77777777" w:rsidR="000B1642" w:rsidRPr="004E7A2E" w:rsidRDefault="000B1642">
      <w:pPr>
        <w:spacing w:line="360" w:lineRule="auto"/>
        <w:ind w:right="51"/>
        <w:jc w:val="both"/>
        <w:rPr>
          <w:rFonts w:ascii="Palatino Linotype" w:eastAsia="Palatino Linotype" w:hAnsi="Palatino Linotype" w:cs="Palatino Linotype"/>
          <w:sz w:val="22"/>
          <w:szCs w:val="22"/>
        </w:rPr>
      </w:pPr>
    </w:p>
    <w:p w14:paraId="639E71E0" w14:textId="77777777" w:rsidR="000B1642" w:rsidRPr="004E7A2E" w:rsidRDefault="009F5022">
      <w:pPr>
        <w:spacing w:line="360" w:lineRule="auto"/>
        <w:ind w:right="51"/>
        <w:jc w:val="both"/>
        <w:rPr>
          <w:rFonts w:ascii="Palatino Linotype" w:eastAsia="Palatino Linotype" w:hAnsi="Palatino Linotype" w:cs="Palatino Linotype"/>
          <w:sz w:val="22"/>
          <w:szCs w:val="22"/>
        </w:rPr>
      </w:pPr>
      <w:bookmarkStart w:id="7" w:name="_heading=h.dbpfcpfd6jaf" w:colFirst="0" w:colLast="0"/>
      <w:bookmarkEnd w:id="7"/>
      <w:r w:rsidRPr="004E7A2E">
        <w:rPr>
          <w:rFonts w:ascii="Palatino Linotype" w:eastAsia="Palatino Linotype" w:hAnsi="Palatino Linotype" w:cs="Palatino Linotype"/>
          <w:sz w:val="22"/>
          <w:szCs w:val="22"/>
        </w:rPr>
        <w:t>Por lo que, esta unidad administrativa tiene el deber de buscar y entregar la información solicitada que deriven del ejercicio de sus atribuciones, facultades y competencias; de modo que, este requerimiento no puede tenerse por colmado</w:t>
      </w:r>
      <w:r w:rsidRPr="004E7A2E">
        <w:rPr>
          <w:rFonts w:ascii="Palatino Linotype" w:eastAsia="Palatino Linotype" w:hAnsi="Palatino Linotype" w:cs="Palatino Linotype"/>
          <w:b/>
          <w:sz w:val="22"/>
          <w:szCs w:val="22"/>
        </w:rPr>
        <w:t xml:space="preserve"> </w:t>
      </w:r>
      <w:r w:rsidRPr="004E7A2E">
        <w:rPr>
          <w:rFonts w:ascii="Palatino Linotype" w:eastAsia="Palatino Linotype" w:hAnsi="Palatino Linotype" w:cs="Palatino Linotype"/>
          <w:sz w:val="22"/>
          <w:szCs w:val="22"/>
        </w:rPr>
        <w:t xml:space="preserve">y en consecuencia, resulta pertinente ordenar al Ayuntamiento de Toluca la entrega de los oficios firmados por el Titular de la Unidad de Transparencia y los Jefes de Departamento de Acceso a la Información Pública y Protección de Datos Personales del Ayuntamiento de Toluca, durante el periodo comprendido del primero de enero al veinte de febrero de dos mil veinticinco, de ser procedente en versión pública. </w:t>
      </w:r>
    </w:p>
    <w:p w14:paraId="508380FB" w14:textId="77777777" w:rsidR="000B1642" w:rsidRPr="004E7A2E" w:rsidRDefault="000B1642">
      <w:pPr>
        <w:spacing w:line="360" w:lineRule="auto"/>
        <w:ind w:right="51"/>
        <w:jc w:val="both"/>
        <w:rPr>
          <w:rFonts w:ascii="Palatino Linotype" w:eastAsia="Palatino Linotype" w:hAnsi="Palatino Linotype" w:cs="Palatino Linotype"/>
          <w:sz w:val="22"/>
          <w:szCs w:val="22"/>
        </w:rPr>
      </w:pPr>
    </w:p>
    <w:p w14:paraId="5FF7F885" w14:textId="77777777" w:rsidR="000B1642" w:rsidRPr="004E7A2E" w:rsidRDefault="009F5022">
      <w:pPr>
        <w:spacing w:line="360" w:lineRule="auto"/>
        <w:ind w:right="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Sin embargo, para el caso de que no cuente con oficios firmados en algunos de los días del periodo que se está ordenando o algunos oficios hayan sido cancelados,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4705F044" w14:textId="77777777" w:rsidR="000B1642" w:rsidRPr="004E7A2E" w:rsidRDefault="000B164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49DF3466"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w:t>
      </w:r>
      <w:r w:rsidRPr="004E7A2E">
        <w:rPr>
          <w:rFonts w:ascii="Palatino Linotype" w:eastAsia="Palatino Linotype" w:hAnsi="Palatino Linotype" w:cs="Palatino Linotype"/>
          <w:b/>
          <w:i/>
          <w:sz w:val="22"/>
          <w:szCs w:val="22"/>
        </w:rPr>
        <w:t>Artículo 19</w:t>
      </w:r>
      <w:r w:rsidRPr="004E7A2E">
        <w:rPr>
          <w:rFonts w:ascii="Palatino Linotype" w:eastAsia="Palatino Linotype" w:hAnsi="Palatino Linotype" w:cs="Palatino Linotype"/>
          <w:i/>
          <w:sz w:val="22"/>
          <w:szCs w:val="22"/>
        </w:rPr>
        <w:t>…</w:t>
      </w:r>
    </w:p>
    <w:p w14:paraId="12EA02C7"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lastRenderedPageBreak/>
        <w:t>En los casos en que ciertas facultades, competencias o funciones no se hayan ejercido, se debe motivar la respuesta en función de las causas que motiven tal circunstancia.”</w:t>
      </w:r>
    </w:p>
    <w:p w14:paraId="367937FA" w14:textId="77777777" w:rsidR="000B1642" w:rsidRPr="004E7A2E" w:rsidRDefault="009F5022">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Siendo improcedente, en tal supuesto, la entrega de documento alguno, o en su caso, el Acuerdo de Inexistencia, toda vez que el pronunciamiento del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636547B0" w14:textId="77777777" w:rsidR="000B1642" w:rsidRPr="004E7A2E" w:rsidRDefault="009F5022">
      <w:pPr>
        <w:numPr>
          <w:ilvl w:val="0"/>
          <w:numId w:val="5"/>
        </w:numPr>
        <w:pBdr>
          <w:top w:val="nil"/>
          <w:left w:val="nil"/>
          <w:bottom w:val="nil"/>
          <w:right w:val="nil"/>
          <w:between w:val="nil"/>
        </w:pBdr>
        <w:spacing w:before="280" w:line="360" w:lineRule="auto"/>
        <w:ind w:right="51"/>
        <w:jc w:val="both"/>
        <w:rPr>
          <w:rFonts w:ascii="Palatino Linotype" w:eastAsia="Palatino Linotype" w:hAnsi="Palatino Linotype" w:cs="Palatino Linotype"/>
          <w:b/>
          <w:sz w:val="22"/>
          <w:szCs w:val="22"/>
        </w:rPr>
      </w:pPr>
      <w:r w:rsidRPr="004E7A2E">
        <w:rPr>
          <w:rFonts w:ascii="Palatino Linotype" w:eastAsia="Palatino Linotype" w:hAnsi="Palatino Linotype" w:cs="Palatino Linotype"/>
          <w:b/>
          <w:sz w:val="22"/>
          <w:szCs w:val="22"/>
        </w:rPr>
        <w:t xml:space="preserve">Expediente Laboral completo (con currículum, comprobante estudios, antecedentes no penales, certificación y Cursos para demostrar que son aptos para el cargo) </w:t>
      </w:r>
    </w:p>
    <w:p w14:paraId="3F7C0AEC" w14:textId="77777777" w:rsidR="000B1642" w:rsidRPr="004E7A2E" w:rsidRDefault="009F5022">
      <w:pPr>
        <w:numPr>
          <w:ilvl w:val="0"/>
          <w:numId w:val="5"/>
        </w:numPr>
        <w:pBdr>
          <w:top w:val="nil"/>
          <w:left w:val="nil"/>
          <w:bottom w:val="nil"/>
          <w:right w:val="nil"/>
          <w:between w:val="nil"/>
        </w:pBdr>
        <w:spacing w:line="360" w:lineRule="auto"/>
        <w:rPr>
          <w:rFonts w:ascii="Palatino Linotype" w:eastAsia="Palatino Linotype" w:hAnsi="Palatino Linotype" w:cs="Palatino Linotype"/>
          <w:b/>
          <w:sz w:val="22"/>
          <w:szCs w:val="22"/>
        </w:rPr>
      </w:pPr>
      <w:r w:rsidRPr="004E7A2E">
        <w:rPr>
          <w:rFonts w:ascii="Palatino Linotype" w:eastAsia="Palatino Linotype" w:hAnsi="Palatino Linotype" w:cs="Palatino Linotype"/>
          <w:b/>
          <w:sz w:val="22"/>
          <w:szCs w:val="22"/>
        </w:rPr>
        <w:t xml:space="preserve">Fecha de alta con el </w:t>
      </w:r>
      <w:proofErr w:type="spellStart"/>
      <w:r w:rsidRPr="004E7A2E">
        <w:rPr>
          <w:rFonts w:ascii="Palatino Linotype" w:eastAsia="Palatino Linotype" w:hAnsi="Palatino Linotype" w:cs="Palatino Linotype"/>
          <w:b/>
          <w:sz w:val="22"/>
          <w:szCs w:val="22"/>
        </w:rPr>
        <w:t>Fump</w:t>
      </w:r>
      <w:proofErr w:type="spellEnd"/>
      <w:r w:rsidRPr="004E7A2E">
        <w:rPr>
          <w:rFonts w:ascii="Palatino Linotype" w:eastAsia="Palatino Linotype" w:hAnsi="Palatino Linotype" w:cs="Palatino Linotype"/>
          <w:b/>
          <w:sz w:val="22"/>
          <w:szCs w:val="22"/>
        </w:rPr>
        <w:t xml:space="preserve">. </w:t>
      </w:r>
    </w:p>
    <w:p w14:paraId="14BBCD5D" w14:textId="77777777" w:rsidR="000B1642" w:rsidRPr="004E7A2E" w:rsidRDefault="000B1642">
      <w:pPr>
        <w:pBdr>
          <w:top w:val="nil"/>
          <w:left w:val="nil"/>
          <w:bottom w:val="nil"/>
          <w:right w:val="nil"/>
          <w:between w:val="nil"/>
        </w:pBdr>
        <w:ind w:left="720"/>
        <w:rPr>
          <w:rFonts w:ascii="Palatino Linotype" w:eastAsia="Palatino Linotype" w:hAnsi="Palatino Linotype" w:cs="Palatino Linotype"/>
          <w:sz w:val="22"/>
          <w:szCs w:val="22"/>
        </w:rPr>
      </w:pPr>
    </w:p>
    <w:p w14:paraId="03C22329"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En lo que respecta a este punto, resulta necesario traer a colación lo establecido en el artículo 47 de la Ley de Trabajo de los Servidores Públicos del Estado de México y Municipios, el cual refiere que toda persona que requiera ingresar al servicio público debe cumplir con el mínimo de requisitos, los cuales son los siguientes:</w:t>
      </w:r>
    </w:p>
    <w:p w14:paraId="49CB7C1D" w14:textId="77777777" w:rsidR="000B1642" w:rsidRPr="004E7A2E" w:rsidRDefault="000B1642">
      <w:pPr>
        <w:spacing w:line="360" w:lineRule="auto"/>
        <w:ind w:right="49"/>
        <w:jc w:val="both"/>
        <w:rPr>
          <w:rFonts w:ascii="Palatino Linotype" w:eastAsia="Palatino Linotype" w:hAnsi="Palatino Linotype" w:cs="Palatino Linotype"/>
          <w:sz w:val="22"/>
          <w:szCs w:val="22"/>
        </w:rPr>
      </w:pPr>
    </w:p>
    <w:p w14:paraId="1E65426C" w14:textId="77777777" w:rsidR="000B1642" w:rsidRPr="004E7A2E" w:rsidRDefault="009F5022">
      <w:pPr>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w:t>
      </w:r>
      <w:r w:rsidRPr="004E7A2E">
        <w:rPr>
          <w:rFonts w:ascii="Palatino Linotype" w:eastAsia="Palatino Linotype" w:hAnsi="Palatino Linotype" w:cs="Palatino Linotype"/>
          <w:b/>
          <w:i/>
          <w:sz w:val="22"/>
          <w:szCs w:val="22"/>
        </w:rPr>
        <w:t>Artículo 47.</w:t>
      </w:r>
      <w:r w:rsidRPr="004E7A2E">
        <w:rPr>
          <w:rFonts w:ascii="Palatino Linotype" w:eastAsia="Palatino Linotype" w:hAnsi="Palatino Linotype" w:cs="Palatino Linotype"/>
          <w:i/>
          <w:sz w:val="22"/>
          <w:szCs w:val="22"/>
        </w:rPr>
        <w:t xml:space="preserve"> Para ingresar al servicio público se requiere: </w:t>
      </w:r>
    </w:p>
    <w:p w14:paraId="2DB1F391" w14:textId="77777777" w:rsidR="000B1642" w:rsidRPr="004E7A2E" w:rsidRDefault="000B1642">
      <w:pPr>
        <w:ind w:left="851" w:right="567"/>
        <w:jc w:val="both"/>
        <w:rPr>
          <w:rFonts w:ascii="Palatino Linotype" w:eastAsia="Palatino Linotype" w:hAnsi="Palatino Linotype" w:cs="Palatino Linotype"/>
          <w:i/>
          <w:sz w:val="22"/>
          <w:szCs w:val="22"/>
        </w:rPr>
      </w:pPr>
    </w:p>
    <w:p w14:paraId="1ED9BC59" w14:textId="77777777" w:rsidR="000B1642" w:rsidRPr="004E7A2E" w:rsidRDefault="009F5022">
      <w:pPr>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I. Presentar una solicitud utilizando la forma oficial que se autorice por la institución pública o dependencia correspondiente; </w:t>
      </w:r>
    </w:p>
    <w:p w14:paraId="221B5E6D" w14:textId="77777777" w:rsidR="000B1642" w:rsidRPr="004E7A2E" w:rsidRDefault="009F5022">
      <w:pPr>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II. Ser de nacionalidad mexicana, con la excepción prevista en el artículo 17 de la presente ley; </w:t>
      </w:r>
    </w:p>
    <w:p w14:paraId="0F024900" w14:textId="77777777" w:rsidR="000B1642" w:rsidRPr="004E7A2E" w:rsidRDefault="009F5022">
      <w:pPr>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III. Estar en pleno ejercicio de sus derechos civiles y políticos, en su caso;</w:t>
      </w:r>
    </w:p>
    <w:p w14:paraId="65B750D3" w14:textId="77777777" w:rsidR="000B1642" w:rsidRPr="004E7A2E" w:rsidRDefault="009F5022">
      <w:pPr>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IV. Acreditar, cuando proceda, el cumplimiento de la Ley del Servicio Militar Nacional; </w:t>
      </w:r>
    </w:p>
    <w:p w14:paraId="44A4A7F6" w14:textId="77777777" w:rsidR="000B1642" w:rsidRPr="004E7A2E" w:rsidRDefault="009F5022">
      <w:pPr>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V. Derogada. </w:t>
      </w:r>
    </w:p>
    <w:p w14:paraId="7BCC6520" w14:textId="77777777" w:rsidR="000B1642" w:rsidRPr="004E7A2E" w:rsidRDefault="009F5022">
      <w:pPr>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VI. No haber sido separado anteriormente del servicio por las causas previstas en el artículo 93 de la presente ley; </w:t>
      </w:r>
    </w:p>
    <w:p w14:paraId="6B5077E1" w14:textId="77777777" w:rsidR="000B1642" w:rsidRPr="004E7A2E" w:rsidRDefault="009F5022">
      <w:pPr>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lastRenderedPageBreak/>
        <w:t xml:space="preserve">VII. Tener buena salud, lo que se comprobará con los certificados médicos correspondientes, en la forma en que se establezca en cada institución pública; </w:t>
      </w:r>
    </w:p>
    <w:p w14:paraId="0913EB4D" w14:textId="77777777" w:rsidR="000B1642" w:rsidRPr="004E7A2E" w:rsidRDefault="009F5022">
      <w:pPr>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VIII. Cumplir con los requisitos que se establezcan para los diferentes puestos; </w:t>
      </w:r>
    </w:p>
    <w:p w14:paraId="5C36A67D" w14:textId="77777777" w:rsidR="000B1642" w:rsidRPr="004E7A2E" w:rsidRDefault="009F5022">
      <w:pPr>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IX. Acreditar por medio de los exámenes correspondientes los conocimientos y aptitudes necesarios para el desempeño del puesto; y </w:t>
      </w:r>
    </w:p>
    <w:p w14:paraId="379DE81F" w14:textId="77777777" w:rsidR="000B1642" w:rsidRPr="004E7A2E" w:rsidRDefault="009F5022">
      <w:pPr>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X. No estar inhabilitado para el ejercicio del servicio público. </w:t>
      </w:r>
    </w:p>
    <w:p w14:paraId="3FDEB784" w14:textId="77777777" w:rsidR="000B1642" w:rsidRPr="004E7A2E" w:rsidRDefault="009F5022">
      <w:pPr>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XI. Presentar certificado expedido por la Unidad del Registro de Deudores Alimentarios Morosos en el que conste, si se encuentra inscrito o no en el mismo. </w:t>
      </w:r>
    </w:p>
    <w:p w14:paraId="5E331D04" w14:textId="77777777" w:rsidR="000B1642" w:rsidRPr="004E7A2E" w:rsidRDefault="000B1642">
      <w:pPr>
        <w:ind w:left="851" w:right="567"/>
        <w:jc w:val="both"/>
        <w:rPr>
          <w:rFonts w:ascii="Palatino Linotype" w:eastAsia="Palatino Linotype" w:hAnsi="Palatino Linotype" w:cs="Palatino Linotype"/>
          <w:i/>
          <w:sz w:val="22"/>
          <w:szCs w:val="22"/>
        </w:rPr>
      </w:pPr>
    </w:p>
    <w:p w14:paraId="69ED0907" w14:textId="77777777" w:rsidR="000B1642" w:rsidRPr="004E7A2E" w:rsidRDefault="009F5022">
      <w:pPr>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458044EF" w14:textId="77777777" w:rsidR="000B1642" w:rsidRPr="004E7A2E" w:rsidRDefault="000B1642">
      <w:pPr>
        <w:spacing w:line="360" w:lineRule="auto"/>
        <w:ind w:right="49"/>
        <w:jc w:val="both"/>
        <w:rPr>
          <w:rFonts w:ascii="Palatino Linotype" w:eastAsia="Palatino Linotype" w:hAnsi="Palatino Linotype" w:cs="Palatino Linotype"/>
          <w:sz w:val="22"/>
          <w:szCs w:val="22"/>
        </w:rPr>
      </w:pPr>
    </w:p>
    <w:p w14:paraId="64E1542C" w14:textId="77777777" w:rsidR="000B1642" w:rsidRPr="004E7A2E" w:rsidRDefault="009F50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Por su parte, los artículos 48, 49 y 50, refieren lo siguiente:</w:t>
      </w:r>
    </w:p>
    <w:p w14:paraId="33670389" w14:textId="77777777" w:rsidR="000B1642" w:rsidRPr="004E7A2E" w:rsidRDefault="000B164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1FF79A9"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“ARTÍCULO 48. Para iniciar la prestación de los servicios se requiere: </w:t>
      </w:r>
    </w:p>
    <w:p w14:paraId="10EB0889"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u w:val="single"/>
        </w:rPr>
      </w:pPr>
      <w:r w:rsidRPr="004E7A2E">
        <w:rPr>
          <w:rFonts w:ascii="Palatino Linotype" w:eastAsia="Palatino Linotype" w:hAnsi="Palatino Linotype" w:cs="Palatino Linotype"/>
          <w:b/>
          <w:i/>
          <w:sz w:val="22"/>
          <w:szCs w:val="22"/>
        </w:rPr>
        <w:t xml:space="preserve">I. </w:t>
      </w:r>
      <w:r w:rsidRPr="004E7A2E">
        <w:rPr>
          <w:rFonts w:ascii="Palatino Linotype" w:eastAsia="Palatino Linotype" w:hAnsi="Palatino Linotype" w:cs="Palatino Linotype"/>
          <w:b/>
          <w:i/>
          <w:sz w:val="22"/>
          <w:szCs w:val="22"/>
          <w:u w:val="single"/>
        </w:rPr>
        <w:t xml:space="preserve">Tener conferido el nombramiento, contrato respectivo o formato único de Movimientos de Personal; </w:t>
      </w:r>
    </w:p>
    <w:p w14:paraId="23B335D4"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4E7A2E">
        <w:rPr>
          <w:rFonts w:ascii="Palatino Linotype" w:eastAsia="Palatino Linotype" w:hAnsi="Palatino Linotype" w:cs="Palatino Linotype"/>
          <w:b/>
          <w:i/>
          <w:sz w:val="22"/>
          <w:szCs w:val="22"/>
        </w:rPr>
        <w:t xml:space="preserve">II. Rendir la protesta de ley en caso de nombramiento; y </w:t>
      </w:r>
    </w:p>
    <w:p w14:paraId="2D24D97D"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III. Tomar posesión del cargo.</w:t>
      </w:r>
    </w:p>
    <w:p w14:paraId="79B85138" w14:textId="77777777" w:rsidR="000B1642" w:rsidRPr="004E7A2E" w:rsidRDefault="009F5022">
      <w:pPr>
        <w:pBdr>
          <w:top w:val="nil"/>
          <w:left w:val="nil"/>
          <w:bottom w:val="nil"/>
          <w:right w:val="nil"/>
          <w:between w:val="nil"/>
        </w:pBdr>
        <w:spacing w:line="276" w:lineRule="auto"/>
        <w:ind w:left="851" w:right="616"/>
        <w:jc w:val="center"/>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CAPITULO II</w:t>
      </w:r>
    </w:p>
    <w:p w14:paraId="2F10D61E" w14:textId="77777777" w:rsidR="000B1642" w:rsidRPr="004E7A2E" w:rsidRDefault="009F5022">
      <w:pPr>
        <w:pBdr>
          <w:top w:val="nil"/>
          <w:left w:val="nil"/>
          <w:bottom w:val="nil"/>
          <w:right w:val="nil"/>
          <w:between w:val="nil"/>
        </w:pBdr>
        <w:spacing w:line="276" w:lineRule="auto"/>
        <w:ind w:left="851" w:right="616"/>
        <w:jc w:val="center"/>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De los Nombramientos</w:t>
      </w:r>
    </w:p>
    <w:p w14:paraId="33F311A5"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4E7A2E">
        <w:rPr>
          <w:rFonts w:ascii="Palatino Linotype" w:eastAsia="Palatino Linotype" w:hAnsi="Palatino Linotype" w:cs="Palatino Linotype"/>
          <w:b/>
          <w:i/>
          <w:sz w:val="22"/>
          <w:szCs w:val="22"/>
        </w:rPr>
        <w:t>ARTÍCULO 49.- Los nombramientos, contratos o formato único de Movimientos de Personal de los servidores públicos deberán contener:</w:t>
      </w:r>
    </w:p>
    <w:p w14:paraId="0EF8AB21"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4E7A2E">
        <w:rPr>
          <w:rFonts w:ascii="Palatino Linotype" w:eastAsia="Palatino Linotype" w:hAnsi="Palatino Linotype" w:cs="Palatino Linotype"/>
          <w:b/>
          <w:i/>
          <w:sz w:val="22"/>
          <w:szCs w:val="22"/>
        </w:rPr>
        <w:t xml:space="preserve">I. Nombre completo del servidor público; </w:t>
      </w:r>
    </w:p>
    <w:p w14:paraId="74C9CFB3"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4E7A2E">
        <w:rPr>
          <w:rFonts w:ascii="Palatino Linotype" w:eastAsia="Palatino Linotype" w:hAnsi="Palatino Linotype" w:cs="Palatino Linotype"/>
          <w:b/>
          <w:i/>
          <w:sz w:val="22"/>
          <w:szCs w:val="22"/>
        </w:rPr>
        <w:t xml:space="preserve">II. Cargo para el que es designado, </w:t>
      </w:r>
      <w:r w:rsidRPr="004E7A2E">
        <w:rPr>
          <w:rFonts w:ascii="Palatino Linotype" w:eastAsia="Palatino Linotype" w:hAnsi="Palatino Linotype" w:cs="Palatino Linotype"/>
          <w:b/>
          <w:i/>
          <w:sz w:val="22"/>
          <w:szCs w:val="22"/>
          <w:u w:val="single"/>
        </w:rPr>
        <w:t>fecha de inicio de sus servicios</w:t>
      </w:r>
      <w:r w:rsidRPr="004E7A2E">
        <w:rPr>
          <w:rFonts w:ascii="Palatino Linotype" w:eastAsia="Palatino Linotype" w:hAnsi="Palatino Linotype" w:cs="Palatino Linotype"/>
          <w:b/>
          <w:i/>
          <w:sz w:val="22"/>
          <w:szCs w:val="22"/>
        </w:rPr>
        <w:t xml:space="preserve"> y lugar de adscripción; </w:t>
      </w:r>
    </w:p>
    <w:p w14:paraId="7D320780"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III. Carácter del nombramiento, ya sea de servidores públicos generales o de confianza, así como la temporalidad del mismo; </w:t>
      </w:r>
    </w:p>
    <w:p w14:paraId="0356B4E9"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IV. Remuneración correspondiente al puesto; </w:t>
      </w:r>
    </w:p>
    <w:p w14:paraId="3067086A"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V. Jornada de trabajo; </w:t>
      </w:r>
    </w:p>
    <w:p w14:paraId="7BBAA611"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VI. Derogada; </w:t>
      </w:r>
    </w:p>
    <w:p w14:paraId="4281D908"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lastRenderedPageBreak/>
        <w:t xml:space="preserve">VII. Firma del servidor público autorizado para emitir el nombramiento, contrato o formato único de Movimientos de Personal, así como el fundamento legal de esa atribución. </w:t>
      </w:r>
    </w:p>
    <w:p w14:paraId="0A6FCF51" w14:textId="77777777" w:rsidR="000B1642" w:rsidRPr="004E7A2E" w:rsidRDefault="000B164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7E710DDF"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ARTÍCULO 50.- El nombramiento, contrato o </w:t>
      </w:r>
      <w:r w:rsidRPr="004E7A2E">
        <w:rPr>
          <w:rFonts w:ascii="Palatino Linotype" w:eastAsia="Palatino Linotype" w:hAnsi="Palatino Linotype" w:cs="Palatino Linotype"/>
          <w:b/>
          <w:i/>
          <w:sz w:val="22"/>
          <w:szCs w:val="22"/>
        </w:rPr>
        <w:t>formato único de Movimientos de Personal aceptado obliga al servidor público a cumplir con los deberes inherentes al puesto especificado</w:t>
      </w:r>
      <w:r w:rsidRPr="004E7A2E">
        <w:rPr>
          <w:rFonts w:ascii="Palatino Linotype" w:eastAsia="Palatino Linotype" w:hAnsi="Palatino Linotype" w:cs="Palatino Linotype"/>
          <w:i/>
          <w:sz w:val="22"/>
          <w:szCs w:val="22"/>
        </w:rPr>
        <w:t xml:space="preserve"> en el mismo y a las consecuencias que sean conforme a la ley, al uso y a la buena fe. </w:t>
      </w:r>
    </w:p>
    <w:p w14:paraId="522E0DBC" w14:textId="77777777" w:rsidR="000B1642" w:rsidRPr="004E7A2E" w:rsidRDefault="000B164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4BD1CA86"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Iguales consecuencias se generarán para todos los servidores públicos, cuando la relación de trabajo se formalice mediante un contrato o por encontrarse en lista de raya.”</w:t>
      </w:r>
    </w:p>
    <w:p w14:paraId="4A535FBB"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(Énfasis Añadido)</w:t>
      </w:r>
    </w:p>
    <w:p w14:paraId="7B8C55BB" w14:textId="77777777" w:rsidR="000B1642" w:rsidRPr="004E7A2E" w:rsidRDefault="000B164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1C1EE1A" w14:textId="77777777" w:rsidR="000B1642" w:rsidRPr="004E7A2E" w:rsidRDefault="009F5022">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sz w:val="22"/>
          <w:szCs w:val="22"/>
        </w:rPr>
        <w:t xml:space="preserve">Es así que, para que un servidor público entre en funciones debe tener un nombramiento, contrato, nombramiento </w:t>
      </w:r>
      <w:r w:rsidRPr="004E7A2E">
        <w:rPr>
          <w:rFonts w:ascii="Palatino Linotype" w:eastAsia="Palatino Linotype" w:hAnsi="Palatino Linotype" w:cs="Palatino Linotype"/>
          <w:b/>
          <w:sz w:val="22"/>
          <w:szCs w:val="22"/>
        </w:rPr>
        <w:t>o formato único de movimientos de personal y del que se advierte la fecha de inicio de sus servicios</w:t>
      </w:r>
      <w:r w:rsidRPr="004E7A2E">
        <w:rPr>
          <w:rFonts w:ascii="Palatino Linotype" w:eastAsia="Palatino Linotype" w:hAnsi="Palatino Linotype" w:cs="Palatino Linotype"/>
          <w:sz w:val="22"/>
          <w:szCs w:val="22"/>
        </w:rPr>
        <w:t xml:space="preserve">, mismo que </w:t>
      </w:r>
      <w:r w:rsidRPr="004E7A2E">
        <w:rPr>
          <w:rFonts w:ascii="Palatino Linotype" w:eastAsia="Palatino Linotype" w:hAnsi="Palatino Linotype" w:cs="Palatino Linotype"/>
          <w:b/>
          <w:sz w:val="22"/>
          <w:szCs w:val="22"/>
          <w:u w:val="single"/>
        </w:rPr>
        <w:t>debe obrar en el expediente correspondiente</w:t>
      </w:r>
      <w:r w:rsidRPr="004E7A2E">
        <w:rPr>
          <w:rFonts w:ascii="Palatino Linotype" w:eastAsia="Palatino Linotype" w:hAnsi="Palatino Linotype" w:cs="Palatino Linotype"/>
          <w:sz w:val="22"/>
          <w:szCs w:val="22"/>
          <w:u w:val="single"/>
        </w:rPr>
        <w:t>.</w:t>
      </w:r>
      <w:r w:rsidRPr="004E7A2E">
        <w:rPr>
          <w:rFonts w:ascii="Palatino Linotype" w:eastAsia="Palatino Linotype" w:hAnsi="Palatino Linotype" w:cs="Palatino Linotype"/>
          <w:sz w:val="22"/>
          <w:szCs w:val="22"/>
        </w:rPr>
        <w:t xml:space="preserve"> Sobre el expediente del personal de los Sujetos Obligados, es que resulta oportuno traer a contexto el contenido del artículo 98 fracción XVII, de la Ley anteriormente mencionada refiere que son obligaciones de las instituciones públicas, el </w:t>
      </w:r>
      <w:r w:rsidRPr="004E7A2E">
        <w:rPr>
          <w:rFonts w:ascii="Palatino Linotype" w:eastAsia="Palatino Linotype" w:hAnsi="Palatino Linotype" w:cs="Palatino Linotype"/>
          <w:b/>
          <w:sz w:val="22"/>
          <w:szCs w:val="22"/>
          <w:u w:val="single"/>
        </w:rPr>
        <w:t>integrar los expedientes de los servidores públicos</w:t>
      </w:r>
      <w:r w:rsidRPr="004E7A2E">
        <w:rPr>
          <w:rFonts w:ascii="Palatino Linotype" w:eastAsia="Palatino Linotype" w:hAnsi="Palatino Linotype" w:cs="Palatino Linotype"/>
          <w:sz w:val="22"/>
          <w:szCs w:val="22"/>
        </w:rPr>
        <w:t xml:space="preserve"> y proporcionar las constancias que éstos soliciten para el trámite de los asuntos de su interés en los términos que señalen los ordenamientos respectivos, se inserta su contenido íntegro:</w:t>
      </w:r>
    </w:p>
    <w:p w14:paraId="17D84F5D" w14:textId="77777777" w:rsidR="000B1642" w:rsidRPr="004E7A2E" w:rsidRDefault="009F5022">
      <w:pPr>
        <w:pBdr>
          <w:top w:val="nil"/>
          <w:left w:val="nil"/>
          <w:bottom w:val="nil"/>
          <w:right w:val="nil"/>
          <w:between w:val="nil"/>
        </w:pBdr>
        <w:spacing w:line="276" w:lineRule="auto"/>
        <w:ind w:left="851" w:right="616"/>
        <w:jc w:val="center"/>
        <w:rPr>
          <w:rFonts w:ascii="Palatino Linotype" w:eastAsia="Palatino Linotype" w:hAnsi="Palatino Linotype" w:cs="Palatino Linotype"/>
          <w:b/>
          <w:i/>
          <w:sz w:val="22"/>
          <w:szCs w:val="22"/>
        </w:rPr>
      </w:pPr>
      <w:r w:rsidRPr="004E7A2E">
        <w:rPr>
          <w:rFonts w:ascii="Palatino Linotype" w:eastAsia="Palatino Linotype" w:hAnsi="Palatino Linotype" w:cs="Palatino Linotype"/>
          <w:b/>
          <w:i/>
          <w:sz w:val="22"/>
          <w:szCs w:val="22"/>
        </w:rPr>
        <w:t>TITULO CUARTO</w:t>
      </w:r>
    </w:p>
    <w:p w14:paraId="6069562F" w14:textId="77777777" w:rsidR="000B1642" w:rsidRPr="004E7A2E" w:rsidRDefault="009F5022">
      <w:pPr>
        <w:pBdr>
          <w:top w:val="nil"/>
          <w:left w:val="nil"/>
          <w:bottom w:val="nil"/>
          <w:right w:val="nil"/>
          <w:between w:val="nil"/>
        </w:pBdr>
        <w:spacing w:line="276" w:lineRule="auto"/>
        <w:ind w:left="851" w:right="616"/>
        <w:jc w:val="center"/>
        <w:rPr>
          <w:rFonts w:ascii="Palatino Linotype" w:eastAsia="Palatino Linotype" w:hAnsi="Palatino Linotype" w:cs="Palatino Linotype"/>
          <w:b/>
          <w:i/>
          <w:sz w:val="22"/>
          <w:szCs w:val="22"/>
        </w:rPr>
      </w:pPr>
      <w:r w:rsidRPr="004E7A2E">
        <w:rPr>
          <w:rFonts w:ascii="Palatino Linotype" w:eastAsia="Palatino Linotype" w:hAnsi="Palatino Linotype" w:cs="Palatino Linotype"/>
          <w:b/>
          <w:i/>
          <w:sz w:val="22"/>
          <w:szCs w:val="22"/>
        </w:rPr>
        <w:t>De las Obligaciones de las Instituciones Públicas</w:t>
      </w:r>
    </w:p>
    <w:p w14:paraId="441C3A24" w14:textId="77777777" w:rsidR="000B1642" w:rsidRPr="004E7A2E" w:rsidRDefault="009F5022">
      <w:pPr>
        <w:pBdr>
          <w:top w:val="nil"/>
          <w:left w:val="nil"/>
          <w:bottom w:val="nil"/>
          <w:right w:val="nil"/>
          <w:between w:val="nil"/>
        </w:pBdr>
        <w:spacing w:line="276" w:lineRule="auto"/>
        <w:ind w:left="851" w:right="616"/>
        <w:jc w:val="center"/>
        <w:rPr>
          <w:rFonts w:ascii="Palatino Linotype" w:eastAsia="Palatino Linotype" w:hAnsi="Palatino Linotype" w:cs="Palatino Linotype"/>
          <w:b/>
          <w:i/>
          <w:sz w:val="22"/>
          <w:szCs w:val="22"/>
        </w:rPr>
      </w:pPr>
      <w:r w:rsidRPr="004E7A2E">
        <w:rPr>
          <w:rFonts w:ascii="Palatino Linotype" w:eastAsia="Palatino Linotype" w:hAnsi="Palatino Linotype" w:cs="Palatino Linotype"/>
          <w:b/>
          <w:i/>
          <w:sz w:val="22"/>
          <w:szCs w:val="22"/>
        </w:rPr>
        <w:t>CAPITULO I</w:t>
      </w:r>
    </w:p>
    <w:p w14:paraId="09EF5498"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4E7A2E">
        <w:rPr>
          <w:rFonts w:ascii="Palatino Linotype" w:eastAsia="Palatino Linotype" w:hAnsi="Palatino Linotype" w:cs="Palatino Linotype"/>
          <w:b/>
          <w:i/>
          <w:sz w:val="22"/>
          <w:szCs w:val="22"/>
        </w:rPr>
        <w:t>De las Obligaciones en General</w:t>
      </w:r>
    </w:p>
    <w:p w14:paraId="3D8CF2B5"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ARTÍCULO 98. Son obligaciones de las instituciones públicas:</w:t>
      </w:r>
    </w:p>
    <w:p w14:paraId="6347D907"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4E7A2E">
        <w:rPr>
          <w:rFonts w:ascii="Palatino Linotype" w:eastAsia="Palatino Linotype" w:hAnsi="Palatino Linotype" w:cs="Palatino Linotype"/>
          <w:b/>
          <w:i/>
          <w:sz w:val="22"/>
          <w:szCs w:val="22"/>
        </w:rPr>
        <w:t>…</w:t>
      </w:r>
    </w:p>
    <w:p w14:paraId="565DC220"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4E7A2E">
        <w:rPr>
          <w:rFonts w:ascii="Palatino Linotype" w:eastAsia="Palatino Linotype" w:hAnsi="Palatino Linotype" w:cs="Palatino Linotype"/>
          <w:b/>
          <w:i/>
          <w:sz w:val="22"/>
          <w:szCs w:val="22"/>
        </w:rPr>
        <w:lastRenderedPageBreak/>
        <w:t xml:space="preserve">XVII. Integrar los expedientes de los servidores públicos </w:t>
      </w:r>
      <w:r w:rsidRPr="004E7A2E">
        <w:rPr>
          <w:rFonts w:ascii="Palatino Linotype" w:eastAsia="Palatino Linotype" w:hAnsi="Palatino Linotype" w:cs="Palatino Linotype"/>
          <w:i/>
          <w:sz w:val="22"/>
          <w:szCs w:val="22"/>
        </w:rPr>
        <w:t>y proporcionar las constancias que éstos soliciten para el trámite de los asuntos de su interés en los términos que señalen los ordenamientos respectivos.</w:t>
      </w:r>
    </w:p>
    <w:p w14:paraId="65ED24A2"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w:t>
      </w:r>
    </w:p>
    <w:p w14:paraId="55A340FA" w14:textId="77777777" w:rsidR="000B1642" w:rsidRPr="004E7A2E" w:rsidRDefault="000B164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sz w:val="22"/>
          <w:szCs w:val="22"/>
        </w:rPr>
      </w:pPr>
    </w:p>
    <w:p w14:paraId="7300A6C3" w14:textId="77777777" w:rsidR="000B1642" w:rsidRPr="004E7A2E" w:rsidRDefault="009F502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Con lo expuesto hasta este punto, se tiene la obligación de integral el expediente de personal, donde obran todos aquellos documentos que se relacionan con cada uno de los servidores públicos, así como los documentos que amparen que se cumplieron los requisitos para ocupar el cargo, así como los que establece el artículo 47 de la Ley en Materia.</w:t>
      </w:r>
    </w:p>
    <w:p w14:paraId="7B0A6EE9" w14:textId="77777777" w:rsidR="000B1642" w:rsidRPr="004E7A2E" w:rsidRDefault="000B164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p>
    <w:p w14:paraId="5A4DEC62" w14:textId="77777777" w:rsidR="000B1642" w:rsidRPr="004E7A2E" w:rsidRDefault="009F502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En el presente asunto en particular, se aprecia que, quien dio respuesta a la solicitud es la Directora de Administración, área encargada de integrar los expedientes de personal que labora en el Ayuntamiento de Toluca, por lo que se cumplió con lo que dispone el artículo 162 de la Ley de Transparencia del Estado de México y Municipios, en el sentido de que el Titular de la Unidad de Transparencia turnó la solicitud al área que tiene atribuciones, facultades y competencias para generar, administrar y poseer la información relativa al expediente laboral de los servidores públicos adscritos a la Unidad de Transparencia, mismo que contiene el Nombramiento, Contrato o Formato Único de Movimientos de Personal de los servidores públicos, acto con el que se acreditó la búsqueda exhaustiva y razonable de la información.</w:t>
      </w:r>
    </w:p>
    <w:p w14:paraId="7A7262A9" w14:textId="77777777" w:rsidR="000B1642" w:rsidRPr="004E7A2E" w:rsidRDefault="000B1642">
      <w:pPr>
        <w:spacing w:line="360" w:lineRule="auto"/>
        <w:ind w:right="49"/>
        <w:jc w:val="both"/>
        <w:rPr>
          <w:rFonts w:ascii="Palatino Linotype" w:eastAsia="Palatino Linotype" w:hAnsi="Palatino Linotype" w:cs="Palatino Linotype"/>
          <w:sz w:val="22"/>
          <w:szCs w:val="22"/>
        </w:rPr>
      </w:pPr>
    </w:p>
    <w:p w14:paraId="113FDF4A"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En ese sentido, los documentos que son requisitos establecidos para el ingreso al servicio público, para desempeñar un determinado cargo o función, serán avalados a través de la entrega de los mismos y con los cuales se conformará un expediente laboral de los servidores públicos, cabe advertir que si bien la palabra expediente laboral no se encuentra explícitamente descrita en la normatividad mencionada, se colige que de los documentos entregados por las personas que ingresarán al servicio público y/o desempeñarán un </w:t>
      </w:r>
      <w:r w:rsidRPr="004E7A2E">
        <w:rPr>
          <w:rFonts w:ascii="Palatino Linotype" w:eastAsia="Palatino Linotype" w:hAnsi="Palatino Linotype" w:cs="Palatino Linotype"/>
          <w:sz w:val="22"/>
          <w:szCs w:val="22"/>
        </w:rPr>
        <w:lastRenderedPageBreak/>
        <w:t xml:space="preserve">determinado cargo dentro del Sujeto Obligado, se tendrá que conformar un archivo en el que obren precisamente dichas documentales, que si bien pueden no ser generadas por el Sujeto Obligado, si son poseídas y administradas por este. </w:t>
      </w:r>
    </w:p>
    <w:p w14:paraId="5A65D0F4" w14:textId="77777777" w:rsidR="000B1642" w:rsidRPr="004E7A2E" w:rsidRDefault="000B1642">
      <w:pPr>
        <w:spacing w:line="360" w:lineRule="auto"/>
        <w:ind w:right="49"/>
        <w:jc w:val="both"/>
        <w:rPr>
          <w:rFonts w:ascii="Palatino Linotype" w:eastAsia="Palatino Linotype" w:hAnsi="Palatino Linotype" w:cs="Palatino Linotype"/>
          <w:sz w:val="22"/>
          <w:szCs w:val="22"/>
        </w:rPr>
      </w:pPr>
    </w:p>
    <w:p w14:paraId="0F0E0DE4"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Ahora bien, en el presente caso, el servidor público habilitado de la unidad administrativa competente, hizo del conocimiento al particular que después de realizar una búsqueda exhaustiva y razonable en los archivos físicos y electrónicos que obran en el Departamento de Administración de Personal, remite en formato digital la información solicitada, sin embargo, de las constancias que obran en el expediente electrónico, no se advierte la entrega de dicha información. </w:t>
      </w:r>
    </w:p>
    <w:p w14:paraId="293790DD" w14:textId="77777777" w:rsidR="000B1642" w:rsidRPr="004E7A2E" w:rsidRDefault="000B1642">
      <w:pPr>
        <w:spacing w:line="360" w:lineRule="auto"/>
        <w:ind w:right="49"/>
        <w:jc w:val="both"/>
        <w:rPr>
          <w:rFonts w:ascii="Palatino Linotype" w:eastAsia="Palatino Linotype" w:hAnsi="Palatino Linotype" w:cs="Palatino Linotype"/>
          <w:sz w:val="22"/>
          <w:szCs w:val="22"/>
        </w:rPr>
      </w:pPr>
    </w:p>
    <w:p w14:paraId="53BD2821"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Asimismo señaló que, en términos del artículo 143 fracción I de la Ley de Transparencia y Acceso a la Información Pública del Estado de México y Municipios, la información personal contenida en la constancia de no inhabilitación, certificado de no deudor alimentario moroso, alta de ISSEMYM, у comprobante de estudios ha sido considerada como confidencial de forma parcial mediante acuerdo número CT/SE/260/01/2025; por su parte, los datos personales contenidos en la identificación oficial INE, acta de nacimiento, certificado médico, comprobante de domicilio, cédula del CURP y cédula del RFC, ha sido clasificada como confidencial de forma total de conformidad con el artículo 140 fracción X, y demás aplicables de la Ley de Transparencia y Acceso a la Información Pública del Estado de México y Municipios, mediante acuerdo número CT/SE/260/02/2025; los acuerdos antes citados aprobados por el Comité de Transparencia en la Ducentésima Sexagésima Sesión Extraordinaria 2025.</w:t>
      </w:r>
    </w:p>
    <w:p w14:paraId="1AB95C86" w14:textId="77777777" w:rsidR="000B1642" w:rsidRPr="004E7A2E" w:rsidRDefault="000B1642">
      <w:pPr>
        <w:spacing w:line="360" w:lineRule="auto"/>
        <w:ind w:right="49"/>
        <w:jc w:val="both"/>
        <w:rPr>
          <w:rFonts w:ascii="Palatino Linotype" w:eastAsia="Palatino Linotype" w:hAnsi="Palatino Linotype" w:cs="Palatino Linotype"/>
          <w:sz w:val="22"/>
          <w:szCs w:val="22"/>
        </w:rPr>
      </w:pPr>
    </w:p>
    <w:p w14:paraId="541F2EAF"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En ese sentido, por cuestiones de técnica jurídica, se realiza el siguiente cuadro de análisis: </w:t>
      </w:r>
    </w:p>
    <w:p w14:paraId="4B4EDDA5" w14:textId="77777777" w:rsidR="000B1642" w:rsidRPr="004E7A2E" w:rsidRDefault="000B1642">
      <w:pPr>
        <w:spacing w:line="360" w:lineRule="auto"/>
        <w:ind w:right="49"/>
        <w:jc w:val="both"/>
        <w:rPr>
          <w:rFonts w:ascii="Palatino Linotype" w:eastAsia="Palatino Linotype" w:hAnsi="Palatino Linotype" w:cs="Palatino Linotype"/>
          <w:sz w:val="22"/>
          <w:szCs w:val="22"/>
        </w:rPr>
      </w:pPr>
    </w:p>
    <w:tbl>
      <w:tblPr>
        <w:tblStyle w:val="af6"/>
        <w:tblW w:w="8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701"/>
        <w:gridCol w:w="1591"/>
        <w:gridCol w:w="1953"/>
        <w:gridCol w:w="1585"/>
      </w:tblGrid>
      <w:tr w:rsidR="001111FB" w:rsidRPr="004E7A2E" w14:paraId="761F7D4C" w14:textId="77777777">
        <w:trPr>
          <w:trHeight w:val="1680"/>
        </w:trPr>
        <w:tc>
          <w:tcPr>
            <w:tcW w:w="1838" w:type="dxa"/>
            <w:shd w:val="clear" w:color="auto" w:fill="D9D9D9"/>
          </w:tcPr>
          <w:p w14:paraId="2B99D643" w14:textId="77777777" w:rsidR="000B1642" w:rsidRPr="004E7A2E" w:rsidRDefault="009F5022">
            <w:pPr>
              <w:ind w:right="49"/>
              <w:jc w:val="both"/>
              <w:rPr>
                <w:rFonts w:ascii="Palatino Linotype" w:eastAsia="Palatino Linotype" w:hAnsi="Palatino Linotype" w:cs="Palatino Linotype"/>
                <w:b/>
                <w:sz w:val="20"/>
                <w:szCs w:val="20"/>
              </w:rPr>
            </w:pPr>
            <w:r w:rsidRPr="004E7A2E">
              <w:rPr>
                <w:rFonts w:ascii="Palatino Linotype" w:eastAsia="Palatino Linotype" w:hAnsi="Palatino Linotype" w:cs="Palatino Linotype"/>
                <w:b/>
                <w:sz w:val="20"/>
                <w:szCs w:val="20"/>
              </w:rPr>
              <w:lastRenderedPageBreak/>
              <w:t>Requisitos de conformidad con el artículo 47 de la Ley de Trabajo de los Servidores Públicos del Estado y Municipios</w:t>
            </w:r>
          </w:p>
        </w:tc>
        <w:tc>
          <w:tcPr>
            <w:tcW w:w="1701" w:type="dxa"/>
            <w:shd w:val="clear" w:color="auto" w:fill="D9D9D9"/>
          </w:tcPr>
          <w:p w14:paraId="47BDA194" w14:textId="77777777" w:rsidR="000B1642" w:rsidRPr="004E7A2E" w:rsidRDefault="009F5022">
            <w:pPr>
              <w:ind w:right="49"/>
              <w:jc w:val="both"/>
              <w:rPr>
                <w:rFonts w:ascii="Palatino Linotype" w:eastAsia="Palatino Linotype" w:hAnsi="Palatino Linotype" w:cs="Palatino Linotype"/>
                <w:b/>
                <w:sz w:val="20"/>
                <w:szCs w:val="20"/>
              </w:rPr>
            </w:pPr>
            <w:r w:rsidRPr="004E7A2E">
              <w:rPr>
                <w:rFonts w:ascii="Palatino Linotype" w:eastAsia="Palatino Linotype" w:hAnsi="Palatino Linotype" w:cs="Palatino Linotype"/>
                <w:b/>
                <w:sz w:val="20"/>
                <w:szCs w:val="20"/>
              </w:rPr>
              <w:t>Documento que lo acredita</w:t>
            </w:r>
          </w:p>
        </w:tc>
        <w:tc>
          <w:tcPr>
            <w:tcW w:w="1591" w:type="dxa"/>
            <w:shd w:val="clear" w:color="auto" w:fill="D9D9D9"/>
          </w:tcPr>
          <w:p w14:paraId="50EC916B" w14:textId="77777777" w:rsidR="000B1642" w:rsidRPr="004E7A2E" w:rsidRDefault="009F5022">
            <w:pPr>
              <w:ind w:right="49"/>
              <w:jc w:val="both"/>
              <w:rPr>
                <w:rFonts w:ascii="Palatino Linotype" w:eastAsia="Palatino Linotype" w:hAnsi="Palatino Linotype" w:cs="Palatino Linotype"/>
                <w:b/>
                <w:sz w:val="20"/>
                <w:szCs w:val="20"/>
              </w:rPr>
            </w:pPr>
            <w:r w:rsidRPr="004E7A2E">
              <w:rPr>
                <w:rFonts w:ascii="Palatino Linotype" w:eastAsia="Palatino Linotype" w:hAnsi="Palatino Linotype" w:cs="Palatino Linotype"/>
                <w:b/>
                <w:sz w:val="20"/>
                <w:szCs w:val="20"/>
              </w:rPr>
              <w:t xml:space="preserve">Naturaleza de la información. </w:t>
            </w:r>
          </w:p>
        </w:tc>
        <w:tc>
          <w:tcPr>
            <w:tcW w:w="1953" w:type="dxa"/>
            <w:shd w:val="clear" w:color="auto" w:fill="D9D9D9"/>
          </w:tcPr>
          <w:p w14:paraId="1E9389DE" w14:textId="77777777" w:rsidR="000B1642" w:rsidRPr="004E7A2E" w:rsidRDefault="009F5022">
            <w:pPr>
              <w:ind w:right="49"/>
              <w:jc w:val="center"/>
              <w:rPr>
                <w:rFonts w:ascii="Palatino Linotype" w:eastAsia="Palatino Linotype" w:hAnsi="Palatino Linotype" w:cs="Palatino Linotype"/>
                <w:b/>
                <w:sz w:val="20"/>
                <w:szCs w:val="20"/>
              </w:rPr>
            </w:pPr>
            <w:r w:rsidRPr="004E7A2E">
              <w:rPr>
                <w:rFonts w:ascii="Palatino Linotype" w:eastAsia="Palatino Linotype" w:hAnsi="Palatino Linotype" w:cs="Palatino Linotype"/>
                <w:b/>
                <w:sz w:val="20"/>
                <w:szCs w:val="20"/>
              </w:rPr>
              <w:t>Información entregada</w:t>
            </w:r>
          </w:p>
        </w:tc>
        <w:tc>
          <w:tcPr>
            <w:tcW w:w="1585" w:type="dxa"/>
            <w:shd w:val="clear" w:color="auto" w:fill="D9D9D9"/>
          </w:tcPr>
          <w:p w14:paraId="1D1CD4E1" w14:textId="77777777" w:rsidR="000B1642" w:rsidRPr="004E7A2E" w:rsidRDefault="009F5022">
            <w:pPr>
              <w:ind w:right="49"/>
              <w:jc w:val="both"/>
              <w:rPr>
                <w:rFonts w:ascii="Palatino Linotype" w:eastAsia="Palatino Linotype" w:hAnsi="Palatino Linotype" w:cs="Palatino Linotype"/>
                <w:b/>
                <w:sz w:val="20"/>
                <w:szCs w:val="20"/>
              </w:rPr>
            </w:pPr>
            <w:r w:rsidRPr="004E7A2E">
              <w:rPr>
                <w:rFonts w:ascii="Palatino Linotype" w:eastAsia="Palatino Linotype" w:hAnsi="Palatino Linotype" w:cs="Palatino Linotype"/>
                <w:b/>
                <w:sz w:val="20"/>
                <w:szCs w:val="20"/>
              </w:rPr>
              <w:t>Observaciones</w:t>
            </w:r>
          </w:p>
        </w:tc>
      </w:tr>
      <w:tr w:rsidR="001111FB" w:rsidRPr="004E7A2E" w14:paraId="58A5C946" w14:textId="77777777">
        <w:trPr>
          <w:trHeight w:val="1410"/>
        </w:trPr>
        <w:tc>
          <w:tcPr>
            <w:tcW w:w="1838" w:type="dxa"/>
          </w:tcPr>
          <w:p w14:paraId="3116CA57"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Presentar una solicitud utilizando la forma oficial que se autorice por la institución pública o dependencia correspondiente.</w:t>
            </w:r>
          </w:p>
        </w:tc>
        <w:tc>
          <w:tcPr>
            <w:tcW w:w="1701" w:type="dxa"/>
          </w:tcPr>
          <w:p w14:paraId="525D3DA7" w14:textId="77777777" w:rsidR="000B1642" w:rsidRPr="004E7A2E" w:rsidRDefault="009F5022">
            <w:pPr>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Solicitud de empleo, ficha curricular, currículum vitae o documento análogo</w:t>
            </w:r>
          </w:p>
        </w:tc>
        <w:tc>
          <w:tcPr>
            <w:tcW w:w="1591" w:type="dxa"/>
          </w:tcPr>
          <w:p w14:paraId="5E130589"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Pública, en versión pública</w:t>
            </w:r>
          </w:p>
        </w:tc>
        <w:tc>
          <w:tcPr>
            <w:tcW w:w="1953" w:type="dxa"/>
          </w:tcPr>
          <w:p w14:paraId="1AC838C1"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 xml:space="preserve">Informó la entrega de la información solicitada </w:t>
            </w:r>
          </w:p>
        </w:tc>
        <w:tc>
          <w:tcPr>
            <w:tcW w:w="1585" w:type="dxa"/>
          </w:tcPr>
          <w:p w14:paraId="0E3611BE" w14:textId="77777777" w:rsidR="000B1642" w:rsidRPr="004E7A2E" w:rsidRDefault="009F5022">
            <w:pPr>
              <w:ind w:right="49"/>
              <w:jc w:val="center"/>
              <w:rPr>
                <w:rFonts w:ascii="Palatino Linotype" w:eastAsia="Palatino Linotype" w:hAnsi="Palatino Linotype" w:cs="Palatino Linotype"/>
                <w:b/>
                <w:sz w:val="20"/>
                <w:szCs w:val="20"/>
              </w:rPr>
            </w:pPr>
            <w:r w:rsidRPr="004E7A2E">
              <w:rPr>
                <w:rFonts w:ascii="Palatino Linotype" w:eastAsia="Palatino Linotype" w:hAnsi="Palatino Linotype" w:cs="Palatino Linotype"/>
                <w:b/>
                <w:sz w:val="20"/>
                <w:szCs w:val="20"/>
              </w:rPr>
              <w:t>No atiende</w:t>
            </w:r>
          </w:p>
          <w:p w14:paraId="4B536064"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 xml:space="preserve">No adjunto a su respuesta el documento referido. </w:t>
            </w:r>
          </w:p>
        </w:tc>
      </w:tr>
      <w:tr w:rsidR="001111FB" w:rsidRPr="004E7A2E" w14:paraId="5510E422" w14:textId="77777777">
        <w:trPr>
          <w:trHeight w:val="1125"/>
        </w:trPr>
        <w:tc>
          <w:tcPr>
            <w:tcW w:w="1838" w:type="dxa"/>
          </w:tcPr>
          <w:p w14:paraId="6B276050" w14:textId="77777777" w:rsidR="000B1642" w:rsidRPr="004E7A2E" w:rsidRDefault="009F5022">
            <w:pPr>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Ser de nacionalidad mexicana.</w:t>
            </w:r>
          </w:p>
        </w:tc>
        <w:tc>
          <w:tcPr>
            <w:tcW w:w="1701" w:type="dxa"/>
          </w:tcPr>
          <w:p w14:paraId="60A6CDC1" w14:textId="77777777" w:rsidR="000B1642" w:rsidRPr="004E7A2E" w:rsidRDefault="009F5022">
            <w:pPr>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Acta de nacimiento</w:t>
            </w:r>
          </w:p>
        </w:tc>
        <w:tc>
          <w:tcPr>
            <w:tcW w:w="1591" w:type="dxa"/>
          </w:tcPr>
          <w:p w14:paraId="7A304624"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Confidencial</w:t>
            </w:r>
          </w:p>
        </w:tc>
        <w:tc>
          <w:tcPr>
            <w:tcW w:w="1953" w:type="dxa"/>
            <w:vMerge w:val="restart"/>
          </w:tcPr>
          <w:p w14:paraId="28FFDBE6"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Refirió su clasificación como confidencial total, mediante acuerdo número CT/SE/260/02/2025; aprobado por el Comité de Transparencia en la Ducentésima Sexagésima Sesión Extraordinaria 2025</w:t>
            </w:r>
          </w:p>
        </w:tc>
        <w:tc>
          <w:tcPr>
            <w:tcW w:w="1585" w:type="dxa"/>
          </w:tcPr>
          <w:p w14:paraId="7AA3D41A" w14:textId="77777777" w:rsidR="000B1642" w:rsidRPr="004E7A2E" w:rsidRDefault="009F5022">
            <w:pPr>
              <w:ind w:right="49"/>
              <w:jc w:val="center"/>
              <w:rPr>
                <w:rFonts w:ascii="Palatino Linotype" w:eastAsia="Palatino Linotype" w:hAnsi="Palatino Linotype" w:cs="Palatino Linotype"/>
                <w:b/>
                <w:sz w:val="20"/>
                <w:szCs w:val="20"/>
              </w:rPr>
            </w:pPr>
            <w:r w:rsidRPr="004E7A2E">
              <w:rPr>
                <w:rFonts w:ascii="Palatino Linotype" w:eastAsia="Palatino Linotype" w:hAnsi="Palatino Linotype" w:cs="Palatino Linotype"/>
                <w:b/>
                <w:sz w:val="20"/>
                <w:szCs w:val="20"/>
              </w:rPr>
              <w:t>No atiende</w:t>
            </w:r>
          </w:p>
          <w:p w14:paraId="7A0CE992" w14:textId="77777777" w:rsidR="000B1642" w:rsidRPr="004E7A2E" w:rsidRDefault="000B1642">
            <w:pPr>
              <w:ind w:right="49"/>
              <w:jc w:val="both"/>
              <w:rPr>
                <w:rFonts w:ascii="Palatino Linotype" w:eastAsia="Palatino Linotype" w:hAnsi="Palatino Linotype" w:cs="Palatino Linotype"/>
                <w:sz w:val="20"/>
                <w:szCs w:val="20"/>
              </w:rPr>
            </w:pPr>
          </w:p>
          <w:p w14:paraId="5C697741"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 xml:space="preserve">No se hizo entrega del acta en la que se aprobó la clasificación </w:t>
            </w:r>
          </w:p>
        </w:tc>
      </w:tr>
      <w:tr w:rsidR="001111FB" w:rsidRPr="004E7A2E" w14:paraId="62DAFA06" w14:textId="77777777">
        <w:trPr>
          <w:trHeight w:val="1125"/>
        </w:trPr>
        <w:tc>
          <w:tcPr>
            <w:tcW w:w="1838" w:type="dxa"/>
          </w:tcPr>
          <w:p w14:paraId="040CDF4C"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 xml:space="preserve">Estar en pleno ejercicio de los derechos civiles y políticos. </w:t>
            </w:r>
          </w:p>
        </w:tc>
        <w:tc>
          <w:tcPr>
            <w:tcW w:w="1701" w:type="dxa"/>
          </w:tcPr>
          <w:p w14:paraId="7CDF0C25"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 xml:space="preserve">Credencial de elector </w:t>
            </w:r>
          </w:p>
        </w:tc>
        <w:tc>
          <w:tcPr>
            <w:tcW w:w="1591" w:type="dxa"/>
          </w:tcPr>
          <w:p w14:paraId="13E1E7B9"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Confidencial</w:t>
            </w:r>
          </w:p>
        </w:tc>
        <w:tc>
          <w:tcPr>
            <w:tcW w:w="1953" w:type="dxa"/>
            <w:vMerge/>
          </w:tcPr>
          <w:p w14:paraId="5C83567C" w14:textId="77777777" w:rsidR="000B1642" w:rsidRPr="004E7A2E" w:rsidRDefault="000B1642">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1585" w:type="dxa"/>
          </w:tcPr>
          <w:p w14:paraId="3599A851" w14:textId="77777777" w:rsidR="000B1642" w:rsidRPr="004E7A2E" w:rsidRDefault="009F5022">
            <w:pPr>
              <w:ind w:right="49"/>
              <w:jc w:val="center"/>
              <w:rPr>
                <w:rFonts w:ascii="Palatino Linotype" w:eastAsia="Palatino Linotype" w:hAnsi="Palatino Linotype" w:cs="Palatino Linotype"/>
                <w:b/>
                <w:sz w:val="20"/>
                <w:szCs w:val="20"/>
              </w:rPr>
            </w:pPr>
            <w:r w:rsidRPr="004E7A2E">
              <w:rPr>
                <w:rFonts w:ascii="Palatino Linotype" w:eastAsia="Palatino Linotype" w:hAnsi="Palatino Linotype" w:cs="Palatino Linotype"/>
                <w:b/>
                <w:sz w:val="20"/>
                <w:szCs w:val="20"/>
              </w:rPr>
              <w:t>No atiende</w:t>
            </w:r>
          </w:p>
        </w:tc>
      </w:tr>
      <w:tr w:rsidR="001111FB" w:rsidRPr="004E7A2E" w14:paraId="059EAF6A" w14:textId="77777777">
        <w:trPr>
          <w:trHeight w:val="555"/>
        </w:trPr>
        <w:tc>
          <w:tcPr>
            <w:tcW w:w="1838" w:type="dxa"/>
          </w:tcPr>
          <w:p w14:paraId="05B6A6C7"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 xml:space="preserve">Cuando proceda, la Ley de Servicio Militar </w:t>
            </w:r>
          </w:p>
        </w:tc>
        <w:tc>
          <w:tcPr>
            <w:tcW w:w="1701" w:type="dxa"/>
          </w:tcPr>
          <w:p w14:paraId="4B28D7AA"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Cartilla de Servicio Militar</w:t>
            </w:r>
          </w:p>
        </w:tc>
        <w:tc>
          <w:tcPr>
            <w:tcW w:w="1591" w:type="dxa"/>
          </w:tcPr>
          <w:p w14:paraId="78E67783"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Confidencial</w:t>
            </w:r>
          </w:p>
        </w:tc>
        <w:tc>
          <w:tcPr>
            <w:tcW w:w="1953" w:type="dxa"/>
          </w:tcPr>
          <w:p w14:paraId="3C83C5DD"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 xml:space="preserve">No realizó algún Pronunciamiento </w:t>
            </w:r>
          </w:p>
        </w:tc>
        <w:tc>
          <w:tcPr>
            <w:tcW w:w="1585" w:type="dxa"/>
          </w:tcPr>
          <w:p w14:paraId="264A9112" w14:textId="77777777" w:rsidR="000B1642" w:rsidRPr="004E7A2E" w:rsidRDefault="009F5022">
            <w:pPr>
              <w:ind w:right="49"/>
              <w:jc w:val="center"/>
              <w:rPr>
                <w:rFonts w:ascii="Palatino Linotype" w:eastAsia="Palatino Linotype" w:hAnsi="Palatino Linotype" w:cs="Palatino Linotype"/>
                <w:b/>
                <w:sz w:val="20"/>
                <w:szCs w:val="20"/>
              </w:rPr>
            </w:pPr>
            <w:r w:rsidRPr="004E7A2E">
              <w:rPr>
                <w:rFonts w:ascii="Palatino Linotype" w:eastAsia="Palatino Linotype" w:hAnsi="Palatino Linotype" w:cs="Palatino Linotype"/>
                <w:b/>
                <w:sz w:val="20"/>
                <w:szCs w:val="20"/>
              </w:rPr>
              <w:t>No atiende</w:t>
            </w:r>
          </w:p>
          <w:p w14:paraId="15AC1497" w14:textId="77777777" w:rsidR="000B1642" w:rsidRPr="004E7A2E" w:rsidRDefault="009F5022">
            <w:pPr>
              <w:ind w:right="49"/>
              <w:jc w:val="center"/>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No realizó algún Pronunciamiento</w:t>
            </w:r>
          </w:p>
        </w:tc>
      </w:tr>
      <w:tr w:rsidR="001111FB" w:rsidRPr="004E7A2E" w14:paraId="5750F3B1" w14:textId="77777777">
        <w:trPr>
          <w:trHeight w:val="1965"/>
        </w:trPr>
        <w:tc>
          <w:tcPr>
            <w:tcW w:w="1838" w:type="dxa"/>
          </w:tcPr>
          <w:p w14:paraId="33BC1EB8"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 xml:space="preserve">No haber sido separado anteriormente del servicio por las causas previstas en el artículo 93 de la Ley de Trabajo de </w:t>
            </w:r>
            <w:r w:rsidRPr="004E7A2E">
              <w:rPr>
                <w:rFonts w:ascii="Palatino Linotype" w:eastAsia="Palatino Linotype" w:hAnsi="Palatino Linotype" w:cs="Palatino Linotype"/>
                <w:sz w:val="20"/>
                <w:szCs w:val="20"/>
              </w:rPr>
              <w:lastRenderedPageBreak/>
              <w:t xml:space="preserve">los Servidores Públicos de la Entidad. </w:t>
            </w:r>
          </w:p>
        </w:tc>
        <w:tc>
          <w:tcPr>
            <w:tcW w:w="1701" w:type="dxa"/>
          </w:tcPr>
          <w:p w14:paraId="52F34EEF"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lastRenderedPageBreak/>
              <w:t xml:space="preserve">Manifestación bajo protesta de decir verdad </w:t>
            </w:r>
          </w:p>
        </w:tc>
        <w:tc>
          <w:tcPr>
            <w:tcW w:w="1591" w:type="dxa"/>
          </w:tcPr>
          <w:p w14:paraId="5B281BB6"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 xml:space="preserve">Público, en versión pública. </w:t>
            </w:r>
          </w:p>
        </w:tc>
        <w:tc>
          <w:tcPr>
            <w:tcW w:w="1953" w:type="dxa"/>
          </w:tcPr>
          <w:p w14:paraId="2CBBFCBF"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Refirió la entrega de la Constancia de no inhabilitación en versión pública</w:t>
            </w:r>
          </w:p>
        </w:tc>
        <w:tc>
          <w:tcPr>
            <w:tcW w:w="1585" w:type="dxa"/>
          </w:tcPr>
          <w:p w14:paraId="42DBE6E1" w14:textId="77777777" w:rsidR="000B1642" w:rsidRPr="004E7A2E" w:rsidRDefault="009F5022">
            <w:pPr>
              <w:ind w:right="49"/>
              <w:jc w:val="center"/>
              <w:rPr>
                <w:rFonts w:ascii="Palatino Linotype" w:eastAsia="Palatino Linotype" w:hAnsi="Palatino Linotype" w:cs="Palatino Linotype"/>
                <w:b/>
                <w:sz w:val="20"/>
                <w:szCs w:val="20"/>
              </w:rPr>
            </w:pPr>
            <w:r w:rsidRPr="004E7A2E">
              <w:rPr>
                <w:rFonts w:ascii="Palatino Linotype" w:eastAsia="Palatino Linotype" w:hAnsi="Palatino Linotype" w:cs="Palatino Linotype"/>
                <w:b/>
                <w:sz w:val="20"/>
                <w:szCs w:val="20"/>
              </w:rPr>
              <w:t>No atiende</w:t>
            </w:r>
          </w:p>
          <w:p w14:paraId="0935281F"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 xml:space="preserve">No adjunto a su respuesta el documento referido, ni el acta que sustente la </w:t>
            </w:r>
            <w:r w:rsidRPr="004E7A2E">
              <w:rPr>
                <w:rFonts w:ascii="Palatino Linotype" w:eastAsia="Palatino Linotype" w:hAnsi="Palatino Linotype" w:cs="Palatino Linotype"/>
                <w:sz w:val="20"/>
                <w:szCs w:val="20"/>
              </w:rPr>
              <w:lastRenderedPageBreak/>
              <w:t>versión pública.</w:t>
            </w:r>
          </w:p>
        </w:tc>
      </w:tr>
      <w:tr w:rsidR="001111FB" w:rsidRPr="004E7A2E" w14:paraId="34AC8582" w14:textId="77777777">
        <w:trPr>
          <w:trHeight w:val="270"/>
        </w:trPr>
        <w:tc>
          <w:tcPr>
            <w:tcW w:w="1838" w:type="dxa"/>
          </w:tcPr>
          <w:p w14:paraId="57A1C39D"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lastRenderedPageBreak/>
              <w:t>Tener buena salud</w:t>
            </w:r>
          </w:p>
        </w:tc>
        <w:tc>
          <w:tcPr>
            <w:tcW w:w="1701" w:type="dxa"/>
          </w:tcPr>
          <w:p w14:paraId="73DA309A"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Certificado Médico</w:t>
            </w:r>
          </w:p>
        </w:tc>
        <w:tc>
          <w:tcPr>
            <w:tcW w:w="1591" w:type="dxa"/>
          </w:tcPr>
          <w:p w14:paraId="14878A98"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Confidencial</w:t>
            </w:r>
          </w:p>
        </w:tc>
        <w:tc>
          <w:tcPr>
            <w:tcW w:w="1953" w:type="dxa"/>
          </w:tcPr>
          <w:p w14:paraId="2EDCAC6E"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 xml:space="preserve">Refirió su clasificación como confidencial total, aprobada mediante acuerdo número </w:t>
            </w:r>
            <w:r w:rsidRPr="004E7A2E">
              <w:rPr>
                <w:rFonts w:ascii="Palatino Linotype" w:eastAsia="Palatino Linotype" w:hAnsi="Palatino Linotype" w:cs="Palatino Linotype"/>
                <w:i/>
                <w:sz w:val="20"/>
                <w:szCs w:val="20"/>
              </w:rPr>
              <w:t>CT/SE/260/02/2025</w:t>
            </w:r>
            <w:r w:rsidRPr="004E7A2E">
              <w:rPr>
                <w:rFonts w:ascii="Palatino Linotype" w:eastAsia="Palatino Linotype" w:hAnsi="Palatino Linotype" w:cs="Palatino Linotype"/>
                <w:sz w:val="20"/>
                <w:szCs w:val="20"/>
              </w:rPr>
              <w:t xml:space="preserve"> aprobado por el Comité de Transparencia en la Ducentésima Sexagésima Sesión Extraordinaria 2025</w:t>
            </w:r>
          </w:p>
        </w:tc>
        <w:tc>
          <w:tcPr>
            <w:tcW w:w="1585" w:type="dxa"/>
          </w:tcPr>
          <w:p w14:paraId="62CFCF2D" w14:textId="77777777" w:rsidR="000B1642" w:rsidRPr="004E7A2E" w:rsidRDefault="009F5022">
            <w:pPr>
              <w:ind w:right="49"/>
              <w:jc w:val="center"/>
              <w:rPr>
                <w:rFonts w:ascii="Palatino Linotype" w:eastAsia="Palatino Linotype" w:hAnsi="Palatino Linotype" w:cs="Palatino Linotype"/>
                <w:b/>
                <w:sz w:val="20"/>
                <w:szCs w:val="20"/>
              </w:rPr>
            </w:pPr>
            <w:r w:rsidRPr="004E7A2E">
              <w:rPr>
                <w:rFonts w:ascii="Palatino Linotype" w:eastAsia="Palatino Linotype" w:hAnsi="Palatino Linotype" w:cs="Palatino Linotype"/>
                <w:b/>
                <w:sz w:val="20"/>
                <w:szCs w:val="20"/>
              </w:rPr>
              <w:t>No atiende</w:t>
            </w:r>
          </w:p>
          <w:p w14:paraId="594BDBAB" w14:textId="77777777" w:rsidR="000B1642" w:rsidRPr="004E7A2E" w:rsidRDefault="000B1642">
            <w:pPr>
              <w:ind w:right="49"/>
              <w:jc w:val="center"/>
              <w:rPr>
                <w:rFonts w:ascii="Palatino Linotype" w:eastAsia="Palatino Linotype" w:hAnsi="Palatino Linotype" w:cs="Palatino Linotype"/>
                <w:sz w:val="20"/>
                <w:szCs w:val="20"/>
              </w:rPr>
            </w:pPr>
          </w:p>
          <w:p w14:paraId="4E3725A8" w14:textId="77777777" w:rsidR="000B1642" w:rsidRPr="004E7A2E" w:rsidRDefault="009F5022">
            <w:pPr>
              <w:ind w:right="49"/>
              <w:jc w:val="center"/>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 xml:space="preserve">No se hizo entrega del acta en la que se aprobó la clasificación como confidencial </w:t>
            </w:r>
          </w:p>
        </w:tc>
      </w:tr>
      <w:tr w:rsidR="001111FB" w:rsidRPr="004E7A2E" w14:paraId="7D9F3D32" w14:textId="77777777">
        <w:trPr>
          <w:trHeight w:val="270"/>
        </w:trPr>
        <w:tc>
          <w:tcPr>
            <w:tcW w:w="1838" w:type="dxa"/>
          </w:tcPr>
          <w:p w14:paraId="598AA025"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Cumplir con los requisitos que se establezcan para los diferentes puestos.</w:t>
            </w:r>
          </w:p>
        </w:tc>
        <w:tc>
          <w:tcPr>
            <w:tcW w:w="1701" w:type="dxa"/>
          </w:tcPr>
          <w:p w14:paraId="362E9611"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 xml:space="preserve">El artículo 57 de la Ley de Transparencia a y Acceso a la Información Pública del Estado de México y Municipios establece </w:t>
            </w:r>
            <w:proofErr w:type="gramStart"/>
            <w:r w:rsidRPr="004E7A2E">
              <w:rPr>
                <w:rFonts w:ascii="Palatino Linotype" w:eastAsia="Palatino Linotype" w:hAnsi="Palatino Linotype" w:cs="Palatino Linotype"/>
                <w:sz w:val="20"/>
                <w:szCs w:val="20"/>
              </w:rPr>
              <w:t>que</w:t>
            </w:r>
            <w:proofErr w:type="gramEnd"/>
            <w:r w:rsidRPr="004E7A2E">
              <w:rPr>
                <w:rFonts w:ascii="Palatino Linotype" w:eastAsia="Palatino Linotype" w:hAnsi="Palatino Linotype" w:cs="Palatino Linotype"/>
                <w:sz w:val="20"/>
                <w:szCs w:val="20"/>
              </w:rPr>
              <w:t xml:space="preserve"> para ser nombrado titular de la Unidad de Transparencia, deberá </w:t>
            </w:r>
            <w:r w:rsidRPr="004E7A2E">
              <w:rPr>
                <w:rFonts w:ascii="Palatino Linotype" w:eastAsia="Palatino Linotype" w:hAnsi="Palatino Linotype" w:cs="Palatino Linotype"/>
                <w:b/>
                <w:sz w:val="20"/>
                <w:szCs w:val="20"/>
              </w:rPr>
              <w:t xml:space="preserve">contar con </w:t>
            </w:r>
            <w:r w:rsidRPr="004E7A2E">
              <w:rPr>
                <w:rFonts w:ascii="Palatino Linotype" w:eastAsia="Palatino Linotype" w:hAnsi="Palatino Linotype" w:cs="Palatino Linotype"/>
                <w:b/>
                <w:sz w:val="20"/>
                <w:szCs w:val="20"/>
                <w:u w:val="single"/>
              </w:rPr>
              <w:t xml:space="preserve">certificación </w:t>
            </w:r>
            <w:r w:rsidRPr="004E7A2E">
              <w:rPr>
                <w:rFonts w:ascii="Palatino Linotype" w:eastAsia="Palatino Linotype" w:hAnsi="Palatino Linotype" w:cs="Palatino Linotype"/>
                <w:b/>
                <w:sz w:val="20"/>
                <w:szCs w:val="20"/>
              </w:rPr>
              <w:t xml:space="preserve">en materia de acceso a la información, transparencia y </w:t>
            </w:r>
            <w:r w:rsidRPr="004E7A2E">
              <w:rPr>
                <w:rFonts w:ascii="Palatino Linotype" w:eastAsia="Palatino Linotype" w:hAnsi="Palatino Linotype" w:cs="Palatino Linotype"/>
                <w:b/>
                <w:sz w:val="20"/>
                <w:szCs w:val="20"/>
              </w:rPr>
              <w:lastRenderedPageBreak/>
              <w:t>protección de datos personales,</w:t>
            </w:r>
            <w:r w:rsidRPr="004E7A2E">
              <w:rPr>
                <w:rFonts w:ascii="Palatino Linotype" w:eastAsia="Palatino Linotype" w:hAnsi="Palatino Linotype" w:cs="Palatino Linotype"/>
                <w:sz w:val="20"/>
                <w:szCs w:val="20"/>
              </w:rPr>
              <w:t xml:space="preserve"> que para tal efecto emita el Instituto.</w:t>
            </w:r>
          </w:p>
        </w:tc>
        <w:tc>
          <w:tcPr>
            <w:tcW w:w="1591" w:type="dxa"/>
            <w:vAlign w:val="center"/>
          </w:tcPr>
          <w:p w14:paraId="343FCFDC"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lastRenderedPageBreak/>
              <w:t>Pública, en versión pública</w:t>
            </w:r>
          </w:p>
        </w:tc>
        <w:tc>
          <w:tcPr>
            <w:tcW w:w="1953" w:type="dxa"/>
          </w:tcPr>
          <w:p w14:paraId="0F1601EB"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No hizo entrega de ningún documento.</w:t>
            </w:r>
          </w:p>
          <w:p w14:paraId="5A54436D" w14:textId="77777777" w:rsidR="000B1642" w:rsidRPr="004E7A2E" w:rsidRDefault="000B1642">
            <w:pPr>
              <w:ind w:right="49"/>
              <w:jc w:val="both"/>
              <w:rPr>
                <w:rFonts w:ascii="Palatino Linotype" w:eastAsia="Palatino Linotype" w:hAnsi="Palatino Linotype" w:cs="Palatino Linotype"/>
                <w:sz w:val="20"/>
                <w:szCs w:val="20"/>
              </w:rPr>
            </w:pPr>
          </w:p>
          <w:p w14:paraId="6DAB8922"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 xml:space="preserve">Se limitó a referir la entrega del comprobante de estudios en versión pública aprobada mediante acuerdo número </w:t>
            </w:r>
            <w:r w:rsidRPr="004E7A2E">
              <w:rPr>
                <w:rFonts w:ascii="Palatino Linotype" w:eastAsia="Palatino Linotype" w:hAnsi="Palatino Linotype" w:cs="Palatino Linotype"/>
                <w:i/>
                <w:sz w:val="20"/>
                <w:szCs w:val="20"/>
              </w:rPr>
              <w:t>CT/SE/260/01/2025</w:t>
            </w:r>
          </w:p>
        </w:tc>
        <w:tc>
          <w:tcPr>
            <w:tcW w:w="1585" w:type="dxa"/>
          </w:tcPr>
          <w:p w14:paraId="68B8C3B4" w14:textId="77777777" w:rsidR="000B1642" w:rsidRPr="004E7A2E" w:rsidRDefault="009F5022">
            <w:pPr>
              <w:ind w:right="49"/>
              <w:jc w:val="center"/>
              <w:rPr>
                <w:rFonts w:ascii="Palatino Linotype" w:eastAsia="Palatino Linotype" w:hAnsi="Palatino Linotype" w:cs="Palatino Linotype"/>
                <w:b/>
                <w:sz w:val="20"/>
                <w:szCs w:val="20"/>
              </w:rPr>
            </w:pPr>
            <w:r w:rsidRPr="004E7A2E">
              <w:rPr>
                <w:rFonts w:ascii="Palatino Linotype" w:eastAsia="Palatino Linotype" w:hAnsi="Palatino Linotype" w:cs="Palatino Linotype"/>
                <w:b/>
                <w:sz w:val="20"/>
                <w:szCs w:val="20"/>
              </w:rPr>
              <w:t xml:space="preserve">No atendió </w:t>
            </w:r>
          </w:p>
          <w:p w14:paraId="1338AF07" w14:textId="77777777" w:rsidR="000B1642" w:rsidRPr="004E7A2E" w:rsidRDefault="000B1642">
            <w:pPr>
              <w:ind w:right="49"/>
              <w:jc w:val="center"/>
              <w:rPr>
                <w:rFonts w:ascii="Palatino Linotype" w:eastAsia="Palatino Linotype" w:hAnsi="Palatino Linotype" w:cs="Palatino Linotype"/>
                <w:b/>
                <w:sz w:val="20"/>
                <w:szCs w:val="20"/>
              </w:rPr>
            </w:pPr>
          </w:p>
          <w:p w14:paraId="009F62D5"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 xml:space="preserve">No hizo entrega del comprobante de estudios, ni la certificación </w:t>
            </w:r>
          </w:p>
        </w:tc>
      </w:tr>
      <w:tr w:rsidR="001111FB" w:rsidRPr="004E7A2E" w14:paraId="5A1CD980" w14:textId="77777777">
        <w:trPr>
          <w:trHeight w:val="854"/>
        </w:trPr>
        <w:tc>
          <w:tcPr>
            <w:tcW w:w="1838" w:type="dxa"/>
          </w:tcPr>
          <w:p w14:paraId="60FBB3BB"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 xml:space="preserve">No estar inhabilitado  </w:t>
            </w:r>
          </w:p>
        </w:tc>
        <w:tc>
          <w:tcPr>
            <w:tcW w:w="1701" w:type="dxa"/>
          </w:tcPr>
          <w:p w14:paraId="332AE906"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Constancia de no inhabilitación</w:t>
            </w:r>
          </w:p>
        </w:tc>
        <w:tc>
          <w:tcPr>
            <w:tcW w:w="1591" w:type="dxa"/>
          </w:tcPr>
          <w:p w14:paraId="103A47BA"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Pública, en versión pública</w:t>
            </w:r>
          </w:p>
        </w:tc>
        <w:tc>
          <w:tcPr>
            <w:tcW w:w="1953" w:type="dxa"/>
          </w:tcPr>
          <w:p w14:paraId="26DE550E"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 xml:space="preserve">Refirió la entrega de la Constancia de no inhabilitación en versión pública, aprobada mediante acuerdo número </w:t>
            </w:r>
            <w:r w:rsidRPr="004E7A2E">
              <w:rPr>
                <w:rFonts w:ascii="Palatino Linotype" w:eastAsia="Palatino Linotype" w:hAnsi="Palatino Linotype" w:cs="Palatino Linotype"/>
                <w:i/>
                <w:sz w:val="20"/>
                <w:szCs w:val="20"/>
              </w:rPr>
              <w:t>CT/SE/260/01/2025</w:t>
            </w:r>
          </w:p>
        </w:tc>
        <w:tc>
          <w:tcPr>
            <w:tcW w:w="1585" w:type="dxa"/>
          </w:tcPr>
          <w:p w14:paraId="3A71D38D" w14:textId="77777777" w:rsidR="000B1642" w:rsidRPr="004E7A2E" w:rsidRDefault="009F5022">
            <w:pPr>
              <w:ind w:right="49"/>
              <w:jc w:val="center"/>
              <w:rPr>
                <w:rFonts w:ascii="Palatino Linotype" w:eastAsia="Palatino Linotype" w:hAnsi="Palatino Linotype" w:cs="Palatino Linotype"/>
                <w:b/>
                <w:sz w:val="20"/>
                <w:szCs w:val="20"/>
              </w:rPr>
            </w:pPr>
            <w:r w:rsidRPr="004E7A2E">
              <w:rPr>
                <w:rFonts w:ascii="Palatino Linotype" w:eastAsia="Palatino Linotype" w:hAnsi="Palatino Linotype" w:cs="Palatino Linotype"/>
                <w:b/>
                <w:sz w:val="20"/>
                <w:szCs w:val="20"/>
              </w:rPr>
              <w:t>No atiende</w:t>
            </w:r>
          </w:p>
          <w:p w14:paraId="3BCD9D6B" w14:textId="77777777" w:rsidR="000B1642" w:rsidRPr="004E7A2E" w:rsidRDefault="009F5022">
            <w:pPr>
              <w:ind w:right="49"/>
              <w:jc w:val="center"/>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No adjunto a su respuesta el documento referido, ni el acta que sustente la versión pública.</w:t>
            </w:r>
          </w:p>
        </w:tc>
      </w:tr>
      <w:tr w:rsidR="001111FB" w:rsidRPr="004E7A2E" w14:paraId="6C2E68E4" w14:textId="77777777">
        <w:trPr>
          <w:trHeight w:val="3252"/>
        </w:trPr>
        <w:tc>
          <w:tcPr>
            <w:tcW w:w="1838" w:type="dxa"/>
          </w:tcPr>
          <w:p w14:paraId="1FD0F638"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Presentar certificado expedido por la Unidad del Registro de Deudores Alimentarios Morosos en el que conste, si se encuentra inscrito o no en el mismo.</w:t>
            </w:r>
          </w:p>
        </w:tc>
        <w:tc>
          <w:tcPr>
            <w:tcW w:w="1701" w:type="dxa"/>
          </w:tcPr>
          <w:p w14:paraId="2E827958"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Certificado de No Deudor Alimentario</w:t>
            </w:r>
          </w:p>
        </w:tc>
        <w:tc>
          <w:tcPr>
            <w:tcW w:w="1591" w:type="dxa"/>
          </w:tcPr>
          <w:p w14:paraId="5E75E4E2"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Pública, en versión pública.</w:t>
            </w:r>
          </w:p>
        </w:tc>
        <w:tc>
          <w:tcPr>
            <w:tcW w:w="1953" w:type="dxa"/>
          </w:tcPr>
          <w:p w14:paraId="6BDA899E"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 xml:space="preserve">Refirió la entrega del Certificado de no deudor alimentario moroso en versión pública, aprobada mediante acuerdo número </w:t>
            </w:r>
            <w:r w:rsidRPr="004E7A2E">
              <w:rPr>
                <w:rFonts w:ascii="Palatino Linotype" w:eastAsia="Palatino Linotype" w:hAnsi="Palatino Linotype" w:cs="Palatino Linotype"/>
                <w:i/>
                <w:sz w:val="20"/>
                <w:szCs w:val="20"/>
              </w:rPr>
              <w:t>CT/SE/260/01/2025</w:t>
            </w:r>
          </w:p>
        </w:tc>
        <w:tc>
          <w:tcPr>
            <w:tcW w:w="1585" w:type="dxa"/>
          </w:tcPr>
          <w:p w14:paraId="39DE523C" w14:textId="77777777" w:rsidR="000B1642" w:rsidRPr="004E7A2E" w:rsidRDefault="009F5022">
            <w:pPr>
              <w:ind w:right="49"/>
              <w:jc w:val="center"/>
              <w:rPr>
                <w:rFonts w:ascii="Palatino Linotype" w:eastAsia="Palatino Linotype" w:hAnsi="Palatino Linotype" w:cs="Palatino Linotype"/>
                <w:b/>
                <w:sz w:val="20"/>
                <w:szCs w:val="20"/>
              </w:rPr>
            </w:pPr>
            <w:r w:rsidRPr="004E7A2E">
              <w:rPr>
                <w:rFonts w:ascii="Palatino Linotype" w:eastAsia="Palatino Linotype" w:hAnsi="Palatino Linotype" w:cs="Palatino Linotype"/>
                <w:b/>
                <w:sz w:val="20"/>
                <w:szCs w:val="20"/>
              </w:rPr>
              <w:t>No atiende</w:t>
            </w:r>
          </w:p>
          <w:p w14:paraId="21058790" w14:textId="77777777" w:rsidR="000B1642" w:rsidRPr="004E7A2E" w:rsidRDefault="009F5022">
            <w:pPr>
              <w:ind w:right="49"/>
              <w:jc w:val="center"/>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No adjunto a su respuesta el documento referido, ni el acta que sustente la versión pública.</w:t>
            </w:r>
          </w:p>
        </w:tc>
      </w:tr>
      <w:tr w:rsidR="000B1642" w:rsidRPr="004E7A2E" w14:paraId="361982E8" w14:textId="77777777">
        <w:trPr>
          <w:trHeight w:val="840"/>
        </w:trPr>
        <w:tc>
          <w:tcPr>
            <w:tcW w:w="1838" w:type="dxa"/>
          </w:tcPr>
          <w:p w14:paraId="4B7ADAE7"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Para iniciar la prestación de los servicios</w:t>
            </w:r>
          </w:p>
        </w:tc>
        <w:tc>
          <w:tcPr>
            <w:tcW w:w="1701" w:type="dxa"/>
          </w:tcPr>
          <w:p w14:paraId="432CB54C"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Nombramiento, contrato o formato único de Movimientos de Personal.</w:t>
            </w:r>
          </w:p>
        </w:tc>
        <w:tc>
          <w:tcPr>
            <w:tcW w:w="1591" w:type="dxa"/>
          </w:tcPr>
          <w:p w14:paraId="2533F53C"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Pública, en versión pública.</w:t>
            </w:r>
          </w:p>
        </w:tc>
        <w:tc>
          <w:tcPr>
            <w:tcW w:w="1953" w:type="dxa"/>
          </w:tcPr>
          <w:p w14:paraId="5553C35B" w14:textId="77777777" w:rsidR="000B1642" w:rsidRPr="004E7A2E" w:rsidRDefault="009F5022">
            <w:pPr>
              <w:ind w:right="49"/>
              <w:jc w:val="both"/>
              <w:rPr>
                <w:rFonts w:ascii="Palatino Linotype" w:eastAsia="Palatino Linotype" w:hAnsi="Palatino Linotype" w:cs="Palatino Linotype"/>
                <w:sz w:val="20"/>
                <w:szCs w:val="20"/>
              </w:rPr>
            </w:pPr>
            <w:r w:rsidRPr="004E7A2E">
              <w:rPr>
                <w:rFonts w:ascii="Palatino Linotype" w:eastAsia="Palatino Linotype" w:hAnsi="Palatino Linotype" w:cs="Palatino Linotype"/>
                <w:sz w:val="20"/>
                <w:szCs w:val="20"/>
              </w:rPr>
              <w:t>No hizo entrega de ningún documento.</w:t>
            </w:r>
          </w:p>
        </w:tc>
        <w:tc>
          <w:tcPr>
            <w:tcW w:w="1585" w:type="dxa"/>
          </w:tcPr>
          <w:p w14:paraId="097A5B9E" w14:textId="77777777" w:rsidR="000B1642" w:rsidRPr="004E7A2E" w:rsidRDefault="009F5022">
            <w:pPr>
              <w:ind w:right="49"/>
              <w:jc w:val="center"/>
              <w:rPr>
                <w:rFonts w:ascii="Palatino Linotype" w:eastAsia="Palatino Linotype" w:hAnsi="Palatino Linotype" w:cs="Palatino Linotype"/>
                <w:b/>
                <w:sz w:val="20"/>
                <w:szCs w:val="20"/>
              </w:rPr>
            </w:pPr>
            <w:r w:rsidRPr="004E7A2E">
              <w:rPr>
                <w:rFonts w:ascii="Palatino Linotype" w:eastAsia="Palatino Linotype" w:hAnsi="Palatino Linotype" w:cs="Palatino Linotype"/>
                <w:b/>
                <w:sz w:val="20"/>
                <w:szCs w:val="20"/>
              </w:rPr>
              <w:t xml:space="preserve">No atendió </w:t>
            </w:r>
          </w:p>
        </w:tc>
      </w:tr>
    </w:tbl>
    <w:p w14:paraId="0BBFD534" w14:textId="77777777" w:rsidR="000B1642" w:rsidRPr="004E7A2E" w:rsidRDefault="000B1642">
      <w:pPr>
        <w:pBdr>
          <w:top w:val="nil"/>
          <w:left w:val="nil"/>
          <w:bottom w:val="nil"/>
          <w:right w:val="nil"/>
          <w:between w:val="nil"/>
        </w:pBdr>
        <w:spacing w:line="276" w:lineRule="auto"/>
        <w:ind w:right="-150"/>
        <w:jc w:val="both"/>
        <w:rPr>
          <w:rFonts w:ascii="Palatino Linotype" w:eastAsia="Palatino Linotype" w:hAnsi="Palatino Linotype" w:cs="Palatino Linotype"/>
          <w:sz w:val="22"/>
          <w:szCs w:val="22"/>
        </w:rPr>
      </w:pPr>
    </w:p>
    <w:p w14:paraId="5962D3FA"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Como se aprecia del cuadro de referencia, 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no niega la competencia para conocer de la información solicitada, sino por el contrario, con la respuesta pronunciada asevera que es competente para conocer de la solicitud de información, lo anterior es así, ya que el estudio enunciado tiene por objeto determinar si 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genera, posee o administra la información solicitada, sin embargo, en aquellos casos en que este ha asumido la competencia, por consiguiente, sería ocioso y a nada práctico nos conduciría su </w:t>
      </w:r>
      <w:r w:rsidRPr="004E7A2E">
        <w:rPr>
          <w:rFonts w:ascii="Palatino Linotype" w:eastAsia="Palatino Linotype" w:hAnsi="Palatino Linotype" w:cs="Palatino Linotype"/>
          <w:sz w:val="22"/>
          <w:szCs w:val="22"/>
        </w:rPr>
        <w:lastRenderedPageBreak/>
        <w:t xml:space="preserve">estudio, ya que, se insiste, el ente obligado asumió la competencia referida, tan es así que, informó la entrega de la información en versión pública, sin embargo, fue omiso en hacer entrega de esta; por lo que resulta procedente ordenar la entrega, del nombramiento, FUMP contrato, o documento análogo, así como los expedientes laborales completos de los servidores públicos adscritos a la Unidad de Transparencia, en funciones al veinte de febrero de dos mil veinticinco, mismos que deberán incluir currículum vitae, solicitud de empleo o documento análogo, certificado de no antecedentes penales, certificación de competencia laboral, comprobante de estudio y cursos, en versión pública. </w:t>
      </w:r>
    </w:p>
    <w:p w14:paraId="3F6AFE7A" w14:textId="77777777" w:rsidR="000B1642" w:rsidRPr="004E7A2E" w:rsidRDefault="000B1642">
      <w:pPr>
        <w:spacing w:line="360" w:lineRule="auto"/>
        <w:ind w:right="49"/>
        <w:jc w:val="both"/>
        <w:rPr>
          <w:rFonts w:ascii="Palatino Linotype" w:eastAsia="Palatino Linotype" w:hAnsi="Palatino Linotype" w:cs="Palatino Linotype"/>
          <w:sz w:val="22"/>
          <w:szCs w:val="22"/>
        </w:rPr>
      </w:pPr>
    </w:p>
    <w:p w14:paraId="06B1744D"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Dicho lo anterior, conviene hacer mención que respecto a los </w:t>
      </w:r>
      <w:r w:rsidRPr="004E7A2E">
        <w:rPr>
          <w:rFonts w:ascii="Palatino Linotype" w:eastAsia="Palatino Linotype" w:hAnsi="Palatino Linotype" w:cs="Palatino Linotype"/>
          <w:b/>
          <w:i/>
          <w:sz w:val="22"/>
          <w:szCs w:val="22"/>
        </w:rPr>
        <w:t xml:space="preserve">Antecedentes no penales </w:t>
      </w:r>
      <w:r w:rsidRPr="004E7A2E">
        <w:rPr>
          <w:rFonts w:ascii="Palatino Linotype" w:eastAsia="Palatino Linotype" w:hAnsi="Palatino Linotype" w:cs="Palatino Linotype"/>
          <w:sz w:val="22"/>
          <w:szCs w:val="22"/>
        </w:rPr>
        <w:t>que desea conocer el particular, el</w:t>
      </w:r>
      <w:r w:rsidRPr="004E7A2E">
        <w:rPr>
          <w:rFonts w:ascii="Palatino Linotype" w:eastAsia="Palatino Linotype" w:hAnsi="Palatino Linotype" w:cs="Palatino Linotype"/>
          <w:b/>
          <w:sz w:val="22"/>
          <w:szCs w:val="22"/>
        </w:rPr>
        <w:t xml:space="preserve"> Sujeto Obligado </w:t>
      </w:r>
      <w:r w:rsidRPr="004E7A2E">
        <w:rPr>
          <w:rFonts w:ascii="Palatino Linotype" w:eastAsia="Palatino Linotype" w:hAnsi="Palatino Linotype" w:cs="Palatino Linotype"/>
          <w:sz w:val="22"/>
          <w:szCs w:val="22"/>
        </w:rPr>
        <w:t>omitió emitir un pronunciamiento sobre la existencia de este documento, por consiguiente, es dable afirmar que no se emitió en apego a los principios de congruencia y exhaustividad, consagrados en el contenido del Criterio Orientador 02/2017 emitido por el entonces Instituto Nacional de Transparencia, Acceso a la Información y Protección de Datos Personales (INAI).</w:t>
      </w:r>
    </w:p>
    <w:p w14:paraId="60C7699D" w14:textId="77777777" w:rsidR="000B1642" w:rsidRPr="004E7A2E" w:rsidRDefault="000B1642">
      <w:pPr>
        <w:spacing w:line="360" w:lineRule="auto"/>
        <w:rPr>
          <w:rFonts w:ascii="Palatino Linotype" w:eastAsia="Palatino Linotype" w:hAnsi="Palatino Linotype" w:cs="Palatino Linotype"/>
          <w:sz w:val="22"/>
          <w:szCs w:val="22"/>
        </w:rPr>
      </w:pPr>
    </w:p>
    <w:p w14:paraId="5D2B9C5A" w14:textId="77777777" w:rsidR="000B1642" w:rsidRPr="004E7A2E" w:rsidRDefault="009F50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En tal tesitura, se advierte que mediante el Decreto Número 109, publicado en el periódico oficial “Gaceta de Gobierno” el 3 de agosto de 2016, se derogó la fracción V del artículo 47 de la Ley del Trabajo de los servidores públicos del Estado y Municipios, por lo que derivado de esta reforma ya no se mandata a las personas que deseen ingresar al servicio público a presentar el documento en el que acrediten “no contar con antecedentes penales por delitos intencionales”, lo anterior en virtud de que se contempla como una forma de discriminación, dicha premisa encuentra sustento en el dictamen que obra en la exposición de motivos de dicho decreto, mismo que se inserta a continuación: </w:t>
      </w:r>
    </w:p>
    <w:p w14:paraId="6D1A0D3F" w14:textId="77777777" w:rsidR="000B1642" w:rsidRPr="004E7A2E" w:rsidRDefault="000B1642">
      <w:pPr>
        <w:rPr>
          <w:rFonts w:ascii="Palatino Linotype" w:eastAsia="Palatino Linotype" w:hAnsi="Palatino Linotype" w:cs="Palatino Linotype"/>
          <w:sz w:val="22"/>
          <w:szCs w:val="22"/>
        </w:rPr>
      </w:pPr>
    </w:p>
    <w:p w14:paraId="1B7B20F3" w14:textId="77777777" w:rsidR="000B1642" w:rsidRPr="004E7A2E" w:rsidRDefault="009F5022">
      <w:pPr>
        <w:pBdr>
          <w:top w:val="nil"/>
          <w:left w:val="nil"/>
          <w:bottom w:val="nil"/>
          <w:right w:val="nil"/>
          <w:between w:val="nil"/>
        </w:pBdr>
        <w:ind w:left="567" w:right="8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 “</w:t>
      </w:r>
      <w:r w:rsidRPr="004E7A2E">
        <w:rPr>
          <w:rFonts w:ascii="Palatino Linotype" w:eastAsia="Palatino Linotype" w:hAnsi="Palatino Linotype" w:cs="Palatino Linotype"/>
          <w:b/>
          <w:i/>
          <w:sz w:val="22"/>
          <w:szCs w:val="22"/>
          <w:u w:val="single"/>
        </w:rPr>
        <w:t xml:space="preserve">Por otra parte, como se menciona en la iniciativa de decreto, reconocemos que el artículo 47 de la Ley del Trabajo para los Servidores Públicos del Estado y Municipios contempla una forma de discriminación que se traduce </w:t>
      </w:r>
      <w:r w:rsidRPr="004E7A2E">
        <w:rPr>
          <w:rFonts w:ascii="Palatino Linotype" w:eastAsia="Palatino Linotype" w:hAnsi="Palatino Linotype" w:cs="Palatino Linotype"/>
          <w:b/>
          <w:i/>
          <w:sz w:val="22"/>
          <w:szCs w:val="22"/>
          <w:u w:val="single"/>
        </w:rPr>
        <w:lastRenderedPageBreak/>
        <w:t>en lo dispuesto por su fracción V, en virtud que  dicho precepto establece como requisito para ingresar al servicio público el no contar con antecedentes penales por delitos intencionales</w:t>
      </w:r>
      <w:r w:rsidRPr="004E7A2E">
        <w:rPr>
          <w:rFonts w:ascii="Palatino Linotype" w:eastAsia="Palatino Linotype" w:hAnsi="Palatino Linotype" w:cs="Palatino Linotype"/>
          <w:i/>
          <w:sz w:val="22"/>
          <w:szCs w:val="22"/>
        </w:rPr>
        <w:t>, lo que se traduce en una violación de derecho y libertades consagrados en nuestra Carta Magna y en la propia Ley Federal para Prevenir y Eliminar la Discriminación, específicamente en su artículo 1, fracción III.</w:t>
      </w:r>
    </w:p>
    <w:p w14:paraId="5DABD5E1" w14:textId="77777777" w:rsidR="000B1642" w:rsidRPr="004E7A2E" w:rsidRDefault="009F5022">
      <w:pPr>
        <w:pBdr>
          <w:top w:val="nil"/>
          <w:left w:val="nil"/>
          <w:bottom w:val="nil"/>
          <w:right w:val="nil"/>
          <w:between w:val="nil"/>
        </w:pBdr>
        <w:ind w:left="567" w:right="8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i/>
          <w:sz w:val="22"/>
          <w:szCs w:val="22"/>
          <w:u w:val="single"/>
        </w:rPr>
        <w:t>Por ello, resulta procedente derogar la fracción del citado precepto normativo de la Ley del Trabajo de los Servidores Públicos del Estado y Municipios, y suprimir este requisito, y de esta manera, no se distinga negativamente a las personas que deseen ingresar a laborar al  servicio público, ya que quienes hayan compurgado una pena son aptos de reinserción social y deben contar con la oportunidad de obtener  un trabajo que les permita ejercer una forma digna de vida, sin ningún tipo de distinción o discriminación y con ello garantizar el pleno respeto de sus derechos de igualdad y trabajo…</w:t>
      </w:r>
      <w:r w:rsidRPr="004E7A2E">
        <w:rPr>
          <w:rFonts w:ascii="Palatino Linotype" w:eastAsia="Palatino Linotype" w:hAnsi="Palatino Linotype" w:cs="Palatino Linotype"/>
          <w:i/>
          <w:sz w:val="22"/>
          <w:szCs w:val="22"/>
        </w:rPr>
        <w:t>” (Énfasis añadido)</w:t>
      </w:r>
    </w:p>
    <w:p w14:paraId="2438FD25" w14:textId="77777777" w:rsidR="000B1642" w:rsidRPr="004E7A2E" w:rsidRDefault="000B1642">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14:paraId="39543734"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En tal caso, es a partir de la publicación de la derogación de este precepto legal en el periódico oficial “Gaceta de Gobierno”, que la obligación de requerir a los servidores públicos el documento referido como condicionante para ingresar al servicio público es inexistente. No </w:t>
      </w:r>
      <w:proofErr w:type="gramStart"/>
      <w:r w:rsidRPr="004E7A2E">
        <w:rPr>
          <w:rFonts w:ascii="Palatino Linotype" w:eastAsia="Palatino Linotype" w:hAnsi="Palatino Linotype" w:cs="Palatino Linotype"/>
          <w:sz w:val="22"/>
          <w:szCs w:val="22"/>
        </w:rPr>
        <w:t>obstante</w:t>
      </w:r>
      <w:proofErr w:type="gramEnd"/>
      <w:r w:rsidRPr="004E7A2E">
        <w:rPr>
          <w:rFonts w:ascii="Palatino Linotype" w:eastAsia="Palatino Linotype" w:hAnsi="Palatino Linotype" w:cs="Palatino Linotype"/>
          <w:sz w:val="22"/>
          <w:szCs w:val="22"/>
        </w:rPr>
        <w:t xml:space="preserve"> lo anterior, debe tenerse en cuenta que el artículo 47 de la Ley del Trabajo de los Servidores Públicos del Estado y Municipios, refiere en la fracción III que para ingresar al servicio público, se requiere, estar en pleno ejercicio de sus derechos civiles y políticos, en su caso. </w:t>
      </w:r>
    </w:p>
    <w:p w14:paraId="6ED699A8" w14:textId="77777777" w:rsidR="000B1642" w:rsidRPr="004E7A2E" w:rsidRDefault="000B164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9D1C515" w14:textId="77777777" w:rsidR="000B1642" w:rsidRPr="004E7A2E" w:rsidRDefault="009F50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Bajo este orden de ideas, se tiene que en el caso particular, si bien es cierto, la presentación del certificado de no antecedentes penales ya no es una condicionante para ingresar al servicio público, no menos cierto es que como se refirió anteriormente, el artículo 47 fracción III de la Ley del Trabajo de los Servidores Públicos del Estado de México y Municipios, contempla la acreditación del ejercicio de los derechos civiles y políticos, el cual se puede acreditar de manera enunciativa más no limitativa, mediante el informe o certificado de no antecedentes penales, por lo que al no contar con un pronunciamiento por parte del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en el sentido de la existencia de este documento, resulta </w:t>
      </w:r>
      <w:r w:rsidRPr="004E7A2E">
        <w:rPr>
          <w:rFonts w:ascii="Palatino Linotype" w:eastAsia="Palatino Linotype" w:hAnsi="Palatino Linotype" w:cs="Palatino Linotype"/>
          <w:sz w:val="22"/>
          <w:szCs w:val="22"/>
        </w:rPr>
        <w:lastRenderedPageBreak/>
        <w:t xml:space="preserve">procedente ordenar la entrega de los informe o certificado de no antecedentes penales de los servidores públicos adscritos a la unidad de transparencia; sin embargo, para el caso de que estos no obren en los archivos del Sujeto Obligado porque no se posean y/o administren, bastará con que así lo haga del conocimiento de la parte </w:t>
      </w:r>
      <w:r w:rsidRPr="004E7A2E">
        <w:rPr>
          <w:rFonts w:ascii="Palatino Linotype" w:eastAsia="Palatino Linotype" w:hAnsi="Palatino Linotype" w:cs="Palatino Linotype"/>
          <w:b/>
          <w:sz w:val="22"/>
          <w:szCs w:val="22"/>
        </w:rPr>
        <w:t xml:space="preserve">Recurrente </w:t>
      </w:r>
      <w:r w:rsidRPr="004E7A2E">
        <w:rPr>
          <w:rFonts w:ascii="Palatino Linotype" w:eastAsia="Palatino Linotype" w:hAnsi="Palatino Linotype" w:cs="Palatino Linotype"/>
          <w:sz w:val="22"/>
          <w:szCs w:val="22"/>
        </w:rPr>
        <w:t xml:space="preserve">en términos de lo señalado por el segundo párrafo del artículo 19 de la Ley de Transparencia y Acceso a la Información Pública del Estado de México y Municipios. </w:t>
      </w:r>
    </w:p>
    <w:p w14:paraId="3F8284A1" w14:textId="77777777" w:rsidR="000B1642" w:rsidRPr="004E7A2E" w:rsidRDefault="000B1642">
      <w:pPr>
        <w:spacing w:line="360" w:lineRule="auto"/>
        <w:ind w:right="49"/>
        <w:jc w:val="both"/>
        <w:rPr>
          <w:rFonts w:ascii="Palatino Linotype" w:eastAsia="Palatino Linotype" w:hAnsi="Palatino Linotype" w:cs="Palatino Linotype"/>
          <w:sz w:val="22"/>
          <w:szCs w:val="22"/>
        </w:rPr>
      </w:pPr>
    </w:p>
    <w:p w14:paraId="0D26F1B4"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Ahora bien, respecto al </w:t>
      </w:r>
      <w:r w:rsidRPr="004E7A2E">
        <w:rPr>
          <w:rFonts w:ascii="Palatino Linotype" w:eastAsia="Palatino Linotype" w:hAnsi="Palatino Linotype" w:cs="Palatino Linotype"/>
          <w:b/>
          <w:i/>
          <w:sz w:val="22"/>
          <w:szCs w:val="22"/>
        </w:rPr>
        <w:t>comprobante del último grado de estudios</w:t>
      </w:r>
      <w:r w:rsidRPr="004E7A2E">
        <w:rPr>
          <w:rFonts w:ascii="Palatino Linotype" w:eastAsia="Palatino Linotype" w:hAnsi="Palatino Linotype" w:cs="Palatino Linotype"/>
          <w:sz w:val="22"/>
          <w:szCs w:val="22"/>
        </w:rPr>
        <w:t>, conviene recordar que el artículo 47 de la Ley del Trabajo de los Servidores Públicos del Estado y Municipios, refiere que para ingresar al servicio público se requiere, entre otras cosas, cumplir con los requisitos que se establezcan para los diferentes puestos, como es el nivel académico.</w:t>
      </w:r>
    </w:p>
    <w:p w14:paraId="2A13385F" w14:textId="77777777" w:rsidR="000B1642" w:rsidRPr="004E7A2E" w:rsidRDefault="009F5022">
      <w:pPr>
        <w:spacing w:before="240" w:after="240" w:line="360" w:lineRule="auto"/>
        <w:ind w:right="50"/>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En ese contexto, el Título profesional y el certificado de estudios o documento análogo, corresponde al documento expedido por instituciones del Estado o descentralizadas, y por instituciones particulares que tenga reconocimiento de validez oficial de estudios, a favor de la persona que esté en proceso o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Constitucional, Relativo al Ejercicio de las Profesiones en la Ciudad de México.</w:t>
      </w:r>
    </w:p>
    <w:p w14:paraId="3E664DE8" w14:textId="77777777" w:rsidR="000B1642" w:rsidRPr="004E7A2E" w:rsidRDefault="009F5022">
      <w:pPr>
        <w:spacing w:before="240" w:after="240" w:line="360" w:lineRule="auto"/>
        <w:ind w:right="50"/>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Así, los documentos que dan cuenta de la preparación académica sirven como medios de identificación, para que a su titular lo relacionen con el nivel de estudios con que cuenta, tales como el título y cédula profesional, independientemente de que estos sean o no medios de identificación oficiales.</w:t>
      </w:r>
    </w:p>
    <w:p w14:paraId="75C79C5D" w14:textId="77777777" w:rsidR="000B1642" w:rsidRPr="004E7A2E" w:rsidRDefault="009F5022">
      <w:pPr>
        <w:spacing w:before="240" w:after="240" w:line="360" w:lineRule="auto"/>
        <w:ind w:right="50"/>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lastRenderedPageBreak/>
        <w:t xml:space="preserve">En ese orden de ideas, debe tenerse presente que la naturaleza del documento que avale un nivel o grado de estudios, consiste en la de ser documentos de identificación para que a sus titulares, los acrediten como profesionales o expertos en algún área de estudio o conocimiento frente a terceros; por lo que, proporcionar dicha información 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 por lo que, debe obrar en los archivos del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un documento que dé cuenta de lo solicitado.</w:t>
      </w:r>
    </w:p>
    <w:p w14:paraId="05C688E2"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De este modo, y en atención a que 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en respuesta se limitó a referir la entrega del comprobante de estudios en versión pública aprobada mediante acuerdo número CT/SE/260/01/2025, sin que se adjuntaran, se estima dable ordenar que, previa búsqueda exhaustiva y razonable, se haga entrega del soporte documental que acredite el último grado de estudios de los servidores públicos que integran la Unidad de Transparencia, en funciones al veinte de febrero de dos mil veinticinco, con la salvedad que para el caso de que alguno de estos no obre en sus archivos por no ser requisito para ocupar el puesto, bastará con que lo haga del conocimiento del particular en términos del artículo 19, párrafo segundo, de la Ley de Transparencia y Acceso a la Información Pública del Estado de México y Municipios, para tenerse por colmado dicho requerimiento</w:t>
      </w:r>
    </w:p>
    <w:p w14:paraId="2C7E0B90" w14:textId="77777777" w:rsidR="000B1642" w:rsidRPr="004E7A2E" w:rsidRDefault="000B1642">
      <w:pPr>
        <w:spacing w:line="360" w:lineRule="auto"/>
        <w:ind w:right="49"/>
        <w:jc w:val="both"/>
        <w:rPr>
          <w:rFonts w:ascii="Palatino Linotype" w:eastAsia="Palatino Linotype" w:hAnsi="Palatino Linotype" w:cs="Palatino Linotype"/>
          <w:sz w:val="22"/>
          <w:szCs w:val="22"/>
        </w:rPr>
      </w:pPr>
    </w:p>
    <w:p w14:paraId="7A8E5565"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Para el caso de la </w:t>
      </w:r>
      <w:r w:rsidRPr="004E7A2E">
        <w:rPr>
          <w:rFonts w:ascii="Palatino Linotype" w:eastAsia="Palatino Linotype" w:hAnsi="Palatino Linotype" w:cs="Palatino Linotype"/>
          <w:b/>
          <w:i/>
          <w:sz w:val="22"/>
          <w:szCs w:val="22"/>
        </w:rPr>
        <w:t>certificación de competencia laboral</w:t>
      </w:r>
      <w:r w:rsidRPr="004E7A2E">
        <w:rPr>
          <w:rFonts w:ascii="Palatino Linotype" w:eastAsia="Palatino Linotype" w:hAnsi="Palatino Linotype" w:cs="Palatino Linotype"/>
          <w:sz w:val="22"/>
          <w:szCs w:val="22"/>
        </w:rPr>
        <w:t xml:space="preserve">, la Ley de Transparencia y Acceso a la Información Pública del Estado de México y Municipios, establece en su artículo 36 que este Organismo Garante tendrá en el ámbito de sus competencias la de certificar las competencias de los titulares de las unidades de transparencia. </w:t>
      </w:r>
    </w:p>
    <w:p w14:paraId="416F0BD6" w14:textId="77777777" w:rsidR="000B1642" w:rsidRPr="004E7A2E" w:rsidRDefault="000B1642">
      <w:pPr>
        <w:spacing w:line="360" w:lineRule="auto"/>
        <w:ind w:right="51"/>
        <w:jc w:val="both"/>
        <w:rPr>
          <w:rFonts w:ascii="Palatino Linotype" w:eastAsia="Palatino Linotype" w:hAnsi="Palatino Linotype" w:cs="Palatino Linotype"/>
          <w:sz w:val="22"/>
          <w:szCs w:val="22"/>
        </w:rPr>
      </w:pPr>
    </w:p>
    <w:p w14:paraId="5C25EC3A" w14:textId="77777777" w:rsidR="000B1642" w:rsidRPr="004E7A2E" w:rsidRDefault="009F5022">
      <w:pPr>
        <w:spacing w:line="360" w:lineRule="auto"/>
        <w:ind w:right="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lastRenderedPageBreak/>
        <w:t xml:space="preserve">En ese sentido, de conformidad con el artículo 57 de la Ley de la materia, se establece que, el responsable de la Unidad de Transparencia deberá contar con la certificación en materia de acceso a la información y protección de datos </w:t>
      </w:r>
      <w:proofErr w:type="gramStart"/>
      <w:r w:rsidRPr="004E7A2E">
        <w:rPr>
          <w:rFonts w:ascii="Palatino Linotype" w:eastAsia="Palatino Linotype" w:hAnsi="Palatino Linotype" w:cs="Palatino Linotype"/>
          <w:sz w:val="22"/>
          <w:szCs w:val="22"/>
        </w:rPr>
        <w:t>personales,  que</w:t>
      </w:r>
      <w:proofErr w:type="gramEnd"/>
      <w:r w:rsidRPr="004E7A2E">
        <w:rPr>
          <w:rFonts w:ascii="Palatino Linotype" w:eastAsia="Palatino Linotype" w:hAnsi="Palatino Linotype" w:cs="Palatino Linotype"/>
          <w:sz w:val="22"/>
          <w:szCs w:val="22"/>
        </w:rPr>
        <w:t xml:space="preserve"> para tal efecto emita el Instituto, tal como se aprecia a continuación:</w:t>
      </w:r>
    </w:p>
    <w:p w14:paraId="35E464F5" w14:textId="77777777" w:rsidR="000B1642" w:rsidRPr="004E7A2E" w:rsidRDefault="000B1642">
      <w:pPr>
        <w:spacing w:line="360" w:lineRule="auto"/>
        <w:ind w:right="51"/>
        <w:jc w:val="both"/>
        <w:rPr>
          <w:rFonts w:ascii="Palatino Linotype" w:eastAsia="Palatino Linotype" w:hAnsi="Palatino Linotype" w:cs="Palatino Linotype"/>
          <w:sz w:val="22"/>
          <w:szCs w:val="22"/>
        </w:rPr>
      </w:pPr>
    </w:p>
    <w:p w14:paraId="1601D676" w14:textId="77777777" w:rsidR="000B1642" w:rsidRPr="004E7A2E" w:rsidRDefault="009F50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 xml:space="preserve">Artículo 57. </w:t>
      </w:r>
      <w:r w:rsidRPr="004E7A2E">
        <w:rPr>
          <w:rFonts w:ascii="Palatino Linotype" w:eastAsia="Palatino Linotype" w:hAnsi="Palatino Linotype" w:cs="Palatino Linotype"/>
          <w:i/>
          <w:sz w:val="22"/>
          <w:szCs w:val="22"/>
        </w:rPr>
        <w:t>El responsable de la Unidad de Transparencia deberá tener el perfil adecuado para el cumplimiento de las obligaciones que se derivan de la presente Ley. Para ser nombrado titular de la Unidad de Transparencia, deberá cumplir, por lo menos, con los siguientes requisitos:</w:t>
      </w:r>
    </w:p>
    <w:p w14:paraId="5F8D1CF8" w14:textId="77777777" w:rsidR="000B1642" w:rsidRPr="004E7A2E" w:rsidRDefault="009F50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 xml:space="preserve">I. </w:t>
      </w:r>
      <w:r w:rsidRPr="004E7A2E">
        <w:rPr>
          <w:rFonts w:ascii="Palatino Linotype" w:eastAsia="Palatino Linotype" w:hAnsi="Palatino Linotype" w:cs="Palatino Linotype"/>
          <w:i/>
          <w:sz w:val="22"/>
          <w:szCs w:val="22"/>
        </w:rPr>
        <w:t xml:space="preserve">Contar con conocimiento o, </w:t>
      </w:r>
      <w:r w:rsidRPr="004E7A2E">
        <w:rPr>
          <w:rFonts w:ascii="Palatino Linotype" w:eastAsia="Palatino Linotype" w:hAnsi="Palatino Linotype" w:cs="Palatino Linotype"/>
          <w:b/>
          <w:i/>
          <w:sz w:val="22"/>
          <w:szCs w:val="22"/>
          <w:u w:val="single"/>
        </w:rPr>
        <w:t xml:space="preserve">tratándose de </w:t>
      </w:r>
      <w:r w:rsidRPr="004E7A2E">
        <w:rPr>
          <w:rFonts w:ascii="Palatino Linotype" w:eastAsia="Palatino Linotype" w:hAnsi="Palatino Linotype" w:cs="Palatino Linotype"/>
          <w:i/>
          <w:sz w:val="22"/>
          <w:szCs w:val="22"/>
        </w:rPr>
        <w:t xml:space="preserve">las entidades gubernamentales estatales y </w:t>
      </w:r>
      <w:r w:rsidRPr="004E7A2E">
        <w:rPr>
          <w:rFonts w:ascii="Palatino Linotype" w:eastAsia="Palatino Linotype" w:hAnsi="Palatino Linotype" w:cs="Palatino Linotype"/>
          <w:b/>
          <w:i/>
          <w:sz w:val="22"/>
          <w:szCs w:val="22"/>
          <w:u w:val="single"/>
        </w:rPr>
        <w:t>los municipios</w:t>
      </w:r>
      <w:r w:rsidRPr="004E7A2E">
        <w:rPr>
          <w:rFonts w:ascii="Palatino Linotype" w:eastAsia="Palatino Linotype" w:hAnsi="Palatino Linotype" w:cs="Palatino Linotype"/>
          <w:i/>
          <w:sz w:val="22"/>
          <w:szCs w:val="22"/>
        </w:rPr>
        <w:t xml:space="preserve"> </w:t>
      </w:r>
      <w:r w:rsidRPr="004E7A2E">
        <w:rPr>
          <w:rFonts w:ascii="Palatino Linotype" w:eastAsia="Palatino Linotype" w:hAnsi="Palatino Linotype" w:cs="Palatino Linotype"/>
          <w:b/>
          <w:i/>
          <w:sz w:val="22"/>
          <w:szCs w:val="22"/>
          <w:u w:val="single"/>
        </w:rPr>
        <w:t>certificación en materia de acceso a la información, transparencia y protección de datos personales, que para tal efecto emita el Instituto</w:t>
      </w:r>
      <w:r w:rsidRPr="004E7A2E">
        <w:rPr>
          <w:rFonts w:ascii="Palatino Linotype" w:eastAsia="Palatino Linotype" w:hAnsi="Palatino Linotype" w:cs="Palatino Linotype"/>
          <w:i/>
          <w:sz w:val="22"/>
          <w:szCs w:val="22"/>
        </w:rPr>
        <w:t>;</w:t>
      </w:r>
    </w:p>
    <w:p w14:paraId="439D4776" w14:textId="77777777" w:rsidR="000B1642" w:rsidRPr="004E7A2E" w:rsidRDefault="009F50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right="616"/>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 xml:space="preserve">II. </w:t>
      </w:r>
      <w:r w:rsidRPr="004E7A2E">
        <w:rPr>
          <w:rFonts w:ascii="Palatino Linotype" w:eastAsia="Palatino Linotype" w:hAnsi="Palatino Linotype" w:cs="Palatino Linotype"/>
          <w:i/>
          <w:sz w:val="22"/>
          <w:szCs w:val="22"/>
        </w:rPr>
        <w:t>Experiencia en materia de acceso a la información y protección de datos personales; y</w:t>
      </w:r>
    </w:p>
    <w:p w14:paraId="03CB4CE4" w14:textId="77777777" w:rsidR="000B1642" w:rsidRPr="004E7A2E" w:rsidRDefault="009F5022">
      <w:pPr>
        <w:ind w:left="567" w:right="616"/>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 xml:space="preserve">III. </w:t>
      </w:r>
      <w:r w:rsidRPr="004E7A2E">
        <w:rPr>
          <w:rFonts w:ascii="Palatino Linotype" w:eastAsia="Palatino Linotype" w:hAnsi="Palatino Linotype" w:cs="Palatino Linotype"/>
          <w:i/>
          <w:sz w:val="22"/>
          <w:szCs w:val="22"/>
        </w:rPr>
        <w:t>Habilidades de organización y comunicación, así como visión y liderazgo.</w:t>
      </w:r>
    </w:p>
    <w:p w14:paraId="29518432" w14:textId="77777777" w:rsidR="000B1642" w:rsidRPr="004E7A2E" w:rsidRDefault="000B1642">
      <w:pPr>
        <w:ind w:left="567" w:right="616"/>
        <w:rPr>
          <w:rFonts w:ascii="Palatino Linotype" w:eastAsia="Palatino Linotype" w:hAnsi="Palatino Linotype" w:cs="Palatino Linotype"/>
          <w:i/>
          <w:sz w:val="22"/>
          <w:szCs w:val="22"/>
        </w:rPr>
      </w:pPr>
    </w:p>
    <w:p w14:paraId="374942F0" w14:textId="77777777" w:rsidR="000B1642" w:rsidRPr="004E7A2E" w:rsidRDefault="009F5022">
      <w:pPr>
        <w:spacing w:line="360" w:lineRule="auto"/>
        <w:ind w:right="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Es así que, la Ley de Transparencia y Acceso a la Información Pública del Estado de México y Municipios establece </w:t>
      </w:r>
      <w:proofErr w:type="gramStart"/>
      <w:r w:rsidRPr="004E7A2E">
        <w:rPr>
          <w:rFonts w:ascii="Palatino Linotype" w:eastAsia="Palatino Linotype" w:hAnsi="Palatino Linotype" w:cs="Palatino Linotype"/>
          <w:sz w:val="22"/>
          <w:szCs w:val="22"/>
        </w:rPr>
        <w:t>que</w:t>
      </w:r>
      <w:proofErr w:type="gramEnd"/>
      <w:r w:rsidRPr="004E7A2E">
        <w:rPr>
          <w:rFonts w:ascii="Palatino Linotype" w:eastAsia="Palatino Linotype" w:hAnsi="Palatino Linotype" w:cs="Palatino Linotype"/>
          <w:sz w:val="22"/>
          <w:szCs w:val="22"/>
        </w:rPr>
        <w:t xml:space="preserve"> </w:t>
      </w:r>
      <w:r w:rsidRPr="004E7A2E">
        <w:rPr>
          <w:rFonts w:ascii="Palatino Linotype" w:eastAsia="Palatino Linotype" w:hAnsi="Palatino Linotype" w:cs="Palatino Linotype"/>
          <w:b/>
          <w:sz w:val="22"/>
          <w:szCs w:val="22"/>
          <w:u w:val="single"/>
        </w:rPr>
        <w:t>para ser nombrado titular de las unidades de transparencia, se deberá contar con la certificación en materia de acceso a la información, transparencia y protección de datos personales</w:t>
      </w:r>
      <w:r w:rsidRPr="004E7A2E">
        <w:rPr>
          <w:rFonts w:ascii="Palatino Linotype" w:eastAsia="Palatino Linotype" w:hAnsi="Palatino Linotype" w:cs="Palatino Linotype"/>
          <w:sz w:val="22"/>
          <w:szCs w:val="22"/>
        </w:rPr>
        <w:t xml:space="preserve">, que para tal efecto emita el Instituto. </w:t>
      </w:r>
    </w:p>
    <w:p w14:paraId="1099C3B0" w14:textId="77777777" w:rsidR="000B1642" w:rsidRPr="004E7A2E" w:rsidRDefault="000B1642">
      <w:pPr>
        <w:spacing w:line="360" w:lineRule="auto"/>
        <w:ind w:right="51"/>
        <w:jc w:val="both"/>
        <w:rPr>
          <w:rFonts w:ascii="Palatino Linotype" w:eastAsia="Palatino Linotype" w:hAnsi="Palatino Linotype" w:cs="Palatino Linotype"/>
          <w:b/>
          <w:sz w:val="22"/>
          <w:szCs w:val="22"/>
          <w:u w:val="single"/>
        </w:rPr>
      </w:pPr>
    </w:p>
    <w:p w14:paraId="75F4E9E3" w14:textId="77777777" w:rsidR="000B1642" w:rsidRPr="004E7A2E" w:rsidRDefault="009F5022">
      <w:pPr>
        <w:spacing w:line="360" w:lineRule="auto"/>
        <w:ind w:right="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Con base en los argumentos expuestos, toda vez que se comprobó la obligación del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de contar con la información que es del interés de la persona solicitante, es decir, con la certificación de competencia laboral del titular de la unidad de transparencia, se colige que el Derecho humano de acceso de la persona solicitante no ha quedado satisfecho, por lo tanto, es procedente ordenar, la entrega de la certificación de competencia laboral del titular de la unidad de transparencia en funciones al veinte de febrero de dos mil veinticinco, en versión pública de ser procedente conforme al considerando siguiente.</w:t>
      </w:r>
    </w:p>
    <w:p w14:paraId="4FBD9716" w14:textId="77777777" w:rsidR="000B1642" w:rsidRPr="004E7A2E" w:rsidRDefault="000B1642">
      <w:pPr>
        <w:spacing w:line="360" w:lineRule="auto"/>
        <w:ind w:right="51"/>
        <w:jc w:val="both"/>
        <w:rPr>
          <w:rFonts w:ascii="Palatino Linotype" w:eastAsia="Palatino Linotype" w:hAnsi="Palatino Linotype" w:cs="Palatino Linotype"/>
          <w:sz w:val="22"/>
          <w:szCs w:val="22"/>
        </w:rPr>
      </w:pPr>
    </w:p>
    <w:p w14:paraId="3759F6F1"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lastRenderedPageBreak/>
        <w:t xml:space="preserve">En ese sentido y toda vez que los servidores públicos cuentan con un plazo máximo de seis meses contados a partir de la fecha en la que asuman el cargo, para acreditar la certificación de competencia laboral, es oportuno referir que de la consulta realizada en el portal de Información Pública de Oficio Mexiquense, IPOMEX, respecto a la información publicada por 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en cumplimiento a la obligación de transparencia prevista en el artículo 92, fracción VII de la Ley de Transparencia y Acceso a la Información Pública del Estado de México y Municipios, se advirtió que a la fecha de la solicitud, el Titular de la Unidad de Transparencia fue dado de alta el primero de enero de dos mil veinticinco, tal y como se demuestra a continuación:</w:t>
      </w:r>
    </w:p>
    <w:p w14:paraId="11634E20" w14:textId="77777777" w:rsidR="000B1642" w:rsidRPr="004E7A2E" w:rsidRDefault="000B1642">
      <w:pPr>
        <w:spacing w:line="360" w:lineRule="auto"/>
        <w:ind w:right="49"/>
        <w:jc w:val="both"/>
        <w:rPr>
          <w:rFonts w:ascii="Palatino Linotype" w:eastAsia="Palatino Linotype" w:hAnsi="Palatino Linotype" w:cs="Palatino Linotype"/>
          <w:sz w:val="22"/>
          <w:szCs w:val="22"/>
        </w:rPr>
      </w:pPr>
    </w:p>
    <w:p w14:paraId="29B8DB8C"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noProof/>
          <w:sz w:val="22"/>
          <w:szCs w:val="22"/>
          <w:lang w:val="es-MX" w:eastAsia="es-MX"/>
        </w:rPr>
        <w:drawing>
          <wp:inline distT="0" distB="0" distL="0" distR="0" wp14:anchorId="31D67539" wp14:editId="0B5BD8F6">
            <wp:extent cx="5581015" cy="1624965"/>
            <wp:effectExtent l="0" t="0" r="0" b="0"/>
            <wp:docPr id="17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5581015" cy="1624965"/>
                    </a:xfrm>
                    <a:prstGeom prst="rect">
                      <a:avLst/>
                    </a:prstGeom>
                    <a:ln/>
                  </pic:spPr>
                </pic:pic>
              </a:graphicData>
            </a:graphic>
          </wp:inline>
        </w:drawing>
      </w:r>
    </w:p>
    <w:p w14:paraId="33CB4CFF" w14:textId="77777777" w:rsidR="000B1642" w:rsidRPr="004E7A2E" w:rsidRDefault="000B1642">
      <w:pPr>
        <w:spacing w:line="360" w:lineRule="auto"/>
        <w:ind w:right="49"/>
        <w:jc w:val="both"/>
        <w:rPr>
          <w:rFonts w:ascii="Palatino Linotype" w:eastAsia="Palatino Linotype" w:hAnsi="Palatino Linotype" w:cs="Palatino Linotype"/>
          <w:sz w:val="22"/>
          <w:szCs w:val="22"/>
        </w:rPr>
      </w:pPr>
    </w:p>
    <w:p w14:paraId="1955A2E3"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Derivado de lo anterior, este Organismo Garante no tiene elementos para asegurar que dicho servidor público cuente con la certificación, ya que el periodo de seis meses que contempla la normativa para acreditar la competencia laboral, se encuentra transcurriendo; por lo que para el caso de que no cuente con la certificación de competencia laboral, por aun encontrarse en término,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w:t>
      </w:r>
    </w:p>
    <w:p w14:paraId="0556A68D" w14:textId="77777777" w:rsidR="000B1642" w:rsidRPr="004E7A2E" w:rsidRDefault="000B1642">
      <w:pPr>
        <w:spacing w:line="360" w:lineRule="auto"/>
        <w:ind w:right="49"/>
        <w:jc w:val="both"/>
        <w:rPr>
          <w:rFonts w:ascii="Palatino Linotype" w:eastAsia="Palatino Linotype" w:hAnsi="Palatino Linotype" w:cs="Palatino Linotype"/>
          <w:sz w:val="22"/>
          <w:szCs w:val="22"/>
        </w:rPr>
      </w:pPr>
    </w:p>
    <w:p w14:paraId="684018A8" w14:textId="77777777" w:rsidR="000B1642" w:rsidRPr="004E7A2E" w:rsidRDefault="009F5022">
      <w:pPr>
        <w:spacing w:before="240" w:after="240"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lastRenderedPageBreak/>
        <w:t xml:space="preserve">Respecto a los </w:t>
      </w:r>
      <w:r w:rsidRPr="004E7A2E">
        <w:rPr>
          <w:rFonts w:ascii="Palatino Linotype" w:eastAsia="Palatino Linotype" w:hAnsi="Palatino Linotype" w:cs="Palatino Linotype"/>
          <w:b/>
          <w:i/>
          <w:sz w:val="22"/>
          <w:szCs w:val="22"/>
        </w:rPr>
        <w:t xml:space="preserve">Cursos para demostrar que son aptos para el cargo, </w:t>
      </w:r>
      <w:r w:rsidRPr="004E7A2E">
        <w:rPr>
          <w:rFonts w:ascii="Palatino Linotype" w:eastAsia="Palatino Linotype" w:hAnsi="Palatino Linotype" w:cs="Palatino Linotype"/>
          <w:sz w:val="22"/>
          <w:szCs w:val="22"/>
        </w:rPr>
        <w:t xml:space="preserve">este Instituto no advierte fuente normativa que obligue a los servidores públicos y titulares de la Unidad de Transparencia, a contar con cursos específicamente en la materia; sin embargo, 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no realizó alguna manifestación al respecto, por lo que, al no existir pronunciamiento alguno, lo procedente es ordenar que realice una búsqueda exhaustiva y razonable dentro de sus archivos, para que de ser el caso, haga entrega del documento que dé cuenta de los cursos que ostentan, al veinte de febrero de dos mil veinticinco, con la salvedad que para el caso de que los servidores públicos no cuente con la información que se ordena entregar, por no haberse poseído y/o administrado al no ser requisito para ocupar el cargo, deberá hacerlo del conocimiento de la persona Recurrente de manera precisa y clara al momento de dar cumplimiento. </w:t>
      </w:r>
    </w:p>
    <w:p w14:paraId="7DFED007" w14:textId="77777777" w:rsidR="000B1642" w:rsidRPr="004E7A2E" w:rsidRDefault="009F5022">
      <w:pPr>
        <w:spacing w:line="360" w:lineRule="auto"/>
        <w:jc w:val="both"/>
        <w:rPr>
          <w:rFonts w:ascii="Palatino Linotype" w:eastAsia="Palatino Linotype" w:hAnsi="Palatino Linotype" w:cs="Palatino Linotype"/>
        </w:rPr>
      </w:pPr>
      <w:r w:rsidRPr="004E7A2E">
        <w:rPr>
          <w:rFonts w:ascii="Palatino Linotype" w:eastAsia="Palatino Linotype" w:hAnsi="Palatino Linotype" w:cs="Palatino Linotype"/>
        </w:rPr>
        <w:t xml:space="preserve">Finalmente, respecto de las manifestaciones realizadas por el Recurrente en el recurso de revisión en </w:t>
      </w:r>
      <w:r w:rsidRPr="004E7A2E">
        <w:rPr>
          <w:rFonts w:ascii="Palatino Linotype" w:eastAsia="Palatino Linotype" w:hAnsi="Palatino Linotype" w:cs="Palatino Linotype"/>
          <w:i/>
        </w:rPr>
        <w:t>“…</w:t>
      </w:r>
      <w:r w:rsidRPr="004E7A2E">
        <w:rPr>
          <w:rFonts w:ascii="Palatino Linotype" w:eastAsia="Palatino Linotype" w:hAnsi="Palatino Linotype" w:cs="Palatino Linotype"/>
          <w:i/>
          <w:sz w:val="22"/>
          <w:szCs w:val="22"/>
        </w:rPr>
        <w:t xml:space="preserve">que </w:t>
      </w:r>
      <w:proofErr w:type="spellStart"/>
      <w:r w:rsidRPr="004E7A2E">
        <w:rPr>
          <w:rFonts w:ascii="Palatino Linotype" w:eastAsia="Palatino Linotype" w:hAnsi="Palatino Linotype" w:cs="Palatino Linotype"/>
          <w:i/>
          <w:sz w:val="22"/>
          <w:szCs w:val="22"/>
        </w:rPr>
        <w:t>Infoem</w:t>
      </w:r>
      <w:proofErr w:type="spellEnd"/>
      <w:r w:rsidRPr="004E7A2E">
        <w:rPr>
          <w:rFonts w:ascii="Palatino Linotype" w:eastAsia="Palatino Linotype" w:hAnsi="Palatino Linotype" w:cs="Palatino Linotype"/>
          <w:i/>
          <w:sz w:val="22"/>
          <w:szCs w:val="22"/>
        </w:rPr>
        <w:t xml:space="preserve"> </w:t>
      </w:r>
      <w:proofErr w:type="spellStart"/>
      <w:r w:rsidRPr="004E7A2E">
        <w:rPr>
          <w:rFonts w:ascii="Palatino Linotype" w:eastAsia="Palatino Linotype" w:hAnsi="Palatino Linotype" w:cs="Palatino Linotype"/>
          <w:i/>
          <w:sz w:val="22"/>
          <w:szCs w:val="22"/>
        </w:rPr>
        <w:t>sansiones</w:t>
      </w:r>
      <w:proofErr w:type="spellEnd"/>
      <w:r w:rsidRPr="004E7A2E">
        <w:rPr>
          <w:rFonts w:ascii="Palatino Linotype" w:eastAsia="Palatino Linotype" w:hAnsi="Palatino Linotype" w:cs="Palatino Linotype"/>
          <w:i/>
          <w:sz w:val="22"/>
          <w:szCs w:val="22"/>
        </w:rPr>
        <w:t xml:space="preserve"> estas malas </w:t>
      </w:r>
      <w:proofErr w:type="spellStart"/>
      <w:r w:rsidRPr="004E7A2E">
        <w:rPr>
          <w:rFonts w:ascii="Palatino Linotype" w:eastAsia="Palatino Linotype" w:hAnsi="Palatino Linotype" w:cs="Palatino Linotype"/>
          <w:i/>
          <w:sz w:val="22"/>
          <w:szCs w:val="22"/>
        </w:rPr>
        <w:t>practicas</w:t>
      </w:r>
      <w:proofErr w:type="spellEnd"/>
      <w:r w:rsidRPr="004E7A2E">
        <w:rPr>
          <w:rFonts w:ascii="Palatino Linotype" w:eastAsia="Palatino Linotype" w:hAnsi="Palatino Linotype" w:cs="Palatino Linotype"/>
          <w:i/>
          <w:sz w:val="22"/>
          <w:szCs w:val="22"/>
        </w:rPr>
        <w:t xml:space="preserve"> </w:t>
      </w:r>
      <w:proofErr w:type="spellStart"/>
      <w:r w:rsidRPr="004E7A2E">
        <w:rPr>
          <w:rFonts w:ascii="Palatino Linotype" w:eastAsia="Palatino Linotype" w:hAnsi="Palatino Linotype" w:cs="Palatino Linotype"/>
          <w:i/>
          <w:sz w:val="22"/>
          <w:szCs w:val="22"/>
        </w:rPr>
        <w:t>por que</w:t>
      </w:r>
      <w:proofErr w:type="spellEnd"/>
      <w:r w:rsidRPr="004E7A2E">
        <w:rPr>
          <w:rFonts w:ascii="Palatino Linotype" w:eastAsia="Palatino Linotype" w:hAnsi="Palatino Linotype" w:cs="Palatino Linotype"/>
          <w:i/>
          <w:sz w:val="22"/>
          <w:szCs w:val="22"/>
        </w:rPr>
        <w:t xml:space="preserve"> solo ganan tiempo y violenta los derechos de terceros</w:t>
      </w:r>
      <w:r w:rsidRPr="004E7A2E">
        <w:rPr>
          <w:rFonts w:ascii="Palatino Linotype" w:eastAsia="Palatino Linotype" w:hAnsi="Palatino Linotype" w:cs="Palatino Linotype"/>
          <w:i/>
        </w:rPr>
        <w:t>…” (sic</w:t>
      </w:r>
      <w:proofErr w:type="gramStart"/>
      <w:r w:rsidRPr="004E7A2E">
        <w:rPr>
          <w:rFonts w:ascii="Palatino Linotype" w:eastAsia="Palatino Linotype" w:hAnsi="Palatino Linotype" w:cs="Palatino Linotype"/>
          <w:i/>
        </w:rPr>
        <w:t>)</w:t>
      </w:r>
      <w:r w:rsidRPr="004E7A2E">
        <w:rPr>
          <w:rFonts w:ascii="Palatino Linotype" w:eastAsia="Palatino Linotype" w:hAnsi="Palatino Linotype" w:cs="Palatino Linotype"/>
        </w:rPr>
        <w:t>;  derivado</w:t>
      </w:r>
      <w:proofErr w:type="gramEnd"/>
      <w:r w:rsidRPr="004E7A2E">
        <w:rPr>
          <w:rFonts w:ascii="Palatino Linotype" w:eastAsia="Palatino Linotype" w:hAnsi="Palatino Linotype" w:cs="Palatino Linotype"/>
        </w:rPr>
        <w:t xml:space="preserve"> que el Recurso de Revisión no es el medio para sancionar, este Organismo Garante sugiere a la persona solicitante, interponer su queja o denuncia correspondiente.</w:t>
      </w:r>
    </w:p>
    <w:p w14:paraId="337F8512" w14:textId="77777777" w:rsidR="000B1642" w:rsidRPr="004E7A2E" w:rsidRDefault="000B1642">
      <w:pPr>
        <w:spacing w:line="276" w:lineRule="auto"/>
        <w:ind w:left="851" w:right="567"/>
        <w:jc w:val="both"/>
        <w:rPr>
          <w:rFonts w:ascii="Palatino Linotype" w:eastAsia="Palatino Linotype" w:hAnsi="Palatino Linotype" w:cs="Palatino Linotype"/>
          <w:sz w:val="22"/>
          <w:szCs w:val="22"/>
        </w:rPr>
      </w:pPr>
    </w:p>
    <w:p w14:paraId="3E20C600" w14:textId="77777777" w:rsidR="000B1642" w:rsidRPr="004E7A2E" w:rsidRDefault="009F5022">
      <w:pPr>
        <w:spacing w:before="240" w:after="240"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sz w:val="22"/>
          <w:szCs w:val="22"/>
        </w:rPr>
        <w:t xml:space="preserve">Quinto. Versión Pública. </w:t>
      </w:r>
      <w:r w:rsidRPr="004E7A2E">
        <w:rPr>
          <w:rFonts w:ascii="Palatino Linotype" w:eastAsia="Palatino Linotype" w:hAnsi="Palatino Linotype" w:cs="Palatino Linotype"/>
          <w:sz w:val="22"/>
          <w:szCs w:val="22"/>
        </w:rPr>
        <w:t>Como fue debidamente apuntado, el</w:t>
      </w:r>
      <w:r w:rsidRPr="004E7A2E">
        <w:rPr>
          <w:rFonts w:ascii="Palatino Linotype" w:eastAsia="Palatino Linotype" w:hAnsi="Palatino Linotype" w:cs="Palatino Linotype"/>
          <w:b/>
          <w:sz w:val="22"/>
          <w:szCs w:val="22"/>
        </w:rPr>
        <w:t> Sujeto Obligado</w:t>
      </w:r>
      <w:r w:rsidRPr="004E7A2E">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0A58CC43" w14:textId="77777777" w:rsidR="000B1642" w:rsidRPr="004E7A2E" w:rsidRDefault="000B1642">
      <w:pPr>
        <w:spacing w:line="360" w:lineRule="auto"/>
        <w:jc w:val="both"/>
        <w:rPr>
          <w:rFonts w:ascii="Palatino Linotype" w:eastAsia="Palatino Linotype" w:hAnsi="Palatino Linotype" w:cs="Palatino Linotype"/>
          <w:i/>
          <w:sz w:val="22"/>
          <w:szCs w:val="22"/>
        </w:rPr>
      </w:pPr>
    </w:p>
    <w:p w14:paraId="0BA0ED27" w14:textId="77777777" w:rsidR="000B1642" w:rsidRPr="004E7A2E" w:rsidRDefault="009F502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lastRenderedPageBreak/>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37B6973B" w14:textId="77777777" w:rsidR="000B1642" w:rsidRPr="004E7A2E" w:rsidRDefault="000B164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2D496C3" w14:textId="77777777" w:rsidR="000B1642" w:rsidRPr="004E7A2E" w:rsidRDefault="009F502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60A898FF" w14:textId="77777777" w:rsidR="000B1642" w:rsidRPr="004E7A2E" w:rsidRDefault="000B164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F0246AE" w14:textId="77777777" w:rsidR="000B1642" w:rsidRPr="004E7A2E" w:rsidRDefault="009F502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Al respecto, los artículos 3, fracciones IX, XX, XXI, XXXII, XLV; 6, 91, 137, 143 fracción I, de la Ley de Transparencia y Acceso a la Información Pública del Estado de México y Municipios vigente establecen:</w:t>
      </w:r>
    </w:p>
    <w:p w14:paraId="555E4518" w14:textId="77777777" w:rsidR="000B1642" w:rsidRPr="004E7A2E" w:rsidRDefault="000B1642">
      <w:pPr>
        <w:spacing w:line="360" w:lineRule="auto"/>
        <w:rPr>
          <w:rFonts w:ascii="Palatino Linotype" w:eastAsia="Palatino Linotype" w:hAnsi="Palatino Linotype" w:cs="Palatino Linotype"/>
          <w:sz w:val="22"/>
          <w:szCs w:val="22"/>
        </w:rPr>
      </w:pPr>
    </w:p>
    <w:p w14:paraId="1C8D994A" w14:textId="77777777" w:rsidR="000B1642" w:rsidRPr="004E7A2E" w:rsidRDefault="009F5022">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 </w:t>
      </w:r>
      <w:r w:rsidRPr="004E7A2E">
        <w:rPr>
          <w:rFonts w:ascii="Palatino Linotype" w:eastAsia="Palatino Linotype" w:hAnsi="Palatino Linotype" w:cs="Palatino Linotype"/>
          <w:b/>
          <w:i/>
          <w:sz w:val="22"/>
          <w:szCs w:val="22"/>
        </w:rPr>
        <w:t>Artículo 3.</w:t>
      </w:r>
      <w:r w:rsidRPr="004E7A2E">
        <w:rPr>
          <w:rFonts w:ascii="Palatino Linotype" w:eastAsia="Palatino Linotype" w:hAnsi="Palatino Linotype" w:cs="Palatino Linotype"/>
          <w:i/>
          <w:sz w:val="22"/>
          <w:szCs w:val="22"/>
        </w:rPr>
        <w:t xml:space="preserve"> Para los efectos de la presente Ley se entenderá por:</w:t>
      </w:r>
    </w:p>
    <w:p w14:paraId="7F3E711D" w14:textId="77777777" w:rsidR="000B1642" w:rsidRPr="004E7A2E" w:rsidRDefault="009F5022">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w:t>
      </w:r>
    </w:p>
    <w:p w14:paraId="19865F72" w14:textId="77777777" w:rsidR="000B1642" w:rsidRPr="004E7A2E" w:rsidRDefault="009F5022">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i/>
          <w:sz w:val="22"/>
          <w:szCs w:val="22"/>
        </w:rPr>
        <w:t>IX. Datos personales</w:t>
      </w:r>
      <w:r w:rsidRPr="004E7A2E">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53086045" w14:textId="77777777" w:rsidR="000B1642" w:rsidRPr="004E7A2E" w:rsidRDefault="009F5022">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w:t>
      </w:r>
    </w:p>
    <w:p w14:paraId="03621854" w14:textId="77777777" w:rsidR="000B1642" w:rsidRPr="004E7A2E" w:rsidRDefault="009F5022">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i/>
          <w:sz w:val="22"/>
          <w:szCs w:val="22"/>
        </w:rPr>
        <w:t>XX. Información clasificada</w:t>
      </w:r>
      <w:r w:rsidRPr="004E7A2E">
        <w:rPr>
          <w:rFonts w:ascii="Palatino Linotype" w:eastAsia="Palatino Linotype" w:hAnsi="Palatino Linotype" w:cs="Palatino Linotype"/>
          <w:i/>
          <w:sz w:val="22"/>
          <w:szCs w:val="22"/>
        </w:rPr>
        <w:t>: Aquella considerada por la presente Ley como reservada o confidencial;</w:t>
      </w:r>
    </w:p>
    <w:p w14:paraId="654BF926" w14:textId="77777777" w:rsidR="000B1642" w:rsidRPr="004E7A2E" w:rsidRDefault="009F5022">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i/>
          <w:sz w:val="22"/>
          <w:szCs w:val="22"/>
        </w:rPr>
        <w:t>XXI. Información confidencial</w:t>
      </w:r>
      <w:r w:rsidRPr="004E7A2E">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EA20E35" w14:textId="77777777" w:rsidR="000B1642" w:rsidRPr="004E7A2E" w:rsidRDefault="009F5022">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w:t>
      </w:r>
    </w:p>
    <w:p w14:paraId="1A07D435" w14:textId="77777777" w:rsidR="000B1642" w:rsidRPr="004E7A2E" w:rsidRDefault="009F5022">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i/>
          <w:sz w:val="22"/>
          <w:szCs w:val="22"/>
        </w:rPr>
        <w:t>XXXII. Protección de Datos Personales</w:t>
      </w:r>
      <w:r w:rsidRPr="004E7A2E">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3964BDA3" w14:textId="77777777" w:rsidR="000B1642" w:rsidRPr="004E7A2E" w:rsidRDefault="009F5022">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lastRenderedPageBreak/>
        <w:t>(…)</w:t>
      </w:r>
    </w:p>
    <w:p w14:paraId="68CBDB85" w14:textId="77777777" w:rsidR="000B1642" w:rsidRPr="004E7A2E" w:rsidRDefault="009F5022">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i/>
          <w:sz w:val="22"/>
          <w:szCs w:val="22"/>
        </w:rPr>
        <w:t>XLV. Versión pública</w:t>
      </w:r>
      <w:r w:rsidRPr="004E7A2E">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6FB17E31" w14:textId="77777777" w:rsidR="000B1642" w:rsidRPr="004E7A2E" w:rsidRDefault="009F5022">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i/>
          <w:sz w:val="22"/>
          <w:szCs w:val="22"/>
        </w:rPr>
        <w:t> Artículo 6</w:t>
      </w:r>
      <w:r w:rsidRPr="004E7A2E">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74307D4" w14:textId="77777777" w:rsidR="000B1642" w:rsidRPr="004E7A2E" w:rsidRDefault="009F5022">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 (…)</w:t>
      </w:r>
    </w:p>
    <w:p w14:paraId="31900464" w14:textId="77777777" w:rsidR="000B1642" w:rsidRPr="004E7A2E" w:rsidRDefault="009F5022">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i/>
          <w:sz w:val="22"/>
          <w:szCs w:val="22"/>
        </w:rPr>
        <w:t>Artículo 91.</w:t>
      </w:r>
      <w:r w:rsidRPr="004E7A2E">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7D0548E4" w14:textId="77777777" w:rsidR="000B1642" w:rsidRPr="004E7A2E" w:rsidRDefault="009F5022">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w:t>
      </w:r>
    </w:p>
    <w:p w14:paraId="4ECA477E" w14:textId="77777777" w:rsidR="000B1642" w:rsidRPr="004E7A2E" w:rsidRDefault="009F5022">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i/>
          <w:sz w:val="22"/>
          <w:szCs w:val="22"/>
        </w:rPr>
        <w:t>Artículo 137.</w:t>
      </w:r>
      <w:r w:rsidRPr="004E7A2E">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1257F92" w14:textId="77777777" w:rsidR="000B1642" w:rsidRPr="004E7A2E" w:rsidRDefault="009F5022">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i/>
          <w:sz w:val="22"/>
          <w:szCs w:val="22"/>
        </w:rPr>
        <w:t> Artículo 143.</w:t>
      </w:r>
      <w:r w:rsidRPr="004E7A2E">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569BD2DD" w14:textId="77777777" w:rsidR="000B1642" w:rsidRPr="004E7A2E" w:rsidRDefault="009F5022">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i/>
          <w:sz w:val="22"/>
          <w:szCs w:val="22"/>
        </w:rPr>
        <w:t>I.</w:t>
      </w:r>
      <w:r w:rsidRPr="004E7A2E">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32F5456C" w14:textId="77777777" w:rsidR="000B1642" w:rsidRPr="004E7A2E" w:rsidRDefault="009F5022">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w:t>
      </w:r>
    </w:p>
    <w:p w14:paraId="0675119C" w14:textId="77777777" w:rsidR="000B1642" w:rsidRPr="004E7A2E" w:rsidRDefault="000B1642">
      <w:pPr>
        <w:spacing w:line="360" w:lineRule="auto"/>
        <w:rPr>
          <w:rFonts w:ascii="Palatino Linotype" w:eastAsia="Palatino Linotype" w:hAnsi="Palatino Linotype" w:cs="Palatino Linotype"/>
          <w:sz w:val="22"/>
          <w:szCs w:val="22"/>
        </w:rPr>
      </w:pPr>
    </w:p>
    <w:p w14:paraId="54314B30" w14:textId="77777777" w:rsidR="000B1642" w:rsidRPr="004E7A2E" w:rsidRDefault="009F5022">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4E7A2E">
        <w:rPr>
          <w:rFonts w:ascii="Palatino Linotype" w:eastAsia="Palatino Linotype" w:hAnsi="Palatino Linotype" w:cs="Palatino Linotype"/>
          <w:b/>
          <w:sz w:val="22"/>
          <w:szCs w:val="22"/>
        </w:rPr>
        <w:t xml:space="preserve">Sujeto Obligado </w:t>
      </w:r>
      <w:r w:rsidRPr="004E7A2E">
        <w:rPr>
          <w:rFonts w:ascii="Palatino Linotype" w:eastAsia="Palatino Linotype" w:hAnsi="Palatino Linotype" w:cs="Palatino Linotype"/>
          <w:sz w:val="22"/>
          <w:szCs w:val="22"/>
        </w:rPr>
        <w:t>deberá proceder a testar los datos personales que se encuentre contenidos en los documentos a entregar para satisfacer el derecho de acceso a la información pública de la parte</w:t>
      </w:r>
      <w:r w:rsidRPr="004E7A2E">
        <w:rPr>
          <w:rFonts w:ascii="Palatino Linotype" w:eastAsia="Palatino Linotype" w:hAnsi="Palatino Linotype" w:cs="Palatino Linotype"/>
          <w:b/>
          <w:sz w:val="22"/>
          <w:szCs w:val="22"/>
        </w:rPr>
        <w:t xml:space="preserve"> Recurrente,</w:t>
      </w:r>
      <w:r w:rsidRPr="004E7A2E">
        <w:rPr>
          <w:rFonts w:ascii="Palatino Linotype" w:eastAsia="Palatino Linotype" w:hAnsi="Palatino Linotype" w:cs="Palatino Linotype"/>
          <w:sz w:val="22"/>
          <w:szCs w:val="22"/>
        </w:rPr>
        <w:t xml:space="preserve"> esto es, los datos concernientes a una persona identificada o identificable, o </w:t>
      </w:r>
      <w:r w:rsidRPr="004E7A2E">
        <w:rPr>
          <w:rFonts w:ascii="Palatino Linotype" w:eastAsia="Palatino Linotype" w:hAnsi="Palatino Linotype" w:cs="Palatino Linotype"/>
          <w:sz w:val="22"/>
          <w:szCs w:val="22"/>
        </w:rPr>
        <w:lastRenderedPageBreak/>
        <w:t>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021E4F27" w14:textId="77777777" w:rsidR="000B1642" w:rsidRPr="004E7A2E" w:rsidRDefault="000B1642">
      <w:pPr>
        <w:spacing w:line="360" w:lineRule="auto"/>
        <w:rPr>
          <w:rFonts w:ascii="Palatino Linotype" w:eastAsia="Palatino Linotype" w:hAnsi="Palatino Linotype" w:cs="Palatino Linotype"/>
          <w:sz w:val="22"/>
          <w:szCs w:val="22"/>
        </w:rPr>
      </w:pPr>
    </w:p>
    <w:p w14:paraId="5FCF2F0F" w14:textId="77777777" w:rsidR="000B1642" w:rsidRPr="004E7A2E" w:rsidRDefault="009F5022">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A4D2C84" w14:textId="77777777" w:rsidR="000B1642" w:rsidRPr="004E7A2E" w:rsidRDefault="000B1642">
      <w:pPr>
        <w:spacing w:line="360" w:lineRule="auto"/>
        <w:rPr>
          <w:rFonts w:ascii="Palatino Linotype" w:eastAsia="Palatino Linotype" w:hAnsi="Palatino Linotype" w:cs="Palatino Linotype"/>
          <w:sz w:val="22"/>
          <w:szCs w:val="22"/>
        </w:rPr>
      </w:pPr>
    </w:p>
    <w:p w14:paraId="6DB19B2B" w14:textId="77777777" w:rsidR="000B1642" w:rsidRPr="004E7A2E" w:rsidRDefault="009F50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En el caso específico, dada la naturaleza de la información que se ordena, si bien tiene el carácter información pública en razón de que se trata de documentos que se encuentran en posesión del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4E7A2E">
        <w:rPr>
          <w:rFonts w:ascii="Palatino Linotype" w:eastAsia="Palatino Linotype" w:hAnsi="Palatino Linotype" w:cs="Palatino Linotype"/>
          <w:b/>
          <w:sz w:val="22"/>
          <w:szCs w:val="22"/>
        </w:rPr>
        <w:t>Registro Federal de Contribuyentes</w:t>
      </w:r>
      <w:r w:rsidRPr="004E7A2E">
        <w:rPr>
          <w:rFonts w:ascii="Palatino Linotype" w:eastAsia="Palatino Linotype" w:hAnsi="Palatino Linotype" w:cs="Palatino Linotype"/>
          <w:sz w:val="22"/>
          <w:szCs w:val="22"/>
        </w:rPr>
        <w:t xml:space="preserve"> (RFC), la </w:t>
      </w:r>
      <w:r w:rsidRPr="004E7A2E">
        <w:rPr>
          <w:rFonts w:ascii="Palatino Linotype" w:eastAsia="Palatino Linotype" w:hAnsi="Palatino Linotype" w:cs="Palatino Linotype"/>
          <w:b/>
          <w:sz w:val="22"/>
          <w:szCs w:val="22"/>
        </w:rPr>
        <w:t>Clave Única de Registro de Población</w:t>
      </w:r>
      <w:r w:rsidRPr="004E7A2E">
        <w:rPr>
          <w:rFonts w:ascii="Palatino Linotype" w:eastAsia="Palatino Linotype" w:hAnsi="Palatino Linotype" w:cs="Palatino Linotype"/>
          <w:sz w:val="22"/>
          <w:szCs w:val="22"/>
        </w:rPr>
        <w:t xml:space="preserve"> (CURP), la </w:t>
      </w:r>
      <w:r w:rsidRPr="004E7A2E">
        <w:rPr>
          <w:rFonts w:ascii="Palatino Linotype" w:eastAsia="Palatino Linotype" w:hAnsi="Palatino Linotype" w:cs="Palatino Linotype"/>
          <w:b/>
          <w:sz w:val="22"/>
          <w:szCs w:val="22"/>
        </w:rPr>
        <w:t>Clave de cualquier tipo de seguridad social</w:t>
      </w:r>
      <w:r w:rsidRPr="004E7A2E">
        <w:rPr>
          <w:rFonts w:ascii="Palatino Linotype" w:eastAsia="Palatino Linotype" w:hAnsi="Palatino Linotype" w:cs="Palatino Linotype"/>
          <w:sz w:val="22"/>
          <w:szCs w:val="22"/>
        </w:rPr>
        <w:t xml:space="preserve"> (ISSEMYM, u otros), el</w:t>
      </w:r>
      <w:r w:rsidRPr="004E7A2E">
        <w:rPr>
          <w:rFonts w:ascii="Palatino Linotype" w:eastAsia="Palatino Linotype" w:hAnsi="Palatino Linotype" w:cs="Palatino Linotype"/>
          <w:b/>
          <w:sz w:val="22"/>
          <w:szCs w:val="22"/>
        </w:rPr>
        <w:t xml:space="preserve"> número de empleado, </w:t>
      </w:r>
      <w:r w:rsidRPr="004E7A2E">
        <w:rPr>
          <w:rFonts w:ascii="Palatino Linotype" w:eastAsia="Palatino Linotype" w:hAnsi="Palatino Linotype" w:cs="Palatino Linotype"/>
          <w:sz w:val="22"/>
          <w:szCs w:val="22"/>
        </w:rPr>
        <w:t>los</w:t>
      </w:r>
      <w:r w:rsidRPr="004E7A2E">
        <w:rPr>
          <w:rFonts w:ascii="Palatino Linotype" w:eastAsia="Palatino Linotype" w:hAnsi="Palatino Linotype" w:cs="Palatino Linotype"/>
          <w:b/>
          <w:sz w:val="22"/>
          <w:szCs w:val="22"/>
        </w:rPr>
        <w:t xml:space="preserve"> códigos bidimensionales o códigos QR,</w:t>
      </w:r>
      <w:r w:rsidRPr="004E7A2E">
        <w:rPr>
          <w:rFonts w:ascii="Palatino Linotype" w:eastAsia="Palatino Linotype" w:hAnsi="Palatino Linotype" w:cs="Palatino Linotype"/>
          <w:sz w:val="22"/>
          <w:szCs w:val="22"/>
        </w:rPr>
        <w:t xml:space="preserve"> y cualquier información de carácter fiscal, bajo las siguientes consideraciones. </w:t>
      </w:r>
    </w:p>
    <w:p w14:paraId="519AAAF2" w14:textId="77777777" w:rsidR="000B1642" w:rsidRPr="004E7A2E" w:rsidRDefault="000B1642">
      <w:pPr>
        <w:spacing w:line="360" w:lineRule="auto"/>
        <w:rPr>
          <w:rFonts w:ascii="Palatino Linotype" w:eastAsia="Palatino Linotype" w:hAnsi="Palatino Linotype" w:cs="Palatino Linotype"/>
          <w:sz w:val="22"/>
          <w:szCs w:val="22"/>
        </w:rPr>
      </w:pPr>
    </w:p>
    <w:p w14:paraId="359CD62A" w14:textId="77777777" w:rsidR="000B1642" w:rsidRPr="004E7A2E" w:rsidRDefault="009F5022">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Datos que deberá clasificar como confidenciales por tratarse precisamente de información privada, puesto que los datos personales son irrenunciables, intransferibles e indelegables </w:t>
      </w:r>
      <w:r w:rsidRPr="004E7A2E">
        <w:rPr>
          <w:rFonts w:ascii="Palatino Linotype" w:eastAsia="Palatino Linotype" w:hAnsi="Palatino Linotype" w:cs="Palatino Linotype"/>
          <w:sz w:val="22"/>
          <w:szCs w:val="22"/>
        </w:rPr>
        <w:lastRenderedPageBreak/>
        <w:t>y los Sujetos Obligados no deberán hacer entrega de los mismos a personas ajenas a su titular.</w:t>
      </w:r>
    </w:p>
    <w:p w14:paraId="5CD0D156" w14:textId="77777777" w:rsidR="000B1642" w:rsidRPr="004E7A2E" w:rsidRDefault="000B1642">
      <w:pPr>
        <w:spacing w:line="360" w:lineRule="auto"/>
        <w:rPr>
          <w:rFonts w:ascii="Palatino Linotype" w:eastAsia="Palatino Linotype" w:hAnsi="Palatino Linotype" w:cs="Palatino Linotype"/>
          <w:sz w:val="22"/>
          <w:szCs w:val="22"/>
        </w:rPr>
      </w:pPr>
    </w:p>
    <w:p w14:paraId="51FBC667" w14:textId="77777777" w:rsidR="000B1642" w:rsidRPr="004E7A2E" w:rsidRDefault="009F50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4E7A2E">
        <w:rPr>
          <w:rFonts w:ascii="Palatino Linotype" w:eastAsia="Palatino Linotype" w:hAnsi="Palatino Linotype" w:cs="Palatino Linotype"/>
          <w:sz w:val="22"/>
          <w:szCs w:val="22"/>
        </w:rPr>
        <w:t>homoclave</w:t>
      </w:r>
      <w:proofErr w:type="spellEnd"/>
      <w:r w:rsidRPr="004E7A2E">
        <w:rPr>
          <w:rFonts w:ascii="Palatino Linotype" w:eastAsia="Palatino Linotype" w:hAnsi="Palatino Linotype" w:cs="Palatino Linotype"/>
          <w:sz w:val="22"/>
          <w:szCs w:val="22"/>
        </w:rPr>
        <w:t>, por lo que para su obtención es necesario acreditar ante la autoridad fiscal previamente la identidad de la persona, su fecha de nacimiento, entre otros aspectos.</w:t>
      </w:r>
    </w:p>
    <w:p w14:paraId="42F7486A" w14:textId="77777777" w:rsidR="000B1642" w:rsidRPr="004E7A2E" w:rsidRDefault="000B164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3A1F309" w14:textId="77777777" w:rsidR="000B1642" w:rsidRPr="004E7A2E" w:rsidRDefault="009F50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6F562A9" w14:textId="77777777" w:rsidR="000B1642" w:rsidRPr="004E7A2E" w:rsidRDefault="000B1642">
      <w:pPr>
        <w:spacing w:line="360" w:lineRule="auto"/>
        <w:rPr>
          <w:rFonts w:ascii="Palatino Linotype" w:eastAsia="Palatino Linotype" w:hAnsi="Palatino Linotype" w:cs="Palatino Linotype"/>
          <w:sz w:val="22"/>
          <w:szCs w:val="22"/>
        </w:rPr>
      </w:pPr>
    </w:p>
    <w:p w14:paraId="5ED69E52" w14:textId="77777777" w:rsidR="000B1642" w:rsidRPr="004E7A2E" w:rsidRDefault="009F50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Lo anterior es compartido por el Instituto Nacional de Transparencia, Acceso a la Información y Protección de Datos Personales, INAI, a través del Criterio 19/17, el cual es del tenor literal siguiente:</w:t>
      </w:r>
    </w:p>
    <w:p w14:paraId="6A84A114" w14:textId="77777777" w:rsidR="000B1642" w:rsidRPr="004E7A2E" w:rsidRDefault="000B1642">
      <w:pPr>
        <w:spacing w:line="360" w:lineRule="auto"/>
        <w:rPr>
          <w:rFonts w:ascii="Palatino Linotype" w:eastAsia="Palatino Linotype" w:hAnsi="Palatino Linotype" w:cs="Palatino Linotype"/>
          <w:sz w:val="22"/>
          <w:szCs w:val="22"/>
        </w:rPr>
      </w:pPr>
    </w:p>
    <w:p w14:paraId="7D246EAD" w14:textId="77777777" w:rsidR="000B1642" w:rsidRPr="004E7A2E" w:rsidRDefault="009F5022">
      <w:pPr>
        <w:pBdr>
          <w:top w:val="nil"/>
          <w:left w:val="nil"/>
          <w:bottom w:val="nil"/>
          <w:right w:val="nil"/>
          <w:between w:val="nil"/>
        </w:pBdr>
        <w:ind w:left="864"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w:t>
      </w:r>
      <w:r w:rsidRPr="004E7A2E">
        <w:rPr>
          <w:rFonts w:ascii="Palatino Linotype" w:eastAsia="Palatino Linotype" w:hAnsi="Palatino Linotype" w:cs="Palatino Linotype"/>
          <w:b/>
          <w:i/>
          <w:sz w:val="22"/>
          <w:szCs w:val="22"/>
        </w:rPr>
        <w:t>Registro Federal de Contribuyentes (RFC) de personas físicas</w:t>
      </w:r>
      <w:r w:rsidRPr="004E7A2E">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79B6F10F" w14:textId="77777777" w:rsidR="000B1642" w:rsidRPr="004E7A2E" w:rsidRDefault="000B1642">
      <w:pPr>
        <w:rPr>
          <w:rFonts w:ascii="Palatino Linotype" w:eastAsia="Palatino Linotype" w:hAnsi="Palatino Linotype" w:cs="Palatino Linotype"/>
          <w:sz w:val="22"/>
          <w:szCs w:val="22"/>
        </w:rPr>
      </w:pPr>
    </w:p>
    <w:p w14:paraId="7A4AC35B" w14:textId="77777777" w:rsidR="000B1642" w:rsidRPr="004E7A2E" w:rsidRDefault="009F50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Así, el Registro Federal de Contribuyentes, RFC, se vincula al nombre de su titular y permite identificar la edad de la persona, su fecha de nacimiento, así como su </w:t>
      </w:r>
      <w:proofErr w:type="spellStart"/>
      <w:r w:rsidRPr="004E7A2E">
        <w:rPr>
          <w:rFonts w:ascii="Palatino Linotype" w:eastAsia="Palatino Linotype" w:hAnsi="Palatino Linotype" w:cs="Palatino Linotype"/>
          <w:sz w:val="22"/>
          <w:szCs w:val="22"/>
        </w:rPr>
        <w:t>homoclave</w:t>
      </w:r>
      <w:proofErr w:type="spellEnd"/>
      <w:r w:rsidRPr="004E7A2E">
        <w:rPr>
          <w:rFonts w:ascii="Palatino Linotype" w:eastAsia="Palatino Linotype" w:hAnsi="Palatino Linotype" w:cs="Palatino Linotype"/>
          <w:sz w:val="22"/>
          <w:szCs w:val="22"/>
        </w:rPr>
        <w:t xml:space="preser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w:t>
      </w:r>
      <w:r w:rsidRPr="004E7A2E">
        <w:rPr>
          <w:rFonts w:ascii="Palatino Linotype" w:eastAsia="Palatino Linotype" w:hAnsi="Palatino Linotype" w:cs="Palatino Linotype"/>
          <w:sz w:val="22"/>
          <w:szCs w:val="22"/>
        </w:rPr>
        <w:lastRenderedPageBreak/>
        <w:t>fracciones XI y XII de la Ley de Protección de Datos Personales en Posesión de los Sujetos Obligados del Estado de México y Municipios.</w:t>
      </w:r>
    </w:p>
    <w:p w14:paraId="21358474" w14:textId="77777777" w:rsidR="000B1642" w:rsidRPr="004E7A2E" w:rsidRDefault="000B164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D271C80" w14:textId="77777777" w:rsidR="000B1642" w:rsidRPr="004E7A2E" w:rsidRDefault="009F50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007D237C" w14:textId="77777777" w:rsidR="000B1642" w:rsidRPr="004E7A2E" w:rsidRDefault="000B1642">
      <w:pPr>
        <w:spacing w:line="360" w:lineRule="auto"/>
        <w:rPr>
          <w:rFonts w:ascii="Palatino Linotype" w:eastAsia="Palatino Linotype" w:hAnsi="Palatino Linotype" w:cs="Palatino Linotype"/>
          <w:sz w:val="22"/>
          <w:szCs w:val="22"/>
        </w:rPr>
      </w:pPr>
    </w:p>
    <w:p w14:paraId="5BC6FC60" w14:textId="77777777" w:rsidR="000B1642" w:rsidRPr="004E7A2E" w:rsidRDefault="009F50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Argumento que es compartido por el Instituto Nacional de Transparencia, Acceso a la Información y Protección de Datos Personales, INAI, conforme al criterio 18/17, el cual refiere:</w:t>
      </w:r>
    </w:p>
    <w:p w14:paraId="7BCCCEC8" w14:textId="77777777" w:rsidR="000B1642" w:rsidRPr="004E7A2E" w:rsidRDefault="009F5022">
      <w:pPr>
        <w:pBdr>
          <w:top w:val="nil"/>
          <w:left w:val="nil"/>
          <w:bottom w:val="nil"/>
          <w:right w:val="nil"/>
          <w:between w:val="nil"/>
        </w:pBdr>
        <w:spacing w:line="360" w:lineRule="auto"/>
        <w:ind w:left="864" w:right="864"/>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 </w:t>
      </w:r>
    </w:p>
    <w:p w14:paraId="7B25C723" w14:textId="77777777" w:rsidR="000B1642" w:rsidRPr="004E7A2E" w:rsidRDefault="009F5022">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3558CE9" w14:textId="77777777" w:rsidR="000B1642" w:rsidRPr="004E7A2E" w:rsidRDefault="000B1642">
      <w:pPr>
        <w:spacing w:line="360" w:lineRule="auto"/>
        <w:rPr>
          <w:rFonts w:ascii="Palatino Linotype" w:eastAsia="Palatino Linotype" w:hAnsi="Palatino Linotype" w:cs="Palatino Linotype"/>
          <w:sz w:val="22"/>
          <w:szCs w:val="22"/>
        </w:rPr>
      </w:pPr>
    </w:p>
    <w:p w14:paraId="340BC8F2" w14:textId="77777777" w:rsidR="000B1642" w:rsidRPr="004E7A2E" w:rsidRDefault="009F50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4328C0F5" w14:textId="77777777" w:rsidR="000B1642" w:rsidRPr="004E7A2E" w:rsidRDefault="000B164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D7F5711" w14:textId="77777777" w:rsidR="000B1642" w:rsidRPr="004E7A2E" w:rsidRDefault="009F50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Con relación al </w:t>
      </w:r>
      <w:r w:rsidRPr="004E7A2E">
        <w:rPr>
          <w:rFonts w:ascii="Palatino Linotype" w:eastAsia="Palatino Linotype" w:hAnsi="Palatino Linotype" w:cs="Palatino Linotype"/>
          <w:b/>
          <w:sz w:val="22"/>
          <w:szCs w:val="22"/>
        </w:rPr>
        <w:t>número de empleado</w:t>
      </w:r>
      <w:r w:rsidRPr="004E7A2E">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w:t>
      </w:r>
      <w:r w:rsidRPr="004E7A2E">
        <w:rPr>
          <w:rFonts w:ascii="Palatino Linotype" w:eastAsia="Palatino Linotype" w:hAnsi="Palatino Linotype" w:cs="Palatino Linotype"/>
          <w:sz w:val="22"/>
          <w:szCs w:val="22"/>
        </w:rPr>
        <w:lastRenderedPageBreak/>
        <w:t>dependencia o entidad a la que pertenecen, a fin de presentar consultas relacionadas con su situación laboral particular, siendo un número único, permanente e intransferible que se asigna para llevar un registro de los trabajadores.</w:t>
      </w:r>
    </w:p>
    <w:p w14:paraId="693BD568" w14:textId="77777777" w:rsidR="000B1642" w:rsidRPr="004E7A2E" w:rsidRDefault="000B164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776D365" w14:textId="77777777" w:rsidR="000B1642" w:rsidRPr="004E7A2E" w:rsidRDefault="009F50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p>
    <w:p w14:paraId="649890A6" w14:textId="77777777" w:rsidR="000B1642" w:rsidRPr="004E7A2E" w:rsidRDefault="000B1642">
      <w:pPr>
        <w:spacing w:line="360" w:lineRule="auto"/>
        <w:rPr>
          <w:rFonts w:ascii="Palatino Linotype" w:eastAsia="Palatino Linotype" w:hAnsi="Palatino Linotype" w:cs="Palatino Linotype"/>
          <w:sz w:val="22"/>
          <w:szCs w:val="22"/>
        </w:rPr>
      </w:pPr>
    </w:p>
    <w:p w14:paraId="4BF20AAB" w14:textId="77777777" w:rsidR="000B1642" w:rsidRPr="004E7A2E" w:rsidRDefault="009F5022">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i/>
          <w:sz w:val="22"/>
          <w:szCs w:val="22"/>
        </w:rPr>
        <w:t xml:space="preserve">Número de empleado. </w:t>
      </w:r>
      <w:r w:rsidRPr="004E7A2E">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1F901E36" w14:textId="77777777" w:rsidR="000B1642" w:rsidRPr="004E7A2E" w:rsidRDefault="000B1642">
      <w:pPr>
        <w:spacing w:line="360" w:lineRule="auto"/>
        <w:rPr>
          <w:rFonts w:ascii="Palatino Linotype" w:eastAsia="Palatino Linotype" w:hAnsi="Palatino Linotype" w:cs="Palatino Linotype"/>
          <w:sz w:val="22"/>
          <w:szCs w:val="22"/>
        </w:rPr>
      </w:pPr>
    </w:p>
    <w:p w14:paraId="76E3BA28" w14:textId="77777777" w:rsidR="000B1642" w:rsidRPr="004E7A2E" w:rsidRDefault="009F50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w:t>
      </w:r>
      <w:r w:rsidRPr="004E7A2E">
        <w:rPr>
          <w:rFonts w:ascii="Palatino Linotype" w:eastAsia="Palatino Linotype" w:hAnsi="Palatino Linotype" w:cs="Palatino Linotype"/>
          <w:b/>
          <w:sz w:val="22"/>
          <w:szCs w:val="22"/>
        </w:rPr>
        <w:t xml:space="preserve"> Sujeto Obligado</w:t>
      </w:r>
      <w:r w:rsidRPr="004E7A2E">
        <w:rPr>
          <w:rFonts w:ascii="Palatino Linotype" w:eastAsia="Palatino Linotype" w:hAnsi="Palatino Linotype" w:cs="Palatino Linotype"/>
          <w:sz w:val="22"/>
          <w:szCs w:val="22"/>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196987BF" w14:textId="77777777" w:rsidR="000B1642" w:rsidRPr="004E7A2E" w:rsidRDefault="000B164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0895D91" w14:textId="77777777" w:rsidR="000B1642" w:rsidRPr="004E7A2E" w:rsidRDefault="009F5022">
      <w:pPr>
        <w:numPr>
          <w:ilvl w:val="0"/>
          <w:numId w:val="6"/>
        </w:numPr>
        <w:spacing w:after="160" w:line="360" w:lineRule="auto"/>
        <w:jc w:val="both"/>
        <w:rPr>
          <w:rFonts w:ascii="Palatino Linotype" w:eastAsia="Palatino Linotype" w:hAnsi="Palatino Linotype" w:cs="Palatino Linotype"/>
          <w:b/>
          <w:sz w:val="22"/>
          <w:szCs w:val="22"/>
        </w:rPr>
      </w:pPr>
      <w:r w:rsidRPr="004E7A2E">
        <w:rPr>
          <w:rFonts w:ascii="Palatino Linotype" w:eastAsia="Palatino Linotype" w:hAnsi="Palatino Linotype" w:cs="Palatino Linotype"/>
          <w:b/>
          <w:sz w:val="22"/>
          <w:szCs w:val="22"/>
        </w:rPr>
        <w:lastRenderedPageBreak/>
        <w:t>Matrícula o número de cuenta, de expediente o de control.</w:t>
      </w:r>
    </w:p>
    <w:p w14:paraId="30D7397A"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Ahora bien, por lo que hace a la matrícula, el número de cuenta, de expediente o de control, estos corresponden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p>
    <w:p w14:paraId="4BC4C0D5"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De tales circunstancias, se considera que el dato en comento, es información confidencial lo cual atañe únicamente a los alumnos y a la institución educativa, por lo que, son clasificados en términos del artículo 143, fracción I de la Ley de la materia.</w:t>
      </w:r>
    </w:p>
    <w:p w14:paraId="5626839B" w14:textId="77777777" w:rsidR="000B1642" w:rsidRPr="004E7A2E" w:rsidRDefault="009F5022">
      <w:pPr>
        <w:numPr>
          <w:ilvl w:val="0"/>
          <w:numId w:val="6"/>
        </w:numPr>
        <w:spacing w:after="160"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sz w:val="22"/>
          <w:szCs w:val="22"/>
        </w:rPr>
        <w:t>Calificaciones, créditos y promedio.</w:t>
      </w:r>
    </w:p>
    <w:p w14:paraId="1E93B9C3"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Por lo que hace a la calificación, cabe precisar que dicho dato da cuenta del grado de conocimientos adquiridos, en una materia o durante el desarrollo escolar, los cuales únicamente corresponden únicamente a cuestiones relacionadas con el ámbito privado de las personas, al dar cuenta del desempeño de los alumnos durante el curso de las diversas carreras con las que cuenta el Sujeto Obligado.</w:t>
      </w:r>
    </w:p>
    <w:p w14:paraId="244A2943"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4C1DA463"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En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w:t>
      </w:r>
      <w:r w:rsidRPr="004E7A2E">
        <w:rPr>
          <w:rFonts w:ascii="Palatino Linotype" w:eastAsia="Palatino Linotype" w:hAnsi="Palatino Linotype" w:cs="Palatino Linotype"/>
          <w:sz w:val="22"/>
          <w:szCs w:val="22"/>
        </w:rPr>
        <w:lastRenderedPageBreak/>
        <w:t>de las intromisiones de los demás, con la limitante prevista en la Constitución Política de los Estados Unidos Mexicanos.</w:t>
      </w:r>
    </w:p>
    <w:p w14:paraId="28385AE2"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En atención con lo anterior, se considera que las calificaciones obtenidas por un servidor público, es información íntima de los alumnos, pues corresponde a su desempeño escolar, lo cual únicamente atañe a estos, por lo que se considera que es un dato confidencial.</w:t>
      </w:r>
    </w:p>
    <w:p w14:paraId="15035FAE"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Ahora bien, por lo que hace a los créditos, en la página de la Secretaría de Educación Pública, establece que los créditos académicos es una unidad de medida del trabajo que realiza el estudiante y cuantifica las actividades de aprendizaje consideradas en los planes de estudio; además, representa un valor para realizar intercambios, con otras instituciones de Educación Superior.</w:t>
      </w:r>
    </w:p>
    <w:p w14:paraId="3D7A45F1"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16D9FD14"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En ese orden de ideas, el documento denominado Sistema de Asignación y Transferencia de Créditos Académico, de la Secretaría de Educación Pública (consultados el veinticinco de marzo de dos mil veinticinco, en la liga </w:t>
      </w:r>
      <w:hyperlink r:id="rId24">
        <w:r w:rsidRPr="004E7A2E">
          <w:rPr>
            <w:rFonts w:ascii="Palatino Linotype" w:eastAsia="Palatino Linotype" w:hAnsi="Palatino Linotype" w:cs="Palatino Linotype"/>
            <w:sz w:val="22"/>
            <w:szCs w:val="22"/>
            <w:u w:val="single"/>
          </w:rPr>
          <w:t>http://ces.cs.buap.mx/SATCA.pdf</w:t>
        </w:r>
      </w:hyperlink>
      <w:r w:rsidRPr="004E7A2E">
        <w:rPr>
          <w:rFonts w:ascii="Palatino Linotype" w:eastAsia="Palatino Linotype" w:hAnsi="Palatino Linotype" w:cs="Palatino Linotype"/>
          <w:sz w:val="22"/>
          <w:szCs w:val="22"/>
        </w:rPr>
        <w:t>), establece que el sistema de créditos permite:</w:t>
      </w:r>
    </w:p>
    <w:p w14:paraId="43CEA987" w14:textId="77777777" w:rsidR="000B1642" w:rsidRPr="004E7A2E" w:rsidRDefault="009F5022">
      <w:pPr>
        <w:numPr>
          <w:ilvl w:val="0"/>
          <w:numId w:val="7"/>
        </w:numPr>
        <w:spacing w:after="160"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Acreditar lo que un estudiante aprende, independiente de los ciclos escolares, etapas formativas, grados y lugar;</w:t>
      </w:r>
    </w:p>
    <w:p w14:paraId="6A4A81E6" w14:textId="77777777" w:rsidR="000B1642" w:rsidRPr="004E7A2E" w:rsidRDefault="009F5022">
      <w:pPr>
        <w:numPr>
          <w:ilvl w:val="0"/>
          <w:numId w:val="7"/>
        </w:numPr>
        <w:spacing w:after="160"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Acreditar aprendizajes situados en ambientes reales y transdisciplinarios, y</w:t>
      </w:r>
    </w:p>
    <w:p w14:paraId="476636EF" w14:textId="77777777" w:rsidR="000B1642" w:rsidRPr="004E7A2E" w:rsidRDefault="009F5022">
      <w:pPr>
        <w:numPr>
          <w:ilvl w:val="0"/>
          <w:numId w:val="7"/>
        </w:numPr>
        <w:spacing w:after="160"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Evaluar los avances del aprendizaje de suma de créditos.</w:t>
      </w:r>
    </w:p>
    <w:p w14:paraId="37565B9F"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0705B2B7"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Como se logra observar, los créditos dan cuenta de los aprendizajes que ha obtenido el estudiante; por lo que, también da cuenta grado de conocimientos adquiridos en una asignatura y, por lo tanto, corresponden a cuestiones relacionadas con el ámbito privado del servidor público.</w:t>
      </w:r>
    </w:p>
    <w:p w14:paraId="00A5C2B1"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722ABA38"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lastRenderedPageBreak/>
        <w:t>Finalmente, el promedio es la suma de las calificaciones y créditos, respectivamente que obtuvo una persona, durante un determinado curso, carrera, entre otros, por lo que, refleja el grado de conocimientos adquiridos durante el desarrollo escolar, lo cual, corresponde a una cuestión privada del servidor público.</w:t>
      </w:r>
    </w:p>
    <w:p w14:paraId="6C36DFD7"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En ese contexto, toda vez que las calificaciones, créditos y promedios obtenidos, dan cuenta del desempeño obtenido dentro de una asignatura, lo cual, únicamente concierne a la vida íntima de este y forma parte de su vida privada; al respecto cabe señalar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14:paraId="10363D42" w14:textId="77777777" w:rsidR="000B1642" w:rsidRPr="004E7A2E" w:rsidRDefault="009F5022">
      <w:pPr>
        <w:ind w:left="851" w:right="843"/>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w:t>
      </w:r>
      <w:r w:rsidRPr="004E7A2E">
        <w:rPr>
          <w:rFonts w:ascii="Palatino Linotype" w:eastAsia="Palatino Linotype" w:hAnsi="Palatino Linotype" w:cs="Palatino Linotype"/>
          <w:b/>
          <w:i/>
          <w:sz w:val="22"/>
          <w:szCs w:val="22"/>
        </w:rPr>
        <w:t xml:space="preserve">DERECHO A LA VIDA PRIVADA. SU CONTENIDO GENERAL Y LA IMPORTANCIA DE NO DESCONTEXTUALIZAR LAS REFERENCIAS A LA MISMA. </w:t>
      </w:r>
      <w:r w:rsidRPr="004E7A2E">
        <w:rPr>
          <w:rFonts w:ascii="Palatino Linotype" w:eastAsia="Palatino Linotype" w:hAnsi="Palatino Linotype" w:cs="Palatino Linotype"/>
          <w:i/>
          <w:sz w:val="22"/>
          <w:szCs w:val="22"/>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w:t>
      </w:r>
      <w:r w:rsidRPr="004E7A2E">
        <w:rPr>
          <w:rFonts w:ascii="Palatino Linotype" w:eastAsia="Palatino Linotype" w:hAnsi="Palatino Linotype" w:cs="Palatino Linotype"/>
          <w:i/>
          <w:sz w:val="22"/>
          <w:szCs w:val="22"/>
        </w:rPr>
        <w:lastRenderedPageBreak/>
        <w:t xml:space="preserve">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sidRPr="004E7A2E">
        <w:rPr>
          <w:rFonts w:ascii="Palatino Linotype" w:eastAsia="Palatino Linotype" w:hAnsi="Palatino Linotype" w:cs="Palatino Linotype"/>
          <w:b/>
          <w:i/>
          <w:sz w:val="22"/>
          <w:szCs w:val="22"/>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RPr="004E7A2E">
        <w:rPr>
          <w:rFonts w:ascii="Palatino Linotype" w:eastAsia="Palatino Linotype" w:hAnsi="Palatino Linotype" w:cs="Palatino Linotype"/>
          <w:i/>
          <w:sz w:val="22"/>
          <w:szCs w:val="22"/>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RPr="004E7A2E">
        <w:rPr>
          <w:rFonts w:ascii="Palatino Linotype" w:eastAsia="Palatino Linotype" w:hAnsi="Palatino Linotype" w:cs="Palatino Linotype"/>
          <w:b/>
          <w:i/>
          <w:sz w:val="22"/>
          <w:szCs w:val="22"/>
        </w:rPr>
        <w:t>En un sentido amplio, entonces, la protección constitucional de la vida privada implica poder conducir parte de la vida de uno protegido de la mirada y las injerencias de los demás</w:t>
      </w:r>
      <w:r w:rsidRPr="004E7A2E">
        <w:rPr>
          <w:rFonts w:ascii="Palatino Linotype" w:eastAsia="Palatino Linotype" w:hAnsi="Palatino Linotype" w:cs="Palatino Linotype"/>
          <w:i/>
          <w:sz w:val="22"/>
          <w:szCs w:val="22"/>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0BD8D416" w14:textId="77777777" w:rsidR="000B1642" w:rsidRPr="004E7A2E" w:rsidRDefault="000B1642">
      <w:pPr>
        <w:ind w:left="851" w:right="843"/>
        <w:jc w:val="both"/>
        <w:rPr>
          <w:rFonts w:ascii="Palatino Linotype" w:eastAsia="Palatino Linotype" w:hAnsi="Palatino Linotype" w:cs="Palatino Linotype"/>
          <w:i/>
          <w:sz w:val="22"/>
          <w:szCs w:val="22"/>
        </w:rPr>
      </w:pPr>
    </w:p>
    <w:p w14:paraId="184D11EF" w14:textId="77777777" w:rsidR="000B1642" w:rsidRPr="004E7A2E" w:rsidRDefault="009F5022">
      <w:pPr>
        <w:spacing w:line="360" w:lineRule="auto"/>
        <w:jc w:val="both"/>
        <w:rPr>
          <w:rFonts w:ascii="Palatino Linotype" w:eastAsia="Palatino Linotype" w:hAnsi="Palatino Linotype" w:cs="Palatino Linotype"/>
          <w:b/>
          <w:sz w:val="22"/>
          <w:szCs w:val="22"/>
        </w:rPr>
      </w:pPr>
      <w:r w:rsidRPr="004E7A2E">
        <w:rPr>
          <w:rFonts w:ascii="Palatino Linotype" w:eastAsia="Palatino Linotype" w:hAnsi="Palatino Linotype" w:cs="Palatino Linotype"/>
          <w:sz w:val="22"/>
          <w:szCs w:val="22"/>
        </w:rPr>
        <w:t xml:space="preserve">De conformidad con lo señalado, se colige que </w:t>
      </w:r>
      <w:r w:rsidRPr="004E7A2E">
        <w:rPr>
          <w:rFonts w:ascii="Palatino Linotype" w:eastAsia="Palatino Linotype" w:hAnsi="Palatino Linotype" w:cs="Palatino Linotype"/>
          <w:b/>
          <w:sz w:val="22"/>
          <w:szCs w:val="22"/>
        </w:rPr>
        <w:t>las actividades que realicen los particulares, dentro del ámbito privado, o dentro de la esfera particular, es información que debe protegerse.</w:t>
      </w:r>
    </w:p>
    <w:p w14:paraId="5FB5AB4E"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Conforme a lo anterior y lo expuesto, se advierte que el desempeño escolar de una persona, es información íntima de este, lo cual concierne también a su vida privada; por lo cual, se considera que las calificaciones, créditos y promedio, son confidenciales, en términos del </w:t>
      </w:r>
      <w:r w:rsidRPr="004E7A2E">
        <w:rPr>
          <w:rFonts w:ascii="Palatino Linotype" w:eastAsia="Palatino Linotype" w:hAnsi="Palatino Linotype" w:cs="Palatino Linotype"/>
          <w:sz w:val="22"/>
          <w:szCs w:val="22"/>
        </w:rPr>
        <w:lastRenderedPageBreak/>
        <w:t>artículo 143, fracción I, de la Ley de Transparencia y Acceso a la Información Pública del Estado de México y Municipios.</w:t>
      </w:r>
    </w:p>
    <w:p w14:paraId="5779B2FD"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72D48413" w14:textId="77777777" w:rsidR="000B1642" w:rsidRPr="004E7A2E" w:rsidRDefault="009F5022">
      <w:pPr>
        <w:numPr>
          <w:ilvl w:val="0"/>
          <w:numId w:val="6"/>
        </w:numPr>
        <w:spacing w:after="160" w:line="360" w:lineRule="auto"/>
        <w:jc w:val="both"/>
        <w:rPr>
          <w:rFonts w:ascii="Palatino Linotype" w:eastAsia="Palatino Linotype" w:hAnsi="Palatino Linotype" w:cs="Palatino Linotype"/>
          <w:b/>
          <w:sz w:val="22"/>
          <w:szCs w:val="22"/>
        </w:rPr>
      </w:pPr>
      <w:r w:rsidRPr="004E7A2E">
        <w:rPr>
          <w:rFonts w:ascii="Palatino Linotype" w:eastAsia="Palatino Linotype" w:hAnsi="Palatino Linotype" w:cs="Palatino Linotype"/>
          <w:b/>
          <w:sz w:val="22"/>
          <w:szCs w:val="22"/>
        </w:rPr>
        <w:t>Número de cédula profesional.</w:t>
      </w:r>
    </w:p>
    <w:p w14:paraId="5DDBC9E2"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Al respecto, es necesario señalar que la cédula profesional, es aquel documento con validez legal, para certificar o demostrar que efectivamente una persona está </w:t>
      </w:r>
      <w:proofErr w:type="gramStart"/>
      <w:r w:rsidRPr="004E7A2E">
        <w:rPr>
          <w:rFonts w:ascii="Palatino Linotype" w:eastAsia="Palatino Linotype" w:hAnsi="Palatino Linotype" w:cs="Palatino Linotype"/>
          <w:sz w:val="22"/>
          <w:szCs w:val="22"/>
        </w:rPr>
        <w:t>calificado</w:t>
      </w:r>
      <w:proofErr w:type="gramEnd"/>
      <w:r w:rsidRPr="004E7A2E">
        <w:rPr>
          <w:rFonts w:ascii="Palatino Linotype" w:eastAsia="Palatino Linotype" w:hAnsi="Palatino Linotype" w:cs="Palatino Linotype"/>
          <w:sz w:val="22"/>
          <w:szCs w:val="22"/>
        </w:rPr>
        <w:t xml:space="preserve"> para ejercer la profesión para la cual se ha preparado y ha recibido un título profesional, conforme a lo referido en la página oficial de la Secretaría de Educación Pública.</w:t>
      </w:r>
    </w:p>
    <w:p w14:paraId="53DCBC0A"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5626BCC6"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En ese orden de ideas, la cédula profesional, es el documento que adquiere toda persona a quien legalmente se le haya expedido título profesional o grado académico equivalente, con efectos de patente, previo registro de dicho título o grado la cual es otorgada por la Dirección General de Profesiones de la Secretaría de Educación Pública, ya que dicha autoridad tiene atribuciones para expedir la cédula correspondiente para el ejercicio profesional y para su identidad en todas sus actividades profesionales, lo anterior toma sustento en los artículos 3° y 23, fracción IV, de la Ley Reglamentaria del Artículo 5° Constitucional, Relativo al Ejercicio de las Profesiones en la Ciudad de México.</w:t>
      </w:r>
    </w:p>
    <w:p w14:paraId="2724DC69"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4C2871E0"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En ese contexto, el documento en cuestión da cuenta de la preparación y sirve como medios de identificación, para que su titular lo relacionen con el nivel de estudios con que cuenta, por lo que, se trata de un documento de naturaleza pública; además, que puede dar el grado máximo de estudios de la persona en cuestión.</w:t>
      </w:r>
    </w:p>
    <w:p w14:paraId="46A56E06"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537AB93D"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Además, que dicho número forma parte del Registro Nacional de Profesionistas, y da cuenta de que algún profesionista, en el presente caso, tiene registrado su título, con efectos de patente; por lo que, se considera que el número, al formar parte de un registro público, </w:t>
      </w:r>
      <w:r w:rsidRPr="004E7A2E">
        <w:rPr>
          <w:rFonts w:ascii="Palatino Linotype" w:eastAsia="Palatino Linotype" w:hAnsi="Palatino Linotype" w:cs="Palatino Linotype"/>
          <w:sz w:val="22"/>
          <w:szCs w:val="22"/>
        </w:rPr>
        <w:lastRenderedPageBreak/>
        <w:t>no actualiza, la causal de clasificación prevista en el artículo 143, fracción I, de la Ley de Transparencia y Acceso a la Información Pública del Estado de México.</w:t>
      </w:r>
    </w:p>
    <w:p w14:paraId="262149EE"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661DF119" w14:textId="77777777" w:rsidR="000B1642" w:rsidRPr="004E7A2E" w:rsidRDefault="009F5022">
      <w:pPr>
        <w:widowControl w:val="0"/>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sz w:val="22"/>
          <w:szCs w:val="22"/>
        </w:rPr>
        <w:t xml:space="preserve">Fotografías de los servidores públicos. </w:t>
      </w:r>
      <w:r w:rsidRPr="004E7A2E">
        <w:rPr>
          <w:rFonts w:ascii="Palatino Linotype" w:eastAsia="Palatino Linotype" w:hAnsi="Palatino Linotype" w:cs="Palatino Linotype"/>
          <w:sz w:val="22"/>
          <w:szCs w:val="22"/>
        </w:rPr>
        <w:t>Fotografía en documento que acredite el último grado de estudios. 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25B72A6B" w14:textId="77777777" w:rsidR="000B1642" w:rsidRPr="004E7A2E" w:rsidRDefault="000B1642">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EE318A5" w14:textId="77777777" w:rsidR="000B1642" w:rsidRPr="004E7A2E" w:rsidRDefault="009F5022">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6935609C" w14:textId="77777777" w:rsidR="000B1642" w:rsidRPr="004E7A2E" w:rsidRDefault="000B1642">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FC82573" w14:textId="77777777" w:rsidR="000B1642" w:rsidRPr="004E7A2E" w:rsidRDefault="009F5022">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w:t>
      </w:r>
      <w:r w:rsidRPr="004E7A2E">
        <w:rPr>
          <w:rFonts w:ascii="Palatino Linotype" w:eastAsia="Palatino Linotype" w:hAnsi="Palatino Linotype" w:cs="Palatino Linotype"/>
          <w:sz w:val="22"/>
          <w:szCs w:val="22"/>
        </w:rPr>
        <w:lastRenderedPageBreak/>
        <w:t>información que los haga identificados o identificables debe clasificarse como reservada).</w:t>
      </w:r>
    </w:p>
    <w:p w14:paraId="7C519260" w14:textId="77777777" w:rsidR="000B1642" w:rsidRPr="004E7A2E" w:rsidRDefault="009F5022">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606978C4" w14:textId="77777777" w:rsidR="000B1642" w:rsidRPr="004E7A2E" w:rsidRDefault="000B1642">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94AD5D6" w14:textId="77777777" w:rsidR="000B1642" w:rsidRPr="004E7A2E" w:rsidRDefault="009F5022">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56FA5C64" w14:textId="77777777" w:rsidR="000B1642" w:rsidRPr="004E7A2E" w:rsidRDefault="000B1642">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DB74683" w14:textId="77777777" w:rsidR="000B1642" w:rsidRPr="004E7A2E" w:rsidRDefault="009F5022">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5B18F5CA" w14:textId="77777777" w:rsidR="000B1642" w:rsidRPr="004E7A2E" w:rsidRDefault="000B1642">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79A3D4B" w14:textId="77777777" w:rsidR="000B1642" w:rsidRPr="004E7A2E" w:rsidRDefault="009F5022">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De acuerdo con el argumento planteado, la determinación de esta resolución deja sin efectos </w:t>
      </w:r>
      <w:r w:rsidRPr="004E7A2E">
        <w:rPr>
          <w:rFonts w:ascii="Palatino Linotype" w:eastAsia="Palatino Linotype" w:hAnsi="Palatino Linotype" w:cs="Palatino Linotype"/>
          <w:sz w:val="22"/>
          <w:szCs w:val="22"/>
        </w:rPr>
        <w:lastRenderedPageBreak/>
        <w:t>el criterio adoptado anteriormente por el Pleno de este Instituto, con número 03/2019, en el que solo se consideraban como públicas las fotografías de mandos medios y/o superiores.</w:t>
      </w:r>
    </w:p>
    <w:p w14:paraId="232E4A34" w14:textId="77777777" w:rsidR="000B1642" w:rsidRPr="004E7A2E" w:rsidRDefault="009F5022">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 versión pública que se ordena, no podrá clasificarse esa información. Cabe hacer la aclaración que aquellos documentos que sean clasificados en su totalidad por no revestir de interés público, como lo es la credencial de elector, la fotografía correrá la misma suerte que el documento en cuestión, únicamente para dicha expresión documental. </w:t>
      </w:r>
    </w:p>
    <w:p w14:paraId="41E16C35" w14:textId="77777777" w:rsidR="000B1642" w:rsidRPr="004E7A2E" w:rsidRDefault="000B1642">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000F364" w14:textId="77777777" w:rsidR="000B1642" w:rsidRPr="004E7A2E" w:rsidRDefault="009F5022">
      <w:pPr>
        <w:numPr>
          <w:ilvl w:val="0"/>
          <w:numId w:val="6"/>
        </w:numPr>
        <w:spacing w:after="160"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sz w:val="22"/>
          <w:szCs w:val="22"/>
        </w:rPr>
        <w:t>Firma de servidores públicos.</w:t>
      </w:r>
    </w:p>
    <w:p w14:paraId="3F85F767"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11710D7A"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391EC787"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 </w:t>
      </w:r>
    </w:p>
    <w:p w14:paraId="6CD96773" w14:textId="77777777" w:rsidR="000B1642" w:rsidRPr="004E7A2E" w:rsidRDefault="000B1642">
      <w:pPr>
        <w:spacing w:line="360" w:lineRule="auto"/>
        <w:jc w:val="both"/>
        <w:rPr>
          <w:rFonts w:ascii="Palatino Linotype" w:eastAsia="Palatino Linotype" w:hAnsi="Palatino Linotype" w:cs="Palatino Linotype"/>
          <w:sz w:val="22"/>
          <w:szCs w:val="22"/>
        </w:rPr>
      </w:pPr>
    </w:p>
    <w:p w14:paraId="6B6285B6"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La publicidad de dichos datos, se robustece, con el criterio 02/19, emitido por el entonces Instituto Nacional de Transparencia, Acceso a la Información y Protección de Datos Personales, que establece lo siguiente:</w:t>
      </w:r>
    </w:p>
    <w:p w14:paraId="3DB0765A" w14:textId="77777777" w:rsidR="000B1642" w:rsidRPr="004E7A2E" w:rsidRDefault="009F5022">
      <w:pPr>
        <w:ind w:left="567"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“Firma y rúbrica de servidores públicos.</w:t>
      </w:r>
      <w:r w:rsidRPr="004E7A2E">
        <w:rPr>
          <w:rFonts w:ascii="Palatino Linotype" w:eastAsia="Palatino Linotype" w:hAnsi="Palatino Linotype" w:cs="Palatino Linotype"/>
          <w:i/>
          <w:sz w:val="22"/>
          <w:szCs w:val="22"/>
        </w:rPr>
        <w:t xml:space="preserve"> Si bien la firma y la rúbrica son datos personales confidenciales, cuando un servidor público emite un acto como autoridad, en </w:t>
      </w:r>
      <w:r w:rsidRPr="004E7A2E">
        <w:rPr>
          <w:rFonts w:ascii="Palatino Linotype" w:eastAsia="Palatino Linotype" w:hAnsi="Palatino Linotype" w:cs="Palatino Linotype"/>
          <w:i/>
          <w:sz w:val="22"/>
          <w:szCs w:val="22"/>
        </w:rPr>
        <w:lastRenderedPageBreak/>
        <w:t>ejercicio de las funciones que tiene conferidas, la firma o rúbrica mediante la cual se valida dicho acto es pública.”</w:t>
      </w:r>
    </w:p>
    <w:p w14:paraId="35B92F71" w14:textId="77777777" w:rsidR="000B1642" w:rsidRPr="004E7A2E" w:rsidRDefault="009F5022">
      <w:pPr>
        <w:spacing w:before="240" w:after="240"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ante la Secretaría de Educación Pública.</w:t>
      </w:r>
    </w:p>
    <w:p w14:paraId="1C5DC63D" w14:textId="77777777" w:rsidR="000B1642" w:rsidRPr="004E7A2E" w:rsidRDefault="009F5022">
      <w:pP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Conforme a lo anterior, resulta procedente ordenar la entrega de los comprobantes de último grado de estudio de los integrantes del Ayuntamiento </w:t>
      </w:r>
      <w:proofErr w:type="gramStart"/>
      <w:r w:rsidRPr="004E7A2E">
        <w:rPr>
          <w:rFonts w:ascii="Palatino Linotype" w:eastAsia="Palatino Linotype" w:hAnsi="Palatino Linotype" w:cs="Palatino Linotype"/>
          <w:sz w:val="22"/>
          <w:szCs w:val="22"/>
        </w:rPr>
        <w:t>Directores</w:t>
      </w:r>
      <w:proofErr w:type="gramEnd"/>
      <w:r w:rsidRPr="004E7A2E">
        <w:rPr>
          <w:rFonts w:ascii="Palatino Linotype" w:eastAsia="Palatino Linotype" w:hAnsi="Palatino Linotype" w:cs="Palatino Linotype"/>
          <w:sz w:val="22"/>
          <w:szCs w:val="22"/>
        </w:rPr>
        <w:t xml:space="preserve"> referidos en respuesta, al veinticuatro de enero de dos mil veinticinco, de ser procedente en versión pública. </w:t>
      </w:r>
    </w:p>
    <w:p w14:paraId="548AD0E0" w14:textId="77777777" w:rsidR="000B1642" w:rsidRPr="004E7A2E" w:rsidRDefault="000B1642">
      <w:pPr>
        <w:spacing w:line="360" w:lineRule="auto"/>
        <w:rPr>
          <w:rFonts w:ascii="Palatino Linotype" w:eastAsia="Palatino Linotype" w:hAnsi="Palatino Linotype" w:cs="Palatino Linotype"/>
          <w:sz w:val="22"/>
          <w:szCs w:val="22"/>
        </w:rPr>
      </w:pPr>
    </w:p>
    <w:p w14:paraId="6C7BFC7C" w14:textId="77777777" w:rsidR="000B1642" w:rsidRPr="004E7A2E" w:rsidRDefault="009F50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4E7A2E">
        <w:rPr>
          <w:rFonts w:ascii="Palatino Linotype" w:eastAsia="Palatino Linotype" w:hAnsi="Palatino Linotype" w:cs="Palatino Linotype"/>
          <w:b/>
          <w:sz w:val="22"/>
          <w:szCs w:val="22"/>
          <w:u w:val="single"/>
        </w:rPr>
        <w:t>razones, motivos o circunstancias especiales</w:t>
      </w:r>
      <w:r w:rsidRPr="004E7A2E">
        <w:rPr>
          <w:rFonts w:ascii="Palatino Linotype" w:eastAsia="Palatino Linotype" w:hAnsi="Palatino Linotype" w:cs="Palatino Linotype"/>
          <w:sz w:val="22"/>
          <w:szCs w:val="22"/>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w:t>
      </w:r>
      <w:r w:rsidRPr="004E7A2E">
        <w:rPr>
          <w:rFonts w:ascii="Palatino Linotype" w:eastAsia="Palatino Linotype" w:hAnsi="Palatino Linotype" w:cs="Palatino Linotype"/>
          <w:sz w:val="22"/>
          <w:szCs w:val="22"/>
        </w:rPr>
        <w:lastRenderedPageBreak/>
        <w:t>general de que se difunda, y que la limitación sea adecuada al principio de proporcionalidad y representa el medio menos restrictivo disponible para evitar el perjuicio.</w:t>
      </w:r>
    </w:p>
    <w:p w14:paraId="6B921C74" w14:textId="77777777" w:rsidR="000B1642" w:rsidRPr="004E7A2E" w:rsidRDefault="000B164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F5A6E46" w14:textId="77777777" w:rsidR="000B1642" w:rsidRPr="004E7A2E" w:rsidRDefault="009F5022">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4E7A2E">
        <w:rPr>
          <w:rFonts w:ascii="Palatino Linotype" w:eastAsia="Palatino Linotype" w:hAnsi="Palatino Linotype" w:cs="Palatino Linotype"/>
          <w:sz w:val="22"/>
          <w:szCs w:val="22"/>
        </w:rPr>
        <w:t>Responsable</w:t>
      </w:r>
      <w:proofErr w:type="gramEnd"/>
      <w:r w:rsidRPr="004E7A2E">
        <w:rPr>
          <w:rFonts w:ascii="Palatino Linotype" w:eastAsia="Palatino Linotype" w:hAnsi="Palatino Linotype" w:cs="Palatino Linotype"/>
          <w:sz w:val="22"/>
          <w:szCs w:val="22"/>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2B454F12" w14:textId="77777777" w:rsidR="000B1642" w:rsidRPr="004E7A2E" w:rsidRDefault="000B1642">
      <w:pPr>
        <w:spacing w:line="360" w:lineRule="auto"/>
        <w:rPr>
          <w:rFonts w:ascii="Palatino Linotype" w:eastAsia="Palatino Linotype" w:hAnsi="Palatino Linotype" w:cs="Palatino Linotype"/>
          <w:sz w:val="22"/>
          <w:szCs w:val="22"/>
        </w:rPr>
      </w:pPr>
    </w:p>
    <w:p w14:paraId="1CF71EA3" w14:textId="77777777" w:rsidR="000B1642" w:rsidRPr="004E7A2E" w:rsidRDefault="009F5022">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“Artículo 49. Los Comités de Transparencia tendrán las siguientes atribuciones:</w:t>
      </w:r>
    </w:p>
    <w:p w14:paraId="4F5F166D" w14:textId="77777777" w:rsidR="000B1642" w:rsidRPr="004E7A2E" w:rsidRDefault="009F5022">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w:t>
      </w:r>
    </w:p>
    <w:p w14:paraId="0DEC2AD1" w14:textId="77777777" w:rsidR="000B1642" w:rsidRPr="004E7A2E" w:rsidRDefault="009F5022">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VIII. Aprobar, modificar o revocar la clasificación de la información;</w:t>
      </w:r>
    </w:p>
    <w:p w14:paraId="383357E3" w14:textId="77777777" w:rsidR="000B1642" w:rsidRPr="004E7A2E" w:rsidRDefault="009F5022">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w:t>
      </w:r>
    </w:p>
    <w:p w14:paraId="24BF6FA4" w14:textId="77777777" w:rsidR="000B1642" w:rsidRPr="004E7A2E" w:rsidRDefault="009F5022">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Artículo 53. Las Unidades de Transparencia tendrán las siguientes funciones:</w:t>
      </w:r>
    </w:p>
    <w:p w14:paraId="5F2AA7B0" w14:textId="77777777" w:rsidR="000B1642" w:rsidRPr="004E7A2E" w:rsidRDefault="009F5022">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w:t>
      </w:r>
    </w:p>
    <w:p w14:paraId="02700539" w14:textId="77777777" w:rsidR="000B1642" w:rsidRPr="004E7A2E" w:rsidRDefault="009F5022">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X. Presentar ante el Comité, el proyecto de clasificación de información…</w:t>
      </w:r>
    </w:p>
    <w:p w14:paraId="1E851FF8" w14:textId="77777777" w:rsidR="000B1642" w:rsidRPr="004E7A2E" w:rsidRDefault="009F5022">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w:t>
      </w:r>
    </w:p>
    <w:p w14:paraId="742832C7" w14:textId="77777777" w:rsidR="000B1642" w:rsidRPr="004E7A2E" w:rsidRDefault="009F5022">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Artículo 59. Los servidores públicos habilitados tendrán las funciones siguientes:</w:t>
      </w:r>
    </w:p>
    <w:p w14:paraId="4530EA4A" w14:textId="77777777" w:rsidR="000B1642" w:rsidRPr="004E7A2E" w:rsidRDefault="009F5022">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w:t>
      </w:r>
    </w:p>
    <w:p w14:paraId="0098E53D" w14:textId="77777777" w:rsidR="000B1642" w:rsidRPr="004E7A2E" w:rsidRDefault="009F5022">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049F0C29" w14:textId="77777777" w:rsidR="000B1642" w:rsidRPr="004E7A2E" w:rsidRDefault="009F5022">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i/>
          <w:sz w:val="22"/>
          <w:szCs w:val="22"/>
        </w:rPr>
        <w:t>(…)”</w:t>
      </w:r>
    </w:p>
    <w:p w14:paraId="64A240CF" w14:textId="77777777" w:rsidR="000B1642" w:rsidRPr="004E7A2E" w:rsidRDefault="000B1642">
      <w:pPr>
        <w:rPr>
          <w:rFonts w:ascii="Palatino Linotype" w:eastAsia="Palatino Linotype" w:hAnsi="Palatino Linotype" w:cs="Palatino Linotype"/>
          <w:sz w:val="22"/>
          <w:szCs w:val="22"/>
        </w:rPr>
      </w:pPr>
    </w:p>
    <w:p w14:paraId="3F9D2836" w14:textId="77777777" w:rsidR="000B1642" w:rsidRPr="004E7A2E" w:rsidRDefault="009F50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w:t>
      </w:r>
      <w:r w:rsidRPr="004E7A2E">
        <w:rPr>
          <w:rFonts w:ascii="Palatino Linotype" w:eastAsia="Palatino Linotype" w:hAnsi="Palatino Linotype" w:cs="Palatino Linotype"/>
          <w:sz w:val="22"/>
          <w:szCs w:val="22"/>
        </w:rPr>
        <w:lastRenderedPageBreak/>
        <w:t>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B1C867F" w14:textId="77777777" w:rsidR="000B1642" w:rsidRPr="004E7A2E" w:rsidRDefault="000B1642">
      <w:pPr>
        <w:spacing w:line="360" w:lineRule="auto"/>
        <w:rPr>
          <w:rFonts w:ascii="Palatino Linotype" w:eastAsia="Palatino Linotype" w:hAnsi="Palatino Linotype" w:cs="Palatino Linotype"/>
          <w:sz w:val="22"/>
          <w:szCs w:val="22"/>
        </w:rPr>
      </w:pPr>
    </w:p>
    <w:p w14:paraId="606078AC" w14:textId="77777777" w:rsidR="000B1642" w:rsidRPr="004E7A2E" w:rsidRDefault="009F50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700243B6" w14:textId="77777777" w:rsidR="000B1642" w:rsidRPr="004E7A2E" w:rsidRDefault="000B1642">
      <w:pPr>
        <w:spacing w:line="360" w:lineRule="auto"/>
        <w:rPr>
          <w:rFonts w:ascii="Palatino Linotype" w:eastAsia="Palatino Linotype" w:hAnsi="Palatino Linotype" w:cs="Palatino Linotype"/>
          <w:sz w:val="22"/>
          <w:szCs w:val="22"/>
        </w:rPr>
      </w:pPr>
    </w:p>
    <w:p w14:paraId="21EC862B" w14:textId="77777777" w:rsidR="000B1642" w:rsidRPr="004E7A2E" w:rsidRDefault="009F5022">
      <w:pPr>
        <w:pBdr>
          <w:top w:val="nil"/>
          <w:left w:val="nil"/>
          <w:bottom w:val="nil"/>
          <w:right w:val="nil"/>
          <w:between w:val="nil"/>
        </w:pBdr>
        <w:ind w:left="864"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Artículo 149. El acuerdo que clasifique la información como confidencial deberá contener un razonamiento lógico en el que demuestre que la información se encuentra en alguna o algunas de las hipótesis previstas en la presente Ley.</w:t>
      </w:r>
    </w:p>
    <w:p w14:paraId="09E3EC93" w14:textId="77777777" w:rsidR="000B1642" w:rsidRPr="004E7A2E" w:rsidRDefault="000B1642">
      <w:pPr>
        <w:pBdr>
          <w:top w:val="nil"/>
          <w:left w:val="nil"/>
          <w:bottom w:val="nil"/>
          <w:right w:val="nil"/>
          <w:between w:val="nil"/>
        </w:pBdr>
        <w:ind w:left="864" w:right="864"/>
        <w:jc w:val="both"/>
        <w:rPr>
          <w:rFonts w:ascii="Palatino Linotype" w:eastAsia="Palatino Linotype" w:hAnsi="Palatino Linotype" w:cs="Palatino Linotype"/>
          <w:sz w:val="22"/>
          <w:szCs w:val="22"/>
        </w:rPr>
      </w:pPr>
    </w:p>
    <w:p w14:paraId="07F78BC9" w14:textId="77777777" w:rsidR="000B1642" w:rsidRPr="004E7A2E" w:rsidRDefault="009F5022">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Es decir, el</w:t>
      </w:r>
      <w:r w:rsidRPr="004E7A2E">
        <w:rPr>
          <w:rFonts w:ascii="Palatino Linotype" w:eastAsia="Palatino Linotype" w:hAnsi="Palatino Linotype" w:cs="Palatino Linotype"/>
          <w:b/>
          <w:sz w:val="22"/>
          <w:szCs w:val="22"/>
        </w:rPr>
        <w:t xml:space="preserve"> Sujeto Obligado</w:t>
      </w:r>
      <w:r w:rsidRPr="004E7A2E">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EBA6354" w14:textId="77777777" w:rsidR="000B1642" w:rsidRPr="004E7A2E" w:rsidRDefault="000B1642">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0F816808" w14:textId="77777777" w:rsidR="000B1642" w:rsidRPr="004E7A2E" w:rsidRDefault="009F502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Por último, respecto a la versión pública de los documentos que contenga la información solicitada, cabe señalar que el Comité de Transparencia del </w:t>
      </w:r>
      <w:r w:rsidRPr="004E7A2E">
        <w:rPr>
          <w:rFonts w:ascii="Palatino Linotype" w:eastAsia="Palatino Linotype" w:hAnsi="Palatino Linotype" w:cs="Palatino Linotype"/>
          <w:b/>
          <w:sz w:val="22"/>
          <w:szCs w:val="22"/>
        </w:rPr>
        <w:t xml:space="preserve">Sujeto Obligado, </w:t>
      </w:r>
      <w:r w:rsidRPr="004E7A2E">
        <w:rPr>
          <w:rFonts w:ascii="Palatino Linotype" w:eastAsia="Palatino Linotype" w:hAnsi="Palatino Linotype" w:cs="Palatino Linotype"/>
          <w:sz w:val="22"/>
          <w:szCs w:val="22"/>
        </w:rPr>
        <w:t xml:space="preserve">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w:t>
      </w:r>
      <w:r w:rsidRPr="004E7A2E">
        <w:rPr>
          <w:rFonts w:ascii="Palatino Linotype" w:eastAsia="Palatino Linotype" w:hAnsi="Palatino Linotype" w:cs="Palatino Linotype"/>
          <w:sz w:val="22"/>
          <w:szCs w:val="22"/>
        </w:rPr>
        <w:lastRenderedPageBreak/>
        <w:t>Clasificación y Desclasificación de la Información, así como para la elaboración de Versiones Públicas”, que literalmente expresan:</w:t>
      </w:r>
    </w:p>
    <w:p w14:paraId="7280BE90" w14:textId="77777777" w:rsidR="000B1642" w:rsidRPr="004E7A2E" w:rsidRDefault="000B1642">
      <w:pPr>
        <w:pBdr>
          <w:top w:val="nil"/>
          <w:left w:val="nil"/>
          <w:bottom w:val="nil"/>
          <w:right w:val="nil"/>
          <w:between w:val="nil"/>
        </w:pBdr>
        <w:spacing w:line="360" w:lineRule="auto"/>
        <w:ind w:left="851" w:right="851"/>
        <w:jc w:val="both"/>
        <w:rPr>
          <w:rFonts w:ascii="Palatino Linotype" w:eastAsia="Palatino Linotype" w:hAnsi="Palatino Linotype" w:cs="Palatino Linotype"/>
          <w:i/>
          <w:sz w:val="22"/>
          <w:szCs w:val="22"/>
        </w:rPr>
      </w:pPr>
    </w:p>
    <w:p w14:paraId="501B9B57"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“Artículo 132.</w:t>
      </w:r>
      <w:r w:rsidRPr="004E7A2E">
        <w:rPr>
          <w:rFonts w:ascii="Palatino Linotype" w:eastAsia="Palatino Linotype" w:hAnsi="Palatino Linotype" w:cs="Palatino Linotype"/>
          <w:i/>
          <w:sz w:val="22"/>
          <w:szCs w:val="22"/>
        </w:rPr>
        <w:t xml:space="preserve"> </w:t>
      </w:r>
      <w:r w:rsidRPr="004E7A2E">
        <w:rPr>
          <w:rFonts w:ascii="Palatino Linotype" w:eastAsia="Palatino Linotype" w:hAnsi="Palatino Linotype" w:cs="Palatino Linotype"/>
          <w:b/>
          <w:i/>
          <w:sz w:val="22"/>
          <w:szCs w:val="22"/>
        </w:rPr>
        <w:t>La clasificación de la información se llevará a cabo en el momento en que:</w:t>
      </w:r>
    </w:p>
    <w:p w14:paraId="4E232A5A"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w:t>
      </w:r>
    </w:p>
    <w:p w14:paraId="361C9F0E"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II.</w:t>
      </w:r>
      <w:r w:rsidRPr="004E7A2E">
        <w:rPr>
          <w:rFonts w:ascii="Palatino Linotype" w:eastAsia="Palatino Linotype" w:hAnsi="Palatino Linotype" w:cs="Palatino Linotype"/>
          <w:i/>
          <w:sz w:val="22"/>
          <w:szCs w:val="22"/>
        </w:rPr>
        <w:t xml:space="preserve"> Se determine mediante resolución de autoridad competente; o</w:t>
      </w:r>
    </w:p>
    <w:p w14:paraId="030EA632"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III</w:t>
      </w:r>
      <w:r w:rsidRPr="004E7A2E">
        <w:rPr>
          <w:rFonts w:ascii="Palatino Linotype" w:eastAsia="Palatino Linotype" w:hAnsi="Palatino Linotype" w:cs="Palatino Linotype"/>
          <w:i/>
          <w:sz w:val="22"/>
          <w:szCs w:val="22"/>
        </w:rPr>
        <w:t xml:space="preserve">. </w:t>
      </w:r>
      <w:r w:rsidRPr="004E7A2E">
        <w:rPr>
          <w:rFonts w:ascii="Palatino Linotype" w:eastAsia="Palatino Linotype" w:hAnsi="Palatino Linotype" w:cs="Palatino Linotype"/>
          <w:b/>
          <w:i/>
          <w:sz w:val="22"/>
          <w:szCs w:val="22"/>
        </w:rPr>
        <w:t>Se generen versiones públicas para dar cumplimiento a las obligaciones de transparencia previstas en esta Ley</w:t>
      </w:r>
      <w:r w:rsidRPr="004E7A2E">
        <w:rPr>
          <w:rFonts w:ascii="Palatino Linotype" w:eastAsia="Palatino Linotype" w:hAnsi="Palatino Linotype" w:cs="Palatino Linotype"/>
          <w:i/>
          <w:sz w:val="22"/>
          <w:szCs w:val="22"/>
        </w:rPr>
        <w:t>.</w:t>
      </w:r>
    </w:p>
    <w:p w14:paraId="640A71ED" w14:textId="77777777" w:rsidR="000B1642" w:rsidRPr="004E7A2E" w:rsidRDefault="000B164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7FC17FEA"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roofErr w:type="gramStart"/>
      <w:r w:rsidRPr="004E7A2E">
        <w:rPr>
          <w:rFonts w:ascii="Palatino Linotype" w:eastAsia="Palatino Linotype" w:hAnsi="Palatino Linotype" w:cs="Palatino Linotype"/>
          <w:b/>
          <w:i/>
          <w:sz w:val="22"/>
          <w:szCs w:val="22"/>
        </w:rPr>
        <w:t>Segundo.-</w:t>
      </w:r>
      <w:proofErr w:type="gramEnd"/>
      <w:r w:rsidRPr="004E7A2E">
        <w:rPr>
          <w:rFonts w:ascii="Palatino Linotype" w:eastAsia="Palatino Linotype" w:hAnsi="Palatino Linotype" w:cs="Palatino Linotype"/>
          <w:i/>
          <w:sz w:val="22"/>
          <w:szCs w:val="22"/>
        </w:rPr>
        <w:t xml:space="preserve"> Para efectos de los presentes Lineamientos Generales, se entenderá por:</w:t>
      </w:r>
    </w:p>
    <w:p w14:paraId="3D553DA7"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w:t>
      </w:r>
      <w:r w:rsidRPr="004E7A2E">
        <w:rPr>
          <w:rFonts w:ascii="Palatino Linotype" w:eastAsia="Palatino Linotype" w:hAnsi="Palatino Linotype" w:cs="Palatino Linotype"/>
          <w:i/>
          <w:sz w:val="22"/>
          <w:szCs w:val="22"/>
        </w:rPr>
        <w:t>)</w:t>
      </w:r>
    </w:p>
    <w:p w14:paraId="0A2AFD13"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XVIII.</w:t>
      </w:r>
      <w:r w:rsidRPr="004E7A2E">
        <w:rPr>
          <w:rFonts w:ascii="Palatino Linotype" w:eastAsia="Palatino Linotype" w:hAnsi="Palatino Linotype" w:cs="Palatino Linotype"/>
          <w:i/>
          <w:sz w:val="22"/>
          <w:szCs w:val="22"/>
        </w:rPr>
        <w:t xml:space="preserve"> </w:t>
      </w:r>
      <w:r w:rsidRPr="004E7A2E">
        <w:rPr>
          <w:rFonts w:ascii="Palatino Linotype" w:eastAsia="Palatino Linotype" w:hAnsi="Palatino Linotype" w:cs="Palatino Linotype"/>
          <w:b/>
          <w:i/>
          <w:sz w:val="22"/>
          <w:szCs w:val="22"/>
        </w:rPr>
        <w:t>Versión pública:</w:t>
      </w:r>
      <w:r w:rsidRPr="004E7A2E">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4E7A2E">
        <w:rPr>
          <w:rFonts w:ascii="Palatino Linotype" w:eastAsia="Palatino Linotype" w:hAnsi="Palatino Linotype" w:cs="Palatino Linotype"/>
          <w:b/>
          <w:i/>
          <w:sz w:val="22"/>
          <w:szCs w:val="22"/>
        </w:rPr>
        <w:t>fundando y motivando la</w:t>
      </w:r>
      <w:r w:rsidRPr="004E7A2E">
        <w:rPr>
          <w:rFonts w:ascii="Palatino Linotype" w:eastAsia="Palatino Linotype" w:hAnsi="Palatino Linotype" w:cs="Palatino Linotype"/>
          <w:i/>
          <w:sz w:val="22"/>
          <w:szCs w:val="22"/>
        </w:rPr>
        <w:t xml:space="preserve"> reserva o </w:t>
      </w:r>
      <w:r w:rsidRPr="004E7A2E">
        <w:rPr>
          <w:rFonts w:ascii="Palatino Linotype" w:eastAsia="Palatino Linotype" w:hAnsi="Palatino Linotype" w:cs="Palatino Linotype"/>
          <w:b/>
          <w:i/>
          <w:sz w:val="22"/>
          <w:szCs w:val="22"/>
        </w:rPr>
        <w:t>confidencialidad</w:t>
      </w:r>
      <w:r w:rsidRPr="004E7A2E">
        <w:rPr>
          <w:rFonts w:ascii="Palatino Linotype" w:eastAsia="Palatino Linotype" w:hAnsi="Palatino Linotype" w:cs="Palatino Linotype"/>
          <w:i/>
          <w:sz w:val="22"/>
          <w:szCs w:val="22"/>
        </w:rPr>
        <w:t>, a través de la resolución que para tal efecto emita el Comité de Transparencia.</w:t>
      </w:r>
    </w:p>
    <w:p w14:paraId="2E3B675E"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w:t>
      </w:r>
      <w:r w:rsidRPr="004E7A2E">
        <w:rPr>
          <w:rFonts w:ascii="Palatino Linotype" w:eastAsia="Palatino Linotype" w:hAnsi="Palatino Linotype" w:cs="Palatino Linotype"/>
          <w:i/>
          <w:sz w:val="22"/>
          <w:szCs w:val="22"/>
        </w:rPr>
        <w:t>)</w:t>
      </w:r>
    </w:p>
    <w:p w14:paraId="37F95418"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Cuarto.</w:t>
      </w:r>
      <w:r w:rsidRPr="004E7A2E">
        <w:rPr>
          <w:rFonts w:ascii="Palatino Linotype" w:eastAsia="Palatino Linotype" w:hAnsi="Palatino Linotype" w:cs="Palatino Linotype"/>
          <w:i/>
          <w:sz w:val="22"/>
          <w:szCs w:val="22"/>
        </w:rPr>
        <w:t xml:space="preserve"> </w:t>
      </w:r>
      <w:r w:rsidRPr="004E7A2E">
        <w:rPr>
          <w:rFonts w:ascii="Palatino Linotype" w:eastAsia="Palatino Linotype" w:hAnsi="Palatino Linotype" w:cs="Palatino Linotype"/>
          <w:b/>
          <w:i/>
          <w:sz w:val="22"/>
          <w:szCs w:val="22"/>
        </w:rPr>
        <w:t>Para clasificar la información como</w:t>
      </w:r>
      <w:r w:rsidRPr="004E7A2E">
        <w:rPr>
          <w:rFonts w:ascii="Palatino Linotype" w:eastAsia="Palatino Linotype" w:hAnsi="Palatino Linotype" w:cs="Palatino Linotype"/>
          <w:i/>
          <w:sz w:val="22"/>
          <w:szCs w:val="22"/>
        </w:rPr>
        <w:t xml:space="preserve"> reservada o </w:t>
      </w:r>
      <w:r w:rsidRPr="004E7A2E">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4E7A2E">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31BF97A"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33EB895" w14:textId="77777777" w:rsidR="000B1642" w:rsidRPr="004E7A2E" w:rsidRDefault="000B164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683BD7F6"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Quinto.</w:t>
      </w:r>
      <w:r w:rsidRPr="004E7A2E">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4E7A2E">
        <w:rPr>
          <w:rFonts w:ascii="Palatino Linotype" w:eastAsia="Palatino Linotype" w:hAnsi="Palatino Linotype" w:cs="Palatino Linotype"/>
          <w:i/>
          <w:sz w:val="22"/>
          <w:szCs w:val="22"/>
        </w:rPr>
        <w:lastRenderedPageBreak/>
        <w:t>públicas para dar cumplimiento a las obligaciones de transparencia, observando lo dispuesto en la Ley General y las demás disposiciones aplicables en la materia.</w:t>
      </w:r>
    </w:p>
    <w:p w14:paraId="5AD8DC2C" w14:textId="77777777" w:rsidR="000B1642" w:rsidRPr="004E7A2E" w:rsidRDefault="000B164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4C835BBA"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Sexto.</w:t>
      </w:r>
      <w:r w:rsidRPr="004E7A2E">
        <w:rPr>
          <w:rFonts w:ascii="Palatino Linotype" w:eastAsia="Palatino Linotype" w:hAnsi="Palatino Linotype" w:cs="Palatino Linotype"/>
          <w:i/>
          <w:sz w:val="22"/>
          <w:szCs w:val="22"/>
        </w:rPr>
        <w:t xml:space="preserve"> Se deroga. </w:t>
      </w:r>
    </w:p>
    <w:p w14:paraId="6662BCF1" w14:textId="77777777" w:rsidR="000B1642" w:rsidRPr="004E7A2E" w:rsidRDefault="000B164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74F7699A"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Séptimo.</w:t>
      </w:r>
      <w:r w:rsidRPr="004E7A2E">
        <w:rPr>
          <w:rFonts w:ascii="Palatino Linotype" w:eastAsia="Palatino Linotype" w:hAnsi="Palatino Linotype" w:cs="Palatino Linotype"/>
          <w:i/>
          <w:sz w:val="22"/>
          <w:szCs w:val="22"/>
        </w:rPr>
        <w:t xml:space="preserve"> La clasificación de la información se llevará a cabo en el momento en que:</w:t>
      </w:r>
    </w:p>
    <w:p w14:paraId="529B230B"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I.</w:t>
      </w:r>
      <w:r w:rsidRPr="004E7A2E">
        <w:rPr>
          <w:rFonts w:ascii="Palatino Linotype" w:eastAsia="Palatino Linotype" w:hAnsi="Palatino Linotype" w:cs="Palatino Linotype"/>
          <w:i/>
          <w:sz w:val="22"/>
          <w:szCs w:val="22"/>
        </w:rPr>
        <w:t xml:space="preserve"> Se reciba una solicitud de acceso a la información;</w:t>
      </w:r>
    </w:p>
    <w:p w14:paraId="249C3EA1"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II: Se determine mediante resolución del Comité de Transparencia, el órgano garante competente, o en cumplimiento a una sentencia del Poder Judicial; o</w:t>
      </w:r>
    </w:p>
    <w:p w14:paraId="191B73F8"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 xml:space="preserve">III. </w:t>
      </w:r>
      <w:r w:rsidRPr="004E7A2E">
        <w:rPr>
          <w:rFonts w:ascii="Palatino Linotype" w:eastAsia="Palatino Linotype" w:hAnsi="Palatino Linotype" w:cs="Palatino Linotype"/>
          <w:i/>
          <w:sz w:val="22"/>
          <w:szCs w:val="22"/>
        </w:rPr>
        <w:t>Se generen versiones públicas para dar cumplimiento a las obligaciones de transparencia previstas en la Ley General, la Ley Federal y las correspondientes de las entidades federativas.</w:t>
      </w:r>
    </w:p>
    <w:p w14:paraId="4D3C9D87"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Los titulares de las áreas deberán revisar la información requerida al momento de la recepción de una solicitud de acceso, para verificar, conforme a su naturaleza, si </w:t>
      </w:r>
      <w:proofErr w:type="spellStart"/>
      <w:r w:rsidRPr="004E7A2E">
        <w:rPr>
          <w:rFonts w:ascii="Palatino Linotype" w:eastAsia="Palatino Linotype" w:hAnsi="Palatino Linotype" w:cs="Palatino Linotype"/>
          <w:i/>
          <w:sz w:val="22"/>
          <w:szCs w:val="22"/>
        </w:rPr>
        <w:t>encuadraen</w:t>
      </w:r>
      <w:proofErr w:type="spellEnd"/>
      <w:r w:rsidRPr="004E7A2E">
        <w:rPr>
          <w:rFonts w:ascii="Palatino Linotype" w:eastAsia="Palatino Linotype" w:hAnsi="Palatino Linotype" w:cs="Palatino Linotype"/>
          <w:i/>
          <w:sz w:val="22"/>
          <w:szCs w:val="22"/>
        </w:rPr>
        <w:t xml:space="preserve"> una causal de reserva o de confidencialidad.</w:t>
      </w:r>
    </w:p>
    <w:p w14:paraId="297412DF" w14:textId="77777777" w:rsidR="000B1642" w:rsidRPr="004E7A2E" w:rsidRDefault="000B164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6504ABC8"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Octavo.</w:t>
      </w:r>
      <w:r w:rsidRPr="004E7A2E">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7F3F0F63"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313E5335"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w:t>
      </w:r>
    </w:p>
    <w:p w14:paraId="3F0AF70A" w14:textId="77777777" w:rsidR="000B1642" w:rsidRPr="004E7A2E" w:rsidRDefault="000B164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22B40BDB"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Noveno.</w:t>
      </w:r>
      <w:r w:rsidRPr="004E7A2E">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037A680" w14:textId="77777777" w:rsidR="000B1642" w:rsidRPr="004E7A2E" w:rsidRDefault="000B164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21FB6374"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lastRenderedPageBreak/>
        <w:t>Décimo.</w:t>
      </w:r>
      <w:r w:rsidRPr="004E7A2E">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 </w:t>
      </w:r>
    </w:p>
    <w:p w14:paraId="442322CC"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12FAB4CB" w14:textId="77777777" w:rsidR="000B1642" w:rsidRPr="004E7A2E" w:rsidRDefault="000B164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36F68A91"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b/>
          <w:i/>
          <w:sz w:val="22"/>
          <w:szCs w:val="22"/>
        </w:rPr>
        <w:t>Décimo primero.</w:t>
      </w:r>
      <w:r w:rsidRPr="004E7A2E">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B2EA6B5" w14:textId="77777777" w:rsidR="000B1642" w:rsidRPr="004E7A2E" w:rsidRDefault="009F5022">
      <w:pPr>
        <w:spacing w:before="240" w:after="240" w:line="360" w:lineRule="auto"/>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Así, con fundamento en lo prescrito en los artículos 5 párrafos trigésimo séptimo, trigésimo octavo y trigésimo noveno de la Constitución Política del Estado Libre y Soberano de México; 2, fracción II; 29, 36 fracciones I y II; 176, 178, 181, 185 y 186 fracción II de la Ley de Transparencia y Acceso a la Información Pública del Estado de México y Municipios, este Pleno:</w:t>
      </w:r>
    </w:p>
    <w:p w14:paraId="37BE32EA" w14:textId="77777777" w:rsidR="000B1642" w:rsidRPr="004E7A2E" w:rsidRDefault="009F5022">
      <w:pPr>
        <w:spacing w:line="360" w:lineRule="auto"/>
        <w:jc w:val="center"/>
        <w:rPr>
          <w:rFonts w:ascii="Palatino Linotype" w:eastAsia="Palatino Linotype" w:hAnsi="Palatino Linotype" w:cs="Palatino Linotype"/>
          <w:b/>
          <w:sz w:val="22"/>
          <w:szCs w:val="22"/>
        </w:rPr>
      </w:pPr>
      <w:r w:rsidRPr="004E7A2E">
        <w:rPr>
          <w:rFonts w:ascii="Palatino Linotype" w:eastAsia="Palatino Linotype" w:hAnsi="Palatino Linotype" w:cs="Palatino Linotype"/>
          <w:b/>
          <w:sz w:val="22"/>
          <w:szCs w:val="22"/>
        </w:rPr>
        <w:t>R E S U E L V E</w:t>
      </w:r>
    </w:p>
    <w:p w14:paraId="16B40796" w14:textId="77777777" w:rsidR="000B1642" w:rsidRPr="004E7A2E" w:rsidRDefault="000B1642">
      <w:pPr>
        <w:spacing w:line="360" w:lineRule="auto"/>
        <w:ind w:left="1080"/>
        <w:rPr>
          <w:rFonts w:ascii="Palatino Linotype" w:eastAsia="Palatino Linotype" w:hAnsi="Palatino Linotype" w:cs="Palatino Linotype"/>
          <w:b/>
          <w:sz w:val="22"/>
          <w:szCs w:val="22"/>
        </w:rPr>
      </w:pPr>
    </w:p>
    <w:p w14:paraId="1393D166"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sz w:val="22"/>
          <w:szCs w:val="22"/>
        </w:rPr>
        <w:t>Primero.</w:t>
      </w:r>
      <w:r w:rsidRPr="004E7A2E">
        <w:rPr>
          <w:rFonts w:ascii="Palatino Linotype" w:eastAsia="Palatino Linotype" w:hAnsi="Palatino Linotype" w:cs="Palatino Linotype"/>
          <w:sz w:val="22"/>
          <w:szCs w:val="22"/>
        </w:rPr>
        <w:t xml:space="preserve"> Resultan </w:t>
      </w:r>
      <w:r w:rsidRPr="004E7A2E">
        <w:rPr>
          <w:rFonts w:ascii="Palatino Linotype" w:eastAsia="Palatino Linotype" w:hAnsi="Palatino Linotype" w:cs="Palatino Linotype"/>
          <w:b/>
          <w:sz w:val="22"/>
          <w:szCs w:val="22"/>
        </w:rPr>
        <w:t>fundados</w:t>
      </w:r>
      <w:r w:rsidRPr="004E7A2E">
        <w:rPr>
          <w:rFonts w:ascii="Palatino Linotype" w:eastAsia="Palatino Linotype" w:hAnsi="Palatino Linotype" w:cs="Palatino Linotype"/>
          <w:sz w:val="22"/>
          <w:szCs w:val="22"/>
        </w:rPr>
        <w:t xml:space="preserve"> los motivos de inconformidad hechos valer por la parte </w:t>
      </w:r>
      <w:r w:rsidRPr="004E7A2E">
        <w:rPr>
          <w:rFonts w:ascii="Palatino Linotype" w:eastAsia="Palatino Linotype" w:hAnsi="Palatino Linotype" w:cs="Palatino Linotype"/>
          <w:b/>
          <w:sz w:val="22"/>
          <w:szCs w:val="22"/>
        </w:rPr>
        <w:t>Recurrente</w:t>
      </w:r>
      <w:r w:rsidRPr="004E7A2E">
        <w:rPr>
          <w:rFonts w:ascii="Palatino Linotype" w:eastAsia="Palatino Linotype" w:hAnsi="Palatino Linotype" w:cs="Palatino Linotype"/>
          <w:sz w:val="22"/>
          <w:szCs w:val="22"/>
        </w:rPr>
        <w:t xml:space="preserve"> en el Recurso de Revisión </w:t>
      </w:r>
      <w:r w:rsidRPr="004E7A2E">
        <w:rPr>
          <w:rFonts w:ascii="Palatino Linotype" w:eastAsia="Palatino Linotype" w:hAnsi="Palatino Linotype" w:cs="Palatino Linotype"/>
          <w:b/>
          <w:sz w:val="22"/>
          <w:szCs w:val="22"/>
        </w:rPr>
        <w:t>03004/INFOEM/IP/RR/2025</w:t>
      </w:r>
      <w:r w:rsidRPr="004E7A2E">
        <w:rPr>
          <w:rFonts w:ascii="Palatino Linotype" w:eastAsia="Palatino Linotype" w:hAnsi="Palatino Linotype" w:cs="Palatino Linotype"/>
          <w:sz w:val="22"/>
          <w:szCs w:val="22"/>
        </w:rPr>
        <w:t xml:space="preserve">, por lo que, en términos del </w:t>
      </w:r>
      <w:r w:rsidRPr="004E7A2E">
        <w:rPr>
          <w:rFonts w:ascii="Palatino Linotype" w:eastAsia="Palatino Linotype" w:hAnsi="Palatino Linotype" w:cs="Palatino Linotype"/>
          <w:b/>
          <w:sz w:val="22"/>
          <w:szCs w:val="22"/>
        </w:rPr>
        <w:t xml:space="preserve">Considerando Cuarto </w:t>
      </w:r>
      <w:r w:rsidRPr="004E7A2E">
        <w:rPr>
          <w:rFonts w:ascii="Palatino Linotype" w:eastAsia="Palatino Linotype" w:hAnsi="Palatino Linotype" w:cs="Palatino Linotype"/>
          <w:sz w:val="22"/>
          <w:szCs w:val="22"/>
        </w:rPr>
        <w:t xml:space="preserve">de esta resolución, se </w:t>
      </w:r>
      <w:r w:rsidRPr="004E7A2E">
        <w:rPr>
          <w:rFonts w:ascii="Palatino Linotype" w:eastAsia="Palatino Linotype" w:hAnsi="Palatino Linotype" w:cs="Palatino Linotype"/>
          <w:b/>
          <w:sz w:val="22"/>
          <w:szCs w:val="22"/>
        </w:rPr>
        <w:t xml:space="preserve">Modifica </w:t>
      </w:r>
      <w:r w:rsidRPr="004E7A2E">
        <w:rPr>
          <w:rFonts w:ascii="Palatino Linotype" w:eastAsia="Palatino Linotype" w:hAnsi="Palatino Linotype" w:cs="Palatino Linotype"/>
          <w:sz w:val="22"/>
          <w:szCs w:val="22"/>
        </w:rPr>
        <w:t xml:space="preserve">la respuesta emitida por 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w:t>
      </w:r>
    </w:p>
    <w:p w14:paraId="28D4E99B" w14:textId="77777777" w:rsidR="000B1642" w:rsidRPr="004E7A2E" w:rsidRDefault="000B1642">
      <w:pPr>
        <w:spacing w:line="360" w:lineRule="auto"/>
        <w:ind w:right="49"/>
        <w:jc w:val="both"/>
        <w:rPr>
          <w:rFonts w:ascii="Palatino Linotype" w:eastAsia="Palatino Linotype" w:hAnsi="Palatino Linotype" w:cs="Palatino Linotype"/>
          <w:sz w:val="22"/>
          <w:szCs w:val="22"/>
        </w:rPr>
      </w:pPr>
    </w:p>
    <w:p w14:paraId="0B12B7F4"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sz w:val="22"/>
          <w:szCs w:val="22"/>
        </w:rPr>
        <w:lastRenderedPageBreak/>
        <w:t>Segundo</w:t>
      </w:r>
      <w:r w:rsidRPr="004E7A2E">
        <w:rPr>
          <w:rFonts w:ascii="Palatino Linotype" w:eastAsia="Palatino Linotype" w:hAnsi="Palatino Linotype" w:cs="Palatino Linotype"/>
          <w:sz w:val="22"/>
          <w:szCs w:val="22"/>
        </w:rPr>
        <w:t xml:space="preserve">. Se </w:t>
      </w:r>
      <w:r w:rsidRPr="004E7A2E">
        <w:rPr>
          <w:rFonts w:ascii="Palatino Linotype" w:eastAsia="Palatino Linotype" w:hAnsi="Palatino Linotype" w:cs="Palatino Linotype"/>
          <w:b/>
          <w:sz w:val="22"/>
          <w:szCs w:val="22"/>
        </w:rPr>
        <w:t>ordena</w:t>
      </w:r>
      <w:r w:rsidRPr="004E7A2E">
        <w:rPr>
          <w:rFonts w:ascii="Palatino Linotype" w:eastAsia="Palatino Linotype" w:hAnsi="Palatino Linotype" w:cs="Palatino Linotype"/>
          <w:sz w:val="22"/>
          <w:szCs w:val="22"/>
        </w:rPr>
        <w:t xml:space="preserve"> al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que, en términos del </w:t>
      </w:r>
      <w:r w:rsidRPr="004E7A2E">
        <w:rPr>
          <w:rFonts w:ascii="Palatino Linotype" w:eastAsia="Palatino Linotype" w:hAnsi="Palatino Linotype" w:cs="Palatino Linotype"/>
          <w:b/>
          <w:sz w:val="22"/>
          <w:szCs w:val="22"/>
        </w:rPr>
        <w:t>Considerando Cuarto y Quinto</w:t>
      </w:r>
      <w:r w:rsidRPr="004E7A2E">
        <w:rPr>
          <w:rFonts w:ascii="Palatino Linotype" w:eastAsia="Palatino Linotype" w:hAnsi="Palatino Linotype" w:cs="Palatino Linotype"/>
          <w:sz w:val="22"/>
          <w:szCs w:val="22"/>
        </w:rPr>
        <w:t xml:space="preserve">, haga entrega previa búsqueda exhaustiva y razonable, vía Sistema de Acceso a la Información Mexiquense, de ser procedente en versión pública, de lo siguiente: </w:t>
      </w:r>
    </w:p>
    <w:p w14:paraId="6827BA8B" w14:textId="77777777" w:rsidR="000B1642" w:rsidRPr="004E7A2E" w:rsidRDefault="000B1642">
      <w:pPr>
        <w:spacing w:line="360" w:lineRule="auto"/>
        <w:ind w:right="49"/>
        <w:jc w:val="both"/>
        <w:rPr>
          <w:rFonts w:ascii="Palatino Linotype" w:eastAsia="Palatino Linotype" w:hAnsi="Palatino Linotype" w:cs="Palatino Linotype"/>
          <w:sz w:val="22"/>
          <w:szCs w:val="22"/>
        </w:rPr>
      </w:pPr>
    </w:p>
    <w:p w14:paraId="572C5B75" w14:textId="77777777" w:rsidR="000B1642" w:rsidRPr="004E7A2E" w:rsidRDefault="009F5022">
      <w:pPr>
        <w:numPr>
          <w:ilvl w:val="0"/>
          <w:numId w:val="8"/>
        </w:numPr>
        <w:pBdr>
          <w:top w:val="nil"/>
          <w:left w:val="nil"/>
          <w:bottom w:val="nil"/>
          <w:right w:val="nil"/>
          <w:between w:val="nil"/>
        </w:pBdr>
        <w:spacing w:line="360" w:lineRule="auto"/>
        <w:ind w:left="851" w:right="616" w:hanging="425"/>
        <w:jc w:val="both"/>
        <w:rPr>
          <w:rFonts w:ascii="Palatino Linotype" w:eastAsia="Palatino Linotype" w:hAnsi="Palatino Linotype" w:cs="Palatino Linotype"/>
          <w:b/>
          <w:sz w:val="22"/>
          <w:szCs w:val="22"/>
        </w:rPr>
      </w:pPr>
      <w:r w:rsidRPr="004E7A2E">
        <w:rPr>
          <w:rFonts w:ascii="Palatino Linotype" w:eastAsia="Palatino Linotype" w:hAnsi="Palatino Linotype" w:cs="Palatino Linotype"/>
          <w:b/>
          <w:sz w:val="22"/>
          <w:szCs w:val="22"/>
        </w:rPr>
        <w:t xml:space="preserve">De los servidores públicos adscritos a la Unidad de Transparencia del Ayuntamiento de Toluca en funciones al veinte de febrero de dos mil veinticinco: </w:t>
      </w:r>
    </w:p>
    <w:p w14:paraId="5BBD8619" w14:textId="77777777" w:rsidR="000B1642" w:rsidRPr="004E7A2E" w:rsidRDefault="009F5022">
      <w:pPr>
        <w:numPr>
          <w:ilvl w:val="0"/>
          <w:numId w:val="9"/>
        </w:numPr>
        <w:pBdr>
          <w:top w:val="nil"/>
          <w:left w:val="nil"/>
          <w:bottom w:val="nil"/>
          <w:right w:val="nil"/>
          <w:between w:val="nil"/>
        </w:pBdr>
        <w:spacing w:line="360" w:lineRule="auto"/>
        <w:ind w:left="1276"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Plantilla de Personal </w:t>
      </w:r>
    </w:p>
    <w:p w14:paraId="10CE4AD2" w14:textId="77777777" w:rsidR="000B1642" w:rsidRPr="004E7A2E" w:rsidRDefault="009F5022">
      <w:pPr>
        <w:numPr>
          <w:ilvl w:val="0"/>
          <w:numId w:val="9"/>
        </w:numPr>
        <w:pBdr>
          <w:top w:val="nil"/>
          <w:left w:val="nil"/>
          <w:bottom w:val="nil"/>
          <w:right w:val="nil"/>
          <w:between w:val="nil"/>
        </w:pBdr>
        <w:spacing w:line="360" w:lineRule="auto"/>
        <w:ind w:left="1276" w:right="567"/>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Documento donde conste el control o registro de asistencia del personal adscrito a la Unidad de Transparencia del periodo comprendido del primero de enero al veinte de febrero de dos mil veinticinco; o bien, la autorización emitida por autoridad competente para omitir la elaboración de dicho control o exceptuar el registro de asistencia.</w:t>
      </w:r>
    </w:p>
    <w:p w14:paraId="551916AE" w14:textId="77777777" w:rsidR="000B1642" w:rsidRPr="004E7A2E" w:rsidRDefault="009F5022">
      <w:pPr>
        <w:numPr>
          <w:ilvl w:val="0"/>
          <w:numId w:val="9"/>
        </w:numPr>
        <w:pBdr>
          <w:top w:val="nil"/>
          <w:left w:val="nil"/>
          <w:bottom w:val="nil"/>
          <w:right w:val="nil"/>
          <w:between w:val="nil"/>
        </w:pBdr>
        <w:spacing w:line="360" w:lineRule="auto"/>
        <w:ind w:left="1276"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Horario laboral, vigente al veinte de febrero de dos mil veinticinco.</w:t>
      </w:r>
    </w:p>
    <w:p w14:paraId="3E87FA7C" w14:textId="77777777" w:rsidR="000B1642" w:rsidRPr="004E7A2E" w:rsidRDefault="009F5022">
      <w:pPr>
        <w:numPr>
          <w:ilvl w:val="0"/>
          <w:numId w:val="9"/>
        </w:numPr>
        <w:pBdr>
          <w:top w:val="nil"/>
          <w:left w:val="nil"/>
          <w:bottom w:val="nil"/>
          <w:right w:val="nil"/>
          <w:between w:val="nil"/>
        </w:pBdr>
        <w:spacing w:line="360" w:lineRule="auto"/>
        <w:ind w:left="1276"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El o los documentos que den cuenta del resguardo de bienes a cargo de los servidores públicos</w:t>
      </w:r>
    </w:p>
    <w:p w14:paraId="01A148C2" w14:textId="77777777" w:rsidR="000B1642" w:rsidRPr="004E7A2E" w:rsidRDefault="009F5022">
      <w:pPr>
        <w:numPr>
          <w:ilvl w:val="0"/>
          <w:numId w:val="9"/>
        </w:numPr>
        <w:pBdr>
          <w:top w:val="nil"/>
          <w:left w:val="nil"/>
          <w:bottom w:val="nil"/>
          <w:right w:val="nil"/>
          <w:between w:val="nil"/>
        </w:pBdr>
        <w:spacing w:line="360" w:lineRule="auto"/>
        <w:ind w:left="1276"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Gafetes Institucionales </w:t>
      </w:r>
    </w:p>
    <w:p w14:paraId="2370E88F" w14:textId="77777777" w:rsidR="000B1642" w:rsidRPr="004E7A2E" w:rsidRDefault="009F5022">
      <w:pPr>
        <w:numPr>
          <w:ilvl w:val="0"/>
          <w:numId w:val="9"/>
        </w:numPr>
        <w:pBdr>
          <w:top w:val="nil"/>
          <w:left w:val="nil"/>
          <w:bottom w:val="nil"/>
          <w:right w:val="nil"/>
          <w:between w:val="nil"/>
        </w:pBdr>
        <w:spacing w:line="360" w:lineRule="auto"/>
        <w:ind w:left="1276"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El documento en donde consten las funciones de los servidores públicos faltantes</w:t>
      </w:r>
    </w:p>
    <w:p w14:paraId="3D9684A0" w14:textId="77777777" w:rsidR="000B1642" w:rsidRPr="004E7A2E" w:rsidRDefault="009F5022">
      <w:pPr>
        <w:numPr>
          <w:ilvl w:val="0"/>
          <w:numId w:val="9"/>
        </w:numPr>
        <w:pBdr>
          <w:top w:val="nil"/>
          <w:left w:val="nil"/>
          <w:bottom w:val="nil"/>
          <w:right w:val="nil"/>
          <w:between w:val="nil"/>
        </w:pBdr>
        <w:spacing w:line="360" w:lineRule="auto"/>
        <w:ind w:left="1276"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El documento que dé cuenta de la evidencia de sus funciones</w:t>
      </w:r>
    </w:p>
    <w:p w14:paraId="526AC8D3" w14:textId="77777777" w:rsidR="000B1642" w:rsidRPr="004E7A2E" w:rsidRDefault="009F5022">
      <w:pPr>
        <w:numPr>
          <w:ilvl w:val="0"/>
          <w:numId w:val="9"/>
        </w:numPr>
        <w:pBdr>
          <w:top w:val="nil"/>
          <w:left w:val="nil"/>
          <w:bottom w:val="nil"/>
          <w:right w:val="nil"/>
          <w:between w:val="nil"/>
        </w:pBdr>
        <w:spacing w:line="360" w:lineRule="auto"/>
        <w:ind w:left="1276"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Informe diario de actividades del primero de enero al veinte de febrero de dos mil veinticinco, </w:t>
      </w:r>
    </w:p>
    <w:p w14:paraId="65A72EF3" w14:textId="77777777" w:rsidR="000B1642" w:rsidRPr="004E7A2E" w:rsidRDefault="009F5022">
      <w:pPr>
        <w:numPr>
          <w:ilvl w:val="0"/>
          <w:numId w:val="9"/>
        </w:numPr>
        <w:pBdr>
          <w:top w:val="nil"/>
          <w:left w:val="nil"/>
          <w:bottom w:val="nil"/>
          <w:right w:val="nil"/>
          <w:between w:val="nil"/>
        </w:pBdr>
        <w:spacing w:line="360" w:lineRule="auto"/>
        <w:ind w:left="1276" w:right="616"/>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Oficios firmados por el Titular de la Unidad de Transparencia y los </w:t>
      </w:r>
      <w:proofErr w:type="gramStart"/>
      <w:r w:rsidRPr="004E7A2E">
        <w:rPr>
          <w:rFonts w:ascii="Palatino Linotype" w:eastAsia="Palatino Linotype" w:hAnsi="Palatino Linotype" w:cs="Palatino Linotype"/>
          <w:sz w:val="22"/>
          <w:szCs w:val="22"/>
        </w:rPr>
        <w:t>Jefes</w:t>
      </w:r>
      <w:proofErr w:type="gramEnd"/>
      <w:r w:rsidRPr="004E7A2E">
        <w:rPr>
          <w:rFonts w:ascii="Palatino Linotype" w:eastAsia="Palatino Linotype" w:hAnsi="Palatino Linotype" w:cs="Palatino Linotype"/>
          <w:sz w:val="22"/>
          <w:szCs w:val="22"/>
        </w:rPr>
        <w:t xml:space="preserve"> de Departamento de Acceso a la Información Pública y Protección de Datos Personales del Ayuntamiento de Toluca, del primero de enero al veinte de febrero de dos mil veinticinco.</w:t>
      </w:r>
    </w:p>
    <w:p w14:paraId="59C11A7C" w14:textId="77777777" w:rsidR="000B1642" w:rsidRPr="004E7A2E" w:rsidRDefault="009F5022">
      <w:pPr>
        <w:numPr>
          <w:ilvl w:val="0"/>
          <w:numId w:val="9"/>
        </w:numPr>
        <w:pBdr>
          <w:top w:val="nil"/>
          <w:left w:val="nil"/>
          <w:bottom w:val="nil"/>
          <w:right w:val="nil"/>
          <w:between w:val="nil"/>
        </w:pBdr>
        <w:spacing w:line="360" w:lineRule="auto"/>
        <w:ind w:left="1276" w:right="616" w:hanging="283"/>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sz w:val="22"/>
          <w:szCs w:val="22"/>
        </w:rPr>
        <w:lastRenderedPageBreak/>
        <w:t xml:space="preserve">Expedientes laborales completos (incluyendo currículum vitae, solicitud de empleo o documento análogo, certificado de no antecedentes penales, certificación de competencia laboral, comprobante de estudio y cursos). </w:t>
      </w:r>
    </w:p>
    <w:p w14:paraId="6021EAB3" w14:textId="77777777" w:rsidR="000B1642" w:rsidRPr="004E7A2E" w:rsidRDefault="009F5022">
      <w:pPr>
        <w:numPr>
          <w:ilvl w:val="0"/>
          <w:numId w:val="9"/>
        </w:numPr>
        <w:pBdr>
          <w:top w:val="nil"/>
          <w:left w:val="nil"/>
          <w:bottom w:val="nil"/>
          <w:right w:val="nil"/>
          <w:between w:val="nil"/>
        </w:pBdr>
        <w:spacing w:line="360" w:lineRule="auto"/>
        <w:ind w:left="1276" w:right="616" w:hanging="283"/>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sz w:val="22"/>
          <w:szCs w:val="22"/>
        </w:rPr>
        <w:t xml:space="preserve">El nombramiento, contrato o formato único de Movimientos de Personal. </w:t>
      </w:r>
    </w:p>
    <w:p w14:paraId="1035C533" w14:textId="77777777" w:rsidR="000B1642" w:rsidRPr="004E7A2E" w:rsidRDefault="000B164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79DAE5C7"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Debiendo acompañar con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w:t>
      </w:r>
      <w:r w:rsidRPr="004E7A2E">
        <w:rPr>
          <w:rFonts w:ascii="Palatino Linotype" w:eastAsia="Palatino Linotype" w:hAnsi="Palatino Linotype" w:cs="Palatino Linotype"/>
          <w:b/>
          <w:i/>
          <w:sz w:val="22"/>
          <w:szCs w:val="22"/>
        </w:rPr>
        <w:t>Recurrente</w:t>
      </w:r>
      <w:r w:rsidRPr="004E7A2E">
        <w:rPr>
          <w:rFonts w:ascii="Palatino Linotype" w:eastAsia="Palatino Linotype" w:hAnsi="Palatino Linotype" w:cs="Palatino Linotype"/>
          <w:i/>
          <w:sz w:val="22"/>
          <w:szCs w:val="22"/>
        </w:rPr>
        <w:t>, mismo que igualmente hará de su conocimiento.</w:t>
      </w:r>
    </w:p>
    <w:p w14:paraId="5DAE0298" w14:textId="77777777" w:rsidR="000B1642" w:rsidRPr="004E7A2E" w:rsidRDefault="000B164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77A6726F"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Para el caso de que no cuente con la información que se ordena entregar en los incisos g) y h), por no haberse generado, poseído y/o administrado, deberá hacerlo del conocimiento de la persona </w:t>
      </w:r>
      <w:r w:rsidRPr="004E7A2E">
        <w:rPr>
          <w:rFonts w:ascii="Palatino Linotype" w:eastAsia="Palatino Linotype" w:hAnsi="Palatino Linotype" w:cs="Palatino Linotype"/>
          <w:b/>
          <w:i/>
          <w:sz w:val="22"/>
          <w:szCs w:val="22"/>
        </w:rPr>
        <w:t>Recurrente</w:t>
      </w:r>
      <w:r w:rsidRPr="004E7A2E">
        <w:rPr>
          <w:rFonts w:ascii="Palatino Linotype" w:eastAsia="Palatino Linotype" w:hAnsi="Palatino Linotype" w:cs="Palatino Linotype"/>
          <w:i/>
          <w:sz w:val="22"/>
          <w:szCs w:val="22"/>
        </w:rPr>
        <w:t xml:space="preserve"> de manera precisa y clara.</w:t>
      </w:r>
    </w:p>
    <w:p w14:paraId="4780F7C5" w14:textId="77777777" w:rsidR="000B1642" w:rsidRPr="004E7A2E" w:rsidRDefault="000B164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39AE2CB0" w14:textId="77777777" w:rsidR="000B1642" w:rsidRPr="004E7A2E" w:rsidRDefault="009F502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De no contar con el registro de asistencia o con la autorización para omitir el registro de asistencia de alguno de los servidores público adscritos a la Unidad de Transparencia, deberá proporcionar el Acuerdo del Comité de Transparencia donde conforme la inexistencia de la información conforme a lo establecido en el artículo 19, párrafo tercero, 169 y 170 de la Ley de Transparencia y Acceso a la Información Pública del Estado de México y Municipios</w:t>
      </w:r>
    </w:p>
    <w:p w14:paraId="69F539E5" w14:textId="77777777" w:rsidR="000B1642" w:rsidRPr="004E7A2E" w:rsidRDefault="000B1642">
      <w:pPr>
        <w:pBdr>
          <w:top w:val="nil"/>
          <w:left w:val="nil"/>
          <w:bottom w:val="nil"/>
          <w:right w:val="nil"/>
          <w:between w:val="nil"/>
        </w:pBdr>
        <w:spacing w:line="276" w:lineRule="auto"/>
        <w:ind w:left="720"/>
        <w:jc w:val="both"/>
        <w:rPr>
          <w:rFonts w:ascii="Palatino Linotype" w:eastAsia="Palatino Linotype" w:hAnsi="Palatino Linotype" w:cs="Palatino Linotype"/>
          <w:i/>
          <w:sz w:val="22"/>
          <w:szCs w:val="22"/>
        </w:rPr>
      </w:pPr>
    </w:p>
    <w:p w14:paraId="7FBAFDD9" w14:textId="77777777" w:rsidR="000B1642" w:rsidRPr="004E7A2E" w:rsidRDefault="009F5022">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t xml:space="preserve">Para el caso de que el </w:t>
      </w:r>
      <w:r w:rsidRPr="004E7A2E">
        <w:rPr>
          <w:rFonts w:ascii="Palatino Linotype" w:eastAsia="Palatino Linotype" w:hAnsi="Palatino Linotype" w:cs="Palatino Linotype"/>
          <w:b/>
          <w:i/>
          <w:sz w:val="22"/>
          <w:szCs w:val="22"/>
        </w:rPr>
        <w:t>Sujeto Obligado</w:t>
      </w:r>
      <w:r w:rsidRPr="004E7A2E">
        <w:rPr>
          <w:rFonts w:ascii="Palatino Linotype" w:eastAsia="Palatino Linotype" w:hAnsi="Palatino Linotype" w:cs="Palatino Linotype"/>
          <w:i/>
          <w:sz w:val="22"/>
          <w:szCs w:val="22"/>
        </w:rPr>
        <w:t xml:space="preserve"> no cuente con oficios firmados en algunos de los días del periodo que se está ordenando o algunos oficios hayan sido cancelados, bastará con que así lo haga del conocimiento de la parte </w:t>
      </w:r>
      <w:r w:rsidRPr="004E7A2E">
        <w:rPr>
          <w:rFonts w:ascii="Palatino Linotype" w:eastAsia="Palatino Linotype" w:hAnsi="Palatino Linotype" w:cs="Palatino Linotype"/>
          <w:b/>
          <w:i/>
          <w:sz w:val="22"/>
          <w:szCs w:val="22"/>
        </w:rPr>
        <w:t>Recurrente</w:t>
      </w:r>
      <w:r w:rsidRPr="004E7A2E">
        <w:rPr>
          <w:rFonts w:ascii="Palatino Linotype" w:eastAsia="Palatino Linotype" w:hAnsi="Palatino Linotype" w:cs="Palatino Linotype"/>
          <w:i/>
          <w:sz w:val="22"/>
          <w:szCs w:val="22"/>
        </w:rPr>
        <w:t>, de manera clara y precisa, en términos del artículo 19, párrafo segundo de la Ley de Transparencia y Acceso a la Información pública del Estado de México y Municipios para tener por colmado el requerimiento de información.</w:t>
      </w:r>
    </w:p>
    <w:p w14:paraId="43A9711B" w14:textId="77777777" w:rsidR="000B1642" w:rsidRPr="004E7A2E" w:rsidRDefault="000B1642">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p>
    <w:p w14:paraId="5664FBA3" w14:textId="77777777" w:rsidR="000B1642" w:rsidRPr="004E7A2E" w:rsidRDefault="009F5022">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4E7A2E">
        <w:rPr>
          <w:rFonts w:ascii="Palatino Linotype" w:eastAsia="Palatino Linotype" w:hAnsi="Palatino Linotype" w:cs="Palatino Linotype"/>
          <w:i/>
          <w:sz w:val="22"/>
          <w:szCs w:val="22"/>
        </w:rPr>
        <w:lastRenderedPageBreak/>
        <w:t xml:space="preserve">Para el caso de no contar con la información que se ordena en el inciso j) respecto de los documentos donde conste el certificado de no antecedentes penales, certificación de competencia laboral (por no ser requisito o bien estar en tiempo para su acreditación), comprobante de estudio y cursos (por no ser requisito), bastará con que así lo haga del conocimiento de la parte </w:t>
      </w:r>
      <w:r w:rsidRPr="004E7A2E">
        <w:rPr>
          <w:rFonts w:ascii="Palatino Linotype" w:eastAsia="Palatino Linotype" w:hAnsi="Palatino Linotype" w:cs="Palatino Linotype"/>
          <w:b/>
          <w:i/>
          <w:sz w:val="22"/>
          <w:szCs w:val="22"/>
        </w:rPr>
        <w:t>Recurrente</w:t>
      </w:r>
      <w:r w:rsidRPr="004E7A2E">
        <w:rPr>
          <w:rFonts w:ascii="Palatino Linotype" w:eastAsia="Palatino Linotype" w:hAnsi="Palatino Linotype" w:cs="Palatino Linotype"/>
          <w:i/>
          <w:sz w:val="22"/>
          <w:szCs w:val="22"/>
        </w:rPr>
        <w:t xml:space="preserve">, de manera clara y precisa, en términos del artículo 19, párrafo segundo de la Ley de Transparencia y Acceso a la Información pública del Estado de México y Municipios. </w:t>
      </w:r>
    </w:p>
    <w:p w14:paraId="7B168C74" w14:textId="77777777" w:rsidR="000B1642" w:rsidRPr="004E7A2E" w:rsidRDefault="000B1642">
      <w:pPr>
        <w:pBdr>
          <w:top w:val="nil"/>
          <w:left w:val="nil"/>
          <w:bottom w:val="nil"/>
          <w:right w:val="nil"/>
          <w:between w:val="nil"/>
        </w:pBdr>
        <w:spacing w:line="276" w:lineRule="auto"/>
        <w:ind w:left="720"/>
        <w:jc w:val="both"/>
        <w:rPr>
          <w:rFonts w:ascii="Palatino Linotype" w:eastAsia="Palatino Linotype" w:hAnsi="Palatino Linotype" w:cs="Palatino Linotype"/>
          <w:i/>
          <w:sz w:val="22"/>
          <w:szCs w:val="22"/>
        </w:rPr>
      </w:pPr>
    </w:p>
    <w:p w14:paraId="2B174217" w14:textId="77777777" w:rsidR="000B1642" w:rsidRPr="004E7A2E" w:rsidRDefault="009F5022">
      <w:pPr>
        <w:spacing w:line="360" w:lineRule="auto"/>
        <w:ind w:right="49"/>
        <w:jc w:val="both"/>
        <w:rPr>
          <w:rFonts w:ascii="Palatino Linotype" w:eastAsia="Palatino Linotype" w:hAnsi="Palatino Linotype" w:cs="Palatino Linotype"/>
          <w:b/>
          <w:sz w:val="22"/>
          <w:szCs w:val="22"/>
        </w:rPr>
      </w:pPr>
      <w:r w:rsidRPr="004E7A2E">
        <w:rPr>
          <w:rFonts w:ascii="Palatino Linotype" w:eastAsia="Palatino Linotype" w:hAnsi="Palatino Linotype" w:cs="Palatino Linotype"/>
          <w:b/>
          <w:sz w:val="22"/>
          <w:szCs w:val="22"/>
        </w:rPr>
        <w:t>Tercero.</w:t>
      </w:r>
      <w:r w:rsidRPr="004E7A2E">
        <w:rPr>
          <w:rFonts w:ascii="Palatino Linotype" w:eastAsia="Palatino Linotype" w:hAnsi="Palatino Linotype" w:cs="Palatino Linotype"/>
          <w:sz w:val="22"/>
          <w:szCs w:val="22"/>
        </w:rPr>
        <w:t xml:space="preserve"> </w:t>
      </w:r>
      <w:r w:rsidRPr="004E7A2E">
        <w:rPr>
          <w:rFonts w:ascii="Palatino Linotype" w:eastAsia="Palatino Linotype" w:hAnsi="Palatino Linotype" w:cs="Palatino Linotype"/>
          <w:b/>
          <w:sz w:val="22"/>
          <w:szCs w:val="22"/>
        </w:rPr>
        <w:t xml:space="preserve">Notifíquese </w:t>
      </w:r>
      <w:r w:rsidRPr="004E7A2E">
        <w:rPr>
          <w:rFonts w:ascii="Palatino Linotype" w:eastAsia="Palatino Linotype" w:hAnsi="Palatino Linotype" w:cs="Palatino Linotype"/>
          <w:sz w:val="22"/>
          <w:szCs w:val="22"/>
        </w:rPr>
        <w:t xml:space="preserve">la presente resolución </w:t>
      </w:r>
      <w:r w:rsidRPr="004E7A2E">
        <w:rPr>
          <w:rFonts w:ascii="Palatino Linotype" w:eastAsia="Palatino Linotype" w:hAnsi="Palatino Linotype" w:cs="Palatino Linotype"/>
          <w:b/>
          <w:sz w:val="22"/>
          <w:szCs w:val="22"/>
        </w:rPr>
        <w:t xml:space="preserve">vía SAIMEX </w:t>
      </w:r>
      <w:r w:rsidRPr="004E7A2E">
        <w:rPr>
          <w:rFonts w:ascii="Palatino Linotype" w:eastAsia="Palatino Linotype" w:hAnsi="Palatino Linotype" w:cs="Palatino Linotype"/>
          <w:sz w:val="22"/>
          <w:szCs w:val="22"/>
        </w:rPr>
        <w:t>al T</w:t>
      </w:r>
      <w:r w:rsidRPr="004E7A2E">
        <w:rPr>
          <w:rFonts w:ascii="Palatino Linotype" w:eastAsia="Palatino Linotype" w:hAnsi="Palatino Linotype" w:cs="Palatino Linotype"/>
          <w:b/>
          <w:sz w:val="22"/>
          <w:szCs w:val="22"/>
        </w:rPr>
        <w:t xml:space="preserve">itular de la Unidad de Transparencia </w:t>
      </w:r>
      <w:r w:rsidRPr="004E7A2E">
        <w:rPr>
          <w:rFonts w:ascii="Palatino Linotype" w:eastAsia="Palatino Linotype" w:hAnsi="Palatino Linotype" w:cs="Palatino Linotype"/>
          <w:sz w:val="22"/>
          <w:szCs w:val="22"/>
        </w:rPr>
        <w:t xml:space="preserve">del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64F4140" w14:textId="77777777" w:rsidR="000B1642" w:rsidRPr="004E7A2E" w:rsidRDefault="000B1642">
      <w:pPr>
        <w:spacing w:line="360" w:lineRule="auto"/>
        <w:ind w:right="49"/>
        <w:jc w:val="both"/>
        <w:rPr>
          <w:rFonts w:ascii="Palatino Linotype" w:eastAsia="Palatino Linotype" w:hAnsi="Palatino Linotype" w:cs="Palatino Linotype"/>
          <w:sz w:val="22"/>
          <w:szCs w:val="22"/>
        </w:rPr>
      </w:pPr>
    </w:p>
    <w:p w14:paraId="19870660"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sz w:val="22"/>
          <w:szCs w:val="22"/>
        </w:rPr>
        <w:t>Cuarto.</w:t>
      </w:r>
      <w:r w:rsidRPr="004E7A2E">
        <w:rPr>
          <w:rFonts w:ascii="Palatino Linotype" w:eastAsia="Palatino Linotype" w:hAnsi="Palatino Linotype" w:cs="Palatino Linotype"/>
          <w:sz w:val="22"/>
          <w:szCs w:val="22"/>
        </w:rPr>
        <w:t xml:space="preserve"> </w:t>
      </w:r>
      <w:r w:rsidRPr="004E7A2E">
        <w:rPr>
          <w:rFonts w:ascii="Palatino Linotype" w:eastAsia="Palatino Linotype" w:hAnsi="Palatino Linotype" w:cs="Palatino Linotype"/>
          <w:b/>
          <w:sz w:val="22"/>
          <w:szCs w:val="22"/>
        </w:rPr>
        <w:t xml:space="preserve">Notifíquese vía SAIMEX </w:t>
      </w:r>
      <w:r w:rsidRPr="004E7A2E">
        <w:rPr>
          <w:rFonts w:ascii="Palatino Linotype" w:eastAsia="Palatino Linotype" w:hAnsi="Palatino Linotype" w:cs="Palatino Linotype"/>
          <w:sz w:val="22"/>
          <w:szCs w:val="22"/>
        </w:rPr>
        <w:t xml:space="preserve">a la parte </w:t>
      </w:r>
      <w:r w:rsidRPr="004E7A2E">
        <w:rPr>
          <w:rFonts w:ascii="Palatino Linotype" w:eastAsia="Palatino Linotype" w:hAnsi="Palatino Linotype" w:cs="Palatino Linotype"/>
          <w:b/>
          <w:sz w:val="22"/>
          <w:szCs w:val="22"/>
        </w:rPr>
        <w:t xml:space="preserve">Recurrente </w:t>
      </w:r>
      <w:r w:rsidRPr="004E7A2E">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6C0C4758" w14:textId="77777777" w:rsidR="000B1642" w:rsidRPr="004E7A2E" w:rsidRDefault="000B1642">
      <w:pPr>
        <w:spacing w:line="360" w:lineRule="auto"/>
        <w:ind w:right="49"/>
        <w:jc w:val="both"/>
        <w:rPr>
          <w:rFonts w:ascii="Palatino Linotype" w:eastAsia="Palatino Linotype" w:hAnsi="Palatino Linotype" w:cs="Palatino Linotype"/>
          <w:sz w:val="22"/>
          <w:szCs w:val="22"/>
        </w:rPr>
      </w:pPr>
    </w:p>
    <w:p w14:paraId="2E19FD32" w14:textId="77777777" w:rsidR="000B1642" w:rsidRPr="004E7A2E" w:rsidRDefault="009F5022">
      <w:pPr>
        <w:spacing w:line="360" w:lineRule="auto"/>
        <w:ind w:right="49"/>
        <w:jc w:val="both"/>
        <w:rPr>
          <w:rFonts w:ascii="Palatino Linotype" w:eastAsia="Palatino Linotype" w:hAnsi="Palatino Linotype" w:cs="Palatino Linotype"/>
          <w:sz w:val="22"/>
          <w:szCs w:val="22"/>
        </w:rPr>
      </w:pPr>
      <w:r w:rsidRPr="004E7A2E">
        <w:rPr>
          <w:rFonts w:ascii="Palatino Linotype" w:eastAsia="Palatino Linotype" w:hAnsi="Palatino Linotype" w:cs="Palatino Linotype"/>
          <w:b/>
          <w:sz w:val="22"/>
          <w:szCs w:val="22"/>
        </w:rPr>
        <w:t>Quinto.</w:t>
      </w:r>
      <w:r w:rsidRPr="004E7A2E">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4E7A2E">
        <w:rPr>
          <w:rFonts w:ascii="Palatino Linotype" w:eastAsia="Palatino Linotype" w:hAnsi="Palatino Linotype" w:cs="Palatino Linotype"/>
          <w:b/>
          <w:sz w:val="22"/>
          <w:szCs w:val="22"/>
        </w:rPr>
        <w:t>Sujeto Obligado</w:t>
      </w:r>
      <w:r w:rsidRPr="004E7A2E">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36133551" w14:textId="77777777" w:rsidR="000B1642" w:rsidRPr="004E7A2E" w:rsidRDefault="000B1642">
      <w:pPr>
        <w:spacing w:line="360" w:lineRule="auto"/>
        <w:ind w:right="49"/>
        <w:jc w:val="both"/>
        <w:rPr>
          <w:rFonts w:ascii="Palatino Linotype" w:eastAsia="Palatino Linotype" w:hAnsi="Palatino Linotype" w:cs="Palatino Linotype"/>
          <w:sz w:val="22"/>
          <w:szCs w:val="22"/>
        </w:rPr>
      </w:pPr>
    </w:p>
    <w:p w14:paraId="19F12936" w14:textId="77777777" w:rsidR="000B1642" w:rsidRPr="001111FB" w:rsidRDefault="009F5022">
      <w:pPr>
        <w:spacing w:line="360" w:lineRule="auto"/>
        <w:jc w:val="both"/>
        <w:rPr>
          <w:rFonts w:ascii="Palatino Linotype" w:eastAsia="Palatino Linotype" w:hAnsi="Palatino Linotype" w:cs="Palatino Linotype"/>
          <w:sz w:val="22"/>
          <w:szCs w:val="22"/>
        </w:rPr>
        <w:sectPr w:rsidR="000B1642" w:rsidRPr="001111FB">
          <w:headerReference w:type="default" r:id="rId25"/>
          <w:footerReference w:type="default" r:id="rId26"/>
          <w:headerReference w:type="first" r:id="rId27"/>
          <w:footerReference w:type="first" r:id="rId28"/>
          <w:pgSz w:w="12240" w:h="15840"/>
          <w:pgMar w:top="2041" w:right="1750" w:bottom="1701" w:left="1701" w:header="709" w:footer="709" w:gutter="0"/>
          <w:pgNumType w:start="1"/>
          <w:cols w:space="720"/>
          <w:titlePg/>
        </w:sectPr>
      </w:pPr>
      <w:r w:rsidRPr="004E7A2E">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w:t>
      </w:r>
      <w:r w:rsidR="006F6879" w:rsidRPr="004E7A2E">
        <w:rPr>
          <w:rFonts w:ascii="Palatino Linotype" w:eastAsia="Palatino Linotype" w:hAnsi="Palatino Linotype" w:cs="Palatino Linotype"/>
          <w:sz w:val="22"/>
          <w:szCs w:val="22"/>
        </w:rPr>
        <w:t xml:space="preserve"> (EMITIENDO VOTO PARTICULAR)</w:t>
      </w:r>
      <w:r w:rsidRPr="004E7A2E">
        <w:rPr>
          <w:rFonts w:ascii="Palatino Linotype" w:eastAsia="Palatino Linotype" w:hAnsi="Palatino Linotype" w:cs="Palatino Linotype"/>
          <w:sz w:val="22"/>
          <w:szCs w:val="22"/>
        </w:rPr>
        <w:t>, MARÍA DEL ROSARIO MEJÍA AYALA</w:t>
      </w:r>
      <w:r w:rsidR="006F6879" w:rsidRPr="004E7A2E">
        <w:rPr>
          <w:rFonts w:ascii="Palatino Linotype" w:eastAsia="Palatino Linotype" w:hAnsi="Palatino Linotype" w:cs="Palatino Linotype"/>
          <w:sz w:val="22"/>
          <w:szCs w:val="22"/>
        </w:rPr>
        <w:t xml:space="preserve"> (EMITIENDO VOTO PARTICULAR)</w:t>
      </w:r>
      <w:r w:rsidRPr="004E7A2E">
        <w:rPr>
          <w:rFonts w:ascii="Palatino Linotype" w:eastAsia="Palatino Linotype" w:hAnsi="Palatino Linotype" w:cs="Palatino Linotype"/>
          <w:sz w:val="22"/>
          <w:szCs w:val="22"/>
        </w:rPr>
        <w:t>, SHARON CRISTINA MORALES MARTÍNEZ</w:t>
      </w:r>
      <w:r w:rsidR="006F6879" w:rsidRPr="004E7A2E">
        <w:rPr>
          <w:rFonts w:ascii="Palatino Linotype" w:eastAsia="Palatino Linotype" w:hAnsi="Palatino Linotype" w:cs="Palatino Linotype"/>
          <w:sz w:val="22"/>
          <w:szCs w:val="22"/>
        </w:rPr>
        <w:t xml:space="preserve"> (EMITIENDO VOTO PARTICULAR)</w:t>
      </w:r>
      <w:r w:rsidRPr="004E7A2E">
        <w:rPr>
          <w:rFonts w:ascii="Palatino Linotype" w:eastAsia="Palatino Linotype" w:hAnsi="Palatino Linotype" w:cs="Palatino Linotype"/>
          <w:sz w:val="22"/>
          <w:szCs w:val="22"/>
        </w:rPr>
        <w:t>, LUIS GUSTAVO PARRA NORIEGA</w:t>
      </w:r>
      <w:r w:rsidR="006F6879" w:rsidRPr="004E7A2E">
        <w:rPr>
          <w:rFonts w:ascii="Palatino Linotype" w:eastAsia="Palatino Linotype" w:hAnsi="Palatino Linotype" w:cs="Palatino Linotype"/>
          <w:sz w:val="22"/>
          <w:szCs w:val="22"/>
        </w:rPr>
        <w:t xml:space="preserve"> (EMITIENDO VOTO PARTICULAR)</w:t>
      </w:r>
      <w:r w:rsidRPr="004E7A2E">
        <w:rPr>
          <w:rFonts w:ascii="Palatino Linotype" w:eastAsia="Palatino Linotype" w:hAnsi="Palatino Linotype" w:cs="Palatino Linotype"/>
          <w:sz w:val="22"/>
          <w:szCs w:val="22"/>
        </w:rPr>
        <w:t xml:space="preserve"> Y GUADALUPE RAMÍREZ PEÑA</w:t>
      </w:r>
      <w:r w:rsidR="006F6879" w:rsidRPr="004E7A2E">
        <w:rPr>
          <w:rFonts w:ascii="Palatino Linotype" w:eastAsia="Palatino Linotype" w:hAnsi="Palatino Linotype" w:cs="Palatino Linotype"/>
          <w:sz w:val="22"/>
          <w:szCs w:val="22"/>
        </w:rPr>
        <w:t xml:space="preserve"> (EMITIENDO VOTO PARTICULAR)</w:t>
      </w:r>
      <w:r w:rsidRPr="004E7A2E">
        <w:rPr>
          <w:rFonts w:ascii="Palatino Linotype" w:eastAsia="Palatino Linotype" w:hAnsi="Palatino Linotype" w:cs="Palatino Linotype"/>
          <w:sz w:val="22"/>
          <w:szCs w:val="22"/>
        </w:rPr>
        <w:t xml:space="preserve">; EN LA </w:t>
      </w:r>
      <w:r w:rsidR="006F6879" w:rsidRPr="004E7A2E">
        <w:rPr>
          <w:rFonts w:ascii="Palatino Linotype" w:eastAsia="Palatino Linotype" w:hAnsi="Palatino Linotype" w:cs="Palatino Linotype"/>
          <w:sz w:val="22"/>
          <w:szCs w:val="22"/>
        </w:rPr>
        <w:t xml:space="preserve">VIGÉSIMA </w:t>
      </w:r>
      <w:r w:rsidRPr="004E7A2E">
        <w:rPr>
          <w:rFonts w:ascii="Palatino Linotype" w:eastAsia="Palatino Linotype" w:hAnsi="Palatino Linotype" w:cs="Palatino Linotype"/>
          <w:sz w:val="22"/>
          <w:szCs w:val="22"/>
        </w:rPr>
        <w:t xml:space="preserve">SESIÓN ORDINARIA CELEBRADA EL </w:t>
      </w:r>
      <w:r w:rsidR="006F6879" w:rsidRPr="004E7A2E">
        <w:rPr>
          <w:rFonts w:ascii="Palatino Linotype" w:eastAsia="Palatino Linotype" w:hAnsi="Palatino Linotype" w:cs="Palatino Linotype"/>
          <w:sz w:val="22"/>
          <w:szCs w:val="22"/>
        </w:rPr>
        <w:t>CUATRO DE JUNIO</w:t>
      </w:r>
      <w:r w:rsidRPr="004E7A2E">
        <w:rPr>
          <w:rFonts w:ascii="Palatino Linotype" w:eastAsia="Palatino Linotype" w:hAnsi="Palatino Linotype" w:cs="Palatino Linotype"/>
          <w:sz w:val="22"/>
          <w:szCs w:val="22"/>
        </w:rPr>
        <w:t xml:space="preserve"> DE DOS MIL VEINTICINCO, ANTE EL SECRETARIO TÉCNICO DEL PLENO ALEXIS TAPIA RAMÍREZ.</w:t>
      </w:r>
      <w:r w:rsidRPr="001111FB">
        <w:rPr>
          <w:rFonts w:ascii="Palatino Linotype" w:eastAsia="Palatino Linotype" w:hAnsi="Palatino Linotype" w:cs="Palatino Linotype"/>
          <w:sz w:val="22"/>
          <w:szCs w:val="22"/>
        </w:rPr>
        <w:t xml:space="preserve">                              </w:t>
      </w:r>
    </w:p>
    <w:p w14:paraId="53C6CCB7" w14:textId="77777777" w:rsidR="000B1642" w:rsidRPr="001111FB" w:rsidRDefault="000B1642">
      <w:pPr>
        <w:spacing w:line="360" w:lineRule="auto"/>
        <w:jc w:val="both"/>
        <w:rPr>
          <w:rFonts w:ascii="Palatino Linotype" w:eastAsia="Palatino Linotype" w:hAnsi="Palatino Linotype" w:cs="Palatino Linotype"/>
          <w:sz w:val="22"/>
          <w:szCs w:val="22"/>
        </w:rPr>
      </w:pPr>
      <w:bookmarkStart w:id="8" w:name="_heading=h.g048m79xmb7m" w:colFirst="0" w:colLast="0"/>
      <w:bookmarkEnd w:id="8"/>
    </w:p>
    <w:sectPr w:rsidR="000B1642" w:rsidRPr="001111FB">
      <w:headerReference w:type="first" r:id="rId29"/>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E5F68" w14:textId="77777777" w:rsidR="0029254E" w:rsidRDefault="0029254E">
      <w:r>
        <w:separator/>
      </w:r>
    </w:p>
  </w:endnote>
  <w:endnote w:type="continuationSeparator" w:id="0">
    <w:p w14:paraId="024D24DA" w14:textId="77777777" w:rsidR="0029254E" w:rsidRDefault="00292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B612A" w14:textId="77777777" w:rsidR="000B1642" w:rsidRDefault="009F502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E0176">
      <w:rPr>
        <w:rFonts w:ascii="Arial" w:eastAsia="Arial" w:hAnsi="Arial" w:cs="Arial"/>
        <w:b/>
        <w:noProof/>
        <w:color w:val="000000"/>
        <w:sz w:val="20"/>
        <w:szCs w:val="20"/>
      </w:rPr>
      <w:t>88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E0176">
      <w:rPr>
        <w:rFonts w:ascii="Arial" w:eastAsia="Arial" w:hAnsi="Arial" w:cs="Arial"/>
        <w:b/>
        <w:noProof/>
        <w:color w:val="000000"/>
        <w:sz w:val="20"/>
        <w:szCs w:val="20"/>
      </w:rPr>
      <w:t>89</w:t>
    </w:r>
    <w:r>
      <w:rPr>
        <w:rFonts w:ascii="Arial" w:eastAsia="Arial" w:hAnsi="Arial" w:cs="Arial"/>
        <w:b/>
        <w:color w:val="000000"/>
        <w:sz w:val="20"/>
        <w:szCs w:val="20"/>
      </w:rPr>
      <w:fldChar w:fldCharType="end"/>
    </w:r>
  </w:p>
  <w:p w14:paraId="01BB3DB0" w14:textId="77777777" w:rsidR="000B1642" w:rsidRDefault="000B1642">
    <w:pPr>
      <w:pBdr>
        <w:top w:val="nil"/>
        <w:left w:val="nil"/>
        <w:bottom w:val="nil"/>
        <w:right w:val="nil"/>
        <w:between w:val="nil"/>
      </w:pBdr>
      <w:tabs>
        <w:tab w:val="center" w:pos="4252"/>
        <w:tab w:val="right" w:pos="8504"/>
      </w:tabs>
      <w:rPr>
        <w:color w:val="000000"/>
      </w:rPr>
    </w:pPr>
  </w:p>
  <w:p w14:paraId="073A299C" w14:textId="77777777" w:rsidR="000B1642" w:rsidRDefault="000B1642">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CDD84" w14:textId="77777777" w:rsidR="000B1642" w:rsidRDefault="009F502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E0176">
      <w:rPr>
        <w:rFonts w:ascii="Arial" w:eastAsia="Arial" w:hAnsi="Arial" w:cs="Arial"/>
        <w:b/>
        <w:noProof/>
        <w:color w:val="000000"/>
        <w:sz w:val="20"/>
        <w:szCs w:val="20"/>
      </w:rPr>
      <w:t>89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E0176">
      <w:rPr>
        <w:rFonts w:ascii="Arial" w:eastAsia="Arial" w:hAnsi="Arial" w:cs="Arial"/>
        <w:b/>
        <w:noProof/>
        <w:color w:val="000000"/>
        <w:sz w:val="20"/>
        <w:szCs w:val="20"/>
      </w:rPr>
      <w:t>89</w:t>
    </w:r>
    <w:r>
      <w:rPr>
        <w:rFonts w:ascii="Arial" w:eastAsia="Arial" w:hAnsi="Arial" w:cs="Arial"/>
        <w:b/>
        <w:color w:val="000000"/>
        <w:sz w:val="20"/>
        <w:szCs w:val="20"/>
      </w:rPr>
      <w:fldChar w:fldCharType="end"/>
    </w:r>
  </w:p>
  <w:p w14:paraId="6DEAB896" w14:textId="77777777" w:rsidR="000B1642" w:rsidRDefault="000B1642">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F1342" w14:textId="77777777" w:rsidR="0029254E" w:rsidRDefault="0029254E">
      <w:r>
        <w:separator/>
      </w:r>
    </w:p>
  </w:footnote>
  <w:footnote w:type="continuationSeparator" w:id="0">
    <w:p w14:paraId="729D7544" w14:textId="77777777" w:rsidR="0029254E" w:rsidRDefault="0029254E">
      <w:r>
        <w:continuationSeparator/>
      </w:r>
    </w:p>
  </w:footnote>
  <w:footnote w:id="1">
    <w:p w14:paraId="246799E4" w14:textId="77777777" w:rsidR="000B1642" w:rsidRDefault="009F502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b/>
          <w:color w:val="000000"/>
          <w:sz w:val="16"/>
          <w:szCs w:val="16"/>
        </w:rPr>
        <w:t xml:space="preserve"> Artículo 53</w:t>
      </w:r>
      <w:r>
        <w:rPr>
          <w:rFonts w:ascii="Palatino Linotype" w:eastAsia="Palatino Linotype" w:hAnsi="Palatino Linotype" w:cs="Palatino Linotype"/>
          <w:color w:val="000000"/>
          <w:sz w:val="16"/>
          <w:szCs w:val="16"/>
        </w:rPr>
        <w:t>. Las Unidades de Transparencia tendrán las siguientes funciones:</w:t>
      </w:r>
    </w:p>
    <w:p w14:paraId="35879147" w14:textId="77777777" w:rsidR="000B1642" w:rsidRDefault="009F5022">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Recibir, tramitar y dar respuesta a las solicitudes de acceso a la información;</w:t>
      </w:r>
    </w:p>
    <w:p w14:paraId="2CDD1547" w14:textId="77777777" w:rsidR="000B1642" w:rsidRDefault="009F5022">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IV. Realizar, con efectividad, los trámites internos necesarios para la atención de las solicitudes de acceso a la información;</w:t>
      </w:r>
    </w:p>
  </w:footnote>
  <w:footnote w:id="2">
    <w:p w14:paraId="38861F62" w14:textId="77777777" w:rsidR="000B1642" w:rsidRDefault="009F502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162.</w:t>
      </w:r>
      <w:r>
        <w:rPr>
          <w:rFonts w:ascii="Palatino Linotype" w:eastAsia="Palatino Linotype" w:hAnsi="Palatino Linotype" w:cs="Palatino Linotype"/>
          <w:color w:val="000000"/>
          <w:sz w:val="16"/>
          <w:szCs w:val="16"/>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EE530" w14:textId="77777777" w:rsidR="000B1642" w:rsidRDefault="009F5022">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65B3DE74" wp14:editId="4069EC78">
          <wp:simplePos x="0" y="0"/>
          <wp:positionH relativeFrom="column">
            <wp:posOffset>-638173</wp:posOffset>
          </wp:positionH>
          <wp:positionV relativeFrom="paragraph">
            <wp:posOffset>-450213</wp:posOffset>
          </wp:positionV>
          <wp:extent cx="7809876" cy="10165823"/>
          <wp:effectExtent l="0" t="0" r="0" b="0"/>
          <wp:wrapNone/>
          <wp:docPr id="1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7"/>
      <w:tblW w:w="5528" w:type="dxa"/>
      <w:tblInd w:w="3261" w:type="dxa"/>
      <w:tblLayout w:type="fixed"/>
      <w:tblLook w:val="0400" w:firstRow="0" w:lastRow="0" w:firstColumn="0" w:lastColumn="0" w:noHBand="0" w:noVBand="1"/>
    </w:tblPr>
    <w:tblGrid>
      <w:gridCol w:w="2551"/>
      <w:gridCol w:w="2977"/>
    </w:tblGrid>
    <w:tr w:rsidR="000B1642" w14:paraId="27FD9036" w14:textId="77777777">
      <w:tc>
        <w:tcPr>
          <w:tcW w:w="2551" w:type="dxa"/>
          <w:vAlign w:val="center"/>
        </w:tcPr>
        <w:p w14:paraId="22EB506F" w14:textId="77777777" w:rsidR="000B1642" w:rsidRDefault="009F50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38797EAD" w14:textId="77777777" w:rsidR="000B1642" w:rsidRDefault="009F502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03004/INFOEM/IP/RR/2025</w:t>
          </w:r>
        </w:p>
      </w:tc>
    </w:tr>
    <w:tr w:rsidR="000B1642" w14:paraId="041D3492" w14:textId="77777777">
      <w:trPr>
        <w:trHeight w:val="228"/>
      </w:trPr>
      <w:tc>
        <w:tcPr>
          <w:tcW w:w="2551" w:type="dxa"/>
          <w:vAlign w:val="center"/>
        </w:tcPr>
        <w:p w14:paraId="45922788" w14:textId="77777777" w:rsidR="000B1642" w:rsidRDefault="009F50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130363ED" w14:textId="77777777" w:rsidR="000B1642" w:rsidRDefault="009F502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0B1642" w14:paraId="06240CC5" w14:textId="77777777">
      <w:tc>
        <w:tcPr>
          <w:tcW w:w="2551" w:type="dxa"/>
          <w:vAlign w:val="center"/>
        </w:tcPr>
        <w:p w14:paraId="6F7684BA" w14:textId="77777777" w:rsidR="000B1642" w:rsidRDefault="009F50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30CEBC8C" w14:textId="77777777" w:rsidR="000B1642" w:rsidRDefault="009F502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00AA71A" w14:textId="77777777" w:rsidR="000B1642" w:rsidRDefault="009F5022">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4828B" w14:textId="77777777" w:rsidR="000B1642" w:rsidRDefault="009F5022">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3AA199C0" wp14:editId="649432A4">
          <wp:simplePos x="0" y="0"/>
          <wp:positionH relativeFrom="column">
            <wp:posOffset>-798191</wp:posOffset>
          </wp:positionH>
          <wp:positionV relativeFrom="paragraph">
            <wp:posOffset>-399411</wp:posOffset>
          </wp:positionV>
          <wp:extent cx="7809876" cy="10165823"/>
          <wp:effectExtent l="0" t="0" r="0" b="0"/>
          <wp:wrapNone/>
          <wp:docPr id="16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8"/>
      <w:tblW w:w="6237" w:type="dxa"/>
      <w:tblInd w:w="2552" w:type="dxa"/>
      <w:tblLayout w:type="fixed"/>
      <w:tblLook w:val="0400" w:firstRow="0" w:lastRow="0" w:firstColumn="0" w:lastColumn="0" w:noHBand="0" w:noVBand="1"/>
    </w:tblPr>
    <w:tblGrid>
      <w:gridCol w:w="2551"/>
      <w:gridCol w:w="3686"/>
    </w:tblGrid>
    <w:tr w:rsidR="000B1642" w14:paraId="4B2C5E23" w14:textId="77777777">
      <w:tc>
        <w:tcPr>
          <w:tcW w:w="2551" w:type="dxa"/>
          <w:vAlign w:val="center"/>
        </w:tcPr>
        <w:p w14:paraId="0480B311" w14:textId="77777777" w:rsidR="000B1642" w:rsidRDefault="009F50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6" w:type="dxa"/>
          <w:vAlign w:val="center"/>
        </w:tcPr>
        <w:p w14:paraId="586238DD" w14:textId="77777777" w:rsidR="000B1642" w:rsidRDefault="009F502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03004/INFOEM/IP/RR/2025</w:t>
          </w:r>
        </w:p>
      </w:tc>
    </w:tr>
    <w:tr w:rsidR="000B1642" w14:paraId="5FC26224" w14:textId="77777777">
      <w:tc>
        <w:tcPr>
          <w:tcW w:w="2551" w:type="dxa"/>
          <w:vAlign w:val="center"/>
        </w:tcPr>
        <w:p w14:paraId="0024351E" w14:textId="77777777" w:rsidR="000B1642" w:rsidRDefault="009F5022">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6" w:type="dxa"/>
          <w:vAlign w:val="center"/>
        </w:tcPr>
        <w:p w14:paraId="08166F8E" w14:textId="77777777" w:rsidR="000B1642" w:rsidRDefault="000B1642">
          <w:pPr>
            <w:ind w:right="-533"/>
            <w:jc w:val="both"/>
            <w:rPr>
              <w:rFonts w:ascii="Palatino Linotype" w:eastAsia="Palatino Linotype" w:hAnsi="Palatino Linotype" w:cs="Palatino Linotype"/>
              <w:b/>
              <w:sz w:val="22"/>
              <w:szCs w:val="22"/>
            </w:rPr>
          </w:pPr>
        </w:p>
      </w:tc>
    </w:tr>
    <w:tr w:rsidR="000B1642" w14:paraId="340EC213" w14:textId="77777777">
      <w:trPr>
        <w:trHeight w:val="228"/>
      </w:trPr>
      <w:tc>
        <w:tcPr>
          <w:tcW w:w="2551" w:type="dxa"/>
          <w:vAlign w:val="center"/>
        </w:tcPr>
        <w:p w14:paraId="3F3BF934" w14:textId="77777777" w:rsidR="000B1642" w:rsidRDefault="009F50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6" w:type="dxa"/>
          <w:vAlign w:val="center"/>
        </w:tcPr>
        <w:p w14:paraId="7AD40D4A" w14:textId="77777777" w:rsidR="000B1642" w:rsidRDefault="009F5022">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0B1642" w14:paraId="0E6BE61E" w14:textId="77777777">
      <w:tc>
        <w:tcPr>
          <w:tcW w:w="2551" w:type="dxa"/>
          <w:vAlign w:val="center"/>
        </w:tcPr>
        <w:p w14:paraId="353825D9" w14:textId="77777777" w:rsidR="000B1642" w:rsidRDefault="009F50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6" w:type="dxa"/>
          <w:vAlign w:val="center"/>
        </w:tcPr>
        <w:p w14:paraId="4610D298" w14:textId="77777777" w:rsidR="000B1642" w:rsidRDefault="009F502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C67B8A8" w14:textId="77777777" w:rsidR="000B1642" w:rsidRDefault="000B1642">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AA285" w14:textId="77777777" w:rsidR="000B1642" w:rsidRDefault="000B1642">
    <w:pPr>
      <w:pBdr>
        <w:top w:val="nil"/>
        <w:left w:val="nil"/>
        <w:bottom w:val="nil"/>
        <w:right w:val="nil"/>
        <w:between w:val="nil"/>
      </w:pBdr>
      <w:tabs>
        <w:tab w:val="center" w:pos="4252"/>
        <w:tab w:val="right" w:pos="8504"/>
      </w:tabs>
      <w:jc w:val="both"/>
      <w:rPr>
        <w:rFonts w:ascii="Calibri" w:eastAsia="Calibri" w:hAnsi="Calibri" w:cs="Calibri"/>
        <w:color w:val="000000"/>
      </w:rPr>
    </w:pPr>
  </w:p>
  <w:p w14:paraId="6AC981B6" w14:textId="77777777" w:rsidR="000B1642" w:rsidRDefault="000B1642">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E7121"/>
    <w:multiLevelType w:val="multilevel"/>
    <w:tmpl w:val="B9B4C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945C10"/>
    <w:multiLevelType w:val="multilevel"/>
    <w:tmpl w:val="2A2071F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 w15:restartNumberingAfterBreak="0">
    <w:nsid w:val="16130B5A"/>
    <w:multiLevelType w:val="multilevel"/>
    <w:tmpl w:val="3FA8955A"/>
    <w:lvl w:ilvl="0">
      <w:start w:val="1"/>
      <w:numFmt w:val="lowerLetter"/>
      <w:lvlText w:val="%1."/>
      <w:lvlJc w:val="left"/>
      <w:pPr>
        <w:ind w:left="720" w:hanging="360"/>
      </w:pPr>
      <w:rPr>
        <w:b w:val="0"/>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BF0C7A"/>
    <w:multiLevelType w:val="multilevel"/>
    <w:tmpl w:val="A0E29C88"/>
    <w:lvl w:ilvl="0">
      <w:start w:val="1"/>
      <w:numFmt w:val="decimal"/>
      <w:lvlText w:val="%1."/>
      <w:lvlJc w:val="left"/>
      <w:pPr>
        <w:ind w:left="1440" w:hanging="360"/>
      </w:pPr>
      <w:rPr>
        <w:b w:val="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22653158"/>
    <w:multiLevelType w:val="multilevel"/>
    <w:tmpl w:val="9A4CDC3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4CB0E8A"/>
    <w:multiLevelType w:val="multilevel"/>
    <w:tmpl w:val="E230DD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08A2ED0"/>
    <w:multiLevelType w:val="multilevel"/>
    <w:tmpl w:val="481A7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A740275"/>
    <w:multiLevelType w:val="multilevel"/>
    <w:tmpl w:val="EB3E357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8" w15:restartNumberingAfterBreak="0">
    <w:nsid w:val="50AA60E3"/>
    <w:multiLevelType w:val="multilevel"/>
    <w:tmpl w:val="67022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1225806"/>
    <w:multiLevelType w:val="multilevel"/>
    <w:tmpl w:val="4E103D1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3496053"/>
    <w:multiLevelType w:val="multilevel"/>
    <w:tmpl w:val="3ACE3BB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9441E3F"/>
    <w:multiLevelType w:val="multilevel"/>
    <w:tmpl w:val="13C006DC"/>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D9546AE"/>
    <w:multiLevelType w:val="multilevel"/>
    <w:tmpl w:val="ABB858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0D56561"/>
    <w:multiLevelType w:val="multilevel"/>
    <w:tmpl w:val="272AF50A"/>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4" w15:restartNumberingAfterBreak="0">
    <w:nsid w:val="76A153E6"/>
    <w:multiLevelType w:val="multilevel"/>
    <w:tmpl w:val="DEB0B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BAC3E57"/>
    <w:multiLevelType w:val="multilevel"/>
    <w:tmpl w:val="A7D04EC0"/>
    <w:lvl w:ilvl="0">
      <w:start w:val="1"/>
      <w:numFmt w:val="upperRoman"/>
      <w:pStyle w:val="Listaconvietas3"/>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6" w15:restartNumberingAfterBreak="0">
    <w:nsid w:val="7CD1250A"/>
    <w:multiLevelType w:val="multilevel"/>
    <w:tmpl w:val="31D62B22"/>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num w:numId="1">
    <w:abstractNumId w:val="11"/>
  </w:num>
  <w:num w:numId="2">
    <w:abstractNumId w:val="8"/>
  </w:num>
  <w:num w:numId="3">
    <w:abstractNumId w:val="14"/>
  </w:num>
  <w:num w:numId="4">
    <w:abstractNumId w:val="15"/>
  </w:num>
  <w:num w:numId="5">
    <w:abstractNumId w:val="6"/>
  </w:num>
  <w:num w:numId="6">
    <w:abstractNumId w:val="9"/>
  </w:num>
  <w:num w:numId="7">
    <w:abstractNumId w:val="12"/>
  </w:num>
  <w:num w:numId="8">
    <w:abstractNumId w:val="13"/>
  </w:num>
  <w:num w:numId="9">
    <w:abstractNumId w:val="2"/>
  </w:num>
  <w:num w:numId="10">
    <w:abstractNumId w:val="0"/>
  </w:num>
  <w:num w:numId="11">
    <w:abstractNumId w:val="5"/>
  </w:num>
  <w:num w:numId="12">
    <w:abstractNumId w:val="3"/>
  </w:num>
  <w:num w:numId="13">
    <w:abstractNumId w:val="10"/>
  </w:num>
  <w:num w:numId="14">
    <w:abstractNumId w:val="4"/>
  </w:num>
  <w:num w:numId="15">
    <w:abstractNumId w:val="16"/>
  </w:num>
  <w:num w:numId="16">
    <w:abstractNumId w:val="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642"/>
    <w:rsid w:val="00047DF5"/>
    <w:rsid w:val="000B1642"/>
    <w:rsid w:val="001111FB"/>
    <w:rsid w:val="0029254E"/>
    <w:rsid w:val="003E0176"/>
    <w:rsid w:val="004E7A2E"/>
    <w:rsid w:val="00671A50"/>
    <w:rsid w:val="006F6879"/>
    <w:rsid w:val="009F50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2923B"/>
  <w15:docId w15:val="{8D0BF836-A33D-4598-A414-220654E22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631"/>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left w:w="108" w:type="dxa"/>
        <w:right w:w="108" w:type="dxa"/>
      </w:tblCellMar>
    </w:tbl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left w:w="108" w:type="dxa"/>
        <w:right w:w="108" w:type="dxa"/>
      </w:tblCellMar>
    </w:tblPr>
  </w:style>
  <w:style w:type="table" w:customStyle="1" w:styleId="a8">
    <w:basedOn w:val="TableNormal4"/>
    <w:tblPr>
      <w:tblStyleRowBandSize w:val="1"/>
      <w:tblStyleColBandSize w:val="1"/>
      <w:tblCellMar>
        <w:left w:w="108" w:type="dxa"/>
        <w:right w:w="108"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4"/>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f1">
    <w:basedOn w:val="TableNormal1"/>
    <w:tblPr>
      <w:tblStyleRowBandSize w:val="1"/>
      <w:tblStyleColBandSize w:val="1"/>
      <w:tblCellMar>
        <w:left w:w="108" w:type="dxa"/>
        <w:right w:w="108"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2.toluca.gob.mx/wp-content/uploads/2024/10/02-MO-SA.pdf" TargetMode="External"/><Relationship Id="rId13" Type="http://schemas.openxmlformats.org/officeDocument/2006/relationships/hyperlink" Target="https://www2.toluca.gob.mx/wp-content/uploads/2024/10/02-MO-SA.pdf"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3.png"/><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ces.cs.buap.mx/SATCA.pdf" TargetMode="External"/><Relationship Id="rId5" Type="http://schemas.openxmlformats.org/officeDocument/2006/relationships/webSettings" Target="webSettings.xml"/><Relationship Id="rId15" Type="http://schemas.openxmlformats.org/officeDocument/2006/relationships/hyperlink" Target="https://www2.toluca.gob.mx/wp-content/uploads/2024/10/02-MO-SA.pdf" TargetMode="External"/><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hyperlink" Target="https://www2.toluca.gob.mx/wp-content/uploads/2024/10/02-MO-SA.pdf"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2.toluca.gob.mx/wp-content/uploads/2024/10/02-MO-SA.pdf"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YC0EznQYjv2Bd9AHVysCJqXVhw==">CgMxLjAyCWguM3pueXNoNzIOaC5nc3NwbzJiazg2eGEyCGguZ2pkZ3hzMg5oLnM2eHRld3d2eGZsZTIJaC4zMGowemxsMg5oLjdjYnJ6ajQzZG5lbTIOaC51OXB6OXliY2ZwbXIyDmguZGJwZmNwZmQ2amFmMg5oLmcwNDhtNzl4bWI3bTgAciExZFJONnlqSm1mM0VtRHVrX3ZNLUZuRHg2dFhIbHBaR2w=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89</Pages>
  <Words>23536</Words>
  <Characters>129448</Characters>
  <Application>Microsoft Office Word</Application>
  <DocSecurity>0</DocSecurity>
  <Lines>1078</Lines>
  <Paragraphs>305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152679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2025-06-06T20:35:00Z</cp:lastPrinted>
  <dcterms:created xsi:type="dcterms:W3CDTF">2025-06-27T01:49:00Z</dcterms:created>
  <dcterms:modified xsi:type="dcterms:W3CDTF">2025-06-27T01:49:00Z</dcterms:modified>
</cp:coreProperties>
</file>