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F1E" w:rsidRPr="007119F4" w:rsidRDefault="00D16212">
      <w:pPr>
        <w:spacing w:line="360" w:lineRule="auto"/>
        <w:ind w:right="49" w:hanging="22"/>
        <w:jc w:val="both"/>
        <w:rPr>
          <w:rFonts w:ascii="Palatino Linotype" w:eastAsia="Palatino Linotype" w:hAnsi="Palatino Linotype" w:cs="Palatino Linotype"/>
          <w:sz w:val="22"/>
          <w:szCs w:val="22"/>
        </w:rPr>
      </w:pPr>
      <w:bookmarkStart w:id="0" w:name="_heading=h.7u7g1ys3rhpt" w:colFirst="0" w:colLast="0"/>
      <w:bookmarkEnd w:id="0"/>
      <w:r w:rsidRPr="007119F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7119F4">
        <w:rPr>
          <w:rFonts w:ascii="Palatino Linotype" w:eastAsia="Palatino Linotype" w:hAnsi="Palatino Linotype" w:cs="Palatino Linotype"/>
          <w:b/>
          <w:bCs/>
          <w:sz w:val="22"/>
          <w:szCs w:val="22"/>
        </w:rPr>
        <w:t>tres de diciembre</w:t>
      </w:r>
      <w:r w:rsidRPr="007119F4">
        <w:rPr>
          <w:rFonts w:ascii="Palatino Linotype" w:eastAsia="Palatino Linotype" w:hAnsi="Palatino Linotype" w:cs="Palatino Linotype"/>
          <w:sz w:val="22"/>
          <w:szCs w:val="22"/>
        </w:rPr>
        <w:t xml:space="preserve"> </w:t>
      </w:r>
      <w:r w:rsidRPr="007119F4">
        <w:rPr>
          <w:rFonts w:ascii="Palatino Linotype" w:eastAsia="Palatino Linotype" w:hAnsi="Palatino Linotype" w:cs="Palatino Linotype"/>
          <w:b/>
          <w:bCs/>
          <w:sz w:val="22"/>
          <w:szCs w:val="22"/>
        </w:rPr>
        <w:t xml:space="preserve">de dos mil veinticinco. </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spacing w:line="360" w:lineRule="auto"/>
        <w:ind w:right="49"/>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VISTO </w:t>
      </w:r>
      <w:r w:rsidRPr="007119F4">
        <w:rPr>
          <w:rFonts w:ascii="Palatino Linotype" w:eastAsia="Palatino Linotype" w:hAnsi="Palatino Linotype" w:cs="Palatino Linotype"/>
          <w:sz w:val="22"/>
          <w:szCs w:val="22"/>
        </w:rPr>
        <w:t xml:space="preserve">el expediente relativo al recurso de revisión </w:t>
      </w:r>
      <w:r w:rsidRPr="007119F4">
        <w:rPr>
          <w:rFonts w:ascii="Palatino Linotype" w:eastAsia="Palatino Linotype" w:hAnsi="Palatino Linotype" w:cs="Palatino Linotype"/>
          <w:b/>
          <w:bCs/>
          <w:sz w:val="22"/>
          <w:szCs w:val="22"/>
        </w:rPr>
        <w:t xml:space="preserve">10919/INFOEM/IP/RR/2025, </w:t>
      </w:r>
      <w:r w:rsidRPr="007119F4">
        <w:rPr>
          <w:rFonts w:ascii="Palatino Linotype" w:eastAsia="Palatino Linotype" w:hAnsi="Palatino Linotype" w:cs="Palatino Linotype"/>
          <w:sz w:val="22"/>
          <w:szCs w:val="22"/>
        </w:rPr>
        <w:t xml:space="preserve">interpuesto por </w:t>
      </w:r>
      <w:r w:rsidR="006F58ED" w:rsidRPr="006F58ED">
        <w:rPr>
          <w:rFonts w:ascii="Palatino Linotype" w:eastAsia="Palatino Linotype" w:hAnsi="Palatino Linotype" w:cs="Palatino Linotype"/>
          <w:b/>
          <w:bCs/>
          <w:sz w:val="22"/>
          <w:szCs w:val="22"/>
        </w:rPr>
        <w:t>XXXXX XX X XXX XXXXXX XXXXXXX</w:t>
      </w:r>
      <w:r w:rsidRPr="006F58ED">
        <w:rPr>
          <w:rFonts w:ascii="Palatino Linotype" w:eastAsia="Palatino Linotype" w:hAnsi="Palatino Linotype" w:cs="Palatino Linotype"/>
          <w:b/>
          <w:bCs/>
          <w:sz w:val="22"/>
          <w:szCs w:val="22"/>
        </w:rPr>
        <w:t>,</w:t>
      </w:r>
      <w:bookmarkStart w:id="1" w:name="_GoBack"/>
      <w:bookmarkEnd w:id="1"/>
      <w:r w:rsidRPr="007119F4">
        <w:rPr>
          <w:rFonts w:ascii="Palatino Linotype" w:eastAsia="Palatino Linotype" w:hAnsi="Palatino Linotype" w:cs="Palatino Linotype"/>
          <w:sz w:val="22"/>
          <w:szCs w:val="22"/>
        </w:rPr>
        <w:t xml:space="preserve"> en lo sucesivo la parte </w:t>
      </w:r>
      <w:r w:rsidRPr="007119F4">
        <w:rPr>
          <w:rFonts w:ascii="Palatino Linotype" w:eastAsia="Palatino Linotype" w:hAnsi="Palatino Linotype" w:cs="Palatino Linotype"/>
          <w:b/>
          <w:bCs/>
          <w:sz w:val="22"/>
          <w:szCs w:val="22"/>
        </w:rPr>
        <w:t>Recurrente</w:t>
      </w:r>
      <w:r w:rsidRPr="007119F4">
        <w:rPr>
          <w:rFonts w:ascii="Palatino Linotype" w:eastAsia="Palatino Linotype" w:hAnsi="Palatino Linotype" w:cs="Palatino Linotype"/>
          <w:sz w:val="22"/>
          <w:szCs w:val="22"/>
        </w:rPr>
        <w:t xml:space="preserve">, en contra de la respuesta a la solicitud de información por parte del </w:t>
      </w:r>
      <w:r w:rsidRPr="007119F4">
        <w:rPr>
          <w:rFonts w:ascii="Palatino Linotype" w:eastAsia="Palatino Linotype" w:hAnsi="Palatino Linotype" w:cs="Palatino Linotype"/>
          <w:b/>
          <w:bCs/>
          <w:sz w:val="22"/>
          <w:szCs w:val="22"/>
        </w:rPr>
        <w:t>Ayuntamiento de Almoloya de Juárez</w:t>
      </w:r>
      <w:r w:rsidRPr="007119F4">
        <w:rPr>
          <w:rFonts w:ascii="Palatino Linotype" w:eastAsia="Palatino Linotype" w:hAnsi="Palatino Linotype" w:cs="Palatino Linotype"/>
          <w:sz w:val="22"/>
          <w:szCs w:val="22"/>
        </w:rPr>
        <w:t xml:space="preserve">, en lo sucesivo el </w:t>
      </w:r>
      <w:r w:rsidRPr="007119F4">
        <w:rPr>
          <w:rFonts w:ascii="Palatino Linotype" w:eastAsia="Palatino Linotype" w:hAnsi="Palatino Linotype" w:cs="Palatino Linotype"/>
          <w:b/>
          <w:bCs/>
          <w:sz w:val="22"/>
          <w:szCs w:val="22"/>
        </w:rPr>
        <w:t xml:space="preserve">Sujeto Obligado; </w:t>
      </w:r>
      <w:r w:rsidRPr="007119F4">
        <w:rPr>
          <w:rFonts w:ascii="Palatino Linotype" w:eastAsia="Palatino Linotype" w:hAnsi="Palatino Linotype" w:cs="Palatino Linotype"/>
          <w:sz w:val="22"/>
          <w:szCs w:val="22"/>
        </w:rPr>
        <w:t>se procede a dictar la presente resolución, con base en lo siguiente.</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spacing w:line="360" w:lineRule="auto"/>
        <w:ind w:right="49"/>
        <w:jc w:val="center"/>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I.</w:t>
      </w:r>
      <w:r w:rsidRPr="007119F4">
        <w:rPr>
          <w:rFonts w:ascii="Palatino Linotype" w:eastAsia="Palatino Linotype" w:hAnsi="Palatino Linotype" w:cs="Palatino Linotype"/>
          <w:b/>
          <w:bCs/>
          <w:sz w:val="22"/>
          <w:szCs w:val="22"/>
        </w:rPr>
        <w:tab/>
        <w:t>A N T E C E D E N T E S</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1.</w:t>
      </w:r>
      <w:r w:rsidRPr="007119F4">
        <w:rPr>
          <w:rFonts w:ascii="Palatino Linotype" w:eastAsia="Palatino Linotype" w:hAnsi="Palatino Linotype" w:cs="Palatino Linotype"/>
          <w:sz w:val="22"/>
          <w:szCs w:val="22"/>
        </w:rPr>
        <w:t xml:space="preserve"> </w:t>
      </w:r>
      <w:r w:rsidRPr="007119F4">
        <w:rPr>
          <w:rFonts w:ascii="Palatino Linotype" w:eastAsia="Palatino Linotype" w:hAnsi="Palatino Linotype" w:cs="Palatino Linotype"/>
          <w:b/>
          <w:bCs/>
          <w:sz w:val="22"/>
          <w:szCs w:val="22"/>
        </w:rPr>
        <w:t>Solicitud de Acceso a la Información. El dieciocho de agosto de dos mil veinticinco</w:t>
      </w:r>
      <w:r w:rsidRPr="007119F4">
        <w:rPr>
          <w:rFonts w:ascii="Palatino Linotype" w:eastAsia="Palatino Linotype" w:hAnsi="Palatino Linotype" w:cs="Palatino Linotype"/>
          <w:sz w:val="22"/>
          <w:szCs w:val="22"/>
        </w:rPr>
        <w:t xml:space="preserve">, </w:t>
      </w:r>
      <w:r w:rsidRPr="007119F4">
        <w:rPr>
          <w:rFonts w:ascii="Palatino Linotype" w:eastAsia="Palatino Linotype" w:hAnsi="Palatino Linotype" w:cs="Palatino Linotype"/>
          <w:b/>
          <w:bCs/>
          <w:sz w:val="22"/>
          <w:szCs w:val="22"/>
        </w:rPr>
        <w:t>LA PARTE</w:t>
      </w:r>
      <w:r w:rsidRPr="007119F4">
        <w:rPr>
          <w:rFonts w:ascii="Palatino Linotype" w:eastAsia="Palatino Linotype" w:hAnsi="Palatino Linotype" w:cs="Palatino Linotype"/>
          <w:sz w:val="22"/>
          <w:szCs w:val="22"/>
        </w:rPr>
        <w:t xml:space="preserve"> </w:t>
      </w:r>
      <w:r w:rsidRPr="007119F4">
        <w:rPr>
          <w:rFonts w:ascii="Palatino Linotype" w:eastAsia="Palatino Linotype" w:hAnsi="Palatino Linotype" w:cs="Palatino Linotype"/>
          <w:b/>
          <w:bCs/>
          <w:sz w:val="22"/>
          <w:szCs w:val="22"/>
        </w:rPr>
        <w:t>RECURRENTE</w:t>
      </w:r>
      <w:r w:rsidRPr="007119F4">
        <w:rPr>
          <w:rFonts w:ascii="Palatino Linotype" w:eastAsia="Palatino Linotype" w:hAnsi="Palatino Linotype" w:cs="Palatino Linotype"/>
          <w:sz w:val="22"/>
          <w:szCs w:val="22"/>
        </w:rPr>
        <w:t xml:space="preserve"> formuló solicitud de acceso a información pública a través del </w:t>
      </w:r>
      <w:r w:rsidRPr="007119F4">
        <w:rPr>
          <w:rFonts w:ascii="Palatino Linotype" w:eastAsia="Palatino Linotype" w:hAnsi="Palatino Linotype" w:cs="Palatino Linotype"/>
          <w:b/>
          <w:bCs/>
          <w:sz w:val="22"/>
          <w:szCs w:val="22"/>
        </w:rPr>
        <w:t>SAIMEX</w:t>
      </w:r>
      <w:r w:rsidRPr="007119F4">
        <w:rPr>
          <w:rFonts w:ascii="Palatino Linotype" w:eastAsia="Palatino Linotype" w:hAnsi="Palatino Linotype" w:cs="Palatino Linotype"/>
          <w:sz w:val="22"/>
          <w:szCs w:val="22"/>
        </w:rPr>
        <w:t xml:space="preserve">, en la que requirió lo siguiente: </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2" w:name="_heading=h.3znysh7" w:colFirst="0" w:colLast="0"/>
      <w:bookmarkEnd w:id="2"/>
      <w:r w:rsidRPr="007119F4">
        <w:rPr>
          <w:rFonts w:ascii="Palatino Linotype" w:eastAsia="Palatino Linotype" w:hAnsi="Palatino Linotype" w:cs="Palatino Linotype"/>
          <w:b/>
          <w:bCs/>
          <w:sz w:val="22"/>
          <w:szCs w:val="22"/>
        </w:rPr>
        <w:t>00378/ALMOJU/IP/2025</w:t>
      </w:r>
    </w:p>
    <w:p w:rsidR="00BB4F1E" w:rsidRPr="007119F4" w:rsidRDefault="00D16212">
      <w:pPr>
        <w:spacing w:line="276" w:lineRule="auto"/>
        <w:ind w:left="567" w:right="843"/>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i/>
          <w:iCs/>
          <w:sz w:val="22"/>
          <w:szCs w:val="22"/>
        </w:rPr>
        <w:t xml:space="preserve">"SE SOLICITA COPIA DE CONSTANCIA DE CUMPLIMIENTO DE ENTREGA DE INFORMACION RELACIONADA CON LA GESTIÓN DE RECURSOS PÚBLICOS, INCLUYENDO DATOS CONTABLES, FINANCIEROS, PRESUPUESTARIOS, PATRIMONIALES Y PROGRAMÁTICOS, ASÍ COMO LA DOCUMENTACIÓN JUSTIFICATIVA Y COMPROBATORIA DE LA CUENTA PÚBLICA, ENTREGADA AL OSFEM DEL PRIMERO Y SEGUNDO TRIMESTRE 2025. ASIMISMO INFORME LAS INCOSISTENCIAS U OBSERVACIONES (SI LAS HAY) QUE EN SU MOMENTO FUERON </w:t>
      </w:r>
      <w:r w:rsidRPr="007119F4">
        <w:rPr>
          <w:rFonts w:ascii="Palatino Linotype" w:eastAsia="Palatino Linotype" w:hAnsi="Palatino Linotype" w:cs="Palatino Linotype"/>
          <w:i/>
          <w:iCs/>
          <w:sz w:val="22"/>
          <w:szCs w:val="22"/>
        </w:rPr>
        <w:lastRenderedPageBreak/>
        <w:t>MARCADAS POR EL OSFEM AL AYUNTAMIENTO DE ALMOLOYA DE JUAREZ</w:t>
      </w:r>
      <w:r w:rsidRPr="007119F4">
        <w:rPr>
          <w:rFonts w:ascii="Palatino Linotype" w:eastAsia="Palatino Linotype" w:hAnsi="Palatino Linotype" w:cs="Palatino Linotype"/>
          <w:b/>
          <w:bCs/>
          <w:i/>
          <w:iCs/>
          <w:sz w:val="22"/>
          <w:szCs w:val="22"/>
        </w:rPr>
        <w:t>” (Sic.)</w:t>
      </w:r>
    </w:p>
    <w:p w:rsidR="00BB4F1E" w:rsidRPr="007119F4" w:rsidRDefault="00BB4F1E">
      <w:pPr>
        <w:spacing w:line="360" w:lineRule="auto"/>
        <w:ind w:left="567" w:right="843"/>
        <w:jc w:val="both"/>
        <w:rPr>
          <w:rFonts w:ascii="Palatino Linotype" w:eastAsia="Palatino Linotype" w:hAnsi="Palatino Linotype" w:cs="Palatino Linotype"/>
          <w:i/>
          <w:iCs/>
          <w:sz w:val="22"/>
          <w:szCs w:val="22"/>
        </w:rPr>
      </w:pPr>
    </w:p>
    <w:p w:rsidR="00BB4F1E" w:rsidRPr="007119F4" w:rsidRDefault="00D16212">
      <w:pPr>
        <w:spacing w:line="360" w:lineRule="auto"/>
        <w:ind w:right="49"/>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Modalidad elegida para la entrega de la información:</w:t>
      </w:r>
      <w:r w:rsidRPr="007119F4">
        <w:rPr>
          <w:rFonts w:ascii="Palatino Linotype" w:eastAsia="Palatino Linotype" w:hAnsi="Palatino Linotype" w:cs="Palatino Linotype"/>
          <w:sz w:val="22"/>
          <w:szCs w:val="22"/>
        </w:rPr>
        <w:t xml:space="preserve"> a través del Sistema de Acceso a la Información Mexiquense (SAIMEX).</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widowControl w:val="0"/>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 xml:space="preserve">2. Prórroga. </w:t>
      </w:r>
      <w:r w:rsidRPr="007119F4">
        <w:rPr>
          <w:rFonts w:ascii="Palatino Linotype" w:eastAsia="Palatino Linotype" w:hAnsi="Palatino Linotype" w:cs="Palatino Linotype"/>
          <w:sz w:val="22"/>
          <w:szCs w:val="22"/>
        </w:rPr>
        <w:t xml:space="preserve">El día </w:t>
      </w:r>
      <w:r w:rsidRPr="007119F4">
        <w:rPr>
          <w:rFonts w:ascii="Palatino Linotype" w:eastAsia="Palatino Linotype" w:hAnsi="Palatino Linotype" w:cs="Palatino Linotype"/>
          <w:b/>
          <w:bCs/>
          <w:sz w:val="22"/>
          <w:szCs w:val="22"/>
        </w:rPr>
        <w:t>ocho de septiembre de dos mil veinticinco</w:t>
      </w:r>
      <w:r w:rsidRPr="007119F4">
        <w:rPr>
          <w:rFonts w:ascii="Palatino Linotype" w:eastAsia="Palatino Linotype" w:hAnsi="Palatino Linotype" w:cs="Palatino Linotype"/>
          <w:sz w:val="22"/>
          <w:szCs w:val="22"/>
        </w:rPr>
        <w:t>, el Sujeto Obligado solicitó una prórroga para dar respuesta a la solicitud a través del acta de la Séptima Sesión Extraordinaria del Comité de Transparencia.</w:t>
      </w:r>
    </w:p>
    <w:p w:rsidR="00BB4F1E" w:rsidRPr="007119F4" w:rsidRDefault="00BB4F1E">
      <w:pPr>
        <w:widowControl w:val="0"/>
        <w:spacing w:line="360" w:lineRule="auto"/>
        <w:jc w:val="both"/>
        <w:rPr>
          <w:rFonts w:ascii="Palatino Linotype" w:eastAsia="Palatino Linotype" w:hAnsi="Palatino Linotype" w:cs="Palatino Linotype"/>
          <w:b/>
          <w:bCs/>
          <w:sz w:val="22"/>
          <w:szCs w:val="22"/>
        </w:rPr>
      </w:pPr>
    </w:p>
    <w:p w:rsidR="00BB4F1E" w:rsidRPr="007119F4" w:rsidRDefault="00D16212">
      <w:pPr>
        <w:widowControl w:val="0"/>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2. Respuesta.</w:t>
      </w:r>
      <w:r w:rsidRPr="007119F4">
        <w:rPr>
          <w:rFonts w:ascii="Palatino Linotype" w:eastAsia="Palatino Linotype" w:hAnsi="Palatino Linotype" w:cs="Palatino Linotype"/>
          <w:sz w:val="22"/>
          <w:szCs w:val="22"/>
        </w:rPr>
        <w:t xml:space="preserve"> El </w:t>
      </w:r>
      <w:r w:rsidRPr="007119F4">
        <w:rPr>
          <w:rFonts w:ascii="Palatino Linotype" w:eastAsia="Palatino Linotype" w:hAnsi="Palatino Linotype" w:cs="Palatino Linotype"/>
          <w:b/>
          <w:bCs/>
          <w:sz w:val="22"/>
          <w:szCs w:val="22"/>
        </w:rPr>
        <w:t>dieciocho</w:t>
      </w:r>
      <w:r w:rsidRPr="007119F4">
        <w:rPr>
          <w:rFonts w:ascii="Palatino Linotype" w:eastAsia="Palatino Linotype" w:hAnsi="Palatino Linotype" w:cs="Palatino Linotype"/>
          <w:sz w:val="22"/>
          <w:szCs w:val="22"/>
        </w:rPr>
        <w:t xml:space="preserve"> </w:t>
      </w:r>
      <w:r w:rsidRPr="007119F4">
        <w:rPr>
          <w:rFonts w:ascii="Palatino Linotype" w:eastAsia="Palatino Linotype" w:hAnsi="Palatino Linotype" w:cs="Palatino Linotype"/>
          <w:b/>
          <w:bCs/>
          <w:sz w:val="22"/>
          <w:szCs w:val="22"/>
        </w:rPr>
        <w:t>de septiembre de dos mil veinticinco</w:t>
      </w:r>
      <w:r w:rsidRPr="007119F4">
        <w:rPr>
          <w:rFonts w:ascii="Palatino Linotype" w:eastAsia="Palatino Linotype" w:hAnsi="Palatino Linotype" w:cs="Palatino Linotype"/>
          <w:sz w:val="22"/>
          <w:szCs w:val="22"/>
        </w:rPr>
        <w:t>, el Sujeto Obligado dio respuesta a la solicitud en los siguientes términos:</w:t>
      </w:r>
    </w:p>
    <w:p w:rsidR="00BB4F1E" w:rsidRPr="007119F4" w:rsidRDefault="00BB4F1E">
      <w:pPr>
        <w:widowControl w:val="0"/>
        <w:spacing w:line="360" w:lineRule="auto"/>
        <w:jc w:val="both"/>
        <w:rPr>
          <w:rFonts w:ascii="Palatino Linotype" w:eastAsia="Palatino Linotype" w:hAnsi="Palatino Linotype" w:cs="Palatino Linotype"/>
          <w:sz w:val="22"/>
          <w:szCs w:val="22"/>
        </w:rPr>
      </w:pPr>
    </w:p>
    <w:p w:rsidR="00BB4F1E" w:rsidRPr="007119F4" w:rsidRDefault="00D16212">
      <w:pPr>
        <w:widowControl w:val="0"/>
        <w:spacing w:line="360" w:lineRule="auto"/>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B4F1E" w:rsidRPr="007119F4" w:rsidRDefault="00D16212">
      <w:pPr>
        <w:widowControl w:val="0"/>
        <w:spacing w:line="360" w:lineRule="auto"/>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Por medio de oficio número ADJ/PM/TM/677/2025, se proporciona respuesta a la solicitud con folio 00378/ALMOJU/IP/2025.</w:t>
      </w:r>
    </w:p>
    <w:p w:rsidR="00BB4F1E" w:rsidRPr="007119F4" w:rsidRDefault="00D16212">
      <w:pPr>
        <w:widowControl w:val="0"/>
        <w:spacing w:line="360" w:lineRule="auto"/>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ATENTAMENTE</w:t>
      </w:r>
    </w:p>
    <w:p w:rsidR="00BB4F1E" w:rsidRPr="007119F4" w:rsidRDefault="00D16212">
      <w:pPr>
        <w:widowControl w:val="0"/>
        <w:spacing w:line="360" w:lineRule="auto"/>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LICENCIADO Christian Alejandro Arellano Serrano”</w:t>
      </w:r>
    </w:p>
    <w:p w:rsidR="00BB4F1E" w:rsidRPr="007119F4" w:rsidRDefault="00BB4F1E">
      <w:pPr>
        <w:widowControl w:val="0"/>
        <w:spacing w:line="360" w:lineRule="auto"/>
        <w:ind w:left="567" w:right="843"/>
        <w:jc w:val="both"/>
        <w:rPr>
          <w:rFonts w:ascii="Palatino Linotype" w:eastAsia="Palatino Linotype" w:hAnsi="Palatino Linotype" w:cs="Palatino Linotype"/>
          <w:i/>
          <w:iCs/>
          <w:sz w:val="22"/>
          <w:szCs w:val="22"/>
        </w:rPr>
      </w:pPr>
    </w:p>
    <w:p w:rsidR="00BB4F1E" w:rsidRPr="007119F4" w:rsidRDefault="00D16212">
      <w:pPr>
        <w:widowControl w:val="0"/>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sz w:val="22"/>
          <w:szCs w:val="22"/>
        </w:rPr>
        <w:t>El Sujeto Obligado adjuntó el documento electrónico Oficio Atención a Solicitud 00378-25.pdf que contiene el oficio ADJ/PM/TM/677/2025 suscrito por Tesorero Municipal mediante el cual entregó seis direcciones electrónicas donde el Recurrente puede consultar la información.</w:t>
      </w:r>
    </w:p>
    <w:p w:rsidR="00BB4F1E" w:rsidRPr="007119F4" w:rsidRDefault="00BB4F1E">
      <w:pPr>
        <w:widowControl w:val="0"/>
        <w:spacing w:line="360" w:lineRule="auto"/>
        <w:jc w:val="both"/>
        <w:rPr>
          <w:rFonts w:ascii="Palatino Linotype" w:eastAsia="Palatino Linotype" w:hAnsi="Palatino Linotype" w:cs="Palatino Linotype"/>
          <w:b/>
          <w:bCs/>
          <w:sz w:val="22"/>
          <w:szCs w:val="22"/>
        </w:rPr>
      </w:pPr>
    </w:p>
    <w:p w:rsidR="00BB4F1E" w:rsidRPr="007119F4" w:rsidRDefault="00BB4F1E">
      <w:pPr>
        <w:widowControl w:val="0"/>
        <w:spacing w:line="360" w:lineRule="auto"/>
        <w:jc w:val="both"/>
        <w:rPr>
          <w:rFonts w:ascii="Palatino Linotype" w:eastAsia="Palatino Linotype" w:hAnsi="Palatino Linotype" w:cs="Palatino Linotype"/>
          <w:b/>
          <w:bCs/>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lastRenderedPageBreak/>
        <w:t xml:space="preserve">3. Del Recurso de Revisión. </w:t>
      </w:r>
      <w:r w:rsidRPr="007119F4">
        <w:rPr>
          <w:rFonts w:ascii="Palatino Linotype" w:eastAsia="Palatino Linotype" w:hAnsi="Palatino Linotype" w:cs="Palatino Linotype"/>
          <w:sz w:val="22"/>
          <w:szCs w:val="22"/>
        </w:rPr>
        <w:t>Inconforme con la respuesta del</w:t>
      </w:r>
      <w:r w:rsidRPr="007119F4">
        <w:rPr>
          <w:rFonts w:ascii="Palatino Linotype" w:eastAsia="Palatino Linotype" w:hAnsi="Palatino Linotype" w:cs="Palatino Linotype"/>
          <w:b/>
          <w:bCs/>
          <w:sz w:val="22"/>
          <w:szCs w:val="22"/>
        </w:rPr>
        <w:t xml:space="preserve"> SUJETO OBLIGADO, </w:t>
      </w:r>
      <w:r w:rsidRPr="007119F4">
        <w:rPr>
          <w:rFonts w:ascii="Palatino Linotype" w:eastAsia="Palatino Linotype" w:hAnsi="Palatino Linotype" w:cs="Palatino Linotype"/>
          <w:sz w:val="22"/>
          <w:szCs w:val="22"/>
        </w:rPr>
        <w:t xml:space="preserve">el </w:t>
      </w:r>
      <w:r w:rsidRPr="007119F4">
        <w:rPr>
          <w:rFonts w:ascii="Palatino Linotype" w:eastAsia="Palatino Linotype" w:hAnsi="Palatino Linotype" w:cs="Palatino Linotype"/>
          <w:b/>
          <w:bCs/>
          <w:sz w:val="22"/>
          <w:szCs w:val="22"/>
        </w:rPr>
        <w:t>diecinueve</w:t>
      </w:r>
      <w:r w:rsidRPr="007119F4">
        <w:rPr>
          <w:rFonts w:ascii="Palatino Linotype" w:eastAsia="Palatino Linotype" w:hAnsi="Palatino Linotype" w:cs="Palatino Linotype"/>
          <w:sz w:val="22"/>
          <w:szCs w:val="22"/>
        </w:rPr>
        <w:t xml:space="preserve"> d</w:t>
      </w:r>
      <w:r w:rsidRPr="007119F4">
        <w:rPr>
          <w:rFonts w:ascii="Palatino Linotype" w:eastAsia="Palatino Linotype" w:hAnsi="Palatino Linotype" w:cs="Palatino Linotype"/>
          <w:b/>
          <w:bCs/>
          <w:sz w:val="22"/>
          <w:szCs w:val="22"/>
        </w:rPr>
        <w:t xml:space="preserve">e septiembre de dos mil veinticinco, LA PARTE RECURRENTE </w:t>
      </w:r>
      <w:r w:rsidRPr="007119F4">
        <w:rPr>
          <w:rFonts w:ascii="Palatino Linotype" w:eastAsia="Palatino Linotype" w:hAnsi="Palatino Linotype" w:cs="Palatino Linotype"/>
          <w:sz w:val="22"/>
          <w:szCs w:val="22"/>
        </w:rPr>
        <w:t xml:space="preserve">interpuso el recurso de revisión, mediante el cual y manifestó lo siguiente: </w:t>
      </w:r>
    </w:p>
    <w:p w:rsidR="00BB4F1E" w:rsidRPr="007119F4" w:rsidRDefault="00D16212">
      <w:pPr>
        <w:numPr>
          <w:ilvl w:val="0"/>
          <w:numId w:val="1"/>
        </w:numPr>
        <w:pBdr>
          <w:top w:val="nil"/>
          <w:left w:val="nil"/>
          <w:bottom w:val="nil"/>
          <w:right w:val="nil"/>
          <w:between w:val="nil"/>
        </w:pBdr>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Acto Impugnado:</w:t>
      </w:r>
      <w:r w:rsidRPr="007119F4">
        <w:rPr>
          <w:rFonts w:ascii="Palatino Linotype" w:eastAsia="Palatino Linotype" w:hAnsi="Palatino Linotype" w:cs="Palatino Linotype"/>
          <w:i/>
          <w:iCs/>
          <w:sz w:val="22"/>
          <w:szCs w:val="22"/>
        </w:rPr>
        <w:t xml:space="preserve"> “No entrega la información solicitada, entrega algunos enlaces a la página de la ipomex, los cuales no tienen relación a lo que se solicita, lo cual es: "SE SOLICITA COPIA DE CONSTANCIA DE CUMPLIMIENTO DE ENTREGA DE INFORMACION RELACIONADA CON LA GESTIÓN DE RECURSOS PÚBLICOS, INCLUYENDO DATOS CONTABLES, FINANCIEROS, PRESUPUESTARIOS, PATRIMONIALES Y PROGRAMÁTICOS, ASÍ COMO LA DOCUMENTACIÓN JUSTIFICATIVA Y COMPROBATORIA DE LA CUENTA PÚBLICA, ENTREGADA AL OSFEM DEL PRIMERO Y SEGUNDO TRIMESTRE 2025. ASIMISMO INFORME LAS INCOSISTENCIAS U OBSERVACIONES (SI LAS HAY) QUE EN SU MOMENTO FUERON MARCADAS POR EL OSFEM AL AYUNTAMIENTO DE ALMOLOYA DE JUAREZ". Por lo cual se solicita atentamente la intervención del Instituto de transparencia, acceso a la información pública y protección de datos personales del Estado de México y Municipios, para que este Instituto tenga a bien hacer valer la ley de transparencia y se entregue la información solicitada sin opacidades y en los tiempos máximos determinados por la ley.” (Sic.)</w:t>
      </w:r>
    </w:p>
    <w:p w:rsidR="00BB4F1E" w:rsidRPr="007119F4" w:rsidRDefault="00BB4F1E">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rsidR="00BB4F1E" w:rsidRPr="007119F4" w:rsidRDefault="00D16212">
      <w:pPr>
        <w:numPr>
          <w:ilvl w:val="0"/>
          <w:numId w:val="1"/>
        </w:numPr>
        <w:pBdr>
          <w:top w:val="nil"/>
          <w:left w:val="nil"/>
          <w:bottom w:val="nil"/>
          <w:right w:val="nil"/>
          <w:between w:val="nil"/>
        </w:pBdr>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Motivo de inconformidad:</w:t>
      </w:r>
      <w:r w:rsidRPr="007119F4">
        <w:rPr>
          <w:rFonts w:ascii="Palatino Linotype" w:eastAsia="Palatino Linotype" w:hAnsi="Palatino Linotype" w:cs="Palatino Linotype"/>
          <w:i/>
          <w:iCs/>
          <w:sz w:val="22"/>
          <w:szCs w:val="22"/>
        </w:rPr>
        <w:t xml:space="preserve"> “No se entrega información.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Almoloya de Juárez,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 y a la par al Organo Superior de Fiscalización del Estado de México para las acciones que correspondan de acuerdo a la Ley” (Sic.)</w:t>
      </w:r>
    </w:p>
    <w:p w:rsidR="00BB4F1E" w:rsidRPr="007119F4" w:rsidRDefault="00BB4F1E">
      <w:pPr>
        <w:pBdr>
          <w:top w:val="nil"/>
          <w:left w:val="nil"/>
          <w:bottom w:val="nil"/>
          <w:right w:val="nil"/>
          <w:between w:val="nil"/>
        </w:pBdr>
        <w:ind w:left="720"/>
        <w:rPr>
          <w:rFonts w:ascii="Palatino Linotype" w:eastAsia="Palatino Linotype" w:hAnsi="Palatino Linotype" w:cs="Palatino Linotype"/>
          <w:i/>
          <w:iCs/>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4. Turno. </w:t>
      </w:r>
      <w:r w:rsidRPr="007119F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7119F4">
        <w:rPr>
          <w:rFonts w:ascii="Palatino Linotype" w:eastAsia="Palatino Linotype" w:hAnsi="Palatino Linotype" w:cs="Palatino Linotype"/>
          <w:b/>
          <w:bCs/>
          <w:sz w:val="22"/>
          <w:szCs w:val="22"/>
        </w:rPr>
        <w:t>10919/INFOEM/IP/RR/2025</w:t>
      </w:r>
      <w:r w:rsidRPr="007119F4">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119F4">
        <w:rPr>
          <w:rFonts w:ascii="Palatino Linotype" w:eastAsia="Palatino Linotype" w:hAnsi="Palatino Linotype" w:cs="Palatino Linotype"/>
          <w:b/>
          <w:bCs/>
          <w:sz w:val="22"/>
          <w:szCs w:val="22"/>
        </w:rPr>
        <w:t>Guadalupe Ramírez Peña</w:t>
      </w:r>
      <w:r w:rsidRPr="007119F4">
        <w:rPr>
          <w:rFonts w:ascii="Palatino Linotype" w:eastAsia="Palatino Linotype" w:hAnsi="Palatino Linotype" w:cs="Palatino Linotype"/>
          <w:sz w:val="22"/>
          <w:szCs w:val="22"/>
        </w:rPr>
        <w:t xml:space="preserve">, para su análisis, estudio, elaboración del proyecto y presentación ante el Pleno de este Instituto. </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 xml:space="preserve">5. Admisión. </w:t>
      </w:r>
      <w:r w:rsidRPr="007119F4">
        <w:rPr>
          <w:rFonts w:ascii="Palatino Linotype" w:eastAsia="Palatino Linotype" w:hAnsi="Palatino Linotype" w:cs="Palatino Linotype"/>
          <w:sz w:val="22"/>
          <w:szCs w:val="22"/>
        </w:rPr>
        <w:t xml:space="preserve">El </w:t>
      </w:r>
      <w:r w:rsidRPr="007119F4">
        <w:rPr>
          <w:rFonts w:ascii="Palatino Linotype" w:eastAsia="Palatino Linotype" w:hAnsi="Palatino Linotype" w:cs="Palatino Linotype"/>
          <w:b/>
          <w:bCs/>
          <w:sz w:val="22"/>
          <w:szCs w:val="22"/>
        </w:rPr>
        <w:t>veinticuatro de septiembre de dos mil veinticinco</w:t>
      </w:r>
      <w:r w:rsidRPr="007119F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7119F4">
        <w:rPr>
          <w:rFonts w:ascii="Palatino Linotype" w:eastAsia="Palatino Linotype" w:hAnsi="Palatino Linotype" w:cs="Palatino Linotype"/>
          <w:b/>
          <w:bCs/>
          <w:sz w:val="22"/>
          <w:szCs w:val="22"/>
        </w:rPr>
        <w:t xml:space="preserve">. </w:t>
      </w:r>
    </w:p>
    <w:p w:rsidR="00BB4F1E" w:rsidRPr="007119F4" w:rsidRDefault="00BB4F1E">
      <w:pPr>
        <w:spacing w:line="360" w:lineRule="auto"/>
        <w:jc w:val="both"/>
        <w:rPr>
          <w:rFonts w:ascii="Palatino Linotype" w:eastAsia="Palatino Linotype" w:hAnsi="Palatino Linotype" w:cs="Palatino Linotype"/>
          <w:b/>
          <w:bCs/>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6. Manifestaciones.</w:t>
      </w:r>
      <w:r w:rsidRPr="007119F4">
        <w:rPr>
          <w:rFonts w:ascii="Palatino Linotype" w:eastAsia="Palatino Linotype" w:hAnsi="Palatino Linotype" w:cs="Palatino Linotype"/>
          <w:sz w:val="22"/>
          <w:szCs w:val="22"/>
        </w:rPr>
        <w:t xml:space="preserve"> De las constancias que obran en el expediente electrónico del SAIMEX, se advierte que, tanto el Sujeto Obligado como el Recurrente fueron omisos en realizar manifestaciones; se inserta imagen de referencia:</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noProof/>
          <w:sz w:val="22"/>
          <w:szCs w:val="22"/>
        </w:rPr>
        <w:drawing>
          <wp:inline distT="0" distB="0" distL="0" distR="0">
            <wp:extent cx="5756275" cy="1724660"/>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56275" cy="1724660"/>
                    </a:xfrm>
                    <a:prstGeom prst="rect">
                      <a:avLst/>
                    </a:prstGeom>
                    <a:ln/>
                  </pic:spPr>
                </pic:pic>
              </a:graphicData>
            </a:graphic>
          </wp:inline>
        </w:drawing>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7. Ampliación de plazo. El veinticinco de noviembre de dos mil veinticinco</w:t>
      </w:r>
      <w:r w:rsidRPr="007119F4">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rsidR="00BB4F1E" w:rsidRPr="007119F4" w:rsidRDefault="00BB4F1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8. Cierre de instrucción</w:t>
      </w:r>
      <w:r w:rsidRPr="007119F4">
        <w:rPr>
          <w:rFonts w:ascii="Palatino Linotype" w:eastAsia="Palatino Linotype" w:hAnsi="Palatino Linotype" w:cs="Palatino Linotype"/>
          <w:sz w:val="22"/>
          <w:szCs w:val="22"/>
        </w:rPr>
        <w:t xml:space="preserve">. En fecha </w:t>
      </w:r>
      <w:r w:rsidRPr="007119F4">
        <w:rPr>
          <w:rFonts w:ascii="Palatino Linotype" w:eastAsia="Palatino Linotype" w:hAnsi="Palatino Linotype" w:cs="Palatino Linotype"/>
          <w:b/>
          <w:bCs/>
          <w:sz w:val="22"/>
          <w:szCs w:val="22"/>
        </w:rPr>
        <w:t>veinticinco</w:t>
      </w:r>
      <w:r w:rsidRPr="007119F4">
        <w:rPr>
          <w:rFonts w:ascii="Palatino Linotype" w:eastAsia="Palatino Linotype" w:hAnsi="Palatino Linotype" w:cs="Palatino Linotype"/>
          <w:sz w:val="22"/>
          <w:szCs w:val="22"/>
        </w:rPr>
        <w:t xml:space="preserve"> </w:t>
      </w:r>
      <w:r w:rsidRPr="007119F4">
        <w:rPr>
          <w:rFonts w:ascii="Palatino Linotype" w:eastAsia="Palatino Linotype" w:hAnsi="Palatino Linotype" w:cs="Palatino Linotype"/>
          <w:b/>
          <w:bCs/>
          <w:sz w:val="22"/>
          <w:szCs w:val="22"/>
        </w:rPr>
        <w:t>de noviembre de dos mil veinticinco</w:t>
      </w:r>
      <w:r w:rsidRPr="007119F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spacing w:line="360" w:lineRule="auto"/>
        <w:ind w:right="49"/>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Debido a que fue debidamente sustanciado </w:t>
      </w:r>
      <w:r w:rsidRPr="007119F4">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spacing w:line="360" w:lineRule="auto"/>
        <w:ind w:right="49"/>
        <w:jc w:val="center"/>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II.</w:t>
      </w:r>
      <w:r w:rsidRPr="007119F4">
        <w:rPr>
          <w:rFonts w:ascii="Palatino Linotype" w:eastAsia="Palatino Linotype" w:hAnsi="Palatino Linotype" w:cs="Palatino Linotype"/>
          <w:b/>
          <w:bCs/>
          <w:sz w:val="22"/>
          <w:szCs w:val="22"/>
        </w:rPr>
        <w:tab/>
        <w:t>C O N S I D E R A N D O:</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Primero. Competencia.</w:t>
      </w:r>
      <w:r w:rsidRPr="007119F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Segundo. Oportunidad y Procedibilidad del Recurso de Revisión. </w:t>
      </w:r>
      <w:r w:rsidRPr="007119F4">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rsidR="00BB4F1E" w:rsidRPr="007119F4" w:rsidRDefault="00D16212">
      <w:pPr>
        <w:spacing w:line="360" w:lineRule="auto"/>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 xml:space="preserve">“Artículo 178. </w:t>
      </w:r>
      <w:r w:rsidRPr="007119F4">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B4F1E" w:rsidRPr="007119F4" w:rsidRDefault="00D16212">
      <w:pPr>
        <w:spacing w:before="240" w:after="240" w:line="360" w:lineRule="auto"/>
        <w:ind w:right="49"/>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119F4">
        <w:rPr>
          <w:rFonts w:ascii="Palatino Linotype" w:eastAsia="Palatino Linotype" w:hAnsi="Palatino Linotype" w:cs="Palatino Linotype"/>
          <w:b/>
          <w:bCs/>
          <w:sz w:val="22"/>
          <w:szCs w:val="22"/>
        </w:rPr>
        <w:t>SUJETO OBLIGADO</w:t>
      </w:r>
      <w:r w:rsidRPr="007119F4">
        <w:rPr>
          <w:rFonts w:ascii="Palatino Linotype" w:eastAsia="Palatino Linotype" w:hAnsi="Palatino Linotype" w:cs="Palatino Linotype"/>
          <w:sz w:val="22"/>
          <w:szCs w:val="22"/>
        </w:rPr>
        <w:t xml:space="preserve"> remitió la respuesta a la solicitud de información el día </w:t>
      </w:r>
      <w:r w:rsidRPr="007119F4">
        <w:rPr>
          <w:rFonts w:ascii="Palatino Linotype" w:eastAsia="Palatino Linotype" w:hAnsi="Palatino Linotype" w:cs="Palatino Linotype"/>
          <w:b/>
          <w:bCs/>
          <w:sz w:val="22"/>
          <w:szCs w:val="22"/>
        </w:rPr>
        <w:t xml:space="preserve">dieciocho de septiembre de dos mil veinticinco, </w:t>
      </w:r>
      <w:r w:rsidRPr="007119F4">
        <w:rPr>
          <w:rFonts w:ascii="Palatino Linotype" w:eastAsia="Palatino Linotype" w:hAnsi="Palatino Linotype" w:cs="Palatino Linotype"/>
          <w:sz w:val="22"/>
          <w:szCs w:val="22"/>
        </w:rPr>
        <w:t xml:space="preserve">mientras que el recurso de revisión interpuesto por la parte </w:t>
      </w:r>
      <w:r w:rsidRPr="007119F4">
        <w:rPr>
          <w:rFonts w:ascii="Palatino Linotype" w:eastAsia="Palatino Linotype" w:hAnsi="Palatino Linotype" w:cs="Palatino Linotype"/>
          <w:b/>
          <w:bCs/>
          <w:sz w:val="22"/>
          <w:szCs w:val="22"/>
        </w:rPr>
        <w:t>RECURRENTE</w:t>
      </w:r>
      <w:r w:rsidRPr="007119F4">
        <w:rPr>
          <w:rFonts w:ascii="Palatino Linotype" w:eastAsia="Palatino Linotype" w:hAnsi="Palatino Linotype" w:cs="Palatino Linotype"/>
          <w:sz w:val="22"/>
          <w:szCs w:val="22"/>
        </w:rPr>
        <w:t xml:space="preserve">, se tuvo por presentado el </w:t>
      </w:r>
      <w:r w:rsidRPr="007119F4">
        <w:rPr>
          <w:rFonts w:ascii="Palatino Linotype" w:eastAsia="Palatino Linotype" w:hAnsi="Palatino Linotype" w:cs="Palatino Linotype"/>
          <w:b/>
          <w:bCs/>
          <w:sz w:val="22"/>
          <w:szCs w:val="22"/>
        </w:rPr>
        <w:t>diecinueve de septiembre del año dos mil veinticinco</w:t>
      </w:r>
      <w:r w:rsidRPr="007119F4">
        <w:rPr>
          <w:rFonts w:ascii="Palatino Linotype" w:eastAsia="Palatino Linotype" w:hAnsi="Palatino Linotype" w:cs="Palatino Linotype"/>
          <w:sz w:val="22"/>
          <w:szCs w:val="22"/>
        </w:rPr>
        <w:t xml:space="preserve">; esto es, al </w:t>
      </w:r>
      <w:r w:rsidRPr="007119F4">
        <w:rPr>
          <w:rFonts w:ascii="Palatino Linotype" w:eastAsia="Palatino Linotype" w:hAnsi="Palatino Linotype" w:cs="Palatino Linotype"/>
          <w:b/>
          <w:bCs/>
          <w:sz w:val="22"/>
          <w:szCs w:val="22"/>
        </w:rPr>
        <w:t xml:space="preserve">primer día hábil </w:t>
      </w:r>
      <w:r w:rsidRPr="007119F4">
        <w:rPr>
          <w:rFonts w:ascii="Palatino Linotype" w:eastAsia="Palatino Linotype" w:hAnsi="Palatino Linotype" w:cs="Palatino Linotype"/>
          <w:sz w:val="22"/>
          <w:szCs w:val="22"/>
        </w:rPr>
        <w:t>siguiente al que se tuvo conocimiento de la respuesta respectivamente.</w:t>
      </w:r>
    </w:p>
    <w:p w:rsidR="00BB4F1E" w:rsidRPr="007119F4" w:rsidRDefault="00D16212">
      <w:pPr>
        <w:spacing w:before="240" w:after="240" w:line="360" w:lineRule="auto"/>
        <w:ind w:right="49"/>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B4F1E" w:rsidRPr="007119F4" w:rsidRDefault="00D16212">
      <w:pPr>
        <w:ind w:left="426" w:right="701"/>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br/>
      </w:r>
      <w:r w:rsidRPr="007119F4">
        <w:rPr>
          <w:rFonts w:ascii="Palatino Linotype" w:eastAsia="Palatino Linotype" w:hAnsi="Palatino Linotype" w:cs="Palatino Linotype"/>
          <w:b/>
          <w:bCs/>
          <w:i/>
          <w:iCs/>
          <w:sz w:val="22"/>
          <w:szCs w:val="22"/>
        </w:rPr>
        <w:t xml:space="preserve">"Las solicitudes anónimas, </w:t>
      </w:r>
      <w:r w:rsidRPr="007119F4">
        <w:rPr>
          <w:rFonts w:ascii="Palatino Linotype" w:eastAsia="Palatino Linotype" w:hAnsi="Palatino Linotype" w:cs="Palatino Linotype"/>
          <w:i/>
          <w:iCs/>
          <w:sz w:val="22"/>
          <w:szCs w:val="22"/>
        </w:rPr>
        <w:t>con nombre incompleto o seudónimo </w:t>
      </w:r>
      <w:r w:rsidRPr="007119F4">
        <w:rPr>
          <w:rFonts w:ascii="Palatino Linotype" w:eastAsia="Palatino Linotype" w:hAnsi="Palatino Linotype" w:cs="Palatino Linotype"/>
          <w:b/>
          <w:bCs/>
          <w:i/>
          <w:iCs/>
          <w:sz w:val="22"/>
          <w:szCs w:val="22"/>
        </w:rPr>
        <w:t>serán procedentes para su trámite por parte del sujeto obligado ante quien se presente.</w:t>
      </w:r>
      <w:r w:rsidRPr="007119F4">
        <w:rPr>
          <w:rFonts w:ascii="Palatino Linotype" w:eastAsia="Palatino Linotype" w:hAnsi="Palatino Linotype" w:cs="Palatino Linotype"/>
          <w:i/>
          <w:iCs/>
          <w:sz w:val="22"/>
          <w:szCs w:val="22"/>
        </w:rPr>
        <w:t xml:space="preserve"> No podrá requerirse información adicional con motivo del nombre proporcionado por el solicitante."</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 de la ley de la materia, que a la letra dice:</w:t>
      </w:r>
    </w:p>
    <w:p w:rsidR="00BB4F1E" w:rsidRPr="007119F4" w:rsidRDefault="00D16212">
      <w:pPr>
        <w:spacing w:line="360" w:lineRule="auto"/>
        <w:ind w:left="851" w:right="1041"/>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r w:rsidRPr="007119F4">
        <w:rPr>
          <w:rFonts w:ascii="Palatino Linotype" w:eastAsia="Palatino Linotype" w:hAnsi="Palatino Linotype" w:cs="Palatino Linotype"/>
          <w:b/>
          <w:bCs/>
          <w:i/>
          <w:iCs/>
          <w:sz w:val="22"/>
          <w:szCs w:val="22"/>
        </w:rPr>
        <w:t xml:space="preserve">Artículo 179. </w:t>
      </w:r>
      <w:r w:rsidRPr="007119F4">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rsidR="00BB4F1E" w:rsidRPr="007119F4" w:rsidRDefault="00D16212">
      <w:pPr>
        <w:spacing w:line="360" w:lineRule="auto"/>
        <w:ind w:left="851" w:right="1041"/>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line="360" w:lineRule="auto"/>
        <w:ind w:left="851" w:right="1041"/>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VI. La entrega de información que no corresponda con lo solicitado.</w:t>
      </w:r>
    </w:p>
    <w:p w:rsidR="00BB4F1E" w:rsidRPr="007119F4" w:rsidRDefault="00D16212">
      <w:pPr>
        <w:spacing w:line="360" w:lineRule="auto"/>
        <w:ind w:left="851" w:right="1041"/>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Tercero. Materia de la revisión. </w:t>
      </w:r>
      <w:r w:rsidRPr="007119F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119F4">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7119F4">
        <w:rPr>
          <w:rFonts w:ascii="Palatino Linotype" w:eastAsia="Palatino Linotype" w:hAnsi="Palatino Linotype" w:cs="Palatino Linotype"/>
          <w:sz w:val="22"/>
          <w:szCs w:val="22"/>
        </w:rPr>
        <w:t xml:space="preserve">de la parte </w:t>
      </w:r>
      <w:r w:rsidRPr="007119F4">
        <w:rPr>
          <w:rFonts w:ascii="Palatino Linotype" w:eastAsia="Palatino Linotype" w:hAnsi="Palatino Linotype" w:cs="Palatino Linotype"/>
          <w:b/>
          <w:bCs/>
          <w:sz w:val="22"/>
          <w:szCs w:val="22"/>
        </w:rPr>
        <w:t>Recurrente</w:t>
      </w:r>
      <w:r w:rsidRPr="007119F4">
        <w:rPr>
          <w:rFonts w:ascii="Palatino Linotype" w:eastAsia="Palatino Linotype" w:hAnsi="Palatino Linotype" w:cs="Palatino Linotype"/>
          <w:sz w:val="22"/>
          <w:szCs w:val="22"/>
        </w:rPr>
        <w:t>, o en su defecto, en caso de ser procedente, ordenar la entrega de información.</w:t>
      </w: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Cuarto. Estudio del asunto. </w:t>
      </w:r>
      <w:r w:rsidRPr="007119F4">
        <w:rPr>
          <w:rFonts w:ascii="Palatino Linotype" w:eastAsia="Palatino Linotype" w:hAnsi="Palatino Linotype" w:cs="Palatino Linotype"/>
          <w:sz w:val="22"/>
          <w:szCs w:val="22"/>
        </w:rPr>
        <w:t xml:space="preserve">En principio, es conveniente analizar si la respuesta del </w:t>
      </w:r>
      <w:r w:rsidRPr="007119F4">
        <w:rPr>
          <w:rFonts w:ascii="Palatino Linotype" w:eastAsia="Palatino Linotype" w:hAnsi="Palatino Linotype" w:cs="Palatino Linotype"/>
          <w:b/>
          <w:bCs/>
          <w:sz w:val="22"/>
          <w:szCs w:val="22"/>
        </w:rPr>
        <w:t>SUJETO OBLIGADO</w:t>
      </w:r>
      <w:r w:rsidRPr="007119F4">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276" w:lineRule="auto"/>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r w:rsidRPr="007119F4">
        <w:rPr>
          <w:rFonts w:ascii="Palatino Linotype" w:eastAsia="Palatino Linotype" w:hAnsi="Palatino Linotype" w:cs="Palatino Linotype"/>
          <w:b/>
          <w:bCs/>
          <w:i/>
          <w:iCs/>
          <w:sz w:val="22"/>
          <w:szCs w:val="22"/>
        </w:rPr>
        <w:t>Artículo 4</w:t>
      </w:r>
      <w:r w:rsidRPr="007119F4">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B4F1E" w:rsidRPr="007119F4" w:rsidRDefault="00D16212">
      <w:pPr>
        <w:spacing w:line="276" w:lineRule="auto"/>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7119F4">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BB4F1E" w:rsidRPr="007119F4" w:rsidRDefault="00D16212">
      <w:pPr>
        <w:spacing w:line="276" w:lineRule="auto"/>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7119F4">
        <w:rPr>
          <w:rFonts w:ascii="Palatino Linotype" w:eastAsia="Palatino Linotype" w:hAnsi="Palatino Linotype" w:cs="Palatino Linotype"/>
          <w:i/>
          <w:iCs/>
          <w:sz w:val="22"/>
          <w:szCs w:val="22"/>
        </w:rPr>
        <w:t>.”</w:t>
      </w:r>
    </w:p>
    <w:p w:rsidR="00BB4F1E" w:rsidRPr="007119F4" w:rsidRDefault="00BB4F1E">
      <w:pPr>
        <w:spacing w:line="276"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276" w:lineRule="auto"/>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12.-</w:t>
      </w:r>
      <w:r w:rsidRPr="007119F4">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BB4F1E" w:rsidRPr="007119F4" w:rsidRDefault="00BB4F1E">
      <w:pPr>
        <w:spacing w:line="276" w:lineRule="auto"/>
        <w:ind w:left="567" w:right="616"/>
        <w:jc w:val="both"/>
        <w:rPr>
          <w:rFonts w:ascii="Palatino Linotype" w:eastAsia="Palatino Linotype" w:hAnsi="Palatino Linotype" w:cs="Palatino Linotype"/>
          <w:i/>
          <w:iCs/>
          <w:sz w:val="22"/>
          <w:szCs w:val="22"/>
        </w:rPr>
      </w:pPr>
    </w:p>
    <w:p w:rsidR="00BB4F1E" w:rsidRPr="007119F4" w:rsidRDefault="00D16212">
      <w:pPr>
        <w:spacing w:line="276" w:lineRule="auto"/>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7119F4">
        <w:rPr>
          <w:rFonts w:ascii="Palatino Linotype" w:eastAsia="Palatino Linotype" w:hAnsi="Palatino Linotype" w:cs="Palatino Linotype"/>
          <w:i/>
          <w:iCs/>
          <w:sz w:val="22"/>
          <w:szCs w:val="22"/>
        </w:rPr>
        <w:t xml:space="preserve">. </w:t>
      </w:r>
      <w:r w:rsidRPr="007119F4">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BB4F1E" w:rsidRPr="007119F4" w:rsidRDefault="00BB4F1E">
      <w:pPr>
        <w:spacing w:line="360" w:lineRule="auto"/>
        <w:ind w:right="-93"/>
        <w:jc w:val="both"/>
        <w:rPr>
          <w:rFonts w:ascii="Palatino Linotype" w:eastAsia="Palatino Linotype" w:hAnsi="Palatino Linotype" w:cs="Palatino Linotype"/>
          <w:sz w:val="22"/>
          <w:szCs w:val="22"/>
        </w:rPr>
      </w:pPr>
    </w:p>
    <w:p w:rsidR="00BB4F1E" w:rsidRPr="007119F4" w:rsidRDefault="00D16212">
      <w:pPr>
        <w:spacing w:line="360" w:lineRule="auto"/>
        <w:ind w:right="-93"/>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BB4F1E" w:rsidRPr="007119F4" w:rsidRDefault="00BB4F1E">
      <w:pPr>
        <w:spacing w:line="360" w:lineRule="auto"/>
        <w:ind w:right="-93"/>
        <w:jc w:val="both"/>
        <w:rPr>
          <w:rFonts w:ascii="Palatino Linotype" w:eastAsia="Palatino Linotype" w:hAnsi="Palatino Linotype" w:cs="Palatino Linotype"/>
          <w:sz w:val="22"/>
          <w:szCs w:val="22"/>
        </w:rPr>
      </w:pPr>
    </w:p>
    <w:p w:rsidR="00BB4F1E" w:rsidRPr="007119F4" w:rsidRDefault="00D16212">
      <w:pPr>
        <w:spacing w:line="360" w:lineRule="auto"/>
        <w:ind w:right="-93"/>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119F4">
        <w:rPr>
          <w:rFonts w:ascii="Palatino Linotype" w:eastAsia="Palatino Linotype" w:hAnsi="Palatino Linotype" w:cs="Palatino Linotype"/>
          <w:b/>
          <w:bCs/>
          <w:sz w:val="22"/>
          <w:szCs w:val="22"/>
        </w:rPr>
        <w:t xml:space="preserve"> </w:t>
      </w:r>
    </w:p>
    <w:p w:rsidR="00BB4F1E" w:rsidRPr="007119F4" w:rsidRDefault="00BB4F1E">
      <w:pPr>
        <w:spacing w:line="360" w:lineRule="auto"/>
        <w:jc w:val="both"/>
        <w:rPr>
          <w:rFonts w:ascii="Palatino Linotype" w:eastAsia="Palatino Linotype" w:hAnsi="Palatino Linotype" w:cs="Palatino Linotype"/>
          <w:b/>
          <w:bCs/>
          <w:sz w:val="22"/>
          <w:szCs w:val="22"/>
        </w:rPr>
      </w:pP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r w:rsidRPr="007119F4">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7119F4">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BB4F1E" w:rsidRPr="007119F4" w:rsidRDefault="00BB4F1E">
      <w:pPr>
        <w:spacing w:line="360" w:lineRule="auto"/>
        <w:ind w:right="-93"/>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ind w:right="49"/>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BB4F1E" w:rsidRPr="007119F4" w:rsidRDefault="00BB4F1E">
      <w:pPr>
        <w:spacing w:line="360" w:lineRule="auto"/>
        <w:ind w:right="49"/>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BB4F1E" w:rsidRPr="007119F4" w:rsidRDefault="00BB4F1E">
      <w:pPr>
        <w:spacing w:line="360" w:lineRule="auto"/>
        <w:ind w:left="567" w:right="616"/>
        <w:jc w:val="both"/>
        <w:rPr>
          <w:rFonts w:ascii="Palatino Linotype" w:eastAsia="Palatino Linotype" w:hAnsi="Palatino Linotype" w:cs="Palatino Linotype"/>
          <w:i/>
          <w:iCs/>
          <w:sz w:val="22"/>
          <w:szCs w:val="22"/>
        </w:rPr>
      </w:pP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r w:rsidRPr="007119F4">
        <w:rPr>
          <w:rFonts w:ascii="Palatino Linotype" w:eastAsia="Palatino Linotype" w:hAnsi="Palatino Linotype" w:cs="Palatino Linotype"/>
          <w:b/>
          <w:bCs/>
          <w:i/>
          <w:iCs/>
          <w:sz w:val="22"/>
          <w:szCs w:val="22"/>
        </w:rPr>
        <w:t xml:space="preserve">Artículo 3. </w:t>
      </w:r>
      <w:r w:rsidRPr="007119F4">
        <w:rPr>
          <w:rFonts w:ascii="Palatino Linotype" w:eastAsia="Palatino Linotype" w:hAnsi="Palatino Linotype" w:cs="Palatino Linotype"/>
          <w:i/>
          <w:iCs/>
          <w:sz w:val="22"/>
          <w:szCs w:val="22"/>
        </w:rPr>
        <w:t>Para los efectos de la presente Ley se entenderá por:</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XI. Documento:</w:t>
      </w:r>
      <w:r w:rsidRPr="007119F4">
        <w:rPr>
          <w:rFonts w:ascii="Palatino Linotype" w:eastAsia="Palatino Linotype" w:hAnsi="Palatino Linotype" w:cs="Palatino Linotype"/>
          <w:i/>
          <w:iCs/>
          <w:sz w:val="22"/>
          <w:szCs w:val="22"/>
        </w:rPr>
        <w:t xml:space="preserve"> Los expedientes, reportes, estudios, actas</w:t>
      </w:r>
      <w:r w:rsidRPr="007119F4">
        <w:rPr>
          <w:rFonts w:ascii="Palatino Linotype" w:eastAsia="Palatino Linotype" w:hAnsi="Palatino Linotype" w:cs="Palatino Linotype"/>
          <w:b/>
          <w:bCs/>
          <w:i/>
          <w:iCs/>
          <w:sz w:val="22"/>
          <w:szCs w:val="22"/>
        </w:rPr>
        <w:t>,</w:t>
      </w:r>
      <w:r w:rsidRPr="007119F4">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BB4F1E" w:rsidRPr="007119F4" w:rsidRDefault="00BB4F1E">
      <w:pPr>
        <w:spacing w:line="360" w:lineRule="auto"/>
        <w:ind w:left="851" w:right="899"/>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ind w:left="567" w:right="616"/>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sz w:val="22"/>
          <w:szCs w:val="22"/>
        </w:rPr>
        <w:t>“</w:t>
      </w:r>
      <w:r w:rsidRPr="007119F4">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7119F4">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BB4F1E" w:rsidRPr="007119F4" w:rsidRDefault="00D16212">
      <w:pPr>
        <w:ind w:left="567" w:right="616"/>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BB4F1E" w:rsidRPr="007119F4" w:rsidRDefault="00D16212">
      <w:pPr>
        <w:ind w:left="567" w:right="616"/>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BB4F1E" w:rsidRPr="007119F4" w:rsidRDefault="00BB4F1E">
      <w:pPr>
        <w:tabs>
          <w:tab w:val="left" w:pos="8647"/>
        </w:tabs>
        <w:spacing w:line="360" w:lineRule="auto"/>
        <w:jc w:val="both"/>
        <w:rPr>
          <w:rFonts w:ascii="Palatino Linotype" w:eastAsia="Palatino Linotype" w:hAnsi="Palatino Linotype" w:cs="Palatino Linotype"/>
          <w:b/>
          <w:bCs/>
          <w:sz w:val="22"/>
          <w:szCs w:val="22"/>
        </w:rPr>
      </w:pP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7119F4">
        <w:rPr>
          <w:rFonts w:ascii="Palatino Linotype" w:eastAsia="Palatino Linotype" w:hAnsi="Palatino Linotype" w:cs="Palatino Linotype"/>
          <w:b/>
          <w:bCs/>
          <w:sz w:val="22"/>
          <w:szCs w:val="22"/>
        </w:rPr>
        <w:t>Ayuntamiento de Almoloya de Juárez</w:t>
      </w:r>
      <w:r w:rsidRPr="007119F4">
        <w:rPr>
          <w:rFonts w:ascii="Palatino Linotype" w:eastAsia="Palatino Linotype" w:hAnsi="Palatino Linotype" w:cs="Palatino Linotype"/>
          <w:sz w:val="22"/>
          <w:szCs w:val="22"/>
        </w:rPr>
        <w:t>, lo siguiente:</w:t>
      </w:r>
    </w:p>
    <w:p w:rsidR="00BB4F1E" w:rsidRPr="007119F4" w:rsidRDefault="00D16212">
      <w:pPr>
        <w:numPr>
          <w:ilvl w:val="0"/>
          <w:numId w:val="3"/>
        </w:numPr>
        <w:pBdr>
          <w:top w:val="nil"/>
          <w:left w:val="nil"/>
          <w:bottom w:val="nil"/>
          <w:right w:val="nil"/>
          <w:between w:val="nil"/>
        </w:pBdr>
        <w:spacing w:line="360" w:lineRule="auto"/>
        <w:ind w:left="567"/>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i/>
          <w:iCs/>
          <w:sz w:val="22"/>
          <w:szCs w:val="22"/>
        </w:rPr>
        <w:t xml:space="preserve">Copia de constancia de cumplimiento de entrega de información relacionada con la gestión de recursos públicos, incluyendo datos contables, financieros, presupuestarios, patrimoniales y programáticos, </w:t>
      </w:r>
    </w:p>
    <w:p w:rsidR="00BB4F1E" w:rsidRPr="007119F4" w:rsidRDefault="00D16212">
      <w:pPr>
        <w:numPr>
          <w:ilvl w:val="0"/>
          <w:numId w:val="3"/>
        </w:numPr>
        <w:pBdr>
          <w:top w:val="nil"/>
          <w:left w:val="nil"/>
          <w:bottom w:val="nil"/>
          <w:right w:val="nil"/>
          <w:between w:val="nil"/>
        </w:pBdr>
        <w:spacing w:line="360" w:lineRule="auto"/>
        <w:ind w:left="567"/>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i/>
          <w:iCs/>
          <w:sz w:val="22"/>
          <w:szCs w:val="22"/>
        </w:rPr>
        <w:t xml:space="preserve">La documentación justificativa y comprobatoria de la cuenta pública, entregada al OSFEM del primero y segundo trimestre 2025. </w:t>
      </w:r>
    </w:p>
    <w:p w:rsidR="00BB4F1E" w:rsidRPr="007119F4" w:rsidRDefault="00D16212">
      <w:pPr>
        <w:numPr>
          <w:ilvl w:val="0"/>
          <w:numId w:val="3"/>
        </w:numPr>
        <w:pBdr>
          <w:top w:val="nil"/>
          <w:left w:val="nil"/>
          <w:bottom w:val="nil"/>
          <w:right w:val="nil"/>
          <w:between w:val="nil"/>
        </w:pBdr>
        <w:spacing w:line="360" w:lineRule="auto"/>
        <w:ind w:left="567"/>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i/>
          <w:iCs/>
          <w:sz w:val="22"/>
          <w:szCs w:val="22"/>
        </w:rPr>
        <w:t>Asimismo informe las inconsistencias u observaciones (si las hay) que en su momento fueron marcadas por el OSFEM al Ayuntamiento de Almoloya de Juárez</w:t>
      </w:r>
    </w:p>
    <w:p w:rsidR="00BB4F1E" w:rsidRPr="007119F4" w:rsidRDefault="00BB4F1E">
      <w:pPr>
        <w:pBdr>
          <w:top w:val="nil"/>
          <w:left w:val="nil"/>
          <w:bottom w:val="nil"/>
          <w:right w:val="nil"/>
          <w:between w:val="nil"/>
        </w:pBdr>
        <w:spacing w:line="360" w:lineRule="auto"/>
        <w:ind w:left="567"/>
        <w:jc w:val="both"/>
        <w:rPr>
          <w:rFonts w:ascii="Palatino Linotype" w:eastAsia="Palatino Linotype" w:hAnsi="Palatino Linotype" w:cs="Palatino Linotype"/>
          <w:b/>
          <w:bCs/>
          <w:sz w:val="22"/>
          <w:szCs w:val="22"/>
        </w:rPr>
      </w:pPr>
    </w:p>
    <w:p w:rsidR="00BB4F1E" w:rsidRPr="007119F4" w:rsidRDefault="00BB4F1E">
      <w:pPr>
        <w:jc w:val="both"/>
        <w:rPr>
          <w:rFonts w:ascii="Palatino Linotype" w:eastAsia="Palatino Linotype" w:hAnsi="Palatino Linotype" w:cs="Palatino Linotype"/>
          <w:sz w:val="22"/>
          <w:szCs w:val="22"/>
        </w:rPr>
      </w:pPr>
    </w:p>
    <w:p w:rsidR="00BB4F1E" w:rsidRPr="007119F4" w:rsidRDefault="00D16212">
      <w:pPr>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El Sujeto Obligado, a través de su respuesta, entregó las siguientes direcciones electrónicas </w:t>
      </w:r>
    </w:p>
    <w:p w:rsidR="00BB4F1E" w:rsidRPr="007119F4" w:rsidRDefault="00BB4F1E">
      <w:pPr>
        <w:jc w:val="both"/>
        <w:rPr>
          <w:rFonts w:ascii="Palatino Linotype" w:eastAsia="Palatino Linotype" w:hAnsi="Palatino Linotype" w:cs="Palatino Linotype"/>
          <w:sz w:val="22"/>
          <w:szCs w:val="22"/>
        </w:rPr>
      </w:pPr>
    </w:p>
    <w:p w:rsidR="00BB4F1E" w:rsidRPr="007119F4" w:rsidRDefault="00D16212">
      <w:pPr>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noProof/>
          <w:sz w:val="22"/>
          <w:szCs w:val="22"/>
        </w:rPr>
        <w:drawing>
          <wp:inline distT="0" distB="0" distL="0" distR="0">
            <wp:extent cx="5756275" cy="2458085"/>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56275" cy="2458085"/>
                    </a:xfrm>
                    <a:prstGeom prst="rect">
                      <a:avLst/>
                    </a:prstGeom>
                    <a:ln/>
                  </pic:spPr>
                </pic:pic>
              </a:graphicData>
            </a:graphic>
          </wp:inline>
        </w:drawing>
      </w:r>
    </w:p>
    <w:p w:rsidR="00BB4F1E" w:rsidRPr="007119F4" w:rsidRDefault="00BB4F1E">
      <w:pPr>
        <w:jc w:val="both"/>
        <w:rPr>
          <w:rFonts w:ascii="Palatino Linotype" w:eastAsia="Palatino Linotype" w:hAnsi="Palatino Linotype" w:cs="Palatino Linotype"/>
          <w:sz w:val="22"/>
          <w:szCs w:val="22"/>
        </w:rPr>
      </w:pPr>
    </w:p>
    <w:p w:rsidR="00BB4F1E" w:rsidRPr="007119F4" w:rsidRDefault="00BB4F1E">
      <w:pPr>
        <w:jc w:val="both"/>
        <w:rPr>
          <w:rFonts w:ascii="Palatino Linotype" w:eastAsia="Palatino Linotype" w:hAnsi="Palatino Linotype" w:cs="Palatino Linotype"/>
          <w:sz w:val="22"/>
          <w:szCs w:val="22"/>
        </w:rPr>
      </w:pP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Por su parte, el Recurrente se inconformó porque la información no guarda relación con lo que se solicitó.</w:t>
      </w:r>
    </w:p>
    <w:p w:rsidR="00BB4F1E" w:rsidRPr="007119F4" w:rsidRDefault="00BB4F1E">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Ahora bien, el Tesorero Municipal en respuesta entregó las direcciones electrónicas que anteceden, en formato cerrado.</w:t>
      </w:r>
    </w:p>
    <w:p w:rsidR="00BB4F1E" w:rsidRPr="007119F4" w:rsidRDefault="00BB4F1E">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7119F4">
        <w:rPr>
          <w:rFonts w:ascii="Palatino Linotype" w:eastAsia="Palatino Linotype" w:hAnsi="Palatino Linotype" w:cs="Palatino Linotype"/>
          <w:i/>
          <w:iCs/>
          <w:sz w:val="22"/>
          <w:szCs w:val="22"/>
        </w:rPr>
        <w:t xml:space="preserve">la entrega de la información se deberá garantizar que ésta sea </w:t>
      </w:r>
      <w:r w:rsidRPr="007119F4">
        <w:rPr>
          <w:rFonts w:ascii="Palatino Linotype" w:eastAsia="Palatino Linotype" w:hAnsi="Palatino Linotype" w:cs="Palatino Linotype"/>
          <w:b/>
          <w:bCs/>
          <w:i/>
          <w:iCs/>
          <w:sz w:val="22"/>
          <w:szCs w:val="22"/>
        </w:rPr>
        <w:t>accesible</w:t>
      </w:r>
      <w:r w:rsidRPr="007119F4">
        <w:rPr>
          <w:rFonts w:ascii="Palatino Linotype" w:eastAsia="Palatino Linotype" w:hAnsi="Palatino Linotype" w:cs="Palatino Linotype"/>
          <w:i/>
          <w:iCs/>
          <w:sz w:val="22"/>
          <w:szCs w:val="22"/>
        </w:rPr>
        <w:t xml:space="preserve">, </w:t>
      </w:r>
      <w:r w:rsidRPr="007119F4">
        <w:rPr>
          <w:rFonts w:ascii="Palatino Linotype" w:eastAsia="Palatino Linotype" w:hAnsi="Palatino Linotype" w:cs="Palatino Linotype"/>
          <w:b/>
          <w:bCs/>
          <w:i/>
          <w:iCs/>
          <w:sz w:val="22"/>
          <w:szCs w:val="22"/>
        </w:rPr>
        <w:t>actualizada, completa,</w:t>
      </w:r>
      <w:r w:rsidRPr="007119F4">
        <w:rPr>
          <w:rFonts w:ascii="Palatino Linotype" w:eastAsia="Palatino Linotype" w:hAnsi="Palatino Linotype" w:cs="Palatino Linotype"/>
          <w:i/>
          <w:iCs/>
          <w:sz w:val="22"/>
          <w:szCs w:val="22"/>
        </w:rPr>
        <w:t xml:space="preserve"> congruente, confiable, </w:t>
      </w:r>
      <w:r w:rsidRPr="007119F4">
        <w:rPr>
          <w:rFonts w:ascii="Palatino Linotype" w:eastAsia="Palatino Linotype" w:hAnsi="Palatino Linotype" w:cs="Palatino Linotype"/>
          <w:b/>
          <w:bCs/>
          <w:i/>
          <w:iCs/>
          <w:sz w:val="22"/>
          <w:szCs w:val="22"/>
        </w:rPr>
        <w:t>verificable</w:t>
      </w:r>
      <w:r w:rsidRPr="007119F4">
        <w:rPr>
          <w:rFonts w:ascii="Palatino Linotype" w:eastAsia="Palatino Linotype" w:hAnsi="Palatino Linotype" w:cs="Palatino Linotype"/>
          <w:i/>
          <w:iCs/>
          <w:sz w:val="22"/>
          <w:szCs w:val="22"/>
        </w:rPr>
        <w:t xml:space="preserve">, veraz, integral, oportuna y expedita. </w:t>
      </w:r>
      <w:r w:rsidRPr="007119F4">
        <w:rPr>
          <w:rFonts w:ascii="Palatino Linotype" w:eastAsia="Palatino Linotype" w:hAnsi="Palatino Linotype" w:cs="Palatino Linotype"/>
          <w:sz w:val="22"/>
          <w:szCs w:val="22"/>
        </w:rPr>
        <w:t>Asimismo, el artículo 161 de la Ley en comento, refiere lo siguiente:</w:t>
      </w:r>
    </w:p>
    <w:p w:rsidR="00BB4F1E" w:rsidRPr="007119F4" w:rsidRDefault="00BB4F1E">
      <w:pPr>
        <w:pBdr>
          <w:top w:val="nil"/>
          <w:left w:val="nil"/>
          <w:bottom w:val="nil"/>
          <w:right w:val="nil"/>
          <w:between w:val="nil"/>
        </w:pBdr>
        <w:ind w:left="708"/>
        <w:jc w:val="both"/>
        <w:rPr>
          <w:rFonts w:ascii="Palatino Linotype" w:eastAsia="Palatino Linotype" w:hAnsi="Palatino Linotype" w:cs="Palatino Linotype"/>
          <w:sz w:val="22"/>
          <w:szCs w:val="22"/>
        </w:rPr>
      </w:pPr>
    </w:p>
    <w:p w:rsidR="00BB4F1E" w:rsidRPr="007119F4" w:rsidRDefault="00D16212">
      <w:pPr>
        <w:spacing w:line="360" w:lineRule="auto"/>
        <w:ind w:left="567" w:right="567"/>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 xml:space="preserve">Artículo 161. Cuando la información requerida por el solicitante ya esté disponible al público </w:t>
      </w:r>
      <w:r w:rsidRPr="007119F4">
        <w:rPr>
          <w:rFonts w:ascii="Palatino Linotype" w:eastAsia="Palatino Linotype" w:hAnsi="Palatino Linotype" w:cs="Palatino Linotype"/>
          <w:i/>
          <w:iCs/>
          <w:sz w:val="22"/>
          <w:szCs w:val="22"/>
        </w:rPr>
        <w:t xml:space="preserve">en medios impresos, tales como libros, compendios, trípticos, registros públicos, </w:t>
      </w:r>
      <w:r w:rsidRPr="007119F4">
        <w:rPr>
          <w:rFonts w:ascii="Palatino Linotype" w:eastAsia="Palatino Linotype" w:hAnsi="Palatino Linotype" w:cs="Palatino Linotype"/>
          <w:b/>
          <w:bCs/>
          <w:i/>
          <w:iCs/>
          <w:sz w:val="22"/>
          <w:szCs w:val="22"/>
        </w:rPr>
        <w:t>en formatos electrónicos</w:t>
      </w:r>
      <w:r w:rsidRPr="007119F4">
        <w:rPr>
          <w:rFonts w:ascii="Palatino Linotype" w:eastAsia="Palatino Linotype" w:hAnsi="Palatino Linotype" w:cs="Palatino Linotype"/>
          <w:i/>
          <w:iCs/>
          <w:sz w:val="22"/>
          <w:szCs w:val="22"/>
        </w:rPr>
        <w:t xml:space="preserve"> disponibles en Internet o en cualquier otro medio, </w:t>
      </w:r>
      <w:r w:rsidRPr="007119F4">
        <w:rPr>
          <w:rFonts w:ascii="Palatino Linotype" w:eastAsia="Palatino Linotype" w:hAnsi="Palatino Linotype" w:cs="Palatino Linotype"/>
          <w:b/>
          <w:bCs/>
          <w:i/>
          <w:iCs/>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BB4F1E" w:rsidRPr="007119F4" w:rsidRDefault="00D16212">
      <w:pPr>
        <w:spacing w:line="360" w:lineRule="auto"/>
        <w:ind w:left="567" w:right="567"/>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(Énfasis añadido)</w:t>
      </w:r>
    </w:p>
    <w:p w:rsidR="00BB4F1E" w:rsidRPr="007119F4" w:rsidRDefault="00BB4F1E">
      <w:pPr>
        <w:spacing w:line="360" w:lineRule="auto"/>
        <w:ind w:left="567" w:right="567"/>
        <w:jc w:val="both"/>
        <w:rPr>
          <w:rFonts w:ascii="Palatino Linotype" w:eastAsia="Palatino Linotype" w:hAnsi="Palatino Linotype" w:cs="Palatino Linotype"/>
          <w:b/>
          <w:bCs/>
          <w:i/>
          <w:iCs/>
          <w:sz w:val="22"/>
          <w:szCs w:val="22"/>
        </w:rPr>
      </w:pPr>
    </w:p>
    <w:p w:rsidR="00BB4F1E" w:rsidRPr="007119F4" w:rsidRDefault="00D1621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7119F4">
        <w:rPr>
          <w:rFonts w:ascii="Palatino Linotype" w:eastAsia="Palatino Linotype" w:hAnsi="Palatino Linotype" w:cs="Palatino Linotype"/>
          <w:b/>
          <w:bCs/>
          <w:sz w:val="22"/>
          <w:szCs w:val="22"/>
        </w:rPr>
        <w:t>Esta dirección electrónica debe ser precisa, de tal modo que no implique realizar una búsqueda en toda la información que ahí se encuentre, debiendo cumplir</w:t>
      </w:r>
      <w:r w:rsidRPr="007119F4">
        <w:rPr>
          <w:rFonts w:ascii="Palatino Linotype" w:eastAsia="Palatino Linotype" w:hAnsi="Palatino Linotype" w:cs="Palatino Linotype"/>
          <w:sz w:val="22"/>
          <w:szCs w:val="22"/>
        </w:rPr>
        <w:t xml:space="preserve"> una serie de requisitos, a saber:</w:t>
      </w:r>
    </w:p>
    <w:p w:rsidR="00BB4F1E" w:rsidRPr="007119F4" w:rsidRDefault="00BB4F1E">
      <w:pPr>
        <w:pBdr>
          <w:top w:val="nil"/>
          <w:left w:val="nil"/>
          <w:bottom w:val="nil"/>
          <w:right w:val="nil"/>
          <w:between w:val="nil"/>
        </w:pBdr>
        <w:spacing w:line="360" w:lineRule="auto"/>
        <w:ind w:left="720" w:right="48"/>
        <w:jc w:val="both"/>
        <w:rPr>
          <w:rFonts w:ascii="Palatino Linotype" w:eastAsia="Palatino Linotype" w:hAnsi="Palatino Linotype" w:cs="Palatino Linotype"/>
          <w:b/>
          <w:bCs/>
          <w:sz w:val="22"/>
          <w:szCs w:val="22"/>
        </w:rPr>
      </w:pPr>
    </w:p>
    <w:p w:rsidR="00BB4F1E" w:rsidRPr="007119F4" w:rsidRDefault="00D16212">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La dirección electrónica debe señalarse en un plazo no mayor a cinco días hábiles;</w:t>
      </w:r>
    </w:p>
    <w:p w:rsidR="00BB4F1E" w:rsidRPr="007119F4" w:rsidRDefault="00D16212">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La dirección electrónica debe ser precisa, de tal modo que no implique realizar una búsqueda en toda la información que ahí se encuentre; y,</w:t>
      </w:r>
    </w:p>
    <w:p w:rsidR="00BB4F1E" w:rsidRPr="007119F4" w:rsidRDefault="00D16212">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La dirección electrónica debe ir acompañada del procedimiento a seguir, en caso de que la información se encuentre en distintos puntos del sitio electrónico referido; y,</w:t>
      </w:r>
    </w:p>
    <w:p w:rsidR="00BB4F1E" w:rsidRPr="007119F4" w:rsidRDefault="00D16212">
      <w:pPr>
        <w:numPr>
          <w:ilvl w:val="0"/>
          <w:numId w:val="5"/>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u w:val="single"/>
        </w:rPr>
        <w:t>La dirección electrónica se debe entregar en formato abierto,</w:t>
      </w:r>
      <w:r w:rsidRPr="007119F4">
        <w:rPr>
          <w:rFonts w:ascii="Palatino Linotype" w:eastAsia="Palatino Linotype" w:hAnsi="Palatino Linotype" w:cs="Palatino Linotype"/>
          <w:b/>
          <w:bCs/>
          <w:sz w:val="22"/>
          <w:szCs w:val="22"/>
        </w:rPr>
        <w:t xml:space="preserve"> para que el Recurrente pueda copiar y pegar sin la necesidad de transcribir la liga electrónica.</w:t>
      </w:r>
    </w:p>
    <w:p w:rsidR="00BB4F1E" w:rsidRPr="007119F4" w:rsidRDefault="00BB4F1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 xml:space="preserve">Dato abierto: </w:t>
      </w:r>
      <w:r w:rsidRPr="007119F4">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BB4F1E" w:rsidRPr="007119F4" w:rsidRDefault="00BB4F1E">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rsidR="00BB4F1E" w:rsidRPr="007119F4" w:rsidRDefault="00D1621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 xml:space="preserve">Formato accesible: </w:t>
      </w:r>
      <w:r w:rsidRPr="007119F4">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BB4F1E" w:rsidRPr="007119F4" w:rsidRDefault="00BB4F1E">
      <w:pPr>
        <w:pBdr>
          <w:top w:val="nil"/>
          <w:left w:val="nil"/>
          <w:bottom w:val="nil"/>
          <w:right w:val="nil"/>
          <w:between w:val="nil"/>
        </w:pBdr>
        <w:ind w:left="720"/>
        <w:rPr>
          <w:rFonts w:ascii="Palatino Linotype" w:eastAsia="Palatino Linotype" w:hAnsi="Palatino Linotype" w:cs="Palatino Linotype"/>
          <w:b/>
          <w:bCs/>
          <w:sz w:val="22"/>
          <w:szCs w:val="22"/>
        </w:rPr>
      </w:pPr>
    </w:p>
    <w:p w:rsidR="00BB4F1E" w:rsidRPr="007119F4" w:rsidRDefault="00D1621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En el presente asunto, El Tesorero Municipal entregó la dirección electrónica en formato cerrado, lo que propicia que el Recurrente deba transcribir cada uno de los caracteres, lo que facilita a errores y con ello la imposibilidad o dificultad para acceder a la información. </w:t>
      </w:r>
    </w:p>
    <w:p w:rsidR="00BB4F1E" w:rsidRPr="007119F4" w:rsidRDefault="00BB4F1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Tal y como se aprecia, la dirección electrónica incumple lo que estipula el artículo 161 antes citado, en razón de lo siguiente:</w:t>
      </w:r>
    </w:p>
    <w:p w:rsidR="00BB4F1E" w:rsidRPr="007119F4" w:rsidRDefault="00BB4F1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B4F1E" w:rsidRPr="007119F4" w:rsidRDefault="00D16212">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La dirección electrónica se encuentra en formato cerrado, por lo que no resulta accesible para el Recurrente; y,</w:t>
      </w:r>
    </w:p>
    <w:p w:rsidR="00BB4F1E" w:rsidRPr="007119F4" w:rsidRDefault="00D16212">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Se encuentra fuera del plazo de cinco días establecidos para tal efecto.</w:t>
      </w:r>
    </w:p>
    <w:p w:rsidR="00BB4F1E" w:rsidRPr="007119F4" w:rsidRDefault="00BB4F1E">
      <w:pPr>
        <w:pBdr>
          <w:top w:val="nil"/>
          <w:left w:val="nil"/>
          <w:bottom w:val="nil"/>
          <w:right w:val="nil"/>
          <w:between w:val="nil"/>
        </w:pBdr>
        <w:spacing w:line="360" w:lineRule="auto"/>
        <w:ind w:left="720" w:right="-150"/>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Sin embargo, aún y cuando la dirección electrónica se encuentra en formato cerrado, se aprecia que el Recurrente tuvo acceso a la información ahí disponible, al señalar que es información que no solicitó. </w:t>
      </w:r>
    </w:p>
    <w:p w:rsidR="00BB4F1E" w:rsidRPr="007119F4" w:rsidRDefault="00BB4F1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BB4F1E" w:rsidRPr="007119F4" w:rsidRDefault="00D16212">
      <w:pPr>
        <w:spacing w:after="240"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Constancia de cumplimiento de informes trimestrales.</w:t>
      </w:r>
    </w:p>
    <w:p w:rsidR="00BB4F1E" w:rsidRPr="007119F4" w:rsidRDefault="00D16212">
      <w:pPr>
        <w:spacing w:after="240" w:line="360" w:lineRule="auto"/>
        <w:jc w:val="both"/>
        <w:rPr>
          <w:sz w:val="22"/>
          <w:szCs w:val="22"/>
        </w:rPr>
      </w:pPr>
      <w:r w:rsidRPr="007119F4">
        <w:rPr>
          <w:rFonts w:ascii="Palatino Linotype" w:eastAsia="Palatino Linotype" w:hAnsi="Palatino Linotype" w:cs="Palatino Linotype"/>
          <w:b/>
          <w:bCs/>
          <w:sz w:val="22"/>
          <w:szCs w:val="22"/>
        </w:rPr>
        <w:t xml:space="preserve">Respecto al requerimiento identificado como copia </w:t>
      </w:r>
      <w:r w:rsidRPr="007119F4">
        <w:rPr>
          <w:rFonts w:ascii="Palatino Linotype" w:eastAsia="Palatino Linotype" w:hAnsi="Palatino Linotype" w:cs="Palatino Linotype"/>
          <w:sz w:val="22"/>
          <w:szCs w:val="22"/>
        </w:rPr>
        <w:t>de constancia de cumplimiento de entrega de información relacionada con la gestión de recursos públicos, incluyendo datos contables, financieros, presupuestarios, patrimoniales y programáticos,</w:t>
      </w:r>
      <w:r w:rsidRPr="007119F4">
        <w:rPr>
          <w:rFonts w:ascii="Palatino Linotype" w:eastAsia="Palatino Linotype" w:hAnsi="Palatino Linotype" w:cs="Palatino Linotype"/>
          <w:i/>
          <w:iCs/>
          <w:sz w:val="22"/>
          <w:szCs w:val="22"/>
        </w:rPr>
        <w:t xml:space="preserve"> </w:t>
      </w:r>
      <w:r w:rsidRPr="007119F4">
        <w:rPr>
          <w:rFonts w:ascii="Palatino Linotype" w:eastAsia="Palatino Linotype" w:hAnsi="Palatino Linotype" w:cs="Palatino Linotype"/>
          <w:sz w:val="22"/>
          <w:szCs w:val="22"/>
        </w:rPr>
        <w:t>se procede a contextualizar la información solicitada, por lo que, es importante precisar que de conformidad con el artículo 116, fracción II, párrafo sexto de la Constitución Política de los Estados Unidos Mexicanos, las Legislaturas de los Estados contarán con entidades estatales de fiscalización con autonomía técnica y de gestión. </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line="360" w:lineRule="auto"/>
        <w:jc w:val="both"/>
        <w:rPr>
          <w:sz w:val="22"/>
          <w:szCs w:val="22"/>
        </w:rPr>
      </w:pPr>
      <w:r w:rsidRPr="007119F4">
        <w:rPr>
          <w:rFonts w:ascii="Palatino Linotype" w:eastAsia="Palatino Linotype" w:hAnsi="Palatino Linotype" w:cs="Palatino Linotype"/>
          <w:sz w:val="22"/>
          <w:szCs w:val="22"/>
        </w:rPr>
        <w:t xml:space="preserve">En ese sentido, de acuerdo con el artículo 61, fracciones XXXII, XXXIII, XXXIV y XXXV de la Constitución Política del Estado Libre y Soberano de México, el Órgano Superior de Fiscalización del Estado de México, es un órgano dotado de autonomía técnica y de gestión, con atribuciones para recibir, revisar y fiscalizar: </w:t>
      </w:r>
      <w:r w:rsidRPr="007119F4">
        <w:rPr>
          <w:rFonts w:ascii="Palatino Linotype" w:eastAsia="Palatino Linotype" w:hAnsi="Palatino Linotype" w:cs="Palatino Linotype"/>
          <w:b/>
          <w:bCs/>
          <w:sz w:val="22"/>
          <w:szCs w:val="22"/>
        </w:rPr>
        <w:t>cuentas públicas del Estado y Municipios, la aplicación de los fondos públicos, la administración de los ingresos y egresos y; determinar los daños y perjuicios que afecten a la hacienda pública. </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line="360" w:lineRule="auto"/>
        <w:jc w:val="both"/>
        <w:rPr>
          <w:sz w:val="22"/>
          <w:szCs w:val="22"/>
        </w:rPr>
      </w:pPr>
      <w:r w:rsidRPr="007119F4">
        <w:rPr>
          <w:rFonts w:ascii="Palatino Linotype" w:eastAsia="Palatino Linotype" w:hAnsi="Palatino Linotype" w:cs="Palatino Linotype"/>
          <w:sz w:val="22"/>
          <w:szCs w:val="22"/>
        </w:rPr>
        <w:t>Es así que, de acuerdo con el artículo 129 de la Constitución Política del Estado Libre y Soberano de México, el OSFEM vigila que los recursos económicos del Estado, municipios, organismos autónomos se administren con eficacia, eficiencia, economía, transparencia y honradez, para cumplir con los objetivos y programas. </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line="360" w:lineRule="auto"/>
        <w:jc w:val="both"/>
        <w:rPr>
          <w:sz w:val="22"/>
          <w:szCs w:val="22"/>
        </w:rPr>
      </w:pPr>
      <w:r w:rsidRPr="007119F4">
        <w:rPr>
          <w:rFonts w:ascii="Palatino Linotype" w:eastAsia="Palatino Linotype" w:hAnsi="Palatino Linotype" w:cs="Palatino Linotype"/>
          <w:sz w:val="22"/>
          <w:szCs w:val="22"/>
        </w:rPr>
        <w:t>Por otro lado, la Ley de Fiscalización Superior del Estado de México establece lo siguiente: </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after="160"/>
        <w:ind w:left="567" w:right="616"/>
        <w:jc w:val="both"/>
        <w:rPr>
          <w:sz w:val="22"/>
          <w:szCs w:val="22"/>
        </w:rPr>
      </w:pPr>
      <w:r w:rsidRPr="007119F4">
        <w:rPr>
          <w:rFonts w:ascii="Palatino Linotype" w:eastAsia="Palatino Linotype" w:hAnsi="Palatino Linotype" w:cs="Palatino Linotype"/>
          <w:b/>
          <w:bCs/>
          <w:i/>
          <w:iCs/>
          <w:sz w:val="22"/>
          <w:szCs w:val="22"/>
        </w:rPr>
        <w:t>“Artículo 4.-</w:t>
      </w:r>
      <w:r w:rsidRPr="007119F4">
        <w:rPr>
          <w:rFonts w:ascii="Palatino Linotype" w:eastAsia="Palatino Linotype" w:hAnsi="Palatino Linotype" w:cs="Palatino Linotype"/>
          <w:i/>
          <w:iCs/>
          <w:sz w:val="22"/>
          <w:szCs w:val="22"/>
        </w:rPr>
        <w:t xml:space="preserve"> Son sujetos de fiscalización:  </w:t>
      </w:r>
    </w:p>
    <w:p w:rsidR="00BB4F1E" w:rsidRPr="007119F4" w:rsidRDefault="00D16212">
      <w:pPr>
        <w:pBdr>
          <w:top w:val="nil"/>
          <w:left w:val="nil"/>
          <w:bottom w:val="nil"/>
          <w:right w:val="nil"/>
          <w:between w:val="nil"/>
        </w:pBdr>
        <w:spacing w:after="160"/>
        <w:ind w:left="567" w:right="616"/>
        <w:jc w:val="both"/>
        <w:rPr>
          <w:sz w:val="22"/>
          <w:szCs w:val="22"/>
        </w:rPr>
      </w:pPr>
      <w:r w:rsidRPr="007119F4">
        <w:rPr>
          <w:rFonts w:ascii="Palatino Linotype" w:eastAsia="Palatino Linotype" w:hAnsi="Palatino Linotype" w:cs="Palatino Linotype"/>
          <w:i/>
          <w:iCs/>
          <w:sz w:val="22"/>
          <w:szCs w:val="22"/>
        </w:rPr>
        <w:t>I. Los Poderes Públicos del Estado;  </w:t>
      </w:r>
    </w:p>
    <w:p w:rsidR="00BB4F1E" w:rsidRPr="007119F4" w:rsidRDefault="00D16212">
      <w:pPr>
        <w:pBdr>
          <w:top w:val="nil"/>
          <w:left w:val="nil"/>
          <w:bottom w:val="nil"/>
          <w:right w:val="nil"/>
          <w:between w:val="nil"/>
        </w:pBdr>
        <w:spacing w:after="160"/>
        <w:ind w:left="567" w:right="616"/>
        <w:rPr>
          <w:sz w:val="22"/>
          <w:szCs w:val="22"/>
        </w:rPr>
      </w:pPr>
      <w:r w:rsidRPr="007119F4">
        <w:rPr>
          <w:rFonts w:ascii="Palatino Linotype" w:eastAsia="Palatino Linotype" w:hAnsi="Palatino Linotype" w:cs="Palatino Linotype"/>
          <w:b/>
          <w:bCs/>
          <w:i/>
          <w:iCs/>
          <w:sz w:val="22"/>
          <w:szCs w:val="22"/>
          <w:u w:val="single"/>
        </w:rPr>
        <w:t>II. Los municipios del Estado de México;  </w:t>
      </w:r>
    </w:p>
    <w:p w:rsidR="00BB4F1E" w:rsidRPr="007119F4" w:rsidRDefault="00D16212">
      <w:pPr>
        <w:pBdr>
          <w:top w:val="nil"/>
          <w:left w:val="nil"/>
          <w:bottom w:val="nil"/>
          <w:right w:val="nil"/>
          <w:between w:val="nil"/>
        </w:pBdr>
        <w:spacing w:after="160"/>
        <w:ind w:left="567" w:right="616"/>
        <w:rPr>
          <w:sz w:val="22"/>
          <w:szCs w:val="22"/>
        </w:rPr>
      </w:pPr>
      <w:r w:rsidRPr="007119F4">
        <w:rPr>
          <w:rFonts w:ascii="Palatino Linotype" w:eastAsia="Palatino Linotype" w:hAnsi="Palatino Linotype" w:cs="Palatino Linotype"/>
          <w:i/>
          <w:iCs/>
          <w:sz w:val="22"/>
          <w:szCs w:val="22"/>
        </w:rPr>
        <w:t>III. Los organismos autónomos;  </w:t>
      </w:r>
    </w:p>
    <w:p w:rsidR="00BB4F1E" w:rsidRPr="007119F4" w:rsidRDefault="00D16212">
      <w:pPr>
        <w:pBdr>
          <w:top w:val="nil"/>
          <w:left w:val="nil"/>
          <w:bottom w:val="nil"/>
          <w:right w:val="nil"/>
          <w:between w:val="nil"/>
        </w:pBdr>
        <w:spacing w:after="160"/>
        <w:ind w:left="567" w:right="616"/>
        <w:rPr>
          <w:sz w:val="22"/>
          <w:szCs w:val="22"/>
        </w:rPr>
      </w:pPr>
      <w:r w:rsidRPr="007119F4">
        <w:rPr>
          <w:rFonts w:ascii="Palatino Linotype" w:eastAsia="Palatino Linotype" w:hAnsi="Palatino Linotype" w:cs="Palatino Linotype"/>
          <w:i/>
          <w:iCs/>
          <w:sz w:val="22"/>
          <w:szCs w:val="22"/>
        </w:rPr>
        <w:t>IV. Los organismos auxiliares;  </w:t>
      </w:r>
    </w:p>
    <w:p w:rsidR="00BB4F1E" w:rsidRPr="007119F4" w:rsidRDefault="00D16212">
      <w:pPr>
        <w:pBdr>
          <w:top w:val="nil"/>
          <w:left w:val="nil"/>
          <w:bottom w:val="nil"/>
          <w:right w:val="nil"/>
          <w:between w:val="nil"/>
        </w:pBdr>
        <w:spacing w:after="160"/>
        <w:ind w:left="567" w:right="616"/>
        <w:rPr>
          <w:sz w:val="22"/>
          <w:szCs w:val="22"/>
        </w:rPr>
      </w:pPr>
      <w:r w:rsidRPr="007119F4">
        <w:rPr>
          <w:rFonts w:ascii="Palatino Linotype" w:eastAsia="Palatino Linotype" w:hAnsi="Palatino Linotype" w:cs="Palatino Linotype"/>
          <w:i/>
          <w:iCs/>
          <w:sz w:val="22"/>
          <w:szCs w:val="22"/>
        </w:rPr>
        <w:t>V. Los fideicomisos previstos en el artículo 3 fracción XVII del Código Financiero del Estado de México y Municipios, y aquellos que manejen recursos del Estado, Municipios, o en su caso provenientes de la federación;</w:t>
      </w:r>
    </w:p>
    <w:p w:rsidR="00BB4F1E" w:rsidRPr="007119F4" w:rsidRDefault="00D16212">
      <w:pPr>
        <w:pBdr>
          <w:top w:val="nil"/>
          <w:left w:val="nil"/>
          <w:bottom w:val="nil"/>
          <w:right w:val="nil"/>
          <w:between w:val="nil"/>
        </w:pBdr>
        <w:spacing w:after="160"/>
        <w:ind w:left="567" w:right="616"/>
        <w:jc w:val="both"/>
        <w:rPr>
          <w:sz w:val="22"/>
          <w:szCs w:val="22"/>
        </w:rPr>
      </w:pPr>
      <w:r w:rsidRPr="007119F4">
        <w:rPr>
          <w:rFonts w:ascii="Palatino Linotype" w:eastAsia="Palatino Linotype" w:hAnsi="Palatino Linotype" w:cs="Palatino Linotype"/>
          <w:i/>
          <w:iCs/>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BB4F1E" w:rsidRPr="007119F4" w:rsidRDefault="00D16212">
      <w:pPr>
        <w:pBdr>
          <w:top w:val="nil"/>
          <w:left w:val="nil"/>
          <w:bottom w:val="nil"/>
          <w:right w:val="nil"/>
          <w:between w:val="nil"/>
        </w:pBdr>
        <w:spacing w:after="160"/>
        <w:ind w:left="567" w:right="616"/>
        <w:jc w:val="right"/>
        <w:rPr>
          <w:b/>
          <w:bCs/>
          <w:sz w:val="22"/>
          <w:szCs w:val="22"/>
        </w:rPr>
      </w:pPr>
      <w:r w:rsidRPr="007119F4">
        <w:rPr>
          <w:rFonts w:ascii="Palatino Linotype" w:eastAsia="Palatino Linotype" w:hAnsi="Palatino Linotype" w:cs="Palatino Linotype"/>
          <w:b/>
          <w:bCs/>
          <w:i/>
          <w:iCs/>
          <w:sz w:val="22"/>
          <w:szCs w:val="22"/>
        </w:rPr>
        <w:t>(Énfasis añadido)</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line="360" w:lineRule="auto"/>
        <w:jc w:val="both"/>
        <w:rPr>
          <w:sz w:val="22"/>
          <w:szCs w:val="22"/>
        </w:rPr>
      </w:pPr>
      <w:r w:rsidRPr="007119F4">
        <w:rPr>
          <w:rFonts w:ascii="Palatino Linotype" w:eastAsia="Palatino Linotype" w:hAnsi="Palatino Linotype" w:cs="Palatino Linotype"/>
          <w:sz w:val="22"/>
          <w:szCs w:val="22"/>
        </w:rPr>
        <w:t>Por otra parte,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line="360" w:lineRule="auto"/>
        <w:jc w:val="both"/>
        <w:rPr>
          <w:sz w:val="22"/>
          <w:szCs w:val="22"/>
        </w:rPr>
      </w:pPr>
      <w:r w:rsidRPr="007119F4">
        <w:rPr>
          <w:rFonts w:ascii="Palatino Linotype" w:eastAsia="Palatino Linotype" w:hAnsi="Palatino Linotype" w:cs="Palatino Linotype"/>
          <w:sz w:val="22"/>
          <w:szCs w:val="22"/>
        </w:rPr>
        <w:t xml:space="preserve">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w:t>
      </w:r>
      <w:r w:rsidRPr="007119F4">
        <w:rPr>
          <w:rFonts w:ascii="Palatino Linotype" w:eastAsia="Palatino Linotype" w:hAnsi="Palatino Linotype" w:cs="Palatino Linotype"/>
          <w:b/>
          <w:bCs/>
          <w:sz w:val="22"/>
          <w:szCs w:val="22"/>
        </w:rPr>
        <w:t>estos deberán presentarse dentro de los veinte días hábiles posteriores al término del trimestre que corresponda</w:t>
      </w:r>
      <w:r w:rsidRPr="007119F4">
        <w:rPr>
          <w:rFonts w:ascii="Palatino Linotype" w:eastAsia="Palatino Linotype" w:hAnsi="Palatino Linotype" w:cs="Palatino Linotype"/>
          <w:sz w:val="22"/>
          <w:szCs w:val="22"/>
        </w:rPr>
        <w:t>. </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line="360" w:lineRule="auto"/>
        <w:jc w:val="both"/>
        <w:rPr>
          <w:sz w:val="22"/>
          <w:szCs w:val="22"/>
        </w:rPr>
      </w:pPr>
      <w:r w:rsidRPr="007119F4">
        <w:rPr>
          <w:rFonts w:ascii="Palatino Linotype" w:eastAsia="Palatino Linotype" w:hAnsi="Palatino Linotype" w:cs="Palatino Linotype"/>
          <w:sz w:val="22"/>
          <w:szCs w:val="22"/>
        </w:rPr>
        <w:t xml:space="preserve">En relación con el tema que ahora nos ocupa, es de señalar que los informes trimestrales son los documentos físicos o electrónicos que trimestralmente presentan las entidades fiscalizables, a través de las </w:t>
      </w:r>
      <w:r w:rsidRPr="007119F4">
        <w:rPr>
          <w:rFonts w:ascii="Palatino Linotype" w:eastAsia="Palatino Linotype" w:hAnsi="Palatino Linotype" w:cs="Palatino Linotype"/>
          <w:b/>
          <w:bCs/>
          <w:sz w:val="22"/>
          <w:szCs w:val="22"/>
          <w:u w:val="single"/>
        </w:rPr>
        <w:t>tesorerías municipales</w:t>
      </w:r>
      <w:r w:rsidRPr="007119F4">
        <w:rPr>
          <w:rFonts w:ascii="Palatino Linotype" w:eastAsia="Palatino Linotype" w:hAnsi="Palatino Linotype" w:cs="Palatino Linotype"/>
          <w:sz w:val="22"/>
          <w:szCs w:val="22"/>
        </w:rPr>
        <w:t xml:space="preserve"> y de la Secretaría de Finanzas o equivalentes, sobre la situación económica, las finanzas públicas y, en su caso, respecto a la deuda pública, para su análisis por el Órgano Superior. </w:t>
      </w:r>
    </w:p>
    <w:p w:rsidR="00BB4F1E" w:rsidRPr="007119F4" w:rsidRDefault="00BB4F1E">
      <w:pPr>
        <w:spacing w:line="360" w:lineRule="auto"/>
        <w:rPr>
          <w:sz w:val="22"/>
          <w:szCs w:val="22"/>
        </w:rPr>
      </w:pPr>
    </w:p>
    <w:p w:rsidR="00BB4F1E" w:rsidRPr="007119F4" w:rsidRDefault="00D16212">
      <w:pPr>
        <w:pBdr>
          <w:top w:val="nil"/>
          <w:left w:val="nil"/>
          <w:bottom w:val="nil"/>
          <w:right w:val="nil"/>
          <w:between w:val="nil"/>
        </w:pBdr>
        <w:spacing w:line="360" w:lineRule="auto"/>
        <w:jc w:val="both"/>
        <w:rPr>
          <w:sz w:val="22"/>
          <w:szCs w:val="22"/>
        </w:rPr>
      </w:pPr>
      <w:r w:rsidRPr="007119F4">
        <w:rPr>
          <w:rFonts w:ascii="Palatino Linotype" w:eastAsia="Palatino Linotype" w:hAnsi="Palatino Linotype" w:cs="Palatino Linotype"/>
          <w:sz w:val="22"/>
          <w:szCs w:val="22"/>
        </w:rPr>
        <w:t>Es así que la Secretaría de Finanzas del Poder Ejecutivo y las Tesorerías municipales o equivalentes, enviarán para su análisis y evaluación al Órgano Superior de Fiscalización del Estado de México de manera trimestral dentro de los primeros veinte días hábiles posteriores al término el periodo a informar y para el trimestre correspondiente al cierre del ejercicio fiscal, el envío se alineará con el plazo de entrega de la cuenta pública respectiva.  </w:t>
      </w:r>
    </w:p>
    <w:p w:rsidR="00BB4F1E" w:rsidRPr="007119F4" w:rsidRDefault="00BB4F1E">
      <w:pPr>
        <w:spacing w:line="360" w:lineRule="auto"/>
        <w:rPr>
          <w:sz w:val="22"/>
          <w:szCs w:val="22"/>
        </w:rPr>
      </w:pP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Una vez dicho lo anterior, es de mencionar que el acuerdo 7/2025 por el que se emiten los Lineamientos, Fechas de Capacitación y Calendarización para la integración y presentación de los informes trimestrales Estatales y Municipales del ejercicio fiscal 2025, de las entidades fiscalizables del Estado de México, que disponen lo siguiente: </w:t>
      </w:r>
    </w:p>
    <w:p w:rsidR="00BB4F1E" w:rsidRPr="007119F4" w:rsidRDefault="00BB4F1E">
      <w:pPr>
        <w:spacing w:after="240" w:line="360" w:lineRule="auto"/>
        <w:jc w:val="both"/>
        <w:rPr>
          <w:rFonts w:ascii="Palatino Linotype" w:eastAsia="Palatino Linotype" w:hAnsi="Palatino Linotype" w:cs="Palatino Linotype"/>
          <w:sz w:val="22"/>
          <w:szCs w:val="22"/>
        </w:rPr>
      </w:pP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noProof/>
          <w:sz w:val="22"/>
          <w:szCs w:val="22"/>
        </w:rPr>
        <w:drawing>
          <wp:inline distT="0" distB="0" distL="0" distR="0">
            <wp:extent cx="5756275" cy="6946265"/>
            <wp:effectExtent l="0" t="0" r="0" b="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56275" cy="6946265"/>
                    </a:xfrm>
                    <a:prstGeom prst="rect">
                      <a:avLst/>
                    </a:prstGeom>
                    <a:ln/>
                  </pic:spPr>
                </pic:pic>
              </a:graphicData>
            </a:graphic>
          </wp:inline>
        </w:drawing>
      </w:r>
      <w:r w:rsidRPr="007119F4">
        <w:rPr>
          <w:noProof/>
        </w:rPr>
        <mc:AlternateContent>
          <mc:Choice Requires="wps">
            <w:drawing>
              <wp:anchor distT="0" distB="0" distL="114300" distR="114300" simplePos="0" relativeHeight="251658240" behindDoc="0" locked="0" layoutInCell="1" hidden="0" allowOverlap="1">
                <wp:simplePos x="0" y="0"/>
                <wp:positionH relativeFrom="column">
                  <wp:posOffset>510540</wp:posOffset>
                </wp:positionH>
                <wp:positionV relativeFrom="paragraph">
                  <wp:posOffset>5691188</wp:posOffset>
                </wp:positionV>
                <wp:extent cx="9525" cy="28575"/>
                <wp:effectExtent l="0" t="0" r="0" b="0"/>
                <wp:wrapNone/>
                <wp:docPr id="45" name="Conector recto de flecha 45"/>
                <wp:cNvGraphicFramePr/>
                <a:graphic xmlns:a="http://schemas.openxmlformats.org/drawingml/2006/main">
                  <a:graphicData uri="http://schemas.microsoft.com/office/word/2010/wordprocessingShape">
                    <wps:wsp>
                      <wps:cNvCnPr/>
                      <wps:spPr>
                        <a:xfrm rot="10800000" flipH="1">
                          <a:off x="2764725" y="3775238"/>
                          <a:ext cx="5162550"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wp:posOffset>
                </wp:positionH>
                <wp:positionV relativeFrom="paragraph">
                  <wp:posOffset>5691188</wp:posOffset>
                </wp:positionV>
                <wp:extent cx="9525" cy="28575"/>
                <wp:effectExtent b="0" l="0" r="0" t="0"/>
                <wp:wrapNone/>
                <wp:docPr id="4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9525" cy="28575"/>
                        </a:xfrm>
                        <a:prstGeom prst="rect"/>
                        <a:ln/>
                      </pic:spPr>
                    </pic:pic>
                  </a:graphicData>
                </a:graphic>
              </wp:anchor>
            </w:drawing>
          </mc:Fallback>
        </mc:AlternateContent>
      </w:r>
      <w:r w:rsidRPr="007119F4">
        <w:rPr>
          <w:noProof/>
        </w:rPr>
        <mc:AlternateContent>
          <mc:Choice Requires="wps">
            <w:drawing>
              <wp:anchor distT="0" distB="0" distL="114300" distR="114300" simplePos="0" relativeHeight="251659264" behindDoc="0" locked="0" layoutInCell="1" hidden="0" allowOverlap="1">
                <wp:simplePos x="0" y="0"/>
                <wp:positionH relativeFrom="column">
                  <wp:posOffset>510540</wp:posOffset>
                </wp:positionH>
                <wp:positionV relativeFrom="paragraph">
                  <wp:posOffset>5834063</wp:posOffset>
                </wp:positionV>
                <wp:extent cx="0" cy="28575"/>
                <wp:effectExtent l="0" t="0" r="0" b="0"/>
                <wp:wrapNone/>
                <wp:docPr id="49" name="Conector recto de flecha 49"/>
                <wp:cNvGraphicFramePr/>
                <a:graphic xmlns:a="http://schemas.openxmlformats.org/drawingml/2006/main">
                  <a:graphicData uri="http://schemas.microsoft.com/office/word/2010/wordprocessingShape">
                    <wps:wsp>
                      <wps:cNvCnPr/>
                      <wps:spPr>
                        <a:xfrm>
                          <a:off x="2731388" y="3780000"/>
                          <a:ext cx="5229225" cy="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wp:posOffset>
                </wp:positionH>
                <wp:positionV relativeFrom="paragraph">
                  <wp:posOffset>5834063</wp:posOffset>
                </wp:positionV>
                <wp:extent cx="0" cy="28575"/>
                <wp:effectExtent b="0" l="0" r="0" t="0"/>
                <wp:wrapNone/>
                <wp:docPr id="49"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0" cy="28575"/>
                        </a:xfrm>
                        <a:prstGeom prst="rect"/>
                        <a:ln/>
                      </pic:spPr>
                    </pic:pic>
                  </a:graphicData>
                </a:graphic>
              </wp:anchor>
            </w:drawing>
          </mc:Fallback>
        </mc:AlternateContent>
      </w:r>
      <w:r w:rsidRPr="007119F4">
        <w:rPr>
          <w:noProof/>
        </w:rPr>
        <mc:AlternateContent>
          <mc:Choice Requires="wps">
            <w:drawing>
              <wp:anchor distT="0" distB="0" distL="114300" distR="114300" simplePos="0" relativeHeight="251660288" behindDoc="0" locked="0" layoutInCell="1" hidden="0" allowOverlap="1">
                <wp:simplePos x="0" y="0"/>
                <wp:positionH relativeFrom="column">
                  <wp:posOffset>527050</wp:posOffset>
                </wp:positionH>
                <wp:positionV relativeFrom="paragraph">
                  <wp:posOffset>5967412</wp:posOffset>
                </wp:positionV>
                <wp:extent cx="9525" cy="28575"/>
                <wp:effectExtent l="0" t="0" r="0" b="0"/>
                <wp:wrapNone/>
                <wp:docPr id="50" name="Conector recto de flecha 50"/>
                <wp:cNvGraphicFramePr/>
                <a:graphic xmlns:a="http://schemas.openxmlformats.org/drawingml/2006/main">
                  <a:graphicData uri="http://schemas.microsoft.com/office/word/2010/wordprocessingShape">
                    <wps:wsp>
                      <wps:cNvCnPr/>
                      <wps:spPr>
                        <a:xfrm rot="10800000" flipH="1">
                          <a:off x="2731388" y="3775238"/>
                          <a:ext cx="5229225"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wp:posOffset>
                </wp:positionH>
                <wp:positionV relativeFrom="paragraph">
                  <wp:posOffset>5967412</wp:posOffset>
                </wp:positionV>
                <wp:extent cx="9525" cy="28575"/>
                <wp:effectExtent b="0" l="0" r="0" t="0"/>
                <wp:wrapNone/>
                <wp:docPr id="50"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9525" cy="28575"/>
                        </a:xfrm>
                        <a:prstGeom prst="rect"/>
                        <a:ln/>
                      </pic:spPr>
                    </pic:pic>
                  </a:graphicData>
                </a:graphic>
              </wp:anchor>
            </w:drawing>
          </mc:Fallback>
        </mc:AlternateContent>
      </w:r>
      <w:r w:rsidRPr="007119F4">
        <w:rPr>
          <w:noProof/>
        </w:rPr>
        <mc:AlternateContent>
          <mc:Choice Requires="wps">
            <w:drawing>
              <wp:anchor distT="0" distB="0" distL="114300" distR="114300" simplePos="0" relativeHeight="251661312" behindDoc="0" locked="0" layoutInCell="1" hidden="0" allowOverlap="1">
                <wp:simplePos x="0" y="0"/>
                <wp:positionH relativeFrom="column">
                  <wp:posOffset>527050</wp:posOffset>
                </wp:positionH>
                <wp:positionV relativeFrom="paragraph">
                  <wp:posOffset>6119813</wp:posOffset>
                </wp:positionV>
                <wp:extent cx="9525" cy="28575"/>
                <wp:effectExtent l="0" t="0" r="0" b="0"/>
                <wp:wrapNone/>
                <wp:docPr id="47" name="Conector recto de flecha 47"/>
                <wp:cNvGraphicFramePr/>
                <a:graphic xmlns:a="http://schemas.openxmlformats.org/drawingml/2006/main">
                  <a:graphicData uri="http://schemas.microsoft.com/office/word/2010/wordprocessingShape">
                    <wps:wsp>
                      <wps:cNvCnPr/>
                      <wps:spPr>
                        <a:xfrm rot="10800000" flipH="1">
                          <a:off x="2731388" y="3775238"/>
                          <a:ext cx="5229225"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wp:posOffset>
                </wp:positionH>
                <wp:positionV relativeFrom="paragraph">
                  <wp:posOffset>6119813</wp:posOffset>
                </wp:positionV>
                <wp:extent cx="9525" cy="28575"/>
                <wp:effectExtent b="0" l="0" r="0" t="0"/>
                <wp:wrapNone/>
                <wp:docPr id="47"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9525" cy="28575"/>
                        </a:xfrm>
                        <a:prstGeom prst="rect"/>
                        <a:ln/>
                      </pic:spPr>
                    </pic:pic>
                  </a:graphicData>
                </a:graphic>
              </wp:anchor>
            </w:drawing>
          </mc:Fallback>
        </mc:AlternateContent>
      </w:r>
      <w:r w:rsidRPr="007119F4">
        <w:rPr>
          <w:noProof/>
        </w:rPr>
        <mc:AlternateContent>
          <mc:Choice Requires="wps">
            <w:drawing>
              <wp:anchor distT="0" distB="0" distL="114300" distR="114300" simplePos="0" relativeHeight="251662336" behindDoc="0" locked="0" layoutInCell="1" hidden="0" allowOverlap="1">
                <wp:simplePos x="0" y="0"/>
                <wp:positionH relativeFrom="column">
                  <wp:posOffset>527050</wp:posOffset>
                </wp:positionH>
                <wp:positionV relativeFrom="paragraph">
                  <wp:posOffset>6262688</wp:posOffset>
                </wp:positionV>
                <wp:extent cx="9525" cy="28575"/>
                <wp:effectExtent l="0" t="0" r="0" b="0"/>
                <wp:wrapNone/>
                <wp:docPr id="46" name="Conector recto de flecha 46"/>
                <wp:cNvGraphicFramePr/>
                <a:graphic xmlns:a="http://schemas.openxmlformats.org/drawingml/2006/main">
                  <a:graphicData uri="http://schemas.microsoft.com/office/word/2010/wordprocessingShape">
                    <wps:wsp>
                      <wps:cNvCnPr/>
                      <wps:spPr>
                        <a:xfrm rot="10800000" flipH="1">
                          <a:off x="2731388" y="3775238"/>
                          <a:ext cx="5229225" cy="9525"/>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wp:posOffset>
                </wp:positionH>
                <wp:positionV relativeFrom="paragraph">
                  <wp:posOffset>6262688</wp:posOffset>
                </wp:positionV>
                <wp:extent cx="9525" cy="28575"/>
                <wp:effectExtent b="0" l="0" r="0" t="0"/>
                <wp:wrapNone/>
                <wp:docPr id="4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9525" cy="28575"/>
                        </a:xfrm>
                        <a:prstGeom prst="rect"/>
                        <a:ln/>
                      </pic:spPr>
                    </pic:pic>
                  </a:graphicData>
                </a:graphic>
              </wp:anchor>
            </w:drawing>
          </mc:Fallback>
        </mc:AlternateContent>
      </w:r>
      <w:r w:rsidRPr="007119F4">
        <w:rPr>
          <w:noProof/>
        </w:rPr>
        <mc:AlternateContent>
          <mc:Choice Requires="wpg">
            <w:drawing>
              <wp:anchor distT="0" distB="0" distL="114300" distR="114300" simplePos="0" relativeHeight="251663360" behindDoc="0" locked="0" layoutInCell="1" hidden="0" allowOverlap="1">
                <wp:simplePos x="0" y="0"/>
                <wp:positionH relativeFrom="column">
                  <wp:posOffset>486729</wp:posOffset>
                </wp:positionH>
                <wp:positionV relativeFrom="paragraph">
                  <wp:posOffset>6405563</wp:posOffset>
                </wp:positionV>
                <wp:extent cx="2028825" cy="47625"/>
                <wp:effectExtent l="0" t="0" r="0" b="0"/>
                <wp:wrapNone/>
                <wp:docPr id="48" name="Conector recto de flecha 48"/>
                <wp:cNvGraphicFramePr/>
                <a:graphic xmlns:a="http://schemas.openxmlformats.org/drawingml/2006/main">
                  <a:graphicData uri="http://schemas.microsoft.com/office/word/2010/wordprocessingShape">
                    <wps:wsp>
                      <wps:cNvCnPr/>
                      <wps:spPr>
                        <a:xfrm rot="10800000" flipH="1">
                          <a:off x="4345875" y="3770475"/>
                          <a:ext cx="2000250" cy="1905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486729</wp:posOffset>
                </wp:positionH>
                <wp:positionV relativeFrom="paragraph">
                  <wp:posOffset>6405563</wp:posOffset>
                </wp:positionV>
                <wp:extent cx="2028825" cy="47625"/>
                <wp:effectExtent b="0" l="0" r="0" t="0"/>
                <wp:wrapNone/>
                <wp:docPr id="48"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028825" cy="47625"/>
                        </a:xfrm>
                        <a:prstGeom prst="rect"/>
                        <a:ln/>
                      </pic:spPr>
                    </pic:pic>
                  </a:graphicData>
                </a:graphic>
              </wp:anchor>
            </w:drawing>
          </mc:Fallback>
        </mc:AlternateContent>
      </w: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Tal y como se aprecia, cuando los entes fiscalizables envíen la información correspondiente a los informes trimestrales a través de la plataforma Digital del Órgano Superior de Fiscalización del Estado de México, la cual genera una constancia de envío/recepción que los entes fiscalizables deben descargar y resguardar, toda vez que es el documento que acredita el cumplimiento de la obligación periódica. </w:t>
      </w: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Entonces, al ser un documento, del cual se tiene la obligación de conservar y administrar al haber cumplido con sus obligaciones fiscales, se ORDENA al Sujeto Obligado entregar al Recurrente, ya que, como lo señaló el particular, es información que no se encuentra disponible en las direcciones electrónicas remitidas en respuesta.</w:t>
      </w: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Además, no pasa desapercibido que, además, el Recurrente refirió, en este requerimiento “</w:t>
      </w:r>
      <w:r w:rsidRPr="007119F4">
        <w:rPr>
          <w:rFonts w:ascii="Palatino Linotype" w:eastAsia="Palatino Linotype" w:hAnsi="Palatino Linotype" w:cs="Palatino Linotype"/>
          <w:b/>
          <w:bCs/>
          <w:i/>
          <w:iCs/>
          <w:sz w:val="22"/>
          <w:szCs w:val="22"/>
        </w:rPr>
        <w:t>incluyendo datos contables, financieros, presupuestarios, patrimoniales y programáticos</w:t>
      </w:r>
      <w:r w:rsidRPr="007119F4">
        <w:rPr>
          <w:rFonts w:ascii="Palatino Linotype" w:eastAsia="Palatino Linotype" w:hAnsi="Palatino Linotype" w:cs="Palatino Linotype"/>
          <w:sz w:val="22"/>
          <w:szCs w:val="22"/>
        </w:rPr>
        <w:t>”, dicha información es la que integra, en su totalidad los módulos que corresponden a los informes trimestrales que remiten los entes fiscalizables al Órgano Superior de Fiscalización del Estado de México, por lo que se ordena entregar lo siguiente:</w:t>
      </w:r>
    </w:p>
    <w:p w:rsidR="00BB4F1E" w:rsidRPr="007119F4" w:rsidRDefault="00D1621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Constancia de envío y recepción de los informes trimestrales del primer y segundo trimestre de dos mil veinticinco;</w:t>
      </w:r>
    </w:p>
    <w:p w:rsidR="00BB4F1E" w:rsidRPr="007119F4" w:rsidRDefault="00D1621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Informes trimestrales enviados al OSFEM, del primer y segundo trimestre de dos mil veinticinco.</w:t>
      </w: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Para la elaboración de las versiones públicas, el Sujeto Obligado estará a lo dispuesto en el Considerando Quinto de la presente resolución.</w:t>
      </w:r>
    </w:p>
    <w:p w:rsidR="00BB4F1E" w:rsidRPr="007119F4" w:rsidRDefault="00BB4F1E">
      <w:pPr>
        <w:spacing w:after="240" w:line="360" w:lineRule="auto"/>
        <w:jc w:val="both"/>
        <w:rPr>
          <w:rFonts w:ascii="Palatino Linotype" w:eastAsia="Palatino Linotype" w:hAnsi="Palatino Linotype" w:cs="Palatino Linotype"/>
          <w:b/>
          <w:bCs/>
          <w:sz w:val="22"/>
          <w:szCs w:val="22"/>
        </w:rPr>
      </w:pPr>
    </w:p>
    <w:p w:rsidR="00BB4F1E" w:rsidRPr="007119F4" w:rsidRDefault="00BB4F1E">
      <w:pPr>
        <w:spacing w:after="240" w:line="360" w:lineRule="auto"/>
        <w:jc w:val="both"/>
        <w:rPr>
          <w:rFonts w:ascii="Palatino Linotype" w:eastAsia="Palatino Linotype" w:hAnsi="Palatino Linotype" w:cs="Palatino Linotype"/>
          <w:b/>
          <w:bCs/>
          <w:sz w:val="22"/>
          <w:szCs w:val="22"/>
        </w:rPr>
      </w:pPr>
    </w:p>
    <w:p w:rsidR="00BB4F1E" w:rsidRPr="007119F4" w:rsidRDefault="00D16212">
      <w:pPr>
        <w:spacing w:after="240"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Cuenta pública.</w:t>
      </w:r>
    </w:p>
    <w:p w:rsidR="00BB4F1E" w:rsidRPr="007119F4" w:rsidRDefault="00D16212">
      <w:pPr>
        <w:spacing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Ahora bien, no escapa de la óptica de este Organismo Garante que el segundo y tercer requerimiento del particular van encaminados a la cuenta pública del primer y segundo trimestre del dos mil veinticinco y las inconsistencias u observaciones. </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En este tenor, tomando en consideración la materia de la solicitud, es oportuno remitirnos a la Ley General de Contabilidad Gubernamental, que en su parte conducente establece lo siguiente:</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4.-</w:t>
      </w:r>
      <w:r w:rsidRPr="007119F4">
        <w:rPr>
          <w:rFonts w:ascii="Palatino Linotype" w:eastAsia="Palatino Linotype" w:hAnsi="Palatino Linotype" w:cs="Palatino Linotype"/>
          <w:i/>
          <w:iCs/>
          <w:sz w:val="22"/>
          <w:szCs w:val="22"/>
        </w:rPr>
        <w:t xml:space="preserve"> Para efectos de esta Ley se entenderá por:</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IV. Contabilidad gubernamental</w:t>
      </w:r>
      <w:r w:rsidRPr="007119F4">
        <w:rPr>
          <w:rFonts w:ascii="Palatino Linotype" w:eastAsia="Palatino Linotype" w:hAnsi="Palatino Linotype" w:cs="Palatino Linotype"/>
          <w:i/>
          <w:iCs/>
          <w:sz w:val="22"/>
          <w:szCs w:val="22"/>
        </w:rPr>
        <w:t>: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IX. Cuenta pública</w:t>
      </w:r>
      <w:r w:rsidRPr="007119F4">
        <w:rPr>
          <w:rFonts w:ascii="Palatino Linotype" w:eastAsia="Palatino Linotype" w:hAnsi="Palatino Linotype" w:cs="Palatino Linotype"/>
          <w:i/>
          <w:iCs/>
          <w:sz w:val="22"/>
          <w:szCs w:val="22"/>
        </w:rPr>
        <w:t>: el documento a que se refiere el artículo 74, fracción VI de la Constitución Política de los Estados Unidos Mexicanos; así como el informe que, conforme a las constituciones locales, rinden las entidades federativas y los municipios;</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XVIII. Información financiera</w:t>
      </w:r>
      <w:r w:rsidRPr="007119F4">
        <w:rPr>
          <w:rFonts w:ascii="Palatino Linotype" w:eastAsia="Palatino Linotype" w:hAnsi="Palatino Linotype" w:cs="Palatino Linotype"/>
          <w:i/>
          <w:iCs/>
          <w:sz w:val="22"/>
          <w:szCs w:val="22"/>
        </w:rPr>
        <w:t>: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XXIX. Sistema</w:t>
      </w:r>
      <w:r w:rsidRPr="007119F4">
        <w:rPr>
          <w:rFonts w:ascii="Palatino Linotype" w:eastAsia="Palatino Linotype" w:hAnsi="Palatino Linotype" w:cs="Palatino Linotype"/>
          <w:i/>
          <w:iCs/>
          <w:sz w:val="22"/>
          <w:szCs w:val="22"/>
        </w:rPr>
        <w:t>: el sistema de contabilidad gubernamental que cada ente público utiliza como instrumento de la administración financiera gubernamental.</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44.-</w:t>
      </w:r>
      <w:r w:rsidRPr="007119F4">
        <w:rPr>
          <w:rFonts w:ascii="Palatino Linotype" w:eastAsia="Palatino Linotype" w:hAnsi="Palatino Linotype" w:cs="Palatino Linotype"/>
          <w:i/>
          <w:iCs/>
          <w:sz w:val="22"/>
          <w:szCs w:val="22"/>
        </w:rPr>
        <w:t xml:space="preserv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46.-</w:t>
      </w:r>
      <w:r w:rsidRPr="007119F4">
        <w:rPr>
          <w:rFonts w:ascii="Palatino Linotype" w:eastAsia="Palatino Linotype" w:hAnsi="Palatino Linotype" w:cs="Palatino Linotype"/>
          <w:i/>
          <w:iCs/>
          <w:sz w:val="22"/>
          <w:szCs w:val="22"/>
        </w:rPr>
        <w:t xml:space="preserve">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que a continuación se señala: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 Información contable</w:t>
      </w:r>
      <w:r w:rsidRPr="007119F4">
        <w:rPr>
          <w:rFonts w:ascii="Palatino Linotype" w:eastAsia="Palatino Linotype" w:hAnsi="Palatino Linotype" w:cs="Palatino Linotype"/>
          <w:i/>
          <w:iCs/>
          <w:sz w:val="22"/>
          <w:szCs w:val="22"/>
        </w:rPr>
        <w:t xml:space="preserve">, con la desagregación siguiente: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w:t>
      </w:r>
      <w:r w:rsidRPr="007119F4">
        <w:rPr>
          <w:rFonts w:ascii="Palatino Linotype" w:eastAsia="Palatino Linotype" w:hAnsi="Palatino Linotype" w:cs="Palatino Linotype"/>
          <w:i/>
          <w:iCs/>
          <w:sz w:val="22"/>
          <w:szCs w:val="22"/>
        </w:rPr>
        <w:t xml:space="preserve"> Estado de actividades;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b</w:t>
      </w:r>
      <w:r w:rsidRPr="007119F4">
        <w:rPr>
          <w:rFonts w:ascii="Palatino Linotype" w:eastAsia="Palatino Linotype" w:hAnsi="Palatino Linotype" w:cs="Palatino Linotype"/>
          <w:i/>
          <w:iCs/>
          <w:sz w:val="22"/>
          <w:szCs w:val="22"/>
        </w:rPr>
        <w:t xml:space="preserve">) Estado de situación financiera;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c)</w:t>
      </w:r>
      <w:r w:rsidRPr="007119F4">
        <w:rPr>
          <w:rFonts w:ascii="Palatino Linotype" w:eastAsia="Palatino Linotype" w:hAnsi="Palatino Linotype" w:cs="Palatino Linotype"/>
          <w:i/>
          <w:iCs/>
          <w:sz w:val="22"/>
          <w:szCs w:val="22"/>
        </w:rPr>
        <w:t xml:space="preserve"> Estado de variación en la hacienda pública;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d)</w:t>
      </w:r>
      <w:r w:rsidRPr="007119F4">
        <w:rPr>
          <w:rFonts w:ascii="Palatino Linotype" w:eastAsia="Palatino Linotype" w:hAnsi="Palatino Linotype" w:cs="Palatino Linotype"/>
          <w:i/>
          <w:iCs/>
          <w:sz w:val="22"/>
          <w:szCs w:val="22"/>
        </w:rPr>
        <w:t xml:space="preserve"> Estado de cambios en la situación financiera;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e)</w:t>
      </w:r>
      <w:r w:rsidRPr="007119F4">
        <w:rPr>
          <w:rFonts w:ascii="Palatino Linotype" w:eastAsia="Palatino Linotype" w:hAnsi="Palatino Linotype" w:cs="Palatino Linotype"/>
          <w:i/>
          <w:iCs/>
          <w:sz w:val="22"/>
          <w:szCs w:val="22"/>
        </w:rPr>
        <w:t xml:space="preserve"> Estado de flujos de efectivo;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f)</w:t>
      </w:r>
      <w:r w:rsidRPr="007119F4">
        <w:rPr>
          <w:rFonts w:ascii="Palatino Linotype" w:eastAsia="Palatino Linotype" w:hAnsi="Palatino Linotype" w:cs="Palatino Linotype"/>
          <w:i/>
          <w:iCs/>
          <w:sz w:val="22"/>
          <w:szCs w:val="22"/>
        </w:rPr>
        <w:t xml:space="preserve"> Informes sobre pasivos contingentes;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g)</w:t>
      </w:r>
      <w:r w:rsidRPr="007119F4">
        <w:rPr>
          <w:rFonts w:ascii="Palatino Linotype" w:eastAsia="Palatino Linotype" w:hAnsi="Palatino Linotype" w:cs="Palatino Linotype"/>
          <w:i/>
          <w:iCs/>
          <w:sz w:val="22"/>
          <w:szCs w:val="22"/>
        </w:rPr>
        <w:t xml:space="preserve"> Notas a los estados financieros;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h)</w:t>
      </w:r>
      <w:r w:rsidRPr="007119F4">
        <w:rPr>
          <w:rFonts w:ascii="Palatino Linotype" w:eastAsia="Palatino Linotype" w:hAnsi="Palatino Linotype" w:cs="Palatino Linotype"/>
          <w:i/>
          <w:iCs/>
          <w:sz w:val="22"/>
          <w:szCs w:val="22"/>
        </w:rPr>
        <w:t xml:space="preserve"> Estado analítico del activo, e</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II. Información presupuestaria</w:t>
      </w:r>
      <w:r w:rsidRPr="007119F4">
        <w:rPr>
          <w:rFonts w:ascii="Palatino Linotype" w:eastAsia="Palatino Linotype" w:hAnsi="Palatino Linotype" w:cs="Palatino Linotype"/>
          <w:i/>
          <w:iCs/>
          <w:sz w:val="22"/>
          <w:szCs w:val="22"/>
        </w:rPr>
        <w:t xml:space="preserve">, con la desagregación siguiente: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w:t>
      </w:r>
      <w:r w:rsidRPr="007119F4">
        <w:rPr>
          <w:rFonts w:ascii="Palatino Linotype" w:eastAsia="Palatino Linotype" w:hAnsi="Palatino Linotype" w:cs="Palatino Linotype"/>
          <w:i/>
          <w:iCs/>
          <w:sz w:val="22"/>
          <w:szCs w:val="22"/>
        </w:rPr>
        <w:t xml:space="preserve"> Estado analítico de ingresos, del que se derivará la presentación en clasificación económica por fuente de financiamiento y concepto, incluyendo los ingresos excedentes generados;</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b)</w:t>
      </w:r>
      <w:r w:rsidRPr="007119F4">
        <w:rPr>
          <w:rFonts w:ascii="Palatino Linotype" w:eastAsia="Palatino Linotype" w:hAnsi="Palatino Linotype" w:cs="Palatino Linotype"/>
          <w:i/>
          <w:iCs/>
          <w:sz w:val="22"/>
          <w:szCs w:val="22"/>
        </w:rPr>
        <w:t xml:space="preserve"> Estado analítico del ejercicio del presupuesto de egresos del que se derivarán las clasificaciones siguientes: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1</w:t>
      </w:r>
      <w:r w:rsidRPr="007119F4">
        <w:rPr>
          <w:rFonts w:ascii="Palatino Linotype" w:eastAsia="Palatino Linotype" w:hAnsi="Palatino Linotype" w:cs="Palatino Linotype"/>
          <w:i/>
          <w:iCs/>
          <w:sz w:val="22"/>
          <w:szCs w:val="22"/>
        </w:rPr>
        <w:t xml:space="preserve">. Administrativa;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2.</w:t>
      </w:r>
      <w:r w:rsidRPr="007119F4">
        <w:rPr>
          <w:rFonts w:ascii="Palatino Linotype" w:eastAsia="Palatino Linotype" w:hAnsi="Palatino Linotype" w:cs="Palatino Linotype"/>
          <w:i/>
          <w:iCs/>
          <w:sz w:val="22"/>
          <w:szCs w:val="22"/>
        </w:rPr>
        <w:t xml:space="preserve"> Económica;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3</w:t>
      </w:r>
      <w:r w:rsidRPr="007119F4">
        <w:rPr>
          <w:rFonts w:ascii="Palatino Linotype" w:eastAsia="Palatino Linotype" w:hAnsi="Palatino Linotype" w:cs="Palatino Linotype"/>
          <w:i/>
          <w:iCs/>
          <w:sz w:val="22"/>
          <w:szCs w:val="22"/>
        </w:rPr>
        <w:t xml:space="preserve">. Por objeto del gasto, y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4</w:t>
      </w:r>
      <w:r w:rsidRPr="007119F4">
        <w:rPr>
          <w:rFonts w:ascii="Palatino Linotype" w:eastAsia="Palatino Linotype" w:hAnsi="Palatino Linotype" w:cs="Palatino Linotype"/>
          <w:i/>
          <w:iCs/>
          <w:sz w:val="22"/>
          <w:szCs w:val="22"/>
        </w:rPr>
        <w:t xml:space="preserve">. Funcional.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El estado analítico del ejercicio del presupuesto de egresos deberá identificar los montos y adecuaciones presupuestarias y subejercicios por ramo y programa;</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Artículo 48.-</w:t>
      </w:r>
      <w:r w:rsidRPr="007119F4">
        <w:rPr>
          <w:rFonts w:ascii="Palatino Linotype" w:eastAsia="Palatino Linotype" w:hAnsi="Palatino Linotype" w:cs="Palatino Linotype"/>
          <w:i/>
          <w:iCs/>
          <w:sz w:val="22"/>
          <w:szCs w:val="22"/>
        </w:rPr>
        <w:t xml:space="preserve"> </w:t>
      </w:r>
      <w:r w:rsidRPr="007119F4">
        <w:rPr>
          <w:rFonts w:ascii="Palatino Linotype" w:eastAsia="Palatino Linotype" w:hAnsi="Palatino Linotype" w:cs="Palatino Linotype"/>
          <w:b/>
          <w:bCs/>
          <w:i/>
          <w:iCs/>
          <w:sz w:val="22"/>
          <w:szCs w:val="22"/>
        </w:rPr>
        <w:t>En lo relativo a los ayuntamientos de los municipios</w:t>
      </w:r>
      <w:r w:rsidRPr="007119F4">
        <w:rPr>
          <w:rFonts w:ascii="Palatino Linotype" w:eastAsia="Palatino Linotype" w:hAnsi="Palatino Linotype" w:cs="Palatino Linotype"/>
          <w:i/>
          <w:iCs/>
          <w:sz w:val="22"/>
          <w:szCs w:val="22"/>
        </w:rPr>
        <w:t xml:space="preserve"> o los órganos políticoadministrativos de las demarcaciones territoriales de la Ciudad de México y las entidades de la Administración Pública Paraestatal municipal, </w:t>
      </w:r>
      <w:r w:rsidRPr="007119F4">
        <w:rPr>
          <w:rFonts w:ascii="Palatino Linotype" w:eastAsia="Palatino Linotype" w:hAnsi="Palatino Linotype" w:cs="Palatino Linotype"/>
          <w:b/>
          <w:bCs/>
          <w:i/>
          <w:iCs/>
          <w:sz w:val="22"/>
          <w:szCs w:val="22"/>
        </w:rPr>
        <w:t>los sistemas deberán producir, como mínimo, la información contable y presupuestaria a que se refiere el artículo 46, fracciones I, incisos a), b), c), d), e), g) y h), y II, incisos a) y b) de la presente Ley.</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49.-</w:t>
      </w:r>
      <w:r w:rsidRPr="007119F4">
        <w:rPr>
          <w:rFonts w:ascii="Palatino Linotype" w:eastAsia="Palatino Linotype" w:hAnsi="Palatino Linotype" w:cs="Palatino Linotype"/>
          <w:i/>
          <w:iCs/>
          <w:sz w:val="22"/>
          <w:szCs w:val="22"/>
        </w:rPr>
        <w:t xml:space="preserve"> Las notas a los estados financieros son parte integral de los mismos; éstas deberán revelar y proporcionar información adicional y suficiente que amplíe y dé significado a los datos contenidos en los reportes, y cumplir con lo siguiente: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w:t>
      </w:r>
      <w:r w:rsidRPr="007119F4">
        <w:rPr>
          <w:rFonts w:ascii="Palatino Linotype" w:eastAsia="Palatino Linotype" w:hAnsi="Palatino Linotype" w:cs="Palatino Linotype"/>
          <w:i/>
          <w:iCs/>
          <w:sz w:val="22"/>
          <w:szCs w:val="22"/>
        </w:rPr>
        <w:t xml:space="preserve"> Incluir la declaración de responsabilidad sobre la presentación razonable de los estados financieros;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II.</w:t>
      </w:r>
      <w:r w:rsidRPr="007119F4">
        <w:rPr>
          <w:rFonts w:ascii="Palatino Linotype" w:eastAsia="Palatino Linotype" w:hAnsi="Palatino Linotype" w:cs="Palatino Linotype"/>
          <w:i/>
          <w:iCs/>
          <w:sz w:val="22"/>
          <w:szCs w:val="22"/>
        </w:rPr>
        <w:t xml:space="preserve"> Señalar las bases técnicas en las que se sustenta el registro, reconocimiento y presentación de la información presupuestaria, contable y patrimonial;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III.</w:t>
      </w:r>
      <w:r w:rsidRPr="007119F4">
        <w:rPr>
          <w:rFonts w:ascii="Palatino Linotype" w:eastAsia="Palatino Linotype" w:hAnsi="Palatino Linotype" w:cs="Palatino Linotype"/>
          <w:i/>
          <w:iCs/>
          <w:sz w:val="22"/>
          <w:szCs w:val="22"/>
        </w:rPr>
        <w:t xml:space="preserve"> Destacar que la información se elaboró conforme a las normas, criterios y principios técnicos emitidos por el consejo y las disposiciones legales aplicables, obedeciendo a las mejores prácticas contables;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IV.</w:t>
      </w:r>
      <w:r w:rsidRPr="007119F4">
        <w:rPr>
          <w:rFonts w:ascii="Palatino Linotype" w:eastAsia="Palatino Linotype" w:hAnsi="Palatino Linotype" w:cs="Palatino Linotype"/>
          <w:i/>
          <w:iCs/>
          <w:sz w:val="22"/>
          <w:szCs w:val="22"/>
        </w:rPr>
        <w:t xml:space="preserve"> Contener información relevante del pasivo, incluyendo la deuda pública, que se registra, sin perjuicio de que los entes públicos la revelen dentro de los estados financieros;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V</w:t>
      </w:r>
      <w:r w:rsidRPr="007119F4">
        <w:rPr>
          <w:rFonts w:ascii="Palatino Linotype" w:eastAsia="Palatino Linotype" w:hAnsi="Palatino Linotype" w:cs="Palatino Linotype"/>
          <w:i/>
          <w:iCs/>
          <w:sz w:val="22"/>
          <w:szCs w:val="22"/>
        </w:rPr>
        <w:t xml:space="preserve">. Establecer que no existen partes relacionadas que pudieran ejercer influencia significativa sobre la toma de decisiones financieras y operativas, y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VI.</w:t>
      </w:r>
      <w:r w:rsidRPr="007119F4">
        <w:rPr>
          <w:rFonts w:ascii="Palatino Linotype" w:eastAsia="Palatino Linotype" w:hAnsi="Palatino Linotype" w:cs="Palatino Linotype"/>
          <w:i/>
          <w:iCs/>
          <w:sz w:val="22"/>
          <w:szCs w:val="22"/>
        </w:rPr>
        <w:t xml:space="preserve"> Proporcionar información relevante y suficiente relativa a los saldos y movimientos de las cuentas consignadas en los estados financieros, así como sobre los riesgos y contingencias no cuantificadas, o bien, de aquéllas en que aun conociendo su monto por ser consecuencia de hechos pasados, no ha ocurrido la condición o evento necesario para su registro y presentación, así sean derivadas de algún evento interno o externo siempre que puedan afectar la posición financiera y patrimonial.</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51</w:t>
      </w:r>
      <w:r w:rsidRPr="007119F4">
        <w:rPr>
          <w:rFonts w:ascii="Palatino Linotype" w:eastAsia="Palatino Linotype" w:hAnsi="Palatino Linotype" w:cs="Palatino Linotype"/>
          <w:i/>
          <w:iCs/>
          <w:sz w:val="22"/>
          <w:szCs w:val="22"/>
        </w:rPr>
        <w:t xml:space="preserve">.- </w:t>
      </w:r>
      <w:r w:rsidRPr="007119F4">
        <w:rPr>
          <w:rFonts w:ascii="Palatino Linotype" w:eastAsia="Palatino Linotype" w:hAnsi="Palatino Linotype" w:cs="Palatino Linotype"/>
          <w:b/>
          <w:bCs/>
          <w:i/>
          <w:iCs/>
          <w:sz w:val="22"/>
          <w:szCs w:val="22"/>
        </w:rPr>
        <w:t>La información financiera que generen los entes públicos en cumplimiento de esta Ley será</w:t>
      </w:r>
      <w:r w:rsidRPr="007119F4">
        <w:rPr>
          <w:rFonts w:ascii="Palatino Linotype" w:eastAsia="Palatino Linotype" w:hAnsi="Palatino Linotype" w:cs="Palatino Linotype"/>
          <w:i/>
          <w:iCs/>
          <w:sz w:val="22"/>
          <w:szCs w:val="22"/>
        </w:rPr>
        <w:t xml:space="preserve"> organizada, sistematizada y </w:t>
      </w:r>
      <w:r w:rsidRPr="007119F4">
        <w:rPr>
          <w:rFonts w:ascii="Palatino Linotype" w:eastAsia="Palatino Linotype" w:hAnsi="Palatino Linotype" w:cs="Palatino Linotype"/>
          <w:b/>
          <w:bCs/>
          <w:i/>
          <w:iCs/>
          <w:sz w:val="22"/>
          <w:szCs w:val="22"/>
          <w:u w:val="single"/>
        </w:rPr>
        <w:t>difundida</w:t>
      </w:r>
      <w:r w:rsidRPr="007119F4">
        <w:rPr>
          <w:rFonts w:ascii="Palatino Linotype" w:eastAsia="Palatino Linotype" w:hAnsi="Palatino Linotype" w:cs="Palatino Linotype"/>
          <w:b/>
          <w:bCs/>
          <w:i/>
          <w:iCs/>
          <w:sz w:val="22"/>
          <w:szCs w:val="22"/>
        </w:rPr>
        <w:t xml:space="preserve"> por cada uno de éstos, </w:t>
      </w:r>
      <w:r w:rsidRPr="007119F4">
        <w:rPr>
          <w:rFonts w:ascii="Palatino Linotype" w:eastAsia="Palatino Linotype" w:hAnsi="Palatino Linotype" w:cs="Palatino Linotype"/>
          <w:b/>
          <w:bCs/>
          <w:i/>
          <w:iCs/>
          <w:sz w:val="22"/>
          <w:szCs w:val="22"/>
          <w:u w:val="single"/>
        </w:rPr>
        <w:t>al menos, trimestralmente en sus respectivas páginas electrónicas de internet</w:t>
      </w:r>
      <w:r w:rsidRPr="007119F4">
        <w:rPr>
          <w:rFonts w:ascii="Palatino Linotype" w:eastAsia="Palatino Linotype" w:hAnsi="Palatino Linotype" w:cs="Palatino Linotype"/>
          <w:b/>
          <w:bCs/>
          <w:i/>
          <w:iCs/>
          <w:sz w:val="22"/>
          <w:szCs w:val="22"/>
        </w:rPr>
        <w:t>, a más tardar 30 días después del cierre del período que corresponda</w:t>
      </w:r>
      <w:r w:rsidRPr="007119F4">
        <w:rPr>
          <w:rFonts w:ascii="Palatino Linotype" w:eastAsia="Palatino Linotype" w:hAnsi="Palatino Linotype" w:cs="Palatino Linotype"/>
          <w:i/>
          <w:iCs/>
          <w:sz w:val="22"/>
          <w:szCs w:val="22"/>
        </w:rPr>
        <w:t>,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CAPÍTULO II</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Del Contenido de la Cuenta Pública</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52.-</w:t>
      </w:r>
      <w:r w:rsidRPr="007119F4">
        <w:rPr>
          <w:rFonts w:ascii="Palatino Linotype" w:eastAsia="Palatino Linotype" w:hAnsi="Palatino Linotype" w:cs="Palatino Linotype"/>
          <w:i/>
          <w:iCs/>
          <w:sz w:val="22"/>
          <w:szCs w:val="22"/>
        </w:rPr>
        <w:t xml:space="preserve"> Los estados financieros y demás información presupuestaria, programática y contable que emanen de los registros de los entes públicos, serán la base para la emisión de informes periódicos y para la formulación de la cuenta pública anual.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Los entes públicos deberán elaborar los estados de conformidad con las disposiciones normativas y técnicas que emanen de esta Ley o que emita el consejo.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Los estados correspondientes a los ingresos y gastos públicos presupuestarios se elaborarán sobre la base de devengado y, adicionalmente, se presentarán en flujo de efectivo.</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55.-</w:t>
      </w:r>
      <w:r w:rsidRPr="007119F4">
        <w:rPr>
          <w:rFonts w:ascii="Palatino Linotype" w:eastAsia="Palatino Linotype" w:hAnsi="Palatino Linotype" w:cs="Palatino Linotype"/>
          <w:i/>
          <w:iCs/>
          <w:sz w:val="22"/>
          <w:szCs w:val="22"/>
        </w:rPr>
        <w:t xml:space="preserve"> Las cuentas públicas de los ayuntamientos de los municipios deberán contener la información contable y presupuestaria a que se refiere el artículo 48 de la presente Ley conforme a lo que determine el Consejo, en atención a las características de los mismos.</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 xml:space="preserve">TÍTULO QUINTO </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De la Transparencia y Difusión de la Información Financiera</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 xml:space="preserve">CAPÍTULO I </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Disposiciones Generales</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56</w:t>
      </w:r>
      <w:r w:rsidRPr="007119F4">
        <w:rPr>
          <w:rFonts w:ascii="Palatino Linotype" w:eastAsia="Palatino Linotype" w:hAnsi="Palatino Linotype" w:cs="Palatino Linotype"/>
          <w:i/>
          <w:iCs/>
          <w:sz w:val="22"/>
          <w:szCs w:val="22"/>
        </w:rPr>
        <w:t xml:space="preserve">.- La generación y publicación de la información financiera de los entes públicos a que se refiere este Título, se hará conforme a las normas, estructura, formatos y contenido de la información, que para tal efecto establezca el consejo y difundirse en la página de Internet del respectivo ente público. </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Dicha información podrá complementar la que otros ordenamientos jurídicos aplicables ya disponen en este ámbito para presentarse en informes periódicos y en las cuentas públicas. Asimismo, la información se difundirá en los medios oficiales de difusión en términos de las disposiciones aplicables</w:t>
      </w:r>
    </w:p>
    <w:p w:rsidR="00BB4F1E" w:rsidRPr="007119F4" w:rsidRDefault="00D16212">
      <w:pPr>
        <w:spacing w:before="120" w:after="120"/>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57</w:t>
      </w:r>
      <w:r w:rsidRPr="007119F4">
        <w:rPr>
          <w:rFonts w:ascii="Palatino Linotype" w:eastAsia="Palatino Linotype" w:hAnsi="Palatino Linotype" w:cs="Palatino Linotype"/>
          <w:i/>
          <w:iCs/>
          <w:sz w:val="22"/>
          <w:szCs w:val="22"/>
        </w:rPr>
        <w:t xml:space="preserve">.- La Secretaría de Hacienda, las secretarías de finanzas o sus equivalentes de las entidades federativas, </w:t>
      </w:r>
      <w:r w:rsidRPr="007119F4">
        <w:rPr>
          <w:rFonts w:ascii="Palatino Linotype" w:eastAsia="Palatino Linotype" w:hAnsi="Palatino Linotype" w:cs="Palatino Linotype"/>
          <w:b/>
          <w:bCs/>
          <w:i/>
          <w:iCs/>
          <w:sz w:val="22"/>
          <w:szCs w:val="22"/>
        </w:rPr>
        <w:t>así como las tesorerías de los municipios</w:t>
      </w:r>
      <w:r w:rsidRPr="007119F4">
        <w:rPr>
          <w:rFonts w:ascii="Palatino Linotype" w:eastAsia="Palatino Linotype" w:hAnsi="Palatino Linotype" w:cs="Palatino Linotype"/>
          <w:i/>
          <w:iCs/>
          <w:sz w:val="22"/>
          <w:szCs w:val="22"/>
        </w:rPr>
        <w:t xml:space="preserve"> y sus equivalentes en las demarcaciones territoriales del Distrito Federal, </w:t>
      </w:r>
      <w:r w:rsidRPr="007119F4">
        <w:rPr>
          <w:rFonts w:ascii="Palatino Linotype" w:eastAsia="Palatino Linotype" w:hAnsi="Palatino Linotype" w:cs="Palatino Linotype"/>
          <w:b/>
          <w:bCs/>
          <w:i/>
          <w:iCs/>
          <w:sz w:val="22"/>
          <w:szCs w:val="22"/>
        </w:rPr>
        <w:t xml:space="preserve">establecerán, </w:t>
      </w:r>
      <w:r w:rsidRPr="007119F4">
        <w:rPr>
          <w:rFonts w:ascii="Palatino Linotype" w:eastAsia="Palatino Linotype" w:hAnsi="Palatino Linotype" w:cs="Palatino Linotype"/>
          <w:b/>
          <w:bCs/>
          <w:i/>
          <w:iCs/>
          <w:sz w:val="22"/>
          <w:szCs w:val="22"/>
          <w:u w:val="single"/>
        </w:rPr>
        <w:t>en su respectiva página de Internet, los enlaces electrónicos que permitan acceder a la información financiera</w:t>
      </w:r>
      <w:r w:rsidRPr="007119F4">
        <w:rPr>
          <w:rFonts w:ascii="Palatino Linotype" w:eastAsia="Palatino Linotype" w:hAnsi="Palatino Linotype" w:cs="Palatino Linotype"/>
          <w:b/>
          <w:bCs/>
          <w:i/>
          <w:iCs/>
          <w:sz w:val="22"/>
          <w:szCs w:val="22"/>
        </w:rPr>
        <w:t xml:space="preserve"> de todos los entes públicos que conforman el correspondiente orden de gobierno así como a los órganos o instancias de transparencia competentes.</w:t>
      </w:r>
      <w:r w:rsidRPr="007119F4">
        <w:rPr>
          <w:rFonts w:ascii="Palatino Linotype" w:eastAsia="Palatino Linotype" w:hAnsi="Palatino Linotype" w:cs="Palatino Linotype"/>
          <w:i/>
          <w:iCs/>
          <w:sz w:val="22"/>
          <w:szCs w:val="22"/>
        </w:rPr>
        <w:t xml:space="preserve"> En el caso de las secretarías de finanzas o sus equivalentes, podrán incluir, previo convenio administrativo, la información financiera de los municipios de la entidad federativa o, en el caso del Distrito Federal, de sus demarcaciones territoriales.</w:t>
      </w:r>
    </w:p>
    <w:p w:rsidR="00BB4F1E" w:rsidRPr="007119F4" w:rsidRDefault="00D16212">
      <w:pPr>
        <w:spacing w:before="120" w:after="120"/>
        <w:ind w:left="851" w:right="90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Artículo 58.-</w:t>
      </w:r>
      <w:r w:rsidRPr="007119F4">
        <w:rPr>
          <w:rFonts w:ascii="Palatino Linotype" w:eastAsia="Palatino Linotype" w:hAnsi="Palatino Linotype" w:cs="Palatino Linotype"/>
          <w:i/>
          <w:iCs/>
          <w:sz w:val="22"/>
          <w:szCs w:val="22"/>
        </w:rPr>
        <w:t xml:space="preserve"> La información financiera que deba incluirse en Internet en términos de este Título deberá publicarse por lo menos trimestralmente, a excepción de los informes y documentos de naturaleza anual y otros que por virtud de esta Ley o disposición legal aplicable tengan un plazo y periodicidad determinada, y difundirse en dicho medio dentro de los treinta días naturales siguientes al cierre del período que corresponda. Asimismo, deberá permanecer disponible en Internet la información correspondiente de los últimos seis ejercicios fiscales.”</w:t>
      </w:r>
    </w:p>
    <w:p w:rsidR="00BB4F1E" w:rsidRPr="007119F4" w:rsidRDefault="00D16212">
      <w:pPr>
        <w:spacing w:before="240" w:after="240" w:line="360" w:lineRule="auto"/>
        <w:jc w:val="both"/>
        <w:rPr>
          <w:rFonts w:ascii="Palatino Linotype" w:eastAsia="Palatino Linotype" w:hAnsi="Palatino Linotype" w:cs="Palatino Linotype"/>
          <w:b/>
          <w:bCs/>
          <w:sz w:val="22"/>
          <w:szCs w:val="22"/>
          <w:u w:val="single"/>
        </w:rPr>
      </w:pPr>
      <w:r w:rsidRPr="007119F4">
        <w:rPr>
          <w:rFonts w:ascii="Palatino Linotype" w:eastAsia="Palatino Linotype" w:hAnsi="Palatino Linotype" w:cs="Palatino Linotype"/>
          <w:sz w:val="22"/>
          <w:szCs w:val="22"/>
        </w:rPr>
        <w:t xml:space="preserve">De los preceptos en cita se desprende que, la Secretaría de Hacienda, las Secretarías de Finanzas o sus equivalentes de las entidades federativas, así como las </w:t>
      </w:r>
      <w:r w:rsidRPr="007119F4">
        <w:rPr>
          <w:rFonts w:ascii="Palatino Linotype" w:eastAsia="Palatino Linotype" w:hAnsi="Palatino Linotype" w:cs="Palatino Linotype"/>
          <w:b/>
          <w:bCs/>
          <w:sz w:val="22"/>
          <w:szCs w:val="22"/>
        </w:rPr>
        <w:t xml:space="preserve">tesorerías de los municipios </w:t>
      </w:r>
      <w:r w:rsidRPr="007119F4">
        <w:rPr>
          <w:rFonts w:ascii="Palatino Linotype" w:eastAsia="Palatino Linotype" w:hAnsi="Palatino Linotype" w:cs="Palatino Linotype"/>
          <w:sz w:val="22"/>
          <w:szCs w:val="22"/>
        </w:rPr>
        <w:t>o sus equivalentes en las demarcaciones territoriales del Distrito Federal</w:t>
      </w:r>
      <w:r w:rsidRPr="007119F4">
        <w:rPr>
          <w:rFonts w:ascii="Palatino Linotype" w:eastAsia="Palatino Linotype" w:hAnsi="Palatino Linotype" w:cs="Palatino Linotype"/>
          <w:b/>
          <w:bCs/>
          <w:sz w:val="22"/>
          <w:szCs w:val="22"/>
        </w:rPr>
        <w:t xml:space="preserve">, </w:t>
      </w:r>
      <w:r w:rsidRPr="007119F4">
        <w:rPr>
          <w:rFonts w:ascii="Palatino Linotype" w:eastAsia="Palatino Linotype" w:hAnsi="Palatino Linotype" w:cs="Palatino Linotype"/>
          <w:sz w:val="22"/>
          <w:szCs w:val="22"/>
        </w:rPr>
        <w:t xml:space="preserve">cuentan con la obligación publicar en sus respectivas páginas de internet, </w:t>
      </w:r>
      <w:r w:rsidRPr="007119F4">
        <w:rPr>
          <w:rFonts w:ascii="Palatino Linotype" w:eastAsia="Palatino Linotype" w:hAnsi="Palatino Linotype" w:cs="Palatino Linotype"/>
          <w:b/>
          <w:bCs/>
          <w:sz w:val="22"/>
          <w:szCs w:val="22"/>
        </w:rPr>
        <w:t>por lo menos trimestralmente,</w:t>
      </w:r>
      <w:r w:rsidRPr="007119F4">
        <w:rPr>
          <w:rFonts w:ascii="Palatino Linotype" w:eastAsia="Palatino Linotype" w:hAnsi="Palatino Linotype" w:cs="Palatino Linotype"/>
          <w:sz w:val="22"/>
          <w:szCs w:val="22"/>
        </w:rPr>
        <w:t xml:space="preserve"> a más tardar treinta días después del cierre del periodo que corresponda, </w:t>
      </w:r>
      <w:r w:rsidRPr="007119F4">
        <w:rPr>
          <w:rFonts w:ascii="Palatino Linotype" w:eastAsia="Palatino Linotype" w:hAnsi="Palatino Linotype" w:cs="Palatino Linotype"/>
          <w:b/>
          <w:bCs/>
          <w:sz w:val="22"/>
          <w:szCs w:val="22"/>
          <w:u w:val="single"/>
        </w:rPr>
        <w:t>los enlaces electrónicos que permitan acceder a la información financiera que deba incluirse en internet</w:t>
      </w:r>
      <w:r w:rsidRPr="007119F4">
        <w:rPr>
          <w:rFonts w:ascii="Palatino Linotype" w:eastAsia="Palatino Linotype" w:hAnsi="Palatino Linotype" w:cs="Palatino Linotype"/>
          <w:sz w:val="22"/>
          <w:szCs w:val="22"/>
        </w:rPr>
        <w:t>, con excepción de los informes y documentos de naturaleza anual, debiendo permanecer disponible la información correspondiente a los seis últimos ejercicios fiscales.</w:t>
      </w:r>
    </w:p>
    <w:p w:rsidR="00BB4F1E" w:rsidRPr="007119F4" w:rsidRDefault="00D16212">
      <w:pPr>
        <w:spacing w:before="240" w:after="240"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sz w:val="22"/>
          <w:szCs w:val="22"/>
        </w:rPr>
        <w:t xml:space="preserve">De conformidad con el artículo 52 de la Ley General de Contabilidad Gubernamental, los estados financieros y demás información presupuestaria programática y contable que emanen de los registros de los entes públicos </w:t>
      </w:r>
      <w:r w:rsidRPr="007119F4">
        <w:rPr>
          <w:rFonts w:ascii="Palatino Linotype" w:eastAsia="Palatino Linotype" w:hAnsi="Palatino Linotype" w:cs="Palatino Linotype"/>
          <w:b/>
          <w:bCs/>
          <w:sz w:val="22"/>
          <w:szCs w:val="22"/>
        </w:rPr>
        <w:t>serán la base para la formulación de la cuenta pública anual.</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De manera que la cuenta pública de los ayuntamientos, tal y como lo refiere el artículo 55 de la Ley General de Contabilidad Gubernamental, previamente referido debe contener la información contable y presupuestal siguiente:</w:t>
      </w:r>
    </w:p>
    <w:p w:rsidR="00BB4F1E" w:rsidRPr="007119F4" w:rsidRDefault="00D16212">
      <w:pPr>
        <w:spacing w:before="240" w:after="240" w:line="360" w:lineRule="auto"/>
        <w:ind w:left="284"/>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I. Información contable</w:t>
      </w:r>
      <w:r w:rsidRPr="007119F4">
        <w:rPr>
          <w:rFonts w:ascii="Palatino Linotype" w:eastAsia="Palatino Linotype" w:hAnsi="Palatino Linotype" w:cs="Palatino Linotype"/>
          <w:sz w:val="22"/>
          <w:szCs w:val="22"/>
        </w:rPr>
        <w:t xml:space="preserve">, con la desagregación siguiente: a) Estado de actividades; b) Estado de situación financiera; c) Estado de variación en la hacienda pública; d) Estado de cambios en la situación financiera; e) Estado de flujos de efectivo; f) Informes sobre pasivos contingentes; g) Notas a los estados financieros; h) Estado analítico del activo, </w:t>
      </w:r>
    </w:p>
    <w:p w:rsidR="00BB4F1E" w:rsidRPr="007119F4" w:rsidRDefault="00D16212">
      <w:pPr>
        <w:spacing w:before="240" w:after="240" w:line="360" w:lineRule="auto"/>
        <w:ind w:left="284"/>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II. Información presupuestaria</w:t>
      </w:r>
      <w:r w:rsidRPr="007119F4">
        <w:rPr>
          <w:rFonts w:ascii="Palatino Linotype" w:eastAsia="Palatino Linotype" w:hAnsi="Palatino Linotype" w:cs="Palatino Linotype"/>
          <w:sz w:val="22"/>
          <w:szCs w:val="22"/>
        </w:rPr>
        <w:t>, con la desagregación siguiente: a) Estado analítico de ingresos, del que se derivará la presentación en clasificación económica por fuente de financiamiento y concepto, incluyendo los ingresos excedentes generados; b) Estado analítico del ejercicio del presupuesto de egresos del que se derivarán las clasificaciones siguientes: 1. Administrativa; 2. Económica; 3. Por objeto del gasto, y 4. Funcional. El estado analítico del ejercicio del presupuesto de egresos deberá identificar los montos y adecuaciones presupuestarias y subejercicios por ramo y programa;</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Asimismo, debe recalcarse que la difusión de la información vía internet no exime a los entes públicos de los informes que deben presentar ante el Congreso de la Unión y las legislaturas locales, como dispone el artículo 51 de la Ley General de Contabilidad Gubernamental.</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Por su parte, la Ley de Fiscalización Superior del Estado de México Establece lo siguiente:</w:t>
      </w:r>
    </w:p>
    <w:p w:rsidR="00BB4F1E" w:rsidRPr="007119F4" w:rsidRDefault="00D16212">
      <w:pPr>
        <w:spacing w:before="240" w:after="240"/>
        <w:ind w:left="567" w:right="843"/>
        <w:jc w:val="center"/>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TÍTULO CUARTO</w:t>
      </w:r>
    </w:p>
    <w:p w:rsidR="00BB4F1E" w:rsidRPr="007119F4" w:rsidRDefault="00D16212">
      <w:pPr>
        <w:spacing w:before="240" w:after="240"/>
        <w:ind w:left="567" w:right="843"/>
        <w:jc w:val="center"/>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DE LAS CUENTAS PÚBLICAS, SU REVISIÓN, FISCALIZACIÓN Y CALIFICACIÓN</w:t>
      </w:r>
    </w:p>
    <w:p w:rsidR="00BB4F1E" w:rsidRPr="007119F4" w:rsidRDefault="00D16212">
      <w:pPr>
        <w:spacing w:before="240" w:after="240"/>
        <w:ind w:left="567" w:right="843"/>
        <w:jc w:val="center"/>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CAPITULO PRIMERO DE LAS CUENTAS PÚBLICAS</w:t>
      </w:r>
    </w:p>
    <w:p w:rsidR="00BB4F1E" w:rsidRPr="007119F4" w:rsidRDefault="00D16212">
      <w:pPr>
        <w:spacing w:before="240" w:after="240"/>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Artículo 32. Las cuentas públicas estatal y municipales, deberán presentarse conforme a lo establecido en la Ley General de Contabilidad Gubernamental, en la Ley de Disciplina Financiera de las Entidades Federativas y los Municipios, en el Código Financiero del Estado de México y Municipios, el Manual Único de Contabilidad Gubernamental para las Dependencias y Entidades Públicas del Gobierno y Municipios del Estado de México, y demás disposiciones aplicables. </w:t>
      </w:r>
    </w:p>
    <w:p w:rsidR="00BB4F1E" w:rsidRPr="007119F4" w:rsidRDefault="00D16212">
      <w:pPr>
        <w:spacing w:before="240" w:after="240"/>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El Gobernador del Estado, por conducto del titular de la dependencia competente, presentará a la Legislatura la cuenta pública del Gobierno del Estado del ejercicio fiscal inmediato anterior, a más tardar el treinta de abril de cada año</w:t>
      </w:r>
      <w:r w:rsidRPr="007119F4">
        <w:rPr>
          <w:rFonts w:ascii="Palatino Linotype" w:eastAsia="Palatino Linotype" w:hAnsi="Palatino Linotype" w:cs="Palatino Linotype"/>
          <w:b/>
          <w:bCs/>
          <w:i/>
          <w:iCs/>
          <w:sz w:val="22"/>
          <w:szCs w:val="22"/>
        </w:rPr>
        <w:t xml:space="preserve">. Los presidentes municipales presentarán a la Legislatura las cuentas públicas de sus respectivos municipios, del ejercicio fiscal inmediato anterior, dentro de los quince primeros días del mes de marzo de cada año. </w:t>
      </w:r>
      <w:r w:rsidRPr="007119F4">
        <w:rPr>
          <w:rFonts w:ascii="Palatino Linotype" w:eastAsia="Palatino Linotype" w:hAnsi="Palatino Linotype" w:cs="Palatino Linotype"/>
          <w:i/>
          <w:iCs/>
          <w:sz w:val="22"/>
          <w:szCs w:val="22"/>
        </w:rPr>
        <w:t>Si el día del vencimiento de los plazos señalados, corresponde a un día inhábil, se podrá presentar al día hábil inmediato siguiente.</w:t>
      </w:r>
    </w:p>
    <w:p w:rsidR="00BB4F1E" w:rsidRPr="007119F4" w:rsidRDefault="00D16212">
      <w:pPr>
        <w:spacing w:before="240" w:after="240"/>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La Legislatura deberá remitir las Cuentas Públicas al Órgano Superior el día hábil siguiente a su recepción. </w:t>
      </w:r>
    </w:p>
    <w:p w:rsidR="00BB4F1E" w:rsidRPr="007119F4" w:rsidRDefault="00D16212">
      <w:pPr>
        <w:spacing w:before="240" w:after="240"/>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Artículo 33.- La Secretaría de Finanzas y las tesorerías municipales, en el ámbito de sus respectivas atribuciones, expedirán las bases y normas de carácter administrativo para la baja de documentos justificativos y comprobatorios para efecto de guarda o custodia de los que deban conservarse, microfilmarse o procesarse electrónicamente, sujetándose a las disposiciones legales establecidas en la materia. </w:t>
      </w:r>
    </w:p>
    <w:p w:rsidR="00BB4F1E" w:rsidRPr="007119F4" w:rsidRDefault="00D16212">
      <w:pPr>
        <w:spacing w:before="240" w:after="240"/>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Los microfilms y los archivos guardados mediante procesamiento electrónico a que se refiere el párrafo anterior, tendrán el valor que, en su caso, establezcan las disposiciones legales aplicables a las operaciones en que aquellos se apliquen. </w:t>
      </w:r>
    </w:p>
    <w:p w:rsidR="00BB4F1E" w:rsidRPr="007119F4" w:rsidRDefault="00D16212">
      <w:pPr>
        <w:spacing w:before="240" w:after="240"/>
        <w:ind w:left="567"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Artículo 34.- El Órgano Superior conservará en su poder las cuentas públicas del Estado y de los municipios de cada ejercicio fiscal, así como los informes de resultados de su revisión y los informes de auditoría y de denuncias que correspondan, en tanto no prescriban las responsabilidades derivadas de las irregularidades que se observen en las operaciones objeto de revisión. Asimismo, conservará las copias autógrafas de los pliegos que formule y copias de los trámites que hubiere realizado ante las instancias competentes para la presentación de denuncias o querellas penales derivadas del ejercicio de sus funciones.</w:t>
      </w:r>
    </w:p>
    <w:p w:rsidR="00BB4F1E" w:rsidRPr="007119F4" w:rsidRDefault="00D16212">
      <w:pPr>
        <w:spacing w:before="240" w:after="240"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sz w:val="22"/>
          <w:szCs w:val="22"/>
        </w:rPr>
        <w:t xml:space="preserve">De lo anterior, si bien se tiene obligación de elaborar la cuenta pública municipal 2025, lo cierto es que, esta se genera de manera anual y no de forma trimestral como lo solicitó el particular, además de que la misma se presenta </w:t>
      </w:r>
      <w:r w:rsidRPr="007119F4">
        <w:rPr>
          <w:rFonts w:ascii="Palatino Linotype" w:eastAsia="Palatino Linotype" w:hAnsi="Palatino Linotype" w:cs="Palatino Linotype"/>
          <w:b/>
          <w:bCs/>
          <w:sz w:val="22"/>
          <w:szCs w:val="22"/>
        </w:rPr>
        <w:t xml:space="preserve">del ejercicio fiscal inmediato anterior, dentro de los quince primeros días del mes de marzo de cada año, es decir, la correspondiente al ejercicio fiscal 2025, se presentará dentro de los primeros quince días de marzo de dos mil veintiséis. </w:t>
      </w:r>
    </w:p>
    <w:p w:rsidR="00BB4F1E" w:rsidRPr="007119F4" w:rsidRDefault="00D16212">
      <w:pPr>
        <w:spacing w:before="240" w:after="240"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 xml:space="preserve">Es decir, a la fecha de la solicitud, la información que se requiere y que se relaciona con la cuenta pública aún no ha sido generada, </w:t>
      </w:r>
      <w:r w:rsidRPr="007119F4">
        <w:rPr>
          <w:rFonts w:ascii="Palatino Linotype" w:eastAsia="Palatino Linotype" w:hAnsi="Palatino Linotype" w:cs="Palatino Linotype"/>
          <w:sz w:val="22"/>
          <w:szCs w:val="22"/>
        </w:rPr>
        <w:t>por lo que es ineludible señalar que la información sobre hechos que aún no se han generado debido a la temporalidad, son hechos futuros e inciertos, los cuales no se pueden determinar ya que están supeditados a la conclusión de los mismos; por lo que no es procedente que los Sujetos Obligados proporcionen dicha información.</w:t>
      </w:r>
    </w:p>
    <w:p w:rsidR="00BB4F1E" w:rsidRPr="007119F4" w:rsidRDefault="00D16212">
      <w:pPr>
        <w:spacing w:before="240" w:after="240" w:line="360" w:lineRule="auto"/>
        <w:ind w:right="-93"/>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Lo anterior se robustece con la Tesis Aislada con número de registro 209001</w:t>
      </w:r>
      <w:r w:rsidRPr="007119F4">
        <w:rPr>
          <w:rFonts w:ascii="Palatino Linotype" w:eastAsia="Palatino Linotype" w:hAnsi="Palatino Linotype" w:cs="Palatino Linotype"/>
          <w:sz w:val="22"/>
          <w:szCs w:val="22"/>
          <w:vertAlign w:val="superscript"/>
        </w:rPr>
        <w:footnoteReference w:id="1"/>
      </w:r>
      <w:r w:rsidRPr="007119F4">
        <w:rPr>
          <w:rFonts w:ascii="Palatino Linotype" w:eastAsia="Palatino Linotype" w:hAnsi="Palatino Linotype" w:cs="Palatino Linotype"/>
          <w:sz w:val="22"/>
          <w:szCs w:val="22"/>
        </w:rPr>
        <w:t>, de la Suprema Corte de Justicia de la Nación, emitida por los Tribunales Colegiados de Circuito,  que a la letra señala:</w:t>
      </w:r>
    </w:p>
    <w:p w:rsidR="00BB4F1E" w:rsidRPr="007119F4" w:rsidRDefault="00D16212">
      <w:pPr>
        <w:pBdr>
          <w:top w:val="nil"/>
          <w:left w:val="nil"/>
          <w:bottom w:val="nil"/>
          <w:right w:val="nil"/>
          <w:between w:val="nil"/>
        </w:pBdr>
        <w:ind w:left="851" w:right="90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 xml:space="preserve">“ACTOS FUTUROS DE REALIZACION INCIERTA. NO PROCEDE EL JUICIO DE AMPARO CONTRA LOS. </w:t>
      </w:r>
      <w:r w:rsidRPr="007119F4">
        <w:rPr>
          <w:rFonts w:ascii="Palatino Linotype" w:eastAsia="Palatino Linotype" w:hAnsi="Palatino Linotype" w:cs="Palatino Linotype"/>
          <w:i/>
          <w:iCs/>
          <w:sz w:val="22"/>
          <w:szCs w:val="22"/>
        </w:rPr>
        <w:t>Contra actos futuros de realización incierta no procede el juicio de garantías.”</w:t>
      </w:r>
    </w:p>
    <w:p w:rsidR="00BB4F1E" w:rsidRPr="007119F4" w:rsidRDefault="00D16212">
      <w:pPr>
        <w:spacing w:before="240" w:after="240" w:line="360" w:lineRule="auto"/>
        <w:ind w:right="51"/>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En ese sentido, no es procedente la exigencia de la parte </w:t>
      </w:r>
      <w:r w:rsidRPr="007119F4">
        <w:rPr>
          <w:rFonts w:ascii="Palatino Linotype" w:eastAsia="Palatino Linotype" w:hAnsi="Palatino Linotype" w:cs="Palatino Linotype"/>
          <w:b/>
          <w:bCs/>
          <w:sz w:val="22"/>
          <w:szCs w:val="22"/>
        </w:rPr>
        <w:t>Recurrente</w:t>
      </w:r>
      <w:r w:rsidRPr="007119F4">
        <w:rPr>
          <w:rFonts w:ascii="Palatino Linotype" w:eastAsia="Palatino Linotype" w:hAnsi="Palatino Linotype" w:cs="Palatino Linotype"/>
          <w:sz w:val="22"/>
          <w:szCs w:val="22"/>
        </w:rPr>
        <w:t xml:space="preserve"> de que el </w:t>
      </w:r>
      <w:r w:rsidRPr="007119F4">
        <w:rPr>
          <w:rFonts w:ascii="Palatino Linotype" w:eastAsia="Palatino Linotype" w:hAnsi="Palatino Linotype" w:cs="Palatino Linotype"/>
          <w:b/>
          <w:bCs/>
          <w:sz w:val="22"/>
          <w:szCs w:val="22"/>
        </w:rPr>
        <w:t>Sujeto Obligado</w:t>
      </w:r>
      <w:r w:rsidRPr="007119F4">
        <w:rPr>
          <w:rFonts w:ascii="Palatino Linotype" w:eastAsia="Palatino Linotype" w:hAnsi="Palatino Linotype" w:cs="Palatino Linotype"/>
          <w:sz w:val="22"/>
          <w:szCs w:val="22"/>
        </w:rPr>
        <w:t xml:space="preserve"> atienda su solicitud en los términos solicitados, pues dicha autoridad únicamente está constreñida a proporcionar la información pública que genere en uso de sus atribuciones de derecho público con anterioridad a la fecha de la solicitud de información.</w:t>
      </w:r>
    </w:p>
    <w:p w:rsidR="00BB4F1E" w:rsidRPr="007119F4" w:rsidRDefault="00D16212">
      <w:pPr>
        <w:spacing w:before="240" w:after="240" w:line="360" w:lineRule="auto"/>
        <w:ind w:right="51"/>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Mientras que, por otro lado, al no haberse generado la cuenta pública del ejercicio fiscal 2025, del mismo modo no se han realizado observaciones por parte del Órgano Fiscalizador, en virtud de la relación de dependencia entre ambos elementos, si el primero no se ha generado, el segundo no podrá generarse, dado que su existencia está supeditada directamente a la existencia previa del primero.</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Por lo anteriormente expuesto, al ser información que a la fecha de la solicitud no ha sido generada, es que es información que no obra en los archivos del Sujeto Obligado, por lo tanto no son requerimientos susceptibles de ser atendidos a través del derecho de acceso a la información por corresponder a hechos futuros.</w:t>
      </w: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Quinto. Versión Pública. </w:t>
      </w:r>
      <w:r w:rsidRPr="007119F4">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ind w:right="50"/>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rsidR="00BB4F1E" w:rsidRPr="007119F4" w:rsidRDefault="00BB4F1E">
      <w:pPr>
        <w:spacing w:line="360" w:lineRule="auto"/>
        <w:ind w:right="50"/>
        <w:jc w:val="both"/>
        <w:rPr>
          <w:rFonts w:ascii="Palatino Linotype" w:eastAsia="Palatino Linotype" w:hAnsi="Palatino Linotype" w:cs="Palatino Linotype"/>
          <w:sz w:val="22"/>
          <w:szCs w:val="22"/>
        </w:rPr>
      </w:pP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r w:rsidRPr="007119F4">
        <w:rPr>
          <w:rFonts w:ascii="Palatino Linotype" w:eastAsia="Palatino Linotype" w:hAnsi="Palatino Linotype" w:cs="Palatino Linotype"/>
          <w:b/>
          <w:bCs/>
          <w:i/>
          <w:iCs/>
          <w:sz w:val="22"/>
          <w:szCs w:val="22"/>
        </w:rPr>
        <w:t>Artículo 3.</w:t>
      </w:r>
      <w:r w:rsidRPr="007119F4">
        <w:rPr>
          <w:rFonts w:ascii="Palatino Linotype" w:eastAsia="Palatino Linotype" w:hAnsi="Palatino Linotype" w:cs="Palatino Linotype"/>
          <w:i/>
          <w:iCs/>
          <w:sz w:val="22"/>
          <w:szCs w:val="22"/>
        </w:rPr>
        <w:t xml:space="preserve"> Para los efectos de la presente Ley se entenderá por:</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XX. Información clasificada: Aquella considerada por la presente Ley como reservada o confidencial;</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91.</w:t>
      </w:r>
      <w:r w:rsidRPr="007119F4">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132.</w:t>
      </w:r>
      <w:r w:rsidRPr="007119F4">
        <w:rPr>
          <w:rFonts w:ascii="Palatino Linotype" w:eastAsia="Palatino Linotype" w:hAnsi="Palatino Linotype" w:cs="Palatino Linotype"/>
          <w:i/>
          <w:iCs/>
          <w:sz w:val="22"/>
          <w:szCs w:val="22"/>
        </w:rPr>
        <w:t xml:space="preserve"> La clasificación de la información se llevará a cabo en el momento en que:</w:t>
      </w:r>
    </w:p>
    <w:p w:rsidR="00BB4F1E" w:rsidRPr="007119F4" w:rsidRDefault="00D16212">
      <w:pPr>
        <w:tabs>
          <w:tab w:val="left" w:pos="1134"/>
        </w:tabs>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 Se reciba una solicitud de acceso a la información;</w:t>
      </w:r>
    </w:p>
    <w:p w:rsidR="00BB4F1E" w:rsidRPr="007119F4" w:rsidRDefault="00D16212">
      <w:pPr>
        <w:tabs>
          <w:tab w:val="left" w:pos="1134"/>
        </w:tabs>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II. Se determine mediante resolución de autoridad competente; o</w:t>
      </w:r>
    </w:p>
    <w:p w:rsidR="00BB4F1E" w:rsidRPr="007119F4" w:rsidRDefault="00D16212">
      <w:pPr>
        <w:tabs>
          <w:tab w:val="left" w:pos="1134"/>
        </w:tabs>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III. Se generen versiones públicas para dar cumplimiento a las obligaciones de transparencia previstas en esta Ley.</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Artículo 143</w:t>
      </w:r>
      <w:r w:rsidRPr="007119F4">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rsidR="00BB4F1E" w:rsidRPr="007119F4" w:rsidRDefault="00BB4F1E">
      <w:pPr>
        <w:ind w:left="567" w:right="616"/>
        <w:jc w:val="both"/>
        <w:rPr>
          <w:rFonts w:ascii="Palatino Linotype" w:eastAsia="Palatino Linotype" w:hAnsi="Palatino Linotype" w:cs="Palatino Linotype"/>
          <w:i/>
          <w:iCs/>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Entre los datos que se pudieran localizar en la información que se ordena entregar, se advierte que pudiera contener especificaciones técnicas de las patrullas, por lo que proporcionar las características o especificaciones de los equipos o armamento adquiridos o arrendados, revelaría la nueva tecnología, sistemas  y componentes, con los que cuenta la Dirección de Seguridad Pública para el combate a la delincuencia en el Municipio, pues al proporcionar información sobre el </w:t>
      </w:r>
      <w:r w:rsidRPr="007119F4">
        <w:rPr>
          <w:rFonts w:ascii="Palatino Linotype" w:eastAsia="Palatino Linotype" w:hAnsi="Palatino Linotype" w:cs="Palatino Linotype"/>
          <w:b/>
          <w:bCs/>
          <w:sz w:val="22"/>
          <w:szCs w:val="22"/>
        </w:rPr>
        <w:t>armamento,  blindaje y radios con los que cuentan dicha área,</w:t>
      </w:r>
      <w:r w:rsidRPr="007119F4">
        <w:rPr>
          <w:rFonts w:ascii="Palatino Linotype" w:eastAsia="Palatino Linotype" w:hAnsi="Palatino Linotype" w:cs="Palatino Linotype"/>
          <w:sz w:val="22"/>
          <w:szCs w:val="22"/>
        </w:rPr>
        <w:t xml:space="preserve"> se estaría dando cuenta de los aparatos que se utilizan para estar en comunicación los policías municipales, así como, las características del equipo y armamento especial, con el que cuentan el personal o los vehículos, y que es utilizado para mantener la seguridad dentro del territorio del Municipio.</w:t>
      </w:r>
    </w:p>
    <w:p w:rsidR="00BB4F1E" w:rsidRPr="007119F4" w:rsidRDefault="00BB4F1E">
      <w:pPr>
        <w:spacing w:line="360" w:lineRule="auto"/>
        <w:ind w:right="-93"/>
        <w:jc w:val="both"/>
        <w:rPr>
          <w:rFonts w:ascii="Palatino Linotype" w:eastAsia="Palatino Linotype" w:hAnsi="Palatino Linotype" w:cs="Palatino Linotype"/>
          <w:sz w:val="22"/>
          <w:szCs w:val="22"/>
        </w:rPr>
      </w:pPr>
    </w:p>
    <w:p w:rsidR="00BB4F1E" w:rsidRPr="007119F4" w:rsidRDefault="00D16212">
      <w:pPr>
        <w:spacing w:line="360" w:lineRule="auto"/>
        <w:ind w:right="-93"/>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Inclusive, dar a conocer las especificaciones y características de dicho equipamiento, podría ocasionar que los entes delincuenciales busquen allegarse de instrumentos para disminuir o destruir estos, con el fin de aumentar la inseguridad, pues podría ser utilizada dicha información para buscar las debilidades de las mismas y poderse aprovechar de dichas situaciones para realizar diversos delitos, lo cual va en detrimento de la paz y orden social.</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sz w:val="22"/>
          <w:szCs w:val="22"/>
        </w:rPr>
        <w:t xml:space="preserve">Conforme a lo anterior, se puede colegir que proporcionar la información en análisis compromete la seguridad pública, al poner en peligro las funciones a cargo del Municipio, </w:t>
      </w:r>
      <w:r w:rsidRPr="007119F4">
        <w:rPr>
          <w:sz w:val="22"/>
          <w:szCs w:val="22"/>
        </w:rPr>
        <w:t xml:space="preserve"> </w:t>
      </w:r>
      <w:r w:rsidRPr="007119F4">
        <w:rPr>
          <w:rFonts w:ascii="Palatino Linotype" w:eastAsia="Palatino Linotype" w:hAnsi="Palatino Linotype" w:cs="Palatino Linotype"/>
          <w:sz w:val="22"/>
          <w:szCs w:val="22"/>
        </w:rPr>
        <w:t xml:space="preserve">tendientes a preservar y resguardar la vida, la salud, la integridad y el ejercicio de los derechos de las personas, así como para el mantenimiento del orden público, toda vez </w:t>
      </w:r>
      <w:r w:rsidRPr="007119F4">
        <w:rPr>
          <w:rFonts w:ascii="Palatino Linotype" w:eastAsia="Palatino Linotype" w:hAnsi="Palatino Linotype" w:cs="Palatino Linotype"/>
          <w:b/>
          <w:bCs/>
          <w:sz w:val="22"/>
          <w:szCs w:val="22"/>
        </w:rPr>
        <w:t xml:space="preserve">que da cuenta de las tecnologías, componentes y sistemas del equipo y armamento utilizado por la Dirección General de Seguridad Ciudadana </w:t>
      </w:r>
      <w:r w:rsidRPr="007119F4">
        <w:rPr>
          <w:rFonts w:ascii="Palatino Linotype" w:eastAsia="Palatino Linotype" w:hAnsi="Palatino Linotype" w:cs="Palatino Linotype"/>
          <w:sz w:val="22"/>
          <w:szCs w:val="22"/>
        </w:rPr>
        <w:t>y por lo tanto, acredita la causal de clasificación prevista en el artículo 140, fracción I de la Ley de Transparencia y Acceso a la Información Pública del Estado de México</w:t>
      </w:r>
      <w:r w:rsidRPr="007119F4">
        <w:rPr>
          <w:rFonts w:ascii="Palatino Linotype" w:eastAsia="Palatino Linotype" w:hAnsi="Palatino Linotype" w:cs="Palatino Linotype"/>
          <w:b/>
          <w:bCs/>
          <w:sz w:val="22"/>
          <w:szCs w:val="22"/>
        </w:rPr>
        <w:t>.</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 “</w:t>
      </w:r>
      <w:r w:rsidRPr="007119F4">
        <w:rPr>
          <w:rFonts w:ascii="Palatino Linotype" w:eastAsia="Palatino Linotype" w:hAnsi="Palatino Linotype" w:cs="Palatino Linotype"/>
          <w:b/>
          <w:bCs/>
          <w:i/>
          <w:iCs/>
          <w:sz w:val="22"/>
          <w:szCs w:val="22"/>
        </w:rPr>
        <w:t>Quincuagésimo</w:t>
      </w:r>
      <w:r w:rsidRPr="007119F4">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Quincuagésimo primero.</w:t>
      </w:r>
      <w:r w:rsidRPr="007119F4">
        <w:rPr>
          <w:rFonts w:ascii="Palatino Linotype" w:eastAsia="Palatino Linotype" w:hAnsi="Palatino Linotype" w:cs="Palatino Linotype"/>
          <w:i/>
          <w:iCs/>
          <w:sz w:val="22"/>
          <w:szCs w:val="22"/>
        </w:rPr>
        <w:t xml:space="preserve"> Toda acta del Comité de Transparencia deberá contener: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 El número de sesión y fecha;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II. El nombre del área que solicitó la clasificación de información;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III. La fundamentación legal y motivación correspondiente;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IV. La resolución o resoluciones aprobadas; y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V. La rúbrica o firma digital de cada integrante del Comité de Transparencia.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 Los motivos y razonamientos que sustenten la confirmación o modificación de la prueba de daño;</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II. Descripción de las partes o secciones reservadas, en caso de clasificación parcial;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III. El periodo por el que mantendrá su clasificación y fecha de expiración; y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Quincuagésimo segundo.</w:t>
      </w:r>
      <w:r w:rsidRPr="007119F4">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III. Señalar las personas o instancias autorizadas a acceder a la información clasificada.</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rsidR="00BB4F1E" w:rsidRPr="007119F4" w:rsidRDefault="00BB4F1E">
      <w:pPr>
        <w:spacing w:line="360" w:lineRule="auto"/>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r w:rsidRPr="007119F4">
        <w:rPr>
          <w:rFonts w:ascii="Palatino Linotype" w:eastAsia="Palatino Linotype" w:hAnsi="Palatino Linotype" w:cs="Palatino Linotype"/>
          <w:b/>
          <w:bCs/>
          <w:i/>
          <w:iCs/>
          <w:sz w:val="22"/>
          <w:szCs w:val="22"/>
        </w:rPr>
        <w:t>Quincuagésimo cuarto.</w:t>
      </w:r>
      <w:r w:rsidRPr="007119F4">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Quincuagésimo quinto.</w:t>
      </w:r>
      <w:r w:rsidRPr="007119F4">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Quincuagésimo séptimo.</w:t>
      </w:r>
      <w:r w:rsidRPr="007119F4">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BB4F1E" w:rsidRPr="007119F4" w:rsidRDefault="00D16212">
      <w:pPr>
        <w:ind w:left="567" w:right="616"/>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rsidR="00BB4F1E" w:rsidRPr="007119F4" w:rsidRDefault="00BB4F1E">
      <w:pPr>
        <w:spacing w:line="360" w:lineRule="auto"/>
        <w:ind w:right="616"/>
        <w:jc w:val="both"/>
        <w:rPr>
          <w:rFonts w:ascii="Palatino Linotype" w:eastAsia="Palatino Linotype" w:hAnsi="Palatino Linotype" w:cs="Palatino Linotype"/>
          <w:i/>
          <w:iCs/>
          <w:sz w:val="22"/>
          <w:szCs w:val="22"/>
        </w:rPr>
      </w:pP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7119F4">
        <w:rPr>
          <w:rFonts w:ascii="Palatino Linotype" w:eastAsia="Palatino Linotype" w:hAnsi="Palatino Linotype" w:cs="Palatino Linotype"/>
          <w:b/>
          <w:bCs/>
          <w:sz w:val="22"/>
          <w:szCs w:val="22"/>
          <w:u w:val="single"/>
        </w:rPr>
        <w:t>sólo por cuanto hace al nombre</w:t>
      </w:r>
      <w:r w:rsidRPr="007119F4">
        <w:rPr>
          <w:rFonts w:ascii="Palatino Linotype" w:eastAsia="Palatino Linotype" w:hAnsi="Palatino Linotype" w:cs="Palatino Linotype"/>
          <w:b/>
          <w:bCs/>
          <w:sz w:val="22"/>
          <w:szCs w:val="22"/>
        </w:rPr>
        <w:t xml:space="preserve">, </w:t>
      </w:r>
      <w:r w:rsidRPr="007119F4">
        <w:rPr>
          <w:rFonts w:ascii="Palatino Linotype" w:eastAsia="Palatino Linotype" w:hAnsi="Palatino Linotype" w:cs="Palatino Linotype"/>
          <w:sz w:val="22"/>
          <w:szCs w:val="22"/>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7119F4">
        <w:rPr>
          <w:rFonts w:ascii="Palatino Linotype" w:eastAsia="Palatino Linotype" w:hAnsi="Palatino Linotype" w:cs="Palatino Linotype"/>
          <w:b/>
          <w:bCs/>
          <w:sz w:val="22"/>
          <w:szCs w:val="22"/>
        </w:rPr>
        <w:t>que desempeñen funciones operativas</w:t>
      </w:r>
      <w:r w:rsidRPr="007119F4">
        <w:rPr>
          <w:rFonts w:ascii="Palatino Linotype" w:eastAsia="Palatino Linotype" w:hAnsi="Palatino Linotype" w:cs="Palatino Linotype"/>
          <w:sz w:val="22"/>
          <w:szCs w:val="22"/>
        </w:rPr>
        <w:t>.</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Al respecto, la información </w:t>
      </w:r>
      <w:r w:rsidRPr="007119F4">
        <w:rPr>
          <w:rFonts w:ascii="Palatino Linotype" w:eastAsia="Palatino Linotype" w:hAnsi="Palatino Linotype" w:cs="Palatino Linotype"/>
          <w:b/>
          <w:bCs/>
          <w:sz w:val="22"/>
          <w:szCs w:val="22"/>
        </w:rPr>
        <w:t>de los elementos que realizan funciones operativas, entre ellos su nombre y cargo, deben ser protegidos</w:t>
      </w:r>
      <w:r w:rsidRPr="007119F4">
        <w:rPr>
          <w:rFonts w:ascii="Palatino Linotype" w:eastAsia="Palatino Linotype" w:hAnsi="Palatino Linotype" w:cs="Palatino Linotype"/>
          <w:sz w:val="22"/>
          <w:szCs w:val="22"/>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vigente a la fecha de presentación de la solicitud, así como los requisitos previstos por los numerales Vigésimo tercero y Trigésimo tercero, de los Lineamientos generales en materia de clasificación y desclasificación de la información, así como para la elaboración de versiones públicas, vigentes a la fecha de presentación de la solicitud, al aplicar la prueba de daño correspondiente.</w:t>
      </w:r>
    </w:p>
    <w:p w:rsidR="00BB4F1E" w:rsidRPr="007119F4" w:rsidRDefault="00D16212">
      <w:pPr>
        <w:spacing w:before="240" w:after="240"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sz w:val="22"/>
          <w:szCs w:val="22"/>
        </w:rPr>
        <w:t xml:space="preserve">Como sustento de lo anterior, es preciso mencionar que el </w:t>
      </w:r>
      <w:r w:rsidRPr="007119F4">
        <w:rPr>
          <w:rFonts w:ascii="Palatino Linotype" w:eastAsia="Palatino Linotype" w:hAnsi="Palatino Linotype" w:cs="Palatino Linotype"/>
          <w:b/>
          <w:bCs/>
          <w:sz w:val="22"/>
          <w:szCs w:val="22"/>
        </w:rPr>
        <w:t xml:space="preserve">actual Pleno de este Instituto ha sostenido el criterio de no dar a conocer los nombres de aquellos servidores públicos que realizan funciones operativas en materia de seguridad pública, </w:t>
      </w:r>
      <w:r w:rsidRPr="007119F4">
        <w:rPr>
          <w:rFonts w:ascii="Palatino Linotype" w:eastAsia="Palatino Linotype" w:hAnsi="Palatino Linotype" w:cs="Palatino Linotype"/>
          <w:sz w:val="22"/>
          <w:szCs w:val="22"/>
        </w:rPr>
        <w:t xml:space="preserve">pues los vuelve identificables y posiblemente reconocibles para grupos delictivos, que pudieran relacionarlos directamente con actividades u operativos pasados, presentes o ubicarlos simplemente por el hecho de pertenecer a una organización que lleva a cabo actividades de prevención y salvaguarda de la integridad de las personas en el combate a la delincuencia; así, dicha información puede ser utilizada para </w:t>
      </w:r>
      <w:r w:rsidRPr="007119F4">
        <w:rPr>
          <w:rFonts w:ascii="Palatino Linotype" w:eastAsia="Palatino Linotype" w:hAnsi="Palatino Linotype" w:cs="Palatino Linotype"/>
          <w:b/>
          <w:bCs/>
          <w:sz w:val="22"/>
          <w:szCs w:val="22"/>
        </w:rPr>
        <w:t xml:space="preserve">vulnerar la vida, seguridad o salud de dichos elementos, incluso la de sus familias o entorno social. </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En tal contexto, es procedente la clasificación del nombre de los elementos operativos como información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En ese entendido, la leyenda de clasificación que se genere, deberá establecer ambos supuestos de clasificación: reserva y confidencialidad, en congruencia con los requisitos establecidos en los lineamientos citados.</w:t>
      </w:r>
    </w:p>
    <w:p w:rsidR="00BB4F1E" w:rsidRPr="007119F4" w:rsidRDefault="00D16212">
      <w:pPr>
        <w:spacing w:before="120" w:after="12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orientador histórico 06/09, emitido por el entonces Instituto Federal de Acceso a la Información y Protección de Datos, que establece lo siguiente:</w:t>
      </w:r>
    </w:p>
    <w:p w:rsidR="00BB4F1E" w:rsidRPr="007119F4" w:rsidRDefault="00D16212">
      <w:pPr>
        <w:tabs>
          <w:tab w:val="left" w:pos="4962"/>
        </w:tabs>
        <w:spacing w:before="120" w:after="120"/>
        <w:ind w:left="851" w:right="902"/>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“Nombres de servidores públicos dedicados a actividades en materia de seguridad, por excepción pueden considerarse información reservada.</w:t>
      </w:r>
      <w:r w:rsidRPr="007119F4">
        <w:rPr>
          <w:rFonts w:ascii="Palatino Linotype" w:eastAsia="Palatino Linotype" w:hAnsi="Palatino Linotype" w:cs="Palatino Linotype"/>
          <w:i/>
          <w:iCs/>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7119F4">
        <w:rPr>
          <w:rFonts w:ascii="Palatino Linotype" w:eastAsia="Palatino Linotype" w:hAnsi="Palatino Linotype" w:cs="Palatino Linotype"/>
          <w:b/>
          <w:bCs/>
          <w:sz w:val="22"/>
          <w:szCs w:val="22"/>
        </w:rPr>
        <w:t>funciones de carácter operativo.</w:t>
      </w:r>
    </w:p>
    <w:p w:rsidR="00BB4F1E" w:rsidRPr="007119F4" w:rsidRDefault="00D16212">
      <w:pPr>
        <w:spacing w:before="240" w:after="36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Sirven de sustento a lo anterior las tesis jurisprudenciales emitidas por la Suprema corte de Justicia de la Nación, que son del literal siguiente:</w:t>
      </w:r>
    </w:p>
    <w:p w:rsidR="00BB4F1E" w:rsidRPr="007119F4" w:rsidRDefault="00D16212">
      <w:pPr>
        <w:spacing w:before="120" w:after="120"/>
        <w:ind w:left="851" w:right="760"/>
        <w:jc w:val="both"/>
        <w:rPr>
          <w:rFonts w:ascii="Palatino Linotype" w:eastAsia="Palatino Linotype" w:hAnsi="Palatino Linotype" w:cs="Palatino Linotype"/>
          <w:b/>
          <w:bCs/>
          <w:i/>
          <w:iCs/>
          <w:sz w:val="22"/>
          <w:szCs w:val="22"/>
        </w:rPr>
      </w:pPr>
      <w:r w:rsidRPr="007119F4">
        <w:rPr>
          <w:rFonts w:ascii="Palatino Linotype" w:eastAsia="Palatino Linotype" w:hAnsi="Palatino Linotype" w:cs="Palatino Linotype"/>
          <w:b/>
          <w:bCs/>
          <w:i/>
          <w:iCs/>
          <w:sz w:val="22"/>
          <w:szCs w:val="22"/>
        </w:rPr>
        <w:t xml:space="preserve">“DERECHO A LA INFORMACIÓN. SU EJERCICIO SE ENCUENTRA LIMITADO TANTO POR LOS INTERESES NACIONALES Y DE LA SOCIEDAD, COMO POR LOS DERECHOS DE TERCEROS. </w:t>
      </w:r>
      <w:r w:rsidRPr="007119F4">
        <w:rPr>
          <w:rFonts w:ascii="Palatino Linotype" w:eastAsia="Palatino Linotype" w:hAnsi="Palatino Linotype" w:cs="Palatino Linotype"/>
          <w:i/>
          <w:iCs/>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119F4">
        <w:rPr>
          <w:rFonts w:ascii="Palatino Linotype" w:eastAsia="Palatino Linotype" w:hAnsi="Palatino Linotype" w:cs="Palatino Linotype"/>
          <w:b/>
          <w:bCs/>
          <w:i/>
          <w:iCs/>
          <w:sz w:val="22"/>
          <w:szCs w:val="22"/>
        </w:rPr>
        <w:t>restringen el acceso a la información en esta materia, en razón de que su conocimiento público puede generar daños a los intereses nacionales y, por el otro, sancionan la inobservancia de esa reserva;</w:t>
      </w:r>
      <w:r w:rsidRPr="007119F4">
        <w:rPr>
          <w:rFonts w:ascii="Palatino Linotype" w:eastAsia="Palatino Linotype" w:hAnsi="Palatino Linotype" w:cs="Palatino Linotype"/>
          <w:i/>
          <w:iCs/>
          <w:sz w:val="22"/>
          <w:szCs w:val="22"/>
        </w:rPr>
        <w:t xml:space="preserve"> por lo que hace al interés social, se cuenta con normas que tienden a proteger la averiguación de los delitos, la salud y la moral públicas, </w:t>
      </w:r>
      <w:r w:rsidRPr="007119F4">
        <w:rPr>
          <w:rFonts w:ascii="Palatino Linotype" w:eastAsia="Palatino Linotype" w:hAnsi="Palatino Linotype" w:cs="Palatino Linotype"/>
          <w:b/>
          <w:bCs/>
          <w:i/>
          <w:iCs/>
          <w:sz w:val="22"/>
          <w:szCs w:val="22"/>
        </w:rPr>
        <w:t>mientras que por lo que respecta a la protección de la persona existen normas que protegen el derecho a la vida o a la privacidad de los gobernados.</w:t>
      </w:r>
      <w:r w:rsidRPr="007119F4">
        <w:rPr>
          <w:rFonts w:ascii="Palatino Linotype" w:eastAsia="Palatino Linotype" w:hAnsi="Palatino Linotype" w:cs="Palatino Linotype"/>
          <w:i/>
          <w:iCs/>
          <w:sz w:val="22"/>
          <w:szCs w:val="22"/>
        </w:rPr>
        <w:t>”</w:t>
      </w:r>
    </w:p>
    <w:p w:rsidR="00BB4F1E" w:rsidRPr="007119F4" w:rsidRDefault="00D16212">
      <w:pPr>
        <w:spacing w:line="360" w:lineRule="auto"/>
        <w:ind w:left="851" w:right="843"/>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b/>
          <w:bCs/>
          <w:i/>
          <w:iCs/>
          <w:sz w:val="22"/>
          <w:szCs w:val="22"/>
        </w:rPr>
        <w:t>“TRANSPARENCIA Y ACCESO A LA INFORMACIÓN PÚBLICA GUBERNAMENTAL. EL ARTÍCULO 14, FRACCIÓN I, DE LA LEY FEDERAL RELATIVA, NO VIOLA LA GARANTÍA DE ACCESO A LA INFORMACIÓN.</w:t>
      </w:r>
      <w:r w:rsidRPr="007119F4">
        <w:rPr>
          <w:rFonts w:ascii="Palatino Linotype" w:eastAsia="Palatino Linotype" w:hAnsi="Palatino Linotype" w:cs="Palatino Linotype"/>
          <w:i/>
          <w:iCs/>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119F4">
        <w:rPr>
          <w:rFonts w:ascii="Palatino Linotype" w:eastAsia="Palatino Linotype" w:hAnsi="Palatino Linotype" w:cs="Palatino Linotype"/>
          <w:b/>
          <w:bCs/>
          <w:i/>
          <w:iCs/>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119F4">
        <w:rPr>
          <w:rFonts w:ascii="Palatino Linotype" w:eastAsia="Palatino Linotype" w:hAnsi="Palatino Linotype" w:cs="Palatino Linotype"/>
          <w:i/>
          <w:iCs/>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BB4F1E" w:rsidRPr="007119F4" w:rsidRDefault="00D16212">
      <w:pPr>
        <w:spacing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rsidR="00BB4F1E" w:rsidRPr="007119F4" w:rsidRDefault="00BB4F1E">
      <w:pPr>
        <w:spacing w:before="240" w:after="240" w:line="360" w:lineRule="auto"/>
        <w:jc w:val="both"/>
        <w:rPr>
          <w:rFonts w:ascii="Palatino Linotype" w:eastAsia="Palatino Linotype" w:hAnsi="Palatino Linotype" w:cs="Palatino Linotype"/>
          <w:sz w:val="22"/>
          <w:szCs w:val="22"/>
        </w:rPr>
      </w:pPr>
    </w:p>
    <w:p w:rsidR="00BB4F1E" w:rsidRPr="007119F4" w:rsidRDefault="00D16212">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R E S U E L V E:</w:t>
      </w:r>
    </w:p>
    <w:p w:rsidR="00BB4F1E" w:rsidRPr="007119F4" w:rsidRDefault="00D16212">
      <w:pPr>
        <w:spacing w:before="240" w:after="240"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 xml:space="preserve">Primero. </w:t>
      </w:r>
      <w:r w:rsidRPr="007119F4">
        <w:rPr>
          <w:rFonts w:ascii="Palatino Linotype" w:eastAsia="Palatino Linotype" w:hAnsi="Palatino Linotype" w:cs="Palatino Linotype"/>
          <w:sz w:val="22"/>
          <w:szCs w:val="22"/>
        </w:rPr>
        <w:t>Resultan</w:t>
      </w:r>
      <w:r w:rsidRPr="007119F4">
        <w:rPr>
          <w:rFonts w:ascii="Palatino Linotype" w:eastAsia="Palatino Linotype" w:hAnsi="Palatino Linotype" w:cs="Palatino Linotype"/>
          <w:b/>
          <w:bCs/>
          <w:sz w:val="22"/>
          <w:szCs w:val="22"/>
        </w:rPr>
        <w:t xml:space="preserve"> parcialmente fundados </w:t>
      </w:r>
      <w:r w:rsidRPr="007119F4">
        <w:rPr>
          <w:rFonts w:ascii="Palatino Linotype" w:eastAsia="Palatino Linotype" w:hAnsi="Palatino Linotype" w:cs="Palatino Linotype"/>
          <w:sz w:val="22"/>
          <w:szCs w:val="22"/>
        </w:rPr>
        <w:t xml:space="preserve">los motivos de inconformidad hechos valer por </w:t>
      </w:r>
      <w:r w:rsidRPr="007119F4">
        <w:rPr>
          <w:rFonts w:ascii="Palatino Linotype" w:eastAsia="Palatino Linotype" w:hAnsi="Palatino Linotype" w:cs="Palatino Linotype"/>
          <w:b/>
          <w:bCs/>
          <w:sz w:val="22"/>
          <w:szCs w:val="22"/>
        </w:rPr>
        <w:t>la parte Recurrente</w:t>
      </w:r>
      <w:r w:rsidRPr="007119F4">
        <w:rPr>
          <w:rFonts w:ascii="Palatino Linotype" w:eastAsia="Palatino Linotype" w:hAnsi="Palatino Linotype" w:cs="Palatino Linotype"/>
          <w:sz w:val="22"/>
          <w:szCs w:val="22"/>
        </w:rPr>
        <w:t xml:space="preserve"> en el Recurso de Revisión</w:t>
      </w:r>
      <w:r w:rsidRPr="007119F4">
        <w:rPr>
          <w:rFonts w:ascii="Palatino Linotype" w:eastAsia="Palatino Linotype" w:hAnsi="Palatino Linotype" w:cs="Palatino Linotype"/>
          <w:b/>
          <w:bCs/>
          <w:sz w:val="22"/>
          <w:szCs w:val="22"/>
        </w:rPr>
        <w:t xml:space="preserve"> 10919/INFOEM/IP/RR/2025, </w:t>
      </w:r>
      <w:r w:rsidRPr="007119F4">
        <w:rPr>
          <w:rFonts w:ascii="Palatino Linotype" w:eastAsia="Palatino Linotype" w:hAnsi="Palatino Linotype" w:cs="Palatino Linotype"/>
          <w:sz w:val="22"/>
          <w:szCs w:val="22"/>
        </w:rPr>
        <w:t>por lo que</w:t>
      </w:r>
      <w:r w:rsidRPr="007119F4">
        <w:rPr>
          <w:rFonts w:ascii="Palatino Linotype" w:eastAsia="Palatino Linotype" w:hAnsi="Palatino Linotype" w:cs="Palatino Linotype"/>
          <w:b/>
          <w:bCs/>
          <w:sz w:val="22"/>
          <w:szCs w:val="22"/>
        </w:rPr>
        <w:t xml:space="preserve">, en términos del Considerando Cuarto </w:t>
      </w:r>
      <w:r w:rsidRPr="007119F4">
        <w:rPr>
          <w:rFonts w:ascii="Palatino Linotype" w:eastAsia="Palatino Linotype" w:hAnsi="Palatino Linotype" w:cs="Palatino Linotype"/>
          <w:sz w:val="22"/>
          <w:szCs w:val="22"/>
        </w:rPr>
        <w:t>de la presente resolución</w:t>
      </w:r>
      <w:r w:rsidRPr="007119F4">
        <w:rPr>
          <w:rFonts w:ascii="Palatino Linotype" w:eastAsia="Palatino Linotype" w:hAnsi="Palatino Linotype" w:cs="Palatino Linotype"/>
          <w:b/>
          <w:bCs/>
          <w:sz w:val="22"/>
          <w:szCs w:val="22"/>
        </w:rPr>
        <w:t>, se REVOCA l</w:t>
      </w:r>
      <w:r w:rsidRPr="007119F4">
        <w:rPr>
          <w:rFonts w:ascii="Palatino Linotype" w:eastAsia="Palatino Linotype" w:hAnsi="Palatino Linotype" w:cs="Palatino Linotype"/>
          <w:sz w:val="22"/>
          <w:szCs w:val="22"/>
        </w:rPr>
        <w:t>a respuesta del</w:t>
      </w:r>
      <w:r w:rsidRPr="007119F4">
        <w:rPr>
          <w:rFonts w:ascii="Palatino Linotype" w:eastAsia="Palatino Linotype" w:hAnsi="Palatino Linotype" w:cs="Palatino Linotype"/>
          <w:b/>
          <w:bCs/>
          <w:sz w:val="22"/>
          <w:szCs w:val="22"/>
        </w:rPr>
        <w:t xml:space="preserve"> Sujeto Obligado.</w:t>
      </w:r>
    </w:p>
    <w:p w:rsidR="00BB4F1E" w:rsidRPr="007119F4" w:rsidRDefault="00D16212">
      <w:pPr>
        <w:spacing w:before="240" w:after="240" w:line="360" w:lineRule="auto"/>
        <w:jc w:val="both"/>
        <w:rPr>
          <w:rFonts w:ascii="Palatino Linotype" w:eastAsia="Palatino Linotype" w:hAnsi="Palatino Linotype" w:cs="Palatino Linotype"/>
          <w:b/>
          <w:bCs/>
          <w:sz w:val="22"/>
          <w:szCs w:val="22"/>
        </w:rPr>
      </w:pPr>
      <w:bookmarkStart w:id="3" w:name="_heading=h.j3ppyxwlb1s2" w:colFirst="0" w:colLast="0"/>
      <w:bookmarkEnd w:id="3"/>
      <w:r w:rsidRPr="007119F4">
        <w:rPr>
          <w:rFonts w:ascii="Palatino Linotype" w:eastAsia="Palatino Linotype" w:hAnsi="Palatino Linotype" w:cs="Palatino Linotype"/>
          <w:b/>
          <w:bCs/>
          <w:sz w:val="22"/>
          <w:szCs w:val="22"/>
        </w:rPr>
        <w:t xml:space="preserve">Segundo. Se Ordena al Sujeto Obligado </w:t>
      </w:r>
      <w:r w:rsidRPr="007119F4">
        <w:rPr>
          <w:rFonts w:ascii="Palatino Linotype" w:eastAsia="Palatino Linotype" w:hAnsi="Palatino Linotype" w:cs="Palatino Linotype"/>
          <w:sz w:val="22"/>
          <w:szCs w:val="22"/>
        </w:rPr>
        <w:t>que en términos de los</w:t>
      </w:r>
      <w:r w:rsidRPr="007119F4">
        <w:rPr>
          <w:rFonts w:ascii="Palatino Linotype" w:eastAsia="Palatino Linotype" w:hAnsi="Palatino Linotype" w:cs="Palatino Linotype"/>
          <w:b/>
          <w:bCs/>
          <w:sz w:val="22"/>
          <w:szCs w:val="22"/>
        </w:rPr>
        <w:t xml:space="preserve"> Considerandos Cuarto y Quinto </w:t>
      </w:r>
      <w:r w:rsidRPr="007119F4">
        <w:rPr>
          <w:rFonts w:ascii="Palatino Linotype" w:eastAsia="Palatino Linotype" w:hAnsi="Palatino Linotype" w:cs="Palatino Linotype"/>
          <w:sz w:val="22"/>
          <w:szCs w:val="22"/>
        </w:rPr>
        <w:t xml:space="preserve">de esta resolución, haga entrega a </w:t>
      </w:r>
      <w:r w:rsidRPr="007119F4">
        <w:rPr>
          <w:rFonts w:ascii="Palatino Linotype" w:eastAsia="Palatino Linotype" w:hAnsi="Palatino Linotype" w:cs="Palatino Linotype"/>
          <w:b/>
          <w:bCs/>
          <w:sz w:val="22"/>
          <w:szCs w:val="22"/>
        </w:rPr>
        <w:t xml:space="preserve">la parte Recurrente a través del SAIMEX, de ser el caso en versión pública, </w:t>
      </w:r>
      <w:r w:rsidRPr="007119F4">
        <w:rPr>
          <w:rFonts w:ascii="Palatino Linotype" w:eastAsia="Palatino Linotype" w:hAnsi="Palatino Linotype" w:cs="Palatino Linotype"/>
          <w:sz w:val="22"/>
          <w:szCs w:val="22"/>
        </w:rPr>
        <w:t>la siguiente información:</w:t>
      </w:r>
    </w:p>
    <w:p w:rsidR="00BB4F1E" w:rsidRPr="007119F4" w:rsidRDefault="00D1621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Constancia de envío y recepción de los informes trimestrales del primer y segundo trimestre de dos mil veinticinco;</w:t>
      </w:r>
    </w:p>
    <w:p w:rsidR="00BB4F1E" w:rsidRPr="007119F4" w:rsidRDefault="00D1621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119F4">
        <w:rPr>
          <w:rFonts w:ascii="Palatino Linotype" w:eastAsia="Palatino Linotype" w:hAnsi="Palatino Linotype" w:cs="Palatino Linotype"/>
          <w:b/>
          <w:bCs/>
          <w:sz w:val="22"/>
          <w:szCs w:val="22"/>
        </w:rPr>
        <w:t>Informes trimestrales enviados al OSFEM, del primer y segundo trimestre de dos mil veinticinco.</w:t>
      </w:r>
    </w:p>
    <w:p w:rsidR="00BB4F1E" w:rsidRPr="007119F4" w:rsidRDefault="00BB4F1E">
      <w:pPr>
        <w:pBdr>
          <w:top w:val="nil"/>
          <w:left w:val="nil"/>
          <w:bottom w:val="nil"/>
          <w:right w:val="nil"/>
          <w:between w:val="nil"/>
        </w:pBdr>
        <w:ind w:right="560"/>
        <w:jc w:val="both"/>
        <w:rPr>
          <w:rFonts w:ascii="Palatino Linotype" w:eastAsia="Palatino Linotype" w:hAnsi="Palatino Linotype" w:cs="Palatino Linotype"/>
          <w:i/>
          <w:iCs/>
          <w:sz w:val="22"/>
          <w:szCs w:val="22"/>
        </w:rPr>
      </w:pPr>
    </w:p>
    <w:p w:rsidR="00BB4F1E" w:rsidRPr="007119F4" w:rsidRDefault="00D16212">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7119F4">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Tercero.  Notifíquese vía SAIMEX, </w:t>
      </w:r>
      <w:r w:rsidRPr="007119F4">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B4F1E" w:rsidRPr="007119F4" w:rsidRDefault="00D16212">
      <w:pPr>
        <w:spacing w:before="240" w:after="240" w:line="360" w:lineRule="auto"/>
        <w:jc w:val="both"/>
        <w:rPr>
          <w:rFonts w:ascii="Palatino Linotype" w:eastAsia="Palatino Linotype" w:hAnsi="Palatino Linotype" w:cs="Palatino Linotype"/>
          <w:sz w:val="22"/>
          <w:szCs w:val="22"/>
        </w:rPr>
      </w:pPr>
      <w:r w:rsidRPr="007119F4">
        <w:rPr>
          <w:rFonts w:ascii="Palatino Linotype" w:eastAsia="Palatino Linotype" w:hAnsi="Palatino Linotype" w:cs="Palatino Linotype"/>
          <w:b/>
          <w:bCs/>
          <w:sz w:val="22"/>
          <w:szCs w:val="22"/>
        </w:rPr>
        <w:t xml:space="preserve">Cuarto. </w:t>
      </w:r>
      <w:r w:rsidRPr="007119F4">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119F4">
        <w:rPr>
          <w:rFonts w:ascii="Palatino Linotype" w:eastAsia="Palatino Linotype" w:hAnsi="Palatino Linotype" w:cs="Palatino Linotype"/>
          <w:b/>
          <w:bCs/>
          <w:sz w:val="22"/>
          <w:szCs w:val="22"/>
        </w:rPr>
        <w:t>Sujeto Obligado</w:t>
      </w:r>
      <w:r w:rsidRPr="007119F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BB4F1E" w:rsidRPr="007119F4" w:rsidRDefault="00D16212">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7119F4">
        <w:rPr>
          <w:rFonts w:ascii="Palatino Linotype" w:eastAsia="Palatino Linotype" w:hAnsi="Palatino Linotype" w:cs="Palatino Linotype"/>
          <w:b/>
          <w:bCs/>
          <w:sz w:val="22"/>
          <w:szCs w:val="22"/>
        </w:rPr>
        <w:t xml:space="preserve">Quinto. Notifíquese vía SAIMEX, </w:t>
      </w:r>
      <w:r w:rsidRPr="007119F4">
        <w:rPr>
          <w:rFonts w:ascii="Palatino Linotype" w:eastAsia="Palatino Linotype" w:hAnsi="Palatino Linotype" w:cs="Palatino Linotype"/>
          <w:sz w:val="22"/>
          <w:szCs w:val="22"/>
        </w:rPr>
        <w:t>a</w:t>
      </w:r>
      <w:r w:rsidRPr="007119F4">
        <w:rPr>
          <w:rFonts w:ascii="Palatino Linotype" w:eastAsia="Palatino Linotype" w:hAnsi="Palatino Linotype" w:cs="Palatino Linotype"/>
          <w:b/>
          <w:bCs/>
          <w:sz w:val="22"/>
          <w:szCs w:val="22"/>
        </w:rPr>
        <w:t xml:space="preserve"> la parte Recurrente</w:t>
      </w:r>
      <w:r w:rsidRPr="007119F4">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rsidR="00BB4F1E" w:rsidRPr="007119F4" w:rsidRDefault="00BB4F1E">
      <w:pPr>
        <w:spacing w:line="360" w:lineRule="auto"/>
        <w:jc w:val="both"/>
        <w:rPr>
          <w:rFonts w:ascii="Palatino Linotype" w:eastAsia="Palatino Linotype" w:hAnsi="Palatino Linotype" w:cs="Palatino Linotype"/>
          <w:b/>
          <w:bCs/>
          <w:sz w:val="22"/>
          <w:szCs w:val="22"/>
        </w:rPr>
      </w:pPr>
    </w:p>
    <w:p w:rsidR="00BB4F1E" w:rsidRPr="00D16212" w:rsidRDefault="00D16212">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7119F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CUADRAGÉSIMA TERCERA SESIÓN ORDINARIA CELEBRADA EL TRES DE DICIEMBRE DE DOS MIL VEINTICINCO, ANTE EL SECRETARIO TÉCNICO DEL PLENO ALEXIS TAPIA RAMÍREZ.</w:t>
      </w:r>
    </w:p>
    <w:p w:rsidR="00BB4F1E" w:rsidRPr="00D16212" w:rsidRDefault="00BB4F1E">
      <w:pPr>
        <w:spacing w:line="360" w:lineRule="auto"/>
        <w:ind w:right="-93"/>
        <w:jc w:val="both"/>
        <w:rPr>
          <w:rFonts w:ascii="Palatino Linotype" w:eastAsia="Palatino Linotype" w:hAnsi="Palatino Linotype" w:cs="Palatino Linotype"/>
          <w:sz w:val="22"/>
          <w:szCs w:val="22"/>
        </w:rPr>
      </w:pPr>
    </w:p>
    <w:p w:rsidR="00BB4F1E" w:rsidRPr="00D16212" w:rsidRDefault="00BB4F1E">
      <w:pPr>
        <w:spacing w:line="360" w:lineRule="auto"/>
        <w:ind w:right="-93"/>
        <w:jc w:val="both"/>
        <w:rPr>
          <w:rFonts w:ascii="Palatino Linotype" w:eastAsia="Palatino Linotype" w:hAnsi="Palatino Linotype" w:cs="Palatino Linotype"/>
          <w:sz w:val="22"/>
          <w:szCs w:val="22"/>
        </w:rPr>
      </w:pPr>
    </w:p>
    <w:p w:rsidR="00BB4F1E" w:rsidRPr="00D16212" w:rsidRDefault="00BB4F1E">
      <w:pPr>
        <w:spacing w:line="360" w:lineRule="auto"/>
        <w:ind w:right="-93"/>
        <w:jc w:val="both"/>
        <w:rPr>
          <w:rFonts w:ascii="Palatino Linotype" w:eastAsia="Palatino Linotype" w:hAnsi="Palatino Linotype" w:cs="Palatino Linotype"/>
          <w:sz w:val="22"/>
          <w:szCs w:val="22"/>
        </w:rPr>
      </w:pPr>
    </w:p>
    <w:p w:rsidR="00BB4F1E" w:rsidRPr="00D16212" w:rsidRDefault="00BB4F1E">
      <w:pPr>
        <w:spacing w:line="360" w:lineRule="auto"/>
        <w:ind w:right="-93"/>
        <w:jc w:val="both"/>
        <w:rPr>
          <w:rFonts w:ascii="Palatino Linotype" w:eastAsia="Palatino Linotype" w:hAnsi="Palatino Linotype" w:cs="Palatino Linotype"/>
          <w:sz w:val="22"/>
          <w:szCs w:val="22"/>
        </w:rPr>
      </w:pPr>
    </w:p>
    <w:p w:rsidR="00BB4F1E" w:rsidRPr="00D16212" w:rsidRDefault="00BB4F1E">
      <w:pPr>
        <w:spacing w:line="360" w:lineRule="auto"/>
        <w:ind w:right="-93"/>
        <w:jc w:val="both"/>
        <w:rPr>
          <w:rFonts w:ascii="Palatino Linotype" w:eastAsia="Palatino Linotype" w:hAnsi="Palatino Linotype" w:cs="Palatino Linotype"/>
          <w:sz w:val="22"/>
          <w:szCs w:val="22"/>
        </w:rPr>
      </w:pPr>
    </w:p>
    <w:p w:rsidR="00BB4F1E" w:rsidRPr="00D16212" w:rsidRDefault="00BB4F1E">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p w:rsidR="00D16212" w:rsidRPr="00D16212" w:rsidRDefault="00D16212">
      <w:pPr>
        <w:spacing w:line="360" w:lineRule="auto"/>
        <w:ind w:right="49"/>
        <w:jc w:val="both"/>
        <w:rPr>
          <w:rFonts w:ascii="Palatino Linotype" w:eastAsia="Palatino Linotype" w:hAnsi="Palatino Linotype" w:cs="Palatino Linotype"/>
          <w:sz w:val="22"/>
          <w:szCs w:val="22"/>
        </w:rPr>
      </w:pPr>
    </w:p>
    <w:sectPr w:rsidR="00D16212" w:rsidRPr="00D16212">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E76" w:rsidRDefault="00857E76">
      <w:r>
        <w:separator/>
      </w:r>
    </w:p>
  </w:endnote>
  <w:endnote w:type="continuationSeparator" w:id="0">
    <w:p w:rsidR="00857E76" w:rsidRDefault="0085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02C01DC4-5886-4B6C-AAAB-89F2F10BF9C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FE511E5-AA26-4804-86D3-5406BCB77042}"/>
    <w:embedBold r:id="rId3" w:fontKey="{DAD79F62-EB47-4B4C-9D15-152A764015CF}"/>
    <w:embedItalic r:id="rId4" w:fontKey="{E187128B-39FC-4653-8251-5667C0C6A1CC}"/>
  </w:font>
  <w:font w:name="Palatino Linotype">
    <w:panose1 w:val="02040502050505030304"/>
    <w:charset w:val="00"/>
    <w:family w:val="roman"/>
    <w:pitch w:val="variable"/>
    <w:sig w:usb0="E0000287" w:usb1="40000013" w:usb2="00000000" w:usb3="00000000" w:csb0="0000019F" w:csb1="00000000"/>
    <w:embedRegular r:id="rId5" w:fontKey="{F0F2F52D-5EBB-4ABB-B929-249F80CEC235}"/>
    <w:embedBold r:id="rId6" w:fontKey="{DC559A5E-550B-4CF7-97A9-FD82266755FF}"/>
    <w:embedItalic r:id="rId7" w:fontKey="{27A06251-C94E-4E2A-B2A5-AE871778EF61}"/>
    <w:embedBoldItalic r:id="rId8" w:fontKey="{C532D886-6D22-482E-A050-673A1CD56B80}"/>
  </w:font>
  <w:font w:name="Georgia">
    <w:panose1 w:val="02040502050405020303"/>
    <w:charset w:val="00"/>
    <w:family w:val="roman"/>
    <w:pitch w:val="variable"/>
    <w:sig w:usb0="00000287" w:usb1="00000000" w:usb2="00000000" w:usb3="00000000" w:csb0="0000009F" w:csb1="00000000"/>
    <w:embedItalic r:id="rId9" w:fontKey="{A568D44D-88C9-43E6-A99C-AB258D038ABC}"/>
  </w:font>
  <w:font w:name="Calibri Light">
    <w:panose1 w:val="020F0302020204030204"/>
    <w:charset w:val="00"/>
    <w:family w:val="swiss"/>
    <w:pitch w:val="variable"/>
    <w:sig w:usb0="E4002EFF" w:usb1="C200247B" w:usb2="00000009" w:usb3="00000000" w:csb0="000001FF" w:csb1="00000000"/>
    <w:embedRegular r:id="rId10" w:fontKey="{4A1B172E-FE18-4B4B-B4AD-D9580873B7A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1E" w:rsidRDefault="00D1621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6F58ED">
      <w:rPr>
        <w:b/>
        <w:bCs/>
        <w:noProof/>
        <w:color w:val="000000"/>
      </w:rPr>
      <w:t>2</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6F58ED">
      <w:rPr>
        <w:b/>
        <w:bCs/>
        <w:noProof/>
        <w:color w:val="000000"/>
      </w:rPr>
      <w:t>44</w:t>
    </w:r>
    <w:r>
      <w:rPr>
        <w:b/>
        <w:bCs/>
        <w:color w:val="000000"/>
      </w:rPr>
      <w:fldChar w:fldCharType="end"/>
    </w:r>
  </w:p>
  <w:p w:rsidR="00BB4F1E" w:rsidRDefault="00BB4F1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1E" w:rsidRDefault="00D1621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6F58ED">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6F58ED">
      <w:rPr>
        <w:b/>
        <w:bCs/>
        <w:noProof/>
        <w:color w:val="000000"/>
      </w:rPr>
      <w:t>44</w:t>
    </w:r>
    <w:r>
      <w:rPr>
        <w:b/>
        <w:bCs/>
        <w:color w:val="000000"/>
      </w:rPr>
      <w:fldChar w:fldCharType="end"/>
    </w:r>
  </w:p>
  <w:p w:rsidR="00BB4F1E" w:rsidRDefault="00BB4F1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E76" w:rsidRDefault="00857E76">
      <w:r>
        <w:separator/>
      </w:r>
    </w:p>
  </w:footnote>
  <w:footnote w:type="continuationSeparator" w:id="0">
    <w:p w:rsidR="00857E76" w:rsidRDefault="00857E76">
      <w:r>
        <w:continuationSeparator/>
      </w:r>
    </w:p>
  </w:footnote>
  <w:footnote w:id="1">
    <w:p w:rsidR="00BB4F1E" w:rsidRDefault="00D16212">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XX.308 K, </w:t>
      </w:r>
      <w:r>
        <w:rPr>
          <w:rFonts w:ascii="Palatino Linotype" w:eastAsia="Palatino Linotype" w:hAnsi="Palatino Linotype" w:cs="Palatino Linotype"/>
          <w:i/>
          <w:iCs/>
          <w:color w:val="000000"/>
          <w:sz w:val="16"/>
          <w:szCs w:val="16"/>
        </w:rPr>
        <w:t>Semanario Judicial de la Federación</w:t>
      </w:r>
      <w:r>
        <w:rPr>
          <w:rFonts w:ascii="Palatino Linotype" w:eastAsia="Palatino Linotype" w:hAnsi="Palatino Linotype" w:cs="Palatino Linotype"/>
          <w:color w:val="000000"/>
          <w:sz w:val="16"/>
          <w:szCs w:val="16"/>
        </w:rPr>
        <w:t>, Octava Época, tomo XV-1, febrero de 1995, pág. 138.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1E" w:rsidRDefault="00D16212">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-401952</wp:posOffset>
          </wp:positionV>
          <wp:extent cx="7809876" cy="10165823"/>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BB4F1E">
      <w:tc>
        <w:tcPr>
          <w:tcW w:w="2551"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rsidR="00BB4F1E" w:rsidRDefault="00BB4F1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10919/INFOEM/IP/RR/2025</w:t>
          </w:r>
        </w:p>
      </w:tc>
    </w:tr>
    <w:tr w:rsidR="00BB4F1E">
      <w:trPr>
        <w:trHeight w:val="217"/>
      </w:trPr>
      <w:tc>
        <w:tcPr>
          <w:tcW w:w="2551"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rsidR="00BB4F1E" w:rsidRDefault="00D16212">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Almoloya de Juárez</w:t>
          </w:r>
        </w:p>
      </w:tc>
    </w:tr>
    <w:tr w:rsidR="00BB4F1E">
      <w:tc>
        <w:tcPr>
          <w:tcW w:w="2551"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rsidR="00BB4F1E" w:rsidRDefault="00BB4F1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F1E" w:rsidRDefault="00D16212">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simplePos x="0" y="0"/>
          <wp:positionH relativeFrom="column">
            <wp:posOffset>-929003</wp:posOffset>
          </wp:positionH>
          <wp:positionV relativeFrom="paragraph">
            <wp:posOffset>-644523</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BB4F1E">
      <w:tc>
        <w:tcPr>
          <w:tcW w:w="2343"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rsidR="00BB4F1E" w:rsidRDefault="00BB4F1E">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10919/INFOEM/IP/RR/2025</w:t>
          </w:r>
        </w:p>
      </w:tc>
    </w:tr>
    <w:tr w:rsidR="00BB4F1E">
      <w:tc>
        <w:tcPr>
          <w:tcW w:w="2343"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rsidR="00BB4F1E" w:rsidRDefault="006F58ED" w:rsidP="006F58E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XXXXX XX X XXX XXXXXX XXXXXXX </w:t>
          </w:r>
        </w:p>
      </w:tc>
    </w:tr>
    <w:tr w:rsidR="00BB4F1E">
      <w:trPr>
        <w:trHeight w:val="152"/>
      </w:trPr>
      <w:tc>
        <w:tcPr>
          <w:tcW w:w="2343" w:type="dxa"/>
          <w:vAlign w:val="center"/>
        </w:tcPr>
        <w:p w:rsidR="00BB4F1E" w:rsidRDefault="00D16212">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rsidR="00BB4F1E" w:rsidRDefault="00BB4F1E">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rsidR="00BB4F1E" w:rsidRDefault="00D1621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Almoloya de Juárez</w:t>
          </w:r>
        </w:p>
      </w:tc>
    </w:tr>
    <w:tr w:rsidR="00BB4F1E">
      <w:tc>
        <w:tcPr>
          <w:tcW w:w="2343"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rsidR="00BB4F1E" w:rsidRDefault="00D1621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rsidR="00BB4F1E" w:rsidRDefault="00D16212">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4A8"/>
    <w:multiLevelType w:val="multilevel"/>
    <w:tmpl w:val="ED6A8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B1C60"/>
    <w:multiLevelType w:val="multilevel"/>
    <w:tmpl w:val="6C2C5B8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4B3B10"/>
    <w:multiLevelType w:val="multilevel"/>
    <w:tmpl w:val="2A28A22C"/>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9A3B91"/>
    <w:multiLevelType w:val="multilevel"/>
    <w:tmpl w:val="EED86FA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BB0002"/>
    <w:multiLevelType w:val="multilevel"/>
    <w:tmpl w:val="D174F82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290587"/>
    <w:multiLevelType w:val="multilevel"/>
    <w:tmpl w:val="9C388B7A"/>
    <w:lvl w:ilvl="0">
      <w:start w:val="1"/>
      <w:numFmt w:val="bullet"/>
      <w:lvlText w:val="⮚"/>
      <w:lvlJc w:val="left"/>
      <w:pPr>
        <w:ind w:left="1440" w:hanging="360"/>
      </w:pPr>
      <w:rPr>
        <w:rFonts w:ascii="Noto Sans Symbols" w:eastAsia="Noto Sans Symbols" w:hAnsi="Noto Sans Symbols" w:cs="Noto Sans Symbols"/>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727D69B0"/>
    <w:multiLevelType w:val="multilevel"/>
    <w:tmpl w:val="81263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50372A"/>
    <w:multiLevelType w:val="multilevel"/>
    <w:tmpl w:val="FF42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5"/>
  </w:num>
  <w:num w:numId="4">
    <w:abstractNumId w:val="2"/>
  </w:num>
  <w:num w:numId="5">
    <w:abstractNumId w:val="7"/>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F1E"/>
    <w:rsid w:val="000873DA"/>
    <w:rsid w:val="006F58ED"/>
    <w:rsid w:val="007119F4"/>
    <w:rsid w:val="00857E76"/>
    <w:rsid w:val="00BB4F1E"/>
    <w:rsid w:val="00D162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CEC86"/>
  <w15:docId w15:val="{D8204278-2899-4689-ABD1-05EE310A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KwcV9ciRb07zndYs4mTcwj27LA==">CgMxLjAyDmguN3U3ZzF5czNyaHB0MgloLjN6bnlzaDcyDmguajNwcHl4d2xiMXMyMghoLnR5amN3dDINaC5qbDBkbGFzb3Q0ZjgAciExQVNyRmJ4OWRBbVROSXBrWDJ6S3hWOF9BdzlEazE4SzU=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11768</Words>
  <Characters>64729</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2025-12-05T17:43:00Z</cp:lastPrinted>
  <dcterms:created xsi:type="dcterms:W3CDTF">2026-01-16T19:48:00Z</dcterms:created>
  <dcterms:modified xsi:type="dcterms:W3CDTF">2026-01-16T19:48:00Z</dcterms:modified>
</cp:coreProperties>
</file>