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1A" w:rsidRPr="00E5368A" w:rsidRDefault="00791C1A" w:rsidP="00791C1A">
      <w:pPr>
        <w:tabs>
          <w:tab w:val="left" w:pos="3465"/>
        </w:tabs>
        <w:spacing w:line="360" w:lineRule="auto"/>
        <w:jc w:val="both"/>
        <w:rPr>
          <w:rFonts w:ascii="Palatino Linotype" w:hAnsi="Palatino Linotype"/>
          <w:b/>
          <w:sz w:val="24"/>
          <w:szCs w:val="24"/>
        </w:rPr>
      </w:pPr>
      <w:r w:rsidRPr="00E5368A">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6A623E" w:rsidRPr="00E5368A">
        <w:rPr>
          <w:rFonts w:ascii="Palatino Linotype" w:hAnsi="Palatino Linotype"/>
          <w:b/>
          <w:sz w:val="24"/>
          <w:szCs w:val="24"/>
        </w:rPr>
        <w:t>veintidós de enero de dos mil veinticinco.</w:t>
      </w:r>
    </w:p>
    <w:p w:rsidR="00791C1A" w:rsidRPr="00E5368A" w:rsidRDefault="00791C1A" w:rsidP="00791C1A">
      <w:pPr>
        <w:spacing w:line="360" w:lineRule="auto"/>
        <w:jc w:val="both"/>
        <w:rPr>
          <w:rFonts w:ascii="Palatino Linotype" w:hAnsi="Palatino Linotype"/>
          <w:b/>
          <w:bCs/>
          <w:sz w:val="24"/>
          <w:szCs w:val="24"/>
        </w:rPr>
      </w:pPr>
      <w:r w:rsidRPr="00E5368A">
        <w:rPr>
          <w:rFonts w:ascii="Palatino Linotype" w:hAnsi="Palatino Linotype"/>
          <w:b/>
          <w:sz w:val="24"/>
          <w:szCs w:val="24"/>
        </w:rPr>
        <w:t>VISTO</w:t>
      </w:r>
      <w:r w:rsidRPr="00E5368A">
        <w:rPr>
          <w:rFonts w:ascii="Palatino Linotype" w:hAnsi="Palatino Linotype"/>
          <w:sz w:val="24"/>
          <w:szCs w:val="24"/>
        </w:rPr>
        <w:t xml:space="preserve"> el expediente electrónico formado con motivo del recurso de revisión </w:t>
      </w:r>
      <w:r w:rsidR="00382576" w:rsidRPr="00E5368A">
        <w:rPr>
          <w:rFonts w:ascii="Palatino Linotype" w:hAnsi="Palatino Linotype"/>
          <w:b/>
          <w:bCs/>
          <w:sz w:val="24"/>
          <w:szCs w:val="24"/>
        </w:rPr>
        <w:t xml:space="preserve"> </w:t>
      </w:r>
      <w:r w:rsidR="006A623E" w:rsidRPr="00E5368A">
        <w:rPr>
          <w:rFonts w:ascii="Palatino Linotype" w:hAnsi="Palatino Linotype"/>
          <w:b/>
          <w:bCs/>
          <w:sz w:val="24"/>
          <w:szCs w:val="24"/>
        </w:rPr>
        <w:t>01448/INFOEM/IP/RR/2024</w:t>
      </w:r>
      <w:r w:rsidRPr="00E5368A">
        <w:rPr>
          <w:rFonts w:ascii="Palatino Linotype" w:hAnsi="Palatino Linotype"/>
          <w:sz w:val="24"/>
          <w:szCs w:val="24"/>
        </w:rPr>
        <w:t>,</w:t>
      </w:r>
      <w:r w:rsidRPr="00E5368A">
        <w:rPr>
          <w:rFonts w:ascii="Palatino Linotype" w:hAnsi="Palatino Linotype" w:cs="Arial"/>
          <w:b/>
          <w:bCs/>
          <w:sz w:val="24"/>
          <w:szCs w:val="24"/>
        </w:rPr>
        <w:t xml:space="preserve"> </w:t>
      </w:r>
      <w:r w:rsidRPr="00E5368A">
        <w:rPr>
          <w:rFonts w:ascii="Palatino Linotype" w:hAnsi="Palatino Linotype"/>
          <w:sz w:val="24"/>
          <w:szCs w:val="24"/>
        </w:rPr>
        <w:t>promovido por</w:t>
      </w:r>
      <w:r w:rsidR="006A623E" w:rsidRPr="00E5368A">
        <w:rPr>
          <w:rFonts w:ascii="Palatino Linotype" w:hAnsi="Palatino Linotype"/>
          <w:b/>
          <w:bCs/>
          <w:sz w:val="24"/>
          <w:szCs w:val="24"/>
        </w:rPr>
        <w:t xml:space="preserve"> </w:t>
      </w:r>
      <w:r w:rsidR="00E5368A" w:rsidRPr="00E5368A">
        <w:rPr>
          <w:rFonts w:ascii="Palatino Linotype" w:hAnsi="Palatino Linotype"/>
          <w:b/>
          <w:bCs/>
          <w:sz w:val="24"/>
          <w:szCs w:val="24"/>
        </w:rPr>
        <w:t>XXXXXXXXXXX</w:t>
      </w:r>
      <w:r w:rsidR="008019FA" w:rsidRPr="00E5368A">
        <w:rPr>
          <w:rFonts w:ascii="Palatino Linotype" w:hAnsi="Palatino Linotype"/>
          <w:b/>
          <w:bCs/>
          <w:sz w:val="24"/>
          <w:szCs w:val="24"/>
        </w:rPr>
        <w:t xml:space="preserve">, </w:t>
      </w:r>
      <w:r w:rsidR="008019FA" w:rsidRPr="00E5368A">
        <w:rPr>
          <w:rFonts w:ascii="Palatino Linotype" w:hAnsi="Palatino Linotype"/>
          <w:bCs/>
          <w:sz w:val="24"/>
          <w:szCs w:val="24"/>
        </w:rPr>
        <w:t>y</w:t>
      </w:r>
      <w:r w:rsidRPr="00E5368A">
        <w:rPr>
          <w:rFonts w:ascii="Palatino Linotype" w:hAnsi="Palatino Linotype"/>
          <w:sz w:val="24"/>
          <w:szCs w:val="24"/>
        </w:rPr>
        <w:t xml:space="preserve"> a quien en lo sucesivo se le identificará como </w:t>
      </w:r>
      <w:r w:rsidRPr="00E5368A">
        <w:rPr>
          <w:rFonts w:ascii="Palatino Linotype" w:hAnsi="Palatino Linotype"/>
          <w:b/>
          <w:sz w:val="24"/>
          <w:szCs w:val="24"/>
        </w:rPr>
        <w:t>EL RECURRENTE</w:t>
      </w:r>
      <w:r w:rsidRPr="00E5368A">
        <w:rPr>
          <w:rFonts w:ascii="Palatino Linotype" w:hAnsi="Palatino Linotype" w:cs="Arial"/>
          <w:sz w:val="24"/>
          <w:szCs w:val="24"/>
        </w:rPr>
        <w:t xml:space="preserve">, en contra de la respuesta del </w:t>
      </w:r>
      <w:r w:rsidR="006A623E" w:rsidRPr="00E5368A">
        <w:rPr>
          <w:rFonts w:ascii="Palatino Linotype" w:hAnsi="Palatino Linotype" w:cs="Arial"/>
          <w:b/>
          <w:bCs/>
          <w:sz w:val="24"/>
          <w:szCs w:val="24"/>
        </w:rPr>
        <w:t>Poder Legislativo</w:t>
      </w:r>
      <w:r w:rsidRPr="00E5368A">
        <w:rPr>
          <w:rFonts w:ascii="Palatino Linotype" w:hAnsi="Palatino Linotype" w:cs="Arial"/>
          <w:b/>
          <w:sz w:val="24"/>
          <w:szCs w:val="24"/>
        </w:rPr>
        <w:t>,</w:t>
      </w:r>
      <w:r w:rsidRPr="00E5368A">
        <w:rPr>
          <w:rFonts w:ascii="Palatino Linotype" w:hAnsi="Palatino Linotype"/>
          <w:b/>
          <w:sz w:val="24"/>
          <w:szCs w:val="24"/>
        </w:rPr>
        <w:t xml:space="preserve"> </w:t>
      </w:r>
      <w:r w:rsidRPr="00E5368A">
        <w:rPr>
          <w:rFonts w:ascii="Palatino Linotype" w:hAnsi="Palatino Linotype"/>
          <w:sz w:val="24"/>
          <w:szCs w:val="24"/>
        </w:rPr>
        <w:t>en lo sucesivo el</w:t>
      </w:r>
      <w:r w:rsidRPr="00E5368A">
        <w:rPr>
          <w:rFonts w:ascii="Palatino Linotype" w:hAnsi="Palatino Linotype"/>
          <w:b/>
          <w:sz w:val="24"/>
          <w:szCs w:val="24"/>
        </w:rPr>
        <w:t xml:space="preserve"> SUJETO OBLIGADO</w:t>
      </w:r>
      <w:r w:rsidRPr="00E5368A">
        <w:rPr>
          <w:rFonts w:ascii="Palatino Linotype" w:hAnsi="Palatino Linotype"/>
          <w:sz w:val="24"/>
          <w:szCs w:val="24"/>
        </w:rPr>
        <w:t>, se procede a dictar la presente resolución, con base en los siguientes:</w:t>
      </w:r>
    </w:p>
    <w:p w:rsidR="00791C1A" w:rsidRPr="00E5368A" w:rsidRDefault="00791C1A" w:rsidP="00791C1A">
      <w:pPr>
        <w:spacing w:line="360" w:lineRule="auto"/>
        <w:jc w:val="both"/>
        <w:rPr>
          <w:rFonts w:ascii="Palatino Linotype" w:hAnsi="Palatino Linotype"/>
          <w:b/>
          <w:sz w:val="24"/>
          <w:szCs w:val="24"/>
        </w:rPr>
      </w:pPr>
    </w:p>
    <w:p w:rsidR="00791C1A" w:rsidRPr="00E5368A" w:rsidRDefault="00791C1A" w:rsidP="00791C1A">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E5368A">
        <w:rPr>
          <w:rFonts w:ascii="Palatino Linotype" w:hAnsi="Palatino Linotype"/>
          <w:b/>
          <w:color w:val="000000" w:themeColor="text1"/>
          <w:sz w:val="24"/>
          <w:szCs w:val="24"/>
        </w:rPr>
        <w:t>ANTECEDENTES</w:t>
      </w:r>
      <w:bookmarkEnd w:id="0"/>
      <w:bookmarkEnd w:id="1"/>
      <w:bookmarkEnd w:id="2"/>
    </w:p>
    <w:p w:rsidR="00791C1A" w:rsidRPr="00E5368A" w:rsidRDefault="009A3CA9" w:rsidP="009A3CA9">
      <w:pPr>
        <w:pStyle w:val="Ttulo1"/>
        <w:spacing w:before="0" w:line="360" w:lineRule="auto"/>
        <w:jc w:val="center"/>
        <w:rPr>
          <w:rFonts w:ascii="Palatino Linotype" w:hAnsi="Palatino Linotype"/>
          <w:b/>
          <w:color w:val="auto"/>
          <w:sz w:val="24"/>
          <w:szCs w:val="24"/>
        </w:rPr>
      </w:pPr>
      <w:r w:rsidRPr="00E5368A">
        <w:rPr>
          <w:rFonts w:ascii="Palatino Linotype" w:hAnsi="Palatino Linotype"/>
          <w:b/>
          <w:color w:val="auto"/>
          <w:sz w:val="24"/>
          <w:szCs w:val="24"/>
        </w:rPr>
        <w:t>SOLICITUD</w:t>
      </w:r>
    </w:p>
    <w:p w:rsidR="00791C1A" w:rsidRPr="00E5368A" w:rsidRDefault="00791C1A" w:rsidP="006A623E">
      <w:pPr>
        <w:pStyle w:val="Prrafodelista"/>
        <w:numPr>
          <w:ilvl w:val="0"/>
          <w:numId w:val="1"/>
        </w:numPr>
        <w:spacing w:line="360" w:lineRule="auto"/>
        <w:ind w:left="0" w:firstLine="0"/>
        <w:jc w:val="both"/>
        <w:rPr>
          <w:rFonts w:ascii="Palatino Linotype" w:eastAsia="Calibri" w:hAnsi="Palatino Linotype" w:cs="Arial"/>
          <w:lang w:val="es-ES"/>
        </w:rPr>
      </w:pPr>
      <w:r w:rsidRPr="00E5368A">
        <w:rPr>
          <w:rFonts w:ascii="Palatino Linotype" w:eastAsia="Calibri" w:hAnsi="Palatino Linotype" w:cs="Arial"/>
          <w:lang w:val="es-ES"/>
        </w:rPr>
        <w:t>El</w:t>
      </w:r>
      <w:r w:rsidR="008D7B1F" w:rsidRPr="00E5368A">
        <w:rPr>
          <w:rFonts w:ascii="Palatino Linotype" w:eastAsia="Calibri" w:hAnsi="Palatino Linotype" w:cs="Arial"/>
          <w:b/>
          <w:lang w:val="es-ES"/>
        </w:rPr>
        <w:t xml:space="preserve"> </w:t>
      </w:r>
      <w:r w:rsidR="006A623E" w:rsidRPr="00E5368A">
        <w:rPr>
          <w:rFonts w:ascii="Palatino Linotype" w:eastAsia="Calibri" w:hAnsi="Palatino Linotype" w:cs="Arial"/>
          <w:b/>
          <w:lang w:val="es-ES"/>
        </w:rPr>
        <w:t>nueve de febrero</w:t>
      </w:r>
      <w:r w:rsidR="008019FA" w:rsidRPr="00E5368A">
        <w:rPr>
          <w:rFonts w:ascii="Palatino Linotype" w:eastAsia="Calibri" w:hAnsi="Palatino Linotype" w:cs="Arial"/>
          <w:b/>
          <w:lang w:val="es-ES"/>
        </w:rPr>
        <w:t xml:space="preserve"> de dos mil veinticuatro</w:t>
      </w:r>
      <w:r w:rsidRPr="00E5368A">
        <w:rPr>
          <w:rFonts w:ascii="Palatino Linotype" w:hAnsi="Palatino Linotype"/>
          <w:b/>
        </w:rPr>
        <w:t xml:space="preserve">, </w:t>
      </w:r>
      <w:r w:rsidRPr="00E5368A">
        <w:rPr>
          <w:rFonts w:ascii="Palatino Linotype" w:eastAsia="Calibri" w:hAnsi="Palatino Linotype" w:cs="Arial"/>
          <w:lang w:val="es-ES"/>
        </w:rPr>
        <w:t xml:space="preserve">se presentó ante el </w:t>
      </w:r>
      <w:r w:rsidRPr="00E5368A">
        <w:rPr>
          <w:rFonts w:ascii="Palatino Linotype" w:eastAsia="Calibri" w:hAnsi="Palatino Linotype" w:cs="Arial"/>
          <w:b/>
          <w:lang w:val="es-ES"/>
        </w:rPr>
        <w:t>SUJETO OBLIGADO</w:t>
      </w:r>
      <w:r w:rsidRPr="00E5368A">
        <w:rPr>
          <w:rFonts w:ascii="Palatino Linotype" w:eastAsia="Calibri" w:hAnsi="Palatino Linotype" w:cs="Arial"/>
        </w:rPr>
        <w:t xml:space="preserve"> </w:t>
      </w:r>
      <w:r w:rsidR="005E02A4" w:rsidRPr="00E5368A">
        <w:rPr>
          <w:rFonts w:ascii="Palatino Linotype" w:eastAsia="Calibri" w:hAnsi="Palatino Linotype" w:cs="Arial"/>
          <w:lang w:val="es-MX"/>
        </w:rPr>
        <w:t>a trav</w:t>
      </w:r>
      <w:r w:rsidR="008019FA" w:rsidRPr="00E5368A">
        <w:rPr>
          <w:rFonts w:ascii="Palatino Linotype" w:eastAsia="Calibri" w:hAnsi="Palatino Linotype" w:cs="Arial"/>
          <w:lang w:val="es-MX"/>
        </w:rPr>
        <w:t>és del SAIMEX</w:t>
      </w:r>
      <w:r w:rsidRPr="00E5368A">
        <w:rPr>
          <w:rFonts w:ascii="Palatino Linotype" w:eastAsia="Calibri" w:hAnsi="Palatino Linotype" w:cs="Arial"/>
          <w:lang w:val="es-ES"/>
        </w:rPr>
        <w:t>, la solicitud de información pública registrada con el número</w:t>
      </w:r>
      <w:r w:rsidR="00382576" w:rsidRPr="00E5368A">
        <w:rPr>
          <w:rFonts w:ascii="Palatino Linotype" w:hAnsi="Palatino Linotype"/>
          <w:b/>
          <w:bCs/>
          <w:color w:val="000000" w:themeColor="text1"/>
        </w:rPr>
        <w:t xml:space="preserve"> </w:t>
      </w:r>
      <w:r w:rsidR="006A623E" w:rsidRPr="00E5368A">
        <w:rPr>
          <w:rFonts w:ascii="Palatino Linotype" w:hAnsi="Palatino Linotype"/>
          <w:b/>
          <w:bCs/>
          <w:color w:val="000000" w:themeColor="text1"/>
          <w:lang w:val="es-MX"/>
        </w:rPr>
        <w:t> 00069/PLEGISLA/IP/2024</w:t>
      </w:r>
      <w:r w:rsidRPr="00E5368A">
        <w:rPr>
          <w:rFonts w:ascii="Palatino Linotype" w:hAnsi="Palatino Linotype"/>
          <w:b/>
          <w:bCs/>
          <w:color w:val="000000" w:themeColor="text1"/>
        </w:rPr>
        <w:t xml:space="preserve">; </w:t>
      </w:r>
      <w:r w:rsidRPr="00E5368A">
        <w:rPr>
          <w:rFonts w:ascii="Palatino Linotype" w:eastAsia="Calibri" w:hAnsi="Palatino Linotype" w:cs="Arial"/>
          <w:lang w:val="es-ES"/>
        </w:rPr>
        <w:t>mediante la cual se solicitó la siguiente información:</w:t>
      </w:r>
    </w:p>
    <w:p w:rsidR="008D7B1F" w:rsidRPr="00E5368A" w:rsidRDefault="008D7B1F" w:rsidP="008D7B1F">
      <w:pPr>
        <w:pStyle w:val="Prrafodelista"/>
        <w:spacing w:line="360" w:lineRule="auto"/>
        <w:ind w:left="0"/>
        <w:jc w:val="both"/>
        <w:rPr>
          <w:rFonts w:ascii="Palatino Linotype" w:eastAsia="Calibri" w:hAnsi="Palatino Linotype" w:cs="Arial"/>
          <w:lang w:val="es-ES"/>
        </w:rPr>
      </w:pPr>
    </w:p>
    <w:p w:rsidR="00791C1A" w:rsidRPr="00E5368A" w:rsidRDefault="00791C1A" w:rsidP="00382576">
      <w:pPr>
        <w:pStyle w:val="Prrafodelista"/>
        <w:spacing w:line="360" w:lineRule="auto"/>
        <w:ind w:left="426" w:right="476"/>
        <w:jc w:val="both"/>
        <w:rPr>
          <w:rFonts w:ascii="Palatino Linotype" w:hAnsi="Palatino Linotype"/>
          <w:i/>
          <w:lang w:val="es-MX"/>
        </w:rPr>
      </w:pPr>
      <w:r w:rsidRPr="00E5368A">
        <w:rPr>
          <w:rFonts w:ascii="Palatino Linotype" w:hAnsi="Palatino Linotype"/>
          <w:i/>
        </w:rPr>
        <w:t>“</w:t>
      </w:r>
      <w:r w:rsidR="00382576" w:rsidRPr="00E5368A">
        <w:rPr>
          <w:rFonts w:ascii="Palatino Linotype" w:hAnsi="Palatino Linotype"/>
          <w:i/>
          <w:lang w:val="es-MX"/>
        </w:rPr>
        <w:tab/>
      </w:r>
      <w:r w:rsidR="006A623E" w:rsidRPr="00E5368A">
        <w:rPr>
          <w:rFonts w:ascii="Palatino Linotype" w:hAnsi="Palatino Linotype"/>
          <w:i/>
          <w:lang w:val="es-MX"/>
        </w:rPr>
        <w:t xml:space="preserve">De conformidad a la respuesta a la solicitud de información 00033/PLEGISLA/IP/2024 de fecha nueve de febrero del año en curso. Dónde me informa que la comisión de límites territoriales se declara incompetente, de conocer los diferendos limitrofes del Municipio de Teoloyucan. 1.- Solicito me proporcione los acuerdos de fecha diecisiete de octubre de dos mil veintitrés dónde la Legislatura del Estado se declaró incompetente de seguir conociendo los diferendos limitrofes </w:t>
      </w:r>
      <w:r w:rsidR="006A623E" w:rsidRPr="00E5368A">
        <w:rPr>
          <w:rFonts w:ascii="Palatino Linotype" w:hAnsi="Palatino Linotype"/>
          <w:i/>
          <w:lang w:val="es-MX"/>
        </w:rPr>
        <w:lastRenderedPageBreak/>
        <w:t xml:space="preserve">del Municipio de Teoloyucan. 2.-Todos los documentos anexos de lo solicitado. Por su atención, gracias. </w:t>
      </w:r>
      <w:r w:rsidR="008019FA" w:rsidRPr="00E5368A">
        <w:rPr>
          <w:rFonts w:ascii="Palatino Linotype" w:hAnsi="Palatino Linotype"/>
          <w:i/>
          <w:lang w:val="es-MX"/>
        </w:rPr>
        <w:t>“</w:t>
      </w:r>
      <w:r w:rsidR="00FA172A" w:rsidRPr="00E5368A">
        <w:rPr>
          <w:rFonts w:ascii="Palatino Linotype" w:hAnsi="Palatino Linotype"/>
          <w:i/>
        </w:rPr>
        <w:t>(Sic)</w:t>
      </w:r>
    </w:p>
    <w:p w:rsidR="00791C1A" w:rsidRPr="00E5368A" w:rsidRDefault="00791C1A" w:rsidP="00791C1A">
      <w:pPr>
        <w:pStyle w:val="Prrafodelista"/>
        <w:spacing w:line="360" w:lineRule="auto"/>
        <w:ind w:left="851" w:right="34"/>
        <w:jc w:val="both"/>
        <w:rPr>
          <w:rFonts w:ascii="Palatino Linotype" w:hAnsi="Palatino Linotype"/>
        </w:rPr>
      </w:pPr>
    </w:p>
    <w:p w:rsidR="00791C1A" w:rsidRPr="00E5368A" w:rsidRDefault="00791C1A" w:rsidP="00791C1A">
      <w:pPr>
        <w:pStyle w:val="Prrafodelista"/>
        <w:numPr>
          <w:ilvl w:val="0"/>
          <w:numId w:val="2"/>
        </w:numPr>
        <w:spacing w:line="360" w:lineRule="auto"/>
        <w:ind w:left="851" w:right="474"/>
        <w:jc w:val="both"/>
        <w:rPr>
          <w:rFonts w:ascii="Palatino Linotype" w:hAnsi="Palatino Linotype"/>
        </w:rPr>
      </w:pPr>
      <w:r w:rsidRPr="00E5368A">
        <w:rPr>
          <w:rFonts w:ascii="Palatino Linotype" w:eastAsia="Times New Roman" w:hAnsi="Palatino Linotype" w:cs="Arial"/>
          <w:lang w:val="es-ES"/>
        </w:rPr>
        <w:t>Se eligió como modalidad de entrega de la información</w:t>
      </w:r>
      <w:r w:rsidRPr="00E5368A">
        <w:rPr>
          <w:rFonts w:ascii="Palatino Linotype" w:hAnsi="Palatino Linotype"/>
        </w:rPr>
        <w:t xml:space="preserve">: A través del </w:t>
      </w:r>
      <w:r w:rsidRPr="00E5368A">
        <w:rPr>
          <w:rFonts w:ascii="Palatino Linotype" w:hAnsi="Palatino Linotype"/>
          <w:b/>
        </w:rPr>
        <w:t>SAIMEX.</w:t>
      </w:r>
    </w:p>
    <w:p w:rsidR="009A3CA9" w:rsidRPr="00E5368A" w:rsidRDefault="009A3CA9" w:rsidP="009A3CA9">
      <w:pPr>
        <w:pStyle w:val="Prrafodelista"/>
        <w:spacing w:line="360" w:lineRule="auto"/>
        <w:ind w:left="851" w:right="474"/>
        <w:jc w:val="both"/>
        <w:rPr>
          <w:rFonts w:ascii="Palatino Linotype" w:hAnsi="Palatino Linotype"/>
        </w:rPr>
      </w:pPr>
    </w:p>
    <w:p w:rsidR="00382576" w:rsidRPr="00E5368A" w:rsidRDefault="00382576" w:rsidP="009A3CA9">
      <w:pPr>
        <w:pStyle w:val="Ttulo1"/>
        <w:spacing w:before="0" w:line="360" w:lineRule="auto"/>
        <w:jc w:val="center"/>
        <w:rPr>
          <w:rFonts w:ascii="Palatino Linotype" w:hAnsi="Palatino Linotype" w:cs="Arial"/>
          <w:b/>
          <w:color w:val="000000" w:themeColor="text1"/>
          <w:sz w:val="24"/>
          <w:szCs w:val="24"/>
        </w:rPr>
      </w:pPr>
      <w:r w:rsidRPr="00E5368A">
        <w:rPr>
          <w:rFonts w:ascii="Palatino Linotype" w:hAnsi="Palatino Linotype" w:cs="Arial"/>
          <w:b/>
          <w:color w:val="000000" w:themeColor="text1"/>
          <w:sz w:val="24"/>
          <w:szCs w:val="24"/>
        </w:rPr>
        <w:t>RESPUESTA</w:t>
      </w:r>
    </w:p>
    <w:p w:rsidR="00382576" w:rsidRPr="00E5368A" w:rsidRDefault="00382576" w:rsidP="00382576">
      <w:pPr>
        <w:pStyle w:val="Prrafodelista"/>
        <w:numPr>
          <w:ilvl w:val="0"/>
          <w:numId w:val="1"/>
        </w:numPr>
        <w:spacing w:line="360" w:lineRule="auto"/>
        <w:ind w:left="0" w:firstLine="0"/>
        <w:jc w:val="both"/>
        <w:rPr>
          <w:rFonts w:ascii="Palatino Linotype" w:eastAsia="Calibri" w:hAnsi="Palatino Linotype" w:cs="Arial"/>
          <w:lang w:val="es-ES"/>
        </w:rPr>
      </w:pPr>
      <w:r w:rsidRPr="00E5368A">
        <w:rPr>
          <w:rFonts w:ascii="Palatino Linotype" w:eastAsia="Calibri" w:hAnsi="Palatino Linotype" w:cs="Arial"/>
          <w:lang w:val="es-ES"/>
        </w:rPr>
        <w:t xml:space="preserve">El </w:t>
      </w:r>
      <w:r w:rsidR="006A623E" w:rsidRPr="00E5368A">
        <w:rPr>
          <w:rFonts w:ascii="Palatino Linotype" w:eastAsia="Calibri" w:hAnsi="Palatino Linotype" w:cs="Arial"/>
          <w:b/>
          <w:lang w:val="es-ES"/>
        </w:rPr>
        <w:t>trece de marzo</w:t>
      </w:r>
      <w:r w:rsidRPr="00E5368A">
        <w:rPr>
          <w:rFonts w:ascii="Palatino Linotype" w:eastAsia="Calibri" w:hAnsi="Palatino Linotype" w:cs="Arial"/>
          <w:b/>
          <w:lang w:val="es-ES"/>
        </w:rPr>
        <w:t xml:space="preserve"> de dos mil veinticuatro, </w:t>
      </w:r>
      <w:r w:rsidRPr="00E5368A">
        <w:rPr>
          <w:rFonts w:ascii="Palatino Linotype" w:eastAsia="Calibri" w:hAnsi="Palatino Linotype" w:cs="Arial"/>
          <w:lang w:val="es-ES"/>
        </w:rPr>
        <w:t xml:space="preserve">el </w:t>
      </w:r>
      <w:r w:rsidRPr="00E5368A">
        <w:rPr>
          <w:rFonts w:ascii="Palatino Linotype" w:eastAsia="Calibri" w:hAnsi="Palatino Linotype" w:cs="Arial"/>
          <w:b/>
          <w:lang w:val="es-ES"/>
        </w:rPr>
        <w:t xml:space="preserve">SUJETO OBLIGADO </w:t>
      </w:r>
      <w:r w:rsidRPr="00E5368A">
        <w:rPr>
          <w:rFonts w:ascii="Palatino Linotype" w:eastAsia="Calibri" w:hAnsi="Palatino Linotype" w:cs="Arial"/>
          <w:lang w:val="es-ES"/>
        </w:rPr>
        <w:t>dio respuesta a la solicitud de información a través de los archivos siguientes:</w:t>
      </w:r>
    </w:p>
    <w:p w:rsidR="00382576" w:rsidRPr="00E5368A" w:rsidRDefault="00382576" w:rsidP="00382576">
      <w:pPr>
        <w:pStyle w:val="Prrafodelista"/>
        <w:spacing w:line="360" w:lineRule="auto"/>
        <w:ind w:left="0"/>
        <w:jc w:val="both"/>
        <w:rPr>
          <w:rFonts w:ascii="Palatino Linotype" w:eastAsia="Calibri" w:hAnsi="Palatino Linotype" w:cs="Arial"/>
          <w:i/>
          <w:lang w:val="es-ES"/>
        </w:rPr>
      </w:pPr>
    </w:p>
    <w:p w:rsidR="006A623E" w:rsidRPr="00E5368A" w:rsidRDefault="006A623E" w:rsidP="006A623E">
      <w:pPr>
        <w:pStyle w:val="Prrafodelista"/>
        <w:numPr>
          <w:ilvl w:val="0"/>
          <w:numId w:val="2"/>
        </w:numPr>
        <w:spacing w:line="360" w:lineRule="auto"/>
        <w:jc w:val="both"/>
        <w:rPr>
          <w:rFonts w:ascii="Palatino Linotype" w:eastAsia="Calibri" w:hAnsi="Palatino Linotype" w:cs="Arial"/>
          <w:b/>
          <w:i/>
          <w:lang w:val="es-ES"/>
        </w:rPr>
      </w:pPr>
      <w:r w:rsidRPr="00E5368A">
        <w:rPr>
          <w:rFonts w:ascii="Palatino Linotype" w:eastAsia="Calibri" w:hAnsi="Palatino Linotype" w:cs="Arial"/>
          <w:b/>
          <w:i/>
          <w:lang w:val="es-ES"/>
        </w:rPr>
        <w:t>69 RESPUESTA.pdf</w:t>
      </w:r>
    </w:p>
    <w:p w:rsidR="006A623E" w:rsidRPr="00E5368A" w:rsidRDefault="006A623E" w:rsidP="006A623E">
      <w:pPr>
        <w:spacing w:line="360" w:lineRule="auto"/>
        <w:jc w:val="both"/>
        <w:rPr>
          <w:rFonts w:ascii="Palatino Linotype" w:eastAsia="Calibri" w:hAnsi="Palatino Linotype" w:cs="Arial"/>
          <w:sz w:val="24"/>
          <w:szCs w:val="24"/>
          <w:lang w:val="es-ES"/>
        </w:rPr>
      </w:pPr>
      <w:r w:rsidRPr="00E5368A">
        <w:rPr>
          <w:rFonts w:ascii="Palatino Linotype" w:eastAsia="Calibri" w:hAnsi="Palatino Linotype" w:cs="Arial"/>
          <w:sz w:val="24"/>
          <w:szCs w:val="24"/>
          <w:lang w:val="es-ES"/>
        </w:rPr>
        <w:t>Oficio de trece de marzo de do mil veinticuatro, firmado por el Servidor Público Habilitado quien informo lo siguiente:</w:t>
      </w:r>
    </w:p>
    <w:p w:rsidR="006A623E" w:rsidRPr="00E5368A" w:rsidRDefault="006A623E" w:rsidP="006A623E">
      <w:pPr>
        <w:spacing w:line="360" w:lineRule="auto"/>
        <w:ind w:left="709" w:right="758"/>
        <w:jc w:val="both"/>
        <w:rPr>
          <w:rFonts w:ascii="Palatino Linotype" w:eastAsia="Calibri" w:hAnsi="Palatino Linotype" w:cs="Arial"/>
          <w:i/>
          <w:sz w:val="24"/>
          <w:szCs w:val="24"/>
        </w:rPr>
      </w:pPr>
      <w:r w:rsidRPr="00E5368A">
        <w:rPr>
          <w:rFonts w:ascii="Palatino Linotype" w:eastAsia="Calibri" w:hAnsi="Palatino Linotype" w:cs="Arial"/>
          <w:i/>
          <w:sz w:val="24"/>
          <w:szCs w:val="24"/>
        </w:rPr>
        <w:t>“Me permito informarle que, luego de un análisis del contenido de la solicitud, se turnó para su atención a la Secretaría Técnica de la Comisión Legislativa de Límites Territoriales del Estado de México y sus Municipios de la “LXI” Legislatura del Estado de México, emitiéndose la respuesta que se adjunta, en archivo en formato electrónico.”</w:t>
      </w:r>
    </w:p>
    <w:p w:rsidR="006A623E" w:rsidRPr="00E5368A" w:rsidRDefault="006A623E" w:rsidP="006A623E">
      <w:pPr>
        <w:pStyle w:val="Prrafodelista"/>
        <w:numPr>
          <w:ilvl w:val="0"/>
          <w:numId w:val="2"/>
        </w:numPr>
        <w:spacing w:line="360" w:lineRule="auto"/>
        <w:jc w:val="both"/>
        <w:rPr>
          <w:rFonts w:ascii="Palatino Linotype" w:eastAsia="Calibri" w:hAnsi="Palatino Linotype" w:cs="Arial"/>
          <w:b/>
          <w:i/>
          <w:lang w:val="es-ES"/>
        </w:rPr>
      </w:pPr>
      <w:r w:rsidRPr="00E5368A">
        <w:rPr>
          <w:rFonts w:ascii="Palatino Linotype" w:eastAsia="Calibri" w:hAnsi="Palatino Linotype" w:cs="Arial"/>
          <w:b/>
          <w:i/>
          <w:lang w:val="es-ES"/>
        </w:rPr>
        <w:t>69 RESPUESTA (COMISION DE LIMITES).pdf</w:t>
      </w:r>
    </w:p>
    <w:p w:rsidR="006A623E" w:rsidRPr="00E5368A" w:rsidRDefault="006A623E" w:rsidP="006A623E">
      <w:pPr>
        <w:spacing w:line="360" w:lineRule="auto"/>
        <w:jc w:val="both"/>
        <w:rPr>
          <w:rFonts w:ascii="Palatino Linotype" w:eastAsia="Calibri" w:hAnsi="Palatino Linotype" w:cs="Arial"/>
          <w:sz w:val="24"/>
          <w:szCs w:val="24"/>
          <w:lang w:val="es-ES"/>
        </w:rPr>
      </w:pPr>
      <w:r w:rsidRPr="00E5368A">
        <w:rPr>
          <w:rFonts w:ascii="Palatino Linotype" w:eastAsia="Calibri" w:hAnsi="Palatino Linotype" w:cs="Arial"/>
          <w:sz w:val="24"/>
          <w:szCs w:val="24"/>
          <w:lang w:val="es-ES"/>
        </w:rPr>
        <w:t xml:space="preserve">Oficio de de marzo de dos mil veinticuatro, firmado por el Secretario </w:t>
      </w:r>
      <w:r w:rsidR="00567F9D" w:rsidRPr="00E5368A">
        <w:rPr>
          <w:rFonts w:ascii="Palatino Linotype" w:eastAsia="Calibri" w:hAnsi="Palatino Linotype" w:cs="Arial"/>
          <w:sz w:val="24"/>
          <w:szCs w:val="24"/>
          <w:lang w:val="es-ES"/>
        </w:rPr>
        <w:t>Técnico</w:t>
      </w:r>
      <w:r w:rsidRPr="00E5368A">
        <w:rPr>
          <w:rFonts w:ascii="Palatino Linotype" w:eastAsia="Calibri" w:hAnsi="Palatino Linotype" w:cs="Arial"/>
          <w:sz w:val="24"/>
          <w:szCs w:val="24"/>
          <w:lang w:val="es-ES"/>
        </w:rPr>
        <w:t xml:space="preserve"> de la </w:t>
      </w:r>
      <w:r w:rsidR="00567F9D" w:rsidRPr="00E5368A">
        <w:rPr>
          <w:rFonts w:ascii="Palatino Linotype" w:eastAsia="Calibri" w:hAnsi="Palatino Linotype" w:cs="Arial"/>
          <w:sz w:val="24"/>
          <w:szCs w:val="24"/>
          <w:lang w:val="es-ES"/>
        </w:rPr>
        <w:t>Comisión</w:t>
      </w:r>
      <w:r w:rsidRPr="00E5368A">
        <w:rPr>
          <w:rFonts w:ascii="Palatino Linotype" w:eastAsia="Calibri" w:hAnsi="Palatino Linotype" w:cs="Arial"/>
          <w:sz w:val="24"/>
          <w:szCs w:val="24"/>
          <w:lang w:val="es-ES"/>
        </w:rPr>
        <w:t xml:space="preserve"> de </w:t>
      </w:r>
      <w:r w:rsidR="00567F9D" w:rsidRPr="00E5368A">
        <w:rPr>
          <w:rFonts w:ascii="Palatino Linotype" w:eastAsia="Calibri" w:hAnsi="Palatino Linotype" w:cs="Arial"/>
          <w:sz w:val="24"/>
          <w:szCs w:val="24"/>
          <w:lang w:val="es-ES"/>
        </w:rPr>
        <w:t>Límites</w:t>
      </w:r>
      <w:r w:rsidRPr="00E5368A">
        <w:rPr>
          <w:rFonts w:ascii="Palatino Linotype" w:eastAsia="Calibri" w:hAnsi="Palatino Linotype" w:cs="Arial"/>
          <w:sz w:val="24"/>
          <w:szCs w:val="24"/>
          <w:lang w:val="es-ES"/>
        </w:rPr>
        <w:t xml:space="preserve"> Territoriales del Estado de </w:t>
      </w:r>
      <w:r w:rsidR="00567F9D" w:rsidRPr="00E5368A">
        <w:rPr>
          <w:rFonts w:ascii="Palatino Linotype" w:eastAsia="Calibri" w:hAnsi="Palatino Linotype" w:cs="Arial"/>
          <w:sz w:val="24"/>
          <w:szCs w:val="24"/>
          <w:lang w:val="es-ES"/>
        </w:rPr>
        <w:t>México</w:t>
      </w:r>
      <w:r w:rsidRPr="00E5368A">
        <w:rPr>
          <w:rFonts w:ascii="Palatino Linotype" w:eastAsia="Calibri" w:hAnsi="Palatino Linotype" w:cs="Arial"/>
          <w:sz w:val="24"/>
          <w:szCs w:val="24"/>
          <w:lang w:val="es-ES"/>
        </w:rPr>
        <w:t xml:space="preserve"> y sus </w:t>
      </w:r>
      <w:r w:rsidR="00567F9D" w:rsidRPr="00E5368A">
        <w:rPr>
          <w:rFonts w:ascii="Palatino Linotype" w:eastAsia="Calibri" w:hAnsi="Palatino Linotype" w:cs="Arial"/>
          <w:sz w:val="24"/>
          <w:szCs w:val="24"/>
          <w:lang w:val="es-ES"/>
        </w:rPr>
        <w:t>Municipios</w:t>
      </w:r>
      <w:r w:rsidRPr="00E5368A">
        <w:rPr>
          <w:rFonts w:ascii="Palatino Linotype" w:eastAsia="Calibri" w:hAnsi="Palatino Linotype" w:cs="Arial"/>
          <w:sz w:val="24"/>
          <w:szCs w:val="24"/>
          <w:lang w:val="es-ES"/>
        </w:rPr>
        <w:t xml:space="preserve"> de la “LXI” Legislatura del Estado de México, </w:t>
      </w:r>
    </w:p>
    <w:p w:rsidR="006A623E" w:rsidRPr="00E5368A" w:rsidRDefault="006A623E" w:rsidP="006A623E">
      <w:pPr>
        <w:pStyle w:val="Prrafodelista"/>
        <w:numPr>
          <w:ilvl w:val="0"/>
          <w:numId w:val="2"/>
        </w:numPr>
        <w:spacing w:line="360" w:lineRule="auto"/>
        <w:jc w:val="both"/>
        <w:rPr>
          <w:rFonts w:ascii="Palatino Linotype" w:eastAsia="Calibri" w:hAnsi="Palatino Linotype" w:cs="Arial"/>
          <w:b/>
          <w:i/>
          <w:lang w:val="es-ES"/>
        </w:rPr>
      </w:pPr>
      <w:r w:rsidRPr="00E5368A">
        <w:rPr>
          <w:rFonts w:ascii="Palatino Linotype" w:eastAsia="Calibri" w:hAnsi="Palatino Linotype" w:cs="Arial"/>
          <w:b/>
          <w:i/>
          <w:lang w:val="es-ES"/>
        </w:rPr>
        <w:t xml:space="preserve">Respuesta 069- SAP.pdf </w:t>
      </w:r>
    </w:p>
    <w:p w:rsidR="00567F9D" w:rsidRPr="00E5368A" w:rsidRDefault="00567F9D" w:rsidP="00567F9D">
      <w:pPr>
        <w:spacing w:line="360" w:lineRule="auto"/>
        <w:ind w:left="709" w:right="758"/>
        <w:jc w:val="both"/>
        <w:rPr>
          <w:rFonts w:ascii="Palatino Linotype" w:eastAsia="Calibri" w:hAnsi="Palatino Linotype" w:cs="Arial"/>
          <w:i/>
          <w:sz w:val="24"/>
          <w:szCs w:val="24"/>
        </w:rPr>
      </w:pPr>
      <w:r w:rsidRPr="00E5368A">
        <w:rPr>
          <w:rFonts w:ascii="Palatino Linotype" w:eastAsia="Calibri" w:hAnsi="Palatino Linotype" w:cs="Arial"/>
          <w:i/>
          <w:sz w:val="24"/>
          <w:szCs w:val="24"/>
        </w:rPr>
        <w:lastRenderedPageBreak/>
        <w:t xml:space="preserve">Derivado de la realización de una búsqueda exhaustiva en el archivo de la oficina de la Diputada presidenta de la Comisión Legislativa –a la cual tengo acceso directo en uso de las facultades del cargo público que desempeño–, puedo advertir que la información que resulta de interés forma parte de dos expedientes relativos a la sustanciación de dos procedimientos para la solución de diferendos limítrofes intermunicipales. </w:t>
      </w:r>
    </w:p>
    <w:p w:rsidR="005F1478" w:rsidRPr="00E5368A" w:rsidRDefault="00567F9D" w:rsidP="00567F9D">
      <w:pPr>
        <w:spacing w:after="0" w:line="360" w:lineRule="auto"/>
        <w:ind w:left="709" w:right="758"/>
        <w:jc w:val="both"/>
        <w:rPr>
          <w:rFonts w:ascii="Palatino Linotype" w:eastAsia="Calibri" w:hAnsi="Palatino Linotype" w:cs="Arial"/>
          <w:i/>
          <w:sz w:val="24"/>
          <w:szCs w:val="24"/>
          <w:u w:val="single"/>
        </w:rPr>
      </w:pPr>
      <w:r w:rsidRPr="00E5368A">
        <w:rPr>
          <w:rFonts w:ascii="Palatino Linotype" w:eastAsia="Calibri" w:hAnsi="Palatino Linotype" w:cs="Arial"/>
          <w:i/>
          <w:sz w:val="24"/>
          <w:szCs w:val="24"/>
          <w:u w:val="single"/>
        </w:rPr>
        <w:t>A continuación enuncio los procedimientos administrativos para la solución de diferendos limítrofes intermunicipales seguidos en forma de juicio ante la Comisión Legislativa de la Legislatura Local, donde ha estado y/o está interviniendo el municipio de Teoloyucan a través de las personas titulares de la presidencia y de la sindicatura de su ayuntamiento, los cuales son los siguientes:</w:t>
      </w:r>
    </w:p>
    <w:p w:rsidR="00567F9D" w:rsidRPr="00E5368A" w:rsidRDefault="00567F9D" w:rsidP="00567F9D">
      <w:pPr>
        <w:spacing w:after="0" w:line="360" w:lineRule="auto"/>
        <w:ind w:left="709" w:right="758"/>
        <w:jc w:val="both"/>
        <w:rPr>
          <w:rFonts w:ascii="Palatino Linotype" w:eastAsia="Calibri" w:hAnsi="Palatino Linotype" w:cs="Arial"/>
          <w:i/>
          <w:sz w:val="24"/>
          <w:szCs w:val="24"/>
          <w:u w:val="single"/>
        </w:rPr>
      </w:pPr>
    </w:p>
    <w:p w:rsidR="00567F9D" w:rsidRPr="00E5368A" w:rsidRDefault="00567F9D" w:rsidP="00567F9D">
      <w:pPr>
        <w:spacing w:after="0" w:line="360" w:lineRule="auto"/>
        <w:ind w:left="709" w:right="758"/>
        <w:jc w:val="both"/>
        <w:rPr>
          <w:rFonts w:ascii="Palatino Linotype" w:eastAsia="Calibri" w:hAnsi="Palatino Linotype" w:cs="Arial"/>
          <w:i/>
          <w:sz w:val="24"/>
          <w:szCs w:val="24"/>
        </w:rPr>
      </w:pPr>
      <w:r w:rsidRPr="00E5368A">
        <w:rPr>
          <w:rFonts w:ascii="Palatino Linotype" w:eastAsia="Calibri" w:hAnsi="Palatino Linotype" w:cs="Arial"/>
          <w:i/>
          <w:noProof/>
          <w:sz w:val="24"/>
          <w:szCs w:val="24"/>
          <w:lang w:eastAsia="es-MX"/>
        </w:rPr>
        <w:drawing>
          <wp:inline distT="0" distB="0" distL="0" distR="0" wp14:anchorId="262C887C" wp14:editId="2DCA011D">
            <wp:extent cx="4644000" cy="1447637"/>
            <wp:effectExtent l="0" t="0" r="444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44000" cy="1447637"/>
                    </a:xfrm>
                    <a:prstGeom prst="rect">
                      <a:avLst/>
                    </a:prstGeom>
                  </pic:spPr>
                </pic:pic>
              </a:graphicData>
            </a:graphic>
          </wp:inline>
        </w:drawing>
      </w:r>
    </w:p>
    <w:p w:rsidR="00567F9D" w:rsidRPr="00E5368A" w:rsidRDefault="00567F9D" w:rsidP="00567F9D">
      <w:pPr>
        <w:spacing w:after="0" w:line="360" w:lineRule="auto"/>
        <w:ind w:left="709" w:right="758"/>
        <w:jc w:val="both"/>
        <w:rPr>
          <w:rFonts w:ascii="Palatino Linotype" w:eastAsia="Calibri" w:hAnsi="Palatino Linotype" w:cs="Arial"/>
          <w:i/>
          <w:sz w:val="24"/>
          <w:szCs w:val="24"/>
        </w:rPr>
      </w:pPr>
      <w:r w:rsidRPr="00E5368A">
        <w:rPr>
          <w:rFonts w:ascii="Palatino Linotype" w:eastAsia="Calibri" w:hAnsi="Palatino Linotype" w:cs="Arial"/>
          <w:i/>
          <w:noProof/>
          <w:sz w:val="24"/>
          <w:szCs w:val="24"/>
          <w:lang w:eastAsia="es-MX"/>
        </w:rPr>
        <w:lastRenderedPageBreak/>
        <w:drawing>
          <wp:inline distT="0" distB="0" distL="0" distR="0" wp14:anchorId="69028E18" wp14:editId="3EFB635A">
            <wp:extent cx="4644000" cy="2447066"/>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44000" cy="2447066"/>
                    </a:xfrm>
                    <a:prstGeom prst="rect">
                      <a:avLst/>
                    </a:prstGeom>
                  </pic:spPr>
                </pic:pic>
              </a:graphicData>
            </a:graphic>
          </wp:inline>
        </w:drawing>
      </w:r>
    </w:p>
    <w:p w:rsidR="00567F9D" w:rsidRPr="00E5368A" w:rsidRDefault="00567F9D" w:rsidP="00567F9D">
      <w:pPr>
        <w:spacing w:after="0" w:line="360" w:lineRule="auto"/>
        <w:ind w:left="709" w:right="758"/>
        <w:jc w:val="both"/>
        <w:rPr>
          <w:rFonts w:ascii="Palatino Linotype" w:eastAsia="Calibri" w:hAnsi="Palatino Linotype" w:cs="Arial"/>
          <w:i/>
          <w:sz w:val="24"/>
          <w:szCs w:val="24"/>
          <w:u w:val="single"/>
        </w:rPr>
      </w:pPr>
      <w:r w:rsidRPr="00E5368A">
        <w:rPr>
          <w:rFonts w:ascii="Palatino Linotype" w:eastAsia="Calibri" w:hAnsi="Palatino Linotype" w:cs="Arial"/>
          <w:i/>
          <w:sz w:val="24"/>
          <w:szCs w:val="24"/>
        </w:rPr>
        <w:t xml:space="preserve">Una vez expuesto lo que antecede y siendo congruente con el propio contenido de la solicitud de acceso a la información remitida, acentúo preliminarmente que no es posible </w:t>
      </w:r>
      <w:r w:rsidRPr="00E5368A">
        <w:rPr>
          <w:rFonts w:ascii="Palatino Linotype" w:eastAsia="Calibri" w:hAnsi="Palatino Linotype" w:cs="Arial"/>
          <w:i/>
          <w:sz w:val="24"/>
          <w:szCs w:val="24"/>
          <w:u w:val="single"/>
        </w:rPr>
        <w:t>proporcionar “los acuerdos de fecha diecisiete de octubre de dos mil veintitrés dónde la Legislatura se declaró incompetente para seguir conociendo los diferendos limítrofes del Municipio de Teoloyucan”, así como “2. Todos los documentos anexos de lo solicitado”.</w:t>
      </w:r>
    </w:p>
    <w:p w:rsidR="00567F9D" w:rsidRPr="00E5368A" w:rsidRDefault="00567F9D" w:rsidP="00567F9D">
      <w:pPr>
        <w:spacing w:after="0" w:line="360" w:lineRule="auto"/>
        <w:ind w:left="709" w:right="758"/>
        <w:jc w:val="both"/>
        <w:rPr>
          <w:rFonts w:ascii="Palatino Linotype" w:eastAsia="Calibri" w:hAnsi="Palatino Linotype" w:cs="Arial"/>
          <w:i/>
          <w:sz w:val="24"/>
          <w:szCs w:val="24"/>
          <w:u w:val="single"/>
        </w:rPr>
      </w:pPr>
    </w:p>
    <w:p w:rsidR="00567F9D" w:rsidRPr="00E5368A" w:rsidRDefault="00567F9D" w:rsidP="00567F9D">
      <w:pPr>
        <w:spacing w:after="0" w:line="360" w:lineRule="auto"/>
        <w:ind w:left="709" w:right="758"/>
        <w:jc w:val="both"/>
        <w:rPr>
          <w:rFonts w:ascii="Palatino Linotype" w:eastAsia="Calibri" w:hAnsi="Palatino Linotype" w:cs="Arial"/>
          <w:i/>
          <w:sz w:val="24"/>
          <w:szCs w:val="24"/>
        </w:rPr>
      </w:pPr>
      <w:r w:rsidRPr="00E5368A">
        <w:rPr>
          <w:rFonts w:ascii="Palatino Linotype" w:eastAsia="Calibri" w:hAnsi="Palatino Linotype" w:cs="Arial"/>
          <w:i/>
          <w:sz w:val="24"/>
          <w:szCs w:val="24"/>
        </w:rPr>
        <w:t xml:space="preserve"> Lo dicho debido a la existencia de una razón de interés público general y toral</w:t>
      </w:r>
    </w:p>
    <w:p w:rsidR="00567F9D" w:rsidRPr="00E5368A" w:rsidRDefault="00567F9D" w:rsidP="00567F9D">
      <w:pPr>
        <w:spacing w:after="0" w:line="360" w:lineRule="auto"/>
        <w:ind w:left="709" w:right="758"/>
        <w:jc w:val="both"/>
        <w:rPr>
          <w:rFonts w:ascii="Palatino Linotype" w:eastAsia="Calibri" w:hAnsi="Palatino Linotype" w:cs="Arial"/>
          <w:i/>
          <w:sz w:val="24"/>
          <w:szCs w:val="24"/>
        </w:rPr>
      </w:pPr>
    </w:p>
    <w:p w:rsidR="00567F9D" w:rsidRPr="00E5368A" w:rsidRDefault="00567F9D" w:rsidP="00567F9D">
      <w:pPr>
        <w:spacing w:after="0" w:line="360" w:lineRule="auto"/>
        <w:ind w:left="709" w:right="758"/>
        <w:jc w:val="both"/>
        <w:rPr>
          <w:rFonts w:ascii="Palatino Linotype" w:eastAsia="Calibri" w:hAnsi="Palatino Linotype" w:cs="Arial"/>
          <w:i/>
          <w:sz w:val="24"/>
          <w:szCs w:val="24"/>
        </w:rPr>
      </w:pPr>
      <w:r w:rsidRPr="00E5368A">
        <w:rPr>
          <w:rFonts w:ascii="Palatino Linotype" w:eastAsia="Calibri" w:hAnsi="Palatino Linotype" w:cs="Arial"/>
          <w:i/>
          <w:sz w:val="24"/>
          <w:szCs w:val="24"/>
        </w:rPr>
        <w:t xml:space="preserve">Información clasificada como reservada (afectación o vulneración en la conducción de los procedimientos administrativos para la solución de diferendos limítrofes intermunicipales seguidos en forma de juicio, en tanto no han quedado firmes o no han causado estado y donde está involucrado el municipio de Teoloyucan). En los diferentes tomos que integran cada uno de los expedientes de los procedimientos para la solución de diferendos limítrofes intermunicipales (6/2022 y 7/2022) –donde ha intervenido el municipio de </w:t>
      </w:r>
      <w:r w:rsidRPr="00E5368A">
        <w:rPr>
          <w:rFonts w:ascii="Palatino Linotype" w:eastAsia="Calibri" w:hAnsi="Palatino Linotype" w:cs="Arial"/>
          <w:i/>
          <w:sz w:val="24"/>
          <w:szCs w:val="24"/>
        </w:rPr>
        <w:lastRenderedPageBreak/>
        <w:t>Teoloyucan–, este servidor público facultado ha logrado observar, así como determinar con el debido detenimiento que obra información clasificada, es decir, calificada legalmente como reservada.</w:t>
      </w:r>
    </w:p>
    <w:p w:rsidR="00567F9D" w:rsidRPr="00E5368A" w:rsidRDefault="00567F9D" w:rsidP="00567F9D">
      <w:pPr>
        <w:spacing w:after="0" w:line="360" w:lineRule="auto"/>
        <w:ind w:left="709" w:right="758"/>
        <w:jc w:val="both"/>
        <w:rPr>
          <w:rFonts w:ascii="Palatino Linotype" w:eastAsia="Calibri" w:hAnsi="Palatino Linotype" w:cs="Arial"/>
          <w:i/>
          <w:sz w:val="24"/>
          <w:szCs w:val="24"/>
        </w:rPr>
      </w:pPr>
    </w:p>
    <w:p w:rsidR="00567F9D" w:rsidRPr="00E5368A" w:rsidRDefault="00567F9D" w:rsidP="00567F9D">
      <w:pPr>
        <w:spacing w:after="0" w:line="360" w:lineRule="auto"/>
        <w:ind w:right="758"/>
        <w:jc w:val="both"/>
        <w:rPr>
          <w:rFonts w:ascii="Palatino Linotype" w:eastAsia="Calibri" w:hAnsi="Palatino Linotype" w:cs="Arial"/>
          <w:sz w:val="24"/>
          <w:szCs w:val="24"/>
        </w:rPr>
      </w:pPr>
      <w:r w:rsidRPr="00E5368A">
        <w:rPr>
          <w:rFonts w:ascii="Palatino Linotype" w:eastAsia="Calibri" w:hAnsi="Palatino Linotype" w:cs="Arial"/>
          <w:sz w:val="24"/>
          <w:szCs w:val="24"/>
        </w:rPr>
        <w:t xml:space="preserve">Asimismo, se remite la Fundamentación Motivación de la Clasificación de la Información considerada como Reservada. </w:t>
      </w:r>
    </w:p>
    <w:p w:rsidR="00567F9D" w:rsidRPr="00E5368A" w:rsidRDefault="00567F9D" w:rsidP="00567F9D">
      <w:pPr>
        <w:spacing w:after="0" w:line="360" w:lineRule="auto"/>
        <w:ind w:left="709" w:right="758"/>
        <w:jc w:val="both"/>
        <w:rPr>
          <w:rFonts w:ascii="Palatino Linotype" w:eastAsia="Calibri" w:hAnsi="Palatino Linotype" w:cs="Arial"/>
          <w:i/>
          <w:sz w:val="24"/>
          <w:szCs w:val="24"/>
        </w:rPr>
      </w:pPr>
    </w:p>
    <w:p w:rsidR="00393AF1" w:rsidRPr="00E5368A" w:rsidRDefault="009A3CA9" w:rsidP="009A3CA9">
      <w:pPr>
        <w:pStyle w:val="Ttulo1"/>
        <w:spacing w:before="0" w:line="360" w:lineRule="auto"/>
        <w:jc w:val="center"/>
        <w:rPr>
          <w:rFonts w:ascii="Palatino Linotype" w:hAnsi="Palatino Linotype" w:cs="Arial"/>
          <w:b/>
          <w:color w:val="000000" w:themeColor="text1"/>
          <w:sz w:val="24"/>
          <w:szCs w:val="24"/>
        </w:rPr>
      </w:pPr>
      <w:r w:rsidRPr="00E5368A">
        <w:rPr>
          <w:rFonts w:ascii="Palatino Linotype" w:hAnsi="Palatino Linotype" w:cs="Arial"/>
          <w:b/>
          <w:color w:val="000000" w:themeColor="text1"/>
          <w:sz w:val="24"/>
          <w:szCs w:val="24"/>
        </w:rPr>
        <w:t>INCONFORMIDAD</w:t>
      </w:r>
    </w:p>
    <w:p w:rsidR="00791C1A" w:rsidRPr="00E5368A" w:rsidRDefault="00DA666E" w:rsidP="00DA666E">
      <w:pPr>
        <w:pStyle w:val="Prrafodelista"/>
        <w:numPr>
          <w:ilvl w:val="0"/>
          <w:numId w:val="1"/>
        </w:numPr>
        <w:spacing w:line="360" w:lineRule="auto"/>
        <w:ind w:left="0" w:firstLine="0"/>
        <w:jc w:val="both"/>
        <w:rPr>
          <w:rFonts w:ascii="Palatino Linotype" w:hAnsi="Palatino Linotype" w:cs="Arial"/>
          <w:i/>
          <w:color w:val="000000" w:themeColor="text1"/>
        </w:rPr>
      </w:pPr>
      <w:r w:rsidRPr="00E5368A">
        <w:rPr>
          <w:rFonts w:ascii="Palatino Linotype" w:eastAsia="Times New Roman" w:hAnsi="Palatino Linotype" w:cs="Arial"/>
          <w:color w:val="000000" w:themeColor="text1"/>
          <w:lang w:val="es-ES"/>
        </w:rPr>
        <w:t>Inconforme con lo</w:t>
      </w:r>
      <w:r w:rsidR="00791C1A" w:rsidRPr="00E5368A">
        <w:rPr>
          <w:rFonts w:ascii="Palatino Linotype" w:eastAsia="Times New Roman" w:hAnsi="Palatino Linotype" w:cs="Arial"/>
          <w:color w:val="000000" w:themeColor="text1"/>
          <w:lang w:val="es-ES"/>
        </w:rPr>
        <w:t xml:space="preserve"> anterior, </w:t>
      </w:r>
      <w:r w:rsidR="00A42712" w:rsidRPr="00E5368A">
        <w:rPr>
          <w:rFonts w:ascii="Palatino Linotype" w:eastAsia="Times New Roman" w:hAnsi="Palatino Linotype" w:cs="Arial"/>
          <w:color w:val="000000" w:themeColor="text1"/>
          <w:lang w:val="es-ES"/>
        </w:rPr>
        <w:t xml:space="preserve">el </w:t>
      </w:r>
      <w:r w:rsidR="001F2519" w:rsidRPr="00E5368A">
        <w:rPr>
          <w:rFonts w:ascii="Palatino Linotype" w:eastAsia="Times New Roman" w:hAnsi="Palatino Linotype" w:cs="Arial"/>
          <w:b/>
          <w:color w:val="000000" w:themeColor="text1"/>
          <w:lang w:val="es-ES"/>
        </w:rPr>
        <w:t>diecinueve de marzo</w:t>
      </w:r>
      <w:r w:rsidR="00753895" w:rsidRPr="00E5368A">
        <w:rPr>
          <w:rFonts w:ascii="Palatino Linotype" w:eastAsia="Times New Roman" w:hAnsi="Palatino Linotype" w:cs="Arial"/>
          <w:b/>
          <w:color w:val="000000" w:themeColor="text1"/>
          <w:lang w:val="es-ES"/>
        </w:rPr>
        <w:t xml:space="preserve"> de dos mil veinticuatro</w:t>
      </w:r>
      <w:r w:rsidR="00791C1A" w:rsidRPr="00E5368A">
        <w:rPr>
          <w:rFonts w:ascii="Palatino Linotype" w:eastAsia="Times New Roman" w:hAnsi="Palatino Linotype" w:cs="Arial"/>
          <w:color w:val="000000" w:themeColor="text1"/>
          <w:lang w:val="es-ES"/>
        </w:rPr>
        <w:t xml:space="preserve">, el hoy </w:t>
      </w:r>
      <w:r w:rsidR="00791C1A" w:rsidRPr="00E5368A">
        <w:rPr>
          <w:rFonts w:ascii="Palatino Linotype" w:eastAsia="Times New Roman" w:hAnsi="Palatino Linotype" w:cs="Arial"/>
          <w:b/>
          <w:color w:val="000000" w:themeColor="text1"/>
          <w:lang w:val="es-ES"/>
        </w:rPr>
        <w:t xml:space="preserve">RECURRENTE, </w:t>
      </w:r>
      <w:r w:rsidR="00A109D2" w:rsidRPr="00E5368A">
        <w:rPr>
          <w:rFonts w:ascii="Palatino Linotype" w:eastAsia="Times New Roman" w:hAnsi="Palatino Linotype" w:cs="Arial"/>
          <w:color w:val="000000" w:themeColor="text1"/>
          <w:lang w:val="es-ES"/>
        </w:rPr>
        <w:t>interpuso</w:t>
      </w:r>
      <w:r w:rsidR="00791C1A" w:rsidRPr="00E5368A">
        <w:rPr>
          <w:rFonts w:ascii="Palatino Linotype" w:eastAsia="Times New Roman" w:hAnsi="Palatino Linotype" w:cs="Arial"/>
          <w:color w:val="000000" w:themeColor="text1"/>
          <w:lang w:val="es-ES"/>
        </w:rPr>
        <w:t xml:space="preserve"> recurso de revisión en contra de la respuesta emitida por el </w:t>
      </w:r>
      <w:r w:rsidR="00791C1A" w:rsidRPr="00E5368A">
        <w:rPr>
          <w:rFonts w:ascii="Palatino Linotype" w:eastAsia="Times New Roman" w:hAnsi="Palatino Linotype" w:cs="Arial"/>
          <w:b/>
          <w:color w:val="000000" w:themeColor="text1"/>
          <w:lang w:val="es-ES"/>
        </w:rPr>
        <w:t>SUJETO OBLIGADO</w:t>
      </w:r>
      <w:r w:rsidR="00791C1A" w:rsidRPr="00E5368A">
        <w:rPr>
          <w:rFonts w:ascii="Palatino Linotype" w:eastAsia="Times New Roman" w:hAnsi="Palatino Linotype" w:cs="Arial"/>
          <w:color w:val="000000" w:themeColor="text1"/>
          <w:lang w:val="es-ES"/>
        </w:rPr>
        <w:t>, manifestando las siguientes razones o motivos de inconformidad:</w:t>
      </w:r>
    </w:p>
    <w:p w:rsidR="00791C1A" w:rsidRPr="00E5368A" w:rsidRDefault="00791C1A" w:rsidP="00791C1A">
      <w:pPr>
        <w:pStyle w:val="Prrafodelista"/>
        <w:tabs>
          <w:tab w:val="left" w:pos="0"/>
        </w:tabs>
        <w:spacing w:line="360" w:lineRule="auto"/>
        <w:ind w:left="0" w:right="49"/>
        <w:jc w:val="both"/>
        <w:rPr>
          <w:rFonts w:ascii="Palatino Linotype" w:hAnsi="Palatino Linotype" w:cs="Arial"/>
          <w:i/>
          <w:color w:val="000000" w:themeColor="text1"/>
        </w:rPr>
      </w:pPr>
    </w:p>
    <w:p w:rsidR="00791C1A" w:rsidRPr="00E5368A" w:rsidRDefault="00791C1A" w:rsidP="00EC3077">
      <w:pPr>
        <w:pStyle w:val="Prrafodelista"/>
        <w:numPr>
          <w:ilvl w:val="0"/>
          <w:numId w:val="2"/>
        </w:numPr>
        <w:spacing w:line="360" w:lineRule="auto"/>
        <w:ind w:left="709" w:right="333"/>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E5368A">
        <w:rPr>
          <w:rStyle w:val="Ttulo2Car"/>
          <w:rFonts w:ascii="Palatino Linotype" w:hAnsi="Palatino Linotype"/>
          <w:b/>
          <w:color w:val="auto"/>
          <w:sz w:val="24"/>
          <w:szCs w:val="24"/>
        </w:rPr>
        <w:t>Acto impugnado</w:t>
      </w:r>
      <w:bookmarkEnd w:id="3"/>
      <w:r w:rsidRPr="00E5368A">
        <w:rPr>
          <w:rStyle w:val="Ttulo2Car"/>
          <w:rFonts w:ascii="Palatino Linotype" w:hAnsi="Palatino Linotype"/>
          <w:b/>
          <w:color w:val="000000" w:themeColor="text1"/>
          <w:sz w:val="24"/>
          <w:szCs w:val="24"/>
        </w:rPr>
        <w:t xml:space="preserve">: </w:t>
      </w:r>
      <w:r w:rsidRPr="00E5368A">
        <w:rPr>
          <w:rStyle w:val="Ttulo2Car"/>
          <w:rFonts w:ascii="Palatino Linotype" w:hAnsi="Palatino Linotype"/>
          <w:i/>
          <w:color w:val="000000" w:themeColor="text1"/>
          <w:sz w:val="24"/>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1F2519" w:rsidRPr="00E5368A">
        <w:rPr>
          <w:rFonts w:ascii="Palatino Linotype" w:eastAsiaTheme="majorEastAsia" w:hAnsi="Palatino Linotype" w:cstheme="majorBidi"/>
          <w:i/>
          <w:color w:val="000000" w:themeColor="text1"/>
          <w:lang w:val="es-MX"/>
        </w:rPr>
        <w:t>La respuesta del sujeto obligado.</w:t>
      </w:r>
      <w:r w:rsidR="00393AF1" w:rsidRPr="00E5368A">
        <w:rPr>
          <w:rFonts w:ascii="Palatino Linotype" w:eastAsiaTheme="majorEastAsia" w:hAnsi="Palatino Linotype" w:cstheme="majorBidi"/>
          <w:i/>
          <w:color w:val="000000" w:themeColor="text1"/>
          <w:lang w:val="es-MX"/>
        </w:rPr>
        <w:t>”</w:t>
      </w:r>
    </w:p>
    <w:p w:rsidR="00791C1A" w:rsidRPr="00E5368A" w:rsidRDefault="00753895" w:rsidP="00EC3077">
      <w:pPr>
        <w:pStyle w:val="Prrafodelista"/>
        <w:tabs>
          <w:tab w:val="left" w:pos="4395"/>
        </w:tabs>
        <w:spacing w:line="360" w:lineRule="auto"/>
        <w:ind w:left="709" w:right="333"/>
        <w:jc w:val="both"/>
        <w:rPr>
          <w:rStyle w:val="Ttulo2Car"/>
          <w:rFonts w:ascii="Palatino Linotype" w:hAnsi="Palatino Linotype"/>
          <w:b/>
          <w:i/>
          <w:color w:val="000000" w:themeColor="text1"/>
          <w:sz w:val="24"/>
          <w:szCs w:val="24"/>
        </w:rPr>
      </w:pPr>
      <w:r w:rsidRPr="00E5368A">
        <w:rPr>
          <w:rStyle w:val="Ttulo2Car"/>
          <w:rFonts w:ascii="Palatino Linotype" w:hAnsi="Palatino Linotype"/>
          <w:b/>
          <w:i/>
          <w:color w:val="000000" w:themeColor="text1"/>
          <w:sz w:val="24"/>
          <w:szCs w:val="24"/>
        </w:rPr>
        <w:tab/>
      </w:r>
    </w:p>
    <w:p w:rsidR="00A42712" w:rsidRPr="00E5368A" w:rsidRDefault="00791C1A" w:rsidP="00EC3077">
      <w:pPr>
        <w:pStyle w:val="Prrafodelista"/>
        <w:numPr>
          <w:ilvl w:val="0"/>
          <w:numId w:val="2"/>
        </w:numPr>
        <w:spacing w:line="360" w:lineRule="auto"/>
        <w:ind w:left="709" w:right="333"/>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E5368A">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E5368A">
        <w:rPr>
          <w:rFonts w:ascii="Palatino Linotype" w:hAnsi="Palatino Linotype"/>
          <w:b/>
          <w:color w:val="000000" w:themeColor="text1"/>
        </w:rPr>
        <w:t xml:space="preserve"> </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753895" w:rsidRPr="00E5368A">
        <w:rPr>
          <w:rFonts w:ascii="Palatino Linotype" w:hAnsi="Palatino Linotype"/>
          <w:color w:val="000000" w:themeColor="text1"/>
        </w:rPr>
        <w:t>“</w:t>
      </w:r>
      <w:r w:rsidR="001F2519" w:rsidRPr="00E5368A">
        <w:rPr>
          <w:rFonts w:ascii="Palatino Linotype" w:hAnsi="Palatino Linotype"/>
          <w:i/>
          <w:color w:val="000000" w:themeColor="text1"/>
          <w:lang w:val="es-MX"/>
        </w:rPr>
        <w:t xml:space="preserve">Si el sujeto obligado se considera incompetente de resolver el diferendos limitrofes, ¿Porque le causa perjuicio? Ya se declaró incompetente, tiene que publicar en la gaceta parlamentaria el acuerdo respectivo. Si es competente, ¿Porque se declaró incompetente? Por causar perjuicio a los ciudadanos. El ciudadano tiene el derecho a la identidad, por lo tanto tiene derecho a saber a qué municipio pertenece y a quien pagarle su impuesto predial. Este derecho es superior a cualquier derecho. Si la legislatura no es transparente y no pública estos acuerdos vulneran el derecho humano a la identidad. ¿Quien es.la autoridad competente para resolver los límites </w:t>
      </w:r>
      <w:r w:rsidR="001F2519" w:rsidRPr="00E5368A">
        <w:rPr>
          <w:rFonts w:ascii="Palatino Linotype" w:hAnsi="Palatino Linotype"/>
          <w:i/>
          <w:color w:val="000000" w:themeColor="text1"/>
          <w:lang w:val="es-MX"/>
        </w:rPr>
        <w:lastRenderedPageBreak/>
        <w:t>territoriales? Sería la única autoridad que podría reservar la información. Pero como se declaró incompetente, ya no es autoridad en la.materia y por lo tanto no podría reservar la información. El pueblo tiene derecho a saber a.que.municipio pertenece, contra eso ni la poderisima legislatura Puede hacer nada.</w:t>
      </w:r>
      <w:r w:rsidR="00382576" w:rsidRPr="00E5368A">
        <w:rPr>
          <w:rFonts w:ascii="Palatino Linotype" w:hAnsi="Palatino Linotype"/>
          <w:i/>
          <w:color w:val="000000" w:themeColor="text1"/>
          <w:lang w:val="es-MX"/>
        </w:rPr>
        <w:t>”</w:t>
      </w:r>
    </w:p>
    <w:p w:rsidR="00EC3077" w:rsidRPr="00E5368A" w:rsidRDefault="00EC3077" w:rsidP="00EC3077">
      <w:pPr>
        <w:pStyle w:val="Prrafodelista"/>
        <w:spacing w:line="360" w:lineRule="auto"/>
        <w:ind w:left="709" w:right="333"/>
        <w:jc w:val="both"/>
        <w:rPr>
          <w:rFonts w:ascii="Palatino Linotype" w:hAnsi="Palatino Linotype"/>
          <w:i/>
          <w:color w:val="000000" w:themeColor="text1"/>
        </w:rPr>
      </w:pPr>
    </w:p>
    <w:p w:rsidR="009A3CA9" w:rsidRPr="00E5368A" w:rsidRDefault="009A3CA9" w:rsidP="009A3CA9">
      <w:pPr>
        <w:pStyle w:val="Ttulo1"/>
        <w:spacing w:before="0" w:line="360" w:lineRule="auto"/>
        <w:jc w:val="center"/>
        <w:rPr>
          <w:rFonts w:ascii="Palatino Linotype" w:hAnsi="Palatino Linotype"/>
          <w:b/>
          <w:color w:val="000000" w:themeColor="text1"/>
          <w:sz w:val="24"/>
          <w:szCs w:val="24"/>
        </w:rPr>
      </w:pPr>
      <w:r w:rsidRPr="00E5368A">
        <w:rPr>
          <w:rFonts w:ascii="Palatino Linotype" w:hAnsi="Palatino Linotype"/>
          <w:b/>
          <w:color w:val="000000" w:themeColor="text1"/>
          <w:sz w:val="24"/>
          <w:szCs w:val="24"/>
        </w:rPr>
        <w:t>MANIFESTACIONES</w:t>
      </w:r>
    </w:p>
    <w:p w:rsidR="00791C1A" w:rsidRPr="00E5368A" w:rsidRDefault="00791C1A" w:rsidP="00791C1A">
      <w:pPr>
        <w:pStyle w:val="Prrafodelista"/>
        <w:numPr>
          <w:ilvl w:val="0"/>
          <w:numId w:val="1"/>
        </w:numPr>
        <w:spacing w:line="360" w:lineRule="auto"/>
        <w:ind w:left="0" w:firstLine="0"/>
        <w:jc w:val="both"/>
        <w:rPr>
          <w:rFonts w:ascii="Palatino Linotype" w:hAnsi="Palatino Linotype"/>
          <w:i/>
        </w:rPr>
      </w:pPr>
      <w:r w:rsidRPr="00E5368A">
        <w:rPr>
          <w:rFonts w:ascii="Palatino Linotype" w:eastAsia="Calibri" w:hAnsi="Palatino Linotype" w:cs="Arial"/>
          <w:lang w:val="es-ES"/>
        </w:rPr>
        <w:t>La Comisionada Ponente con fundamento en lo dispuesto por el artículo 185 fracción II de la ley de la materia, a través del acuerdo de admisión</w:t>
      </w:r>
      <w:r w:rsidR="00393AF1" w:rsidRPr="00E5368A">
        <w:rPr>
          <w:rFonts w:ascii="Palatino Linotype" w:eastAsia="Calibri" w:hAnsi="Palatino Linotype" w:cs="Arial"/>
          <w:lang w:val="es-ES"/>
        </w:rPr>
        <w:t xml:space="preserve"> notificado el</w:t>
      </w:r>
      <w:r w:rsidR="00D01A96" w:rsidRPr="00E5368A">
        <w:rPr>
          <w:rFonts w:ascii="Palatino Linotype" w:eastAsia="Calibri" w:hAnsi="Palatino Linotype" w:cs="Arial"/>
          <w:b/>
          <w:lang w:val="es-ES"/>
        </w:rPr>
        <w:t xml:space="preserve"> </w:t>
      </w:r>
      <w:r w:rsidR="00E24C4C" w:rsidRPr="00E5368A">
        <w:rPr>
          <w:rFonts w:ascii="Palatino Linotype" w:eastAsia="Calibri" w:hAnsi="Palatino Linotype" w:cs="Arial"/>
          <w:b/>
          <w:lang w:val="es-ES"/>
        </w:rPr>
        <w:t>veintiuno de marzo</w:t>
      </w:r>
      <w:r w:rsidR="00D01A96" w:rsidRPr="00E5368A">
        <w:rPr>
          <w:rFonts w:ascii="Palatino Linotype" w:eastAsia="Calibri" w:hAnsi="Palatino Linotype" w:cs="Arial"/>
          <w:b/>
          <w:lang w:val="es-ES"/>
        </w:rPr>
        <w:t xml:space="preserve"> de dos mil veinticuatro</w:t>
      </w:r>
      <w:r w:rsidRPr="00E5368A">
        <w:rPr>
          <w:rFonts w:ascii="Palatino Linotype" w:eastAsia="Calibri" w:hAnsi="Palatino Linotype" w:cs="Arial"/>
          <w:lang w:val="es-ES"/>
        </w:rPr>
        <w:t xml:space="preserve">, puso a disposición de las partes el expediente electrónico </w:t>
      </w:r>
      <w:r w:rsidRPr="00E5368A">
        <w:rPr>
          <w:rFonts w:ascii="Palatino Linotype" w:eastAsia="Calibri" w:hAnsi="Palatino Linotype" w:cs="Arial"/>
        </w:rPr>
        <w:t xml:space="preserve">vía </w:t>
      </w:r>
      <w:r w:rsidRPr="00E5368A">
        <w:rPr>
          <w:rFonts w:ascii="Palatino Linotype" w:eastAsia="Calibri" w:hAnsi="Palatino Linotype" w:cs="Arial"/>
          <w:b/>
          <w:lang w:val="es-ES"/>
        </w:rPr>
        <w:t xml:space="preserve">SAIMEX </w:t>
      </w:r>
      <w:r w:rsidRPr="00E5368A">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E5368A">
        <w:rPr>
          <w:rFonts w:ascii="Palatino Linotype" w:eastAsia="Calibri" w:hAnsi="Palatino Linotype" w:cs="Arial"/>
          <w:b/>
          <w:lang w:val="es-ES"/>
        </w:rPr>
        <w:t>SUJETO OBLIGADO</w:t>
      </w:r>
      <w:r w:rsidRPr="00E5368A">
        <w:rPr>
          <w:rFonts w:ascii="Palatino Linotype" w:eastAsia="Calibri" w:hAnsi="Palatino Linotype" w:cs="Arial"/>
          <w:lang w:val="es-ES"/>
        </w:rPr>
        <w:t xml:space="preserve"> presentará el Informe Justificado procedente.</w:t>
      </w:r>
    </w:p>
    <w:p w:rsidR="00791C1A" w:rsidRPr="00E5368A" w:rsidRDefault="00791C1A" w:rsidP="00791C1A">
      <w:pPr>
        <w:pStyle w:val="Prrafodelista"/>
        <w:spacing w:line="360" w:lineRule="auto"/>
        <w:ind w:left="0"/>
        <w:jc w:val="both"/>
        <w:rPr>
          <w:rFonts w:ascii="Palatino Linotype" w:hAnsi="Palatino Linotype"/>
        </w:rPr>
      </w:pPr>
    </w:p>
    <w:p w:rsidR="00E24C4C" w:rsidRPr="00E5368A" w:rsidRDefault="00D04217" w:rsidP="00382576">
      <w:pPr>
        <w:pStyle w:val="Prrafodelista"/>
        <w:numPr>
          <w:ilvl w:val="0"/>
          <w:numId w:val="1"/>
        </w:numPr>
        <w:spacing w:line="360" w:lineRule="auto"/>
        <w:ind w:left="0" w:firstLine="0"/>
        <w:jc w:val="both"/>
        <w:rPr>
          <w:rFonts w:ascii="Palatino Linotype" w:hAnsi="Palatino Linotype"/>
          <w:b/>
          <w:color w:val="000000"/>
        </w:rPr>
      </w:pPr>
      <w:r w:rsidRPr="00E5368A">
        <w:rPr>
          <w:rFonts w:ascii="Palatino Linotype" w:hAnsi="Palatino Linotype"/>
          <w:color w:val="000000"/>
        </w:rPr>
        <w:t xml:space="preserve">El </w:t>
      </w:r>
      <w:r w:rsidR="00382576" w:rsidRPr="00E5368A">
        <w:rPr>
          <w:rFonts w:ascii="Palatino Linotype" w:hAnsi="Palatino Linotype"/>
          <w:b/>
          <w:color w:val="000000"/>
        </w:rPr>
        <w:t xml:space="preserve">SUJETO OBLIGADO </w:t>
      </w:r>
      <w:r w:rsidR="00E24C4C" w:rsidRPr="00E5368A">
        <w:rPr>
          <w:rFonts w:ascii="Palatino Linotype" w:hAnsi="Palatino Linotype"/>
          <w:color w:val="000000"/>
        </w:rPr>
        <w:t xml:space="preserve">el </w:t>
      </w:r>
      <w:r w:rsidR="00E24C4C" w:rsidRPr="00E5368A">
        <w:rPr>
          <w:rFonts w:ascii="Palatino Linotype" w:hAnsi="Palatino Linotype"/>
          <w:b/>
          <w:color w:val="000000"/>
        </w:rPr>
        <w:t xml:space="preserve">cinco de abril de dos mil veinticuatro, </w:t>
      </w:r>
      <w:r w:rsidR="00E24C4C" w:rsidRPr="00E5368A">
        <w:rPr>
          <w:rFonts w:ascii="Palatino Linotype" w:hAnsi="Palatino Linotype"/>
          <w:color w:val="000000"/>
        </w:rPr>
        <w:t>remitió los archivos siguientes:</w:t>
      </w:r>
    </w:p>
    <w:p w:rsidR="00E24C4C" w:rsidRPr="00E5368A" w:rsidRDefault="00E70E37" w:rsidP="00E24C4C">
      <w:pPr>
        <w:pStyle w:val="Prrafodelista"/>
        <w:numPr>
          <w:ilvl w:val="0"/>
          <w:numId w:val="32"/>
        </w:numPr>
        <w:spacing w:line="360" w:lineRule="auto"/>
        <w:jc w:val="both"/>
        <w:rPr>
          <w:rFonts w:ascii="Palatino Linotype" w:hAnsi="Palatino Linotype"/>
          <w:b/>
          <w:i/>
        </w:rPr>
      </w:pPr>
      <w:hyperlink r:id="rId10" w:history="1">
        <w:r w:rsidR="00E24C4C" w:rsidRPr="00E5368A">
          <w:rPr>
            <w:rStyle w:val="Hipervnculo"/>
            <w:rFonts w:ascii="Palatino Linotype" w:hAnsi="Palatino Linotype"/>
            <w:b/>
            <w:bCs/>
            <w:i/>
            <w:color w:val="auto"/>
            <w:u w:val="none"/>
            <w:lang w:val="es-MX"/>
          </w:rPr>
          <w:t>Acuerdo PLEGISLA-LXI-CT-12ªext-2024-TERCERO.pdf</w:t>
        </w:r>
      </w:hyperlink>
    </w:p>
    <w:p w:rsidR="00E24C4C" w:rsidRPr="00E5368A" w:rsidRDefault="00E24C4C" w:rsidP="00E24C4C">
      <w:pPr>
        <w:spacing w:line="360" w:lineRule="auto"/>
        <w:jc w:val="both"/>
        <w:rPr>
          <w:rFonts w:ascii="Palatino Linotype" w:hAnsi="Palatino Linotype"/>
          <w:sz w:val="24"/>
          <w:szCs w:val="24"/>
        </w:rPr>
      </w:pPr>
      <w:r w:rsidRPr="00E5368A">
        <w:rPr>
          <w:rFonts w:ascii="Palatino Linotype" w:hAnsi="Palatino Linotype"/>
          <w:sz w:val="24"/>
          <w:szCs w:val="24"/>
        </w:rPr>
        <w:t>Acuerdo por el que se confirma por unanimidad la clasificación total como información reservada de los expedientes de los procedimientos administrativos para la solución de diferendos limítrofes intermunicipales donde ha estado y/o está interviniendo directa o indirectamente el municipio de Teoloyucan, por un periodo de cinco años.</w:t>
      </w:r>
    </w:p>
    <w:p w:rsidR="00E24C4C" w:rsidRPr="00E5368A" w:rsidRDefault="00E70E37" w:rsidP="00E24C4C">
      <w:pPr>
        <w:pStyle w:val="Prrafodelista"/>
        <w:numPr>
          <w:ilvl w:val="0"/>
          <w:numId w:val="32"/>
        </w:numPr>
        <w:spacing w:line="360" w:lineRule="auto"/>
        <w:jc w:val="both"/>
        <w:rPr>
          <w:rFonts w:ascii="Palatino Linotype" w:hAnsi="Palatino Linotype"/>
          <w:b/>
          <w:i/>
        </w:rPr>
      </w:pPr>
      <w:hyperlink r:id="rId11" w:history="1">
        <w:r w:rsidR="00E24C4C" w:rsidRPr="00E5368A">
          <w:rPr>
            <w:rStyle w:val="Hipervnculo"/>
            <w:rFonts w:ascii="Palatino Linotype" w:hAnsi="Palatino Linotype"/>
            <w:b/>
            <w:bCs/>
            <w:i/>
            <w:color w:val="auto"/>
            <w:u w:val="none"/>
            <w:lang w:val="es-MX"/>
          </w:rPr>
          <w:t>Consideraciones SAP- RR. 01448-Sol. 069-2024.pdf</w:t>
        </w:r>
      </w:hyperlink>
    </w:p>
    <w:p w:rsidR="00E24C4C" w:rsidRPr="00E5368A" w:rsidRDefault="00E24C4C" w:rsidP="00E24C4C">
      <w:pPr>
        <w:spacing w:line="360" w:lineRule="auto"/>
        <w:jc w:val="both"/>
        <w:rPr>
          <w:rFonts w:ascii="Palatino Linotype" w:hAnsi="Palatino Linotype"/>
          <w:sz w:val="24"/>
          <w:szCs w:val="24"/>
        </w:rPr>
      </w:pPr>
      <w:r w:rsidRPr="00E5368A">
        <w:rPr>
          <w:rFonts w:ascii="Palatino Linotype" w:hAnsi="Palatino Linotype"/>
          <w:sz w:val="24"/>
          <w:szCs w:val="24"/>
        </w:rPr>
        <w:lastRenderedPageBreak/>
        <w:t xml:space="preserve">Oficio de tres de abril de dos </w:t>
      </w:r>
      <w:r w:rsidR="003063E9" w:rsidRPr="00E5368A">
        <w:rPr>
          <w:rFonts w:ascii="Palatino Linotype" w:hAnsi="Palatino Linotype"/>
          <w:sz w:val="24"/>
          <w:szCs w:val="24"/>
        </w:rPr>
        <w:t>mil</w:t>
      </w:r>
      <w:r w:rsidRPr="00E5368A">
        <w:rPr>
          <w:rFonts w:ascii="Palatino Linotype" w:hAnsi="Palatino Linotype"/>
          <w:sz w:val="24"/>
          <w:szCs w:val="24"/>
        </w:rPr>
        <w:t xml:space="preserve"> veinticuatro, </w:t>
      </w:r>
      <w:r w:rsidR="003063E9" w:rsidRPr="00E5368A">
        <w:rPr>
          <w:rFonts w:ascii="Palatino Linotype" w:hAnsi="Palatino Linotype"/>
          <w:sz w:val="24"/>
          <w:szCs w:val="24"/>
        </w:rPr>
        <w:t xml:space="preserve">que corresponde al oficio por el que el </w:t>
      </w:r>
      <w:r w:rsidR="003063E9" w:rsidRPr="00E5368A">
        <w:rPr>
          <w:rFonts w:ascii="Palatino Linotype" w:hAnsi="Palatino Linotype"/>
          <w:b/>
          <w:sz w:val="24"/>
          <w:szCs w:val="24"/>
        </w:rPr>
        <w:t xml:space="preserve">SUJETO OBLIGADO </w:t>
      </w:r>
      <w:r w:rsidR="003063E9" w:rsidRPr="00E5368A">
        <w:rPr>
          <w:rFonts w:ascii="Palatino Linotype" w:hAnsi="Palatino Linotype"/>
          <w:sz w:val="24"/>
          <w:szCs w:val="24"/>
        </w:rPr>
        <w:t>dio respuesta y cuyo contenido es de conocimiento de las partes.</w:t>
      </w:r>
    </w:p>
    <w:p w:rsidR="00E24C4C" w:rsidRPr="00E5368A" w:rsidRDefault="00E70E37" w:rsidP="00E24C4C">
      <w:pPr>
        <w:pStyle w:val="Prrafodelista"/>
        <w:numPr>
          <w:ilvl w:val="0"/>
          <w:numId w:val="32"/>
        </w:numPr>
        <w:spacing w:line="360" w:lineRule="auto"/>
        <w:jc w:val="both"/>
        <w:rPr>
          <w:rFonts w:ascii="Palatino Linotype" w:hAnsi="Palatino Linotype"/>
          <w:b/>
          <w:i/>
        </w:rPr>
      </w:pPr>
      <w:hyperlink r:id="rId12" w:history="1">
        <w:r w:rsidR="00E24C4C" w:rsidRPr="00E5368A">
          <w:rPr>
            <w:rStyle w:val="Hipervnculo"/>
            <w:rFonts w:ascii="Palatino Linotype" w:hAnsi="Palatino Linotype"/>
            <w:b/>
            <w:bCs/>
            <w:i/>
            <w:color w:val="auto"/>
            <w:u w:val="none"/>
            <w:lang w:val="es-MX"/>
          </w:rPr>
          <w:t>Informe justificado RR. 01448-2024 (sol. 0069-2024).pdf</w:t>
        </w:r>
      </w:hyperlink>
    </w:p>
    <w:p w:rsidR="003063E9" w:rsidRPr="00E5368A" w:rsidRDefault="003063E9" w:rsidP="003063E9">
      <w:pPr>
        <w:spacing w:line="360" w:lineRule="auto"/>
        <w:jc w:val="both"/>
        <w:rPr>
          <w:rFonts w:ascii="Palatino Linotype" w:hAnsi="Palatino Linotype"/>
          <w:sz w:val="24"/>
          <w:szCs w:val="24"/>
        </w:rPr>
      </w:pPr>
      <w:r w:rsidRPr="00E5368A">
        <w:rPr>
          <w:rFonts w:ascii="Palatino Linotype" w:hAnsi="Palatino Linotype"/>
          <w:sz w:val="24"/>
          <w:szCs w:val="24"/>
        </w:rPr>
        <w:t>Informe Justificado en el que solicita se confirme la respuesta.</w:t>
      </w:r>
    </w:p>
    <w:p w:rsidR="00E24C4C" w:rsidRPr="00E5368A" w:rsidRDefault="00E24C4C" w:rsidP="00E24C4C">
      <w:pPr>
        <w:pStyle w:val="Prrafodelista"/>
        <w:spacing w:line="360" w:lineRule="auto"/>
        <w:ind w:left="0"/>
        <w:jc w:val="both"/>
        <w:rPr>
          <w:rFonts w:ascii="Palatino Linotype" w:hAnsi="Palatino Linotype"/>
          <w:b/>
          <w:color w:val="000000"/>
        </w:rPr>
      </w:pPr>
    </w:p>
    <w:p w:rsidR="00DA666E" w:rsidRPr="00E5368A" w:rsidRDefault="003063E9" w:rsidP="00382576">
      <w:pPr>
        <w:pStyle w:val="Prrafodelista"/>
        <w:numPr>
          <w:ilvl w:val="0"/>
          <w:numId w:val="1"/>
        </w:numPr>
        <w:spacing w:line="360" w:lineRule="auto"/>
        <w:ind w:left="0" w:firstLine="0"/>
        <w:jc w:val="both"/>
        <w:rPr>
          <w:rFonts w:ascii="Palatino Linotype" w:hAnsi="Palatino Linotype"/>
          <w:b/>
          <w:color w:val="000000"/>
        </w:rPr>
      </w:pPr>
      <w:r w:rsidRPr="00E5368A">
        <w:rPr>
          <w:rFonts w:ascii="Palatino Linotype" w:hAnsi="Palatino Linotype"/>
          <w:color w:val="000000"/>
        </w:rPr>
        <w:t>E</w:t>
      </w:r>
      <w:r w:rsidR="00382576" w:rsidRPr="00E5368A">
        <w:rPr>
          <w:rFonts w:ascii="Palatino Linotype" w:hAnsi="Palatino Linotype"/>
          <w:color w:val="000000"/>
        </w:rPr>
        <w:t xml:space="preserve">l </w:t>
      </w:r>
      <w:r w:rsidR="00433919" w:rsidRPr="00E5368A">
        <w:rPr>
          <w:rFonts w:ascii="Palatino Linotype" w:hAnsi="Palatino Linotype"/>
          <w:b/>
          <w:color w:val="000000"/>
        </w:rPr>
        <w:t>PARTICULAR</w:t>
      </w:r>
      <w:r w:rsidR="00DA666E" w:rsidRPr="00E5368A">
        <w:rPr>
          <w:rFonts w:ascii="Palatino Linotype" w:hAnsi="Palatino Linotype"/>
          <w:b/>
          <w:color w:val="000000"/>
        </w:rPr>
        <w:t xml:space="preserve"> </w:t>
      </w:r>
      <w:r w:rsidR="00490324" w:rsidRPr="00E5368A">
        <w:rPr>
          <w:rFonts w:ascii="Palatino Linotype" w:hAnsi="Palatino Linotype"/>
          <w:color w:val="000000"/>
        </w:rPr>
        <w:t>fue</w:t>
      </w:r>
      <w:r w:rsidRPr="00E5368A">
        <w:rPr>
          <w:rFonts w:ascii="Palatino Linotype" w:hAnsi="Palatino Linotype"/>
          <w:color w:val="000000"/>
        </w:rPr>
        <w:t xml:space="preserve"> </w:t>
      </w:r>
      <w:r w:rsidR="00490324" w:rsidRPr="00E5368A">
        <w:rPr>
          <w:rFonts w:ascii="Palatino Linotype" w:hAnsi="Palatino Linotype"/>
          <w:color w:val="000000"/>
        </w:rPr>
        <w:t>omiso</w:t>
      </w:r>
      <w:r w:rsidR="00382576" w:rsidRPr="00E5368A">
        <w:rPr>
          <w:rFonts w:ascii="Palatino Linotype" w:hAnsi="Palatino Linotype"/>
          <w:color w:val="000000"/>
        </w:rPr>
        <w:t>s</w:t>
      </w:r>
      <w:r w:rsidR="00DA666E" w:rsidRPr="00E5368A">
        <w:rPr>
          <w:rFonts w:ascii="Palatino Linotype" w:hAnsi="Palatino Linotype"/>
          <w:color w:val="000000"/>
        </w:rPr>
        <w:t xml:space="preserve"> en realizar manifestación alg</w:t>
      </w:r>
      <w:r w:rsidR="009A3CA9" w:rsidRPr="00E5368A">
        <w:rPr>
          <w:rFonts w:ascii="Palatino Linotype" w:hAnsi="Palatino Linotype"/>
          <w:color w:val="000000"/>
        </w:rPr>
        <w:t>una que a su derecho conviniera.</w:t>
      </w:r>
    </w:p>
    <w:p w:rsidR="00791C1A" w:rsidRPr="00E5368A" w:rsidRDefault="00791C1A" w:rsidP="00A42712">
      <w:pPr>
        <w:spacing w:line="360" w:lineRule="auto"/>
        <w:rPr>
          <w:rFonts w:ascii="Palatino Linotype" w:hAnsi="Palatino Linotype"/>
          <w:sz w:val="24"/>
          <w:szCs w:val="24"/>
        </w:rPr>
      </w:pPr>
    </w:p>
    <w:p w:rsidR="00791C1A" w:rsidRPr="00E5368A" w:rsidRDefault="00DA666E" w:rsidP="00791C1A">
      <w:pPr>
        <w:pStyle w:val="Prrafodelista"/>
        <w:numPr>
          <w:ilvl w:val="0"/>
          <w:numId w:val="1"/>
        </w:numPr>
        <w:spacing w:line="360" w:lineRule="auto"/>
        <w:ind w:left="0" w:firstLine="0"/>
        <w:jc w:val="both"/>
        <w:rPr>
          <w:rFonts w:ascii="Palatino Linotype" w:hAnsi="Palatino Linotype"/>
          <w:b/>
          <w:color w:val="000000" w:themeColor="text1"/>
        </w:rPr>
      </w:pPr>
      <w:r w:rsidRPr="00E5368A">
        <w:rPr>
          <w:rFonts w:ascii="Palatino Linotype" w:hAnsi="Palatino Linotype"/>
        </w:rPr>
        <w:t>Finalmente</w:t>
      </w:r>
      <w:r w:rsidR="00791C1A" w:rsidRPr="00E5368A">
        <w:rPr>
          <w:rFonts w:ascii="Palatino Linotype" w:hAnsi="Palatino Linotype"/>
        </w:rPr>
        <w:t xml:space="preserve">, mediante </w:t>
      </w:r>
      <w:r w:rsidR="00791C1A" w:rsidRPr="00E5368A">
        <w:rPr>
          <w:rFonts w:ascii="Palatino Linotype" w:hAnsi="Palatino Linotype"/>
          <w:color w:val="000000"/>
        </w:rPr>
        <w:t>acuerdo</w:t>
      </w:r>
      <w:r w:rsidR="00791C1A" w:rsidRPr="00E5368A">
        <w:rPr>
          <w:rFonts w:ascii="Palatino Linotype" w:hAnsi="Palatino Linotype"/>
        </w:rPr>
        <w:t xml:space="preserve"> de </w:t>
      </w:r>
      <w:r w:rsidR="003063E9" w:rsidRPr="00E5368A">
        <w:rPr>
          <w:rFonts w:ascii="Palatino Linotype" w:hAnsi="Palatino Linotype"/>
          <w:b/>
        </w:rPr>
        <w:t>veintidós de enero</w:t>
      </w:r>
      <w:r w:rsidR="00433919" w:rsidRPr="00E5368A">
        <w:rPr>
          <w:rFonts w:ascii="Palatino Linotype" w:hAnsi="Palatino Linotype"/>
          <w:b/>
        </w:rPr>
        <w:t xml:space="preserve"> </w:t>
      </w:r>
      <w:r w:rsidR="003063E9" w:rsidRPr="00E5368A">
        <w:rPr>
          <w:rFonts w:ascii="Palatino Linotype" w:hAnsi="Palatino Linotype"/>
          <w:b/>
        </w:rPr>
        <w:t>de dos mil veinticinco</w:t>
      </w:r>
      <w:r w:rsidR="00224377" w:rsidRPr="00E5368A">
        <w:rPr>
          <w:rFonts w:ascii="Palatino Linotype" w:hAnsi="Palatino Linotype"/>
          <w:b/>
        </w:rPr>
        <w:t xml:space="preserve">, </w:t>
      </w:r>
      <w:r w:rsidR="00791C1A" w:rsidRPr="00E5368A">
        <w:rPr>
          <w:rFonts w:ascii="Palatino Linotype" w:hAnsi="Palatino Linotype"/>
        </w:rPr>
        <w:t xml:space="preserve">se  decretó el cierre de instrucción, </w:t>
      </w:r>
      <w:r w:rsidR="00791C1A" w:rsidRPr="00E5368A">
        <w:rPr>
          <w:rFonts w:ascii="Palatino Linotype" w:hAnsi="Palatino Linotype" w:cs="Arial"/>
        </w:rPr>
        <w:t>por lo que no ha</w:t>
      </w:r>
      <w:bookmarkStart w:id="133" w:name="_Toc491791302"/>
      <w:bookmarkStart w:id="134" w:name="_Toc83128578"/>
      <w:r w:rsidR="00791C1A" w:rsidRPr="00E5368A">
        <w:rPr>
          <w:rFonts w:ascii="Palatino Linotype" w:hAnsi="Palatino Linotype" w:cs="Arial"/>
        </w:rPr>
        <w:t>biendo más que hacer constar, y------------------</w:t>
      </w:r>
      <w:r w:rsidR="00C37399" w:rsidRPr="00E5368A">
        <w:rPr>
          <w:rFonts w:ascii="Palatino Linotype" w:hAnsi="Palatino Linotype" w:cs="Arial"/>
        </w:rPr>
        <w:t>------------------------------------------------------------------------</w:t>
      </w:r>
      <w:r w:rsidR="003063E9" w:rsidRPr="00E5368A">
        <w:rPr>
          <w:rFonts w:ascii="Palatino Linotype" w:hAnsi="Palatino Linotype" w:cs="Arial"/>
        </w:rPr>
        <w:t>--------------------</w:t>
      </w:r>
    </w:p>
    <w:p w:rsidR="00791C1A" w:rsidRPr="00E5368A" w:rsidRDefault="00791C1A" w:rsidP="00791C1A">
      <w:pPr>
        <w:pStyle w:val="Prrafodelista"/>
        <w:spacing w:line="360" w:lineRule="auto"/>
        <w:ind w:left="0"/>
        <w:rPr>
          <w:rFonts w:ascii="Palatino Linotype" w:hAnsi="Palatino Linotype"/>
          <w:b/>
          <w:color w:val="000000" w:themeColor="text1"/>
        </w:rPr>
      </w:pPr>
    </w:p>
    <w:p w:rsidR="00791C1A" w:rsidRPr="00E5368A" w:rsidRDefault="00791C1A" w:rsidP="00791C1A">
      <w:pPr>
        <w:pStyle w:val="Prrafodelista"/>
        <w:spacing w:line="360" w:lineRule="auto"/>
        <w:ind w:left="0"/>
        <w:jc w:val="center"/>
        <w:rPr>
          <w:rFonts w:ascii="Palatino Linotype" w:hAnsi="Palatino Linotype"/>
          <w:b/>
          <w:color w:val="000000" w:themeColor="text1"/>
        </w:rPr>
      </w:pPr>
      <w:r w:rsidRPr="00E5368A">
        <w:rPr>
          <w:rFonts w:ascii="Palatino Linotype" w:hAnsi="Palatino Linotype"/>
          <w:b/>
          <w:color w:val="000000" w:themeColor="text1"/>
        </w:rPr>
        <w:t>CONSIDERANDO</w:t>
      </w:r>
      <w:bookmarkEnd w:id="133"/>
      <w:bookmarkEnd w:id="134"/>
    </w:p>
    <w:p w:rsidR="00791C1A" w:rsidRPr="00E5368A" w:rsidRDefault="00791C1A" w:rsidP="00791C1A">
      <w:pPr>
        <w:pStyle w:val="Prrafodelista"/>
        <w:spacing w:line="360" w:lineRule="auto"/>
        <w:ind w:left="0"/>
        <w:jc w:val="center"/>
        <w:rPr>
          <w:rFonts w:ascii="Palatino Linotype" w:hAnsi="Palatino Linotype"/>
          <w:b/>
          <w:color w:val="000000" w:themeColor="text1"/>
        </w:rPr>
      </w:pPr>
    </w:p>
    <w:p w:rsidR="00791C1A" w:rsidRPr="00E5368A" w:rsidRDefault="00791C1A" w:rsidP="00433919">
      <w:pPr>
        <w:pStyle w:val="Ttulo2"/>
        <w:spacing w:before="0" w:line="360" w:lineRule="auto"/>
        <w:rPr>
          <w:rFonts w:ascii="Palatino Linotype" w:hAnsi="Palatino Linotype"/>
          <w:b/>
          <w:color w:val="auto"/>
          <w:sz w:val="24"/>
          <w:szCs w:val="24"/>
        </w:rPr>
      </w:pPr>
      <w:bookmarkStart w:id="135" w:name="_Toc491791303"/>
      <w:bookmarkStart w:id="136" w:name="_Toc83128579"/>
      <w:r w:rsidRPr="00E5368A">
        <w:rPr>
          <w:rFonts w:ascii="Palatino Linotype" w:hAnsi="Palatino Linotype"/>
          <w:b/>
          <w:color w:val="auto"/>
          <w:sz w:val="24"/>
          <w:szCs w:val="24"/>
        </w:rPr>
        <w:t>PRIMERO. De la competencia</w:t>
      </w:r>
      <w:bookmarkEnd w:id="135"/>
      <w:bookmarkEnd w:id="136"/>
    </w:p>
    <w:p w:rsidR="00791C1A" w:rsidRPr="00E5368A" w:rsidRDefault="00791C1A" w:rsidP="00791C1A">
      <w:pPr>
        <w:pStyle w:val="Prrafodelista"/>
        <w:numPr>
          <w:ilvl w:val="0"/>
          <w:numId w:val="1"/>
        </w:numPr>
        <w:spacing w:line="360" w:lineRule="auto"/>
        <w:ind w:left="0" w:firstLine="0"/>
        <w:jc w:val="both"/>
        <w:rPr>
          <w:rFonts w:ascii="Palatino Linotype" w:hAnsi="Palatino Linotype"/>
        </w:rPr>
      </w:pPr>
      <w:r w:rsidRPr="00E5368A">
        <w:rPr>
          <w:rFonts w:ascii="Palatino Linotype" w:hAnsi="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w:t>
      </w:r>
      <w:r w:rsidRPr="00E5368A">
        <w:rPr>
          <w:rFonts w:ascii="Palatino Linotype" w:hAnsi="Palatino Linotype"/>
        </w:rPr>
        <w:lastRenderedPageBreak/>
        <w:t>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791C1A" w:rsidRPr="00E5368A" w:rsidRDefault="00791C1A" w:rsidP="00791C1A">
      <w:pPr>
        <w:pStyle w:val="Prrafodelista"/>
        <w:spacing w:line="360" w:lineRule="auto"/>
        <w:ind w:left="0"/>
        <w:jc w:val="both"/>
        <w:rPr>
          <w:rFonts w:ascii="Palatino Linotype" w:hAnsi="Palatino Linotype"/>
        </w:rPr>
      </w:pPr>
    </w:p>
    <w:p w:rsidR="00791C1A" w:rsidRPr="00E5368A" w:rsidRDefault="00791C1A" w:rsidP="00791C1A">
      <w:pPr>
        <w:pStyle w:val="Ttulo2"/>
        <w:spacing w:before="0" w:line="360" w:lineRule="auto"/>
        <w:rPr>
          <w:rFonts w:ascii="Palatino Linotype" w:hAnsi="Palatino Linotype"/>
          <w:b/>
          <w:color w:val="auto"/>
          <w:sz w:val="24"/>
          <w:szCs w:val="24"/>
        </w:rPr>
      </w:pPr>
      <w:bookmarkStart w:id="137" w:name="_Toc491791304"/>
      <w:bookmarkStart w:id="138" w:name="_Toc83128580"/>
      <w:r w:rsidRPr="00E5368A">
        <w:rPr>
          <w:rFonts w:ascii="Palatino Linotype" w:hAnsi="Palatino Linotype"/>
          <w:b/>
          <w:color w:val="auto"/>
          <w:sz w:val="24"/>
          <w:szCs w:val="24"/>
        </w:rPr>
        <w:t>SEGUNDO. De la oportunidad y procedencia.</w:t>
      </w:r>
      <w:bookmarkEnd w:id="137"/>
      <w:bookmarkEnd w:id="138"/>
    </w:p>
    <w:p w:rsidR="00791C1A" w:rsidRPr="00E5368A" w:rsidRDefault="00791C1A" w:rsidP="00791C1A">
      <w:pPr>
        <w:spacing w:line="360" w:lineRule="auto"/>
        <w:rPr>
          <w:rFonts w:ascii="Palatino Linotype" w:hAnsi="Palatino Linotype"/>
          <w:sz w:val="24"/>
          <w:szCs w:val="24"/>
        </w:rPr>
      </w:pPr>
    </w:p>
    <w:p w:rsidR="00791C1A" w:rsidRPr="00E5368A" w:rsidRDefault="00791C1A" w:rsidP="00791C1A">
      <w:pPr>
        <w:pStyle w:val="Prrafodelista"/>
        <w:numPr>
          <w:ilvl w:val="0"/>
          <w:numId w:val="1"/>
        </w:numPr>
        <w:spacing w:line="360" w:lineRule="auto"/>
        <w:ind w:left="0" w:firstLine="0"/>
        <w:jc w:val="both"/>
        <w:rPr>
          <w:rFonts w:ascii="Palatino Linotype" w:hAnsi="Palatino Linotype"/>
        </w:rPr>
      </w:pPr>
      <w:r w:rsidRPr="00E5368A">
        <w:rPr>
          <w:rFonts w:ascii="Palatino Linotype" w:eastAsia="Calibri" w:hAnsi="Palatino Linotype" w:cs="Arial"/>
        </w:rPr>
        <w:t xml:space="preserve">El medio de impugnación fue presentado a través del </w:t>
      </w:r>
      <w:r w:rsidRPr="00E5368A">
        <w:rPr>
          <w:rFonts w:ascii="Palatino Linotype" w:eastAsia="Calibri" w:hAnsi="Palatino Linotype" w:cs="Arial"/>
          <w:b/>
        </w:rPr>
        <w:t>SAIMEX,</w:t>
      </w:r>
      <w:r w:rsidRPr="00E5368A">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E5368A">
        <w:rPr>
          <w:rFonts w:ascii="Palatino Linotype" w:eastAsia="Calibri" w:hAnsi="Palatino Linotype" w:cs="Arial"/>
          <w:b/>
        </w:rPr>
        <w:t>SUJETO OBLIGADO</w:t>
      </w:r>
      <w:r w:rsidR="004D2442" w:rsidRPr="00E5368A">
        <w:rPr>
          <w:rFonts w:ascii="Palatino Linotype" w:eastAsia="Calibri" w:hAnsi="Palatino Linotype" w:cs="Arial"/>
        </w:rPr>
        <w:t xml:space="preserve"> </w:t>
      </w:r>
      <w:r w:rsidR="00382576" w:rsidRPr="00E5368A">
        <w:rPr>
          <w:rFonts w:ascii="Palatino Linotype" w:eastAsia="Calibri" w:hAnsi="Palatino Linotype" w:cs="Arial"/>
        </w:rPr>
        <w:t>dio respuesta</w:t>
      </w:r>
      <w:r w:rsidR="004D2442" w:rsidRPr="00E5368A">
        <w:rPr>
          <w:rFonts w:ascii="Palatino Linotype" w:eastAsia="Calibri" w:hAnsi="Palatino Linotype" w:cs="Arial"/>
        </w:rPr>
        <w:t xml:space="preserve"> el </w:t>
      </w:r>
      <w:r w:rsidR="003063E9" w:rsidRPr="00E5368A">
        <w:rPr>
          <w:rFonts w:ascii="Palatino Linotype" w:eastAsia="Calibri" w:hAnsi="Palatino Linotype" w:cs="Arial"/>
          <w:b/>
        </w:rPr>
        <w:t xml:space="preserve">trece de marzo </w:t>
      </w:r>
      <w:r w:rsidR="004D2442" w:rsidRPr="00E5368A">
        <w:rPr>
          <w:rFonts w:ascii="Palatino Linotype" w:eastAsia="Calibri" w:hAnsi="Palatino Linotype" w:cs="Arial"/>
          <w:b/>
        </w:rPr>
        <w:t>de dos mil veinticuatro</w:t>
      </w:r>
      <w:r w:rsidRPr="00E5368A">
        <w:rPr>
          <w:rFonts w:ascii="Palatino Linotype" w:eastAsia="Calibri" w:hAnsi="Palatino Linotype" w:cs="Arial"/>
        </w:rPr>
        <w:t xml:space="preserve">, </w:t>
      </w:r>
      <w:r w:rsidRPr="00E5368A">
        <w:rPr>
          <w:rFonts w:ascii="Palatino Linotype" w:hAnsi="Palatino Linotype" w:cs="Arial"/>
        </w:rPr>
        <w:t>de tal forma que el plazo para interponer el recurso d</w:t>
      </w:r>
      <w:r w:rsidR="00C37399" w:rsidRPr="00E5368A">
        <w:rPr>
          <w:rFonts w:ascii="Palatino Linotype" w:hAnsi="Palatino Linotype" w:cs="Arial"/>
        </w:rPr>
        <w:t>e revisión transcurrió del</w:t>
      </w:r>
      <w:r w:rsidR="00433919" w:rsidRPr="00E5368A">
        <w:rPr>
          <w:rFonts w:ascii="Palatino Linotype" w:hAnsi="Palatino Linotype" w:cs="Arial"/>
          <w:b/>
        </w:rPr>
        <w:t xml:space="preserve"> </w:t>
      </w:r>
      <w:r w:rsidR="003063E9" w:rsidRPr="00E5368A">
        <w:rPr>
          <w:rFonts w:ascii="Palatino Linotype" w:hAnsi="Palatino Linotype" w:cs="Arial"/>
          <w:b/>
        </w:rPr>
        <w:t xml:space="preserve">catorce de marzo al once de abril </w:t>
      </w:r>
      <w:r w:rsidR="00382576" w:rsidRPr="00E5368A">
        <w:rPr>
          <w:rFonts w:ascii="Palatino Linotype" w:hAnsi="Palatino Linotype" w:cs="Arial"/>
          <w:b/>
        </w:rPr>
        <w:t>de dos mil veinticuatro</w:t>
      </w:r>
      <w:r w:rsidR="00433919" w:rsidRPr="00E5368A">
        <w:rPr>
          <w:rFonts w:ascii="Palatino Linotype" w:hAnsi="Palatino Linotype" w:cs="Arial"/>
          <w:b/>
        </w:rPr>
        <w:t xml:space="preserve"> </w:t>
      </w:r>
      <w:r w:rsidRPr="00E5368A">
        <w:rPr>
          <w:rFonts w:ascii="Palatino Linotype" w:hAnsi="Palatino Linotype" w:cs="Arial"/>
        </w:rPr>
        <w:t xml:space="preserve">; en consecuencia, el ahora </w:t>
      </w:r>
      <w:r w:rsidRPr="00E5368A">
        <w:rPr>
          <w:rFonts w:ascii="Palatino Linotype" w:hAnsi="Palatino Linotype" w:cs="Arial"/>
          <w:b/>
        </w:rPr>
        <w:t>RECURRENTE</w:t>
      </w:r>
      <w:r w:rsidRPr="00E5368A">
        <w:rPr>
          <w:rFonts w:ascii="Palatino Linotype" w:hAnsi="Palatino Linotype" w:cs="Arial"/>
        </w:rPr>
        <w:t xml:space="preserve"> </w:t>
      </w:r>
      <w:r w:rsidR="00C37399" w:rsidRPr="00E5368A">
        <w:rPr>
          <w:rFonts w:ascii="Palatino Linotype" w:hAnsi="Palatino Linotype" w:cs="Arial"/>
        </w:rPr>
        <w:t>presentó su inconformidad el</w:t>
      </w:r>
      <w:r w:rsidRPr="00E5368A">
        <w:rPr>
          <w:rFonts w:ascii="Palatino Linotype" w:hAnsi="Palatino Linotype" w:cs="Arial"/>
        </w:rPr>
        <w:t xml:space="preserve"> </w:t>
      </w:r>
      <w:r w:rsidR="003063E9" w:rsidRPr="00E5368A">
        <w:rPr>
          <w:rFonts w:ascii="Palatino Linotype" w:hAnsi="Palatino Linotype" w:cs="Arial"/>
          <w:b/>
        </w:rPr>
        <w:t>diecinueve de marzo</w:t>
      </w:r>
      <w:r w:rsidR="004D2442" w:rsidRPr="00E5368A">
        <w:rPr>
          <w:rFonts w:ascii="Palatino Linotype" w:hAnsi="Palatino Linotype" w:cs="Arial"/>
          <w:b/>
        </w:rPr>
        <w:t xml:space="preserve"> de dos mil veinticuatro</w:t>
      </w:r>
      <w:r w:rsidRPr="00E5368A">
        <w:rPr>
          <w:rFonts w:ascii="Palatino Linotype" w:hAnsi="Palatino Linotype" w:cs="Arial"/>
        </w:rPr>
        <w:t>; por lo que se estima que la inconformidad se presentó dentro del lapso legalmente establecido para tal efecto.</w:t>
      </w:r>
    </w:p>
    <w:p w:rsidR="00791C1A" w:rsidRPr="00E5368A" w:rsidRDefault="00AA7A68" w:rsidP="00791C1A">
      <w:pPr>
        <w:numPr>
          <w:ilvl w:val="0"/>
          <w:numId w:val="1"/>
        </w:numPr>
        <w:spacing w:before="240" w:after="240" w:line="360" w:lineRule="auto"/>
        <w:ind w:left="0" w:right="48" w:firstLine="0"/>
        <w:contextualSpacing/>
        <w:jc w:val="both"/>
        <w:rPr>
          <w:rFonts w:ascii="Palatino Linotype" w:hAnsi="Palatino Linotype"/>
          <w:sz w:val="24"/>
          <w:szCs w:val="24"/>
        </w:rPr>
      </w:pPr>
      <w:r w:rsidRPr="00E5368A">
        <w:rPr>
          <w:rFonts w:ascii="Palatino Linotype" w:hAnsi="Palatino Linotype"/>
          <w:sz w:val="24"/>
          <w:szCs w:val="24"/>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791C1A" w:rsidRPr="00E5368A" w:rsidRDefault="00791C1A" w:rsidP="00791C1A">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E5368A">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E5368A">
        <w:rPr>
          <w:rFonts w:ascii="Palatino Linotype" w:hAnsi="Palatino Linotype"/>
          <w:b/>
          <w:color w:val="000000" w:themeColor="text1"/>
          <w:sz w:val="24"/>
          <w:szCs w:val="24"/>
        </w:rPr>
        <w:t xml:space="preserve">Del planteamiento de la </w:t>
      </w:r>
      <w:r w:rsidRPr="00E5368A">
        <w:rPr>
          <w:rFonts w:ascii="Palatino Linotype" w:hAnsi="Palatino Linotype"/>
          <w:b/>
          <w:i/>
          <w:color w:val="000000" w:themeColor="text1"/>
          <w:sz w:val="24"/>
          <w:szCs w:val="24"/>
        </w:rPr>
        <w:t>Litis</w:t>
      </w:r>
      <w:r w:rsidRPr="00E5368A">
        <w:rPr>
          <w:rFonts w:ascii="Palatino Linotype" w:hAnsi="Palatino Linotype"/>
          <w:b/>
          <w:color w:val="000000" w:themeColor="text1"/>
          <w:sz w:val="24"/>
          <w:szCs w:val="24"/>
        </w:rPr>
        <w:t>.</w:t>
      </w:r>
      <w:bookmarkEnd w:id="141"/>
      <w:bookmarkEnd w:id="142"/>
      <w:bookmarkEnd w:id="143"/>
      <w:bookmarkEnd w:id="144"/>
      <w:bookmarkEnd w:id="145"/>
    </w:p>
    <w:p w:rsidR="00791C1A" w:rsidRPr="00E5368A" w:rsidRDefault="00791C1A" w:rsidP="00791C1A">
      <w:pPr>
        <w:spacing w:line="360" w:lineRule="auto"/>
        <w:rPr>
          <w:rFonts w:ascii="Palatino Linotype" w:hAnsi="Palatino Linotype"/>
          <w:sz w:val="24"/>
          <w:szCs w:val="24"/>
        </w:rPr>
      </w:pPr>
    </w:p>
    <w:p w:rsidR="000433E1" w:rsidRPr="00E5368A" w:rsidRDefault="00791C1A" w:rsidP="00382576">
      <w:pPr>
        <w:pStyle w:val="Prrafodelista"/>
        <w:numPr>
          <w:ilvl w:val="0"/>
          <w:numId w:val="1"/>
        </w:numPr>
        <w:spacing w:line="360" w:lineRule="auto"/>
        <w:ind w:left="0" w:firstLine="0"/>
        <w:jc w:val="both"/>
        <w:rPr>
          <w:rFonts w:ascii="Palatino Linotype" w:hAnsi="Palatino Linotype" w:cs="Arial"/>
        </w:rPr>
      </w:pPr>
      <w:r w:rsidRPr="00E5368A">
        <w:rPr>
          <w:rFonts w:ascii="Palatino Linotype" w:hAnsi="Palatino Linotype" w:cs="Arial"/>
        </w:rPr>
        <w:lastRenderedPageBreak/>
        <w:t xml:space="preserve">Se </w:t>
      </w:r>
      <w:r w:rsidRPr="00E5368A">
        <w:rPr>
          <w:rFonts w:ascii="Palatino Linotype" w:eastAsia="Calibri" w:hAnsi="Palatino Linotype" w:cs="Arial"/>
        </w:rPr>
        <w:t>solicitó</w:t>
      </w:r>
      <w:r w:rsidRPr="00E5368A">
        <w:rPr>
          <w:rFonts w:ascii="Palatino Linotype" w:hAnsi="Palatino Linotype" w:cs="Arial"/>
        </w:rPr>
        <w:t xml:space="preserve"> tener acceso, a la información</w:t>
      </w:r>
      <w:r w:rsidR="00AA7A68" w:rsidRPr="00E5368A">
        <w:rPr>
          <w:rFonts w:ascii="Palatino Linotype" w:hAnsi="Palatino Linotype" w:cs="Arial"/>
        </w:rPr>
        <w:t xml:space="preserve"> </w:t>
      </w:r>
      <w:r w:rsidR="00382576" w:rsidRPr="00E5368A">
        <w:rPr>
          <w:rFonts w:ascii="Palatino Linotype" w:hAnsi="Palatino Linotype" w:cs="Arial"/>
        </w:rPr>
        <w:t>siguiente:</w:t>
      </w:r>
    </w:p>
    <w:p w:rsidR="003063E9" w:rsidRPr="00E5368A" w:rsidRDefault="003063E9" w:rsidP="003063E9">
      <w:pPr>
        <w:spacing w:line="276" w:lineRule="auto"/>
        <w:ind w:left="993" w:right="900"/>
        <w:jc w:val="both"/>
        <w:rPr>
          <w:rFonts w:ascii="Palatino Linotype" w:hAnsi="Palatino Linotype" w:cs="Arial"/>
          <w:sz w:val="24"/>
          <w:szCs w:val="24"/>
        </w:rPr>
      </w:pPr>
      <w:r w:rsidRPr="00E5368A">
        <w:rPr>
          <w:rFonts w:ascii="Palatino Linotype" w:hAnsi="Palatino Linotype" w:cs="Arial"/>
          <w:sz w:val="24"/>
          <w:szCs w:val="24"/>
        </w:rPr>
        <w:t>1.- Acuerdos de fecha diecisiete de octubre de dos mil veintitrés dónde la Legislatura del Estado se declaró incompetente de seguir conociendo los diferendos limítrofes del Municipio de Teoloyucan.</w:t>
      </w:r>
    </w:p>
    <w:p w:rsidR="0069152E" w:rsidRPr="00E5368A" w:rsidRDefault="003063E9" w:rsidP="0069152E">
      <w:pPr>
        <w:spacing w:line="276" w:lineRule="auto"/>
        <w:ind w:left="993" w:right="900"/>
        <w:jc w:val="both"/>
        <w:rPr>
          <w:rFonts w:ascii="Palatino Linotype" w:hAnsi="Palatino Linotype" w:cs="Arial"/>
          <w:sz w:val="24"/>
          <w:szCs w:val="24"/>
        </w:rPr>
      </w:pPr>
      <w:r w:rsidRPr="00E5368A">
        <w:rPr>
          <w:rFonts w:ascii="Palatino Linotype" w:hAnsi="Palatino Linotype" w:cs="Arial"/>
          <w:sz w:val="24"/>
          <w:szCs w:val="24"/>
        </w:rPr>
        <w:t xml:space="preserve"> 2.-Todos los documentos anexos de lo solicitado</w:t>
      </w:r>
    </w:p>
    <w:p w:rsidR="0069152E" w:rsidRPr="00E5368A" w:rsidRDefault="0069152E" w:rsidP="0069152E">
      <w:pPr>
        <w:spacing w:line="276" w:lineRule="auto"/>
        <w:ind w:left="993" w:right="900"/>
        <w:jc w:val="both"/>
        <w:rPr>
          <w:rFonts w:ascii="Palatino Linotype" w:hAnsi="Palatino Linotype" w:cs="Arial"/>
          <w:sz w:val="24"/>
          <w:szCs w:val="24"/>
        </w:rPr>
      </w:pPr>
    </w:p>
    <w:p w:rsidR="00133022" w:rsidRPr="00E5368A" w:rsidRDefault="004D2442" w:rsidP="0069152E">
      <w:pPr>
        <w:pStyle w:val="Prrafodelista"/>
        <w:numPr>
          <w:ilvl w:val="0"/>
          <w:numId w:val="1"/>
        </w:numPr>
        <w:spacing w:line="360" w:lineRule="auto"/>
        <w:ind w:left="0" w:firstLine="0"/>
        <w:jc w:val="both"/>
        <w:rPr>
          <w:rFonts w:ascii="Palatino Linotype" w:eastAsia="MS Mincho" w:hAnsi="Palatino Linotype" w:cs="Arial"/>
        </w:rPr>
      </w:pPr>
      <w:r w:rsidRPr="00E5368A">
        <w:rPr>
          <w:rFonts w:ascii="Palatino Linotype" w:eastAsia="Calibri" w:hAnsi="Palatino Linotype" w:cs="Arial"/>
        </w:rPr>
        <w:t xml:space="preserve">El </w:t>
      </w:r>
      <w:r w:rsidR="00791C1A" w:rsidRPr="00E5368A">
        <w:rPr>
          <w:rFonts w:ascii="Palatino Linotype" w:eastAsia="Calibri" w:hAnsi="Palatino Linotype" w:cs="Arial"/>
          <w:b/>
        </w:rPr>
        <w:t>SUJETO OBLIGADO</w:t>
      </w:r>
      <w:r w:rsidR="005F1478" w:rsidRPr="00E5368A">
        <w:rPr>
          <w:rFonts w:ascii="Palatino Linotype" w:eastAsia="Calibri" w:hAnsi="Palatino Linotype" w:cs="Arial"/>
        </w:rPr>
        <w:t>, dio respuesta como quedo referido en el numeral 2 del presente proyecto.</w:t>
      </w:r>
    </w:p>
    <w:p w:rsidR="005F1478" w:rsidRPr="00E5368A" w:rsidRDefault="005F1478" w:rsidP="005F1478">
      <w:pPr>
        <w:pStyle w:val="Prrafodelista"/>
        <w:spacing w:line="360" w:lineRule="auto"/>
        <w:ind w:left="0"/>
        <w:jc w:val="both"/>
        <w:rPr>
          <w:rFonts w:ascii="Palatino Linotype" w:eastAsia="Palatino Linotype" w:hAnsi="Palatino Linotype" w:cs="Palatino Linotype"/>
        </w:rPr>
      </w:pPr>
    </w:p>
    <w:p w:rsidR="005F1478" w:rsidRPr="00E5368A" w:rsidRDefault="005F1478" w:rsidP="003063E9">
      <w:pPr>
        <w:pStyle w:val="Prrafodelista"/>
        <w:numPr>
          <w:ilvl w:val="0"/>
          <w:numId w:val="1"/>
        </w:numPr>
        <w:spacing w:line="360" w:lineRule="auto"/>
        <w:ind w:left="0" w:firstLine="0"/>
        <w:jc w:val="both"/>
        <w:rPr>
          <w:rFonts w:ascii="Palatino Linotype" w:eastAsia="Palatino Linotype" w:hAnsi="Palatino Linotype" w:cs="Palatino Linotype"/>
        </w:rPr>
      </w:pPr>
      <w:r w:rsidRPr="00E5368A">
        <w:rPr>
          <w:rFonts w:ascii="Palatino Linotype" w:eastAsia="Palatino Linotype" w:hAnsi="Palatino Linotype" w:cs="Palatino Linotype"/>
        </w:rPr>
        <w:t xml:space="preserve">Inconforme con lo anterior, el ahora </w:t>
      </w:r>
      <w:r w:rsidRPr="00E5368A">
        <w:rPr>
          <w:rFonts w:ascii="Palatino Linotype" w:eastAsia="Palatino Linotype" w:hAnsi="Palatino Linotype" w:cs="Palatino Linotype"/>
          <w:b/>
        </w:rPr>
        <w:t xml:space="preserve">RECURRENTE, </w:t>
      </w:r>
      <w:r w:rsidR="003063E9" w:rsidRPr="00E5368A">
        <w:rPr>
          <w:rFonts w:ascii="Palatino Linotype" w:eastAsia="Palatino Linotype" w:hAnsi="Palatino Linotype" w:cs="Palatino Linotype"/>
        </w:rPr>
        <w:t xml:space="preserve">interpuso el recurso de </w:t>
      </w:r>
      <w:r w:rsidRPr="00E5368A">
        <w:rPr>
          <w:rFonts w:ascii="Palatino Linotype" w:eastAsia="Palatino Linotype" w:hAnsi="Palatino Linotype" w:cs="Palatino Linotype"/>
        </w:rPr>
        <w:t xml:space="preserve">revisión que nos ocupa, arguyendo </w:t>
      </w:r>
      <w:r w:rsidR="003063E9" w:rsidRPr="00E5368A">
        <w:rPr>
          <w:rFonts w:ascii="Palatino Linotype" w:eastAsia="Palatino Linotype" w:hAnsi="Palatino Linotype" w:cs="Palatino Linotype"/>
        </w:rPr>
        <w:t>la clasificación de la información.</w:t>
      </w:r>
    </w:p>
    <w:p w:rsidR="005F1478" w:rsidRPr="00E5368A" w:rsidRDefault="005F1478" w:rsidP="005F1478">
      <w:pPr>
        <w:pBdr>
          <w:top w:val="nil"/>
          <w:left w:val="nil"/>
          <w:bottom w:val="nil"/>
          <w:right w:val="nil"/>
          <w:between w:val="nil"/>
        </w:pBdr>
        <w:tabs>
          <w:tab w:val="left" w:pos="0"/>
        </w:tabs>
        <w:suppressAutoHyphens/>
        <w:spacing w:line="360" w:lineRule="auto"/>
        <w:ind w:left="360"/>
        <w:jc w:val="both"/>
        <w:rPr>
          <w:rFonts w:ascii="Palatino Linotype" w:eastAsia="Palatino Linotype" w:hAnsi="Palatino Linotype" w:cs="Palatino Linotype"/>
          <w:sz w:val="24"/>
          <w:szCs w:val="24"/>
        </w:rPr>
      </w:pPr>
    </w:p>
    <w:p w:rsidR="005F1478" w:rsidRPr="00E5368A" w:rsidRDefault="005F1478" w:rsidP="005F1478">
      <w:pPr>
        <w:pStyle w:val="Prrafodelista"/>
        <w:numPr>
          <w:ilvl w:val="0"/>
          <w:numId w:val="1"/>
        </w:numPr>
        <w:spacing w:line="360" w:lineRule="auto"/>
        <w:ind w:left="0" w:firstLine="0"/>
        <w:jc w:val="both"/>
        <w:rPr>
          <w:rFonts w:ascii="Palatino Linotype" w:eastAsia="Palatino Linotype" w:hAnsi="Palatino Linotype" w:cs="Palatino Linotype"/>
        </w:rPr>
      </w:pPr>
      <w:r w:rsidRPr="00E5368A">
        <w:rPr>
          <w:rFonts w:ascii="Palatino Linotype" w:eastAsia="Palatino Linotype" w:hAnsi="Palatino Linotype" w:cs="Palatino Linotype"/>
        </w:rPr>
        <w:t xml:space="preserve">Dicho lo anterior, se colige que , en dichas condiciones, la </w:t>
      </w:r>
      <w:r w:rsidRPr="00E5368A">
        <w:rPr>
          <w:rFonts w:ascii="Palatino Linotype" w:eastAsia="Palatino Linotype" w:hAnsi="Palatino Linotype" w:cs="Palatino Linotype"/>
          <w:i/>
        </w:rPr>
        <w:t>Litis</w:t>
      </w:r>
      <w:r w:rsidRPr="00E5368A">
        <w:rPr>
          <w:rFonts w:ascii="Palatino Linotype" w:eastAsia="Palatino Linotype" w:hAnsi="Palatino Linotype" w:cs="Palatino Linotype"/>
        </w:rPr>
        <w:t xml:space="preserve"> a resolver en este recurso se circunscribe a determinar si se actualiza la causal de procedencia prevista en el artículo 179, </w:t>
      </w:r>
      <w:r w:rsidR="003063E9" w:rsidRPr="00E5368A">
        <w:rPr>
          <w:rFonts w:ascii="Palatino Linotype" w:eastAsia="Palatino Linotype" w:hAnsi="Palatino Linotype" w:cs="Palatino Linotype"/>
          <w:b/>
        </w:rPr>
        <w:t>fracción I</w:t>
      </w:r>
      <w:r w:rsidRPr="00E5368A">
        <w:rPr>
          <w:rFonts w:ascii="Palatino Linotype" w:eastAsia="Palatino Linotype" w:hAnsi="Palatino Linotype" w:cs="Palatino Linotype"/>
          <w:b/>
        </w:rPr>
        <w:t xml:space="preserve">I </w:t>
      </w:r>
      <w:r w:rsidRPr="00E5368A">
        <w:rPr>
          <w:rFonts w:ascii="Palatino Linotype" w:eastAsia="Palatino Linotype" w:hAnsi="Palatino Linotype" w:cs="Palatino Linotype"/>
        </w:rPr>
        <w:t xml:space="preserve">de la </w:t>
      </w:r>
      <w:r w:rsidRPr="00E5368A">
        <w:rPr>
          <w:rFonts w:ascii="Palatino Linotype" w:eastAsia="Palatino Linotype" w:hAnsi="Palatino Linotype" w:cs="Palatino Linotype"/>
          <w:b/>
        </w:rPr>
        <w:t xml:space="preserve">Ley de Transparencia y Acceso a la Información Pública del Estado de </w:t>
      </w:r>
      <w:r w:rsidRPr="00E5368A">
        <w:rPr>
          <w:rFonts w:ascii="Palatino Linotype" w:eastAsia="Palatino Linotype" w:hAnsi="Palatino Linotype" w:cs="Palatino Linotype"/>
        </w:rPr>
        <w:t>México</w:t>
      </w:r>
      <w:r w:rsidRPr="00E5368A">
        <w:rPr>
          <w:rFonts w:ascii="Palatino Linotype" w:eastAsia="Palatino Linotype" w:hAnsi="Palatino Linotype" w:cs="Palatino Linotype"/>
          <w:b/>
        </w:rPr>
        <w:t xml:space="preserve"> y </w:t>
      </w:r>
      <w:r w:rsidRPr="00E5368A">
        <w:rPr>
          <w:rFonts w:ascii="Palatino Linotype" w:eastAsia="Palatino Linotype" w:hAnsi="Palatino Linotype" w:cs="Palatino Linotype"/>
        </w:rPr>
        <w:t xml:space="preserve">Municipios; </w:t>
      </w:r>
      <w:r w:rsidRPr="00E5368A">
        <w:rPr>
          <w:rFonts w:ascii="Palatino Linotype" w:eastAsia="Palatino Linotype" w:hAnsi="Palatino Linotype" w:cs="Palatino Linotype"/>
          <w:color w:val="000000"/>
        </w:rPr>
        <w:t xml:space="preserve">fracción que determina la hipótesis jurídica relativa </w:t>
      </w:r>
      <w:r w:rsidR="003063E9" w:rsidRPr="00E5368A">
        <w:rPr>
          <w:rFonts w:ascii="Palatino Linotype" w:eastAsia="Palatino Linotype" w:hAnsi="Palatino Linotype" w:cs="Palatino Linotype"/>
          <w:color w:val="000000"/>
          <w:lang w:val="es-MX"/>
        </w:rPr>
        <w:t>II. La clasificación de la información;</w:t>
      </w:r>
      <w:r w:rsidRPr="00E5368A">
        <w:rPr>
          <w:rFonts w:ascii="Palatino Linotype" w:eastAsia="Palatino Linotype" w:hAnsi="Palatino Linotype" w:cs="Palatino Linotype"/>
          <w:color w:val="000000"/>
        </w:rPr>
        <w:t>;</w:t>
      </w:r>
      <w:r w:rsidRPr="00E5368A">
        <w:rPr>
          <w:rFonts w:ascii="Palatino Linotype" w:eastAsia="Palatino Linotype" w:hAnsi="Palatino Linotype" w:cs="Palatino Linotype"/>
          <w:b/>
          <w:color w:val="000000"/>
        </w:rPr>
        <w:t xml:space="preserve"> </w:t>
      </w:r>
      <w:r w:rsidRPr="00E5368A">
        <w:rPr>
          <w:rFonts w:ascii="Palatino Linotype" w:eastAsia="Palatino Linotype" w:hAnsi="Palatino Linotype" w:cs="Palatino Linotype"/>
        </w:rPr>
        <w:t xml:space="preserve">contexto del cual se dolió </w:t>
      </w:r>
      <w:r w:rsidRPr="00E5368A">
        <w:rPr>
          <w:rFonts w:ascii="Palatino Linotype" w:eastAsia="Palatino Linotype" w:hAnsi="Palatino Linotype" w:cs="Palatino Linotype"/>
          <w:b/>
        </w:rPr>
        <w:t xml:space="preserve">EL RECURRENTE </w:t>
      </w:r>
      <w:r w:rsidRPr="00E5368A">
        <w:rPr>
          <w:rFonts w:ascii="Palatino Linotype" w:eastAsia="Palatino Linotype" w:hAnsi="Palatino Linotype" w:cs="Palatino Linotype"/>
        </w:rPr>
        <w:t xml:space="preserve">al momento de interponer su inconformidad; </w:t>
      </w:r>
      <w:r w:rsidRPr="00E5368A">
        <w:rPr>
          <w:rFonts w:ascii="Palatino Linotype" w:eastAsia="Palatino Linotype" w:hAnsi="Palatino Linotype" w:cs="Palatino Linotype"/>
          <w:color w:val="000000"/>
        </w:rPr>
        <w:t xml:space="preserve">de modo tal que el presente recurso de revisión se abocara en determinar si el </w:t>
      </w:r>
      <w:r w:rsidRPr="00E5368A">
        <w:rPr>
          <w:rFonts w:ascii="Palatino Linotype" w:eastAsia="Palatino Linotype" w:hAnsi="Palatino Linotype" w:cs="Palatino Linotype"/>
          <w:b/>
          <w:color w:val="000000"/>
        </w:rPr>
        <w:t>SUJETO</w:t>
      </w:r>
      <w:r w:rsidRPr="00E5368A">
        <w:rPr>
          <w:rFonts w:ascii="Palatino Linotype" w:eastAsia="Palatino Linotype" w:hAnsi="Palatino Linotype" w:cs="Palatino Linotype"/>
          <w:color w:val="000000"/>
        </w:rPr>
        <w:t xml:space="preserve"> </w:t>
      </w:r>
      <w:r w:rsidRPr="00E5368A">
        <w:rPr>
          <w:rFonts w:ascii="Palatino Linotype" w:eastAsia="Palatino Linotype" w:hAnsi="Palatino Linotype" w:cs="Palatino Linotype"/>
          <w:b/>
          <w:color w:val="000000"/>
        </w:rPr>
        <w:t>OBLIGADO</w:t>
      </w:r>
      <w:r w:rsidRPr="00E5368A">
        <w:rPr>
          <w:rFonts w:ascii="Palatino Linotype" w:eastAsia="Palatino Linotype" w:hAnsi="Palatino Linotype" w:cs="Palatino Linotype"/>
          <w:color w:val="000000"/>
        </w:rPr>
        <w:t xml:space="preserve"> con su respuesta ciertamente actualiza la causal de procedencia</w:t>
      </w:r>
      <w:r w:rsidRPr="00E5368A">
        <w:rPr>
          <w:rFonts w:ascii="Palatino Linotype" w:eastAsia="Palatino Linotype" w:hAnsi="Palatino Linotype" w:cs="Palatino Linotype"/>
          <w:b/>
          <w:color w:val="000000"/>
        </w:rPr>
        <w:t xml:space="preserve"> </w:t>
      </w:r>
      <w:r w:rsidRPr="00E5368A">
        <w:rPr>
          <w:rFonts w:ascii="Palatino Linotype" w:eastAsia="Palatino Linotype" w:hAnsi="Palatino Linotype" w:cs="Palatino Linotype"/>
          <w:color w:val="000000"/>
        </w:rPr>
        <w:t xml:space="preserve">antes señalada. </w:t>
      </w:r>
    </w:p>
    <w:p w:rsidR="005F1478" w:rsidRPr="00E5368A" w:rsidRDefault="005F1478" w:rsidP="005F1478">
      <w:pPr>
        <w:pStyle w:val="Prrafodelista"/>
        <w:spacing w:line="360" w:lineRule="auto"/>
        <w:ind w:left="0"/>
        <w:jc w:val="both"/>
        <w:rPr>
          <w:rFonts w:ascii="Palatino Linotype" w:eastAsia="Palatino Linotype" w:hAnsi="Palatino Linotype" w:cs="Palatino Linotype"/>
        </w:rPr>
      </w:pPr>
    </w:p>
    <w:p w:rsidR="003063E9" w:rsidRPr="00E5368A" w:rsidRDefault="003063E9" w:rsidP="003063E9">
      <w:pPr>
        <w:autoSpaceDE w:val="0"/>
        <w:autoSpaceDN w:val="0"/>
        <w:adjustRightInd w:val="0"/>
        <w:ind w:left="1276" w:right="1752"/>
        <w:jc w:val="both"/>
        <w:rPr>
          <w:rFonts w:ascii="Palatino Linotype" w:hAnsi="Palatino Linotype" w:cs="Arial"/>
          <w:i/>
          <w:sz w:val="24"/>
          <w:szCs w:val="24"/>
        </w:rPr>
      </w:pPr>
      <w:r w:rsidRPr="00E5368A">
        <w:rPr>
          <w:rFonts w:ascii="Palatino Linotype" w:hAnsi="Palatino Linotype" w:cs="Arial"/>
          <w:bCs/>
          <w:i/>
          <w:sz w:val="24"/>
          <w:szCs w:val="24"/>
        </w:rPr>
        <w:t>“</w:t>
      </w:r>
      <w:r w:rsidRPr="00E5368A">
        <w:rPr>
          <w:rFonts w:ascii="Palatino Linotype" w:hAnsi="Palatino Linotype" w:cs="Arial"/>
          <w:b/>
          <w:bCs/>
          <w:i/>
          <w:sz w:val="24"/>
          <w:szCs w:val="24"/>
        </w:rPr>
        <w:t xml:space="preserve">Artículo 179. </w:t>
      </w:r>
      <w:r w:rsidRPr="00E5368A">
        <w:rPr>
          <w:rFonts w:ascii="Palatino Linotype" w:hAnsi="Palatino Linotype" w:cs="Arial"/>
          <w:i/>
          <w:sz w:val="24"/>
          <w:szCs w:val="24"/>
        </w:rPr>
        <w:t xml:space="preserve">El recurso de revisión es un medio de protección que la Ley otorga a los particulares, para hacer </w:t>
      </w:r>
      <w:r w:rsidRPr="00E5368A">
        <w:rPr>
          <w:rFonts w:ascii="Palatino Linotype" w:hAnsi="Palatino Linotype" w:cs="Arial"/>
          <w:i/>
          <w:sz w:val="24"/>
          <w:szCs w:val="24"/>
        </w:rPr>
        <w:lastRenderedPageBreak/>
        <w:t>valer su derecho de acceso a la información pública, y procederá en contra de las siguientes causas:</w:t>
      </w:r>
    </w:p>
    <w:p w:rsidR="003063E9" w:rsidRPr="00E5368A" w:rsidRDefault="003063E9" w:rsidP="003063E9">
      <w:pPr>
        <w:autoSpaceDE w:val="0"/>
        <w:autoSpaceDN w:val="0"/>
        <w:adjustRightInd w:val="0"/>
        <w:ind w:left="1276" w:right="1752"/>
        <w:jc w:val="both"/>
        <w:rPr>
          <w:rFonts w:ascii="Palatino Linotype" w:hAnsi="Palatino Linotype" w:cs="Arial"/>
          <w:i/>
          <w:sz w:val="24"/>
          <w:szCs w:val="24"/>
        </w:rPr>
      </w:pPr>
      <w:r w:rsidRPr="00E5368A">
        <w:rPr>
          <w:rFonts w:ascii="Palatino Linotype" w:hAnsi="Palatino Linotype" w:cs="Arial"/>
          <w:i/>
          <w:sz w:val="24"/>
          <w:szCs w:val="24"/>
        </w:rPr>
        <w:t>…</w:t>
      </w:r>
    </w:p>
    <w:p w:rsidR="003063E9" w:rsidRPr="00E5368A" w:rsidRDefault="003063E9" w:rsidP="003063E9">
      <w:pPr>
        <w:autoSpaceDE w:val="0"/>
        <w:autoSpaceDN w:val="0"/>
        <w:adjustRightInd w:val="0"/>
        <w:ind w:left="1276" w:right="1752"/>
        <w:jc w:val="both"/>
        <w:rPr>
          <w:rFonts w:ascii="Palatino Linotype" w:hAnsi="Palatino Linotype" w:cs="Arial"/>
          <w:i/>
          <w:sz w:val="24"/>
          <w:szCs w:val="24"/>
        </w:rPr>
      </w:pPr>
      <w:r w:rsidRPr="00E5368A">
        <w:rPr>
          <w:rFonts w:ascii="Palatino Linotype" w:hAnsi="Palatino Linotype" w:cs="Arial"/>
          <w:i/>
          <w:sz w:val="24"/>
          <w:szCs w:val="24"/>
        </w:rPr>
        <w:t>II. La clasificación de la información;</w:t>
      </w:r>
    </w:p>
    <w:p w:rsidR="003063E9" w:rsidRPr="00E5368A" w:rsidRDefault="003063E9" w:rsidP="003063E9">
      <w:pPr>
        <w:pStyle w:val="Prrafodelista"/>
        <w:spacing w:line="360" w:lineRule="auto"/>
        <w:ind w:left="0"/>
        <w:jc w:val="both"/>
        <w:rPr>
          <w:rFonts w:ascii="Palatino Linotype" w:eastAsia="Palatino Linotype" w:hAnsi="Palatino Linotype" w:cs="Palatino Linotype"/>
        </w:rPr>
      </w:pPr>
    </w:p>
    <w:p w:rsidR="005F1478" w:rsidRPr="00E5368A" w:rsidRDefault="005F1478" w:rsidP="005F1478">
      <w:pPr>
        <w:pStyle w:val="Ttulo2"/>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E5368A">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rsidR="003063E9" w:rsidRPr="00E5368A" w:rsidRDefault="003063E9" w:rsidP="003063E9">
      <w:pPr>
        <w:spacing w:after="0" w:line="360" w:lineRule="auto"/>
        <w:ind w:right="49"/>
        <w:contextualSpacing/>
        <w:jc w:val="both"/>
        <w:rPr>
          <w:rFonts w:ascii="Palatino Linotype" w:eastAsia="Palatino Linotype" w:hAnsi="Palatino Linotype" w:cs="Palatino Linotype"/>
          <w:i/>
          <w:color w:val="000000"/>
          <w:sz w:val="24"/>
          <w:szCs w:val="24"/>
        </w:rPr>
      </w:pPr>
    </w:p>
    <w:p w:rsidR="003063E9" w:rsidRPr="00E5368A" w:rsidRDefault="003063E9" w:rsidP="003063E9">
      <w:pPr>
        <w:numPr>
          <w:ilvl w:val="0"/>
          <w:numId w:val="1"/>
        </w:numPr>
        <w:spacing w:after="0" w:line="360" w:lineRule="auto"/>
        <w:ind w:left="0" w:right="49" w:firstLine="0"/>
        <w:contextualSpacing/>
        <w:jc w:val="both"/>
        <w:rPr>
          <w:rFonts w:ascii="Palatino Linotype" w:eastAsia="Palatino Linotype" w:hAnsi="Palatino Linotype" w:cs="Palatino Linotype"/>
          <w:sz w:val="24"/>
          <w:szCs w:val="24"/>
        </w:rPr>
      </w:pPr>
      <w:r w:rsidRPr="00E5368A">
        <w:rPr>
          <w:rFonts w:ascii="Palatino Linotype" w:eastAsia="Palatino Linotype" w:hAnsi="Palatino Linotype" w:cs="Palatino Linotype"/>
          <w:color w:val="000000"/>
          <w:sz w:val="24"/>
          <w:szCs w:val="24"/>
        </w:rPr>
        <w:t xml:space="preserve">De acuerdo a las constancias que integran el SAIMEX, se advierte que el </w:t>
      </w:r>
      <w:r w:rsidRPr="00E5368A">
        <w:rPr>
          <w:rFonts w:ascii="Palatino Linotype" w:eastAsia="Palatino Linotype" w:hAnsi="Palatino Linotype" w:cs="Palatino Linotype"/>
          <w:b/>
          <w:color w:val="000000"/>
          <w:sz w:val="24"/>
          <w:szCs w:val="24"/>
        </w:rPr>
        <w:t xml:space="preserve">SUJET O OBLIGADO </w:t>
      </w:r>
      <w:r w:rsidR="004C1CEE" w:rsidRPr="00E5368A">
        <w:rPr>
          <w:rFonts w:ascii="Palatino Linotype" w:eastAsia="Palatino Linotype" w:hAnsi="Palatino Linotype" w:cs="Palatino Linotype"/>
          <w:color w:val="000000"/>
          <w:sz w:val="24"/>
          <w:szCs w:val="24"/>
        </w:rPr>
        <w:t xml:space="preserve">acepta que genera, posee y/o administra la información, ya que la </w:t>
      </w:r>
      <w:r w:rsidRPr="00E5368A">
        <w:rPr>
          <w:rFonts w:ascii="Palatino Linotype" w:eastAsia="Palatino Linotype" w:hAnsi="Palatino Linotype" w:cs="Palatino Linotype"/>
          <w:color w:val="000000"/>
          <w:sz w:val="24"/>
          <w:szCs w:val="24"/>
        </w:rPr>
        <w:t xml:space="preserve">clasifico la información como confidencial por un periodo </w:t>
      </w:r>
      <w:r w:rsidR="004C1CEE" w:rsidRPr="00E5368A">
        <w:rPr>
          <w:rFonts w:ascii="Palatino Linotype" w:eastAsia="Palatino Linotype" w:hAnsi="Palatino Linotype" w:cs="Palatino Linotype"/>
          <w:color w:val="000000"/>
          <w:sz w:val="24"/>
          <w:szCs w:val="24"/>
        </w:rPr>
        <w:t>de cinco años.</w:t>
      </w:r>
    </w:p>
    <w:p w:rsidR="003063E9" w:rsidRPr="00E5368A" w:rsidRDefault="003063E9" w:rsidP="003063E9">
      <w:pPr>
        <w:spacing w:after="0" w:line="360" w:lineRule="auto"/>
        <w:ind w:right="49"/>
        <w:contextualSpacing/>
        <w:jc w:val="both"/>
        <w:rPr>
          <w:rFonts w:ascii="Palatino Linotype" w:eastAsia="Palatino Linotype" w:hAnsi="Palatino Linotype" w:cs="Palatino Linotype"/>
          <w:i/>
          <w:color w:val="000000"/>
          <w:sz w:val="24"/>
          <w:szCs w:val="24"/>
        </w:rPr>
      </w:pPr>
    </w:p>
    <w:p w:rsidR="003063E9" w:rsidRPr="00E5368A" w:rsidRDefault="003063E9" w:rsidP="003063E9">
      <w:pPr>
        <w:numPr>
          <w:ilvl w:val="0"/>
          <w:numId w:val="1"/>
        </w:numPr>
        <w:spacing w:after="0" w:line="360" w:lineRule="auto"/>
        <w:ind w:left="0" w:right="49" w:firstLine="0"/>
        <w:contextualSpacing/>
        <w:jc w:val="both"/>
        <w:rPr>
          <w:rFonts w:ascii="Palatino Linotype" w:eastAsia="Palatino Linotype" w:hAnsi="Palatino Linotype" w:cs="Palatino Linotype"/>
          <w:sz w:val="24"/>
          <w:szCs w:val="24"/>
        </w:rPr>
      </w:pPr>
      <w:r w:rsidRPr="00E5368A">
        <w:rPr>
          <w:rFonts w:ascii="Palatino Linotype" w:eastAsia="Palatino Linotype" w:hAnsi="Palatino Linotype" w:cs="Palatino Linotype"/>
          <w:color w:val="000000"/>
          <w:sz w:val="24"/>
          <w:szCs w:val="24"/>
        </w:rPr>
        <w:t>Ante</w:t>
      </w:r>
      <w:r w:rsidRPr="00E5368A">
        <w:rPr>
          <w:rFonts w:ascii="Palatino Linotype" w:hAnsi="Palatino Linotype"/>
          <w:sz w:val="24"/>
          <w:szCs w:val="24"/>
        </w:rPr>
        <w:t xml:space="preserve"> todo, </w:t>
      </w:r>
      <w:r w:rsidRPr="00E5368A">
        <w:rPr>
          <w:rFonts w:ascii="Palatino Linotype" w:hAnsi="Palatino Linotype" w:cs="Arial"/>
          <w:sz w:val="24"/>
          <w:szCs w:val="24"/>
        </w:rPr>
        <w:t xml:space="preserve">se debe resaltar que con las manifestaciones hechas valer por el Sujeto Obligado en su respuesta, proporcionada en el SAIMEX, </w:t>
      </w:r>
      <w:r w:rsidRPr="00E5368A">
        <w:rPr>
          <w:rFonts w:ascii="Palatino Linotype" w:hAnsi="Palatino Linotype"/>
          <w:sz w:val="24"/>
          <w:szCs w:val="24"/>
        </w:rPr>
        <w:t xml:space="preserve">éste </w:t>
      </w:r>
      <w:r w:rsidRPr="00E5368A">
        <w:rPr>
          <w:rFonts w:ascii="Palatino Linotype" w:hAnsi="Palatino Linotype" w:cs="Arial"/>
          <w:sz w:val="24"/>
          <w:szCs w:val="24"/>
        </w:rPr>
        <w:t xml:space="preserve">no niega contar con la información solicitada por el recurrente, sino </w:t>
      </w:r>
      <w:r w:rsidRPr="00E5368A">
        <w:rPr>
          <w:rFonts w:ascii="Palatino Linotype" w:eastAsia="Calibri" w:hAnsi="Palatino Linotype" w:cs="Arial"/>
          <w:sz w:val="24"/>
          <w:szCs w:val="24"/>
        </w:rPr>
        <w:t>por el contrario, asume que la tiene al reservarla por un periodo de cinco años.</w:t>
      </w:r>
    </w:p>
    <w:p w:rsidR="003063E9" w:rsidRPr="00E5368A" w:rsidRDefault="003063E9" w:rsidP="003063E9">
      <w:pPr>
        <w:spacing w:after="0" w:line="360" w:lineRule="auto"/>
        <w:ind w:right="49"/>
        <w:contextualSpacing/>
        <w:jc w:val="both"/>
        <w:rPr>
          <w:rFonts w:ascii="Palatino Linotype" w:eastAsia="Palatino Linotype" w:hAnsi="Palatino Linotype" w:cs="Palatino Linotype"/>
          <w:sz w:val="24"/>
          <w:szCs w:val="24"/>
        </w:rPr>
      </w:pPr>
    </w:p>
    <w:p w:rsidR="003063E9" w:rsidRPr="00E5368A" w:rsidRDefault="003063E9" w:rsidP="003063E9">
      <w:pPr>
        <w:numPr>
          <w:ilvl w:val="0"/>
          <w:numId w:val="1"/>
        </w:numPr>
        <w:spacing w:after="0" w:line="360" w:lineRule="auto"/>
        <w:ind w:left="0" w:right="49" w:firstLine="0"/>
        <w:contextualSpacing/>
        <w:jc w:val="both"/>
        <w:rPr>
          <w:rFonts w:ascii="Palatino Linotype" w:eastAsia="Arial Unicode MS" w:hAnsi="Palatino Linotype" w:cs="Arial"/>
          <w:sz w:val="24"/>
          <w:szCs w:val="24"/>
        </w:rPr>
      </w:pPr>
      <w:r w:rsidRPr="00E5368A">
        <w:rPr>
          <w:rFonts w:ascii="Palatino Linotype" w:eastAsia="Calibri" w:hAnsi="Palatino Linotype" w:cs="Arial"/>
          <w:sz w:val="24"/>
          <w:szCs w:val="24"/>
        </w:rPr>
        <w:t>Lo anterior es así, ya que e</w:t>
      </w:r>
      <w:r w:rsidRPr="00E5368A">
        <w:rPr>
          <w:rFonts w:ascii="Palatino Linotype" w:eastAsia="Arial Unicode MS" w:hAnsi="Palatino Linotype" w:cs="Arial"/>
          <w:sz w:val="24"/>
          <w:szCs w:val="24"/>
        </w:rPr>
        <w:t>l estudio enunciado tiene por objeto determinar si el Sujeto Obligado genera, posee o administra la información solicitada</w:t>
      </w:r>
      <w:r w:rsidRPr="00E5368A">
        <w:rPr>
          <w:rFonts w:ascii="Palatino Linotype" w:eastAsia="Arial Unicode MS" w:hAnsi="Palatino Linotype" w:cs="Arial"/>
          <w:color w:val="000000"/>
          <w:sz w:val="24"/>
          <w:szCs w:val="24"/>
        </w:rPr>
        <w:t>;</w:t>
      </w:r>
      <w:r w:rsidRPr="00E5368A">
        <w:rPr>
          <w:rFonts w:ascii="Palatino Linotype" w:eastAsia="Arial Unicode MS" w:hAnsi="Palatino Linotype" w:cs="Arial"/>
          <w:sz w:val="24"/>
          <w:szCs w:val="24"/>
        </w:rPr>
        <w:t xml:space="preserve"> sin embargo, en aquellos casos en que éste la asume, ello efectivamente está en su poder; por consiguiente, sería ocioso y a nada práctico nos conduciría su estudio, ya que se insiste, la información pública solicitada fue asumida por el Sujeto Obligado.</w:t>
      </w:r>
    </w:p>
    <w:p w:rsidR="003063E9" w:rsidRPr="00E5368A" w:rsidRDefault="003063E9" w:rsidP="003063E9">
      <w:pPr>
        <w:spacing w:after="0" w:line="360" w:lineRule="auto"/>
        <w:ind w:right="49"/>
        <w:contextualSpacing/>
        <w:jc w:val="both"/>
        <w:rPr>
          <w:rFonts w:ascii="Palatino Linotype" w:eastAsia="Arial Unicode MS" w:hAnsi="Palatino Linotype" w:cs="Arial"/>
          <w:sz w:val="24"/>
          <w:szCs w:val="24"/>
        </w:rPr>
      </w:pPr>
    </w:p>
    <w:p w:rsidR="003063E9" w:rsidRPr="00E5368A" w:rsidRDefault="003063E9" w:rsidP="003063E9">
      <w:pPr>
        <w:numPr>
          <w:ilvl w:val="0"/>
          <w:numId w:val="1"/>
        </w:numPr>
        <w:spacing w:after="0" w:line="360" w:lineRule="auto"/>
        <w:ind w:left="0" w:right="49" w:firstLine="0"/>
        <w:contextualSpacing/>
        <w:jc w:val="both"/>
        <w:rPr>
          <w:rFonts w:ascii="Palatino Linotype" w:eastAsia="Arial Unicode MS" w:hAnsi="Palatino Linotype" w:cs="Arial"/>
          <w:sz w:val="24"/>
          <w:szCs w:val="24"/>
        </w:rPr>
      </w:pPr>
      <w:r w:rsidRPr="00E5368A">
        <w:rPr>
          <w:rFonts w:ascii="Palatino Linotype" w:eastAsia="Calibri" w:hAnsi="Palatino Linotype" w:cs="Arial"/>
          <w:sz w:val="24"/>
          <w:szCs w:val="24"/>
        </w:rPr>
        <w:t>En primer lugar</w:t>
      </w:r>
      <w:r w:rsidRPr="00E5368A">
        <w:rPr>
          <w:rFonts w:ascii="Palatino Linotype" w:eastAsia="Palatino Linotype" w:hAnsi="Palatino Linotype" w:cs="Palatino Linotype"/>
          <w:sz w:val="24"/>
          <w:szCs w:val="24"/>
        </w:rPr>
        <w:t xml:space="preserve">, es conveniente señalar que en la Ley de Transparencia y Acceso a la Información Pública del Estado de México y Municipios en su </w:t>
      </w:r>
      <w:r w:rsidRPr="00E5368A">
        <w:rPr>
          <w:rFonts w:ascii="Palatino Linotype" w:eastAsia="Palatino Linotype" w:hAnsi="Palatino Linotype" w:cs="Palatino Linotype"/>
          <w:color w:val="000000"/>
          <w:sz w:val="24"/>
          <w:szCs w:val="24"/>
        </w:rPr>
        <w:t xml:space="preserve">artículo 4, dice que toda la información generada, obtenida, adquirida, transformada, </w:t>
      </w:r>
      <w:r w:rsidRPr="00E5368A">
        <w:rPr>
          <w:rFonts w:ascii="Palatino Linotype" w:eastAsia="Palatino Linotype" w:hAnsi="Palatino Linotype" w:cs="Palatino Linotype"/>
          <w:color w:val="000000"/>
          <w:sz w:val="24"/>
          <w:szCs w:val="24"/>
        </w:rPr>
        <w:lastRenderedPageBreak/>
        <w:t>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rsidR="003063E9" w:rsidRPr="00E5368A" w:rsidRDefault="003063E9" w:rsidP="003063E9">
      <w:pPr>
        <w:spacing w:before="240"/>
        <w:ind w:left="709" w:right="760"/>
        <w:jc w:val="both"/>
        <w:rPr>
          <w:rFonts w:ascii="Palatino Linotype" w:eastAsia="Palatino Linotype" w:hAnsi="Palatino Linotype" w:cs="Palatino Linotype"/>
          <w:i/>
          <w:sz w:val="24"/>
          <w:szCs w:val="24"/>
        </w:rPr>
      </w:pPr>
      <w:r w:rsidRPr="00E5368A">
        <w:rPr>
          <w:rFonts w:ascii="Palatino Linotype" w:eastAsia="Palatino Linotype" w:hAnsi="Palatino Linotype" w:cs="Palatino Linotype"/>
          <w:i/>
          <w:sz w:val="24"/>
          <w:szCs w:val="24"/>
        </w:rPr>
        <w:t>“</w:t>
      </w:r>
      <w:r w:rsidRPr="00E5368A">
        <w:rPr>
          <w:rFonts w:ascii="Palatino Linotype" w:eastAsia="Palatino Linotype" w:hAnsi="Palatino Linotype" w:cs="Palatino Linotype"/>
          <w:b/>
          <w:i/>
          <w:sz w:val="24"/>
          <w:szCs w:val="24"/>
        </w:rPr>
        <w:t>Artículo 4.</w:t>
      </w:r>
      <w:r w:rsidRPr="00E5368A">
        <w:rPr>
          <w:rFonts w:ascii="Palatino Linotype" w:eastAsia="Palatino Linotype" w:hAnsi="Palatino Linotype" w:cs="Palatino Linotype"/>
          <w:i/>
          <w:sz w:val="24"/>
          <w:szCs w:val="24"/>
        </w:rPr>
        <w:t xml:space="preserve"> El derecho humano de acceso a la información pública es la prerrogativa de las personas para buscar, difundir, investigar, recabar, recibir y solicitar información pública, sin necesidad de acreditar personalidad ni interés jurídico. </w:t>
      </w:r>
    </w:p>
    <w:p w:rsidR="003063E9" w:rsidRPr="00E5368A" w:rsidRDefault="003063E9" w:rsidP="003063E9">
      <w:pPr>
        <w:ind w:left="709" w:right="760"/>
        <w:jc w:val="both"/>
        <w:rPr>
          <w:rFonts w:ascii="Palatino Linotype" w:eastAsia="Palatino Linotype" w:hAnsi="Palatino Linotype" w:cs="Palatino Linotype"/>
          <w:i/>
          <w:sz w:val="24"/>
          <w:szCs w:val="24"/>
        </w:rPr>
      </w:pPr>
      <w:r w:rsidRPr="00E5368A">
        <w:rPr>
          <w:rFonts w:ascii="Palatino Linotype" w:eastAsia="Palatino Linotype" w:hAnsi="Palatino Linotype" w:cs="Palatino Linotype"/>
          <w:b/>
          <w:i/>
          <w:sz w:val="24"/>
          <w:szCs w:val="24"/>
        </w:rPr>
        <w:t>Toda la información generada, obtenida, adquirida, transformada, administrada o en posesión de los sujetos obligados es pública y accesible de manera permanente a cualquier persona</w:t>
      </w:r>
      <w:r w:rsidRPr="00E5368A">
        <w:rPr>
          <w:rFonts w:ascii="Palatino Linotype" w:eastAsia="Palatino Linotype" w:hAnsi="Palatino Linotype" w:cs="Palatino Linotype"/>
          <w:i/>
          <w:sz w:val="24"/>
          <w:szCs w:val="24"/>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rsidR="003063E9" w:rsidRPr="00E5368A" w:rsidRDefault="003063E9" w:rsidP="003063E9">
      <w:pPr>
        <w:ind w:left="709" w:right="760"/>
        <w:jc w:val="both"/>
        <w:rPr>
          <w:rFonts w:ascii="Palatino Linotype" w:eastAsia="Palatino Linotype" w:hAnsi="Palatino Linotype" w:cs="Palatino Linotype"/>
          <w:i/>
          <w:sz w:val="24"/>
          <w:szCs w:val="24"/>
        </w:rPr>
      </w:pPr>
      <w:r w:rsidRPr="00E5368A">
        <w:rPr>
          <w:rFonts w:ascii="Palatino Linotype" w:eastAsia="Palatino Linotype" w:hAnsi="Palatino Linotype" w:cs="Palatino Linotype"/>
          <w:b/>
          <w:i/>
          <w:sz w:val="24"/>
          <w:szCs w:val="24"/>
        </w:rPr>
        <w:t>Los sujetos obligados deben poner en práctica, políticas y programas de acceso a la información que se apeguen a criterios de publicidad, veracidad, oportunidad, precisión y suficiencia en beneficio de los solicitantes</w:t>
      </w:r>
      <w:r w:rsidRPr="00E5368A">
        <w:rPr>
          <w:rFonts w:ascii="Palatino Linotype" w:eastAsia="Palatino Linotype" w:hAnsi="Palatino Linotype" w:cs="Palatino Linotype"/>
          <w:i/>
          <w:sz w:val="24"/>
          <w:szCs w:val="24"/>
        </w:rPr>
        <w:t>.” (Sic)</w:t>
      </w:r>
    </w:p>
    <w:p w:rsidR="003063E9" w:rsidRPr="00E5368A" w:rsidRDefault="003063E9" w:rsidP="003063E9">
      <w:pPr>
        <w:ind w:left="709" w:right="760"/>
        <w:jc w:val="both"/>
        <w:rPr>
          <w:rFonts w:ascii="Palatino Linotype" w:eastAsia="Palatino Linotype" w:hAnsi="Palatino Linotype" w:cs="Palatino Linotype"/>
          <w:i/>
          <w:sz w:val="24"/>
          <w:szCs w:val="24"/>
        </w:rPr>
      </w:pPr>
    </w:p>
    <w:p w:rsidR="003063E9" w:rsidRPr="00E5368A" w:rsidRDefault="003063E9" w:rsidP="00B40D3E">
      <w:pPr>
        <w:numPr>
          <w:ilvl w:val="0"/>
          <w:numId w:val="1"/>
        </w:numPr>
        <w:spacing w:after="0" w:line="360" w:lineRule="auto"/>
        <w:ind w:left="0" w:right="49" w:firstLine="0"/>
        <w:contextualSpacing/>
        <w:jc w:val="both"/>
        <w:rPr>
          <w:rFonts w:ascii="Palatino Linotype" w:eastAsia="Palatino Linotype" w:hAnsi="Palatino Linotype" w:cs="Palatino Linotype"/>
          <w:sz w:val="24"/>
          <w:szCs w:val="24"/>
        </w:rPr>
      </w:pPr>
      <w:r w:rsidRPr="00E5368A">
        <w:rPr>
          <w:rFonts w:ascii="Palatino Linotype" w:eastAsia="Palatino Linotype" w:hAnsi="Palatino Linotype" w:cs="Palatino Linotype"/>
          <w:sz w:val="24"/>
          <w:szCs w:val="24"/>
        </w:rPr>
        <w:t xml:space="preserve">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w:t>
      </w:r>
      <w:r w:rsidRPr="00E5368A">
        <w:rPr>
          <w:rFonts w:ascii="Palatino Linotype" w:eastAsia="Palatino Linotype" w:hAnsi="Palatino Linotype" w:cs="Palatino Linotype"/>
          <w:sz w:val="24"/>
          <w:szCs w:val="24"/>
        </w:rPr>
        <w:lastRenderedPageBreak/>
        <w:t>presentarla conforme al interés del solicitante; como así lo establece el artículo 12 de la Ley de Transparencia y Acceso a la Información Pública del Estado de México y Municipios, el cual a la letra dice:</w:t>
      </w:r>
    </w:p>
    <w:p w:rsidR="00B40D3E" w:rsidRPr="00E5368A" w:rsidRDefault="00B40D3E" w:rsidP="00B40D3E">
      <w:pPr>
        <w:spacing w:after="0" w:line="360" w:lineRule="auto"/>
        <w:ind w:right="49"/>
        <w:contextualSpacing/>
        <w:jc w:val="both"/>
        <w:rPr>
          <w:rFonts w:ascii="Palatino Linotype" w:eastAsia="Palatino Linotype" w:hAnsi="Palatino Linotype" w:cs="Palatino Linotype"/>
          <w:sz w:val="24"/>
          <w:szCs w:val="24"/>
        </w:rPr>
      </w:pPr>
    </w:p>
    <w:p w:rsidR="003063E9" w:rsidRPr="00E5368A" w:rsidRDefault="003063E9" w:rsidP="003063E9">
      <w:pPr>
        <w:ind w:left="567" w:right="758"/>
        <w:jc w:val="both"/>
        <w:rPr>
          <w:rFonts w:ascii="Palatino Linotype" w:eastAsia="Palatino Linotype" w:hAnsi="Palatino Linotype" w:cs="Palatino Linotype"/>
          <w:i/>
          <w:sz w:val="24"/>
          <w:szCs w:val="24"/>
        </w:rPr>
      </w:pPr>
      <w:r w:rsidRPr="00E5368A">
        <w:rPr>
          <w:rFonts w:ascii="Palatino Linotype" w:eastAsia="Palatino Linotype" w:hAnsi="Palatino Linotype" w:cs="Palatino Linotype"/>
          <w:i/>
          <w:sz w:val="24"/>
          <w:szCs w:val="24"/>
        </w:rPr>
        <w:t>“</w:t>
      </w:r>
      <w:r w:rsidRPr="00E5368A">
        <w:rPr>
          <w:rFonts w:ascii="Palatino Linotype" w:eastAsia="Palatino Linotype" w:hAnsi="Palatino Linotype" w:cs="Palatino Linotype"/>
          <w:b/>
          <w:i/>
          <w:sz w:val="24"/>
          <w:szCs w:val="24"/>
        </w:rPr>
        <w:t>Artículo12.-</w:t>
      </w:r>
      <w:r w:rsidRPr="00E5368A">
        <w:rPr>
          <w:rFonts w:ascii="Palatino Linotype" w:eastAsia="Palatino Linotype" w:hAnsi="Palatino Linotype" w:cs="Palatino Linotype"/>
          <w:i/>
          <w:sz w:val="24"/>
          <w:szCs w:val="24"/>
        </w:rPr>
        <w:t xml:space="preserve"> Quienes generen, recopilen, administren, manejen, procesen, archiven o conserven información pública serán responsables de la misma en los términos de las disposiciones jurídicas aplicables. </w:t>
      </w:r>
    </w:p>
    <w:p w:rsidR="003063E9" w:rsidRPr="00E5368A" w:rsidRDefault="003063E9" w:rsidP="003063E9">
      <w:pPr>
        <w:ind w:left="567" w:right="758"/>
        <w:jc w:val="both"/>
        <w:rPr>
          <w:rFonts w:ascii="Palatino Linotype" w:eastAsia="Palatino Linotype" w:hAnsi="Palatino Linotype" w:cs="Palatino Linotype"/>
          <w:i/>
          <w:sz w:val="24"/>
          <w:szCs w:val="24"/>
        </w:rPr>
      </w:pPr>
      <w:r w:rsidRPr="00E5368A">
        <w:rPr>
          <w:rFonts w:ascii="Palatino Linotype" w:eastAsia="Palatino Linotype" w:hAnsi="Palatino Linotype" w:cs="Palatino Linotype"/>
          <w:b/>
          <w:i/>
          <w:sz w:val="24"/>
          <w:szCs w:val="24"/>
        </w:rPr>
        <w:t>Los sujetos obligados sólo proporcionarán la información pública que se les requiera y que obre en sus archivos y en el estado en que ésta se encuentre</w:t>
      </w:r>
      <w:r w:rsidRPr="00E5368A">
        <w:rPr>
          <w:rFonts w:ascii="Palatino Linotype" w:eastAsia="Palatino Linotype" w:hAnsi="Palatino Linotype" w:cs="Palatino Linotype"/>
          <w:i/>
          <w:sz w:val="24"/>
          <w:szCs w:val="24"/>
        </w:rPr>
        <w:t xml:space="preserve">. </w:t>
      </w:r>
      <w:r w:rsidRPr="00E5368A">
        <w:rPr>
          <w:rFonts w:ascii="Palatino Linotype" w:eastAsia="Palatino Linotype" w:hAnsi="Palatino Linotype" w:cs="Palatino Linotype"/>
          <w:b/>
          <w:i/>
          <w:sz w:val="24"/>
          <w:szCs w:val="24"/>
        </w:rPr>
        <w:t xml:space="preserve">La obligación de proporcionar información no comprende el procesamiento de la misma, ni el presentarla conforme al interés del solicitante; no estarán obligados a generarla, resumirla, efectuar cálculos o practicar investigaciones.” </w:t>
      </w:r>
      <w:r w:rsidRPr="00E5368A">
        <w:rPr>
          <w:rFonts w:ascii="Palatino Linotype" w:eastAsia="Palatino Linotype" w:hAnsi="Palatino Linotype" w:cs="Palatino Linotype"/>
          <w:i/>
          <w:sz w:val="24"/>
          <w:szCs w:val="24"/>
        </w:rPr>
        <w:t>(Sic)</w:t>
      </w:r>
    </w:p>
    <w:p w:rsidR="003063E9" w:rsidRPr="00E5368A" w:rsidRDefault="003063E9" w:rsidP="003063E9">
      <w:pPr>
        <w:spacing w:line="360" w:lineRule="auto"/>
        <w:ind w:right="-93"/>
        <w:jc w:val="both"/>
        <w:rPr>
          <w:rFonts w:ascii="Palatino Linotype" w:eastAsia="Palatino Linotype" w:hAnsi="Palatino Linotype" w:cs="Palatino Linotype"/>
          <w:color w:val="000000"/>
          <w:sz w:val="24"/>
          <w:szCs w:val="24"/>
        </w:rPr>
      </w:pPr>
    </w:p>
    <w:p w:rsidR="003063E9" w:rsidRPr="00E5368A" w:rsidRDefault="003063E9" w:rsidP="00B40D3E">
      <w:pPr>
        <w:numPr>
          <w:ilvl w:val="0"/>
          <w:numId w:val="1"/>
        </w:numPr>
        <w:spacing w:after="0" w:line="360" w:lineRule="auto"/>
        <w:ind w:left="0" w:right="49" w:firstLine="0"/>
        <w:contextualSpacing/>
        <w:jc w:val="both"/>
        <w:rPr>
          <w:rFonts w:ascii="Palatino Linotype" w:eastAsia="Palatino Linotype" w:hAnsi="Palatino Linotype" w:cs="Palatino Linotype"/>
          <w:color w:val="000000"/>
          <w:sz w:val="24"/>
          <w:szCs w:val="24"/>
        </w:rPr>
      </w:pPr>
      <w:r w:rsidRPr="00E5368A">
        <w:rPr>
          <w:rFonts w:ascii="Palatino Linotype" w:eastAsia="Palatino Linotype" w:hAnsi="Palatino Linotype" w:cs="Palatino Linotype"/>
          <w:color w:val="000000"/>
          <w:sz w:val="24"/>
          <w:szCs w:val="24"/>
        </w:rPr>
        <w:t>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w:t>
      </w:r>
    </w:p>
    <w:p w:rsidR="003063E9" w:rsidRPr="00E5368A" w:rsidRDefault="003063E9" w:rsidP="003063E9">
      <w:pPr>
        <w:spacing w:line="360" w:lineRule="auto"/>
        <w:ind w:right="-93"/>
        <w:jc w:val="both"/>
        <w:rPr>
          <w:rFonts w:ascii="Palatino Linotype" w:eastAsia="Palatino Linotype" w:hAnsi="Palatino Linotype" w:cs="Palatino Linotype"/>
          <w:color w:val="000000"/>
          <w:sz w:val="24"/>
          <w:szCs w:val="24"/>
        </w:rPr>
      </w:pPr>
    </w:p>
    <w:p w:rsidR="003063E9" w:rsidRPr="00E5368A" w:rsidRDefault="003063E9" w:rsidP="00B40D3E">
      <w:pPr>
        <w:numPr>
          <w:ilvl w:val="0"/>
          <w:numId w:val="1"/>
        </w:numPr>
        <w:spacing w:after="0" w:line="360" w:lineRule="auto"/>
        <w:ind w:left="0" w:right="49" w:firstLine="0"/>
        <w:contextualSpacing/>
        <w:jc w:val="both"/>
        <w:rPr>
          <w:rFonts w:ascii="Palatino Linotype" w:hAnsi="Palatino Linotype"/>
          <w:b/>
          <w:bCs/>
          <w:color w:val="000000"/>
          <w:sz w:val="24"/>
          <w:szCs w:val="24"/>
        </w:rPr>
      </w:pPr>
      <w:r w:rsidRPr="00E5368A">
        <w:rPr>
          <w:rFonts w:ascii="Palatino Linotype" w:hAnsi="Palatino Linotype" w:cs="Arial"/>
          <w:color w:val="000000"/>
          <w:sz w:val="24"/>
          <w:szCs w:val="24"/>
        </w:rPr>
        <w:t xml:space="preserve">Sirve de apoyo a lo anterior, el criterio 03-17, expuesto por </w:t>
      </w:r>
      <w:r w:rsidRPr="00E5368A">
        <w:rPr>
          <w:rFonts w:ascii="Palatino Linotype" w:eastAsia="Arial Unicode MS" w:hAnsi="Palatino Linotype" w:cs="Arial"/>
          <w:color w:val="000000"/>
          <w:sz w:val="24"/>
          <w:szCs w:val="24"/>
        </w:rPr>
        <w:t>el Instituto Nacional de Transparencia, Acceso a la Información y Protección de Datos Personales,</w:t>
      </w:r>
      <w:r w:rsidRPr="00E5368A">
        <w:rPr>
          <w:rFonts w:ascii="Palatino Linotype" w:hAnsi="Palatino Linotype"/>
          <w:bCs/>
          <w:color w:val="000000"/>
          <w:sz w:val="24"/>
          <w:szCs w:val="24"/>
        </w:rPr>
        <w:t xml:space="preserve"> que dice:</w:t>
      </w:r>
      <w:r w:rsidRPr="00E5368A">
        <w:rPr>
          <w:rFonts w:ascii="Palatino Linotype" w:hAnsi="Palatino Linotype"/>
          <w:b/>
          <w:bCs/>
          <w:color w:val="000000"/>
          <w:sz w:val="24"/>
          <w:szCs w:val="24"/>
        </w:rPr>
        <w:t xml:space="preserve"> </w:t>
      </w:r>
    </w:p>
    <w:p w:rsidR="003063E9" w:rsidRPr="00E5368A" w:rsidRDefault="003063E9" w:rsidP="003063E9">
      <w:pPr>
        <w:ind w:left="851" w:right="850"/>
        <w:jc w:val="both"/>
        <w:rPr>
          <w:rFonts w:ascii="Palatino Linotype" w:hAnsi="Palatino Linotype" w:cs="Arial"/>
          <w:color w:val="000000"/>
          <w:sz w:val="24"/>
          <w:szCs w:val="24"/>
        </w:rPr>
      </w:pPr>
    </w:p>
    <w:p w:rsidR="003063E9" w:rsidRPr="00E5368A" w:rsidRDefault="003063E9" w:rsidP="003063E9">
      <w:pPr>
        <w:ind w:left="851" w:right="901"/>
        <w:jc w:val="both"/>
        <w:rPr>
          <w:rFonts w:ascii="Palatino Linotype" w:hAnsi="Palatino Linotype" w:cs="Arial"/>
          <w:i/>
          <w:color w:val="000000"/>
          <w:sz w:val="24"/>
          <w:szCs w:val="24"/>
        </w:rPr>
      </w:pPr>
      <w:r w:rsidRPr="00E5368A">
        <w:rPr>
          <w:rFonts w:ascii="Palatino Linotype" w:hAnsi="Palatino Linotype" w:cs="Arial"/>
          <w:i/>
          <w:color w:val="000000"/>
          <w:sz w:val="24"/>
          <w:szCs w:val="24"/>
        </w:rPr>
        <w:t>“</w:t>
      </w:r>
      <w:r w:rsidRPr="00E5368A">
        <w:rPr>
          <w:rFonts w:ascii="Palatino Linotype" w:hAnsi="Palatino Linotype" w:cs="Arial"/>
          <w:b/>
          <w:i/>
          <w:color w:val="000000"/>
          <w:sz w:val="24"/>
          <w:szCs w:val="24"/>
        </w:rPr>
        <w:t>No existe obligación de elaborar documentos ad hoc para atender las solicitudes de acceso a la información.</w:t>
      </w:r>
      <w:r w:rsidRPr="00E5368A">
        <w:rPr>
          <w:rFonts w:ascii="Palatino Linotype" w:hAnsi="Palatino Linotype" w:cs="Arial"/>
          <w:i/>
          <w:color w:val="000000"/>
          <w:sz w:val="24"/>
          <w:szCs w:val="24"/>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3063E9" w:rsidRPr="00E5368A" w:rsidRDefault="003063E9" w:rsidP="003063E9">
      <w:pPr>
        <w:ind w:left="851" w:right="901"/>
        <w:jc w:val="both"/>
        <w:rPr>
          <w:rFonts w:ascii="Palatino Linotype" w:hAnsi="Palatino Linotype" w:cs="Arial"/>
          <w:i/>
          <w:color w:val="000000"/>
          <w:sz w:val="24"/>
          <w:szCs w:val="24"/>
        </w:rPr>
      </w:pPr>
      <w:r w:rsidRPr="00E5368A">
        <w:rPr>
          <w:rFonts w:ascii="Palatino Linotype" w:hAnsi="Palatino Linotype" w:cs="Arial"/>
          <w:i/>
          <w:color w:val="000000"/>
          <w:sz w:val="24"/>
          <w:szCs w:val="24"/>
        </w:rPr>
        <w:t xml:space="preserve">Resoluciones: </w:t>
      </w:r>
    </w:p>
    <w:p w:rsidR="003063E9" w:rsidRPr="00E5368A" w:rsidRDefault="003063E9" w:rsidP="003063E9">
      <w:pPr>
        <w:ind w:left="851" w:right="901"/>
        <w:jc w:val="both"/>
        <w:rPr>
          <w:rFonts w:ascii="Palatino Linotype" w:hAnsi="Palatino Linotype" w:cs="Arial"/>
          <w:i/>
          <w:color w:val="000000"/>
          <w:sz w:val="24"/>
          <w:szCs w:val="24"/>
        </w:rPr>
      </w:pPr>
      <w:r w:rsidRPr="00E5368A">
        <w:rPr>
          <w:rFonts w:ascii="Palatino Linotype" w:hAnsi="Palatino Linotype" w:cs="Arial"/>
          <w:i/>
          <w:color w:val="000000"/>
          <w:sz w:val="24"/>
          <w:szCs w:val="24"/>
        </w:rPr>
        <w:sym w:font="Symbol" w:char="F0B7"/>
      </w:r>
      <w:r w:rsidRPr="00E5368A">
        <w:rPr>
          <w:rFonts w:ascii="Palatino Linotype" w:hAnsi="Palatino Linotype" w:cs="Arial"/>
          <w:i/>
          <w:color w:val="000000"/>
          <w:sz w:val="24"/>
          <w:szCs w:val="24"/>
        </w:rPr>
        <w:t xml:space="preserve"> RRA 0050/16. Instituto Nacional para la Evaluación de la Educación. 13 julio de 2016. Por unanimidad. Comisionado Ponente: Francisco Javier Acuña Llamas.</w:t>
      </w:r>
    </w:p>
    <w:p w:rsidR="003063E9" w:rsidRPr="00E5368A" w:rsidRDefault="003063E9" w:rsidP="003063E9">
      <w:pPr>
        <w:ind w:left="851" w:right="901"/>
        <w:jc w:val="both"/>
        <w:rPr>
          <w:rFonts w:ascii="Palatino Linotype" w:hAnsi="Palatino Linotype" w:cs="Arial"/>
          <w:i/>
          <w:color w:val="000000"/>
          <w:sz w:val="24"/>
          <w:szCs w:val="24"/>
        </w:rPr>
      </w:pPr>
      <w:r w:rsidRPr="00E5368A">
        <w:rPr>
          <w:rFonts w:ascii="Palatino Linotype" w:hAnsi="Palatino Linotype" w:cs="Arial"/>
          <w:i/>
          <w:color w:val="000000"/>
          <w:sz w:val="24"/>
          <w:szCs w:val="24"/>
        </w:rPr>
        <w:sym w:font="Symbol" w:char="F0B7"/>
      </w:r>
      <w:r w:rsidRPr="00E5368A">
        <w:rPr>
          <w:rFonts w:ascii="Palatino Linotype" w:hAnsi="Palatino Linotype" w:cs="Arial"/>
          <w:i/>
          <w:color w:val="000000"/>
          <w:sz w:val="24"/>
          <w:szCs w:val="24"/>
        </w:rPr>
        <w:t xml:space="preserve"> RRA 0310/16. Instituto Nacional de Transparencia, Acceso a la Información y Protección de Datos Personales. 10 de agosto de 2016. Por unanimidad. Comisionada Ponente. Areli Cano Guadiana. </w:t>
      </w:r>
    </w:p>
    <w:p w:rsidR="003063E9" w:rsidRPr="00E5368A" w:rsidRDefault="003063E9" w:rsidP="003063E9">
      <w:pPr>
        <w:ind w:left="851" w:right="901"/>
        <w:jc w:val="both"/>
        <w:rPr>
          <w:rFonts w:ascii="Palatino Linotype" w:hAnsi="Palatino Linotype" w:cs="Arial"/>
          <w:i/>
          <w:color w:val="000000"/>
          <w:sz w:val="24"/>
          <w:szCs w:val="24"/>
        </w:rPr>
      </w:pPr>
      <w:r w:rsidRPr="00E5368A">
        <w:rPr>
          <w:rFonts w:ascii="Palatino Linotype" w:hAnsi="Palatino Linotype" w:cs="Arial"/>
          <w:i/>
          <w:color w:val="000000"/>
          <w:sz w:val="24"/>
          <w:szCs w:val="24"/>
        </w:rPr>
        <w:sym w:font="Symbol" w:char="F0B7"/>
      </w:r>
      <w:r w:rsidRPr="00E5368A">
        <w:rPr>
          <w:rFonts w:ascii="Palatino Linotype" w:hAnsi="Palatino Linotype" w:cs="Arial"/>
          <w:i/>
          <w:color w:val="000000"/>
          <w:sz w:val="24"/>
          <w:szCs w:val="24"/>
        </w:rPr>
        <w:t xml:space="preserve"> RRA 1889/16. Secretaría de Hacienda y Crédito Público. 05 de octubre de 2016. Por unanimidad. Comisionada Ponente. Ximena Puente de la Mora.”</w:t>
      </w:r>
    </w:p>
    <w:p w:rsidR="003063E9" w:rsidRPr="00E5368A" w:rsidRDefault="003063E9" w:rsidP="003063E9">
      <w:pPr>
        <w:spacing w:line="360" w:lineRule="auto"/>
        <w:jc w:val="both"/>
        <w:rPr>
          <w:rFonts w:ascii="Palatino Linotype" w:hAnsi="Palatino Linotype" w:cs="Arial"/>
          <w:sz w:val="24"/>
          <w:szCs w:val="24"/>
        </w:rPr>
      </w:pPr>
    </w:p>
    <w:p w:rsidR="003063E9" w:rsidRPr="00E5368A" w:rsidRDefault="003063E9" w:rsidP="003063E9">
      <w:pPr>
        <w:numPr>
          <w:ilvl w:val="0"/>
          <w:numId w:val="1"/>
        </w:numPr>
        <w:spacing w:after="0" w:line="360" w:lineRule="auto"/>
        <w:ind w:left="0" w:right="49" w:firstLine="0"/>
        <w:contextualSpacing/>
        <w:jc w:val="both"/>
        <w:rPr>
          <w:rFonts w:ascii="Palatino Linotype" w:hAnsi="Palatino Linotype" w:cs="Arial"/>
          <w:color w:val="000000" w:themeColor="text1"/>
          <w:sz w:val="24"/>
          <w:szCs w:val="24"/>
        </w:rPr>
      </w:pPr>
      <w:r w:rsidRPr="00E5368A">
        <w:rPr>
          <w:rFonts w:ascii="Palatino Linotype" w:hAnsi="Palatino Linotype" w:cs="Arial"/>
          <w:sz w:val="24"/>
          <w:szCs w:val="24"/>
        </w:rPr>
        <w:t xml:space="preserve">En esa tesitura, el artículo 24 en su último párrafo de la Ley de la Materia, dispone que los Sujetos Obligados </w:t>
      </w:r>
      <w:r w:rsidRPr="00E5368A">
        <w:rPr>
          <w:rFonts w:ascii="Palatino Linotype" w:hAnsi="Palatino Linotype" w:cs="Arial"/>
          <w:color w:val="000000" w:themeColor="text1"/>
          <w:sz w:val="24"/>
          <w:szCs w:val="24"/>
        </w:rPr>
        <w:t xml:space="preserve">sólo proporcionarán la información pública que </w:t>
      </w:r>
      <w:r w:rsidRPr="00E5368A">
        <w:rPr>
          <w:rFonts w:ascii="Palatino Linotype" w:hAnsi="Palatino Linotype" w:cs="Arial"/>
          <w:sz w:val="24"/>
          <w:szCs w:val="24"/>
        </w:rPr>
        <w:t>generen</w:t>
      </w:r>
      <w:r w:rsidRPr="00E5368A">
        <w:rPr>
          <w:rFonts w:ascii="Palatino Linotype" w:hAnsi="Palatino Linotype" w:cs="Arial"/>
          <w:color w:val="000000" w:themeColor="text1"/>
          <w:sz w:val="24"/>
          <w:szCs w:val="24"/>
        </w:rPr>
        <w:t xml:space="preserve">, administren o posean en el ejercicio de sus atribuciones; por consiguiente, la información pública se encuentra a disposición de cualquier persona, lo que </w:t>
      </w:r>
      <w:r w:rsidRPr="00E5368A">
        <w:rPr>
          <w:rFonts w:ascii="Palatino Linotype" w:hAnsi="Palatino Linotype" w:cs="Arial"/>
          <w:color w:val="000000" w:themeColor="text1"/>
          <w:sz w:val="24"/>
          <w:szCs w:val="24"/>
        </w:rPr>
        <w:lastRenderedPageBreak/>
        <w:t>implica que es deber de los Sujetos Obligados, garantizar el Derecho de Acceso a la Información Pública, lo que no sucedió en el presente caso.</w:t>
      </w:r>
    </w:p>
    <w:p w:rsidR="00B40D3E" w:rsidRPr="00E5368A" w:rsidRDefault="00B40D3E" w:rsidP="00B40D3E">
      <w:pPr>
        <w:spacing w:after="0" w:line="360" w:lineRule="auto"/>
        <w:ind w:right="49"/>
        <w:contextualSpacing/>
        <w:jc w:val="both"/>
        <w:rPr>
          <w:rFonts w:ascii="Palatino Linotype" w:hAnsi="Palatino Linotype" w:cs="Arial"/>
          <w:color w:val="000000" w:themeColor="text1"/>
          <w:sz w:val="24"/>
          <w:szCs w:val="24"/>
        </w:rPr>
      </w:pPr>
    </w:p>
    <w:p w:rsidR="003063E9" w:rsidRPr="00E5368A" w:rsidRDefault="003063E9" w:rsidP="00B40D3E">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rsidR="003063E9" w:rsidRPr="00E5368A" w:rsidRDefault="003063E9" w:rsidP="003063E9">
      <w:pPr>
        <w:spacing w:before="240" w:after="240" w:line="360" w:lineRule="auto"/>
        <w:ind w:right="49"/>
        <w:contextualSpacing/>
        <w:jc w:val="both"/>
        <w:rPr>
          <w:rFonts w:ascii="Palatino Linotype" w:hAnsi="Palatino Linotype" w:cs="Arial"/>
          <w:sz w:val="24"/>
          <w:szCs w:val="24"/>
        </w:rPr>
      </w:pPr>
    </w:p>
    <w:p w:rsidR="003063E9" w:rsidRPr="00E5368A" w:rsidRDefault="003063E9" w:rsidP="00B40D3E">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rsidR="003063E9" w:rsidRPr="00E5368A" w:rsidRDefault="003063E9" w:rsidP="003063E9">
      <w:pPr>
        <w:ind w:left="851" w:right="899"/>
        <w:jc w:val="both"/>
        <w:rPr>
          <w:rFonts w:ascii="Palatino Linotype" w:hAnsi="Palatino Linotype" w:cs="Arial"/>
          <w:i/>
          <w:sz w:val="24"/>
          <w:szCs w:val="24"/>
        </w:rPr>
      </w:pPr>
    </w:p>
    <w:p w:rsidR="003063E9" w:rsidRPr="00E5368A" w:rsidRDefault="003063E9" w:rsidP="003063E9">
      <w:pPr>
        <w:ind w:left="851" w:right="899"/>
        <w:jc w:val="both"/>
        <w:rPr>
          <w:rFonts w:ascii="Palatino Linotype" w:hAnsi="Palatino Linotype" w:cs="Arial"/>
          <w:i/>
          <w:sz w:val="24"/>
          <w:szCs w:val="24"/>
        </w:rPr>
      </w:pPr>
      <w:r w:rsidRPr="00E5368A">
        <w:rPr>
          <w:rFonts w:ascii="Palatino Linotype" w:hAnsi="Palatino Linotype" w:cs="Arial"/>
          <w:i/>
          <w:sz w:val="24"/>
          <w:szCs w:val="24"/>
        </w:rPr>
        <w:t>“</w:t>
      </w:r>
      <w:r w:rsidRPr="00E5368A">
        <w:rPr>
          <w:rFonts w:ascii="Palatino Linotype" w:hAnsi="Palatino Linotype" w:cs="Arial"/>
          <w:b/>
          <w:i/>
          <w:sz w:val="24"/>
          <w:szCs w:val="24"/>
        </w:rPr>
        <w:t xml:space="preserve">Artículo 3. </w:t>
      </w:r>
      <w:r w:rsidRPr="00E5368A">
        <w:rPr>
          <w:rFonts w:ascii="Palatino Linotype" w:hAnsi="Palatino Linotype" w:cs="Arial"/>
          <w:i/>
          <w:sz w:val="24"/>
          <w:szCs w:val="24"/>
        </w:rPr>
        <w:t>Para los efectos de la presente Ley se entenderá por:</w:t>
      </w:r>
    </w:p>
    <w:p w:rsidR="003063E9" w:rsidRPr="00E5368A" w:rsidRDefault="003063E9" w:rsidP="003063E9">
      <w:pPr>
        <w:ind w:left="851" w:right="899"/>
        <w:jc w:val="both"/>
        <w:rPr>
          <w:rFonts w:ascii="Palatino Linotype" w:hAnsi="Palatino Linotype" w:cs="Arial"/>
          <w:i/>
          <w:sz w:val="24"/>
          <w:szCs w:val="24"/>
        </w:rPr>
      </w:pPr>
      <w:r w:rsidRPr="00E5368A">
        <w:rPr>
          <w:rFonts w:ascii="Palatino Linotype" w:hAnsi="Palatino Linotype" w:cs="Arial"/>
          <w:i/>
          <w:sz w:val="24"/>
          <w:szCs w:val="24"/>
        </w:rPr>
        <w:t>…</w:t>
      </w:r>
    </w:p>
    <w:p w:rsidR="003063E9" w:rsidRPr="00E5368A" w:rsidRDefault="003063E9" w:rsidP="003063E9">
      <w:pPr>
        <w:ind w:left="851" w:right="899"/>
        <w:jc w:val="both"/>
        <w:rPr>
          <w:rFonts w:ascii="Palatino Linotype" w:hAnsi="Palatino Linotype" w:cs="Arial"/>
          <w:i/>
          <w:color w:val="000000"/>
          <w:sz w:val="24"/>
          <w:szCs w:val="24"/>
        </w:rPr>
      </w:pPr>
      <w:r w:rsidRPr="00E5368A">
        <w:rPr>
          <w:rFonts w:ascii="Palatino Linotype" w:hAnsi="Palatino Linotype" w:cs="Arial"/>
          <w:b/>
          <w:i/>
          <w:color w:val="000000"/>
          <w:sz w:val="24"/>
          <w:szCs w:val="24"/>
        </w:rPr>
        <w:lastRenderedPageBreak/>
        <w:t>XI. Documento:</w:t>
      </w:r>
      <w:r w:rsidRPr="00E5368A">
        <w:rPr>
          <w:rFonts w:ascii="Palatino Linotype" w:hAnsi="Palatino Linotype" w:cs="Arial"/>
          <w:i/>
          <w:color w:val="000000"/>
          <w:sz w:val="24"/>
          <w:szCs w:val="24"/>
        </w:rPr>
        <w:t xml:space="preserve"> Los expedientes, reportes, estudios, actas</w:t>
      </w:r>
      <w:r w:rsidRPr="00E5368A">
        <w:rPr>
          <w:rFonts w:ascii="Palatino Linotype" w:hAnsi="Palatino Linotype" w:cs="Arial"/>
          <w:b/>
          <w:i/>
          <w:color w:val="000000"/>
          <w:sz w:val="24"/>
          <w:szCs w:val="24"/>
        </w:rPr>
        <w:t>,</w:t>
      </w:r>
      <w:r w:rsidRPr="00E5368A">
        <w:rPr>
          <w:rFonts w:ascii="Palatino Linotype" w:hAnsi="Palatino Linotype" w:cs="Arial"/>
          <w:i/>
          <w:color w:val="000000"/>
          <w:sz w:val="24"/>
          <w:szCs w:val="24"/>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rsidR="003063E9" w:rsidRPr="00E5368A" w:rsidRDefault="003063E9" w:rsidP="003063E9">
      <w:pPr>
        <w:ind w:left="851" w:right="899"/>
        <w:jc w:val="both"/>
        <w:rPr>
          <w:rFonts w:ascii="Palatino Linotype" w:hAnsi="Palatino Linotype" w:cs="Arial"/>
          <w:sz w:val="24"/>
          <w:szCs w:val="24"/>
        </w:rPr>
      </w:pPr>
    </w:p>
    <w:p w:rsidR="003063E9" w:rsidRPr="00E5368A" w:rsidRDefault="003063E9" w:rsidP="00B40D3E">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t xml:space="preserve">Siendo aplicable, el Criterio </w:t>
      </w:r>
      <w:r w:rsidRPr="00E5368A">
        <w:rPr>
          <w:rFonts w:ascii="Palatino Linotype" w:hAnsi="Palatino Linotype" w:cs="Arial"/>
          <w:bCs/>
          <w:sz w:val="24"/>
          <w:szCs w:val="24"/>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E5368A">
        <w:rPr>
          <w:rFonts w:ascii="Palatino Linotype" w:hAnsi="Palatino Linotype" w:cs="Arial"/>
          <w:sz w:val="24"/>
          <w:szCs w:val="24"/>
        </w:rPr>
        <w:t>cuyo rubro y texto refieren lo siguiente:</w:t>
      </w:r>
    </w:p>
    <w:p w:rsidR="003063E9" w:rsidRPr="00E5368A" w:rsidRDefault="003063E9" w:rsidP="003063E9">
      <w:pPr>
        <w:ind w:left="851" w:right="899"/>
        <w:jc w:val="both"/>
        <w:rPr>
          <w:rFonts w:ascii="Palatino Linotype" w:hAnsi="Palatino Linotype" w:cs="Arial"/>
          <w:sz w:val="24"/>
          <w:szCs w:val="24"/>
        </w:rPr>
      </w:pPr>
    </w:p>
    <w:p w:rsidR="003063E9" w:rsidRPr="00E5368A" w:rsidRDefault="003063E9" w:rsidP="003063E9">
      <w:pPr>
        <w:ind w:left="851" w:right="899"/>
        <w:jc w:val="both"/>
        <w:rPr>
          <w:rFonts w:ascii="Palatino Linotype" w:hAnsi="Palatino Linotype" w:cs="Arial"/>
          <w:b/>
          <w:i/>
          <w:sz w:val="24"/>
          <w:szCs w:val="24"/>
        </w:rPr>
      </w:pPr>
      <w:r w:rsidRPr="00E5368A">
        <w:rPr>
          <w:rFonts w:ascii="Palatino Linotype" w:hAnsi="Palatino Linotype" w:cs="Arial"/>
          <w:b/>
          <w:sz w:val="24"/>
          <w:szCs w:val="24"/>
        </w:rPr>
        <w:t>“</w:t>
      </w:r>
      <w:r w:rsidRPr="00E5368A">
        <w:rPr>
          <w:rFonts w:ascii="Palatino Linotype" w:hAnsi="Palatino Linotype" w:cs="Arial"/>
          <w:b/>
          <w:i/>
          <w:sz w:val="24"/>
          <w:szCs w:val="24"/>
        </w:rPr>
        <w:t>CRITERIO 0002-11</w:t>
      </w:r>
    </w:p>
    <w:p w:rsidR="003063E9" w:rsidRPr="00E5368A" w:rsidRDefault="003063E9" w:rsidP="003063E9">
      <w:pPr>
        <w:ind w:left="851" w:right="899"/>
        <w:jc w:val="both"/>
        <w:rPr>
          <w:rFonts w:ascii="Palatino Linotype" w:hAnsi="Palatino Linotype" w:cs="Arial"/>
          <w:i/>
          <w:sz w:val="24"/>
          <w:szCs w:val="24"/>
        </w:rPr>
      </w:pPr>
      <w:r w:rsidRPr="00E5368A">
        <w:rPr>
          <w:rFonts w:ascii="Palatino Linotype" w:hAnsi="Palatino Linotype" w:cs="Arial"/>
          <w:b/>
          <w:i/>
          <w:sz w:val="24"/>
          <w:szCs w:val="24"/>
        </w:rPr>
        <w:t xml:space="preserve">INFORMACIÓN PÚBLICA, CONCEPTO DE, EN MATERIA DE TRANSPARENCIA. INTERPRETACIÓN SISTEMÁTICA DE LOS ARTÍCULOS 2°, FRACCIÓN </w:t>
      </w:r>
      <w:r w:rsidRPr="00E5368A">
        <w:rPr>
          <w:rFonts w:ascii="Palatino Linotype" w:hAnsi="Palatino Linotype" w:cs="Arial"/>
          <w:b/>
          <w:bCs/>
          <w:i/>
          <w:sz w:val="24"/>
          <w:szCs w:val="24"/>
        </w:rPr>
        <w:t xml:space="preserve">V, XV, Y XVI, </w:t>
      </w:r>
      <w:r w:rsidRPr="00E5368A">
        <w:rPr>
          <w:rFonts w:ascii="Palatino Linotype" w:hAnsi="Palatino Linotype" w:cs="Arial"/>
          <w:b/>
          <w:i/>
          <w:sz w:val="24"/>
          <w:szCs w:val="24"/>
        </w:rPr>
        <w:t>3°, 4°, 11 Y 41.</w:t>
      </w:r>
      <w:r w:rsidRPr="00E5368A">
        <w:rPr>
          <w:rFonts w:ascii="Palatino Linotype" w:hAnsi="Palatino Linotype" w:cs="Arial"/>
          <w:i/>
          <w:sz w:val="24"/>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3063E9" w:rsidRPr="00E5368A" w:rsidRDefault="003063E9" w:rsidP="003063E9">
      <w:pPr>
        <w:ind w:left="851" w:right="899"/>
        <w:jc w:val="both"/>
        <w:rPr>
          <w:rFonts w:ascii="Palatino Linotype" w:hAnsi="Palatino Linotype" w:cs="Arial"/>
          <w:i/>
          <w:sz w:val="24"/>
          <w:szCs w:val="24"/>
        </w:rPr>
      </w:pPr>
      <w:r w:rsidRPr="00E5368A">
        <w:rPr>
          <w:rFonts w:ascii="Palatino Linotype" w:hAnsi="Palatino Linotype" w:cs="Arial"/>
          <w:i/>
          <w:sz w:val="24"/>
          <w:szCs w:val="24"/>
        </w:rPr>
        <w:t>En consecuencia el acceso a la información se refiere a que se cumplan cualquiera de los siguientes tres supuestos:</w:t>
      </w:r>
    </w:p>
    <w:p w:rsidR="003063E9" w:rsidRPr="00E5368A" w:rsidRDefault="003063E9" w:rsidP="003063E9">
      <w:pPr>
        <w:ind w:left="851" w:right="899"/>
        <w:jc w:val="both"/>
        <w:rPr>
          <w:rFonts w:ascii="Palatino Linotype" w:hAnsi="Palatino Linotype" w:cs="Arial"/>
          <w:i/>
          <w:sz w:val="24"/>
          <w:szCs w:val="24"/>
        </w:rPr>
      </w:pPr>
      <w:r w:rsidRPr="00E5368A">
        <w:rPr>
          <w:rFonts w:ascii="Palatino Linotype" w:hAnsi="Palatino Linotype" w:cs="Arial"/>
          <w:i/>
          <w:sz w:val="24"/>
          <w:szCs w:val="24"/>
        </w:rPr>
        <w:lastRenderedPageBreak/>
        <w:t>1) Que se trate de información registrada en cualquier soporte documental, que en ejercicio de las atribuciones conferidas, sea generada por los Sujetos Obligados;</w:t>
      </w:r>
    </w:p>
    <w:p w:rsidR="003063E9" w:rsidRPr="00E5368A" w:rsidRDefault="003063E9" w:rsidP="003063E9">
      <w:pPr>
        <w:ind w:left="851" w:right="899"/>
        <w:jc w:val="both"/>
        <w:rPr>
          <w:rFonts w:ascii="Palatino Linotype" w:hAnsi="Palatino Linotype" w:cs="Arial"/>
          <w:b/>
          <w:i/>
          <w:sz w:val="24"/>
          <w:szCs w:val="24"/>
        </w:rPr>
      </w:pPr>
      <w:r w:rsidRPr="00E5368A">
        <w:rPr>
          <w:rFonts w:ascii="Palatino Linotype" w:hAnsi="Palatino Linotype" w:cs="Arial"/>
          <w:b/>
          <w:i/>
          <w:sz w:val="24"/>
          <w:szCs w:val="24"/>
        </w:rPr>
        <w:t>2) Que se trate de información registrada en cualquier soporte documental, que en ejercicio de las atribuciones conferidas, sea administrada por los Sujetos Obligados, y</w:t>
      </w:r>
    </w:p>
    <w:p w:rsidR="003063E9" w:rsidRPr="00E5368A" w:rsidRDefault="003063E9" w:rsidP="003063E9">
      <w:pPr>
        <w:ind w:left="851" w:right="899"/>
        <w:jc w:val="both"/>
        <w:rPr>
          <w:rFonts w:ascii="Palatino Linotype" w:hAnsi="Palatino Linotype" w:cs="Arial"/>
          <w:b/>
          <w:i/>
          <w:sz w:val="24"/>
          <w:szCs w:val="24"/>
        </w:rPr>
      </w:pPr>
      <w:r w:rsidRPr="00E5368A">
        <w:rPr>
          <w:rFonts w:ascii="Palatino Linotype" w:hAnsi="Palatino Linotype" w:cs="Arial"/>
          <w:b/>
          <w:i/>
          <w:sz w:val="24"/>
          <w:szCs w:val="24"/>
        </w:rPr>
        <w:t xml:space="preserve">3) Que se trate de información registrada en cualquier soporte documental, que en ejercicio de las atribuciones conferidas, se encuentre en posesión de los Sujetos Obligados.” </w:t>
      </w:r>
    </w:p>
    <w:p w:rsidR="003063E9" w:rsidRPr="00E5368A" w:rsidRDefault="003063E9" w:rsidP="003063E9">
      <w:pPr>
        <w:spacing w:line="360" w:lineRule="auto"/>
        <w:ind w:right="-93"/>
        <w:jc w:val="both"/>
        <w:rPr>
          <w:rFonts w:ascii="Palatino Linotype" w:eastAsia="Palatino Linotype" w:hAnsi="Palatino Linotype" w:cs="Palatino Linotype"/>
          <w:color w:val="000000"/>
          <w:sz w:val="24"/>
          <w:szCs w:val="24"/>
        </w:rPr>
      </w:pPr>
    </w:p>
    <w:p w:rsidR="003063E9" w:rsidRPr="00E5368A" w:rsidRDefault="003063E9" w:rsidP="00B40D3E">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eastAsia="Palatino Linotype" w:hAnsi="Palatino Linotype" w:cs="Palatino Linotype"/>
          <w:color w:val="000000"/>
          <w:sz w:val="24"/>
          <w:szCs w:val="24"/>
        </w:rPr>
        <w:t>Con base en lo precedente</w:t>
      </w:r>
      <w:r w:rsidRPr="00E5368A">
        <w:rPr>
          <w:rFonts w:ascii="Palatino Linotype" w:eastAsia="Palatino Linotype" w:hAnsi="Palatino Linotype" w:cs="Palatino Linotype"/>
          <w:sz w:val="24"/>
          <w:szCs w:val="24"/>
        </w:rPr>
        <w:t xml:space="preserve">, se determina que la información emitida por el Sujeto Obligado en su respuesta </w:t>
      </w:r>
      <w:r w:rsidRPr="00E5368A">
        <w:rPr>
          <w:rFonts w:ascii="Palatino Linotype" w:hAnsi="Palatino Linotype" w:cs="Arial"/>
          <w:sz w:val="24"/>
          <w:szCs w:val="24"/>
        </w:rPr>
        <w:t>no cumple con lo establecido por los artículos 4, 12 y 24 último párrafo de la Ley de Transparencia y Acceso a la Información Pública del Estado de México y Municipios, conforme a lo siguiente:</w:t>
      </w:r>
    </w:p>
    <w:p w:rsidR="003063E9" w:rsidRPr="00E5368A" w:rsidRDefault="003063E9" w:rsidP="003063E9">
      <w:pPr>
        <w:spacing w:before="240" w:after="240" w:line="360" w:lineRule="auto"/>
        <w:contextualSpacing/>
        <w:jc w:val="both"/>
        <w:rPr>
          <w:rFonts w:ascii="Palatino Linotype" w:hAnsi="Palatino Linotype" w:cs="Arial"/>
          <w:sz w:val="24"/>
          <w:szCs w:val="24"/>
        </w:rPr>
      </w:pPr>
    </w:p>
    <w:p w:rsidR="003063E9" w:rsidRPr="00E5368A" w:rsidRDefault="003063E9" w:rsidP="00B40D3E">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t xml:space="preserve">En segundo lugar, es importante destacar que conforme a lo previsto en los artículos 6, apartado A, fracción I, de la Constitución Política de los Estados Unidos Mexicanos y 5, fracción I, de la Constitución Política del Estado Libre y Soberano de México,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w:t>
      </w:r>
      <w:r w:rsidRPr="00E5368A">
        <w:rPr>
          <w:rFonts w:ascii="Palatino Linotype" w:hAnsi="Palatino Linotype" w:cs="Arial"/>
          <w:sz w:val="24"/>
          <w:szCs w:val="24"/>
        </w:rPr>
        <w:lastRenderedPageBreak/>
        <w:t>por las razones previstas en la Constitución Federal por interés público y seguridad, en los términos que fijen las leyes de la materia.</w:t>
      </w:r>
    </w:p>
    <w:p w:rsidR="00B40D3E" w:rsidRPr="00E5368A" w:rsidRDefault="00B40D3E" w:rsidP="00B40D3E">
      <w:pPr>
        <w:spacing w:after="0" w:line="360" w:lineRule="auto"/>
        <w:ind w:right="49"/>
        <w:contextualSpacing/>
        <w:jc w:val="both"/>
        <w:rPr>
          <w:rFonts w:ascii="Palatino Linotype" w:hAnsi="Palatino Linotype" w:cs="Arial"/>
          <w:sz w:val="24"/>
          <w:szCs w:val="24"/>
        </w:rPr>
      </w:pPr>
    </w:p>
    <w:p w:rsidR="00B40D3E" w:rsidRPr="00E5368A" w:rsidRDefault="00B40D3E" w:rsidP="00B40D3E">
      <w:pPr>
        <w:numPr>
          <w:ilvl w:val="0"/>
          <w:numId w:val="1"/>
        </w:numPr>
        <w:spacing w:after="0" w:line="360" w:lineRule="auto"/>
        <w:ind w:left="0" w:right="49" w:firstLine="0"/>
        <w:contextualSpacing/>
        <w:jc w:val="both"/>
        <w:rPr>
          <w:rFonts w:ascii="Palatino Linotype" w:hAnsi="Palatino Linotype"/>
          <w:sz w:val="24"/>
          <w:szCs w:val="24"/>
        </w:rPr>
      </w:pPr>
      <w:r w:rsidRPr="00E5368A">
        <w:rPr>
          <w:rFonts w:ascii="Palatino Linotype" w:hAnsi="Palatino Linotype"/>
          <w:bCs/>
          <w:sz w:val="24"/>
          <w:szCs w:val="24"/>
        </w:rPr>
        <w:t xml:space="preserve">Por todo lo anterior, la reserva de la información implica una clasificación, la cual debe entenderse como el proceso mediante el cual el Sujeto Obligado determina que la información en su poder actualizar alguno de los supuestos de reserva o confidencialidad, de conformidad con las normas aplicables, en consecuencia, es que se analiza </w:t>
      </w:r>
      <w:r w:rsidR="00172689" w:rsidRPr="00E5368A">
        <w:rPr>
          <w:rFonts w:ascii="Palatino Linotype" w:hAnsi="Palatino Linotype"/>
          <w:bCs/>
          <w:sz w:val="24"/>
          <w:szCs w:val="24"/>
        </w:rPr>
        <w:t xml:space="preserve">el </w:t>
      </w:r>
      <w:r w:rsidR="00172689" w:rsidRPr="00E5368A">
        <w:rPr>
          <w:rFonts w:ascii="Palatino Linotype" w:hAnsi="Palatino Linotype"/>
          <w:sz w:val="24"/>
          <w:szCs w:val="24"/>
        </w:rPr>
        <w:t>acta de la D</w:t>
      </w:r>
      <w:r w:rsidRPr="00E5368A">
        <w:rPr>
          <w:rFonts w:ascii="Palatino Linotype" w:hAnsi="Palatino Linotype"/>
          <w:sz w:val="24"/>
          <w:szCs w:val="24"/>
        </w:rPr>
        <w:t xml:space="preserve">écima </w:t>
      </w:r>
      <w:r w:rsidR="00172689" w:rsidRPr="00E5368A">
        <w:rPr>
          <w:rFonts w:ascii="Palatino Linotype" w:hAnsi="Palatino Linotype"/>
          <w:sz w:val="24"/>
          <w:szCs w:val="24"/>
        </w:rPr>
        <w:t>S</w:t>
      </w:r>
      <w:r w:rsidR="00AE547F" w:rsidRPr="00E5368A">
        <w:rPr>
          <w:rFonts w:ascii="Palatino Linotype" w:hAnsi="Palatino Linotype"/>
          <w:sz w:val="24"/>
          <w:szCs w:val="24"/>
        </w:rPr>
        <w:t>egunda</w:t>
      </w:r>
      <w:r w:rsidR="00172689" w:rsidRPr="00E5368A">
        <w:rPr>
          <w:rFonts w:ascii="Palatino Linotype" w:hAnsi="Palatino Linotype"/>
          <w:sz w:val="24"/>
          <w:szCs w:val="24"/>
        </w:rPr>
        <w:t xml:space="preserve"> Sesión E</w:t>
      </w:r>
      <w:r w:rsidRPr="00E5368A">
        <w:rPr>
          <w:rFonts w:ascii="Palatino Linotype" w:hAnsi="Palatino Linotype"/>
          <w:sz w:val="24"/>
          <w:szCs w:val="24"/>
        </w:rPr>
        <w:t xml:space="preserve">xtraordinaria </w:t>
      </w:r>
      <w:r w:rsidR="00172689" w:rsidRPr="00E5368A">
        <w:rPr>
          <w:rFonts w:ascii="Palatino Linotype" w:hAnsi="Palatino Linotype"/>
          <w:sz w:val="24"/>
          <w:szCs w:val="24"/>
        </w:rPr>
        <w:t>2024</w:t>
      </w:r>
      <w:r w:rsidRPr="00E5368A">
        <w:rPr>
          <w:rFonts w:ascii="Palatino Linotype" w:hAnsi="Palatino Linotype"/>
          <w:sz w:val="24"/>
          <w:szCs w:val="24"/>
        </w:rPr>
        <w:t xml:space="preserve">, </w:t>
      </w:r>
      <w:r w:rsidR="00172689" w:rsidRPr="00E5368A">
        <w:rPr>
          <w:rFonts w:ascii="Palatino Linotype" w:hAnsi="Palatino Linotype"/>
          <w:sz w:val="24"/>
          <w:szCs w:val="24"/>
        </w:rPr>
        <w:t>respecto el</w:t>
      </w:r>
      <w:r w:rsidRPr="00E5368A">
        <w:rPr>
          <w:rFonts w:ascii="Palatino Linotype" w:hAnsi="Palatino Linotype"/>
          <w:sz w:val="24"/>
          <w:szCs w:val="24"/>
        </w:rPr>
        <w:t xml:space="preserve"> acuerdo número PLEGISLA/LX/CT/12ªext/2024/TERCERO,</w:t>
      </w:r>
      <w:r w:rsidR="00172689" w:rsidRPr="00E5368A">
        <w:rPr>
          <w:rFonts w:ascii="Palatino Linotype" w:hAnsi="Palatino Linotype"/>
          <w:sz w:val="24"/>
          <w:szCs w:val="24"/>
        </w:rPr>
        <w:t xml:space="preserve"> en los expedientes registrados por la Comisión Legislativa con numero 6/2022 y 7/222,</w:t>
      </w:r>
      <w:r w:rsidRPr="00E5368A">
        <w:rPr>
          <w:rFonts w:ascii="Palatino Linotype" w:hAnsi="Palatino Linotype"/>
          <w:sz w:val="24"/>
          <w:szCs w:val="24"/>
        </w:rPr>
        <w:t xml:space="preserve"> </w:t>
      </w:r>
      <w:r w:rsidR="00172689" w:rsidRPr="00E5368A">
        <w:rPr>
          <w:rFonts w:ascii="Palatino Linotype" w:hAnsi="Palatino Linotype"/>
          <w:sz w:val="24"/>
          <w:szCs w:val="24"/>
        </w:rPr>
        <w:t xml:space="preserve">en donde está involucrado el municipio de Teoloyucan, </w:t>
      </w:r>
      <w:r w:rsidRPr="00E5368A">
        <w:rPr>
          <w:rFonts w:ascii="Palatino Linotype" w:hAnsi="Palatino Linotype"/>
          <w:sz w:val="24"/>
          <w:szCs w:val="24"/>
        </w:rPr>
        <w:t xml:space="preserve">por medio </w:t>
      </w:r>
      <w:r w:rsidR="00172689" w:rsidRPr="00E5368A">
        <w:rPr>
          <w:rFonts w:ascii="Palatino Linotype" w:hAnsi="Palatino Linotype"/>
          <w:sz w:val="24"/>
          <w:szCs w:val="24"/>
        </w:rPr>
        <w:t>de la cual,</w:t>
      </w:r>
      <w:r w:rsidRPr="00E5368A">
        <w:rPr>
          <w:rFonts w:ascii="Palatino Linotype" w:hAnsi="Palatino Linotype"/>
          <w:sz w:val="24"/>
          <w:szCs w:val="24"/>
        </w:rPr>
        <w:t xml:space="preserve"> el Sujeto Obli</w:t>
      </w:r>
      <w:r w:rsidR="00172689" w:rsidRPr="00E5368A">
        <w:rPr>
          <w:rFonts w:ascii="Palatino Linotype" w:hAnsi="Palatino Linotype"/>
          <w:sz w:val="24"/>
          <w:szCs w:val="24"/>
        </w:rPr>
        <w:t xml:space="preserve">gado confirma por unanimidad, la clasificación total como información reservada, de los expedientes de los procedimientos administrativos para la solución de diferendos limítrofes intermunicipales donde ha estado y/o está interviniendo directa o indirectamente el municipio de Teoloyucan </w:t>
      </w:r>
      <w:r w:rsidRPr="00E5368A">
        <w:rPr>
          <w:rFonts w:ascii="Palatino Linotype" w:hAnsi="Palatino Linotype"/>
          <w:sz w:val="24"/>
          <w:szCs w:val="24"/>
        </w:rPr>
        <w:t>por un periodo de cinco años.</w:t>
      </w:r>
    </w:p>
    <w:p w:rsidR="00B40D3E" w:rsidRPr="00E5368A" w:rsidRDefault="00B40D3E" w:rsidP="00B40D3E">
      <w:pPr>
        <w:spacing w:after="0" w:line="360" w:lineRule="auto"/>
        <w:ind w:right="49"/>
        <w:contextualSpacing/>
        <w:jc w:val="both"/>
        <w:rPr>
          <w:rFonts w:ascii="Palatino Linotype" w:hAnsi="Palatino Linotype"/>
          <w:sz w:val="24"/>
          <w:szCs w:val="24"/>
        </w:rPr>
      </w:pPr>
    </w:p>
    <w:p w:rsidR="00B40D3E" w:rsidRPr="00E5368A" w:rsidRDefault="00B40D3E" w:rsidP="00B40D3E">
      <w:pPr>
        <w:numPr>
          <w:ilvl w:val="0"/>
          <w:numId w:val="1"/>
        </w:numPr>
        <w:spacing w:after="0" w:line="360" w:lineRule="auto"/>
        <w:ind w:left="0" w:right="49" w:firstLine="0"/>
        <w:contextualSpacing/>
        <w:jc w:val="both"/>
        <w:rPr>
          <w:rFonts w:ascii="Palatino Linotype" w:eastAsia="Calibri" w:hAnsi="Palatino Linotype" w:cs="Arial"/>
          <w:sz w:val="24"/>
          <w:szCs w:val="24"/>
        </w:rPr>
      </w:pPr>
      <w:r w:rsidRPr="00E5368A">
        <w:rPr>
          <w:rFonts w:ascii="Palatino Linotype" w:eastAsia="Calibri" w:hAnsi="Palatino Linotype" w:cs="Arial"/>
          <w:sz w:val="24"/>
          <w:szCs w:val="24"/>
          <w:lang w:eastAsia="es-CO"/>
        </w:rPr>
        <w:t xml:space="preserve">De ahí que, en lo que concierne a la información clasificada como reservada la </w:t>
      </w:r>
      <w:r w:rsidRPr="00E5368A">
        <w:rPr>
          <w:rFonts w:ascii="Palatino Linotype" w:eastAsia="Calibri" w:hAnsi="Palatino Linotype" w:cs="Arial"/>
          <w:sz w:val="24"/>
          <w:szCs w:val="24"/>
        </w:rPr>
        <w:t>Ley de Transparencia vigente en nuestra entidad establece en su artículo 140 una serie de hipótesis en las cuales radica la posibilidad de tal clasificación de información, que son:</w:t>
      </w:r>
    </w:p>
    <w:p w:rsidR="00B40D3E" w:rsidRPr="00E5368A" w:rsidRDefault="00B40D3E" w:rsidP="00B40D3E">
      <w:pPr>
        <w:spacing w:after="0" w:line="360" w:lineRule="auto"/>
        <w:ind w:right="49"/>
        <w:contextualSpacing/>
        <w:jc w:val="both"/>
        <w:rPr>
          <w:rFonts w:ascii="Palatino Linotype" w:eastAsia="Calibri" w:hAnsi="Palatino Linotype" w:cs="Arial"/>
          <w:sz w:val="24"/>
          <w:szCs w:val="24"/>
        </w:rPr>
      </w:pPr>
    </w:p>
    <w:p w:rsidR="00B40D3E" w:rsidRPr="00E5368A" w:rsidRDefault="00B40D3E" w:rsidP="00B40D3E">
      <w:pPr>
        <w:spacing w:after="120"/>
        <w:ind w:left="851" w:right="851"/>
        <w:jc w:val="both"/>
        <w:rPr>
          <w:rFonts w:ascii="Palatino Linotype" w:eastAsia="Calibri" w:hAnsi="Palatino Linotype"/>
          <w:i/>
          <w:sz w:val="24"/>
          <w:szCs w:val="24"/>
        </w:rPr>
      </w:pPr>
      <w:r w:rsidRPr="00E5368A">
        <w:rPr>
          <w:rFonts w:ascii="Palatino Linotype" w:eastAsia="Calibri" w:hAnsi="Palatino Linotype"/>
          <w:i/>
          <w:sz w:val="24"/>
          <w:szCs w:val="24"/>
        </w:rPr>
        <w:t xml:space="preserve"> “</w:t>
      </w:r>
      <w:r w:rsidRPr="00E5368A">
        <w:rPr>
          <w:rFonts w:ascii="Palatino Linotype" w:eastAsia="Calibri" w:hAnsi="Palatino Linotype"/>
          <w:b/>
          <w:i/>
          <w:sz w:val="24"/>
          <w:szCs w:val="24"/>
        </w:rPr>
        <w:t>Artículo 140.</w:t>
      </w:r>
      <w:r w:rsidRPr="00E5368A">
        <w:rPr>
          <w:rFonts w:ascii="Palatino Linotype" w:eastAsia="Calibri" w:hAnsi="Palatino Linotype"/>
          <w:i/>
          <w:sz w:val="24"/>
          <w:szCs w:val="24"/>
        </w:rPr>
        <w:t xml:space="preserve"> El acceso a la información pública será restringido excepcionalmente, cuando por razones de interés público, ésta sea clasificada como reservada, conforme a los criterios siguientes: </w:t>
      </w:r>
    </w:p>
    <w:p w:rsidR="00B40D3E" w:rsidRPr="00E5368A" w:rsidRDefault="00B40D3E" w:rsidP="00B40D3E">
      <w:pPr>
        <w:spacing w:after="120"/>
        <w:ind w:left="851" w:right="851"/>
        <w:jc w:val="both"/>
        <w:rPr>
          <w:rFonts w:ascii="Palatino Linotype" w:eastAsia="Calibri" w:hAnsi="Palatino Linotype"/>
          <w:i/>
          <w:sz w:val="24"/>
          <w:szCs w:val="24"/>
        </w:rPr>
      </w:pPr>
      <w:r w:rsidRPr="00E5368A">
        <w:rPr>
          <w:rFonts w:ascii="Palatino Linotype" w:eastAsia="Calibri" w:hAnsi="Palatino Linotype"/>
          <w:b/>
          <w:i/>
          <w:sz w:val="24"/>
          <w:szCs w:val="24"/>
        </w:rPr>
        <w:lastRenderedPageBreak/>
        <w:t>I.</w:t>
      </w:r>
      <w:r w:rsidRPr="00E5368A">
        <w:rPr>
          <w:rFonts w:ascii="Palatino Linotype" w:eastAsia="Calibri" w:hAnsi="Palatino Linotype"/>
          <w:i/>
          <w:sz w:val="24"/>
          <w:szCs w:val="24"/>
        </w:rPr>
        <w:t xml:space="preserve"> Comprometa la seguridad pública y cuente con un propósito genuino y un efecto demostrable; </w:t>
      </w:r>
    </w:p>
    <w:p w:rsidR="00B40D3E" w:rsidRPr="00E5368A" w:rsidRDefault="00B40D3E" w:rsidP="00B40D3E">
      <w:pPr>
        <w:spacing w:after="120"/>
        <w:ind w:left="851" w:right="851"/>
        <w:jc w:val="both"/>
        <w:rPr>
          <w:rFonts w:ascii="Palatino Linotype" w:eastAsia="Calibri" w:hAnsi="Palatino Linotype"/>
          <w:i/>
          <w:sz w:val="24"/>
          <w:szCs w:val="24"/>
        </w:rPr>
      </w:pPr>
      <w:r w:rsidRPr="00E5368A">
        <w:rPr>
          <w:rFonts w:ascii="Palatino Linotype" w:eastAsia="Calibri" w:hAnsi="Palatino Linotype"/>
          <w:b/>
          <w:i/>
          <w:sz w:val="24"/>
          <w:szCs w:val="24"/>
        </w:rPr>
        <w:t>II.</w:t>
      </w:r>
      <w:r w:rsidRPr="00E5368A">
        <w:rPr>
          <w:rFonts w:ascii="Palatino Linotype" w:eastAsia="Calibri" w:hAnsi="Palatino Linotype"/>
          <w:i/>
          <w:sz w:val="24"/>
          <w:szCs w:val="24"/>
        </w:rPr>
        <w:t xml:space="preserve"> Pueda menoscabar la conducción de las negociaciones y relaciones internacionales; </w:t>
      </w:r>
    </w:p>
    <w:p w:rsidR="00B40D3E" w:rsidRPr="00E5368A" w:rsidRDefault="00B40D3E" w:rsidP="00B40D3E">
      <w:pPr>
        <w:spacing w:after="120"/>
        <w:ind w:left="851" w:right="851"/>
        <w:jc w:val="both"/>
        <w:rPr>
          <w:rFonts w:ascii="Palatino Linotype" w:eastAsia="Calibri" w:hAnsi="Palatino Linotype"/>
          <w:i/>
          <w:sz w:val="24"/>
          <w:szCs w:val="24"/>
        </w:rPr>
      </w:pPr>
      <w:r w:rsidRPr="00E5368A">
        <w:rPr>
          <w:rFonts w:ascii="Palatino Linotype" w:eastAsia="Calibri" w:hAnsi="Palatino Linotype"/>
          <w:b/>
          <w:i/>
          <w:sz w:val="24"/>
          <w:szCs w:val="24"/>
        </w:rPr>
        <w:t>III.</w:t>
      </w:r>
      <w:r w:rsidRPr="00E5368A">
        <w:rPr>
          <w:rFonts w:ascii="Palatino Linotype" w:eastAsia="Calibri" w:hAnsi="Palatino Linotype"/>
          <w:i/>
          <w:sz w:val="24"/>
          <w:szCs w:val="24"/>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rsidR="00B40D3E" w:rsidRPr="00E5368A" w:rsidRDefault="00B40D3E" w:rsidP="00B40D3E">
      <w:pPr>
        <w:spacing w:after="120"/>
        <w:ind w:left="851" w:right="851"/>
        <w:jc w:val="both"/>
        <w:rPr>
          <w:rFonts w:ascii="Palatino Linotype" w:eastAsia="Calibri" w:hAnsi="Palatino Linotype"/>
          <w:i/>
          <w:sz w:val="24"/>
          <w:szCs w:val="24"/>
        </w:rPr>
      </w:pPr>
      <w:r w:rsidRPr="00E5368A">
        <w:rPr>
          <w:rFonts w:ascii="Palatino Linotype" w:eastAsia="Calibri" w:hAnsi="Palatino Linotype"/>
          <w:b/>
          <w:i/>
          <w:sz w:val="24"/>
          <w:szCs w:val="24"/>
        </w:rPr>
        <w:t>IV.</w:t>
      </w:r>
      <w:r w:rsidRPr="00E5368A">
        <w:rPr>
          <w:rFonts w:ascii="Palatino Linotype" w:eastAsia="Calibri" w:hAnsi="Palatino Linotype"/>
          <w:i/>
          <w:sz w:val="24"/>
          <w:szCs w:val="24"/>
        </w:rPr>
        <w:t xml:space="preserve"> Ponga en riesgo la vida, la seguridad o la salud de una persona física; </w:t>
      </w:r>
    </w:p>
    <w:p w:rsidR="00B40D3E" w:rsidRPr="00E5368A" w:rsidRDefault="00B40D3E" w:rsidP="00B40D3E">
      <w:pPr>
        <w:spacing w:after="120"/>
        <w:ind w:left="851" w:right="851"/>
        <w:jc w:val="both"/>
        <w:rPr>
          <w:rFonts w:ascii="Palatino Linotype" w:eastAsia="Calibri" w:hAnsi="Palatino Linotype"/>
          <w:i/>
          <w:sz w:val="24"/>
          <w:szCs w:val="24"/>
        </w:rPr>
      </w:pPr>
      <w:r w:rsidRPr="00E5368A">
        <w:rPr>
          <w:rFonts w:ascii="Palatino Linotype" w:eastAsia="Calibri" w:hAnsi="Palatino Linotype"/>
          <w:b/>
          <w:i/>
          <w:sz w:val="24"/>
          <w:szCs w:val="24"/>
        </w:rPr>
        <w:t>V</w:t>
      </w:r>
      <w:r w:rsidRPr="00E5368A">
        <w:rPr>
          <w:rFonts w:ascii="Palatino Linotype" w:eastAsia="Calibri" w:hAnsi="Palatino Linotype"/>
          <w:i/>
          <w:sz w:val="24"/>
          <w:szCs w:val="24"/>
        </w:rPr>
        <w:t xml:space="preserve">. </w:t>
      </w:r>
      <w:r w:rsidRPr="00E5368A">
        <w:rPr>
          <w:rFonts w:ascii="Palatino Linotype" w:eastAsia="Calibri" w:hAnsi="Palatino Linotype"/>
          <w:bCs/>
          <w:i/>
          <w:sz w:val="24"/>
          <w:szCs w:val="24"/>
        </w:rPr>
        <w:t>Aquella cuya divulgación obstruya o pueda causar un serio perjuicio</w:t>
      </w:r>
      <w:r w:rsidRPr="00E5368A">
        <w:rPr>
          <w:rFonts w:ascii="Palatino Linotype" w:eastAsia="Calibri" w:hAnsi="Palatino Linotype"/>
          <w:i/>
          <w:sz w:val="24"/>
          <w:szCs w:val="24"/>
        </w:rPr>
        <w:t xml:space="preserve"> a: </w:t>
      </w:r>
    </w:p>
    <w:p w:rsidR="00B40D3E" w:rsidRPr="00E5368A" w:rsidRDefault="00B40D3E" w:rsidP="00B40D3E">
      <w:pPr>
        <w:spacing w:after="120"/>
        <w:ind w:left="851" w:right="851"/>
        <w:jc w:val="both"/>
        <w:rPr>
          <w:rFonts w:ascii="Palatino Linotype" w:eastAsia="Calibri" w:hAnsi="Palatino Linotype"/>
          <w:i/>
          <w:sz w:val="24"/>
          <w:szCs w:val="24"/>
        </w:rPr>
      </w:pPr>
      <w:r w:rsidRPr="00E5368A">
        <w:rPr>
          <w:rFonts w:ascii="Palatino Linotype" w:eastAsia="Calibri" w:hAnsi="Palatino Linotype"/>
          <w:b/>
          <w:i/>
          <w:sz w:val="24"/>
          <w:szCs w:val="24"/>
        </w:rPr>
        <w:t>1.</w:t>
      </w:r>
      <w:r w:rsidRPr="00E5368A">
        <w:rPr>
          <w:rFonts w:ascii="Palatino Linotype" w:eastAsia="Calibri" w:hAnsi="Palatino Linotype"/>
          <w:i/>
          <w:sz w:val="24"/>
          <w:szCs w:val="24"/>
        </w:rPr>
        <w:t xml:space="preserve"> Las actividades de fiscalización, verificación, inspección, comprobación y auditoría sobre el cumplimiento de las Leyes; o </w:t>
      </w:r>
    </w:p>
    <w:p w:rsidR="00B40D3E" w:rsidRPr="00E5368A" w:rsidRDefault="00B40D3E" w:rsidP="00B40D3E">
      <w:pPr>
        <w:spacing w:after="120"/>
        <w:ind w:left="851" w:right="851"/>
        <w:jc w:val="both"/>
        <w:rPr>
          <w:rFonts w:ascii="Palatino Linotype" w:eastAsia="Calibri" w:hAnsi="Palatino Linotype"/>
          <w:i/>
          <w:sz w:val="24"/>
          <w:szCs w:val="24"/>
        </w:rPr>
      </w:pPr>
      <w:r w:rsidRPr="00E5368A">
        <w:rPr>
          <w:rFonts w:ascii="Palatino Linotype" w:eastAsia="Calibri" w:hAnsi="Palatino Linotype"/>
          <w:b/>
          <w:i/>
          <w:sz w:val="24"/>
          <w:szCs w:val="24"/>
        </w:rPr>
        <w:t>2.</w:t>
      </w:r>
      <w:r w:rsidRPr="00E5368A">
        <w:rPr>
          <w:rFonts w:ascii="Palatino Linotype" w:eastAsia="Calibri" w:hAnsi="Palatino Linotype"/>
          <w:i/>
          <w:sz w:val="24"/>
          <w:szCs w:val="24"/>
        </w:rPr>
        <w:t xml:space="preserve"> La recaudación de las contribuciones. </w:t>
      </w:r>
    </w:p>
    <w:p w:rsidR="00B40D3E" w:rsidRPr="00E5368A" w:rsidRDefault="00B40D3E" w:rsidP="00B40D3E">
      <w:pPr>
        <w:spacing w:after="120"/>
        <w:ind w:left="851" w:right="851"/>
        <w:jc w:val="both"/>
        <w:rPr>
          <w:rFonts w:ascii="Palatino Linotype" w:eastAsia="Calibri" w:hAnsi="Palatino Linotype"/>
          <w:i/>
          <w:sz w:val="24"/>
          <w:szCs w:val="24"/>
        </w:rPr>
      </w:pPr>
      <w:r w:rsidRPr="00E5368A">
        <w:rPr>
          <w:rFonts w:ascii="Palatino Linotype" w:eastAsia="Calibri" w:hAnsi="Palatino Linotype"/>
          <w:b/>
          <w:i/>
          <w:sz w:val="24"/>
          <w:szCs w:val="24"/>
        </w:rPr>
        <w:t>VI.</w:t>
      </w:r>
      <w:r w:rsidRPr="00E5368A">
        <w:rPr>
          <w:rFonts w:ascii="Palatino Linotype" w:eastAsia="Calibri" w:hAnsi="Palatino Linotype"/>
          <w:i/>
          <w:sz w:val="24"/>
          <w:szCs w:val="24"/>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rsidR="00B40D3E" w:rsidRPr="00E5368A" w:rsidRDefault="00B40D3E" w:rsidP="00B40D3E">
      <w:pPr>
        <w:spacing w:after="120"/>
        <w:ind w:left="851" w:right="851"/>
        <w:jc w:val="both"/>
        <w:rPr>
          <w:rFonts w:ascii="Palatino Linotype" w:eastAsia="Calibri" w:hAnsi="Palatino Linotype"/>
          <w:i/>
          <w:sz w:val="24"/>
          <w:szCs w:val="24"/>
        </w:rPr>
      </w:pPr>
      <w:r w:rsidRPr="00E5368A">
        <w:rPr>
          <w:rFonts w:ascii="Palatino Linotype" w:eastAsia="Calibri" w:hAnsi="Palatino Linotype"/>
          <w:b/>
          <w:i/>
          <w:sz w:val="24"/>
          <w:szCs w:val="24"/>
        </w:rPr>
        <w:t>VII</w:t>
      </w:r>
      <w:r w:rsidRPr="00E5368A">
        <w:rPr>
          <w:rFonts w:ascii="Palatino Linotype" w:eastAsia="Calibri" w:hAnsi="Palatino Linotype"/>
          <w:i/>
          <w:sz w:val="24"/>
          <w:szCs w:val="24"/>
        </w:rPr>
        <w:t xml:space="preserve">. La que contengan las opiniones, recomendaciones o puntos de vista que formen parte del proceso deliberativo de los servidores públicos, hasta en tanto sea adoptada la decisión definitiva, la cual deberá estar documentada; </w:t>
      </w:r>
    </w:p>
    <w:p w:rsidR="00B40D3E" w:rsidRPr="00E5368A" w:rsidRDefault="00B40D3E" w:rsidP="00B40D3E">
      <w:pPr>
        <w:spacing w:after="120"/>
        <w:ind w:left="851" w:right="851"/>
        <w:jc w:val="both"/>
        <w:rPr>
          <w:rFonts w:ascii="Palatino Linotype" w:eastAsia="Calibri" w:hAnsi="Palatino Linotype"/>
          <w:i/>
          <w:sz w:val="24"/>
          <w:szCs w:val="24"/>
        </w:rPr>
      </w:pPr>
      <w:r w:rsidRPr="00E5368A">
        <w:rPr>
          <w:rFonts w:ascii="Palatino Linotype" w:eastAsia="Calibri" w:hAnsi="Palatino Linotype"/>
          <w:b/>
          <w:i/>
          <w:sz w:val="24"/>
          <w:szCs w:val="24"/>
        </w:rPr>
        <w:t>VIII.</w:t>
      </w:r>
      <w:r w:rsidRPr="00E5368A">
        <w:rPr>
          <w:rFonts w:ascii="Palatino Linotype" w:eastAsia="Calibri" w:hAnsi="Palatino Linotype"/>
          <w:i/>
          <w:sz w:val="24"/>
          <w:szCs w:val="24"/>
        </w:rPr>
        <w:t xml:space="preserve"> Vulnere la conducción de los expedientes judiciales o de los procedimientos administrativos seguidos en forma de juicio, en tanto no hayan quedado firmes; </w:t>
      </w:r>
    </w:p>
    <w:p w:rsidR="00B40D3E" w:rsidRPr="00E5368A" w:rsidRDefault="00B40D3E" w:rsidP="00B40D3E">
      <w:pPr>
        <w:spacing w:after="120"/>
        <w:ind w:left="851" w:right="851"/>
        <w:jc w:val="both"/>
        <w:rPr>
          <w:rFonts w:ascii="Palatino Linotype" w:eastAsia="Calibri" w:hAnsi="Palatino Linotype"/>
          <w:i/>
          <w:sz w:val="24"/>
          <w:szCs w:val="24"/>
        </w:rPr>
      </w:pPr>
      <w:r w:rsidRPr="00E5368A">
        <w:rPr>
          <w:rFonts w:ascii="Palatino Linotype" w:eastAsia="Calibri" w:hAnsi="Palatino Linotype"/>
          <w:b/>
          <w:i/>
          <w:sz w:val="24"/>
          <w:szCs w:val="24"/>
        </w:rPr>
        <w:t>IX.</w:t>
      </w:r>
      <w:r w:rsidRPr="00E5368A">
        <w:rPr>
          <w:rFonts w:ascii="Palatino Linotype" w:eastAsia="Calibri" w:hAnsi="Palatino Linotype"/>
          <w:i/>
          <w:sz w:val="24"/>
          <w:szCs w:val="24"/>
        </w:rPr>
        <w:t xml:space="preserve"> Se encuentre contenida dentro de las investigaciones de hechos que la Ley señale como delitos y se tramiten ante el Ministerio Público; </w:t>
      </w:r>
    </w:p>
    <w:p w:rsidR="00B40D3E" w:rsidRPr="00E5368A" w:rsidRDefault="00B40D3E" w:rsidP="00B40D3E">
      <w:pPr>
        <w:spacing w:after="120"/>
        <w:ind w:left="851" w:right="851"/>
        <w:jc w:val="both"/>
        <w:rPr>
          <w:rFonts w:ascii="Palatino Linotype" w:eastAsia="Calibri" w:hAnsi="Palatino Linotype"/>
          <w:i/>
          <w:sz w:val="24"/>
          <w:szCs w:val="24"/>
        </w:rPr>
      </w:pPr>
      <w:r w:rsidRPr="00E5368A">
        <w:rPr>
          <w:rFonts w:ascii="Palatino Linotype" w:eastAsia="Calibri" w:hAnsi="Palatino Linotype"/>
          <w:b/>
          <w:i/>
          <w:sz w:val="24"/>
          <w:szCs w:val="24"/>
        </w:rPr>
        <w:lastRenderedPageBreak/>
        <w:t>X.</w:t>
      </w:r>
      <w:r w:rsidRPr="00E5368A">
        <w:rPr>
          <w:rFonts w:ascii="Palatino Linotype" w:eastAsia="Calibri" w:hAnsi="Palatino Linotype"/>
          <w:i/>
          <w:sz w:val="24"/>
          <w:szCs w:val="24"/>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rsidR="00B40D3E" w:rsidRPr="00E5368A" w:rsidRDefault="00B40D3E" w:rsidP="00B40D3E">
      <w:pPr>
        <w:spacing w:after="120"/>
        <w:ind w:left="851" w:right="851"/>
        <w:jc w:val="both"/>
        <w:rPr>
          <w:rFonts w:ascii="Palatino Linotype" w:eastAsia="Calibri" w:hAnsi="Palatino Linotype"/>
          <w:i/>
          <w:sz w:val="24"/>
          <w:szCs w:val="24"/>
        </w:rPr>
      </w:pPr>
      <w:r w:rsidRPr="00E5368A">
        <w:rPr>
          <w:rFonts w:ascii="Palatino Linotype" w:eastAsia="Calibri" w:hAnsi="Palatino Linotype"/>
          <w:i/>
          <w:sz w:val="24"/>
          <w:szCs w:val="24"/>
        </w:rPr>
        <w:t xml:space="preserve">Cuando se trate de información sobre estudios y proyectos cuya divulgación pueda causar daños al interés del Estado o suponga un riesgo para su realización,siempre que esté directamente relacionado con procesos o procedimientos administrativos o judiciales que no hayan quedado firmes; y </w:t>
      </w:r>
    </w:p>
    <w:p w:rsidR="00B40D3E" w:rsidRPr="00E5368A" w:rsidRDefault="00B40D3E" w:rsidP="00B40D3E">
      <w:pPr>
        <w:spacing w:after="120"/>
        <w:ind w:left="851" w:right="851"/>
        <w:jc w:val="both"/>
        <w:rPr>
          <w:rFonts w:ascii="Palatino Linotype" w:eastAsia="Calibri" w:hAnsi="Palatino Linotype"/>
          <w:sz w:val="24"/>
          <w:szCs w:val="24"/>
        </w:rPr>
      </w:pPr>
      <w:r w:rsidRPr="00E5368A">
        <w:rPr>
          <w:rFonts w:ascii="Palatino Linotype" w:eastAsia="Calibri" w:hAnsi="Palatino Linotype"/>
          <w:b/>
          <w:i/>
          <w:sz w:val="24"/>
          <w:szCs w:val="24"/>
        </w:rPr>
        <w:t>XI.</w:t>
      </w:r>
      <w:r w:rsidRPr="00E5368A">
        <w:rPr>
          <w:rFonts w:ascii="Palatino Linotype" w:eastAsia="Calibri" w:hAnsi="Palatino Linotype"/>
          <w:i/>
          <w:sz w:val="24"/>
          <w:szCs w:val="24"/>
        </w:rPr>
        <w:t xml:space="preserve"> Las que por disposición expresa de una ley tengan tal carácter, siempre que sean acordes con las bases, principios y disposiciones establecidos en esta Ley y no la contravengan; así como las previstas en tratados internacionales.” (Sic)</w:t>
      </w:r>
    </w:p>
    <w:p w:rsidR="00B40D3E" w:rsidRPr="00E5368A" w:rsidRDefault="00B40D3E" w:rsidP="00B40D3E">
      <w:pPr>
        <w:spacing w:line="360" w:lineRule="auto"/>
        <w:jc w:val="both"/>
        <w:rPr>
          <w:rFonts w:ascii="Palatino Linotype" w:hAnsi="Palatino Linotype"/>
          <w:bCs/>
          <w:sz w:val="24"/>
          <w:szCs w:val="24"/>
        </w:rPr>
      </w:pPr>
    </w:p>
    <w:p w:rsidR="00B40D3E" w:rsidRPr="00E5368A" w:rsidRDefault="00B40D3E" w:rsidP="00B40D3E">
      <w:pPr>
        <w:numPr>
          <w:ilvl w:val="0"/>
          <w:numId w:val="1"/>
        </w:numPr>
        <w:spacing w:after="0" w:line="360" w:lineRule="auto"/>
        <w:ind w:left="0" w:right="49" w:firstLine="0"/>
        <w:contextualSpacing/>
        <w:jc w:val="both"/>
        <w:rPr>
          <w:rFonts w:ascii="Palatino Linotype" w:hAnsi="Palatino Linotype"/>
          <w:bCs/>
          <w:sz w:val="24"/>
          <w:szCs w:val="24"/>
        </w:rPr>
      </w:pPr>
      <w:r w:rsidRPr="00E5368A">
        <w:rPr>
          <w:rFonts w:ascii="Palatino Linotype" w:hAnsi="Palatino Linotype"/>
          <w:bCs/>
          <w:sz w:val="24"/>
          <w:szCs w:val="24"/>
        </w:rPr>
        <w:t xml:space="preserve">Del precepto legal antes referido, se advierte que la Ley de Transparencia vigente en nuestra entidad establece que la información pública será restringida excepcionalmente cuando por razones de interés público, ésta sea clasificada como reservada, estableciendo una serie de supuestos entre los que se encuentran cuando afecte o vulnere la conducción o los derechos del debido proceso en los procedimientos judiciales o administrativos, incluidos los expedientes judiciales en tanto no hayan quedado firmes, </w:t>
      </w:r>
      <w:r w:rsidRPr="00E5368A">
        <w:rPr>
          <w:rFonts w:ascii="Palatino Linotype" w:hAnsi="Palatino Linotype"/>
          <w:sz w:val="24"/>
          <w:szCs w:val="24"/>
        </w:rPr>
        <w:t>hasta en tanto sea adoptada la decisión definitiva</w:t>
      </w:r>
      <w:r w:rsidRPr="00E5368A">
        <w:rPr>
          <w:rFonts w:ascii="Palatino Linotype" w:hAnsi="Palatino Linotype"/>
          <w:b/>
          <w:sz w:val="24"/>
          <w:szCs w:val="24"/>
        </w:rPr>
        <w:t>,</w:t>
      </w:r>
      <w:r w:rsidRPr="00E5368A">
        <w:rPr>
          <w:rFonts w:ascii="Palatino Linotype" w:hAnsi="Palatino Linotype"/>
          <w:bCs/>
          <w:sz w:val="24"/>
          <w:szCs w:val="24"/>
        </w:rPr>
        <w:t xml:space="preserve"> la cual deberá estar documentada, o el daño que pueda producirse con la publicación de la información sea mayor al interés público, siempre y cuando esté directamente relacionado con procesos o procedimientos administrativos o judiciales que no hayan quedado firmes.</w:t>
      </w:r>
    </w:p>
    <w:p w:rsidR="00B40D3E" w:rsidRPr="00E5368A" w:rsidRDefault="00B40D3E" w:rsidP="00B40D3E">
      <w:pPr>
        <w:spacing w:before="240" w:after="240" w:line="360" w:lineRule="auto"/>
        <w:contextualSpacing/>
        <w:jc w:val="both"/>
        <w:rPr>
          <w:rFonts w:ascii="Palatino Linotype" w:hAnsi="Palatino Linotype"/>
          <w:bCs/>
          <w:sz w:val="24"/>
          <w:szCs w:val="24"/>
        </w:rPr>
      </w:pPr>
    </w:p>
    <w:p w:rsidR="00B40D3E" w:rsidRPr="00E5368A" w:rsidRDefault="00B40D3E" w:rsidP="00B40D3E">
      <w:pPr>
        <w:numPr>
          <w:ilvl w:val="0"/>
          <w:numId w:val="1"/>
        </w:numPr>
        <w:spacing w:after="0" w:line="360" w:lineRule="auto"/>
        <w:ind w:left="0" w:right="49" w:firstLine="0"/>
        <w:contextualSpacing/>
        <w:jc w:val="both"/>
        <w:rPr>
          <w:rFonts w:ascii="Palatino Linotype" w:eastAsia="Cambria" w:hAnsi="Palatino Linotype"/>
          <w:sz w:val="24"/>
          <w:szCs w:val="24"/>
        </w:rPr>
      </w:pPr>
      <w:r w:rsidRPr="00E5368A">
        <w:rPr>
          <w:rFonts w:ascii="Palatino Linotype" w:eastAsia="Cambria" w:hAnsi="Palatino Linotype" w:cs="Arial"/>
          <w:bCs/>
          <w:sz w:val="24"/>
          <w:szCs w:val="24"/>
          <w:lang w:eastAsia="es-MX"/>
        </w:rPr>
        <w:lastRenderedPageBreak/>
        <w:t xml:space="preserve">Ahora bien, es pertinente mencionar </w:t>
      </w:r>
      <w:r w:rsidRPr="00E5368A">
        <w:rPr>
          <w:rFonts w:ascii="Palatino Linotype" w:eastAsia="Cambria" w:hAnsi="Palatino Linotype"/>
          <w:sz w:val="24"/>
          <w:szCs w:val="24"/>
        </w:rPr>
        <w:t>respecto de los límites territoriales que el artículo 112 de la Constitución Política del Estado Libere y Soberano del Estado de México, dispone lo siguiente:</w:t>
      </w:r>
    </w:p>
    <w:p w:rsidR="00B40D3E" w:rsidRPr="00E5368A" w:rsidRDefault="00B40D3E" w:rsidP="00B40D3E">
      <w:pPr>
        <w:spacing w:after="0" w:line="360" w:lineRule="auto"/>
        <w:ind w:right="49"/>
        <w:contextualSpacing/>
        <w:jc w:val="both"/>
        <w:rPr>
          <w:rFonts w:ascii="Palatino Linotype" w:eastAsia="Cambria" w:hAnsi="Palatino Linotype"/>
          <w:sz w:val="24"/>
          <w:szCs w:val="24"/>
        </w:rPr>
      </w:pPr>
    </w:p>
    <w:p w:rsidR="00B40D3E" w:rsidRPr="00E5368A" w:rsidRDefault="00B40D3E" w:rsidP="00B40D3E">
      <w:pPr>
        <w:spacing w:after="120"/>
        <w:ind w:left="851" w:right="851"/>
        <w:jc w:val="both"/>
        <w:rPr>
          <w:rFonts w:ascii="Palatino Linotype" w:eastAsia="Calibri" w:hAnsi="Palatino Linotype"/>
          <w:i/>
          <w:sz w:val="24"/>
          <w:szCs w:val="24"/>
        </w:rPr>
      </w:pPr>
      <w:r w:rsidRPr="00E5368A">
        <w:rPr>
          <w:rFonts w:ascii="Palatino Linotype" w:eastAsia="Calibri" w:hAnsi="Palatino Linotype"/>
          <w:i/>
          <w:sz w:val="24"/>
          <w:szCs w:val="24"/>
        </w:rPr>
        <w:t>“Artículo 112.- La base de la división territorial y de la organización política y administrativa del Estado, es el municipio libre. Las facultades que la Constitución de la República y el presente ordenamiento otorgan al gobierno municipal se ejercerá por el ayuntamiento de manera exclusiva y no habrá autoridad intermedia alguna entre éste y el gobierno del Estado.</w:t>
      </w:r>
    </w:p>
    <w:p w:rsidR="00B40D3E" w:rsidRPr="00E5368A" w:rsidRDefault="00B40D3E" w:rsidP="00B40D3E">
      <w:pPr>
        <w:spacing w:after="120"/>
        <w:ind w:left="851" w:right="851"/>
        <w:jc w:val="both"/>
        <w:rPr>
          <w:rFonts w:ascii="Palatino Linotype" w:eastAsia="Calibri" w:hAnsi="Palatino Linotype"/>
          <w:i/>
          <w:sz w:val="24"/>
          <w:szCs w:val="24"/>
        </w:rPr>
      </w:pPr>
      <w:r w:rsidRPr="00E5368A">
        <w:rPr>
          <w:rFonts w:ascii="Palatino Linotype" w:eastAsia="Calibri" w:hAnsi="Palatino Linotype"/>
          <w:i/>
          <w:sz w:val="24"/>
          <w:szCs w:val="24"/>
        </w:rPr>
        <w:t>Los municipios del Estado, su denominación y la de sus cabeceras, serán los que señale la ley de la materia.” (Sic)</w:t>
      </w:r>
    </w:p>
    <w:p w:rsidR="00B40D3E" w:rsidRPr="00E5368A" w:rsidRDefault="00B40D3E" w:rsidP="00B40D3E">
      <w:pPr>
        <w:spacing w:after="120"/>
        <w:ind w:left="851" w:right="851"/>
        <w:jc w:val="both"/>
        <w:rPr>
          <w:rFonts w:ascii="Palatino Linotype" w:eastAsia="Calibri" w:hAnsi="Palatino Linotype"/>
          <w:i/>
          <w:sz w:val="24"/>
          <w:szCs w:val="24"/>
        </w:rPr>
      </w:pPr>
    </w:p>
    <w:p w:rsidR="00B40D3E" w:rsidRPr="00E5368A" w:rsidRDefault="00B40D3E" w:rsidP="00B40D3E">
      <w:pPr>
        <w:numPr>
          <w:ilvl w:val="0"/>
          <w:numId w:val="1"/>
        </w:numPr>
        <w:spacing w:after="0" w:line="360" w:lineRule="auto"/>
        <w:ind w:left="0" w:right="49" w:firstLine="0"/>
        <w:contextualSpacing/>
        <w:jc w:val="both"/>
        <w:rPr>
          <w:rFonts w:ascii="Palatino Linotype" w:eastAsia="Cambria" w:hAnsi="Palatino Linotype"/>
          <w:sz w:val="24"/>
          <w:szCs w:val="24"/>
        </w:rPr>
      </w:pPr>
      <w:r w:rsidRPr="00E5368A">
        <w:rPr>
          <w:rFonts w:ascii="Palatino Linotype" w:eastAsia="Cambria" w:hAnsi="Palatino Linotype"/>
          <w:sz w:val="24"/>
          <w:szCs w:val="24"/>
        </w:rPr>
        <w:t xml:space="preserve">Con base a la disposición legal referida, el municipio tiene la facultad de establecer su división territorial, ante ello viene a colación lo establecido por los artículos 4, 7 y 8 de la Ley Orgánica Municipal del Estado de México, los que disponen: </w:t>
      </w:r>
    </w:p>
    <w:p w:rsidR="00B40D3E" w:rsidRPr="00E5368A" w:rsidRDefault="00B40D3E" w:rsidP="00B40D3E">
      <w:pPr>
        <w:spacing w:after="120"/>
        <w:ind w:left="851" w:right="851"/>
        <w:jc w:val="both"/>
        <w:rPr>
          <w:rFonts w:ascii="Palatino Linotype" w:eastAsia="Calibri" w:hAnsi="Palatino Linotype"/>
          <w:i/>
          <w:sz w:val="24"/>
          <w:szCs w:val="24"/>
        </w:rPr>
      </w:pPr>
      <w:r w:rsidRPr="00E5368A">
        <w:rPr>
          <w:rFonts w:ascii="Palatino Linotype" w:eastAsia="Calibri" w:hAnsi="Palatino Linotype"/>
          <w:i/>
          <w:sz w:val="24"/>
          <w:szCs w:val="24"/>
        </w:rPr>
        <w:t>“Artículo 4.- La creación y supresión de municipios, la modificación de su territorio, cambios en su denominación o ubicación de sus cabeceras municipales, así como la solución de conflictos sobre límites intermunicipales, corresponden a la Legislatura del Estado.</w:t>
      </w:r>
    </w:p>
    <w:p w:rsidR="00B40D3E" w:rsidRPr="00E5368A" w:rsidRDefault="00B40D3E" w:rsidP="00B40D3E">
      <w:pPr>
        <w:spacing w:after="120"/>
        <w:ind w:left="851" w:right="851"/>
        <w:jc w:val="both"/>
        <w:rPr>
          <w:rFonts w:ascii="Palatino Linotype" w:eastAsia="Calibri" w:hAnsi="Palatino Linotype"/>
          <w:i/>
          <w:sz w:val="24"/>
          <w:szCs w:val="24"/>
        </w:rPr>
      </w:pPr>
      <w:r w:rsidRPr="00E5368A">
        <w:rPr>
          <w:rFonts w:ascii="Palatino Linotype" w:eastAsia="Calibri" w:hAnsi="Palatino Linotype"/>
          <w:i/>
          <w:sz w:val="24"/>
          <w:szCs w:val="24"/>
        </w:rPr>
        <w:t>Artículo 7.- La extensión territorial de los municipios del Estado, comprenderá la superficie y límites reconocidos para cada uno de ellos.” (Sic)</w:t>
      </w:r>
    </w:p>
    <w:p w:rsidR="00B40D3E" w:rsidRPr="00E5368A" w:rsidRDefault="00B40D3E" w:rsidP="00B40D3E">
      <w:pPr>
        <w:spacing w:after="120"/>
        <w:ind w:left="851" w:right="851"/>
        <w:jc w:val="both"/>
        <w:rPr>
          <w:rFonts w:ascii="Palatino Linotype" w:eastAsia="Calibri" w:hAnsi="Palatino Linotype"/>
          <w:i/>
          <w:sz w:val="24"/>
          <w:szCs w:val="24"/>
        </w:rPr>
      </w:pPr>
      <w:r w:rsidRPr="00E5368A">
        <w:rPr>
          <w:rFonts w:ascii="Palatino Linotype" w:eastAsia="Calibri" w:hAnsi="Palatino Linotype"/>
          <w:i/>
          <w:sz w:val="24"/>
          <w:szCs w:val="24"/>
        </w:rPr>
        <w:t>Artículo 8.- La división territorial de los municipios se integra por la cabecera municipal, y por las delegaciones, subdelegaciones, colonias, sectores y manzanas, con la denominación, extensión y límites que establezcan los ayuntamientos.” (Sic)</w:t>
      </w:r>
    </w:p>
    <w:p w:rsidR="00B40D3E" w:rsidRPr="00E5368A" w:rsidRDefault="00B40D3E" w:rsidP="00B40D3E">
      <w:pPr>
        <w:spacing w:after="120"/>
        <w:ind w:left="851" w:right="851"/>
        <w:jc w:val="both"/>
        <w:rPr>
          <w:rFonts w:ascii="Palatino Linotype" w:eastAsia="Calibri" w:hAnsi="Palatino Linotype"/>
          <w:i/>
          <w:sz w:val="24"/>
          <w:szCs w:val="24"/>
        </w:rPr>
      </w:pPr>
    </w:p>
    <w:p w:rsidR="00B40D3E" w:rsidRPr="00E5368A" w:rsidRDefault="00B40D3E" w:rsidP="00B40D3E">
      <w:pPr>
        <w:spacing w:after="0" w:line="360" w:lineRule="auto"/>
        <w:ind w:right="49"/>
        <w:contextualSpacing/>
        <w:jc w:val="both"/>
        <w:rPr>
          <w:rFonts w:ascii="Palatino Linotype" w:eastAsia="Cambria" w:hAnsi="Palatino Linotype"/>
          <w:sz w:val="24"/>
          <w:szCs w:val="24"/>
        </w:rPr>
      </w:pPr>
    </w:p>
    <w:p w:rsidR="00B40D3E" w:rsidRPr="00E5368A" w:rsidRDefault="00B40D3E" w:rsidP="00B40D3E">
      <w:pPr>
        <w:numPr>
          <w:ilvl w:val="0"/>
          <w:numId w:val="1"/>
        </w:numPr>
        <w:spacing w:after="0" w:line="360" w:lineRule="auto"/>
        <w:ind w:left="0" w:right="49" w:firstLine="0"/>
        <w:contextualSpacing/>
        <w:jc w:val="both"/>
        <w:rPr>
          <w:rFonts w:ascii="Palatino Linotype" w:eastAsia="Cambria" w:hAnsi="Palatino Linotype"/>
          <w:sz w:val="24"/>
          <w:szCs w:val="24"/>
        </w:rPr>
      </w:pPr>
      <w:r w:rsidRPr="00E5368A">
        <w:rPr>
          <w:rFonts w:ascii="Palatino Linotype" w:eastAsia="Cambria" w:hAnsi="Palatino Linotype"/>
          <w:sz w:val="24"/>
          <w:szCs w:val="24"/>
        </w:rPr>
        <w:t>Una vez precisado lo anterior, se procede a realizar los siguientes cuestionamientos para determinar la procedencia de la entrega de la información requerida por el recurrente.</w:t>
      </w:r>
    </w:p>
    <w:p w:rsidR="00B40D3E" w:rsidRPr="00E5368A" w:rsidRDefault="00B40D3E" w:rsidP="00B40D3E">
      <w:pPr>
        <w:autoSpaceDE w:val="0"/>
        <w:autoSpaceDN w:val="0"/>
        <w:adjustRightInd w:val="0"/>
        <w:spacing w:before="240" w:after="240" w:line="360" w:lineRule="auto"/>
        <w:ind w:right="51"/>
        <w:contextualSpacing/>
        <w:jc w:val="both"/>
        <w:rPr>
          <w:rFonts w:ascii="Palatino Linotype" w:hAnsi="Palatino Linotype"/>
          <w:sz w:val="24"/>
          <w:szCs w:val="24"/>
        </w:rPr>
      </w:pPr>
      <w:r w:rsidRPr="00E5368A">
        <w:rPr>
          <w:rFonts w:ascii="Palatino Linotype" w:hAnsi="Palatino Linotype"/>
          <w:sz w:val="24"/>
          <w:szCs w:val="24"/>
        </w:rPr>
        <w:t>Primera cuestión: ¿Pueden ser restringidos los Principios establecidos en el artículo 6 de la Constitución Federal respecto del derecho de acceso a la información?</w:t>
      </w:r>
    </w:p>
    <w:p w:rsidR="00B40D3E" w:rsidRPr="00E5368A" w:rsidRDefault="00B40D3E" w:rsidP="00B40D3E">
      <w:pPr>
        <w:spacing w:line="360" w:lineRule="auto"/>
        <w:jc w:val="both"/>
        <w:rPr>
          <w:rFonts w:ascii="Palatino Linotype" w:hAnsi="Palatino Linotype"/>
          <w:sz w:val="24"/>
          <w:szCs w:val="24"/>
        </w:rPr>
      </w:pPr>
    </w:p>
    <w:p w:rsidR="00B40D3E" w:rsidRPr="00E5368A" w:rsidRDefault="00B40D3E" w:rsidP="00B40D3E">
      <w:pPr>
        <w:numPr>
          <w:ilvl w:val="0"/>
          <w:numId w:val="1"/>
        </w:numPr>
        <w:spacing w:after="0" w:line="360" w:lineRule="auto"/>
        <w:ind w:left="0" w:right="49" w:firstLine="0"/>
        <w:contextualSpacing/>
        <w:jc w:val="both"/>
        <w:rPr>
          <w:rFonts w:ascii="Palatino Linotype" w:hAnsi="Palatino Linotype"/>
          <w:sz w:val="24"/>
          <w:szCs w:val="24"/>
        </w:rPr>
      </w:pPr>
      <w:r w:rsidRPr="00E5368A">
        <w:rPr>
          <w:rFonts w:ascii="Palatino Linotype" w:hAnsi="Palatino Linotype"/>
          <w:sz w:val="24"/>
          <w:szCs w:val="24"/>
        </w:rPr>
        <w:t xml:space="preserve">El artículo 6 de la Constitución General de la República, establece una serie de principios y bases sobre las cuales se erige el reconocimiento y ejercicio del derecho humano del acceso a la información pública. </w:t>
      </w:r>
    </w:p>
    <w:p w:rsidR="00B40D3E" w:rsidRPr="00E5368A" w:rsidRDefault="00B40D3E" w:rsidP="00B40D3E">
      <w:pPr>
        <w:spacing w:line="360" w:lineRule="auto"/>
        <w:jc w:val="both"/>
        <w:rPr>
          <w:rFonts w:ascii="Palatino Linotype" w:hAnsi="Palatino Linotype"/>
          <w:sz w:val="24"/>
          <w:szCs w:val="24"/>
        </w:rPr>
      </w:pPr>
    </w:p>
    <w:p w:rsidR="00B40D3E" w:rsidRPr="00E5368A" w:rsidRDefault="00B40D3E" w:rsidP="00B40D3E">
      <w:pPr>
        <w:numPr>
          <w:ilvl w:val="0"/>
          <w:numId w:val="1"/>
        </w:numPr>
        <w:spacing w:after="0" w:line="360" w:lineRule="auto"/>
        <w:ind w:left="0" w:right="49" w:firstLine="0"/>
        <w:contextualSpacing/>
        <w:jc w:val="both"/>
        <w:rPr>
          <w:rFonts w:ascii="Palatino Linotype" w:hAnsi="Palatino Linotype"/>
          <w:b/>
          <w:sz w:val="24"/>
          <w:szCs w:val="24"/>
        </w:rPr>
      </w:pPr>
      <w:r w:rsidRPr="00E5368A">
        <w:rPr>
          <w:rFonts w:ascii="Palatino Linotype" w:hAnsi="Palatino Linotype"/>
          <w:sz w:val="24"/>
          <w:szCs w:val="24"/>
        </w:rPr>
        <w:t xml:space="preserve">En este sentido, en la fracción I del citado artículo, establece que es pública la información que posea cualquier ente estatal, con </w:t>
      </w:r>
      <w:r w:rsidRPr="00E5368A">
        <w:rPr>
          <w:rFonts w:ascii="Palatino Linotype" w:hAnsi="Palatino Linotype"/>
          <w:b/>
          <w:sz w:val="24"/>
          <w:szCs w:val="24"/>
        </w:rPr>
        <w:t>excepción de reserva temporal</w:t>
      </w:r>
      <w:r w:rsidRPr="00E5368A">
        <w:rPr>
          <w:rFonts w:ascii="Palatino Linotype" w:hAnsi="Palatino Linotype"/>
          <w:sz w:val="24"/>
          <w:szCs w:val="24"/>
        </w:rPr>
        <w:t xml:space="preserve"> </w:t>
      </w:r>
      <w:r w:rsidRPr="00E5368A">
        <w:rPr>
          <w:rFonts w:ascii="Palatino Linotype" w:hAnsi="Palatino Linotype"/>
          <w:b/>
          <w:sz w:val="24"/>
          <w:szCs w:val="24"/>
        </w:rPr>
        <w:t>por razón de interés público</w:t>
      </w:r>
      <w:r w:rsidRPr="00E5368A">
        <w:rPr>
          <w:rFonts w:ascii="Palatino Linotype" w:hAnsi="Palatino Linotype" w:cs="Arial"/>
          <w:sz w:val="24"/>
          <w:szCs w:val="24"/>
        </w:rPr>
        <w:t xml:space="preserve"> </w:t>
      </w:r>
      <w:r w:rsidRPr="00E5368A">
        <w:rPr>
          <w:rFonts w:ascii="Palatino Linotype" w:hAnsi="Palatino Linotype" w:cs="Arial"/>
          <w:b/>
          <w:sz w:val="24"/>
          <w:szCs w:val="24"/>
        </w:rPr>
        <w:t>en los términos que fijen las leyes</w:t>
      </w:r>
      <w:r w:rsidRPr="00E5368A">
        <w:rPr>
          <w:rFonts w:ascii="Palatino Linotype" w:hAnsi="Palatino Linotype"/>
          <w:b/>
          <w:sz w:val="24"/>
          <w:szCs w:val="24"/>
        </w:rPr>
        <w:t>;</w:t>
      </w:r>
      <w:r w:rsidRPr="00E5368A">
        <w:rPr>
          <w:rFonts w:ascii="Palatino Linotype" w:hAnsi="Palatino Linotype"/>
          <w:sz w:val="24"/>
          <w:szCs w:val="24"/>
        </w:rPr>
        <w:t xml:space="preserve"> y en la fracción segunda se ordena, que la referente a la vida privada y datos personales, sea protegida.</w:t>
      </w:r>
    </w:p>
    <w:p w:rsidR="00B40D3E" w:rsidRPr="00E5368A" w:rsidRDefault="00B40D3E" w:rsidP="00B40D3E">
      <w:pPr>
        <w:spacing w:after="0" w:line="360" w:lineRule="auto"/>
        <w:ind w:right="49"/>
        <w:contextualSpacing/>
        <w:jc w:val="both"/>
        <w:rPr>
          <w:rFonts w:ascii="Palatino Linotype" w:hAnsi="Palatino Linotype"/>
          <w:b/>
          <w:sz w:val="24"/>
          <w:szCs w:val="24"/>
        </w:rPr>
      </w:pPr>
    </w:p>
    <w:p w:rsidR="00B40D3E" w:rsidRPr="00E5368A" w:rsidRDefault="00B40D3E" w:rsidP="00B40D3E">
      <w:pPr>
        <w:numPr>
          <w:ilvl w:val="0"/>
          <w:numId w:val="1"/>
        </w:numPr>
        <w:spacing w:after="0" w:line="360" w:lineRule="auto"/>
        <w:ind w:left="0" w:right="49" w:firstLine="0"/>
        <w:contextualSpacing/>
        <w:jc w:val="both"/>
        <w:rPr>
          <w:rFonts w:ascii="Palatino Linotype" w:hAnsi="Palatino Linotype"/>
          <w:b/>
          <w:sz w:val="24"/>
          <w:szCs w:val="24"/>
        </w:rPr>
      </w:pPr>
      <w:r w:rsidRPr="00E5368A">
        <w:rPr>
          <w:rFonts w:ascii="Palatino Linotype" w:hAnsi="Palatino Linotype"/>
          <w:sz w:val="24"/>
          <w:szCs w:val="24"/>
        </w:rPr>
        <w:t xml:space="preserve">Por lo tanto, se puede determinar que, a rango constitucional </w:t>
      </w:r>
      <w:r w:rsidRPr="00E5368A">
        <w:rPr>
          <w:rFonts w:ascii="Palatino Linotype" w:hAnsi="Palatino Linotype"/>
          <w:b/>
          <w:sz w:val="24"/>
          <w:szCs w:val="24"/>
        </w:rPr>
        <w:t>el ejercicio del poder público debe operar bajo la máxima publicidad y accesibilidad, solo limitada por circunstancias específicas establecidas por la ley</w:t>
      </w:r>
      <w:r w:rsidRPr="00E5368A">
        <w:rPr>
          <w:rFonts w:ascii="Palatino Linotype" w:hAnsi="Palatino Linotype"/>
          <w:sz w:val="24"/>
          <w:szCs w:val="24"/>
        </w:rPr>
        <w:t>, y que pudieran implicar que la divulgación de la información atente contra los derechos de terceros o la protección de la seguridad nacional, el orden público, la salud o moral públicas.</w:t>
      </w:r>
    </w:p>
    <w:p w:rsidR="00B40D3E" w:rsidRPr="00E5368A" w:rsidRDefault="00B40D3E" w:rsidP="00B40D3E">
      <w:pPr>
        <w:pStyle w:val="corte4fondo"/>
        <w:ind w:firstLine="0"/>
        <w:rPr>
          <w:rFonts w:ascii="Palatino Linotype" w:hAnsi="Palatino Linotype"/>
          <w:sz w:val="24"/>
          <w:szCs w:val="24"/>
        </w:rPr>
      </w:pPr>
    </w:p>
    <w:p w:rsidR="00B40D3E" w:rsidRPr="00E5368A" w:rsidRDefault="00B40D3E" w:rsidP="00B40D3E">
      <w:pPr>
        <w:numPr>
          <w:ilvl w:val="0"/>
          <w:numId w:val="1"/>
        </w:numPr>
        <w:spacing w:after="0" w:line="360" w:lineRule="auto"/>
        <w:ind w:left="0" w:right="49" w:firstLine="0"/>
        <w:contextualSpacing/>
        <w:jc w:val="both"/>
        <w:rPr>
          <w:rFonts w:ascii="Palatino Linotype" w:hAnsi="Palatino Linotype"/>
          <w:sz w:val="24"/>
          <w:szCs w:val="24"/>
        </w:rPr>
      </w:pPr>
      <w:r w:rsidRPr="00E5368A">
        <w:rPr>
          <w:rFonts w:ascii="Palatino Linotype" w:hAnsi="Palatino Linotype"/>
          <w:sz w:val="24"/>
          <w:szCs w:val="24"/>
        </w:rPr>
        <w:lastRenderedPageBreak/>
        <w:t xml:space="preserve">Así, témenos que como sucede con el ejercicio de otros derechos fundamentales, </w:t>
      </w:r>
      <w:r w:rsidRPr="00E5368A">
        <w:rPr>
          <w:rFonts w:ascii="Palatino Linotype" w:hAnsi="Palatino Linotype"/>
          <w:b/>
          <w:sz w:val="24"/>
          <w:szCs w:val="24"/>
          <w:u w:val="single"/>
        </w:rPr>
        <w:t>el derecho al acceso a la información, se encuentra sujeto a determinadas restricciones; sin embargo, a efecto de no ser excesivas, que lleguen al grado de anular el ejercicio del derecho fundamental, están condicionadas a diversos aspectos,</w:t>
      </w:r>
      <w:r w:rsidRPr="00E5368A">
        <w:rPr>
          <w:rFonts w:ascii="Palatino Linotype" w:hAnsi="Palatino Linotype"/>
          <w:sz w:val="24"/>
          <w:szCs w:val="24"/>
        </w:rPr>
        <w:t xml:space="preserve"> de modo que, como lo indica la propia Convención Americana de Derechos Humanos en su artículo 13.2, para que una restricción al derecho a la información pública pueda ser aplicable, debe demostrarse que ha cumplido con las condiciones de: i)</w:t>
      </w:r>
      <w:r w:rsidRPr="00E5368A">
        <w:rPr>
          <w:rFonts w:ascii="Palatino Linotype" w:hAnsi="Palatino Linotype"/>
          <w:i/>
          <w:sz w:val="24"/>
          <w:szCs w:val="24"/>
        </w:rPr>
        <w:t>carácter excepcional, ii) consagración legal, iii) objetivos legítimos, iii) necesidad y proporcionalidad.</w:t>
      </w:r>
    </w:p>
    <w:p w:rsidR="00B40D3E" w:rsidRPr="00E5368A" w:rsidRDefault="00B40D3E" w:rsidP="00B40D3E">
      <w:pPr>
        <w:spacing w:after="0" w:line="360" w:lineRule="auto"/>
        <w:ind w:right="49"/>
        <w:contextualSpacing/>
        <w:jc w:val="both"/>
        <w:rPr>
          <w:rFonts w:ascii="Palatino Linotype" w:hAnsi="Palatino Linotype"/>
          <w:sz w:val="24"/>
          <w:szCs w:val="24"/>
        </w:rPr>
      </w:pPr>
    </w:p>
    <w:p w:rsidR="00B40D3E" w:rsidRPr="00E5368A" w:rsidRDefault="00B40D3E" w:rsidP="00B40D3E">
      <w:pPr>
        <w:numPr>
          <w:ilvl w:val="0"/>
          <w:numId w:val="1"/>
        </w:numPr>
        <w:spacing w:after="0" w:line="360" w:lineRule="auto"/>
        <w:ind w:left="0" w:right="49" w:firstLine="0"/>
        <w:contextualSpacing/>
        <w:jc w:val="both"/>
        <w:rPr>
          <w:rFonts w:ascii="Palatino Linotype" w:hAnsi="Palatino Linotype"/>
          <w:sz w:val="24"/>
          <w:szCs w:val="24"/>
        </w:rPr>
      </w:pPr>
      <w:r w:rsidRPr="00E5368A">
        <w:rPr>
          <w:rFonts w:ascii="Palatino Linotype" w:hAnsi="Palatino Linotype"/>
          <w:sz w:val="24"/>
          <w:szCs w:val="24"/>
        </w:rPr>
        <w:t xml:space="preserve">Respecto de estas excepciones, la </w:t>
      </w:r>
      <w:r w:rsidRPr="00E5368A">
        <w:rPr>
          <w:rFonts w:ascii="Palatino Linotype" w:hAnsi="Palatino Linotype"/>
          <w:b/>
          <w:sz w:val="24"/>
          <w:szCs w:val="24"/>
        </w:rPr>
        <w:t xml:space="preserve">Corte Interamericana al resolver el </w:t>
      </w:r>
      <w:r w:rsidRPr="00E5368A">
        <w:rPr>
          <w:rFonts w:ascii="Palatino Linotype" w:hAnsi="Palatino Linotype"/>
          <w:b/>
          <w:i/>
          <w:sz w:val="24"/>
          <w:szCs w:val="24"/>
        </w:rPr>
        <w:t>Caso de Clade Reyes y Otros (sentencia del 19 de septiembre de 2006)</w:t>
      </w:r>
      <w:r w:rsidRPr="00E5368A">
        <w:rPr>
          <w:rFonts w:ascii="Palatino Linotype" w:hAnsi="Palatino Linotype"/>
          <w:sz w:val="24"/>
          <w:szCs w:val="24"/>
        </w:rPr>
        <w:t xml:space="preserve">  preciso que,  el establecimiento de </w:t>
      </w:r>
      <w:r w:rsidRPr="00E5368A">
        <w:rPr>
          <w:rFonts w:ascii="Palatino Linotype" w:hAnsi="Palatino Linotype"/>
          <w:b/>
          <w:sz w:val="24"/>
          <w:szCs w:val="24"/>
          <w:u w:val="single"/>
        </w:rPr>
        <w:t>restricciones al derecho de acceso a la información bajo control del Estado, a través de la práctica de las autoridades, sin cumplimiento de los requisitos establecidos en la Convención Americana, crea un campo fértil para la actuación discrecional y arbitraria en la clasificación de informaciones como secretas, reservadas</w:t>
      </w:r>
      <w:r w:rsidRPr="00E5368A">
        <w:rPr>
          <w:rFonts w:ascii="Palatino Linotype" w:hAnsi="Palatino Linotype"/>
          <w:sz w:val="24"/>
          <w:szCs w:val="24"/>
        </w:rPr>
        <w:t xml:space="preserve"> o confidenciales y genera inseguridad jurídica respecto del ejercicio de dicho derecho, así como del alcance de las facultades estatales para restringirlo; es por ello que, en atención al principio de máxima divulgación, toda excepción que precisen los entes públicos debe sujetarse a  una serie de parámetros jurídicos. </w:t>
      </w:r>
    </w:p>
    <w:p w:rsidR="00B40D3E" w:rsidRPr="00E5368A" w:rsidRDefault="00B40D3E" w:rsidP="00B40D3E">
      <w:pPr>
        <w:spacing w:line="360" w:lineRule="auto"/>
        <w:jc w:val="both"/>
        <w:rPr>
          <w:rFonts w:ascii="Palatino Linotype" w:hAnsi="Palatino Linotype"/>
          <w:sz w:val="24"/>
          <w:szCs w:val="24"/>
        </w:rPr>
      </w:pPr>
    </w:p>
    <w:p w:rsidR="00B40D3E" w:rsidRPr="00E5368A" w:rsidRDefault="00B40D3E" w:rsidP="00B40D3E">
      <w:pPr>
        <w:numPr>
          <w:ilvl w:val="0"/>
          <w:numId w:val="1"/>
        </w:numPr>
        <w:spacing w:after="0" w:line="360" w:lineRule="auto"/>
        <w:ind w:left="0" w:right="49" w:firstLine="0"/>
        <w:contextualSpacing/>
        <w:jc w:val="both"/>
        <w:rPr>
          <w:rFonts w:ascii="Palatino Linotype" w:hAnsi="Palatino Linotype"/>
          <w:b/>
          <w:sz w:val="24"/>
          <w:szCs w:val="24"/>
        </w:rPr>
      </w:pPr>
      <w:r w:rsidRPr="00E5368A">
        <w:rPr>
          <w:rFonts w:ascii="Palatino Linotype" w:hAnsi="Palatino Linotype"/>
          <w:sz w:val="24"/>
          <w:szCs w:val="24"/>
        </w:rPr>
        <w:t xml:space="preserve">Además, en la misma sentencia el tribunal interamericano puntualizó que la ley debe garantizar un acceso a la información pública que sea efectivo y lo más </w:t>
      </w:r>
      <w:r w:rsidRPr="00E5368A">
        <w:rPr>
          <w:rFonts w:ascii="Palatino Linotype" w:hAnsi="Palatino Linotype"/>
          <w:sz w:val="24"/>
          <w:szCs w:val="24"/>
        </w:rPr>
        <w:lastRenderedPageBreak/>
        <w:t xml:space="preserve">amplio posible, además de que, </w:t>
      </w:r>
      <w:r w:rsidRPr="00E5368A">
        <w:rPr>
          <w:rFonts w:ascii="Palatino Linotype" w:hAnsi="Palatino Linotype"/>
          <w:b/>
          <w:sz w:val="24"/>
          <w:szCs w:val="24"/>
          <w:u w:val="single"/>
        </w:rPr>
        <w:t xml:space="preserve">en caso de contemplar excepciones, éstas no deben convertirse en la práctica en la regla general, sino deben ser la excepción sujetas a estudios casuísticos. </w:t>
      </w:r>
    </w:p>
    <w:p w:rsidR="00B40D3E" w:rsidRPr="00E5368A" w:rsidRDefault="00B40D3E" w:rsidP="00B40D3E">
      <w:pPr>
        <w:spacing w:line="360" w:lineRule="auto"/>
        <w:jc w:val="both"/>
        <w:rPr>
          <w:rFonts w:ascii="Palatino Linotype" w:hAnsi="Palatino Linotype"/>
          <w:sz w:val="24"/>
          <w:szCs w:val="24"/>
        </w:rPr>
      </w:pPr>
    </w:p>
    <w:p w:rsidR="00B40D3E" w:rsidRPr="00E5368A" w:rsidRDefault="00B40D3E" w:rsidP="00B40D3E">
      <w:pPr>
        <w:numPr>
          <w:ilvl w:val="0"/>
          <w:numId w:val="1"/>
        </w:numPr>
        <w:spacing w:after="0" w:line="360" w:lineRule="auto"/>
        <w:ind w:left="0" w:right="49" w:firstLine="0"/>
        <w:contextualSpacing/>
        <w:jc w:val="both"/>
        <w:rPr>
          <w:rFonts w:ascii="Palatino Linotype" w:hAnsi="Palatino Linotype"/>
          <w:sz w:val="24"/>
          <w:szCs w:val="24"/>
        </w:rPr>
      </w:pPr>
      <w:r w:rsidRPr="00E5368A">
        <w:rPr>
          <w:rFonts w:ascii="Palatino Linotype" w:hAnsi="Palatino Linotype"/>
          <w:sz w:val="24"/>
          <w:szCs w:val="24"/>
        </w:rPr>
        <w:t xml:space="preserve">En esa medida, la Relatoría para la Libertad de Expresión de la Comisión Interamericana de Derechos Humanos, </w:t>
      </w:r>
      <w:r w:rsidRPr="00E5368A">
        <w:rPr>
          <w:rFonts w:ascii="Palatino Linotype" w:hAnsi="Palatino Linotype"/>
          <w:b/>
          <w:sz w:val="24"/>
          <w:szCs w:val="24"/>
        </w:rPr>
        <w:t>ha sostenido que las limitaciones impuestas al derecho de acceso a la información, como cualquier otra limitación que se imponga a cualquiera de las derivaciones del derecho a la libertad de expresión, deben ser necesarias en una sociedad democrática para satisfacer un interés público imperativo; debiendo escoger la que restrinja en menor escala el derecho protegido</w:t>
      </w:r>
      <w:r w:rsidRPr="00E5368A">
        <w:rPr>
          <w:rFonts w:ascii="Palatino Linotype" w:hAnsi="Palatino Linotype"/>
          <w:sz w:val="24"/>
          <w:szCs w:val="24"/>
        </w:rPr>
        <w:t>, y observando que ésta:  (i) sea conducente para alcanzar su logro, (ii) sea proporcional al interés que la justifica, e (iii) interfiera en la menor medida posible en el ejercicio efectivo del derecho.</w:t>
      </w:r>
    </w:p>
    <w:p w:rsidR="00B40D3E" w:rsidRPr="00E5368A" w:rsidRDefault="00B40D3E" w:rsidP="00B40D3E">
      <w:pPr>
        <w:spacing w:line="360" w:lineRule="auto"/>
        <w:jc w:val="both"/>
        <w:rPr>
          <w:rFonts w:ascii="Palatino Linotype" w:hAnsi="Palatino Linotype"/>
          <w:sz w:val="24"/>
          <w:szCs w:val="24"/>
        </w:rPr>
      </w:pPr>
    </w:p>
    <w:p w:rsidR="00B40D3E" w:rsidRPr="00E5368A" w:rsidRDefault="00B40D3E" w:rsidP="00B40D3E">
      <w:pPr>
        <w:numPr>
          <w:ilvl w:val="0"/>
          <w:numId w:val="1"/>
        </w:numPr>
        <w:spacing w:after="0" w:line="360" w:lineRule="auto"/>
        <w:ind w:left="0" w:right="49" w:firstLine="0"/>
        <w:contextualSpacing/>
        <w:jc w:val="both"/>
        <w:rPr>
          <w:rFonts w:ascii="Palatino Linotype" w:hAnsi="Palatino Linotype"/>
          <w:b/>
          <w:sz w:val="24"/>
          <w:szCs w:val="24"/>
          <w:u w:val="single"/>
        </w:rPr>
      </w:pPr>
      <w:r w:rsidRPr="00E5368A">
        <w:rPr>
          <w:rFonts w:ascii="Palatino Linotype" w:hAnsi="Palatino Linotype"/>
          <w:sz w:val="24"/>
          <w:szCs w:val="24"/>
        </w:rPr>
        <w:t xml:space="preserve">De esta forma, del principio de máxima publicidad tanto en el ámbito internos como en la óptica internacional, deriva el que </w:t>
      </w:r>
      <w:r w:rsidRPr="00E5368A">
        <w:rPr>
          <w:rFonts w:ascii="Palatino Linotype" w:hAnsi="Palatino Linotype"/>
          <w:b/>
          <w:sz w:val="24"/>
          <w:szCs w:val="24"/>
          <w:u w:val="single"/>
        </w:rPr>
        <w:t xml:space="preserve">las normas que limitan el derecho de acceso a la información deben ser interpretadas de manera restrictiva y que toda limitación debe estar debidamente sujeta a una serie de parámetros con los cuales se permita determinar la menor limitación posible al derecho de acceso. </w:t>
      </w:r>
    </w:p>
    <w:p w:rsidR="00B40D3E" w:rsidRPr="00E5368A" w:rsidRDefault="00B40D3E" w:rsidP="00B40D3E">
      <w:pPr>
        <w:autoSpaceDE w:val="0"/>
        <w:autoSpaceDN w:val="0"/>
        <w:adjustRightInd w:val="0"/>
        <w:spacing w:before="240" w:after="240" w:line="360" w:lineRule="auto"/>
        <w:ind w:right="51"/>
        <w:contextualSpacing/>
        <w:jc w:val="both"/>
        <w:rPr>
          <w:rFonts w:ascii="Palatino Linotype" w:hAnsi="Palatino Linotype"/>
          <w:sz w:val="24"/>
          <w:szCs w:val="24"/>
        </w:rPr>
      </w:pPr>
    </w:p>
    <w:p w:rsidR="00B40D3E" w:rsidRPr="00E5368A" w:rsidRDefault="00B40D3E" w:rsidP="00B40D3E">
      <w:pPr>
        <w:autoSpaceDE w:val="0"/>
        <w:autoSpaceDN w:val="0"/>
        <w:adjustRightInd w:val="0"/>
        <w:spacing w:before="240" w:after="240" w:line="360" w:lineRule="auto"/>
        <w:ind w:right="51"/>
        <w:contextualSpacing/>
        <w:jc w:val="both"/>
        <w:rPr>
          <w:rFonts w:ascii="Palatino Linotype" w:hAnsi="Palatino Linotype"/>
          <w:sz w:val="24"/>
          <w:szCs w:val="24"/>
        </w:rPr>
      </w:pPr>
      <w:r w:rsidRPr="00E5368A">
        <w:rPr>
          <w:rFonts w:ascii="Palatino Linotype" w:hAnsi="Palatino Linotype"/>
          <w:sz w:val="24"/>
          <w:szCs w:val="24"/>
        </w:rPr>
        <w:t>Segunda cuestión: ¿Cuál es el marco legal que contempla el conjunto de limitaciones excepcionales al Derecho de Acceso a la información Pública en México en los casos en concreto?</w:t>
      </w:r>
    </w:p>
    <w:p w:rsidR="00B40D3E" w:rsidRPr="00E5368A" w:rsidRDefault="00B40D3E" w:rsidP="00B40D3E">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lastRenderedPageBreak/>
        <w:t>Bajo este panorama, en congruencia con el marco constitucional y convencional, la Ley General de Transparencia y de forma equivalente la Ley de Transparencia y Acceso a la Información Pública del Estado de México y Municipios, establecen dos supuestos bajo los cuales una autoridad del estado puede restringir el Derecho de acceso a la información pública ejercido por los particulares, dichas hipótesis de restricción las podemos delimitar en dos conjuntos, el primero como información: “</w:t>
      </w:r>
      <w:r w:rsidRPr="00E5368A">
        <w:rPr>
          <w:rFonts w:ascii="Palatino Linotype" w:hAnsi="Palatino Linotype" w:cs="Arial"/>
          <w:b/>
          <w:sz w:val="24"/>
          <w:szCs w:val="24"/>
        </w:rPr>
        <w:t>Confidencial”</w:t>
      </w:r>
      <w:r w:rsidRPr="00E5368A">
        <w:rPr>
          <w:rFonts w:ascii="Palatino Linotype" w:hAnsi="Palatino Linotype" w:cs="Arial"/>
          <w:sz w:val="24"/>
          <w:szCs w:val="24"/>
        </w:rPr>
        <w:t xml:space="preserve"> y el segundo como información “</w:t>
      </w:r>
      <w:r w:rsidRPr="00E5368A">
        <w:rPr>
          <w:rFonts w:ascii="Palatino Linotype" w:hAnsi="Palatino Linotype" w:cs="Arial"/>
          <w:b/>
          <w:sz w:val="24"/>
          <w:szCs w:val="24"/>
        </w:rPr>
        <w:t>Reservada</w:t>
      </w:r>
      <w:r w:rsidRPr="00E5368A">
        <w:rPr>
          <w:rFonts w:ascii="Palatino Linotype" w:hAnsi="Palatino Linotype" w:cs="Arial"/>
          <w:sz w:val="24"/>
          <w:szCs w:val="24"/>
        </w:rPr>
        <w:t xml:space="preserve">”.  </w:t>
      </w:r>
    </w:p>
    <w:p w:rsidR="00B40D3E" w:rsidRPr="00E5368A" w:rsidRDefault="00B40D3E" w:rsidP="00B40D3E">
      <w:pPr>
        <w:pStyle w:val="corte4fondo"/>
        <w:shd w:val="clear" w:color="auto" w:fill="FFFFFF" w:themeFill="background1"/>
        <w:ind w:firstLine="0"/>
        <w:rPr>
          <w:rFonts w:ascii="Palatino Linotype" w:hAnsi="Palatino Linotype" w:cs="Arial"/>
          <w:sz w:val="24"/>
          <w:szCs w:val="24"/>
        </w:rPr>
      </w:pPr>
    </w:p>
    <w:p w:rsidR="00B40D3E" w:rsidRPr="00E5368A" w:rsidRDefault="00B40D3E" w:rsidP="00B40D3E">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t>En este sentido, para proteger la vida privada y los datos personales –considerados como uno de los límites constitucionalmente legítimos–</w:t>
      </w:r>
      <w:r w:rsidRPr="00E5368A">
        <w:rPr>
          <w:rFonts w:ascii="Palatino Linotype" w:hAnsi="Palatino Linotype" w:cs="Arial"/>
          <w:i/>
          <w:sz w:val="24"/>
          <w:szCs w:val="24"/>
        </w:rPr>
        <w:t xml:space="preserve"> </w:t>
      </w:r>
      <w:r w:rsidRPr="00E5368A">
        <w:rPr>
          <w:rFonts w:ascii="Palatino Linotype" w:hAnsi="Palatino Linotype" w:cs="Arial"/>
          <w:sz w:val="24"/>
          <w:szCs w:val="24"/>
        </w:rPr>
        <w:t>el artículo 116 de la legislación general reproducido de forma simétrica en el análogo 143 de ley local en la materia, se establece como criterio de clasificación el de “</w:t>
      </w:r>
      <w:r w:rsidRPr="00E5368A">
        <w:rPr>
          <w:rFonts w:ascii="Palatino Linotype" w:hAnsi="Palatino Linotype" w:cs="Arial"/>
          <w:b/>
          <w:sz w:val="24"/>
          <w:szCs w:val="24"/>
        </w:rPr>
        <w:t>información confidencial</w:t>
      </w:r>
      <w:r w:rsidRPr="00E5368A">
        <w:rPr>
          <w:rFonts w:ascii="Palatino Linotype" w:hAnsi="Palatino Linotype" w:cs="Arial"/>
          <w:sz w:val="24"/>
          <w:szCs w:val="24"/>
        </w:rPr>
        <w:t xml:space="preserve">”, el cual restringe el acceso a la información pública que contenga datos personales o haga referencia a la vida privada de una persona física que requieran el consentimiento de estos para su difusión, distribución o comercialización. </w:t>
      </w:r>
    </w:p>
    <w:p w:rsidR="00B40D3E" w:rsidRPr="00E5368A" w:rsidRDefault="00B40D3E" w:rsidP="00B40D3E">
      <w:pPr>
        <w:spacing w:after="0" w:line="360" w:lineRule="auto"/>
        <w:ind w:right="49"/>
        <w:contextualSpacing/>
        <w:jc w:val="both"/>
        <w:rPr>
          <w:rFonts w:ascii="Palatino Linotype" w:hAnsi="Palatino Linotype" w:cs="Arial"/>
          <w:sz w:val="24"/>
          <w:szCs w:val="24"/>
        </w:rPr>
      </w:pPr>
    </w:p>
    <w:p w:rsidR="00B40D3E" w:rsidRPr="00E5368A" w:rsidRDefault="00B40D3E" w:rsidP="00B40D3E">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t xml:space="preserve">Por otro lado, para proteger el interés público, amabas legislaciones de manera homogénea en los numerales 113 y 140 de la ley general y de la ley local respectivamente, consideran la posibilidad de restringir el derecho de acceso a la información pública ejercido por los particulares, estableciendo la posibilidad de catalogar la información pública que obra en su poder </w:t>
      </w:r>
      <w:r w:rsidRPr="00E5368A">
        <w:rPr>
          <w:rFonts w:ascii="Palatino Linotype" w:hAnsi="Palatino Linotype" w:cs="Arial"/>
          <w:b/>
          <w:sz w:val="24"/>
          <w:szCs w:val="24"/>
        </w:rPr>
        <w:t>con la calidad de reservada.</w:t>
      </w:r>
      <w:r w:rsidRPr="00E5368A">
        <w:rPr>
          <w:rFonts w:ascii="Palatino Linotype" w:hAnsi="Palatino Linotype" w:cs="Arial"/>
          <w:sz w:val="24"/>
          <w:szCs w:val="24"/>
        </w:rPr>
        <w:t xml:space="preserve"> </w:t>
      </w:r>
    </w:p>
    <w:p w:rsidR="00B40D3E" w:rsidRPr="00E5368A" w:rsidRDefault="00B40D3E" w:rsidP="00B40D3E">
      <w:pPr>
        <w:spacing w:after="0" w:line="360" w:lineRule="auto"/>
        <w:ind w:right="49"/>
        <w:contextualSpacing/>
        <w:jc w:val="both"/>
        <w:rPr>
          <w:rFonts w:ascii="Palatino Linotype" w:hAnsi="Palatino Linotype" w:cs="Arial"/>
          <w:sz w:val="24"/>
          <w:szCs w:val="24"/>
        </w:rPr>
      </w:pPr>
    </w:p>
    <w:p w:rsidR="00B40D3E" w:rsidRPr="00E5368A" w:rsidRDefault="00B40D3E" w:rsidP="00B40D3E">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lastRenderedPageBreak/>
        <w:t>Además, la información que sea clasificada como reservada, podrá permanecer con tal carácter hasta por un periodo de cinco años; previendo, además, que podrá ser desclasificada cuando se extingan las causas que dieron origen a su clasificación o haya transcurrido el periodo de reserva.</w:t>
      </w:r>
    </w:p>
    <w:p w:rsidR="00B40D3E" w:rsidRPr="00E5368A" w:rsidRDefault="00B40D3E" w:rsidP="00B40D3E">
      <w:pPr>
        <w:spacing w:after="0" w:line="360" w:lineRule="auto"/>
        <w:ind w:right="49"/>
        <w:contextualSpacing/>
        <w:jc w:val="both"/>
        <w:rPr>
          <w:rFonts w:ascii="Palatino Linotype" w:hAnsi="Palatino Linotype" w:cs="Arial"/>
          <w:sz w:val="24"/>
          <w:szCs w:val="24"/>
        </w:rPr>
      </w:pPr>
    </w:p>
    <w:p w:rsidR="00B40D3E" w:rsidRPr="00E5368A" w:rsidRDefault="00B40D3E" w:rsidP="00B40D3E">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t xml:space="preserve">En la misma lógica, los numerales en comento precisan un catálogo generoso de lineamientos bajo los cuales deberá reservarse la información, lo cual procederá cuando la difusión de la información pueda, entre otras en las aplicables en el presente caso: </w:t>
      </w:r>
    </w:p>
    <w:p w:rsidR="00B40D3E" w:rsidRPr="00E5368A" w:rsidRDefault="00B40D3E" w:rsidP="00B40D3E">
      <w:pPr>
        <w:pStyle w:val="corte4fondo"/>
        <w:numPr>
          <w:ilvl w:val="0"/>
          <w:numId w:val="34"/>
        </w:numPr>
        <w:shd w:val="clear" w:color="auto" w:fill="FFFFFF" w:themeFill="background1"/>
        <w:rPr>
          <w:rFonts w:ascii="Palatino Linotype" w:hAnsi="Palatino Linotype" w:cs="Arial"/>
          <w:sz w:val="24"/>
          <w:szCs w:val="24"/>
        </w:rPr>
      </w:pPr>
      <w:r w:rsidRPr="00E5368A">
        <w:rPr>
          <w:rFonts w:ascii="Palatino Linotype" w:hAnsi="Palatino Linotype"/>
          <w:b/>
          <w:sz w:val="24"/>
          <w:szCs w:val="24"/>
          <w:u w:val="single"/>
        </w:rPr>
        <w:t>Pueda causar daño u obstruya</w:t>
      </w:r>
      <w:r w:rsidRPr="00E5368A">
        <w:rPr>
          <w:rFonts w:ascii="Palatino Linotype" w:hAnsi="Palatino Linotype"/>
          <w:sz w:val="24"/>
          <w:szCs w:val="24"/>
        </w:rPr>
        <w:t xml:space="preserve"> la prevención o persecución de los delitos, altere el proceso de investigación de las carpetas de investigación, </w:t>
      </w:r>
      <w:r w:rsidRPr="00E5368A">
        <w:rPr>
          <w:rFonts w:ascii="Palatino Linotype" w:hAnsi="Palatino Linotype"/>
          <w:b/>
          <w:sz w:val="24"/>
          <w:szCs w:val="24"/>
        </w:rPr>
        <w:t>afecte o vulnere la conducción</w:t>
      </w:r>
      <w:r w:rsidRPr="00E5368A">
        <w:rPr>
          <w:rFonts w:ascii="Palatino Linotype" w:hAnsi="Palatino Linotype"/>
          <w:sz w:val="24"/>
          <w:szCs w:val="24"/>
        </w:rPr>
        <w:t xml:space="preserve"> o los derechos </w:t>
      </w:r>
      <w:r w:rsidRPr="00E5368A">
        <w:rPr>
          <w:rFonts w:ascii="Palatino Linotype" w:hAnsi="Palatino Linotype"/>
          <w:b/>
          <w:sz w:val="24"/>
          <w:szCs w:val="24"/>
        </w:rPr>
        <w:t>del debido proceso en los procedimientos</w:t>
      </w:r>
      <w:r w:rsidRPr="00E5368A">
        <w:rPr>
          <w:rFonts w:ascii="Palatino Linotype" w:hAnsi="Palatino Linotype"/>
          <w:sz w:val="24"/>
          <w:szCs w:val="24"/>
        </w:rPr>
        <w:t xml:space="preserve"> judiciales o </w:t>
      </w:r>
      <w:r w:rsidRPr="00E5368A">
        <w:rPr>
          <w:rFonts w:ascii="Palatino Linotype" w:hAnsi="Palatino Linotype"/>
          <w:b/>
          <w:sz w:val="24"/>
          <w:szCs w:val="24"/>
        </w:rPr>
        <w:t>administrativos,</w:t>
      </w:r>
      <w:r w:rsidRPr="00E5368A">
        <w:rPr>
          <w:rFonts w:ascii="Palatino Linotype" w:hAnsi="Palatino Linotype"/>
          <w:sz w:val="24"/>
          <w:szCs w:val="24"/>
        </w:rPr>
        <w:t xml:space="preserve"> incluidos los de quejas, denuncias, inconformidades, responsabilidades administrativas y resarcitorias </w:t>
      </w:r>
      <w:r w:rsidRPr="00E5368A">
        <w:rPr>
          <w:rFonts w:ascii="Palatino Linotype" w:hAnsi="Palatino Linotype"/>
          <w:b/>
          <w:sz w:val="24"/>
          <w:szCs w:val="24"/>
        </w:rPr>
        <w:t>en tanto no hayan quedado firmes</w:t>
      </w:r>
      <w:r w:rsidRPr="00E5368A">
        <w:rPr>
          <w:rFonts w:ascii="Palatino Linotype" w:hAnsi="Palatino Linotype"/>
          <w:sz w:val="24"/>
          <w:szCs w:val="24"/>
        </w:rPr>
        <w:t xml:space="preserve"> o afecte la administración de justicia o la seguridad de un denunciante, querellante o testigo, así como sus familias, en los términos de las disposiciones jurídicas aplicables.</w:t>
      </w:r>
    </w:p>
    <w:p w:rsidR="00B40D3E" w:rsidRPr="00E5368A" w:rsidRDefault="00B40D3E" w:rsidP="00B40D3E">
      <w:pPr>
        <w:pStyle w:val="corte4fondo"/>
        <w:shd w:val="clear" w:color="auto" w:fill="FFFFFF" w:themeFill="background1"/>
        <w:ind w:left="1068" w:firstLine="0"/>
        <w:rPr>
          <w:rFonts w:ascii="Palatino Linotype" w:hAnsi="Palatino Linotype" w:cs="Arial"/>
          <w:sz w:val="24"/>
          <w:szCs w:val="24"/>
        </w:rPr>
      </w:pPr>
    </w:p>
    <w:p w:rsidR="00B40D3E" w:rsidRPr="00E5368A" w:rsidRDefault="00B40D3E" w:rsidP="00B40D3E">
      <w:pPr>
        <w:pStyle w:val="corte4fondo"/>
        <w:numPr>
          <w:ilvl w:val="0"/>
          <w:numId w:val="33"/>
        </w:numPr>
        <w:shd w:val="clear" w:color="auto" w:fill="FFFFFF" w:themeFill="background1"/>
        <w:rPr>
          <w:rFonts w:ascii="Palatino Linotype" w:hAnsi="Palatino Linotype" w:cs="Arial"/>
          <w:sz w:val="24"/>
          <w:szCs w:val="24"/>
        </w:rPr>
      </w:pPr>
      <w:r w:rsidRPr="00E5368A">
        <w:rPr>
          <w:rFonts w:ascii="Palatino Linotype" w:hAnsi="Palatino Linotype"/>
          <w:b/>
          <w:sz w:val="24"/>
          <w:szCs w:val="24"/>
        </w:rPr>
        <w:t>Vulnere la conducción de los expedientes</w:t>
      </w:r>
      <w:r w:rsidRPr="00E5368A">
        <w:rPr>
          <w:rFonts w:ascii="Palatino Linotype" w:hAnsi="Palatino Linotype"/>
          <w:sz w:val="24"/>
          <w:szCs w:val="24"/>
        </w:rPr>
        <w:t xml:space="preserve"> judiciales o </w:t>
      </w:r>
      <w:r w:rsidRPr="00E5368A">
        <w:rPr>
          <w:rFonts w:ascii="Palatino Linotype" w:hAnsi="Palatino Linotype"/>
          <w:b/>
          <w:sz w:val="24"/>
          <w:szCs w:val="24"/>
        </w:rPr>
        <w:t>de los procedimientos administrativos seguidos en forma de juicio, en tanto no hayan quedado firmes</w:t>
      </w:r>
      <w:r w:rsidRPr="00E5368A">
        <w:rPr>
          <w:rFonts w:ascii="Palatino Linotype" w:hAnsi="Palatino Linotype"/>
          <w:sz w:val="24"/>
          <w:szCs w:val="24"/>
        </w:rPr>
        <w:t>;</w:t>
      </w:r>
    </w:p>
    <w:p w:rsidR="00B40D3E" w:rsidRPr="00E5368A" w:rsidRDefault="00B40D3E" w:rsidP="00B40D3E">
      <w:pPr>
        <w:pStyle w:val="corte4fondo"/>
        <w:shd w:val="clear" w:color="auto" w:fill="FFFFFF" w:themeFill="background1"/>
        <w:ind w:left="1068" w:firstLine="0"/>
        <w:rPr>
          <w:rFonts w:ascii="Palatino Linotype" w:hAnsi="Palatino Linotype" w:cs="Arial"/>
          <w:sz w:val="24"/>
          <w:szCs w:val="24"/>
        </w:rPr>
      </w:pPr>
    </w:p>
    <w:p w:rsidR="00B40D3E" w:rsidRPr="00E5368A" w:rsidRDefault="00B40D3E" w:rsidP="00B40D3E">
      <w:pPr>
        <w:pStyle w:val="corte4fondo"/>
        <w:numPr>
          <w:ilvl w:val="0"/>
          <w:numId w:val="33"/>
        </w:numPr>
        <w:shd w:val="clear" w:color="auto" w:fill="FFFFFF" w:themeFill="background1"/>
        <w:rPr>
          <w:rFonts w:ascii="Palatino Linotype" w:hAnsi="Palatino Linotype" w:cs="Arial"/>
          <w:b/>
          <w:sz w:val="24"/>
          <w:szCs w:val="24"/>
        </w:rPr>
      </w:pPr>
      <w:r w:rsidRPr="00E5368A">
        <w:rPr>
          <w:rFonts w:ascii="Palatino Linotype" w:hAnsi="Palatino Linotype" w:cs="Arial"/>
          <w:b/>
          <w:sz w:val="24"/>
          <w:szCs w:val="24"/>
          <w:u w:val="single"/>
        </w:rPr>
        <w:lastRenderedPageBreak/>
        <w:t xml:space="preserve">El daño que pueda producirse con la publicación de la información sea mayor que el interés público </w:t>
      </w:r>
      <w:r w:rsidRPr="00E5368A">
        <w:rPr>
          <w:rFonts w:ascii="Palatino Linotype" w:hAnsi="Palatino Linotype" w:cs="Arial"/>
          <w:sz w:val="24"/>
          <w:szCs w:val="24"/>
        </w:rPr>
        <w:t xml:space="preserve">de conocer la información de referencia, siempre que esté directamente relacionado con procesos o </w:t>
      </w:r>
      <w:r w:rsidRPr="00E5368A">
        <w:rPr>
          <w:rFonts w:ascii="Palatino Linotype" w:hAnsi="Palatino Linotype" w:cs="Arial"/>
          <w:b/>
          <w:sz w:val="24"/>
          <w:szCs w:val="24"/>
        </w:rPr>
        <w:t>procedimientos administrativos o judiciales que no hayan quedado firmes;</w:t>
      </w:r>
    </w:p>
    <w:p w:rsidR="00B40D3E" w:rsidRPr="00E5368A" w:rsidRDefault="00B40D3E" w:rsidP="00B40D3E">
      <w:pPr>
        <w:pStyle w:val="corte4fondo"/>
        <w:shd w:val="clear" w:color="auto" w:fill="FFFFFF" w:themeFill="background1"/>
        <w:ind w:firstLine="0"/>
        <w:rPr>
          <w:rFonts w:ascii="Palatino Linotype" w:hAnsi="Palatino Linotype" w:cs="Arial"/>
          <w:sz w:val="24"/>
          <w:szCs w:val="24"/>
        </w:rPr>
      </w:pPr>
    </w:p>
    <w:p w:rsidR="00B40D3E" w:rsidRPr="00E5368A" w:rsidRDefault="00B40D3E" w:rsidP="00B40D3E">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t xml:space="preserve">Las hipótesis contenidas en las fracciones que se transcriben, para su actualización manifiestan dos momentos para poder restringir el derecho de acceso a la información pública, a saber: </w:t>
      </w:r>
    </w:p>
    <w:p w:rsidR="00B40D3E" w:rsidRPr="00E5368A" w:rsidRDefault="00B40D3E" w:rsidP="00B40D3E">
      <w:pPr>
        <w:pStyle w:val="corte4fondo"/>
        <w:shd w:val="clear" w:color="auto" w:fill="FFFFFF" w:themeFill="background1"/>
        <w:ind w:firstLine="0"/>
        <w:rPr>
          <w:rFonts w:ascii="Palatino Linotype" w:hAnsi="Palatino Linotype" w:cs="Arial"/>
          <w:sz w:val="24"/>
          <w:szCs w:val="24"/>
        </w:rPr>
      </w:pPr>
    </w:p>
    <w:p w:rsidR="00B40D3E" w:rsidRPr="00E5368A" w:rsidRDefault="00B40D3E" w:rsidP="00B40D3E">
      <w:pPr>
        <w:pStyle w:val="corte4fondo"/>
        <w:numPr>
          <w:ilvl w:val="0"/>
          <w:numId w:val="35"/>
        </w:numPr>
        <w:shd w:val="clear" w:color="auto" w:fill="FFFFFF" w:themeFill="background1"/>
        <w:rPr>
          <w:rFonts w:ascii="Palatino Linotype" w:hAnsi="Palatino Linotype" w:cs="Arial"/>
          <w:sz w:val="24"/>
          <w:szCs w:val="24"/>
        </w:rPr>
      </w:pPr>
      <w:r w:rsidRPr="00E5368A">
        <w:rPr>
          <w:rFonts w:ascii="Palatino Linotype" w:hAnsi="Palatino Linotype" w:cs="Arial"/>
          <w:sz w:val="24"/>
          <w:szCs w:val="24"/>
        </w:rPr>
        <w:t>En primer lugar, que la información solicitada se encuentre en un procedimiento vivo; y</w:t>
      </w:r>
    </w:p>
    <w:p w:rsidR="003063E9" w:rsidRPr="00E5368A" w:rsidRDefault="00B40D3E" w:rsidP="00A315CF">
      <w:pPr>
        <w:pStyle w:val="corte4fondo"/>
        <w:numPr>
          <w:ilvl w:val="0"/>
          <w:numId w:val="35"/>
        </w:numPr>
        <w:shd w:val="clear" w:color="auto" w:fill="FFFFFF" w:themeFill="background1"/>
        <w:rPr>
          <w:rFonts w:ascii="Palatino Linotype" w:hAnsi="Palatino Linotype" w:cs="Arial"/>
          <w:sz w:val="24"/>
          <w:szCs w:val="24"/>
        </w:rPr>
      </w:pPr>
      <w:r w:rsidRPr="00E5368A">
        <w:rPr>
          <w:rFonts w:ascii="Palatino Linotype" w:hAnsi="Palatino Linotype" w:cs="Arial"/>
          <w:sz w:val="24"/>
          <w:szCs w:val="24"/>
        </w:rPr>
        <w:t xml:space="preserve"> Como segundo requisito, que el operador jurídico que posee la información, demuestre que su publicidad vulnera, transgrede y pone en riesgo la conducción de expedientes administrativos y demostrar que el daño que pueda producirse con la publicación de la información sea mayor que el interés público.</w:t>
      </w:r>
    </w:p>
    <w:p w:rsidR="00A315CF" w:rsidRPr="00E5368A" w:rsidRDefault="00A315CF" w:rsidP="00A315CF">
      <w:pPr>
        <w:pStyle w:val="corte4fondo"/>
        <w:shd w:val="clear" w:color="auto" w:fill="FFFFFF" w:themeFill="background1"/>
        <w:ind w:left="1428" w:firstLine="0"/>
        <w:rPr>
          <w:rFonts w:ascii="Palatino Linotype" w:hAnsi="Palatino Linotype" w:cs="Arial"/>
          <w:sz w:val="24"/>
          <w:szCs w:val="24"/>
        </w:rPr>
      </w:pPr>
    </w:p>
    <w:p w:rsidR="00A315CF" w:rsidRPr="00E5368A" w:rsidRDefault="00B40D3E" w:rsidP="00A315CF">
      <w:pPr>
        <w:numPr>
          <w:ilvl w:val="0"/>
          <w:numId w:val="1"/>
        </w:numPr>
        <w:spacing w:after="0" w:line="360" w:lineRule="auto"/>
        <w:ind w:left="0" w:right="49" w:firstLine="0"/>
        <w:contextualSpacing/>
        <w:jc w:val="both"/>
        <w:rPr>
          <w:rFonts w:ascii="Palatino Linotype" w:hAnsi="Palatino Linotype"/>
          <w:sz w:val="24"/>
          <w:szCs w:val="24"/>
        </w:rPr>
      </w:pPr>
      <w:r w:rsidRPr="00E5368A">
        <w:rPr>
          <w:rFonts w:ascii="Palatino Linotype" w:hAnsi="Palatino Linotype" w:cs="Arial"/>
          <w:sz w:val="24"/>
          <w:szCs w:val="24"/>
        </w:rPr>
        <w:t xml:space="preserve">Ahora bien, en el presente caso el Sujeto Obligado clasifica </w:t>
      </w:r>
      <w:r w:rsidR="00A315CF" w:rsidRPr="00E5368A">
        <w:rPr>
          <w:rFonts w:ascii="Palatino Linotype" w:hAnsi="Palatino Linotype" w:cs="Arial"/>
          <w:sz w:val="24"/>
          <w:szCs w:val="24"/>
        </w:rPr>
        <w:t xml:space="preserve">de manera </w:t>
      </w:r>
      <w:r w:rsidR="00A315CF" w:rsidRPr="00E5368A">
        <w:rPr>
          <w:rFonts w:ascii="Palatino Linotype" w:hAnsi="Palatino Linotype"/>
          <w:sz w:val="24"/>
          <w:szCs w:val="24"/>
        </w:rPr>
        <w:t>total como información reservada, de los expedientes de los procedimientos administrativos para la solución de diferendos limítrofes intermunicipales donde ha estado y/o está interviniendo directa o indirectamente el municipio de Teoloyucan por un periodo de cinco años.</w:t>
      </w:r>
    </w:p>
    <w:p w:rsidR="00A315CF" w:rsidRPr="00E5368A" w:rsidRDefault="00A315CF" w:rsidP="00AE547F">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lastRenderedPageBreak/>
        <w:t>De lo anterior se observa que el sujeto obligado asume que genera, posee y/o administra la información, tan es así que la clasifica por un periodo de cinco años, si bien es cierto, el sujeto obligado clasifico la totalidad de los dos procedimientos administrativos en mención, se infiere que los oficios y anexos solicitados, dada su naturaleza, forman parte de los mismos.</w:t>
      </w:r>
    </w:p>
    <w:p w:rsidR="00AE547F" w:rsidRPr="00E5368A" w:rsidRDefault="00AE547F" w:rsidP="00AE547F">
      <w:pPr>
        <w:spacing w:after="0" w:line="360" w:lineRule="auto"/>
        <w:ind w:right="49"/>
        <w:contextualSpacing/>
        <w:jc w:val="both"/>
        <w:rPr>
          <w:rFonts w:ascii="Palatino Linotype" w:hAnsi="Palatino Linotype" w:cs="Arial"/>
          <w:sz w:val="24"/>
          <w:szCs w:val="24"/>
        </w:rPr>
      </w:pPr>
    </w:p>
    <w:p w:rsidR="00AE547F" w:rsidRPr="00E5368A" w:rsidRDefault="00B40D3E" w:rsidP="00AE547F">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t>Para funda y motivar dicha clasificación el Comité de Transparencia del Poder Legislativo proporciona el Acuerdo número PLEGISLA/L</w:t>
      </w:r>
      <w:r w:rsidR="00A315CF" w:rsidRPr="00E5368A">
        <w:rPr>
          <w:rFonts w:ascii="Palatino Linotype" w:hAnsi="Palatino Linotype" w:cs="Arial"/>
          <w:sz w:val="24"/>
          <w:szCs w:val="24"/>
        </w:rPr>
        <w:t>X/CT/12ªext/2024</w:t>
      </w:r>
      <w:r w:rsidR="00AE547F" w:rsidRPr="00E5368A">
        <w:rPr>
          <w:rFonts w:ascii="Palatino Linotype" w:hAnsi="Palatino Linotype" w:cs="Arial"/>
          <w:sz w:val="24"/>
          <w:szCs w:val="24"/>
        </w:rPr>
        <w:t>/TERCER</w:t>
      </w:r>
      <w:r w:rsidRPr="00E5368A">
        <w:rPr>
          <w:rFonts w:ascii="Palatino Linotype" w:hAnsi="Palatino Linotype" w:cs="Arial"/>
          <w:sz w:val="24"/>
          <w:szCs w:val="24"/>
        </w:rPr>
        <w:t>O, cuyo contenido se precisa que el Sujeto Obligado aplicó la prueba de año establecida en el artículo 3 fracción XXXIII de la Ley de Transparencia y Acceso a la Información Pública del Estado de México y Municipios, así como en Lineamientos Generales en Materia de Clasificación y Desclasificación de la</w:t>
      </w:r>
      <w:r w:rsidRPr="00E5368A">
        <w:rPr>
          <w:rFonts w:cs="Arial"/>
          <w:sz w:val="24"/>
          <w:szCs w:val="24"/>
        </w:rPr>
        <w:t> </w:t>
      </w:r>
      <w:r w:rsidRPr="00E5368A">
        <w:rPr>
          <w:rFonts w:ascii="Palatino Linotype" w:hAnsi="Palatino Linotype" w:cs="Arial"/>
          <w:sz w:val="24"/>
          <w:szCs w:val="24"/>
        </w:rPr>
        <w:t>Información, así como para la Elaboración de Versiones Públicas.</w:t>
      </w:r>
      <w:r w:rsidRPr="00E5368A">
        <w:rPr>
          <w:sz w:val="24"/>
          <w:szCs w:val="24"/>
        </w:rPr>
        <w:t xml:space="preserve"> </w:t>
      </w:r>
    </w:p>
    <w:p w:rsidR="00AE547F" w:rsidRPr="00E5368A" w:rsidRDefault="00AE547F" w:rsidP="00AE547F">
      <w:pPr>
        <w:spacing w:after="0" w:line="360" w:lineRule="auto"/>
        <w:ind w:right="49"/>
        <w:contextualSpacing/>
        <w:jc w:val="both"/>
        <w:rPr>
          <w:rFonts w:ascii="Palatino Linotype" w:hAnsi="Palatino Linotype" w:cs="Arial"/>
          <w:sz w:val="24"/>
          <w:szCs w:val="24"/>
        </w:rPr>
      </w:pPr>
    </w:p>
    <w:p w:rsidR="00B40D3E" w:rsidRPr="00E5368A" w:rsidRDefault="00B40D3E" w:rsidP="00AE547F">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t>Dentro de la citada argumentación, se observa que el Sujeto Obligado se ajustó de manera somera a demostrar i) Un razonamiento lógico que demostrara que la información encuadra en alguna de las hipótesis de excepción previstas en la Ley (fundamentación y Motivación), así como se enfocó a demostrar existencia de elementos objetivos que permitieron determinar que difusión de la información causaría un daño real, demostrable e identificable de perjuicio significativo al interés público.</w:t>
      </w:r>
    </w:p>
    <w:p w:rsidR="00B40D3E" w:rsidRPr="00E5368A" w:rsidRDefault="00B40D3E" w:rsidP="00B40D3E">
      <w:pPr>
        <w:pStyle w:val="corte4fondo"/>
        <w:shd w:val="clear" w:color="auto" w:fill="FFFFFF" w:themeFill="background1"/>
        <w:ind w:firstLine="0"/>
        <w:rPr>
          <w:rFonts w:ascii="Palatino Linotype" w:hAnsi="Palatino Linotype" w:cs="Arial"/>
          <w:sz w:val="24"/>
          <w:szCs w:val="24"/>
        </w:rPr>
      </w:pPr>
    </w:p>
    <w:p w:rsidR="00B40D3E" w:rsidRPr="00E5368A" w:rsidRDefault="00B40D3E" w:rsidP="00AE547F">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lastRenderedPageBreak/>
        <w:t xml:space="preserve">Sin embargo, si bien el artículo 140 citado con anterioridad, incluye como información reservada toda aquella que vulnere la conducción de los expedientes judiciales o de los procedimientos administrativos seguidos en forma de juicio, en tanto no hayan quedado firmes; no debemos generalizar y asumir que, </w:t>
      </w:r>
      <w:r w:rsidRPr="00E5368A">
        <w:rPr>
          <w:rFonts w:ascii="Palatino Linotype" w:hAnsi="Palatino Linotype" w:cs="Arial"/>
          <w:i/>
          <w:sz w:val="24"/>
          <w:szCs w:val="24"/>
        </w:rPr>
        <w:t>per se</w:t>
      </w:r>
      <w:r w:rsidRPr="00E5368A">
        <w:rPr>
          <w:rFonts w:ascii="Palatino Linotype" w:hAnsi="Palatino Linotype" w:cs="Arial"/>
          <w:sz w:val="24"/>
          <w:szCs w:val="24"/>
        </w:rPr>
        <w:t xml:space="preserve"> la información pública generada y que se ubique dentro de un procedimiento judicial o administrativo que no haya quedado firme tiene naturaleza de reservada, pues se estaría omitiendo la obligación por parte de la autoridad del estado de demostrar que su publicidad vulneraría el propio procedimiento.</w:t>
      </w:r>
    </w:p>
    <w:p w:rsidR="00B40D3E" w:rsidRPr="00E5368A" w:rsidRDefault="00B40D3E" w:rsidP="00B40D3E">
      <w:pPr>
        <w:pStyle w:val="corte4fondo"/>
        <w:shd w:val="clear" w:color="auto" w:fill="FFFFFF" w:themeFill="background1"/>
        <w:ind w:firstLine="0"/>
        <w:rPr>
          <w:rFonts w:ascii="Palatino Linotype" w:hAnsi="Palatino Linotype" w:cs="Arial"/>
          <w:sz w:val="24"/>
          <w:szCs w:val="24"/>
        </w:rPr>
      </w:pPr>
    </w:p>
    <w:p w:rsidR="00B40D3E" w:rsidRPr="00E5368A" w:rsidRDefault="00B40D3E" w:rsidP="00AE547F">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t xml:space="preserve">Además, de consentir este Órgano Garante la reserva de la información solicitada, por el sólo hecho de encontrarse inmersa en un procedimiento que no ha causado estado, se anularía por completo la posibilidad de la existencia de casos excepcionales en los cuales existen intereses superiores de la sociedad de conocer la información. </w:t>
      </w:r>
    </w:p>
    <w:p w:rsidR="00B40D3E" w:rsidRPr="00E5368A" w:rsidRDefault="00B40D3E" w:rsidP="00B40D3E">
      <w:pPr>
        <w:pStyle w:val="corte4fondo"/>
        <w:shd w:val="clear" w:color="auto" w:fill="FFFFFF" w:themeFill="background1"/>
        <w:ind w:firstLine="0"/>
        <w:rPr>
          <w:rFonts w:ascii="Palatino Linotype" w:hAnsi="Palatino Linotype" w:cs="Arial"/>
          <w:sz w:val="24"/>
          <w:szCs w:val="24"/>
        </w:rPr>
      </w:pPr>
    </w:p>
    <w:p w:rsidR="00B40D3E" w:rsidRPr="00E5368A" w:rsidRDefault="00B40D3E" w:rsidP="00AE547F">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t>Es decir, conforme a lo expresado por la Corte Interamericana, ha de vigilarse en todo momento, que las excepciones no se conviertan en regla general, dado que el derecho a la información juega un papel determinante en un Estado democrático, a partir del cual, los gobernados pueden ejercer un control respecto del funcionamiento institucional de los poderes públicos.</w:t>
      </w:r>
    </w:p>
    <w:p w:rsidR="00B40D3E" w:rsidRPr="00E5368A" w:rsidRDefault="00B40D3E" w:rsidP="00B40D3E">
      <w:pPr>
        <w:pStyle w:val="corte4fondo"/>
        <w:shd w:val="clear" w:color="auto" w:fill="FFFFFF" w:themeFill="background1"/>
        <w:ind w:firstLine="0"/>
        <w:rPr>
          <w:rFonts w:ascii="Palatino Linotype" w:hAnsi="Palatino Linotype" w:cs="Arial"/>
          <w:sz w:val="24"/>
          <w:szCs w:val="24"/>
        </w:rPr>
      </w:pPr>
    </w:p>
    <w:p w:rsidR="00B40D3E" w:rsidRPr="00E5368A" w:rsidRDefault="00B40D3E" w:rsidP="00AE547F">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t xml:space="preserve">En este sentido, la propia Suprema Corte de Justicia de la Nación (SCJN) al resolver la Acción de inconstitucionalidad 26/2006, concreto la tesis de jurisprudencia de rubro: </w:t>
      </w:r>
      <w:r w:rsidRPr="00E5368A">
        <w:rPr>
          <w:rFonts w:ascii="Palatino Linotype" w:hAnsi="Palatino Linotype" w:cs="Arial"/>
          <w:b/>
          <w:sz w:val="24"/>
          <w:szCs w:val="24"/>
        </w:rPr>
        <w:t xml:space="preserve">“INFORMACIÓN RESERVADA. EXCEPCIÓN A LA </w:t>
      </w:r>
      <w:r w:rsidRPr="00E5368A">
        <w:rPr>
          <w:rFonts w:ascii="Palatino Linotype" w:hAnsi="Palatino Linotype" w:cs="Arial"/>
          <w:b/>
          <w:sz w:val="24"/>
          <w:szCs w:val="24"/>
        </w:rPr>
        <w:lastRenderedPageBreak/>
        <w:t>PROHIBICIÓN DE SU DIVULGACIÓN”</w:t>
      </w:r>
      <w:r w:rsidRPr="00E5368A">
        <w:rPr>
          <w:rFonts w:ascii="Palatino Linotype" w:hAnsi="Palatino Linotype" w:cs="Arial"/>
          <w:sz w:val="24"/>
          <w:szCs w:val="24"/>
        </w:rPr>
        <w:t>, de cuyo cuerpo, en el tema que interesa se precisa que: “…No obstante la imposibilidad de acceder a dicha información no puede considerarse como una regla absoluta, porque en aquellos supuestos en los cuales su difusión producirá mayores beneficios para la sociedad que los daños que pudieran provocarse con su divulgación, debe hacerse una excepción a la regla general, privilegiando la transparencia y difusión de la información respectiva.”</w:t>
      </w:r>
      <w:r w:rsidRPr="00E5368A">
        <w:rPr>
          <w:rStyle w:val="Refdenotaalpie"/>
          <w:rFonts w:ascii="Palatino Linotype" w:hAnsi="Palatino Linotype" w:cs="Arial"/>
          <w:sz w:val="24"/>
          <w:szCs w:val="24"/>
        </w:rPr>
        <w:footnoteReference w:id="1"/>
      </w:r>
    </w:p>
    <w:p w:rsidR="00B40D3E" w:rsidRPr="00E5368A" w:rsidRDefault="00B40D3E" w:rsidP="00B40D3E">
      <w:pPr>
        <w:pStyle w:val="corte4fondo"/>
        <w:shd w:val="clear" w:color="auto" w:fill="FFFFFF" w:themeFill="background1"/>
        <w:ind w:firstLine="0"/>
        <w:rPr>
          <w:rFonts w:ascii="Palatino Linotype" w:hAnsi="Palatino Linotype" w:cs="Arial"/>
          <w:sz w:val="24"/>
          <w:szCs w:val="24"/>
        </w:rPr>
      </w:pPr>
    </w:p>
    <w:p w:rsidR="00B40D3E" w:rsidRPr="00E5368A" w:rsidRDefault="00B40D3E" w:rsidP="00AE547F">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t>Así, se puede desprender que la restricción para acceder a la información relacionada con expedientes administrativos que no hayan causado estado, no puede considerarse como una regla absoluta. Debe hacerse una excepción a esta regla privilegiando la transparencia y difusión de la información respectiva cuando su difusión producirá mayores beneficios para la sociedad que los daños que pudieran provocarse con su divulgación.</w:t>
      </w:r>
    </w:p>
    <w:p w:rsidR="00B40D3E" w:rsidRPr="00E5368A" w:rsidRDefault="00B40D3E" w:rsidP="00B40D3E">
      <w:pPr>
        <w:pStyle w:val="corte4fondo"/>
        <w:shd w:val="clear" w:color="auto" w:fill="FFFFFF" w:themeFill="background1"/>
        <w:ind w:firstLine="0"/>
        <w:rPr>
          <w:rFonts w:ascii="Palatino Linotype" w:hAnsi="Palatino Linotype" w:cs="Arial"/>
          <w:sz w:val="24"/>
          <w:szCs w:val="24"/>
        </w:rPr>
      </w:pPr>
    </w:p>
    <w:p w:rsidR="00AE547F" w:rsidRPr="00E5368A" w:rsidRDefault="00B40D3E" w:rsidP="00A315CF">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t>Por esta razón, resulta inexacta la conclusión en la Prueba de Daño ejecutada por el Sujeto Obligado en consideración a  que, en la fundamentación del acuerdo número</w:t>
      </w:r>
      <w:r w:rsidR="00AE547F" w:rsidRPr="00E5368A">
        <w:rPr>
          <w:rFonts w:ascii="Palatino Linotype" w:hAnsi="Palatino Linotype" w:cs="Arial"/>
          <w:sz w:val="24"/>
          <w:szCs w:val="24"/>
        </w:rPr>
        <w:t xml:space="preserve"> </w:t>
      </w:r>
      <w:r w:rsidR="00A315CF" w:rsidRPr="00E5368A">
        <w:rPr>
          <w:rFonts w:ascii="Palatino Linotype" w:hAnsi="Palatino Linotype" w:cs="Arial"/>
          <w:sz w:val="24"/>
          <w:szCs w:val="24"/>
        </w:rPr>
        <w:t>PLEGISLA/LX/CT/12ªext/2024</w:t>
      </w:r>
      <w:r w:rsidR="00AE547F" w:rsidRPr="00E5368A">
        <w:rPr>
          <w:rFonts w:ascii="Palatino Linotype" w:hAnsi="Palatino Linotype" w:cs="Arial"/>
          <w:sz w:val="24"/>
          <w:szCs w:val="24"/>
        </w:rPr>
        <w:t>/TERCER</w:t>
      </w:r>
      <w:r w:rsidRPr="00E5368A">
        <w:rPr>
          <w:rFonts w:ascii="Palatino Linotype" w:hAnsi="Palatino Linotype" w:cs="Arial"/>
          <w:sz w:val="24"/>
          <w:szCs w:val="24"/>
        </w:rPr>
        <w:t>O con</w:t>
      </w:r>
      <w:r w:rsidR="00AE547F" w:rsidRPr="00E5368A">
        <w:rPr>
          <w:rFonts w:ascii="Palatino Linotype" w:hAnsi="Palatino Linotype" w:cs="Arial"/>
          <w:sz w:val="24"/>
          <w:szCs w:val="24"/>
        </w:rPr>
        <w:t xml:space="preserve">tenido en el acta de la décima segunda </w:t>
      </w:r>
      <w:r w:rsidRPr="00E5368A">
        <w:rPr>
          <w:rFonts w:ascii="Palatino Linotype" w:hAnsi="Palatino Linotype" w:cs="Arial"/>
          <w:sz w:val="24"/>
          <w:szCs w:val="24"/>
        </w:rPr>
        <w:t xml:space="preserve">sesión extraordinaria </w:t>
      </w:r>
      <w:r w:rsidR="00A315CF" w:rsidRPr="00E5368A">
        <w:rPr>
          <w:rFonts w:ascii="Palatino Linotype" w:hAnsi="Palatino Linotype" w:cs="Arial"/>
          <w:sz w:val="24"/>
          <w:szCs w:val="24"/>
        </w:rPr>
        <w:t>2024</w:t>
      </w:r>
      <w:r w:rsidRPr="00E5368A">
        <w:rPr>
          <w:rFonts w:ascii="Palatino Linotype" w:hAnsi="Palatino Linotype" w:cs="Arial"/>
          <w:sz w:val="24"/>
          <w:szCs w:val="24"/>
        </w:rPr>
        <w:t xml:space="preserve">, se omitió tomar en consideración el supra </w:t>
      </w:r>
      <w:r w:rsidR="00A315CF" w:rsidRPr="00E5368A">
        <w:rPr>
          <w:rFonts w:ascii="Palatino Linotype" w:hAnsi="Palatino Linotype" w:cs="Arial"/>
          <w:sz w:val="24"/>
          <w:szCs w:val="24"/>
        </w:rPr>
        <w:t xml:space="preserve"> </w:t>
      </w:r>
      <w:r w:rsidRPr="00E5368A">
        <w:rPr>
          <w:rFonts w:ascii="Palatino Linotype" w:hAnsi="Palatino Linotype" w:cs="Arial"/>
          <w:sz w:val="24"/>
          <w:szCs w:val="24"/>
        </w:rPr>
        <w:t>citado criterio de la Suprema Corte de Justicia de la Nación; es decir, el Sujeto Obligado no  analizó la posibilidad de que</w:t>
      </w:r>
      <w:r w:rsidR="00EA318D" w:rsidRPr="00E5368A">
        <w:rPr>
          <w:rFonts w:ascii="Palatino Linotype" w:hAnsi="Palatino Linotype" w:cs="Arial"/>
          <w:sz w:val="24"/>
          <w:szCs w:val="24"/>
        </w:rPr>
        <w:t xml:space="preserve"> los acuerdos de fecha diecisiete de octubre de dos mil veintitrés </w:t>
      </w:r>
      <w:r w:rsidRPr="00E5368A">
        <w:rPr>
          <w:rFonts w:ascii="Palatino Linotype" w:hAnsi="Palatino Linotype" w:cs="Arial"/>
          <w:sz w:val="24"/>
          <w:szCs w:val="24"/>
        </w:rPr>
        <w:t xml:space="preserve"> y anexos que contiene lo relacionado con los conflictos por límites territoriales entre el municipio de Teoloyucan, ostente características tan </w:t>
      </w:r>
      <w:r w:rsidRPr="00E5368A">
        <w:rPr>
          <w:rFonts w:ascii="Palatino Linotype" w:hAnsi="Palatino Linotype" w:cs="Arial"/>
          <w:sz w:val="24"/>
          <w:szCs w:val="24"/>
        </w:rPr>
        <w:lastRenderedPageBreak/>
        <w:t>especiales que el beneficio social y colectivo que otorga su acceso es tan grande que la reserva no resultaba</w:t>
      </w:r>
      <w:r w:rsidR="00AE547F" w:rsidRPr="00E5368A">
        <w:rPr>
          <w:rFonts w:ascii="Palatino Linotype" w:hAnsi="Palatino Linotype" w:cs="Arial"/>
          <w:sz w:val="24"/>
          <w:szCs w:val="24"/>
        </w:rPr>
        <w:t xml:space="preserve"> ser una barrera infranqueable.</w:t>
      </w:r>
    </w:p>
    <w:p w:rsidR="00AE547F" w:rsidRPr="00E5368A" w:rsidRDefault="00AE547F" w:rsidP="00AE547F">
      <w:pPr>
        <w:spacing w:after="0" w:line="360" w:lineRule="auto"/>
        <w:ind w:right="49"/>
        <w:contextualSpacing/>
        <w:jc w:val="both"/>
        <w:rPr>
          <w:rFonts w:ascii="Palatino Linotype" w:hAnsi="Palatino Linotype" w:cs="Arial"/>
          <w:sz w:val="24"/>
          <w:szCs w:val="24"/>
        </w:rPr>
      </w:pPr>
    </w:p>
    <w:p w:rsidR="00B40D3E" w:rsidRPr="00E5368A" w:rsidRDefault="00B40D3E" w:rsidP="00AE547F">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t>En razón de lo anterior, este Órgano Garante del Derecho de Acceso a la información Publica en la entidad Mexiquense, debe valorar de nueva cuenta a través de criterios razonables y ponderables el interés público en el presente caso, a fin de determinar si este interés público que reviste el expediente y anexos de mérito, resulta suficiente para restringir la necesidad de clasificar la información como reservada, o en su defecto, determinar si prevalece más el sigilo de la información.</w:t>
      </w:r>
    </w:p>
    <w:p w:rsidR="00B40D3E" w:rsidRPr="00E5368A" w:rsidRDefault="00B40D3E" w:rsidP="00B40D3E">
      <w:pPr>
        <w:pStyle w:val="corte4fondo"/>
        <w:shd w:val="clear" w:color="auto" w:fill="FFFFFF" w:themeFill="background1"/>
        <w:ind w:firstLine="0"/>
        <w:contextualSpacing/>
        <w:rPr>
          <w:rFonts w:ascii="Palatino Linotype" w:hAnsi="Palatino Linotype" w:cs="Arial"/>
          <w:sz w:val="24"/>
          <w:szCs w:val="24"/>
        </w:rPr>
      </w:pPr>
    </w:p>
    <w:p w:rsidR="00B40D3E" w:rsidRPr="00E5368A" w:rsidRDefault="00B40D3E" w:rsidP="00AE547F">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t>Tercera cuestión: ¿El interés público que envuelve el expediente referido resulta suficiente para restringir la necesidad de clasificar la información como reservada?</w:t>
      </w:r>
    </w:p>
    <w:p w:rsidR="00AE547F" w:rsidRPr="00E5368A" w:rsidRDefault="00AE547F" w:rsidP="00AE547F">
      <w:pPr>
        <w:spacing w:after="0" w:line="360" w:lineRule="auto"/>
        <w:ind w:right="49"/>
        <w:contextualSpacing/>
        <w:jc w:val="both"/>
        <w:rPr>
          <w:rFonts w:ascii="Palatino Linotype" w:hAnsi="Palatino Linotype" w:cs="Arial"/>
          <w:sz w:val="24"/>
          <w:szCs w:val="24"/>
        </w:rPr>
      </w:pPr>
    </w:p>
    <w:p w:rsidR="00B40D3E" w:rsidRPr="00E5368A" w:rsidRDefault="00B40D3E" w:rsidP="00AE547F">
      <w:pPr>
        <w:numPr>
          <w:ilvl w:val="0"/>
          <w:numId w:val="1"/>
        </w:numPr>
        <w:spacing w:after="0" w:line="360" w:lineRule="auto"/>
        <w:ind w:left="0" w:right="49" w:firstLine="0"/>
        <w:contextualSpacing/>
        <w:jc w:val="both"/>
        <w:rPr>
          <w:rFonts w:ascii="Palatino Linotype" w:hAnsi="Palatino Linotype"/>
          <w:b/>
          <w:i/>
          <w:sz w:val="24"/>
          <w:szCs w:val="24"/>
        </w:rPr>
      </w:pPr>
      <w:r w:rsidRPr="00E5368A">
        <w:rPr>
          <w:rFonts w:ascii="Palatino Linotype" w:hAnsi="Palatino Linotype"/>
          <w:sz w:val="24"/>
          <w:szCs w:val="24"/>
        </w:rPr>
        <w:t>Entonces al hablar de una valoración de los beneficios o perjuicios de la divulgación señalada, debe fundarse en las consecuencias concretas que, potencialmente, resulten de la publicidad de la información, se deberá ponderar si la publicidad de la información tienen una trascendencia social y poder ser catalogada como información de interés público</w:t>
      </w:r>
      <w:r w:rsidRPr="00E5368A">
        <w:rPr>
          <w:rFonts w:ascii="Palatino Linotype" w:hAnsi="Palatino Linotype"/>
          <w:b/>
          <w:i/>
          <w:sz w:val="24"/>
          <w:szCs w:val="24"/>
        </w:rPr>
        <w:t>.</w:t>
      </w:r>
      <w:r w:rsidRPr="00E5368A">
        <w:rPr>
          <w:rStyle w:val="Refdenotaalpie"/>
          <w:rFonts w:ascii="Palatino Linotype" w:hAnsi="Palatino Linotype" w:cs="Arial"/>
          <w:b/>
          <w:sz w:val="24"/>
          <w:szCs w:val="24"/>
          <w:u w:val="single"/>
        </w:rPr>
        <w:t xml:space="preserve"> </w:t>
      </w:r>
      <w:r w:rsidRPr="00E5368A">
        <w:rPr>
          <w:rStyle w:val="Refdenotaalpie"/>
          <w:rFonts w:ascii="Palatino Linotype" w:hAnsi="Palatino Linotype" w:cs="Arial"/>
          <w:b/>
          <w:sz w:val="24"/>
          <w:szCs w:val="24"/>
          <w:u w:val="single"/>
        </w:rPr>
        <w:footnoteReference w:id="2"/>
      </w:r>
    </w:p>
    <w:p w:rsidR="00B40D3E" w:rsidRPr="00E5368A" w:rsidRDefault="00B40D3E" w:rsidP="00AE547F">
      <w:pPr>
        <w:numPr>
          <w:ilvl w:val="0"/>
          <w:numId w:val="1"/>
        </w:numPr>
        <w:spacing w:after="0" w:line="360" w:lineRule="auto"/>
        <w:ind w:left="0" w:right="49" w:firstLine="0"/>
        <w:contextualSpacing/>
        <w:jc w:val="both"/>
        <w:rPr>
          <w:rFonts w:ascii="Palatino Linotype" w:hAnsi="Palatino Linotype"/>
          <w:sz w:val="24"/>
          <w:szCs w:val="24"/>
        </w:rPr>
      </w:pPr>
      <w:r w:rsidRPr="00E5368A">
        <w:rPr>
          <w:rFonts w:ascii="Palatino Linotype" w:hAnsi="Palatino Linotype"/>
          <w:sz w:val="24"/>
          <w:szCs w:val="24"/>
        </w:rPr>
        <w:lastRenderedPageBreak/>
        <w:t xml:space="preserve">Así, este Instituto considera procedente efectuar una prueba de interés público ante la colisión de derechos que se plantea en el presente recurso de revisión, por una parte: i) el derecho aducido por el Sujeto Obligado consistente en el derecho a la secrecía </w:t>
      </w:r>
      <w:r w:rsidR="00A315CF" w:rsidRPr="00E5368A">
        <w:rPr>
          <w:rFonts w:ascii="Palatino Linotype" w:hAnsi="Palatino Linotype"/>
          <w:sz w:val="24"/>
          <w:szCs w:val="24"/>
        </w:rPr>
        <w:t>de los expedientes</w:t>
      </w:r>
      <w:r w:rsidRPr="00E5368A">
        <w:rPr>
          <w:rFonts w:ascii="Palatino Linotype" w:hAnsi="Palatino Linotype"/>
          <w:sz w:val="24"/>
          <w:szCs w:val="24"/>
        </w:rPr>
        <w:t xml:space="preserve"> en virtud de no haber causado estado, frente al derecho ejercido por el particular consiéntete en el Derecho de Acceso a la Información Pública. Lo anterior, conforme a lo que mandata la Ley General de Transparencia y Acceso a la Información Pública, la cual en su artículo 149 refiere la posibilidad, tratándose de colisión de derechos, la solución bajo el principio de proporcionalidad en observancia a las gradas de: idoneidad, necesidad y proporcionalidad (premisa que es replicada en el artículo 184 de la ley local en la materia), tal y como se precisa:  </w:t>
      </w:r>
    </w:p>
    <w:p w:rsidR="00B40D3E" w:rsidRPr="00E5368A" w:rsidRDefault="00B40D3E" w:rsidP="00B40D3E">
      <w:pPr>
        <w:shd w:val="clear" w:color="auto" w:fill="FFFFFF" w:themeFill="background1"/>
        <w:spacing w:before="100" w:beforeAutospacing="1" w:after="100" w:afterAutospacing="1"/>
        <w:ind w:left="993" w:right="1041"/>
        <w:jc w:val="both"/>
        <w:rPr>
          <w:rFonts w:ascii="Palatino Linotype" w:hAnsi="Palatino Linotype"/>
          <w:i/>
          <w:sz w:val="24"/>
          <w:szCs w:val="24"/>
        </w:rPr>
      </w:pPr>
      <w:r w:rsidRPr="00E5368A">
        <w:rPr>
          <w:rFonts w:ascii="Palatino Linotype" w:hAnsi="Palatino Linotype"/>
          <w:i/>
          <w:sz w:val="24"/>
          <w:szCs w:val="24"/>
        </w:rPr>
        <w:t xml:space="preserve">“Artículo 149. </w:t>
      </w:r>
      <w:r w:rsidRPr="00E5368A">
        <w:rPr>
          <w:rFonts w:ascii="Palatino Linotype" w:hAnsi="Palatino Linotype"/>
          <w:b/>
          <w:i/>
          <w:sz w:val="24"/>
          <w:szCs w:val="24"/>
        </w:rPr>
        <w:t xml:space="preserve">El organismo garante, al resolver el recurso de revisión, deberá aplicar una prueba de interés público con base en elementos de idoneidad, necesidad y proporcionalidad, cuando exista una </w:t>
      </w:r>
      <w:r w:rsidRPr="00E5368A">
        <w:rPr>
          <w:rFonts w:ascii="Palatino Linotype" w:hAnsi="Palatino Linotype"/>
          <w:b/>
          <w:i/>
          <w:sz w:val="24"/>
          <w:szCs w:val="24"/>
          <w:u w:val="single"/>
        </w:rPr>
        <w:t xml:space="preserve">colisión de derechos.” </w:t>
      </w:r>
      <w:r w:rsidRPr="00E5368A">
        <w:rPr>
          <w:rFonts w:ascii="Palatino Linotype" w:hAnsi="Palatino Linotype"/>
          <w:b/>
          <w:i/>
          <w:sz w:val="24"/>
          <w:szCs w:val="24"/>
        </w:rPr>
        <w:t>(Sic)</w:t>
      </w:r>
    </w:p>
    <w:p w:rsidR="00B40D3E" w:rsidRPr="00E5368A" w:rsidRDefault="00B40D3E" w:rsidP="00B40D3E">
      <w:pPr>
        <w:shd w:val="clear" w:color="auto" w:fill="FFFFFF" w:themeFill="background1"/>
        <w:spacing w:before="100" w:beforeAutospacing="1" w:after="100" w:afterAutospacing="1"/>
        <w:ind w:left="993"/>
        <w:jc w:val="both"/>
        <w:rPr>
          <w:rFonts w:ascii="Palatino Linotype" w:hAnsi="Palatino Linotype"/>
          <w:i/>
          <w:sz w:val="24"/>
          <w:szCs w:val="24"/>
        </w:rPr>
      </w:pPr>
      <w:r w:rsidRPr="00E5368A">
        <w:rPr>
          <w:rFonts w:ascii="Palatino Linotype" w:hAnsi="Palatino Linotype"/>
          <w:i/>
          <w:sz w:val="24"/>
          <w:szCs w:val="24"/>
        </w:rPr>
        <w:t>Para estos efectos, se entenderá por:</w:t>
      </w:r>
    </w:p>
    <w:p w:rsidR="00B40D3E" w:rsidRPr="00E5368A" w:rsidRDefault="00B40D3E" w:rsidP="00B40D3E">
      <w:pPr>
        <w:pStyle w:val="Prrafodelista"/>
        <w:shd w:val="clear" w:color="auto" w:fill="FFFFFF" w:themeFill="background1"/>
        <w:spacing w:before="100" w:beforeAutospacing="1" w:after="100" w:afterAutospacing="1"/>
        <w:ind w:left="993"/>
        <w:jc w:val="both"/>
        <w:rPr>
          <w:rFonts w:ascii="Palatino Linotype" w:hAnsi="Palatino Linotype"/>
          <w:i/>
        </w:rPr>
      </w:pPr>
      <w:r w:rsidRPr="00E5368A">
        <w:rPr>
          <w:rFonts w:ascii="Palatino Linotype" w:hAnsi="Palatino Linotype"/>
          <w:b/>
          <w:i/>
        </w:rPr>
        <w:t>I. Idoneidad:</w:t>
      </w:r>
      <w:r w:rsidRPr="00E5368A">
        <w:rPr>
          <w:rFonts w:ascii="Palatino Linotype" w:hAnsi="Palatino Linotype"/>
          <w:i/>
        </w:rPr>
        <w:t xml:space="preserve"> La legitimidad del derecho adoptado como preferente, que sea el adecuado para el logro de un fin constitucionalmente válido o apto para conseguir el fin pretendido;</w:t>
      </w:r>
    </w:p>
    <w:p w:rsidR="00B40D3E" w:rsidRPr="00E5368A" w:rsidRDefault="00B40D3E" w:rsidP="00B40D3E">
      <w:pPr>
        <w:pStyle w:val="Prrafodelista"/>
        <w:shd w:val="clear" w:color="auto" w:fill="FFFFFF" w:themeFill="background1"/>
        <w:spacing w:before="100" w:beforeAutospacing="1" w:after="100" w:afterAutospacing="1"/>
        <w:ind w:left="993"/>
        <w:jc w:val="both"/>
        <w:rPr>
          <w:rFonts w:ascii="Palatino Linotype" w:hAnsi="Palatino Linotype"/>
          <w:i/>
        </w:rPr>
      </w:pPr>
    </w:p>
    <w:p w:rsidR="00B40D3E" w:rsidRPr="00E5368A" w:rsidRDefault="00B40D3E" w:rsidP="00B40D3E">
      <w:pPr>
        <w:pStyle w:val="Prrafodelista"/>
        <w:shd w:val="clear" w:color="auto" w:fill="FFFFFF" w:themeFill="background1"/>
        <w:spacing w:before="100" w:beforeAutospacing="1" w:after="100" w:afterAutospacing="1"/>
        <w:ind w:left="993"/>
        <w:jc w:val="both"/>
        <w:rPr>
          <w:rFonts w:ascii="Palatino Linotype" w:hAnsi="Palatino Linotype"/>
          <w:b/>
          <w:i/>
        </w:rPr>
      </w:pPr>
      <w:r w:rsidRPr="00E5368A">
        <w:rPr>
          <w:rFonts w:ascii="Palatino Linotype" w:hAnsi="Palatino Linotype"/>
          <w:i/>
        </w:rPr>
        <w:t xml:space="preserve"> </w:t>
      </w:r>
      <w:r w:rsidRPr="00E5368A">
        <w:rPr>
          <w:rFonts w:ascii="Palatino Linotype" w:hAnsi="Palatino Linotype"/>
          <w:b/>
          <w:i/>
        </w:rPr>
        <w:t>II. Necesidad:</w:t>
      </w:r>
      <w:r w:rsidRPr="00E5368A">
        <w:rPr>
          <w:rFonts w:ascii="Palatino Linotype" w:hAnsi="Palatino Linotype"/>
          <w:i/>
        </w:rPr>
        <w:t xml:space="preserve"> La falta de un medio alternativo menos lesivo a la apertura de la información, para satisfacer el interés público, y </w:t>
      </w:r>
    </w:p>
    <w:p w:rsidR="00B40D3E" w:rsidRPr="00E5368A" w:rsidRDefault="00B40D3E" w:rsidP="00B40D3E">
      <w:pPr>
        <w:pStyle w:val="Prrafodelista"/>
        <w:shd w:val="clear" w:color="auto" w:fill="FFFFFF" w:themeFill="background1"/>
        <w:spacing w:before="100" w:beforeAutospacing="1" w:after="100" w:afterAutospacing="1"/>
        <w:ind w:left="993"/>
        <w:jc w:val="both"/>
        <w:rPr>
          <w:rFonts w:ascii="Palatino Linotype" w:hAnsi="Palatino Linotype"/>
          <w:i/>
        </w:rPr>
      </w:pPr>
    </w:p>
    <w:p w:rsidR="00B40D3E" w:rsidRPr="00E5368A" w:rsidRDefault="00B40D3E" w:rsidP="00B40D3E">
      <w:pPr>
        <w:pStyle w:val="Prrafodelista"/>
        <w:shd w:val="clear" w:color="auto" w:fill="FFFFFF" w:themeFill="background1"/>
        <w:spacing w:before="100" w:beforeAutospacing="1" w:after="100" w:afterAutospacing="1"/>
        <w:ind w:left="993"/>
        <w:jc w:val="both"/>
        <w:rPr>
          <w:rFonts w:ascii="Palatino Linotype" w:hAnsi="Palatino Linotype"/>
          <w:b/>
          <w:i/>
        </w:rPr>
      </w:pPr>
      <w:r w:rsidRPr="00E5368A">
        <w:rPr>
          <w:rFonts w:ascii="Palatino Linotype" w:hAnsi="Palatino Linotype"/>
          <w:b/>
          <w:i/>
        </w:rPr>
        <w:lastRenderedPageBreak/>
        <w:t>III. Proporcionalidad:</w:t>
      </w:r>
      <w:r w:rsidRPr="00E5368A">
        <w:rPr>
          <w:rFonts w:ascii="Palatino Linotype" w:hAnsi="Palatino Linotype"/>
          <w:i/>
        </w:rPr>
        <w:t xml:space="preserve"> El equilibrio entre perjuicio y beneficio a favor del interés público, a fin de que la decisión tomada represente un beneficio mayor al perjuicio que podría causar a la población.</w:t>
      </w:r>
    </w:p>
    <w:p w:rsidR="00B40D3E" w:rsidRPr="00E5368A" w:rsidRDefault="00B40D3E" w:rsidP="00AE547F">
      <w:pPr>
        <w:numPr>
          <w:ilvl w:val="0"/>
          <w:numId w:val="1"/>
        </w:numPr>
        <w:spacing w:after="0" w:line="360" w:lineRule="auto"/>
        <w:ind w:left="0" w:right="49" w:firstLine="0"/>
        <w:contextualSpacing/>
        <w:jc w:val="both"/>
        <w:rPr>
          <w:rFonts w:ascii="Palatino Linotype" w:hAnsi="Palatino Linotype"/>
          <w:b/>
          <w:i/>
          <w:sz w:val="24"/>
          <w:szCs w:val="24"/>
        </w:rPr>
      </w:pPr>
      <w:r w:rsidRPr="00E5368A">
        <w:rPr>
          <w:rFonts w:ascii="Palatino Linotype" w:hAnsi="Palatino Linotype"/>
          <w:sz w:val="24"/>
          <w:szCs w:val="24"/>
        </w:rPr>
        <w:t>Ahora</w:t>
      </w:r>
      <w:r w:rsidRPr="00E5368A">
        <w:rPr>
          <w:rFonts w:ascii="Palatino Linotype" w:hAnsi="Palatino Linotype" w:cs="Arial"/>
          <w:sz w:val="24"/>
          <w:szCs w:val="24"/>
        </w:rPr>
        <w:t xml:space="preserve"> bien, utilizando lo precisado en la parte inicial de este apartado, el contenido de ciertos derechos fundamentales no puede ser absoluto, y la colisión entre derechos fundamentales no puede resolverse apelando a reglas de prioridad entre normas, s</w:t>
      </w:r>
      <w:r w:rsidRPr="00E5368A">
        <w:rPr>
          <w:rFonts w:ascii="Palatino Linotype" w:hAnsi="Palatino Linotype" w:cs="Arial"/>
          <w:b/>
          <w:i/>
          <w:sz w:val="24"/>
          <w:szCs w:val="24"/>
        </w:rPr>
        <w:t>ino mediante una ponderación que determine el derecho que ha de prevalecer</w:t>
      </w:r>
      <w:r w:rsidRPr="00E5368A">
        <w:rPr>
          <w:rFonts w:ascii="Palatino Linotype" w:hAnsi="Palatino Linotype" w:cs="Arial"/>
          <w:sz w:val="24"/>
          <w:szCs w:val="24"/>
        </w:rPr>
        <w:t xml:space="preserve"> en el caso concreto, esto conforme la doctrina de</w:t>
      </w:r>
      <w:r w:rsidRPr="00E5368A">
        <w:rPr>
          <w:rFonts w:ascii="Palatino Linotype" w:hAnsi="Palatino Linotype"/>
          <w:b/>
          <w:sz w:val="24"/>
          <w:szCs w:val="24"/>
        </w:rPr>
        <w:t xml:space="preserve"> Riccardnao Guastini al señalar que “</w:t>
      </w:r>
      <w:r w:rsidRPr="00E5368A">
        <w:rPr>
          <w:rFonts w:ascii="Palatino Linotype" w:hAnsi="Palatino Linotype"/>
          <w:i/>
          <w:sz w:val="24"/>
          <w:szCs w:val="24"/>
        </w:rPr>
        <w:t>La ponderación, por tanto, no es una “conciliación</w:t>
      </w:r>
      <w:r w:rsidRPr="00E5368A">
        <w:rPr>
          <w:rFonts w:ascii="Palatino Linotype" w:hAnsi="Palatino Linotype"/>
          <w:sz w:val="24"/>
          <w:szCs w:val="24"/>
        </w:rPr>
        <w:t>”. No consiste en “</w:t>
      </w:r>
      <w:r w:rsidRPr="00E5368A">
        <w:rPr>
          <w:rFonts w:ascii="Palatino Linotype" w:hAnsi="Palatino Linotype"/>
          <w:i/>
          <w:sz w:val="24"/>
          <w:szCs w:val="24"/>
        </w:rPr>
        <w:t>poner de acuerdo</w:t>
      </w:r>
      <w:r w:rsidRPr="00E5368A">
        <w:rPr>
          <w:rFonts w:ascii="Palatino Linotype" w:hAnsi="Palatino Linotype"/>
          <w:sz w:val="24"/>
          <w:szCs w:val="24"/>
        </w:rPr>
        <w:t xml:space="preserve">” los dos principios en conflicto, o en encontrar un punto de “equilibrio” entre ellos. No consiste en la aplicación o en el sacrificio parcial de dos principios. </w:t>
      </w:r>
      <w:r w:rsidRPr="00E5368A">
        <w:rPr>
          <w:rFonts w:ascii="Palatino Linotype" w:hAnsi="Palatino Linotype"/>
          <w:b/>
          <w:i/>
          <w:sz w:val="24"/>
          <w:szCs w:val="24"/>
        </w:rPr>
        <w:t>Uno de los dos principios es aplicado, el otro es ciertamente acantonado.”</w:t>
      </w:r>
      <w:r w:rsidRPr="00E5368A">
        <w:rPr>
          <w:rStyle w:val="Refdenotaalpie"/>
          <w:rFonts w:ascii="Palatino Linotype" w:hAnsi="Palatino Linotype" w:cs="Arial"/>
          <w:sz w:val="24"/>
          <w:szCs w:val="24"/>
        </w:rPr>
        <w:t xml:space="preserve"> </w:t>
      </w:r>
      <w:r w:rsidRPr="00E5368A">
        <w:rPr>
          <w:rStyle w:val="Refdenotaalpie"/>
          <w:rFonts w:ascii="Palatino Linotype" w:hAnsi="Palatino Linotype" w:cs="Arial"/>
          <w:sz w:val="24"/>
          <w:szCs w:val="24"/>
        </w:rPr>
        <w:footnoteReference w:id="3"/>
      </w:r>
    </w:p>
    <w:p w:rsidR="00AE547F" w:rsidRPr="00E5368A" w:rsidRDefault="00AE547F" w:rsidP="00AE547F">
      <w:pPr>
        <w:spacing w:after="0" w:line="360" w:lineRule="auto"/>
        <w:ind w:right="49"/>
        <w:contextualSpacing/>
        <w:jc w:val="both"/>
        <w:rPr>
          <w:rFonts w:ascii="Palatino Linotype" w:hAnsi="Palatino Linotype"/>
          <w:b/>
          <w:i/>
          <w:sz w:val="24"/>
          <w:szCs w:val="24"/>
        </w:rPr>
      </w:pPr>
    </w:p>
    <w:p w:rsidR="00B40D3E" w:rsidRPr="00E5368A" w:rsidRDefault="00B40D3E" w:rsidP="00AE547F">
      <w:pPr>
        <w:numPr>
          <w:ilvl w:val="0"/>
          <w:numId w:val="1"/>
        </w:numPr>
        <w:spacing w:after="0" w:line="360" w:lineRule="auto"/>
        <w:ind w:left="0" w:right="49" w:firstLine="0"/>
        <w:contextualSpacing/>
        <w:jc w:val="both"/>
        <w:rPr>
          <w:rFonts w:ascii="Palatino Linotype" w:hAnsi="Palatino Linotype"/>
          <w:sz w:val="24"/>
          <w:szCs w:val="24"/>
        </w:rPr>
      </w:pPr>
      <w:r w:rsidRPr="00E5368A">
        <w:rPr>
          <w:rFonts w:ascii="Palatino Linotype" w:hAnsi="Palatino Linotype"/>
          <w:sz w:val="24"/>
          <w:szCs w:val="24"/>
        </w:rPr>
        <w:t xml:space="preserve">En cuanto a la metodología de ponderación de derechos, es necesario citar el siguiente criterio del Poder Judicial de la Federación, en el que se dispone lo siguiente: </w:t>
      </w:r>
    </w:p>
    <w:p w:rsidR="00B40D3E" w:rsidRPr="00E5368A" w:rsidRDefault="00B40D3E" w:rsidP="00B40D3E">
      <w:pPr>
        <w:shd w:val="clear" w:color="auto" w:fill="FFFFFF" w:themeFill="background1"/>
        <w:ind w:left="993" w:right="758"/>
        <w:jc w:val="both"/>
        <w:rPr>
          <w:i/>
          <w:sz w:val="24"/>
          <w:szCs w:val="24"/>
        </w:rPr>
      </w:pPr>
      <w:r w:rsidRPr="00E5368A">
        <w:rPr>
          <w:i/>
          <w:sz w:val="24"/>
          <w:szCs w:val="24"/>
        </w:rPr>
        <w:t xml:space="preserve">Época Novena Época  </w:t>
      </w:r>
    </w:p>
    <w:p w:rsidR="00B40D3E" w:rsidRPr="00E5368A" w:rsidRDefault="00B40D3E" w:rsidP="00B40D3E">
      <w:pPr>
        <w:shd w:val="clear" w:color="auto" w:fill="FFFFFF" w:themeFill="background1"/>
        <w:ind w:left="993" w:right="758"/>
        <w:jc w:val="both"/>
        <w:rPr>
          <w:i/>
          <w:sz w:val="24"/>
          <w:szCs w:val="24"/>
        </w:rPr>
      </w:pPr>
      <w:r w:rsidRPr="00E5368A">
        <w:rPr>
          <w:i/>
          <w:sz w:val="24"/>
          <w:szCs w:val="24"/>
        </w:rPr>
        <w:t xml:space="preserve">Registro 174338 </w:t>
      </w:r>
    </w:p>
    <w:p w:rsidR="00B40D3E" w:rsidRPr="00E5368A" w:rsidRDefault="00B40D3E" w:rsidP="00B40D3E">
      <w:pPr>
        <w:shd w:val="clear" w:color="auto" w:fill="FFFFFF" w:themeFill="background1"/>
        <w:ind w:left="993" w:right="758"/>
        <w:jc w:val="both"/>
        <w:rPr>
          <w:i/>
          <w:sz w:val="24"/>
          <w:szCs w:val="24"/>
        </w:rPr>
      </w:pPr>
      <w:r w:rsidRPr="00E5368A">
        <w:rPr>
          <w:i/>
          <w:sz w:val="24"/>
          <w:szCs w:val="24"/>
        </w:rPr>
        <w:t>Instancia Tribunales Colegiados de Circuito</w:t>
      </w:r>
    </w:p>
    <w:p w:rsidR="00B40D3E" w:rsidRPr="00E5368A" w:rsidRDefault="00B40D3E" w:rsidP="00B40D3E">
      <w:pPr>
        <w:shd w:val="clear" w:color="auto" w:fill="FFFFFF" w:themeFill="background1"/>
        <w:ind w:left="993" w:right="758"/>
        <w:jc w:val="both"/>
        <w:rPr>
          <w:i/>
          <w:sz w:val="24"/>
          <w:szCs w:val="24"/>
        </w:rPr>
      </w:pPr>
      <w:r w:rsidRPr="00E5368A">
        <w:rPr>
          <w:i/>
          <w:sz w:val="24"/>
          <w:szCs w:val="24"/>
        </w:rPr>
        <w:t xml:space="preserve"> Tipo de Tesis: Aislada </w:t>
      </w:r>
    </w:p>
    <w:p w:rsidR="00B40D3E" w:rsidRPr="00E5368A" w:rsidRDefault="00B40D3E" w:rsidP="00B40D3E">
      <w:pPr>
        <w:shd w:val="clear" w:color="auto" w:fill="FFFFFF" w:themeFill="background1"/>
        <w:ind w:left="993" w:right="758"/>
        <w:jc w:val="both"/>
        <w:rPr>
          <w:i/>
          <w:sz w:val="24"/>
          <w:szCs w:val="24"/>
        </w:rPr>
      </w:pPr>
      <w:r w:rsidRPr="00E5368A">
        <w:rPr>
          <w:i/>
          <w:sz w:val="24"/>
          <w:szCs w:val="24"/>
        </w:rPr>
        <w:t xml:space="preserve">Fuente Semanario Judicial de la Federación y su Gaceta </w:t>
      </w:r>
    </w:p>
    <w:p w:rsidR="00B40D3E" w:rsidRPr="00E5368A" w:rsidRDefault="00B40D3E" w:rsidP="00B40D3E">
      <w:pPr>
        <w:shd w:val="clear" w:color="auto" w:fill="FFFFFF" w:themeFill="background1"/>
        <w:ind w:left="993" w:right="758"/>
        <w:jc w:val="both"/>
        <w:rPr>
          <w:rFonts w:ascii="Palatino Linotype" w:hAnsi="Palatino Linotype"/>
          <w:b/>
          <w:i/>
          <w:sz w:val="24"/>
          <w:szCs w:val="24"/>
        </w:rPr>
      </w:pPr>
      <w:r w:rsidRPr="00E5368A">
        <w:rPr>
          <w:i/>
          <w:sz w:val="24"/>
          <w:szCs w:val="24"/>
        </w:rPr>
        <w:lastRenderedPageBreak/>
        <w:t>Tomo XXIV. Agosto</w:t>
      </w:r>
    </w:p>
    <w:p w:rsidR="00B40D3E" w:rsidRPr="00E5368A" w:rsidRDefault="00B40D3E" w:rsidP="00B40D3E">
      <w:pPr>
        <w:shd w:val="clear" w:color="auto" w:fill="FFFFFF" w:themeFill="background1"/>
        <w:spacing w:before="100" w:beforeAutospacing="1" w:after="100" w:afterAutospacing="1"/>
        <w:ind w:left="993" w:right="758"/>
        <w:jc w:val="both"/>
        <w:rPr>
          <w:rFonts w:ascii="Palatino Linotype" w:hAnsi="Palatino Linotype"/>
          <w:i/>
          <w:sz w:val="24"/>
          <w:szCs w:val="24"/>
        </w:rPr>
      </w:pPr>
      <w:r w:rsidRPr="00E5368A">
        <w:rPr>
          <w:rFonts w:ascii="Palatino Linotype" w:hAnsi="Palatino Linotype"/>
          <w:i/>
          <w:sz w:val="24"/>
          <w:szCs w:val="24"/>
        </w:rPr>
        <w:t xml:space="preserve">SUSPENSIÓN EN EL AMPARO. CONFORME A LA TEORÍA DE PONDERACIÓN DE PRINCIPIOS DEBE NEGARSE SI EL INTERÉS SOCIAL CONSTITUCIONALMENTE TUTELADO ES PREFERENTE AL DEL PARTICULAR. </w:t>
      </w:r>
    </w:p>
    <w:p w:rsidR="00B40D3E" w:rsidRPr="00E5368A" w:rsidRDefault="00B40D3E" w:rsidP="00B40D3E">
      <w:pPr>
        <w:shd w:val="clear" w:color="auto" w:fill="FFFFFF" w:themeFill="background1"/>
        <w:spacing w:before="100" w:beforeAutospacing="1" w:after="100" w:afterAutospacing="1"/>
        <w:ind w:left="993" w:right="758"/>
        <w:jc w:val="both"/>
        <w:rPr>
          <w:rFonts w:ascii="Palatino Linotype" w:hAnsi="Palatino Linotype"/>
          <w:b/>
          <w:i/>
          <w:sz w:val="24"/>
          <w:szCs w:val="24"/>
        </w:rPr>
      </w:pPr>
      <w:r w:rsidRPr="00E5368A">
        <w:rPr>
          <w:rFonts w:ascii="Palatino Linotype" w:hAnsi="Palatino Linotype"/>
          <w:b/>
          <w:i/>
          <w:sz w:val="24"/>
          <w:szCs w:val="24"/>
        </w:rPr>
        <w:t>Cuando dos derechos fundamentales entran en colisión, se debe resolver el problema atendiendo a las características y naturaleza del caso concreto, conforme al criterio de proporcionalidad, ponderando los elementos o subprincipio</w:t>
      </w:r>
      <w:r w:rsidRPr="00E5368A">
        <w:rPr>
          <w:rFonts w:ascii="Palatino Linotype" w:hAnsi="Palatino Linotype"/>
          <w:i/>
          <w:sz w:val="24"/>
          <w:szCs w:val="24"/>
        </w:rPr>
        <w:t xml:space="preserve">s siguientes: a) </w:t>
      </w:r>
      <w:r w:rsidRPr="00E5368A">
        <w:rPr>
          <w:rFonts w:ascii="Palatino Linotype" w:hAnsi="Palatino Linotype"/>
          <w:b/>
          <w:i/>
          <w:sz w:val="24"/>
          <w:szCs w:val="24"/>
          <w:u w:val="single"/>
        </w:rPr>
        <w:t>idoneidad,</w:t>
      </w:r>
      <w:r w:rsidRPr="00E5368A">
        <w:rPr>
          <w:rFonts w:ascii="Palatino Linotype" w:hAnsi="Palatino Linotype"/>
          <w:i/>
          <w:sz w:val="24"/>
          <w:szCs w:val="24"/>
        </w:rPr>
        <w:t xml:space="preserve"> la cual es la legitimidad constitucional del principio adoptado como preferente, por resultar ser el adecuado para el logro de un fin constitucionalmente válido o apto para conseguir el objetivo pretendido; b) </w:t>
      </w:r>
      <w:r w:rsidRPr="00E5368A">
        <w:rPr>
          <w:rFonts w:ascii="Palatino Linotype" w:hAnsi="Palatino Linotype"/>
          <w:b/>
          <w:i/>
          <w:sz w:val="24"/>
          <w:szCs w:val="24"/>
          <w:u w:val="single"/>
        </w:rPr>
        <w:t>necesidad,</w:t>
      </w:r>
      <w:r w:rsidRPr="00E5368A">
        <w:rPr>
          <w:rFonts w:ascii="Palatino Linotype" w:hAnsi="Palatino Linotype"/>
          <w:i/>
          <w:sz w:val="24"/>
          <w:szCs w:val="24"/>
        </w:rPr>
        <w:t xml:space="preserve"> consistente en que no exista otro medio menos limitativo para satisfacer el fin del interés público y que sacrifique, en menor medida, los principios constitucionales afectados por el uso de esos medios; o sea, que resulte imprescindible la restricción, porque no exista un medio menos oneroso, en términos del sacrificio de otros principios constitucionales, para alcanzar el fin deseado y que afecten en menor grado los derechos fundamentales de los implicados; y c</w:t>
      </w:r>
      <w:r w:rsidRPr="00E5368A">
        <w:rPr>
          <w:rFonts w:ascii="Palatino Linotype" w:hAnsi="Palatino Linotype"/>
          <w:b/>
          <w:i/>
          <w:sz w:val="24"/>
          <w:szCs w:val="24"/>
          <w:u w:val="single"/>
        </w:rPr>
        <w:t>) el mandato de proporcionalidad</w:t>
      </w:r>
      <w:r w:rsidRPr="00E5368A">
        <w:rPr>
          <w:rFonts w:ascii="Palatino Linotype" w:hAnsi="Palatino Linotype"/>
          <w:i/>
          <w:sz w:val="24"/>
          <w:szCs w:val="24"/>
        </w:rPr>
        <w:t xml:space="preserve"> entre medios y fines implica que al elegir entre un perjuicio y un beneficio a favor de dos bienes tutelados, el principio satisfecho o que resulta privilegiado lo sea en mayor proporción que el sacrificado. Esto es que no se renuncie o sacrifiquen valores y principios con mayor peso o medida a aquel que se desea satisfacer. Así, el derecho o principio que debe prevalecer, en el caso, es aquel que optimice los intereses en conflicto y, por ende, privilegiándose el que resulte indispensable y que conlleve a un mayor beneficio o cause un menor daño. Consecuentemente, tratándose de la suspensión debe negarse dicha medida cautelar cuando el interés social constitucionalmente tutelado es preferente al del particular, ya que el derecho o principio a primar debe ser aquel que cause un menor daño y el que resulta indispensable privilegiarse, o sea, el que evidentemente conlleve a un mayor beneficio.” (Sic)</w:t>
      </w:r>
    </w:p>
    <w:p w:rsidR="00B40D3E" w:rsidRPr="00E5368A" w:rsidRDefault="00B40D3E" w:rsidP="00AE547F">
      <w:pPr>
        <w:numPr>
          <w:ilvl w:val="0"/>
          <w:numId w:val="1"/>
        </w:numPr>
        <w:spacing w:after="0" w:line="360" w:lineRule="auto"/>
        <w:ind w:left="0" w:right="49" w:firstLine="0"/>
        <w:contextualSpacing/>
        <w:jc w:val="both"/>
        <w:rPr>
          <w:rFonts w:ascii="Palatino Linotype" w:hAnsi="Palatino Linotype"/>
          <w:sz w:val="24"/>
          <w:szCs w:val="24"/>
        </w:rPr>
      </w:pPr>
      <w:r w:rsidRPr="00E5368A">
        <w:rPr>
          <w:rFonts w:ascii="Palatino Linotype" w:hAnsi="Palatino Linotype"/>
          <w:sz w:val="24"/>
          <w:szCs w:val="24"/>
        </w:rPr>
        <w:lastRenderedPageBreak/>
        <w:t>De lo que se desprende que, cuando dos derechos fundamentales entran en colisión debe resolverse el problema atendiendo a las características y naturaleza del caso concreto, conforme al criterio de</w:t>
      </w:r>
      <w:r w:rsidRPr="00E5368A">
        <w:rPr>
          <w:rFonts w:ascii="Palatino Linotype" w:hAnsi="Palatino Linotype"/>
          <w:b/>
          <w:sz w:val="24"/>
          <w:szCs w:val="24"/>
          <w:u w:val="single"/>
        </w:rPr>
        <w:t xml:space="preserve"> proporcionalidad, ponderando los elementos o subprincipios siguientes: a) Idoneidad. b) necesidad y c) proporcionalidad:</w:t>
      </w:r>
    </w:p>
    <w:p w:rsidR="00B40D3E" w:rsidRPr="00E5368A" w:rsidRDefault="00B40D3E" w:rsidP="00B40D3E">
      <w:pPr>
        <w:pStyle w:val="Prrafodelista"/>
        <w:numPr>
          <w:ilvl w:val="0"/>
          <w:numId w:val="36"/>
        </w:numPr>
        <w:shd w:val="clear" w:color="auto" w:fill="FFFFFF" w:themeFill="background1"/>
        <w:spacing w:before="100" w:beforeAutospacing="1" w:after="100" w:afterAutospacing="1"/>
        <w:jc w:val="both"/>
        <w:rPr>
          <w:rFonts w:ascii="Palatino Linotype" w:hAnsi="Palatino Linotype" w:cs="Arial"/>
        </w:rPr>
      </w:pPr>
      <w:r w:rsidRPr="00E5368A">
        <w:rPr>
          <w:rFonts w:ascii="Palatino Linotype" w:hAnsi="Palatino Linotype"/>
        </w:rPr>
        <w:t xml:space="preserve">Análisis en el caso en concreto de la primera grada de la ponderación: Idoneidad. </w:t>
      </w:r>
    </w:p>
    <w:p w:rsidR="00AE547F" w:rsidRPr="00E5368A" w:rsidRDefault="00AE547F" w:rsidP="00AE547F">
      <w:pPr>
        <w:pStyle w:val="Prrafodelista"/>
        <w:shd w:val="clear" w:color="auto" w:fill="FFFFFF" w:themeFill="background1"/>
        <w:spacing w:before="100" w:beforeAutospacing="1" w:after="100" w:afterAutospacing="1"/>
        <w:jc w:val="both"/>
        <w:rPr>
          <w:rFonts w:ascii="Palatino Linotype" w:hAnsi="Palatino Linotype" w:cs="Arial"/>
        </w:rPr>
      </w:pPr>
    </w:p>
    <w:p w:rsidR="00AE547F" w:rsidRPr="00E5368A" w:rsidRDefault="00B40D3E" w:rsidP="00AE547F">
      <w:pPr>
        <w:numPr>
          <w:ilvl w:val="0"/>
          <w:numId w:val="1"/>
        </w:numPr>
        <w:spacing w:after="0" w:line="360" w:lineRule="auto"/>
        <w:ind w:left="0" w:right="49" w:firstLine="0"/>
        <w:contextualSpacing/>
        <w:jc w:val="both"/>
        <w:rPr>
          <w:rFonts w:ascii="Palatino Linotype" w:hAnsi="Palatino Linotype"/>
          <w:sz w:val="24"/>
          <w:szCs w:val="24"/>
        </w:rPr>
      </w:pPr>
      <w:r w:rsidRPr="00E5368A">
        <w:rPr>
          <w:rFonts w:ascii="Palatino Linotype" w:hAnsi="Palatino Linotype"/>
          <w:sz w:val="24"/>
          <w:szCs w:val="24"/>
        </w:rPr>
        <w:t xml:space="preserve">Cabe recordar que, sin la intensión de entrar en materia de los derechos que involucran el procedimiento que únicamente compete a la </w:t>
      </w:r>
      <w:r w:rsidRPr="00E5368A">
        <w:rPr>
          <w:rFonts w:ascii="Palatino Linotype" w:eastAsia="Cambria" w:hAnsi="Palatino Linotype"/>
          <w:sz w:val="24"/>
          <w:szCs w:val="24"/>
        </w:rPr>
        <w:t>Comisión de Límites del Gobierno del Estado de México</w:t>
      </w:r>
      <w:r w:rsidRPr="00E5368A">
        <w:rPr>
          <w:rFonts w:ascii="Palatino Linotype" w:hAnsi="Palatino Linotype"/>
          <w:sz w:val="24"/>
          <w:szCs w:val="24"/>
        </w:rPr>
        <w:t>, esta autoridad se abocara a la publicidad de</w:t>
      </w:r>
      <w:r w:rsidR="00AE547F" w:rsidRPr="00E5368A">
        <w:rPr>
          <w:rFonts w:ascii="Palatino Linotype" w:hAnsi="Palatino Linotype"/>
          <w:sz w:val="24"/>
          <w:szCs w:val="24"/>
        </w:rPr>
        <w:t>l acuerdo</w:t>
      </w:r>
      <w:r w:rsidRPr="00E5368A">
        <w:rPr>
          <w:rFonts w:ascii="Palatino Linotype" w:hAnsi="Palatino Linotype"/>
          <w:sz w:val="24"/>
          <w:szCs w:val="24"/>
        </w:rPr>
        <w:t xml:space="preserve"> y anexos por motivo de la existencia de un interés social que motiva y obliga hacerla del dominio público.</w:t>
      </w:r>
    </w:p>
    <w:p w:rsidR="00AE547F" w:rsidRPr="00E5368A" w:rsidRDefault="00AE547F" w:rsidP="00AE547F">
      <w:pPr>
        <w:spacing w:after="0" w:line="360" w:lineRule="auto"/>
        <w:ind w:right="49"/>
        <w:contextualSpacing/>
        <w:jc w:val="both"/>
        <w:rPr>
          <w:rFonts w:ascii="Palatino Linotype" w:hAnsi="Palatino Linotype"/>
          <w:sz w:val="24"/>
          <w:szCs w:val="24"/>
        </w:rPr>
      </w:pPr>
    </w:p>
    <w:p w:rsidR="00B40D3E" w:rsidRPr="00E5368A" w:rsidRDefault="00B40D3E" w:rsidP="00AE547F">
      <w:pPr>
        <w:numPr>
          <w:ilvl w:val="0"/>
          <w:numId w:val="1"/>
        </w:numPr>
        <w:spacing w:after="0" w:line="360" w:lineRule="auto"/>
        <w:ind w:left="0" w:right="49" w:firstLine="0"/>
        <w:contextualSpacing/>
        <w:jc w:val="both"/>
        <w:rPr>
          <w:rFonts w:ascii="Palatino Linotype" w:hAnsi="Palatino Linotype"/>
          <w:sz w:val="24"/>
          <w:szCs w:val="24"/>
        </w:rPr>
      </w:pPr>
      <w:r w:rsidRPr="00E5368A">
        <w:rPr>
          <w:rFonts w:ascii="Palatino Linotype" w:hAnsi="Palatino Linotype"/>
          <w:sz w:val="24"/>
          <w:szCs w:val="24"/>
        </w:rPr>
        <w:t xml:space="preserve">Una vez puntualizado lo anterior, la presente solicitud de acceso a la información para este Órgano Garante del Derecho de Acceso a la Información evidencia el ejercicio del derecho de acceso a la información, en contraposición al derecho de sigilo que deben guardar los expedientes y anexos que se generan a raíz del </w:t>
      </w:r>
      <w:r w:rsidRPr="00E5368A">
        <w:rPr>
          <w:rFonts w:ascii="Palatino Linotype" w:eastAsia="Cambria" w:hAnsi="Palatino Linotype"/>
          <w:sz w:val="24"/>
          <w:szCs w:val="24"/>
        </w:rPr>
        <w:t>procedimiento para la solución de diferendos limítrofes intermunicipales</w:t>
      </w:r>
      <w:r w:rsidRPr="00E5368A">
        <w:rPr>
          <w:rFonts w:ascii="Palatino Linotype" w:hAnsi="Palatino Linotype"/>
          <w:sz w:val="24"/>
          <w:szCs w:val="24"/>
        </w:rPr>
        <w:t xml:space="preserve"> cuando aún no ha quedado firme o no haya concluido. </w:t>
      </w:r>
    </w:p>
    <w:p w:rsidR="00AE547F" w:rsidRPr="00E5368A" w:rsidRDefault="00AE547F" w:rsidP="00AE547F">
      <w:pPr>
        <w:spacing w:after="0" w:line="360" w:lineRule="auto"/>
        <w:ind w:right="49"/>
        <w:contextualSpacing/>
        <w:jc w:val="both"/>
        <w:rPr>
          <w:rFonts w:ascii="Palatino Linotype" w:hAnsi="Palatino Linotype"/>
          <w:sz w:val="24"/>
          <w:szCs w:val="24"/>
        </w:rPr>
      </w:pPr>
    </w:p>
    <w:p w:rsidR="00AE547F" w:rsidRPr="00E5368A" w:rsidRDefault="00B40D3E" w:rsidP="00AE547F">
      <w:pPr>
        <w:numPr>
          <w:ilvl w:val="0"/>
          <w:numId w:val="1"/>
        </w:numPr>
        <w:spacing w:after="0" w:line="360" w:lineRule="auto"/>
        <w:ind w:left="0" w:right="49" w:firstLine="0"/>
        <w:contextualSpacing/>
        <w:jc w:val="both"/>
        <w:rPr>
          <w:rFonts w:ascii="Palatino Linotype" w:hAnsi="Palatino Linotype"/>
          <w:sz w:val="24"/>
          <w:szCs w:val="24"/>
        </w:rPr>
      </w:pPr>
      <w:r w:rsidRPr="00E5368A">
        <w:rPr>
          <w:rFonts w:ascii="Palatino Linotype" w:hAnsi="Palatino Linotype"/>
          <w:b/>
          <w:sz w:val="24"/>
          <w:szCs w:val="24"/>
        </w:rPr>
        <w:t xml:space="preserve"> </w:t>
      </w:r>
      <w:r w:rsidRPr="00E5368A">
        <w:rPr>
          <w:rFonts w:ascii="Palatino Linotype" w:hAnsi="Palatino Linotype"/>
          <w:sz w:val="24"/>
          <w:szCs w:val="24"/>
        </w:rPr>
        <w:t xml:space="preserve">Al respecto, ambos derechos se encuentran reconocidos en el plano constitucional, en igualdad de características para los gobernados. Sin embargo, en el presente caso, existe una trascendencia social del caso relacionado con la </w:t>
      </w:r>
      <w:r w:rsidRPr="00E5368A">
        <w:rPr>
          <w:rFonts w:ascii="Palatino Linotype" w:hAnsi="Palatino Linotype"/>
          <w:sz w:val="24"/>
          <w:szCs w:val="24"/>
        </w:rPr>
        <w:lastRenderedPageBreak/>
        <w:t xml:space="preserve">información correspondiente al conflicto diferendo limítrofe con el municipio de Lerma, en atención a los siguientes argumentos: </w:t>
      </w:r>
    </w:p>
    <w:p w:rsidR="00AE547F" w:rsidRPr="00E5368A" w:rsidRDefault="00AE547F" w:rsidP="00AE547F">
      <w:pPr>
        <w:spacing w:after="0" w:line="360" w:lineRule="auto"/>
        <w:ind w:right="49"/>
        <w:contextualSpacing/>
        <w:jc w:val="both"/>
        <w:rPr>
          <w:rFonts w:ascii="Palatino Linotype" w:hAnsi="Palatino Linotype"/>
          <w:sz w:val="24"/>
          <w:szCs w:val="24"/>
        </w:rPr>
      </w:pPr>
    </w:p>
    <w:p w:rsidR="00B40D3E" w:rsidRPr="00E5368A" w:rsidRDefault="00B40D3E" w:rsidP="00AE547F">
      <w:pPr>
        <w:numPr>
          <w:ilvl w:val="0"/>
          <w:numId w:val="1"/>
        </w:numPr>
        <w:spacing w:after="0" w:line="360" w:lineRule="auto"/>
        <w:ind w:left="0" w:right="49" w:firstLine="0"/>
        <w:contextualSpacing/>
        <w:jc w:val="both"/>
        <w:rPr>
          <w:rFonts w:ascii="Palatino Linotype" w:hAnsi="Palatino Linotype"/>
          <w:sz w:val="24"/>
          <w:szCs w:val="24"/>
        </w:rPr>
      </w:pPr>
      <w:r w:rsidRPr="00E5368A">
        <w:rPr>
          <w:rFonts w:ascii="Palatino Linotype" w:hAnsi="Palatino Linotype"/>
          <w:sz w:val="24"/>
          <w:szCs w:val="24"/>
        </w:rPr>
        <w:t>Primero, es precedente la publicidad del referido expediente y anexos en atención a la proyección pública de las partes, ya que de acuerdo al artículo 115 de la Constitución Política de los Estados Unidos Mexicanos, define al municipio como:</w:t>
      </w:r>
    </w:p>
    <w:p w:rsidR="00B40D3E" w:rsidRPr="00E5368A" w:rsidRDefault="00B40D3E" w:rsidP="00B40D3E">
      <w:pPr>
        <w:shd w:val="clear" w:color="auto" w:fill="FFFFFF" w:themeFill="background1"/>
        <w:spacing w:before="100" w:beforeAutospacing="1" w:after="100" w:afterAutospacing="1"/>
        <w:ind w:left="993" w:right="616"/>
        <w:jc w:val="both"/>
        <w:rPr>
          <w:rFonts w:ascii="Palatino Linotype" w:hAnsi="Palatino Linotype"/>
          <w:i/>
          <w:sz w:val="24"/>
          <w:szCs w:val="24"/>
        </w:rPr>
      </w:pPr>
      <w:r w:rsidRPr="00E5368A">
        <w:rPr>
          <w:rFonts w:ascii="Palatino Linotype" w:hAnsi="Palatino Linotype"/>
          <w:i/>
          <w:sz w:val="24"/>
          <w:szCs w:val="24"/>
        </w:rPr>
        <w:t>“</w:t>
      </w:r>
      <w:r w:rsidRPr="00E5368A">
        <w:rPr>
          <w:rFonts w:ascii="Palatino Linotype" w:hAnsi="Palatino Linotype"/>
          <w:b/>
          <w:i/>
          <w:sz w:val="24"/>
          <w:szCs w:val="24"/>
        </w:rPr>
        <w:t>Artículo 115</w:t>
      </w:r>
      <w:r w:rsidRPr="00E5368A">
        <w:rPr>
          <w:rFonts w:ascii="Palatino Linotype" w:hAnsi="Palatino Linotype"/>
          <w:i/>
          <w:sz w:val="24"/>
          <w:szCs w:val="24"/>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rsidR="00B40D3E" w:rsidRPr="00E5368A" w:rsidRDefault="00B40D3E" w:rsidP="00B40D3E">
      <w:pPr>
        <w:shd w:val="clear" w:color="auto" w:fill="FFFFFF" w:themeFill="background1"/>
        <w:spacing w:before="100" w:beforeAutospacing="1" w:after="100" w:afterAutospacing="1"/>
        <w:ind w:left="993" w:right="616"/>
        <w:jc w:val="both"/>
        <w:rPr>
          <w:rFonts w:ascii="Palatino Linotype" w:hAnsi="Palatino Linotype"/>
          <w:i/>
          <w:sz w:val="24"/>
          <w:szCs w:val="24"/>
        </w:rPr>
      </w:pPr>
      <w:r w:rsidRPr="00E5368A">
        <w:rPr>
          <w:rFonts w:ascii="Palatino Linotype" w:hAnsi="Palatino Linotype"/>
          <w:b/>
          <w:i/>
          <w:sz w:val="24"/>
          <w:szCs w:val="24"/>
          <w:u w:val="single"/>
        </w:rPr>
        <w:t>I. Cada Municipio será gobernado por un Ayuntamiento de elección popular directa, integrado por un Presidente o Presidenta Municipal y el número de regidurías y sindicaturas que la ley determine, de conformidad con el principio de paridad.</w:t>
      </w:r>
    </w:p>
    <w:p w:rsidR="00B40D3E" w:rsidRPr="00E5368A" w:rsidRDefault="00B40D3E" w:rsidP="00B40D3E">
      <w:pPr>
        <w:shd w:val="clear" w:color="auto" w:fill="FFFFFF" w:themeFill="background1"/>
        <w:spacing w:before="100" w:beforeAutospacing="1" w:after="100" w:afterAutospacing="1"/>
        <w:ind w:left="993" w:right="616"/>
        <w:jc w:val="both"/>
        <w:rPr>
          <w:rFonts w:ascii="Palatino Linotype" w:hAnsi="Palatino Linotype"/>
          <w:i/>
          <w:sz w:val="24"/>
          <w:szCs w:val="24"/>
        </w:rPr>
      </w:pPr>
      <w:r w:rsidRPr="00E5368A">
        <w:rPr>
          <w:rFonts w:ascii="Palatino Linotype" w:hAnsi="Palatino Linotype"/>
          <w:i/>
          <w:sz w:val="24"/>
          <w:szCs w:val="24"/>
        </w:rPr>
        <w:t xml:space="preserve"> La competencia que esta Constitución otorga al gobierno municipal se ejercerá por el Ayuntamiento de manera exclusiva y no habrá autoridad intermedia alguna entre éste y el gobierno del Estado. </w:t>
      </w:r>
    </w:p>
    <w:p w:rsidR="00B40D3E" w:rsidRPr="00E5368A" w:rsidRDefault="00B40D3E" w:rsidP="00B40D3E">
      <w:pPr>
        <w:shd w:val="clear" w:color="auto" w:fill="FFFFFF" w:themeFill="background1"/>
        <w:spacing w:before="100" w:beforeAutospacing="1" w:after="100" w:afterAutospacing="1"/>
        <w:ind w:left="993" w:right="616"/>
        <w:jc w:val="both"/>
        <w:rPr>
          <w:rFonts w:ascii="Palatino Linotype" w:hAnsi="Palatino Linotype"/>
          <w:i/>
          <w:sz w:val="24"/>
          <w:szCs w:val="24"/>
        </w:rPr>
      </w:pPr>
      <w:r w:rsidRPr="00E5368A">
        <w:rPr>
          <w:rFonts w:ascii="Palatino Linotype" w:hAnsi="Palatino Linotype"/>
          <w:b/>
          <w:i/>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w:t>
      </w:r>
      <w:r w:rsidRPr="00E5368A">
        <w:rPr>
          <w:rFonts w:ascii="Palatino Linotype" w:hAnsi="Palatino Linotype"/>
          <w:i/>
          <w:sz w:val="24"/>
          <w:szCs w:val="24"/>
        </w:rPr>
        <w:t xml:space="preserve">. </w:t>
      </w:r>
    </w:p>
    <w:p w:rsidR="00B40D3E" w:rsidRPr="00E5368A" w:rsidRDefault="00B40D3E" w:rsidP="00B40D3E">
      <w:pPr>
        <w:shd w:val="clear" w:color="auto" w:fill="FFFFFF" w:themeFill="background1"/>
        <w:spacing w:before="100" w:beforeAutospacing="1" w:after="100" w:afterAutospacing="1"/>
        <w:ind w:left="992" w:right="616"/>
        <w:contextualSpacing/>
        <w:jc w:val="both"/>
        <w:rPr>
          <w:rFonts w:ascii="Palatino Linotype" w:hAnsi="Palatino Linotype"/>
          <w:i/>
          <w:sz w:val="24"/>
          <w:szCs w:val="24"/>
        </w:rPr>
      </w:pPr>
      <w:r w:rsidRPr="00E5368A">
        <w:rPr>
          <w:rFonts w:ascii="Palatino Linotype" w:hAnsi="Palatino Linotype"/>
          <w:i/>
          <w:sz w:val="24"/>
          <w:szCs w:val="24"/>
        </w:rPr>
        <w:t xml:space="preserve">La postulación sólo podrá ser realizada por el mismo partido o por cualquiera de los partidos integrantes de la coalición que lo hubieren postulado, salvo que hayan renunciado o perdido su militancia antes de la mitad de su mandato. </w:t>
      </w:r>
    </w:p>
    <w:p w:rsidR="00B40D3E" w:rsidRPr="00E5368A" w:rsidRDefault="00B40D3E" w:rsidP="00B40D3E">
      <w:pPr>
        <w:shd w:val="clear" w:color="auto" w:fill="FFFFFF" w:themeFill="background1"/>
        <w:spacing w:before="100" w:beforeAutospacing="1" w:after="100" w:afterAutospacing="1"/>
        <w:ind w:left="992" w:right="616"/>
        <w:contextualSpacing/>
        <w:jc w:val="both"/>
        <w:rPr>
          <w:rFonts w:ascii="Palatino Linotype" w:hAnsi="Palatino Linotype"/>
          <w:i/>
          <w:sz w:val="24"/>
          <w:szCs w:val="24"/>
        </w:rPr>
      </w:pPr>
      <w:r w:rsidRPr="00E5368A">
        <w:rPr>
          <w:rFonts w:ascii="Palatino Linotype" w:hAnsi="Palatino Linotype"/>
          <w:i/>
          <w:sz w:val="24"/>
          <w:szCs w:val="24"/>
        </w:rPr>
        <w:t>…</w:t>
      </w:r>
    </w:p>
    <w:p w:rsidR="00B40D3E" w:rsidRPr="00E5368A" w:rsidRDefault="00B40D3E" w:rsidP="00B40D3E">
      <w:pPr>
        <w:shd w:val="clear" w:color="auto" w:fill="FFFFFF" w:themeFill="background1"/>
        <w:spacing w:before="100" w:beforeAutospacing="1" w:after="100" w:afterAutospacing="1"/>
        <w:ind w:left="992" w:right="616"/>
        <w:contextualSpacing/>
        <w:jc w:val="both"/>
        <w:rPr>
          <w:rFonts w:ascii="Palatino Linotype" w:hAnsi="Palatino Linotype"/>
          <w:i/>
          <w:sz w:val="24"/>
          <w:szCs w:val="24"/>
        </w:rPr>
      </w:pPr>
      <w:r w:rsidRPr="00E5368A">
        <w:rPr>
          <w:rFonts w:ascii="Palatino Linotype" w:hAnsi="Palatino Linotype"/>
          <w:i/>
          <w:sz w:val="24"/>
          <w:szCs w:val="24"/>
        </w:rPr>
        <w:lastRenderedPageBreak/>
        <w:t xml:space="preserve">II. Los municipios estarán investidos de personalidad jurídica y manejarán su patrimonio conforme a la ley.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B40D3E" w:rsidRPr="00E5368A" w:rsidRDefault="00B40D3E" w:rsidP="00B40D3E">
      <w:pPr>
        <w:shd w:val="clear" w:color="auto" w:fill="FFFFFF" w:themeFill="background1"/>
        <w:spacing w:before="100" w:beforeAutospacing="1" w:after="100" w:afterAutospacing="1"/>
        <w:ind w:left="992" w:right="616"/>
        <w:contextualSpacing/>
        <w:jc w:val="both"/>
        <w:rPr>
          <w:rFonts w:ascii="Palatino Linotype" w:hAnsi="Palatino Linotype"/>
          <w:i/>
          <w:sz w:val="24"/>
          <w:szCs w:val="24"/>
        </w:rPr>
      </w:pPr>
      <w:r w:rsidRPr="00E5368A">
        <w:rPr>
          <w:rFonts w:ascii="Palatino Linotype" w:hAnsi="Palatino Linotype"/>
          <w:i/>
          <w:sz w:val="24"/>
          <w:szCs w:val="24"/>
        </w:rPr>
        <w:t xml:space="preserve">El objeto de las leyes a que se refiere el párrafo anterior será establecer: </w:t>
      </w:r>
    </w:p>
    <w:p w:rsidR="00B40D3E" w:rsidRPr="00E5368A" w:rsidRDefault="00B40D3E" w:rsidP="00B40D3E">
      <w:pPr>
        <w:shd w:val="clear" w:color="auto" w:fill="FFFFFF" w:themeFill="background1"/>
        <w:spacing w:before="100" w:beforeAutospacing="1" w:after="100" w:afterAutospacing="1"/>
        <w:ind w:left="992" w:right="616"/>
        <w:contextualSpacing/>
        <w:jc w:val="both"/>
        <w:rPr>
          <w:rFonts w:ascii="Palatino Linotype" w:hAnsi="Palatino Linotype"/>
          <w:i/>
          <w:sz w:val="24"/>
          <w:szCs w:val="24"/>
        </w:rPr>
      </w:pPr>
      <w:r w:rsidRPr="00E5368A">
        <w:rPr>
          <w:rFonts w:ascii="Palatino Linotype" w:hAnsi="Palatino Linotype"/>
          <w:b/>
          <w:i/>
          <w:sz w:val="24"/>
          <w:szCs w:val="24"/>
        </w:rPr>
        <w:t>a) 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r w:rsidRPr="00E5368A">
        <w:rPr>
          <w:rFonts w:ascii="Palatino Linotype" w:hAnsi="Palatino Linotype"/>
          <w:i/>
          <w:sz w:val="24"/>
          <w:szCs w:val="24"/>
        </w:rPr>
        <w:t>…(Sic)</w:t>
      </w:r>
    </w:p>
    <w:p w:rsidR="00B40D3E" w:rsidRPr="00E5368A" w:rsidRDefault="00B40D3E" w:rsidP="00B40D3E">
      <w:pPr>
        <w:shd w:val="clear" w:color="auto" w:fill="FFFFFF" w:themeFill="background1"/>
        <w:spacing w:before="100" w:beforeAutospacing="1" w:after="100" w:afterAutospacing="1" w:line="360" w:lineRule="auto"/>
        <w:contextualSpacing/>
        <w:jc w:val="both"/>
        <w:rPr>
          <w:rFonts w:ascii="Palatino Linotype" w:hAnsi="Palatino Linotype"/>
          <w:sz w:val="24"/>
          <w:szCs w:val="24"/>
        </w:rPr>
      </w:pPr>
    </w:p>
    <w:p w:rsidR="00B40D3E" w:rsidRPr="00E5368A" w:rsidRDefault="00B40D3E" w:rsidP="00AE547F">
      <w:pPr>
        <w:numPr>
          <w:ilvl w:val="0"/>
          <w:numId w:val="1"/>
        </w:numPr>
        <w:spacing w:after="0" w:line="360" w:lineRule="auto"/>
        <w:ind w:left="0" w:right="49" w:firstLine="0"/>
        <w:contextualSpacing/>
        <w:jc w:val="both"/>
        <w:rPr>
          <w:rFonts w:ascii="Palatino Linotype" w:hAnsi="Palatino Linotype"/>
          <w:sz w:val="24"/>
          <w:szCs w:val="24"/>
        </w:rPr>
      </w:pPr>
      <w:r w:rsidRPr="00E5368A">
        <w:rPr>
          <w:rFonts w:ascii="Palatino Linotype" w:hAnsi="Palatino Linotype"/>
          <w:sz w:val="24"/>
          <w:szCs w:val="24"/>
        </w:rPr>
        <w:t>Lo que se robustece con lo señalado por el artículo 1 de la Ley Municipal del Estado de México, que señala:</w:t>
      </w:r>
    </w:p>
    <w:p w:rsidR="00B40D3E" w:rsidRPr="00E5368A" w:rsidRDefault="00B40D3E" w:rsidP="00B40D3E">
      <w:pPr>
        <w:shd w:val="clear" w:color="auto" w:fill="FFFFFF" w:themeFill="background1"/>
        <w:spacing w:before="100" w:beforeAutospacing="1" w:after="100" w:afterAutospacing="1" w:line="360" w:lineRule="auto"/>
        <w:contextualSpacing/>
        <w:jc w:val="both"/>
        <w:rPr>
          <w:rFonts w:ascii="Palatino Linotype" w:hAnsi="Palatino Linotype"/>
          <w:sz w:val="24"/>
          <w:szCs w:val="24"/>
        </w:rPr>
      </w:pPr>
    </w:p>
    <w:p w:rsidR="00B40D3E" w:rsidRPr="00E5368A" w:rsidRDefault="00B40D3E" w:rsidP="00B40D3E">
      <w:pPr>
        <w:shd w:val="clear" w:color="auto" w:fill="FFFFFF" w:themeFill="background1"/>
        <w:spacing w:before="100" w:beforeAutospacing="1" w:after="100" w:afterAutospacing="1"/>
        <w:ind w:left="993" w:right="758"/>
        <w:jc w:val="both"/>
        <w:rPr>
          <w:rFonts w:ascii="Palatino Linotype" w:hAnsi="Palatino Linotype"/>
          <w:i/>
          <w:sz w:val="24"/>
          <w:szCs w:val="24"/>
        </w:rPr>
      </w:pPr>
      <w:r w:rsidRPr="00E5368A">
        <w:rPr>
          <w:rFonts w:ascii="Palatino Linotype" w:hAnsi="Palatino Linotype"/>
          <w:b/>
          <w:i/>
          <w:sz w:val="24"/>
          <w:szCs w:val="24"/>
        </w:rPr>
        <w:t>“Artículo 1.-</w:t>
      </w:r>
      <w:r w:rsidRPr="00E5368A">
        <w:rPr>
          <w:rFonts w:ascii="Palatino Linotype" w:hAnsi="Palatino Linotype"/>
          <w:i/>
          <w:sz w:val="24"/>
          <w:szCs w:val="24"/>
        </w:rPr>
        <w:t xml:space="preserve"> Esta Ley es de interés público y tiene por objeto regular las bases para la integración y organización del territorio, la población, el gobierno y la administración pública municipales. </w:t>
      </w:r>
    </w:p>
    <w:p w:rsidR="00B40D3E" w:rsidRPr="00E5368A" w:rsidRDefault="00B40D3E" w:rsidP="00B40D3E">
      <w:pPr>
        <w:shd w:val="clear" w:color="auto" w:fill="FFFFFF" w:themeFill="background1"/>
        <w:spacing w:before="100" w:beforeAutospacing="1" w:after="100" w:afterAutospacing="1"/>
        <w:ind w:left="993" w:right="758"/>
        <w:jc w:val="both"/>
        <w:rPr>
          <w:rFonts w:ascii="Palatino Linotype" w:hAnsi="Palatino Linotype"/>
          <w:b/>
          <w:i/>
          <w:sz w:val="24"/>
          <w:szCs w:val="24"/>
        </w:rPr>
      </w:pPr>
      <w:r w:rsidRPr="00E5368A">
        <w:rPr>
          <w:rFonts w:ascii="Palatino Linotype" w:hAnsi="Palatino Linotype"/>
          <w:b/>
          <w:i/>
          <w:sz w:val="24"/>
          <w:szCs w:val="24"/>
        </w:rPr>
        <w:t>El municipio libre es la base de la división territorial y de la organización política del Estado, investido de personalidad jurídica propia, integrado por una comunidad establecida en un territorio, con un gobierno autónomo en su régimen interior y en la administración de su hacienda pública, en términos del Artículo 115 de la Constitución Política de los Estados Unidos Mexicanos.” (sic)</w:t>
      </w:r>
    </w:p>
    <w:p w:rsidR="00AE547F" w:rsidRPr="00E5368A" w:rsidRDefault="00B40D3E" w:rsidP="00AE547F">
      <w:pPr>
        <w:numPr>
          <w:ilvl w:val="0"/>
          <w:numId w:val="1"/>
        </w:numPr>
        <w:spacing w:after="0" w:line="360" w:lineRule="auto"/>
        <w:ind w:left="0" w:right="49" w:firstLine="0"/>
        <w:contextualSpacing/>
        <w:jc w:val="both"/>
        <w:rPr>
          <w:rFonts w:ascii="Palatino Linotype" w:hAnsi="Palatino Linotype"/>
          <w:sz w:val="24"/>
          <w:szCs w:val="24"/>
        </w:rPr>
      </w:pPr>
      <w:r w:rsidRPr="00E5368A">
        <w:rPr>
          <w:rFonts w:ascii="Palatino Linotype" w:hAnsi="Palatino Linotype"/>
          <w:sz w:val="24"/>
          <w:szCs w:val="24"/>
        </w:rPr>
        <w:lastRenderedPageBreak/>
        <w:t>Por lo que se precisa la existencia de elementos objetivos que permiten demostrar la relevancia del asunto por virtud de tratarse de municipios que son conocidos por todos, es decir, son entes públicos ya que su esencia es realizar actividades de interés público.</w:t>
      </w:r>
    </w:p>
    <w:p w:rsidR="00AE547F" w:rsidRPr="00E5368A" w:rsidRDefault="00AE547F" w:rsidP="00AE547F">
      <w:pPr>
        <w:spacing w:after="0" w:line="360" w:lineRule="auto"/>
        <w:ind w:right="49"/>
        <w:contextualSpacing/>
        <w:jc w:val="both"/>
        <w:rPr>
          <w:rFonts w:ascii="Palatino Linotype" w:hAnsi="Palatino Linotype"/>
          <w:sz w:val="24"/>
          <w:szCs w:val="24"/>
        </w:rPr>
      </w:pPr>
    </w:p>
    <w:p w:rsidR="00AE547F" w:rsidRPr="00E5368A" w:rsidRDefault="00B40D3E" w:rsidP="00AE547F">
      <w:pPr>
        <w:numPr>
          <w:ilvl w:val="0"/>
          <w:numId w:val="1"/>
        </w:numPr>
        <w:spacing w:after="0" w:line="360" w:lineRule="auto"/>
        <w:ind w:left="0" w:right="49" w:firstLine="0"/>
        <w:contextualSpacing/>
        <w:jc w:val="both"/>
        <w:rPr>
          <w:rFonts w:ascii="Palatino Linotype" w:hAnsi="Palatino Linotype"/>
          <w:sz w:val="24"/>
          <w:szCs w:val="24"/>
        </w:rPr>
      </w:pPr>
      <w:r w:rsidRPr="00E5368A">
        <w:rPr>
          <w:rFonts w:ascii="Palatino Linotype" w:hAnsi="Palatino Linotype" w:cs="Arial"/>
          <w:sz w:val="24"/>
          <w:szCs w:val="24"/>
        </w:rPr>
        <w:t>En tal contexto, la única forma que tiene la ciudadanía en general de constatar el buen funcionamiento y actuar de la Comisión</w:t>
      </w:r>
      <w:r w:rsidRPr="00E5368A">
        <w:rPr>
          <w:rFonts w:ascii="Palatino Linotype" w:eastAsia="Cambria" w:hAnsi="Palatino Linotype"/>
          <w:sz w:val="24"/>
          <w:szCs w:val="24"/>
        </w:rPr>
        <w:t xml:space="preserve"> de Límites del Gobierno del Estado de México así como </w:t>
      </w:r>
      <w:r w:rsidR="00EA318D" w:rsidRPr="00E5368A">
        <w:rPr>
          <w:rFonts w:ascii="Palatino Linotype" w:eastAsia="Cambria" w:hAnsi="Palatino Linotype"/>
          <w:sz w:val="24"/>
          <w:szCs w:val="24"/>
        </w:rPr>
        <w:t>el</w:t>
      </w:r>
      <w:r w:rsidRPr="00E5368A">
        <w:rPr>
          <w:rFonts w:ascii="Palatino Linotype" w:eastAsia="Cambria" w:hAnsi="Palatino Linotype"/>
          <w:sz w:val="24"/>
          <w:szCs w:val="24"/>
        </w:rPr>
        <w:t xml:space="preserve"> </w:t>
      </w:r>
      <w:r w:rsidR="00EA318D" w:rsidRPr="00E5368A">
        <w:rPr>
          <w:rFonts w:ascii="Palatino Linotype" w:eastAsia="Cambria" w:hAnsi="Palatino Linotype"/>
          <w:sz w:val="24"/>
          <w:szCs w:val="24"/>
        </w:rPr>
        <w:t>Ayuntamiento</w:t>
      </w:r>
      <w:r w:rsidRPr="00E5368A">
        <w:rPr>
          <w:rFonts w:ascii="Palatino Linotype" w:eastAsia="Cambria" w:hAnsi="Palatino Linotype"/>
          <w:sz w:val="24"/>
          <w:szCs w:val="24"/>
        </w:rPr>
        <w:t xml:space="preserve"> de Teoloyucan</w:t>
      </w:r>
      <w:r w:rsidRPr="00E5368A">
        <w:rPr>
          <w:rFonts w:ascii="Palatino Linotype" w:hAnsi="Palatino Linotype" w:cs="Arial"/>
          <w:sz w:val="24"/>
          <w:szCs w:val="24"/>
        </w:rPr>
        <w:t xml:space="preserve">, es accediendo a esta actuación de dicha autoridad mediante el derecho de acceso a la información pública, lo que le permitirá valorar el desempeño y actuar </w:t>
      </w:r>
      <w:r w:rsidR="00EA318D" w:rsidRPr="00E5368A">
        <w:rPr>
          <w:rFonts w:ascii="Palatino Linotype" w:hAnsi="Palatino Linotype" w:cs="Arial"/>
          <w:sz w:val="24"/>
          <w:szCs w:val="24"/>
        </w:rPr>
        <w:t>en los expedientes</w:t>
      </w:r>
      <w:r w:rsidRPr="00E5368A">
        <w:rPr>
          <w:rFonts w:ascii="Palatino Linotype" w:eastAsia="Cambria" w:hAnsi="Palatino Linotype"/>
          <w:sz w:val="24"/>
          <w:szCs w:val="24"/>
        </w:rPr>
        <w:t xml:space="preserve"> que contiene</w:t>
      </w:r>
      <w:r w:rsidR="00EA318D" w:rsidRPr="00E5368A">
        <w:rPr>
          <w:rFonts w:ascii="Palatino Linotype" w:eastAsia="Cambria" w:hAnsi="Palatino Linotype"/>
          <w:sz w:val="24"/>
          <w:szCs w:val="24"/>
        </w:rPr>
        <w:t>n información relacionada</w:t>
      </w:r>
      <w:r w:rsidRPr="00E5368A">
        <w:rPr>
          <w:rFonts w:ascii="Palatino Linotype" w:eastAsia="Cambria" w:hAnsi="Palatino Linotype"/>
          <w:sz w:val="24"/>
          <w:szCs w:val="24"/>
        </w:rPr>
        <w:t xml:space="preserve"> con los conflictos por límites territoriales del municipio de Teoloyucan</w:t>
      </w:r>
      <w:r w:rsidRPr="00E5368A">
        <w:rPr>
          <w:rFonts w:ascii="Palatino Linotype" w:hAnsi="Palatino Linotype" w:cs="Arial"/>
          <w:sz w:val="24"/>
          <w:szCs w:val="24"/>
        </w:rPr>
        <w:t xml:space="preserve">, al verse involucrados entes públicos. </w:t>
      </w:r>
    </w:p>
    <w:p w:rsidR="00AE547F" w:rsidRPr="00E5368A" w:rsidRDefault="00AE547F" w:rsidP="00AE547F">
      <w:pPr>
        <w:spacing w:after="0" w:line="360" w:lineRule="auto"/>
        <w:ind w:right="49"/>
        <w:contextualSpacing/>
        <w:jc w:val="both"/>
        <w:rPr>
          <w:rFonts w:ascii="Palatino Linotype" w:hAnsi="Palatino Linotype"/>
          <w:sz w:val="24"/>
          <w:szCs w:val="24"/>
        </w:rPr>
      </w:pPr>
    </w:p>
    <w:p w:rsidR="00AE547F" w:rsidRPr="00E5368A" w:rsidRDefault="00B40D3E" w:rsidP="00AE547F">
      <w:pPr>
        <w:numPr>
          <w:ilvl w:val="0"/>
          <w:numId w:val="1"/>
        </w:numPr>
        <w:spacing w:after="0" w:line="360" w:lineRule="auto"/>
        <w:ind w:left="0" w:right="49" w:firstLine="0"/>
        <w:contextualSpacing/>
        <w:jc w:val="both"/>
        <w:rPr>
          <w:rFonts w:ascii="Palatino Linotype" w:hAnsi="Palatino Linotype"/>
          <w:sz w:val="24"/>
          <w:szCs w:val="24"/>
        </w:rPr>
      </w:pPr>
      <w:r w:rsidRPr="00E5368A">
        <w:rPr>
          <w:rFonts w:ascii="Palatino Linotype" w:hAnsi="Palatino Linotype"/>
          <w:sz w:val="24"/>
          <w:szCs w:val="24"/>
        </w:rPr>
        <w:t xml:space="preserve">Ante este panorama, es que se considera que existe un inminente interés público de conocer el expediente que contiene el conflicto por límites territoriales del </w:t>
      </w:r>
      <w:r w:rsidRPr="00E5368A">
        <w:rPr>
          <w:rFonts w:ascii="Palatino Linotype" w:eastAsia="Cambria" w:hAnsi="Palatino Linotype"/>
          <w:sz w:val="24"/>
          <w:szCs w:val="24"/>
        </w:rPr>
        <w:t>municipio de Teoloyucan como toda la documentación relacionada</w:t>
      </w:r>
      <w:r w:rsidRPr="00E5368A">
        <w:rPr>
          <w:rFonts w:ascii="Palatino Linotype" w:hAnsi="Palatino Linotype"/>
          <w:sz w:val="24"/>
          <w:szCs w:val="24"/>
        </w:rPr>
        <w:t xml:space="preserve">, pues el permitir el acceso a la misma fomentaría la transparencia de las actividades de la </w:t>
      </w:r>
      <w:r w:rsidRPr="00E5368A">
        <w:rPr>
          <w:rFonts w:ascii="Palatino Linotype" w:hAnsi="Palatino Linotype" w:cs="Arial"/>
          <w:sz w:val="24"/>
          <w:szCs w:val="24"/>
        </w:rPr>
        <w:t>Comisión</w:t>
      </w:r>
      <w:r w:rsidRPr="00E5368A">
        <w:rPr>
          <w:rFonts w:ascii="Palatino Linotype" w:eastAsia="Cambria" w:hAnsi="Palatino Linotype"/>
          <w:sz w:val="24"/>
          <w:szCs w:val="24"/>
        </w:rPr>
        <w:t xml:space="preserve"> de Límites del Gobier</w:t>
      </w:r>
      <w:r w:rsidR="00EA318D" w:rsidRPr="00E5368A">
        <w:rPr>
          <w:rFonts w:ascii="Palatino Linotype" w:eastAsia="Cambria" w:hAnsi="Palatino Linotype"/>
          <w:sz w:val="24"/>
          <w:szCs w:val="24"/>
        </w:rPr>
        <w:t>no del Estado de México como del Ayuntamiento</w:t>
      </w:r>
      <w:r w:rsidRPr="00E5368A">
        <w:rPr>
          <w:rFonts w:ascii="Palatino Linotype" w:eastAsia="Cambria" w:hAnsi="Palatino Linotype"/>
          <w:sz w:val="24"/>
          <w:szCs w:val="24"/>
        </w:rPr>
        <w:t xml:space="preserve"> de Teoloyucan</w:t>
      </w:r>
      <w:r w:rsidRPr="00E5368A">
        <w:rPr>
          <w:rFonts w:ascii="Palatino Linotype" w:hAnsi="Palatino Linotype"/>
          <w:sz w:val="24"/>
          <w:szCs w:val="24"/>
        </w:rPr>
        <w:t>, promoviendo de manera implícita la responsabilidad de los funcionarios sobre su gestión pública, es decir, se  considera  que el derecho  de  acceso  a  la información  es  el  medio que colma el principio de  idoneidad  para  la  rendición  de  cuentas  por  parte  de  la autoridad  sobre  la  efectiva  investigación  de  hechos  que  son  de  la  más  alta relevancia, al estar relacionados  con el quehacer  público y el desempeño de los servidores públicos.</w:t>
      </w:r>
    </w:p>
    <w:p w:rsidR="00AE547F" w:rsidRPr="00E5368A" w:rsidRDefault="00AE547F" w:rsidP="00AE547F">
      <w:pPr>
        <w:spacing w:after="0" w:line="360" w:lineRule="auto"/>
        <w:ind w:right="49"/>
        <w:contextualSpacing/>
        <w:jc w:val="both"/>
        <w:rPr>
          <w:rFonts w:ascii="Palatino Linotype" w:hAnsi="Palatino Linotype"/>
          <w:sz w:val="24"/>
          <w:szCs w:val="24"/>
        </w:rPr>
      </w:pPr>
    </w:p>
    <w:p w:rsidR="00B40D3E" w:rsidRPr="00E5368A" w:rsidRDefault="00B40D3E" w:rsidP="00AE547F">
      <w:pPr>
        <w:numPr>
          <w:ilvl w:val="0"/>
          <w:numId w:val="1"/>
        </w:numPr>
        <w:spacing w:after="0" w:line="360" w:lineRule="auto"/>
        <w:ind w:left="0" w:right="49" w:firstLine="0"/>
        <w:contextualSpacing/>
        <w:jc w:val="both"/>
        <w:rPr>
          <w:rFonts w:ascii="Palatino Linotype" w:hAnsi="Palatino Linotype"/>
          <w:sz w:val="24"/>
          <w:szCs w:val="24"/>
        </w:rPr>
      </w:pPr>
      <w:r w:rsidRPr="00E5368A">
        <w:rPr>
          <w:rFonts w:ascii="Palatino Linotype" w:hAnsi="Palatino Linotype" w:cs="Arial"/>
          <w:sz w:val="24"/>
          <w:szCs w:val="24"/>
        </w:rPr>
        <w:t>Con base en lo anterior, se considera que el principio que se debe adoptar en el presente asunto es el que subyace en el derecho fundamental de acceso a la información, puesto que a través de éste se busca no sólo satisfacer un interés individual, sino la necesidad de la colectividad de estar en posibilidad de evaluar el desempeño de las autoridades, en el caso de mérito.</w:t>
      </w:r>
      <w:r w:rsidRPr="00E5368A">
        <w:rPr>
          <w:rFonts w:ascii="Palatino Linotype" w:hAnsi="Palatino Linotype" w:cs="Arial"/>
          <w:b/>
          <w:sz w:val="24"/>
          <w:szCs w:val="24"/>
        </w:rPr>
        <w:t xml:space="preserve"> </w:t>
      </w:r>
    </w:p>
    <w:p w:rsidR="00B40D3E" w:rsidRPr="00E5368A" w:rsidRDefault="00B40D3E" w:rsidP="00B40D3E">
      <w:pPr>
        <w:pStyle w:val="Prrafodelista"/>
        <w:numPr>
          <w:ilvl w:val="0"/>
          <w:numId w:val="36"/>
        </w:numPr>
        <w:shd w:val="clear" w:color="auto" w:fill="FFFFFF" w:themeFill="background1"/>
        <w:spacing w:before="100" w:beforeAutospacing="1" w:after="100" w:afterAutospacing="1"/>
        <w:jc w:val="both"/>
        <w:rPr>
          <w:rFonts w:ascii="Palatino Linotype" w:hAnsi="Palatino Linotype"/>
        </w:rPr>
      </w:pPr>
      <w:r w:rsidRPr="00E5368A">
        <w:rPr>
          <w:rFonts w:ascii="Palatino Linotype" w:hAnsi="Palatino Linotype"/>
        </w:rPr>
        <w:t xml:space="preserve">Análisis de la segunda grada de la ponderación: Necesidad. </w:t>
      </w:r>
    </w:p>
    <w:p w:rsidR="00B40D3E" w:rsidRPr="00E5368A" w:rsidRDefault="00B40D3E" w:rsidP="00AE547F">
      <w:pPr>
        <w:numPr>
          <w:ilvl w:val="0"/>
          <w:numId w:val="1"/>
        </w:numPr>
        <w:spacing w:after="0" w:line="360" w:lineRule="auto"/>
        <w:ind w:left="0" w:right="49" w:firstLine="0"/>
        <w:contextualSpacing/>
        <w:jc w:val="both"/>
        <w:rPr>
          <w:rFonts w:ascii="Palatino Linotype" w:hAnsi="Palatino Linotype"/>
          <w:sz w:val="24"/>
          <w:szCs w:val="24"/>
        </w:rPr>
      </w:pPr>
      <w:r w:rsidRPr="00E5368A">
        <w:rPr>
          <w:rFonts w:ascii="Palatino Linotype" w:hAnsi="Palatino Linotype"/>
          <w:sz w:val="24"/>
          <w:szCs w:val="24"/>
        </w:rPr>
        <w:t>Nuestra carta magna, así como diversos ordenamientos reconocen los principios bajo los cuales deben regirse los procedimientos administrativos, como lo es el principio de publicidad que implica el deber del dictaminador de procurar que el proceso se desarrolle con conocimiento público, es decir, se admite la posibilidad de que el desarrollo general del proceso y determinados actos procesales sean de conocimiento de cualquier interesado, este principio constituye una garantía de la administración de la justicia, a fin de demostrar que no existe algo escondido en el proceso, que preste a suspicacias de las partes o duda en cuanto a la imparcialidad de la autoridad señalada.</w:t>
      </w:r>
    </w:p>
    <w:p w:rsidR="00AE547F" w:rsidRPr="00E5368A" w:rsidRDefault="00AE547F" w:rsidP="00AE547F">
      <w:pPr>
        <w:spacing w:after="0" w:line="360" w:lineRule="auto"/>
        <w:ind w:right="49"/>
        <w:contextualSpacing/>
        <w:jc w:val="both"/>
        <w:rPr>
          <w:rFonts w:ascii="Palatino Linotype" w:hAnsi="Palatino Linotype"/>
          <w:sz w:val="24"/>
          <w:szCs w:val="24"/>
        </w:rPr>
      </w:pPr>
    </w:p>
    <w:p w:rsidR="00B40D3E" w:rsidRPr="00E5368A" w:rsidRDefault="00B40D3E" w:rsidP="00AE547F">
      <w:pPr>
        <w:numPr>
          <w:ilvl w:val="0"/>
          <w:numId w:val="1"/>
        </w:numPr>
        <w:spacing w:after="0" w:line="360" w:lineRule="auto"/>
        <w:ind w:left="0" w:right="49" w:firstLine="0"/>
        <w:contextualSpacing/>
        <w:jc w:val="both"/>
        <w:rPr>
          <w:rFonts w:ascii="Palatino Linotype" w:hAnsi="Palatino Linotype"/>
          <w:color w:val="FF0000"/>
          <w:sz w:val="24"/>
          <w:szCs w:val="24"/>
        </w:rPr>
      </w:pPr>
      <w:r w:rsidRPr="00E5368A">
        <w:rPr>
          <w:rFonts w:ascii="Palatino Linotype" w:hAnsi="Palatino Linotype"/>
          <w:sz w:val="24"/>
          <w:szCs w:val="24"/>
        </w:rPr>
        <w:t xml:space="preserve">En este sentido, la  Corte Interamericana de Derechos Humanos al resolver el </w:t>
      </w:r>
      <w:r w:rsidRPr="00E5368A">
        <w:rPr>
          <w:rFonts w:ascii="Palatino Linotype" w:hAnsi="Palatino Linotype"/>
          <w:i/>
          <w:sz w:val="24"/>
          <w:szCs w:val="24"/>
        </w:rPr>
        <w:t>Caso Claude Reyes y otros vs. Chile</w:t>
      </w:r>
      <w:r w:rsidRPr="00E5368A">
        <w:rPr>
          <w:rStyle w:val="Refdenotaalpie"/>
          <w:rFonts w:ascii="Palatino Linotype" w:hAnsi="Palatino Linotype"/>
          <w:sz w:val="24"/>
          <w:szCs w:val="24"/>
        </w:rPr>
        <w:footnoteReference w:id="4"/>
      </w:r>
      <w:r w:rsidRPr="00E5368A">
        <w:rPr>
          <w:rFonts w:ascii="Palatino Linotype" w:hAnsi="Palatino Linotype"/>
          <w:sz w:val="24"/>
          <w:szCs w:val="24"/>
        </w:rPr>
        <w:t xml:space="preserve">, estimó que el actuar del Estado debe encontrarse regido por los principios de publicidad y transparencia en la gestión pública haciendo posible que las personas que se encuentran bajo su jurisdicción ejerzan el control democrático de las gestiones estatales, de forma tal que, puedan </w:t>
      </w:r>
      <w:r w:rsidRPr="00E5368A">
        <w:rPr>
          <w:rFonts w:ascii="Palatino Linotype" w:hAnsi="Palatino Linotype"/>
          <w:sz w:val="24"/>
          <w:szCs w:val="24"/>
        </w:rPr>
        <w:lastRenderedPageBreak/>
        <w:t>cuestionar, indagar y considerar si se está dando un adecuado cumplimiento de las funciones públicas.</w:t>
      </w:r>
    </w:p>
    <w:p w:rsidR="00AE547F" w:rsidRPr="00E5368A" w:rsidRDefault="00AE547F" w:rsidP="00AE547F">
      <w:pPr>
        <w:spacing w:after="0" w:line="360" w:lineRule="auto"/>
        <w:ind w:right="49"/>
        <w:contextualSpacing/>
        <w:jc w:val="both"/>
        <w:rPr>
          <w:rFonts w:ascii="Palatino Linotype" w:hAnsi="Palatino Linotype"/>
          <w:color w:val="FF0000"/>
          <w:sz w:val="24"/>
          <w:szCs w:val="24"/>
        </w:rPr>
      </w:pPr>
    </w:p>
    <w:p w:rsidR="00AE547F" w:rsidRPr="00E5368A" w:rsidRDefault="00B40D3E" w:rsidP="00AE547F">
      <w:pPr>
        <w:numPr>
          <w:ilvl w:val="0"/>
          <w:numId w:val="1"/>
        </w:numPr>
        <w:spacing w:after="0" w:line="360" w:lineRule="auto"/>
        <w:ind w:left="0" w:right="49" w:firstLine="0"/>
        <w:contextualSpacing/>
        <w:jc w:val="both"/>
        <w:rPr>
          <w:rFonts w:ascii="Palatino Linotype" w:hAnsi="Palatino Linotype"/>
          <w:color w:val="FF0000"/>
          <w:sz w:val="24"/>
          <w:szCs w:val="24"/>
        </w:rPr>
      </w:pPr>
      <w:r w:rsidRPr="00E5368A">
        <w:rPr>
          <w:rFonts w:ascii="Palatino Linotype" w:hAnsi="Palatino Linotype" w:cs="Arial"/>
          <w:sz w:val="24"/>
          <w:szCs w:val="24"/>
        </w:rPr>
        <w:t xml:space="preserve">Así, la divulgación de la información en poder del Estado, que sea de interés público, juega un rol muy importante en una sociedad democrática, pues habilita a la sociedad civil para controlar las acciones del gobierno a quien ha confiado la protección de sus intereses, lo cual </w:t>
      </w:r>
      <w:r w:rsidRPr="00E5368A">
        <w:rPr>
          <w:rFonts w:ascii="Palatino Linotype" w:hAnsi="Palatino Linotype" w:cs="Arial"/>
          <w:b/>
          <w:sz w:val="24"/>
          <w:szCs w:val="24"/>
        </w:rPr>
        <w:t>es necesario para evitar abusos de los funcionarios gubernamentales, promover la rendición de cuentas y la transparencia dentro del Estado y permitir un debate público sólido e informado para asegurar la garantía de contar con recursos efectivos contra tales abusos.</w:t>
      </w:r>
    </w:p>
    <w:p w:rsidR="00AE547F" w:rsidRPr="00E5368A" w:rsidRDefault="00AE547F" w:rsidP="00AE547F">
      <w:pPr>
        <w:spacing w:after="0" w:line="360" w:lineRule="auto"/>
        <w:ind w:right="49"/>
        <w:contextualSpacing/>
        <w:jc w:val="both"/>
        <w:rPr>
          <w:rFonts w:ascii="Palatino Linotype" w:hAnsi="Palatino Linotype"/>
          <w:color w:val="FF0000"/>
          <w:sz w:val="24"/>
          <w:szCs w:val="24"/>
        </w:rPr>
      </w:pPr>
    </w:p>
    <w:p w:rsidR="00AE547F" w:rsidRPr="00E5368A" w:rsidRDefault="00B40D3E" w:rsidP="002E35B5">
      <w:pPr>
        <w:numPr>
          <w:ilvl w:val="0"/>
          <w:numId w:val="1"/>
        </w:numPr>
        <w:spacing w:after="0" w:line="360" w:lineRule="auto"/>
        <w:ind w:left="0" w:right="49" w:firstLine="0"/>
        <w:contextualSpacing/>
        <w:jc w:val="both"/>
        <w:rPr>
          <w:rFonts w:ascii="Palatino Linotype" w:hAnsi="Palatino Linotype"/>
          <w:color w:val="FF0000"/>
          <w:sz w:val="24"/>
          <w:szCs w:val="24"/>
        </w:rPr>
      </w:pPr>
      <w:r w:rsidRPr="00E5368A">
        <w:rPr>
          <w:rFonts w:ascii="Palatino Linotype" w:hAnsi="Palatino Linotype"/>
          <w:sz w:val="24"/>
          <w:szCs w:val="24"/>
        </w:rPr>
        <w:t xml:space="preserve">En este sentido, este Instituto observa que también se actualiza el principio de necesidad, ya que no existe un medio menos oneroso para lograr el fin constitucionalmente válido, en tanto que el ejercicio del derecho de acceso a la información es la única vía para que cualquier persona acceda </w:t>
      </w:r>
      <w:r w:rsidR="00EA318D" w:rsidRPr="00E5368A">
        <w:rPr>
          <w:rFonts w:ascii="Palatino Linotype" w:hAnsi="Palatino Linotype"/>
          <w:sz w:val="24"/>
          <w:szCs w:val="24"/>
        </w:rPr>
        <w:t>a la información solicitada, que en este caso lo son los acuerdos de fecha diecisiete de octubre de dos mil veintitrés dónde la Legislatura del Estado se declaró incompetente de seguir conociendo los diferendos limítrofes del Municipio de Teoloyucan incluidos sus anexos.</w:t>
      </w:r>
    </w:p>
    <w:p w:rsidR="00EA318D" w:rsidRPr="00E5368A" w:rsidRDefault="00EA318D" w:rsidP="00EA318D">
      <w:pPr>
        <w:spacing w:after="0" w:line="360" w:lineRule="auto"/>
        <w:ind w:right="49"/>
        <w:contextualSpacing/>
        <w:jc w:val="both"/>
        <w:rPr>
          <w:rFonts w:ascii="Palatino Linotype" w:hAnsi="Palatino Linotype"/>
          <w:color w:val="FF0000"/>
          <w:sz w:val="24"/>
          <w:szCs w:val="24"/>
        </w:rPr>
      </w:pPr>
    </w:p>
    <w:p w:rsidR="00AE547F" w:rsidRPr="00E5368A" w:rsidRDefault="00B40D3E" w:rsidP="00B40D3E">
      <w:pPr>
        <w:numPr>
          <w:ilvl w:val="0"/>
          <w:numId w:val="1"/>
        </w:numPr>
        <w:spacing w:after="0" w:line="360" w:lineRule="auto"/>
        <w:ind w:left="0" w:right="49" w:firstLine="0"/>
        <w:contextualSpacing/>
        <w:jc w:val="both"/>
        <w:rPr>
          <w:rFonts w:ascii="Palatino Linotype" w:hAnsi="Palatino Linotype"/>
          <w:color w:val="FF0000"/>
          <w:sz w:val="24"/>
          <w:szCs w:val="24"/>
        </w:rPr>
      </w:pPr>
      <w:r w:rsidRPr="00E5368A">
        <w:rPr>
          <w:rFonts w:ascii="Palatino Linotype" w:hAnsi="Palatino Linotype"/>
          <w:sz w:val="24"/>
          <w:szCs w:val="24"/>
        </w:rPr>
        <w:t>La necesidad de hacer pública el multicitado expediente deriva de la trascendencia social al involucrar entes públicos como quedó demostrado.</w:t>
      </w:r>
    </w:p>
    <w:p w:rsidR="00AE547F" w:rsidRPr="00E5368A" w:rsidRDefault="00AE547F" w:rsidP="00AE547F">
      <w:pPr>
        <w:spacing w:after="0" w:line="360" w:lineRule="auto"/>
        <w:ind w:right="49"/>
        <w:contextualSpacing/>
        <w:jc w:val="both"/>
        <w:rPr>
          <w:rFonts w:ascii="Palatino Linotype" w:hAnsi="Palatino Linotype"/>
          <w:color w:val="FF0000"/>
          <w:sz w:val="24"/>
          <w:szCs w:val="24"/>
        </w:rPr>
      </w:pPr>
    </w:p>
    <w:p w:rsidR="00B40D3E" w:rsidRPr="00E5368A" w:rsidRDefault="00B40D3E" w:rsidP="00EA318D">
      <w:pPr>
        <w:numPr>
          <w:ilvl w:val="0"/>
          <w:numId w:val="1"/>
        </w:numPr>
        <w:spacing w:after="0" w:line="360" w:lineRule="auto"/>
        <w:ind w:left="0" w:right="49" w:firstLine="0"/>
        <w:contextualSpacing/>
        <w:jc w:val="both"/>
        <w:rPr>
          <w:rFonts w:ascii="Palatino Linotype" w:hAnsi="Palatino Linotype"/>
          <w:color w:val="FF0000"/>
          <w:sz w:val="24"/>
          <w:szCs w:val="24"/>
        </w:rPr>
      </w:pPr>
      <w:r w:rsidRPr="00E5368A">
        <w:rPr>
          <w:rFonts w:ascii="Palatino Linotype" w:hAnsi="Palatino Linotype"/>
          <w:sz w:val="24"/>
          <w:szCs w:val="24"/>
        </w:rPr>
        <w:lastRenderedPageBreak/>
        <w:t xml:space="preserve">Así mismo, el acceso a la información </w:t>
      </w:r>
      <w:r w:rsidR="00EA318D" w:rsidRPr="00E5368A">
        <w:rPr>
          <w:rFonts w:ascii="Palatino Linotype" w:hAnsi="Palatino Linotype"/>
          <w:sz w:val="24"/>
          <w:szCs w:val="24"/>
        </w:rPr>
        <w:t>los acuerdos de fecha diecisiete de octubre de dos mil veintitrés dónde la Legislatura del Estado se declaró incompetente de seguir conociendo los diferendos limítrofes del Municipio de Teoloyucan incluidos sus anexos</w:t>
      </w:r>
      <w:r w:rsidRPr="00E5368A">
        <w:rPr>
          <w:rFonts w:ascii="Palatino Linotype" w:hAnsi="Palatino Linotype"/>
          <w:sz w:val="24"/>
          <w:szCs w:val="24"/>
        </w:rPr>
        <w:t xml:space="preserve">, es una aportación a la rendición de cuentas, que evidencia el actuar de la autoridad encarga del asunto </w:t>
      </w:r>
      <w:r w:rsidRPr="00E5368A">
        <w:rPr>
          <w:rFonts w:ascii="Palatino Linotype" w:eastAsia="Cambria" w:hAnsi="Palatino Linotype"/>
          <w:sz w:val="24"/>
          <w:szCs w:val="24"/>
        </w:rPr>
        <w:t xml:space="preserve">como del Poder Legislativo y </w:t>
      </w:r>
      <w:r w:rsidR="00EA318D" w:rsidRPr="00E5368A">
        <w:rPr>
          <w:rFonts w:ascii="Palatino Linotype" w:eastAsia="Cambria" w:hAnsi="Palatino Linotype"/>
          <w:sz w:val="24"/>
          <w:szCs w:val="24"/>
        </w:rPr>
        <w:t>el municipio involucrado</w:t>
      </w:r>
      <w:r w:rsidRPr="00E5368A">
        <w:rPr>
          <w:rFonts w:ascii="Palatino Linotype" w:eastAsia="Cambria" w:hAnsi="Palatino Linotype"/>
          <w:sz w:val="24"/>
          <w:szCs w:val="24"/>
        </w:rPr>
        <w:t>,</w:t>
      </w:r>
      <w:r w:rsidR="00EA318D" w:rsidRPr="00E5368A">
        <w:rPr>
          <w:rFonts w:ascii="Palatino Linotype" w:eastAsia="Cambria" w:hAnsi="Palatino Linotype"/>
          <w:sz w:val="24"/>
          <w:szCs w:val="24"/>
        </w:rPr>
        <w:t xml:space="preserve"> que en este caso lo es el </w:t>
      </w:r>
      <w:r w:rsidRPr="00E5368A">
        <w:rPr>
          <w:rFonts w:ascii="Palatino Linotype" w:eastAsia="Cambria" w:hAnsi="Palatino Linotype"/>
          <w:sz w:val="24"/>
          <w:szCs w:val="24"/>
        </w:rPr>
        <w:t xml:space="preserve"> </w:t>
      </w:r>
      <w:r w:rsidRPr="00E5368A">
        <w:rPr>
          <w:rFonts w:ascii="Palatino Linotype" w:hAnsi="Palatino Linotype"/>
          <w:sz w:val="24"/>
          <w:szCs w:val="24"/>
        </w:rPr>
        <w:t>en términos de su competencia y atribuciones.</w:t>
      </w:r>
    </w:p>
    <w:p w:rsidR="00B40D3E" w:rsidRPr="00E5368A" w:rsidRDefault="00B40D3E" w:rsidP="00B40D3E">
      <w:pPr>
        <w:pStyle w:val="Prrafodelista"/>
        <w:numPr>
          <w:ilvl w:val="0"/>
          <w:numId w:val="36"/>
        </w:numPr>
        <w:shd w:val="clear" w:color="auto" w:fill="FFFFFF" w:themeFill="background1"/>
        <w:spacing w:before="100" w:beforeAutospacing="1" w:after="100" w:afterAutospacing="1" w:line="360" w:lineRule="auto"/>
        <w:jc w:val="both"/>
        <w:rPr>
          <w:rFonts w:ascii="Palatino Linotype" w:hAnsi="Palatino Linotype" w:cs="Arial"/>
        </w:rPr>
      </w:pPr>
      <w:r w:rsidRPr="00E5368A">
        <w:rPr>
          <w:rFonts w:ascii="Palatino Linotype" w:hAnsi="Palatino Linotype"/>
        </w:rPr>
        <w:t>Finalmente, el análisis de la tercera grada de la ponderación: Proporcionalidad</w:t>
      </w:r>
    </w:p>
    <w:p w:rsidR="00AE547F" w:rsidRPr="00E5368A" w:rsidRDefault="00B40D3E" w:rsidP="00B40D3E">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t>El divulgar una decisión tomada por una autoridad derivado de un procedimiento que no ha concluido, pero que le reviste el carácter de interés público, permite conocer de alguna forma los elementos tomados en consideración por éste para resolver en tal o cual sentido u otorgar el beneficio del derecho a tal o cual persona y, por ende, se justifica en razón de que se satisface el interés público de valorar el desempeño, la eficiencia y eficacia del dictaminador en el caso que se analiza.</w:t>
      </w:r>
    </w:p>
    <w:p w:rsidR="00AE547F" w:rsidRPr="00E5368A" w:rsidRDefault="00AE547F" w:rsidP="00AE547F">
      <w:pPr>
        <w:spacing w:after="0" w:line="360" w:lineRule="auto"/>
        <w:ind w:right="49"/>
        <w:contextualSpacing/>
        <w:jc w:val="both"/>
        <w:rPr>
          <w:rFonts w:ascii="Palatino Linotype" w:hAnsi="Palatino Linotype" w:cs="Arial"/>
          <w:sz w:val="24"/>
          <w:szCs w:val="24"/>
        </w:rPr>
      </w:pPr>
    </w:p>
    <w:p w:rsidR="00AE547F" w:rsidRPr="00E5368A" w:rsidRDefault="00B40D3E" w:rsidP="00AE547F">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sz w:val="24"/>
          <w:szCs w:val="24"/>
        </w:rPr>
        <w:t xml:space="preserve">Luego entonces, es posible advertir un margen de beneficio mayor al favorecer el derecho de acceso a la información, respecto de la secrecía </w:t>
      </w:r>
      <w:r w:rsidR="0069152E" w:rsidRPr="00E5368A">
        <w:rPr>
          <w:rFonts w:ascii="Palatino Linotype" w:hAnsi="Palatino Linotype"/>
          <w:sz w:val="24"/>
          <w:szCs w:val="24"/>
        </w:rPr>
        <w:t>de</w:t>
      </w:r>
      <w:r w:rsidR="00EA318D" w:rsidRPr="00E5368A">
        <w:rPr>
          <w:rFonts w:ascii="Palatino Linotype" w:hAnsi="Palatino Linotype"/>
          <w:sz w:val="24"/>
          <w:szCs w:val="24"/>
        </w:rPr>
        <w:t xml:space="preserve"> </w:t>
      </w:r>
      <w:r w:rsidR="0069152E" w:rsidRPr="00E5368A">
        <w:rPr>
          <w:rFonts w:ascii="Palatino Linotype" w:hAnsi="Palatino Linotype"/>
          <w:sz w:val="24"/>
          <w:szCs w:val="24"/>
        </w:rPr>
        <w:t>la información solicitada</w:t>
      </w:r>
      <w:r w:rsidRPr="00E5368A">
        <w:rPr>
          <w:rFonts w:ascii="Palatino Linotype" w:hAnsi="Palatino Linotype"/>
          <w:sz w:val="24"/>
          <w:szCs w:val="24"/>
        </w:rPr>
        <w:t>, pues favorece la rendición de cuentas a los ciudadanos, de manera que pu</w:t>
      </w:r>
      <w:r w:rsidR="00EA318D" w:rsidRPr="00E5368A">
        <w:rPr>
          <w:rFonts w:ascii="Palatino Linotype" w:hAnsi="Palatino Linotype"/>
          <w:sz w:val="24"/>
          <w:szCs w:val="24"/>
        </w:rPr>
        <w:t>edan valorar el desempeño del Ayuntamiento</w:t>
      </w:r>
      <w:r w:rsidRPr="00E5368A">
        <w:rPr>
          <w:rFonts w:ascii="Palatino Linotype" w:hAnsi="Palatino Linotype"/>
          <w:sz w:val="24"/>
          <w:szCs w:val="24"/>
        </w:rPr>
        <w:t xml:space="preserve"> </w:t>
      </w:r>
      <w:r w:rsidRPr="00E5368A">
        <w:rPr>
          <w:rFonts w:ascii="Palatino Linotype" w:eastAsia="Cambria" w:hAnsi="Palatino Linotype"/>
          <w:sz w:val="24"/>
          <w:szCs w:val="24"/>
        </w:rPr>
        <w:t xml:space="preserve">de Teoloyucan, </w:t>
      </w:r>
      <w:r w:rsidRPr="00E5368A">
        <w:rPr>
          <w:rFonts w:ascii="Palatino Linotype" w:hAnsi="Palatino Linotype"/>
          <w:sz w:val="24"/>
          <w:szCs w:val="24"/>
        </w:rPr>
        <w:t xml:space="preserve">como de la </w:t>
      </w:r>
      <w:r w:rsidRPr="00E5368A">
        <w:rPr>
          <w:rFonts w:ascii="Palatino Linotype" w:hAnsi="Palatino Linotype" w:cs="Arial"/>
          <w:sz w:val="24"/>
          <w:szCs w:val="24"/>
        </w:rPr>
        <w:t>Comisión</w:t>
      </w:r>
      <w:r w:rsidRPr="00E5368A">
        <w:rPr>
          <w:rFonts w:ascii="Palatino Linotype" w:eastAsia="Cambria" w:hAnsi="Palatino Linotype"/>
          <w:sz w:val="24"/>
          <w:szCs w:val="24"/>
        </w:rPr>
        <w:t xml:space="preserve"> de Límites del Gobierno del Estado de México</w:t>
      </w:r>
      <w:r w:rsidRPr="00E5368A">
        <w:rPr>
          <w:rFonts w:ascii="Palatino Linotype" w:hAnsi="Palatino Linotype"/>
          <w:sz w:val="24"/>
          <w:szCs w:val="24"/>
        </w:rPr>
        <w:t xml:space="preserve"> y fortalece el escrutinio ciudadano sobre sus actividades sustantivas.</w:t>
      </w:r>
    </w:p>
    <w:p w:rsidR="00AE547F" w:rsidRPr="00E5368A" w:rsidRDefault="00AE547F" w:rsidP="00AE547F">
      <w:pPr>
        <w:spacing w:after="0" w:line="360" w:lineRule="auto"/>
        <w:ind w:right="49"/>
        <w:contextualSpacing/>
        <w:jc w:val="both"/>
        <w:rPr>
          <w:rFonts w:ascii="Palatino Linotype" w:hAnsi="Palatino Linotype" w:cs="Arial"/>
          <w:sz w:val="24"/>
          <w:szCs w:val="24"/>
        </w:rPr>
      </w:pPr>
    </w:p>
    <w:p w:rsidR="00AE547F" w:rsidRPr="00E5368A" w:rsidRDefault="00B40D3E" w:rsidP="00AE547F">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t xml:space="preserve">De tal suerte, que la intervención que subsume este ejercicio de ponderación apunta a la obtención de mayores efectos positivos para la sociedad y una afectación menor en el bien Jurídico de secrecía al expediente y anexos tomada por el Sujeto Obligado, favoreciendo el control ciudadano. </w:t>
      </w:r>
    </w:p>
    <w:p w:rsidR="00AE547F" w:rsidRPr="00E5368A" w:rsidRDefault="00AE547F" w:rsidP="00AE547F">
      <w:pPr>
        <w:spacing w:after="0" w:line="360" w:lineRule="auto"/>
        <w:ind w:right="49"/>
        <w:contextualSpacing/>
        <w:jc w:val="both"/>
        <w:rPr>
          <w:rFonts w:ascii="Palatino Linotype" w:hAnsi="Palatino Linotype" w:cs="Arial"/>
          <w:sz w:val="24"/>
          <w:szCs w:val="24"/>
        </w:rPr>
      </w:pPr>
    </w:p>
    <w:p w:rsidR="00B40D3E" w:rsidRPr="00E5368A" w:rsidRDefault="00B40D3E" w:rsidP="00AE547F">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t xml:space="preserve">En  resumen, si  bien la  información  requerida  es  considerada  como  de  acceso restringido, ya  que encuadra en alguna de  las excepciones  a  la  publicidad  de  la información  establecida  en  la  Ley   General   de  Transparencia  y  Acceso   a  la Información Pública, replicada en el artículo 140 de la ley local, al tratarse de información relacionada con motivos de interés público, es que procede publicidad, pues su difusión contribuirá tanto a garantizar el ejercicio de acceso a la información, como a favorecer la rendición de cuentas a los  ciudadanos, fortaleciendo el escrutinio ciudadano sobre sus actividades sustantivas, cumpliendo así con los ideales planteados en los  objetivos previstos en el artículo 2 de la Ley de Transparencia y Acceso a la información Pública del estado de México y Municipios. </w:t>
      </w:r>
    </w:p>
    <w:p w:rsidR="00663315" w:rsidRPr="00E5368A" w:rsidRDefault="00663315" w:rsidP="00663315">
      <w:pPr>
        <w:spacing w:after="0" w:line="360" w:lineRule="auto"/>
        <w:ind w:right="49"/>
        <w:contextualSpacing/>
        <w:jc w:val="both"/>
        <w:rPr>
          <w:rFonts w:ascii="Palatino Linotype" w:hAnsi="Palatino Linotype" w:cs="Arial"/>
          <w:sz w:val="24"/>
          <w:szCs w:val="24"/>
        </w:rPr>
      </w:pPr>
    </w:p>
    <w:p w:rsidR="00B40D3E" w:rsidRPr="00E5368A" w:rsidRDefault="00663315" w:rsidP="00B40D3E">
      <w:pPr>
        <w:numPr>
          <w:ilvl w:val="0"/>
          <w:numId w:val="1"/>
        </w:numPr>
        <w:spacing w:after="0" w:line="360" w:lineRule="auto"/>
        <w:ind w:left="0" w:right="49" w:firstLine="0"/>
        <w:contextualSpacing/>
        <w:jc w:val="both"/>
        <w:rPr>
          <w:rFonts w:ascii="Palatino Linotype" w:hAnsi="Palatino Linotype" w:cs="Arial"/>
          <w:sz w:val="24"/>
          <w:szCs w:val="24"/>
        </w:rPr>
      </w:pPr>
      <w:r w:rsidRPr="00E5368A">
        <w:rPr>
          <w:rFonts w:ascii="Palatino Linotype" w:hAnsi="Palatino Linotype" w:cs="Arial"/>
          <w:sz w:val="24"/>
          <w:szCs w:val="24"/>
        </w:rPr>
        <w:t xml:space="preserve">En conclusión, al ser documentos firmes que no vulneran </w:t>
      </w:r>
      <w:r w:rsidRPr="00E5368A">
        <w:rPr>
          <w:rFonts w:ascii="Palatino Linotype" w:eastAsia="Calibri" w:hAnsi="Palatino Linotype"/>
          <w:sz w:val="24"/>
          <w:szCs w:val="24"/>
        </w:rPr>
        <w:t>la conducción de los expedientes judiciales o de los procedimientos administrativos seguidos en forma de juicio, en tanto no hayan quedado firmes; y siendo información de interés público que abona a la rendición de cuentas y a la transparencia de los entes que en el intervienen,</w:t>
      </w:r>
      <w:r w:rsidRPr="00E5368A">
        <w:rPr>
          <w:rFonts w:ascii="Palatino Linotype" w:hAnsi="Palatino Linotype" w:cs="Arial"/>
          <w:sz w:val="24"/>
          <w:szCs w:val="24"/>
        </w:rPr>
        <w:t xml:space="preserve"> r</w:t>
      </w:r>
      <w:r w:rsidR="00B40D3E" w:rsidRPr="00E5368A">
        <w:rPr>
          <w:rFonts w:ascii="Palatino Linotype" w:hAnsi="Palatino Linotype" w:cs="Arial"/>
          <w:sz w:val="24"/>
          <w:szCs w:val="24"/>
        </w:rPr>
        <w:t xml:space="preserve">azones por la cuales el </w:t>
      </w:r>
      <w:r w:rsidR="00AE547F" w:rsidRPr="00E5368A">
        <w:rPr>
          <w:rFonts w:ascii="Palatino Linotype" w:hAnsi="Palatino Linotype" w:cs="Arial"/>
          <w:sz w:val="24"/>
          <w:szCs w:val="24"/>
        </w:rPr>
        <w:t>acuerdo núme</w:t>
      </w:r>
      <w:r w:rsidRPr="00E5368A">
        <w:rPr>
          <w:rFonts w:ascii="Palatino Linotype" w:hAnsi="Palatino Linotype" w:cs="Arial"/>
          <w:sz w:val="24"/>
          <w:szCs w:val="24"/>
        </w:rPr>
        <w:t>ro PLEGISLA/LX/CT/12ªext/2024</w:t>
      </w:r>
      <w:r w:rsidR="00AE547F" w:rsidRPr="00E5368A">
        <w:rPr>
          <w:rFonts w:ascii="Palatino Linotype" w:hAnsi="Palatino Linotype" w:cs="Arial"/>
          <w:sz w:val="24"/>
          <w:szCs w:val="24"/>
        </w:rPr>
        <w:t>/TERCER</w:t>
      </w:r>
      <w:r w:rsidRPr="00E5368A">
        <w:rPr>
          <w:rFonts w:ascii="Palatino Linotype" w:hAnsi="Palatino Linotype" w:cs="Arial"/>
          <w:sz w:val="24"/>
          <w:szCs w:val="24"/>
        </w:rPr>
        <w:t>O contenido en el Acta de la D</w:t>
      </w:r>
      <w:r w:rsidR="00B40D3E" w:rsidRPr="00E5368A">
        <w:rPr>
          <w:rFonts w:ascii="Palatino Linotype" w:hAnsi="Palatino Linotype" w:cs="Arial"/>
          <w:sz w:val="24"/>
          <w:szCs w:val="24"/>
        </w:rPr>
        <w:t xml:space="preserve">écima </w:t>
      </w:r>
      <w:r w:rsidR="00AE547F" w:rsidRPr="00E5368A">
        <w:rPr>
          <w:rFonts w:ascii="Palatino Linotype" w:hAnsi="Palatino Linotype" w:cs="Arial"/>
          <w:sz w:val="24"/>
          <w:szCs w:val="24"/>
        </w:rPr>
        <w:t>Segund</w:t>
      </w:r>
      <w:r w:rsidRPr="00E5368A">
        <w:rPr>
          <w:rFonts w:ascii="Palatino Linotype" w:hAnsi="Palatino Linotype" w:cs="Arial"/>
          <w:sz w:val="24"/>
          <w:szCs w:val="24"/>
        </w:rPr>
        <w:t>a Sesión E</w:t>
      </w:r>
      <w:r w:rsidR="00B40D3E" w:rsidRPr="00E5368A">
        <w:rPr>
          <w:rFonts w:ascii="Palatino Linotype" w:hAnsi="Palatino Linotype" w:cs="Arial"/>
          <w:sz w:val="24"/>
          <w:szCs w:val="24"/>
        </w:rPr>
        <w:t xml:space="preserve">xtraordinaria </w:t>
      </w:r>
      <w:r w:rsidRPr="00E5368A">
        <w:rPr>
          <w:rFonts w:ascii="Palatino Linotype" w:hAnsi="Palatino Linotype" w:cs="Arial"/>
          <w:sz w:val="24"/>
          <w:szCs w:val="24"/>
        </w:rPr>
        <w:t>2024</w:t>
      </w:r>
      <w:r w:rsidR="00B40D3E" w:rsidRPr="00E5368A">
        <w:rPr>
          <w:rFonts w:ascii="Palatino Linotype" w:hAnsi="Palatino Linotype"/>
          <w:sz w:val="24"/>
          <w:szCs w:val="24"/>
        </w:rPr>
        <w:t xml:space="preserve">, de fecha </w:t>
      </w:r>
      <w:r w:rsidR="00CC4F06" w:rsidRPr="00E5368A">
        <w:rPr>
          <w:rFonts w:ascii="Palatino Linotype" w:hAnsi="Palatino Linotype"/>
          <w:sz w:val="24"/>
          <w:szCs w:val="24"/>
        </w:rPr>
        <w:t>cinco de abril de dos mil veinticuatro</w:t>
      </w:r>
      <w:r w:rsidR="00B40D3E" w:rsidRPr="00E5368A">
        <w:rPr>
          <w:rFonts w:ascii="Palatino Linotype" w:hAnsi="Palatino Linotype"/>
          <w:sz w:val="24"/>
          <w:szCs w:val="24"/>
        </w:rPr>
        <w:t xml:space="preserve">, </w:t>
      </w:r>
      <w:r w:rsidR="00B40D3E" w:rsidRPr="00E5368A">
        <w:rPr>
          <w:rFonts w:ascii="Palatino Linotype" w:hAnsi="Palatino Linotype"/>
          <w:sz w:val="24"/>
          <w:szCs w:val="24"/>
        </w:rPr>
        <w:lastRenderedPageBreak/>
        <w:t>resulta improcedente en el presente caso en particular, por los motivos y fundamentos expuestos en el presente considerando; por consiguiente, lo dable es ordenar en térmi</w:t>
      </w:r>
      <w:r w:rsidR="00AE547F" w:rsidRPr="00E5368A">
        <w:rPr>
          <w:rFonts w:ascii="Palatino Linotype" w:hAnsi="Palatino Linotype"/>
          <w:sz w:val="24"/>
          <w:szCs w:val="24"/>
        </w:rPr>
        <w:t xml:space="preserve">nos del considerando quinto, los acuerdos de fecha diecisiete de octubre de dos mil veintitrés dónde la Legislatura del Estado se declaró incompetente de seguir conociendo los diferendos </w:t>
      </w:r>
      <w:r w:rsidR="00CC4F06" w:rsidRPr="00E5368A">
        <w:rPr>
          <w:rFonts w:ascii="Palatino Linotype" w:hAnsi="Palatino Linotype"/>
          <w:sz w:val="24"/>
          <w:szCs w:val="24"/>
        </w:rPr>
        <w:t>limítrofes del Municipio de Teoloyucan., con sus respectivos anexos.</w:t>
      </w:r>
    </w:p>
    <w:p w:rsidR="00B40D3E" w:rsidRPr="00E5368A" w:rsidRDefault="00B40D3E" w:rsidP="00B40D3E">
      <w:pPr>
        <w:spacing w:line="360" w:lineRule="auto"/>
        <w:jc w:val="both"/>
        <w:rPr>
          <w:rFonts w:ascii="Palatino Linotype" w:hAnsi="Palatino Linotype"/>
          <w:sz w:val="24"/>
          <w:szCs w:val="24"/>
        </w:rPr>
      </w:pPr>
    </w:p>
    <w:p w:rsidR="00B40D3E" w:rsidRPr="00E5368A" w:rsidRDefault="00B40D3E" w:rsidP="00CC4F06">
      <w:pPr>
        <w:numPr>
          <w:ilvl w:val="0"/>
          <w:numId w:val="1"/>
        </w:numPr>
        <w:spacing w:after="0" w:line="360" w:lineRule="auto"/>
        <w:ind w:left="0" w:right="49" w:firstLine="0"/>
        <w:contextualSpacing/>
        <w:jc w:val="both"/>
        <w:rPr>
          <w:rFonts w:ascii="Palatino Linotype" w:hAnsi="Palatino Linotype"/>
          <w:sz w:val="24"/>
          <w:szCs w:val="24"/>
        </w:rPr>
      </w:pPr>
      <w:r w:rsidRPr="00E5368A">
        <w:rPr>
          <w:rFonts w:ascii="Palatino Linotype" w:hAnsi="Palatino Linotype"/>
          <w:sz w:val="24"/>
          <w:szCs w:val="24"/>
        </w:rPr>
        <w:t xml:space="preserve">Lo anterior, en consideración a lo dispuesto por el Criterio número 17/17 emitido por entonces denominado IFAI, actualmente INAI, relacionado con los anexos de un documento, que a la letra establece: </w:t>
      </w:r>
    </w:p>
    <w:p w:rsidR="00B40D3E" w:rsidRPr="00E5368A" w:rsidRDefault="00B40D3E" w:rsidP="00B40D3E">
      <w:pPr>
        <w:shd w:val="clear" w:color="auto" w:fill="FFFFFF" w:themeFill="background1"/>
        <w:spacing w:before="100" w:beforeAutospacing="1" w:after="100" w:afterAutospacing="1"/>
        <w:ind w:left="993" w:right="758"/>
        <w:jc w:val="both"/>
        <w:rPr>
          <w:rFonts w:ascii="Palatino Linotype" w:hAnsi="Palatino Linotype"/>
          <w:i/>
          <w:sz w:val="24"/>
          <w:szCs w:val="24"/>
        </w:rPr>
      </w:pPr>
      <w:r w:rsidRPr="00E5368A">
        <w:rPr>
          <w:rFonts w:ascii="Palatino Linotype" w:hAnsi="Palatino Linotype"/>
          <w:i/>
          <w:sz w:val="24"/>
          <w:szCs w:val="24"/>
        </w:rPr>
        <w:t xml:space="preserve">“Anexos de los documentos solicitados. Los anexos de un documento se consideran parte integral del mismo. Por lo anterior, ante solicitudes de información relacionadas con documentos que incluyen anexos, los sujetos obligados deberán entregarlos, con excepción de aquellos casos en que el solicitante manifieste expresamente su interés de acceder únicamente al documento principal. </w:t>
      </w:r>
    </w:p>
    <w:p w:rsidR="00B40D3E" w:rsidRPr="00E5368A" w:rsidRDefault="00B40D3E" w:rsidP="00B40D3E">
      <w:pPr>
        <w:shd w:val="clear" w:color="auto" w:fill="FFFFFF" w:themeFill="background1"/>
        <w:spacing w:before="100" w:beforeAutospacing="1" w:after="100" w:afterAutospacing="1"/>
        <w:ind w:left="993" w:right="758"/>
        <w:jc w:val="both"/>
        <w:rPr>
          <w:rFonts w:ascii="Palatino Linotype" w:hAnsi="Palatino Linotype"/>
          <w:i/>
          <w:sz w:val="24"/>
          <w:szCs w:val="24"/>
        </w:rPr>
      </w:pPr>
      <w:r w:rsidRPr="00E5368A">
        <w:rPr>
          <w:rFonts w:ascii="Palatino Linotype" w:hAnsi="Palatino Linotype"/>
          <w:i/>
          <w:sz w:val="24"/>
          <w:szCs w:val="24"/>
        </w:rPr>
        <w:t>Resoluciones: • RRA 0483/17. Universidad Nacional Autónoma de México. 22 de febrero de 2017. Por unanimidad. Comisionado Ponente Joel Salas Suárez. • RRA 4503/16. Secretaría de Hacienda y Crédito Público. 01 de marzo de 2017. Por unanimidad. Comisionada Ponente Areli Cano Guadiana. • RRA 1639/17. Instituto Mexicano del Seguro Social. 19 de abril de 2017. Por unanimidad. Comisionado Ponente Francisco Javier Acuña Llamas.”</w:t>
      </w:r>
    </w:p>
    <w:p w:rsidR="00CC4F06" w:rsidRPr="00E5368A" w:rsidRDefault="00CC4F06" w:rsidP="00B40D3E">
      <w:pPr>
        <w:shd w:val="clear" w:color="auto" w:fill="FFFFFF" w:themeFill="background1"/>
        <w:spacing w:before="100" w:beforeAutospacing="1" w:after="100" w:afterAutospacing="1"/>
        <w:ind w:left="993" w:right="758"/>
        <w:jc w:val="both"/>
        <w:rPr>
          <w:rFonts w:ascii="Palatino Linotype" w:hAnsi="Palatino Linotype"/>
          <w:i/>
          <w:sz w:val="24"/>
          <w:szCs w:val="24"/>
        </w:rPr>
      </w:pPr>
    </w:p>
    <w:p w:rsidR="00CC4F06" w:rsidRPr="00E5368A" w:rsidRDefault="00CC4F06" w:rsidP="00CC4F06">
      <w:pPr>
        <w:pStyle w:val="Ttulo1"/>
        <w:rPr>
          <w:rFonts w:ascii="Palatino Linotype" w:eastAsia="Palatino Linotype" w:hAnsi="Palatino Linotype" w:cs="Palatino Linotype"/>
          <w:b/>
          <w:color w:val="000000"/>
          <w:sz w:val="24"/>
          <w:szCs w:val="24"/>
        </w:rPr>
      </w:pPr>
      <w:r w:rsidRPr="00E5368A">
        <w:rPr>
          <w:rFonts w:ascii="Palatino Linotype" w:eastAsia="Palatino Linotype" w:hAnsi="Palatino Linotype" w:cs="Palatino Linotype"/>
          <w:b/>
          <w:color w:val="000000"/>
          <w:sz w:val="24"/>
          <w:szCs w:val="24"/>
        </w:rPr>
        <w:t>QUINTO. De la versión pública.</w:t>
      </w:r>
    </w:p>
    <w:p w:rsidR="00CC4F06" w:rsidRPr="00E5368A" w:rsidRDefault="00CC4F06" w:rsidP="00CC4F06"/>
    <w:p w:rsidR="00CC4F06" w:rsidRPr="00E5368A" w:rsidRDefault="00CC4F06" w:rsidP="00CC4F06">
      <w:pPr>
        <w:pStyle w:val="Ttulo1"/>
        <w:numPr>
          <w:ilvl w:val="0"/>
          <w:numId w:val="28"/>
        </w:numPr>
        <w:tabs>
          <w:tab w:val="left" w:pos="284"/>
        </w:tabs>
        <w:spacing w:before="0" w:line="360" w:lineRule="auto"/>
        <w:ind w:left="0" w:firstLine="0"/>
        <w:rPr>
          <w:rFonts w:ascii="Palatino Linotype" w:eastAsia="Palatino Linotype" w:hAnsi="Palatino Linotype" w:cs="Palatino Linotype"/>
          <w:b/>
          <w:color w:val="000000"/>
          <w:sz w:val="24"/>
          <w:szCs w:val="24"/>
        </w:rPr>
      </w:pPr>
      <w:r w:rsidRPr="00E5368A">
        <w:rPr>
          <w:rFonts w:ascii="Palatino Linotype" w:eastAsia="Palatino Linotype" w:hAnsi="Palatino Linotype" w:cs="Palatino Linotype"/>
          <w:b/>
          <w:color w:val="000000"/>
          <w:sz w:val="24"/>
          <w:szCs w:val="24"/>
        </w:rPr>
        <w:lastRenderedPageBreak/>
        <w:t xml:space="preserve">Nociones generales. </w:t>
      </w:r>
    </w:p>
    <w:p w:rsidR="00CC4F06" w:rsidRPr="00E5368A" w:rsidRDefault="00CC4F06" w:rsidP="00CC4F06"/>
    <w:p w:rsidR="00CC4F06" w:rsidRPr="00E5368A" w:rsidRDefault="00CC4F06" w:rsidP="00CC4F06">
      <w:pPr>
        <w:numPr>
          <w:ilvl w:val="0"/>
          <w:numId w:val="1"/>
        </w:numPr>
        <w:spacing w:after="0" w:line="360" w:lineRule="auto"/>
        <w:ind w:left="0" w:right="49" w:firstLine="0"/>
        <w:contextualSpacing/>
        <w:jc w:val="both"/>
        <w:rPr>
          <w:rFonts w:ascii="Palatino Linotype" w:eastAsia="Palatino Linotype" w:hAnsi="Palatino Linotype" w:cs="Palatino Linotype"/>
          <w:color w:val="000000"/>
          <w:sz w:val="24"/>
          <w:szCs w:val="24"/>
        </w:rPr>
      </w:pPr>
      <w:r w:rsidRPr="00E5368A">
        <w:rPr>
          <w:rFonts w:ascii="Palatino Linotype" w:eastAsia="Palatino Linotype" w:hAnsi="Palatino Linotype" w:cs="Palatino Linotype"/>
          <w:color w:val="000000"/>
          <w:sz w:val="24"/>
          <w:szCs w:val="24"/>
        </w:rPr>
        <w:t>Debe destacarse que, debido a la naturaleza de la información solicitada</w:t>
      </w:r>
      <w:r w:rsidRPr="00E5368A">
        <w:rPr>
          <w:rFonts w:ascii="Palatino Linotype" w:eastAsia="Palatino Linotype" w:hAnsi="Palatino Linotype" w:cs="Palatino Linotype"/>
          <w:b/>
          <w:color w:val="000000"/>
          <w:sz w:val="24"/>
          <w:szCs w:val="24"/>
        </w:rPr>
        <w:t xml:space="preserve">, </w:t>
      </w:r>
      <w:r w:rsidRPr="00E5368A">
        <w:rPr>
          <w:rFonts w:ascii="Palatino Linotype" w:eastAsia="Palatino Linotype" w:hAnsi="Palatino Linotype" w:cs="Palatino Linotype"/>
          <w:color w:val="000000"/>
          <w:sz w:val="24"/>
          <w:szCs w:val="24"/>
        </w:rPr>
        <w:t xml:space="preserve">eventualmente pudiera obrar datos personales susceptibles de protegerse, así como información susceptible de clasificarse como reservada, el </w:t>
      </w:r>
      <w:r w:rsidRPr="00E5368A">
        <w:rPr>
          <w:rFonts w:ascii="Palatino Linotype" w:eastAsia="Palatino Linotype" w:hAnsi="Palatino Linotype" w:cs="Palatino Linotype"/>
          <w:b/>
          <w:color w:val="000000"/>
          <w:sz w:val="24"/>
          <w:szCs w:val="24"/>
        </w:rPr>
        <w:t xml:space="preserve">SUJETO OBLIGADO </w:t>
      </w:r>
      <w:r w:rsidRPr="00E5368A">
        <w:rPr>
          <w:rFonts w:ascii="Palatino Linotype" w:eastAsia="Palatino Linotype" w:hAnsi="Palatino Linotype" w:cs="Palatino Linotype"/>
          <w:color w:val="000000"/>
          <w:sz w:val="24"/>
          <w:szCs w:val="24"/>
        </w:rPr>
        <w:t xml:space="preserve">deberá de hacer la adecuada versión pública, protegiendo los datos que no son susceptibles de ser proporcionados. </w:t>
      </w:r>
    </w:p>
    <w:p w:rsidR="00CC4F06" w:rsidRPr="00E5368A" w:rsidRDefault="00CC4F06" w:rsidP="00CC4F06">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sz w:val="24"/>
          <w:szCs w:val="24"/>
        </w:rPr>
      </w:pPr>
    </w:p>
    <w:p w:rsidR="00CC4F06" w:rsidRPr="00E5368A" w:rsidRDefault="00CC4F06" w:rsidP="00CC4F06">
      <w:pPr>
        <w:numPr>
          <w:ilvl w:val="0"/>
          <w:numId w:val="1"/>
        </w:numPr>
        <w:spacing w:after="0" w:line="360" w:lineRule="auto"/>
        <w:ind w:left="0" w:right="49" w:firstLine="0"/>
        <w:contextualSpacing/>
        <w:jc w:val="both"/>
        <w:rPr>
          <w:rFonts w:ascii="Palatino Linotype" w:eastAsia="Palatino Linotype" w:hAnsi="Palatino Linotype" w:cs="Palatino Linotype"/>
          <w:color w:val="000000"/>
          <w:sz w:val="24"/>
          <w:szCs w:val="24"/>
        </w:rPr>
      </w:pPr>
      <w:r w:rsidRPr="00E5368A">
        <w:rPr>
          <w:rFonts w:ascii="Palatino Linotype" w:eastAsia="Palatino Linotype" w:hAnsi="Palatino Linotype" w:cs="Palatino Linotype"/>
          <w:color w:val="000000"/>
          <w:sz w:val="24"/>
          <w:szCs w:val="24"/>
        </w:rPr>
        <w:t xml:space="preserve">No pasa desapercibido para este Órgano Garante que los </w:t>
      </w:r>
      <w:r w:rsidRPr="00E5368A">
        <w:rPr>
          <w:rFonts w:ascii="Palatino Linotype" w:eastAsia="Palatino Linotype" w:hAnsi="Palatino Linotype" w:cs="Palatino Linotype"/>
          <w:b/>
          <w:color w:val="000000"/>
          <w:sz w:val="24"/>
          <w:szCs w:val="24"/>
        </w:rPr>
        <w:t xml:space="preserve">Sujetos Obligados </w:t>
      </w:r>
      <w:r w:rsidRPr="00E5368A">
        <w:rPr>
          <w:rFonts w:ascii="Palatino Linotype" w:eastAsia="Palatino Linotype" w:hAnsi="Palatino Linotype" w:cs="Palatino Linotype"/>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CC4F06" w:rsidRPr="00E5368A" w:rsidRDefault="00CC4F06" w:rsidP="00CC4F06">
      <w:pPr>
        <w:tabs>
          <w:tab w:val="left" w:pos="284"/>
        </w:tabs>
        <w:spacing w:line="360" w:lineRule="auto"/>
        <w:ind w:right="49"/>
        <w:jc w:val="both"/>
        <w:rPr>
          <w:rFonts w:ascii="Palatino Linotype" w:eastAsia="Palatino Linotype" w:hAnsi="Palatino Linotype" w:cs="Palatino Linotype"/>
          <w:color w:val="000000"/>
          <w:sz w:val="24"/>
          <w:szCs w:val="24"/>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990"/>
      </w:tblGrid>
      <w:tr w:rsidR="00CC4F06" w:rsidRPr="00E5368A" w:rsidTr="00172689">
        <w:tc>
          <w:tcPr>
            <w:tcW w:w="1838" w:type="dxa"/>
          </w:tcPr>
          <w:p w:rsidR="00CC4F06" w:rsidRPr="00E5368A" w:rsidRDefault="00CC4F06" w:rsidP="00172689">
            <w:pPr>
              <w:tabs>
                <w:tab w:val="left" w:pos="284"/>
              </w:tabs>
              <w:rPr>
                <w:rFonts w:ascii="Palatino Linotype" w:eastAsia="Palatino Linotype" w:hAnsi="Palatino Linotype" w:cs="Palatino Linotype"/>
              </w:rPr>
            </w:pPr>
            <w:r w:rsidRPr="00E5368A">
              <w:rPr>
                <w:rFonts w:ascii="Palatino Linotype" w:eastAsia="Palatino Linotype" w:hAnsi="Palatino Linotype" w:cs="Palatino Linotype"/>
              </w:rPr>
              <w:t>a) Requisitos previos.</w:t>
            </w:r>
          </w:p>
        </w:tc>
        <w:tc>
          <w:tcPr>
            <w:tcW w:w="6990" w:type="dxa"/>
          </w:tcPr>
          <w:p w:rsidR="00CC4F06" w:rsidRPr="00E5368A" w:rsidRDefault="00CC4F06" w:rsidP="00172689">
            <w:pPr>
              <w:tabs>
                <w:tab w:val="left" w:pos="284"/>
              </w:tabs>
              <w:ind w:right="49"/>
              <w:jc w:val="both"/>
              <w:rPr>
                <w:rFonts w:ascii="Palatino Linotype" w:eastAsia="Palatino Linotype" w:hAnsi="Palatino Linotype" w:cs="Palatino Linotype"/>
              </w:rPr>
            </w:pPr>
            <w:r w:rsidRPr="00E5368A">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CC4F06" w:rsidRPr="00E5368A" w:rsidRDefault="00CC4F06" w:rsidP="00172689">
            <w:pPr>
              <w:tabs>
                <w:tab w:val="left" w:pos="284"/>
              </w:tabs>
              <w:ind w:right="49"/>
              <w:jc w:val="both"/>
              <w:rPr>
                <w:rFonts w:ascii="Palatino Linotype" w:eastAsia="Palatino Linotype" w:hAnsi="Palatino Linotype" w:cs="Palatino Linotype"/>
              </w:rPr>
            </w:pPr>
            <w:r w:rsidRPr="00E5368A">
              <w:rPr>
                <w:rFonts w:ascii="Palatino Linotype" w:eastAsia="Palatino Linotype" w:hAnsi="Palatino Linotype" w:cs="Palatino Linotype"/>
              </w:rPr>
              <w:t>Al hacerlo tienen que precisar de qué información se trata, señalando el supuesto de clasificación (confidencialidad o reserva).</w:t>
            </w:r>
          </w:p>
          <w:p w:rsidR="00CC4F06" w:rsidRPr="00E5368A" w:rsidRDefault="00CC4F06" w:rsidP="00172689">
            <w:pPr>
              <w:tabs>
                <w:tab w:val="left" w:pos="284"/>
              </w:tabs>
              <w:ind w:right="49"/>
              <w:jc w:val="both"/>
              <w:rPr>
                <w:rFonts w:ascii="Palatino Linotype" w:eastAsia="Palatino Linotype" w:hAnsi="Palatino Linotype" w:cs="Palatino Linotype"/>
              </w:rPr>
            </w:pPr>
            <w:r w:rsidRPr="00E5368A">
              <w:rPr>
                <w:rFonts w:ascii="Palatino Linotype" w:eastAsia="Palatino Linotype" w:hAnsi="Palatino Linotype" w:cs="Palatino Linotype"/>
              </w:rPr>
              <w:t>Además, se debe señalar el procedimiento, de los tres que establecen los artículos 132 y 106 de la Ley Estatal y General, respectivamente.</w:t>
            </w:r>
          </w:p>
          <w:p w:rsidR="00CC4F06" w:rsidRPr="00E5368A" w:rsidRDefault="00CC4F06" w:rsidP="00172689">
            <w:pPr>
              <w:tabs>
                <w:tab w:val="left" w:pos="284"/>
              </w:tabs>
              <w:jc w:val="both"/>
              <w:rPr>
                <w:rFonts w:ascii="Palatino Linotype" w:eastAsia="Palatino Linotype" w:hAnsi="Palatino Linotype" w:cs="Palatino Linotype"/>
              </w:rPr>
            </w:pPr>
            <w:r w:rsidRPr="00E5368A">
              <w:rPr>
                <w:rFonts w:ascii="Palatino Linotype" w:eastAsia="Palatino Linotype" w:hAnsi="Palatino Linotype" w:cs="Palatino Linotype"/>
              </w:rPr>
              <w:t xml:space="preserve">El último de estos requisitos previos consiste en que no se pueden emitir acuerdos de carácter general ni particular, esto es, </w:t>
            </w:r>
            <w:r w:rsidRPr="00E5368A">
              <w:rPr>
                <w:rFonts w:ascii="Palatino Linotype" w:eastAsia="Palatino Linotype" w:hAnsi="Palatino Linotype" w:cs="Palatino Linotype"/>
                <w:u w:val="single"/>
              </w:rPr>
              <w:t xml:space="preserve">no se puede </w:t>
            </w:r>
            <w:r w:rsidRPr="00E5368A">
              <w:rPr>
                <w:rFonts w:ascii="Palatino Linotype" w:eastAsia="Palatino Linotype" w:hAnsi="Palatino Linotype" w:cs="Palatino Linotype"/>
                <w:u w:val="single"/>
              </w:rPr>
              <w:lastRenderedPageBreak/>
              <w:t>hacer un acuerdo para clasificar de manera general todos los documentos de un expediente o área, sin</w:t>
            </w:r>
            <w:r w:rsidRPr="00E5368A">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tc>
      </w:tr>
      <w:tr w:rsidR="00CC4F06" w:rsidRPr="00E5368A" w:rsidTr="00172689">
        <w:tc>
          <w:tcPr>
            <w:tcW w:w="1838" w:type="dxa"/>
          </w:tcPr>
          <w:p w:rsidR="00CC4F06" w:rsidRPr="00E5368A" w:rsidRDefault="00CC4F06" w:rsidP="00172689">
            <w:pPr>
              <w:tabs>
                <w:tab w:val="left" w:pos="284"/>
              </w:tabs>
              <w:rPr>
                <w:rFonts w:ascii="Palatino Linotype" w:eastAsia="Palatino Linotype" w:hAnsi="Palatino Linotype" w:cs="Palatino Linotype"/>
              </w:rPr>
            </w:pPr>
            <w:r w:rsidRPr="00E5368A">
              <w:rPr>
                <w:rFonts w:ascii="Palatino Linotype" w:eastAsia="Palatino Linotype" w:hAnsi="Palatino Linotype" w:cs="Palatino Linotype"/>
              </w:rPr>
              <w:lastRenderedPageBreak/>
              <w:t>b) Supuestos de clasificación.</w:t>
            </w:r>
          </w:p>
        </w:tc>
        <w:tc>
          <w:tcPr>
            <w:tcW w:w="6990" w:type="dxa"/>
          </w:tcPr>
          <w:p w:rsidR="00CC4F06" w:rsidRPr="00E5368A" w:rsidRDefault="00CC4F06" w:rsidP="00172689">
            <w:pPr>
              <w:tabs>
                <w:tab w:val="left" w:pos="284"/>
              </w:tabs>
              <w:ind w:right="49"/>
              <w:jc w:val="both"/>
              <w:rPr>
                <w:rFonts w:ascii="Palatino Linotype" w:eastAsia="Palatino Linotype" w:hAnsi="Palatino Linotype" w:cs="Palatino Linotype"/>
              </w:rPr>
            </w:pPr>
            <w:r w:rsidRPr="00E5368A">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rsidR="00CC4F06" w:rsidRPr="00E5368A" w:rsidRDefault="00CC4F06" w:rsidP="00172689">
            <w:pPr>
              <w:tabs>
                <w:tab w:val="left" w:pos="284"/>
              </w:tabs>
              <w:ind w:right="49"/>
              <w:jc w:val="both"/>
              <w:rPr>
                <w:rFonts w:ascii="Palatino Linotype" w:eastAsia="Palatino Linotype" w:hAnsi="Palatino Linotype" w:cs="Palatino Linotype"/>
              </w:rPr>
            </w:pPr>
            <w:r w:rsidRPr="00E5368A">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CC4F06" w:rsidRPr="00E5368A" w:rsidRDefault="00CC4F06" w:rsidP="00172689">
            <w:pPr>
              <w:tabs>
                <w:tab w:val="left" w:pos="284"/>
              </w:tabs>
              <w:jc w:val="both"/>
              <w:rPr>
                <w:rFonts w:ascii="Palatino Linotype" w:eastAsia="Palatino Linotype" w:hAnsi="Palatino Linotype" w:cs="Palatino Linotype"/>
              </w:rPr>
            </w:pPr>
            <w:r w:rsidRPr="00E5368A">
              <w:rPr>
                <w:rFonts w:ascii="Palatino Linotype" w:eastAsia="Palatino Linotype" w:hAnsi="Palatino Linotype" w:cs="Palatino Linotype"/>
              </w:rPr>
              <w:t xml:space="preserve">El </w:t>
            </w:r>
            <w:r w:rsidRPr="00E5368A">
              <w:rPr>
                <w:rFonts w:ascii="Palatino Linotype" w:eastAsia="Palatino Linotype" w:hAnsi="Palatino Linotype" w:cs="Palatino Linotype"/>
                <w:b/>
              </w:rPr>
              <w:t>Sujeto Obligado</w:t>
            </w:r>
            <w:r w:rsidRPr="00E5368A">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CC4F06" w:rsidRPr="00E5368A" w:rsidTr="00172689">
        <w:tc>
          <w:tcPr>
            <w:tcW w:w="1838" w:type="dxa"/>
          </w:tcPr>
          <w:p w:rsidR="00CC4F06" w:rsidRPr="00E5368A" w:rsidRDefault="00CC4F06" w:rsidP="00172689">
            <w:pPr>
              <w:tabs>
                <w:tab w:val="left" w:pos="284"/>
              </w:tabs>
              <w:rPr>
                <w:rFonts w:ascii="Palatino Linotype" w:eastAsia="Palatino Linotype" w:hAnsi="Palatino Linotype" w:cs="Palatino Linotype"/>
              </w:rPr>
            </w:pPr>
            <w:r w:rsidRPr="00E5368A">
              <w:rPr>
                <w:rFonts w:ascii="Palatino Linotype" w:eastAsia="Palatino Linotype" w:hAnsi="Palatino Linotype" w:cs="Palatino Linotype"/>
              </w:rPr>
              <w:t>c) Formalidades para emitir el acuerdo de clasificación.</w:t>
            </w:r>
          </w:p>
        </w:tc>
        <w:tc>
          <w:tcPr>
            <w:tcW w:w="6990" w:type="dxa"/>
          </w:tcPr>
          <w:p w:rsidR="00CC4F06" w:rsidRPr="00E5368A" w:rsidRDefault="00CC4F06" w:rsidP="00172689">
            <w:pPr>
              <w:tabs>
                <w:tab w:val="left" w:pos="284"/>
              </w:tabs>
              <w:ind w:right="49"/>
              <w:jc w:val="both"/>
              <w:rPr>
                <w:rFonts w:ascii="Palatino Linotype" w:eastAsia="Palatino Linotype" w:hAnsi="Palatino Linotype" w:cs="Palatino Linotype"/>
              </w:rPr>
            </w:pPr>
            <w:r w:rsidRPr="00E5368A">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rsidR="00CC4F06" w:rsidRPr="00E5368A" w:rsidRDefault="00CC4F06" w:rsidP="00172689">
            <w:pPr>
              <w:tabs>
                <w:tab w:val="left" w:pos="284"/>
              </w:tabs>
              <w:ind w:right="49"/>
              <w:jc w:val="both"/>
              <w:rPr>
                <w:rFonts w:ascii="Palatino Linotype" w:eastAsia="Palatino Linotype" w:hAnsi="Palatino Linotype" w:cs="Palatino Linotype"/>
              </w:rPr>
            </w:pPr>
            <w:r w:rsidRPr="00E5368A">
              <w:rPr>
                <w:rFonts w:ascii="Palatino Linotype" w:eastAsia="Palatino Linotype" w:hAnsi="Palatino Linotype" w:cs="Palatino Linotype"/>
              </w:rPr>
              <w:t xml:space="preserve">Es necesario que </w:t>
            </w:r>
            <w:r w:rsidRPr="00E5368A">
              <w:rPr>
                <w:rFonts w:ascii="Palatino Linotype" w:eastAsia="Palatino Linotype" w:hAnsi="Palatino Linotype" w:cs="Palatino Linotype"/>
                <w:b/>
                <w:u w:val="single"/>
              </w:rPr>
              <w:t>el acto reúna con los requisitos elementales</w:t>
            </w:r>
            <w:r w:rsidRPr="00E5368A">
              <w:rPr>
                <w:rFonts w:ascii="Palatino Linotype" w:eastAsia="Palatino Linotype" w:hAnsi="Palatino Linotype" w:cs="Palatino Linotype"/>
              </w:rPr>
              <w:t>, entre ellos, que la autoridad que va a emitir el acto de autoridad sea la legalmente facultada para ello.</w:t>
            </w:r>
          </w:p>
          <w:p w:rsidR="00CC4F06" w:rsidRPr="00E5368A" w:rsidRDefault="00CC4F06" w:rsidP="00172689">
            <w:pPr>
              <w:tabs>
                <w:tab w:val="left" w:pos="284"/>
              </w:tabs>
              <w:jc w:val="both"/>
              <w:rPr>
                <w:rFonts w:ascii="Palatino Linotype" w:eastAsia="Palatino Linotype" w:hAnsi="Palatino Linotype" w:cs="Palatino Linotype"/>
              </w:rPr>
            </w:pPr>
            <w:r w:rsidRPr="00E5368A">
              <w:rPr>
                <w:rFonts w:ascii="Palatino Linotype" w:eastAsia="Palatino Linotype" w:hAnsi="Palatino Linotype" w:cs="Palatino Linotype"/>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w:t>
            </w:r>
            <w:r w:rsidRPr="00E5368A">
              <w:rPr>
                <w:rFonts w:ascii="Palatino Linotype" w:eastAsia="Palatino Linotype" w:hAnsi="Palatino Linotype" w:cs="Palatino Linotype"/>
              </w:rPr>
              <w:lastRenderedPageBreak/>
              <w:t>áreas y que son sujetas a control, en primera instancia, por el Comité de Transparencia.</w:t>
            </w:r>
          </w:p>
        </w:tc>
      </w:tr>
      <w:tr w:rsidR="00CC4F06" w:rsidRPr="00E5368A" w:rsidTr="00172689">
        <w:tc>
          <w:tcPr>
            <w:tcW w:w="1838" w:type="dxa"/>
          </w:tcPr>
          <w:p w:rsidR="00CC4F06" w:rsidRPr="00E5368A" w:rsidRDefault="00CC4F06" w:rsidP="00172689">
            <w:pPr>
              <w:tabs>
                <w:tab w:val="left" w:pos="284"/>
              </w:tabs>
              <w:rPr>
                <w:rFonts w:ascii="Palatino Linotype" w:eastAsia="Palatino Linotype" w:hAnsi="Palatino Linotype" w:cs="Palatino Linotype"/>
              </w:rPr>
            </w:pPr>
          </w:p>
          <w:p w:rsidR="00CC4F06" w:rsidRPr="00E5368A" w:rsidRDefault="00CC4F06" w:rsidP="00172689">
            <w:pPr>
              <w:tabs>
                <w:tab w:val="left" w:pos="284"/>
              </w:tabs>
              <w:jc w:val="both"/>
              <w:rPr>
                <w:rFonts w:ascii="Palatino Linotype" w:eastAsia="Palatino Linotype" w:hAnsi="Palatino Linotype" w:cs="Palatino Linotype"/>
              </w:rPr>
            </w:pPr>
            <w:r w:rsidRPr="00E5368A">
              <w:rPr>
                <w:rFonts w:ascii="Palatino Linotype" w:eastAsia="Palatino Linotype" w:hAnsi="Palatino Linotype" w:cs="Palatino Linotype"/>
              </w:rPr>
              <w:t xml:space="preserve">d) Requisitos de fondo del acuerdo de clasificación. </w:t>
            </w:r>
          </w:p>
        </w:tc>
        <w:tc>
          <w:tcPr>
            <w:tcW w:w="6990" w:type="dxa"/>
          </w:tcPr>
          <w:p w:rsidR="00CC4F06" w:rsidRPr="00E5368A" w:rsidRDefault="00CC4F06" w:rsidP="00172689">
            <w:pPr>
              <w:tabs>
                <w:tab w:val="left" w:pos="284"/>
              </w:tabs>
              <w:ind w:right="49"/>
              <w:jc w:val="both"/>
              <w:rPr>
                <w:rFonts w:ascii="Palatino Linotype" w:eastAsia="Palatino Linotype" w:hAnsi="Palatino Linotype" w:cs="Palatino Linotype"/>
              </w:rPr>
            </w:pPr>
            <w:r w:rsidRPr="00E5368A">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E5368A">
              <w:rPr>
                <w:rFonts w:ascii="Palatino Linotype" w:eastAsia="Palatino Linotype" w:hAnsi="Palatino Linotype" w:cs="Palatino Linotype"/>
                <w:b/>
              </w:rPr>
              <w:t>Sujetos Obligados</w:t>
            </w:r>
            <w:r w:rsidRPr="00E5368A">
              <w:rPr>
                <w:rFonts w:ascii="Palatino Linotype" w:eastAsia="Palatino Linotype" w:hAnsi="Palatino Linotype" w:cs="Palatino Linotype"/>
              </w:rPr>
              <w:t xml:space="preserve">, por lo que deberán fundar y motivar debidamente la clasificación. </w:t>
            </w:r>
          </w:p>
          <w:p w:rsidR="00CC4F06" w:rsidRPr="00E5368A" w:rsidRDefault="00CC4F06" w:rsidP="00172689">
            <w:pPr>
              <w:tabs>
                <w:tab w:val="left" w:pos="284"/>
              </w:tabs>
              <w:ind w:right="49"/>
              <w:jc w:val="both"/>
              <w:rPr>
                <w:rFonts w:ascii="Palatino Linotype" w:eastAsia="Palatino Linotype" w:hAnsi="Palatino Linotype" w:cs="Palatino Linotype"/>
              </w:rPr>
            </w:pPr>
            <w:r w:rsidRPr="00E5368A">
              <w:rPr>
                <w:rFonts w:ascii="Palatino Linotype" w:eastAsia="Palatino Linotype" w:hAnsi="Palatino Linotype" w:cs="Palatino Linotype"/>
              </w:rPr>
              <w:t xml:space="preserve">De lo anterior, se desprende que para una correcta </w:t>
            </w:r>
            <w:r w:rsidRPr="00E5368A">
              <w:rPr>
                <w:rFonts w:ascii="Palatino Linotype" w:eastAsia="Palatino Linotype" w:hAnsi="Palatino Linotype" w:cs="Palatino Linotype"/>
                <w:b/>
              </w:rPr>
              <w:t>clasificación total o parcial</w:t>
            </w:r>
            <w:r w:rsidRPr="00E5368A">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CC4F06" w:rsidRPr="00E5368A" w:rsidRDefault="00CC4F06" w:rsidP="00172689">
            <w:pPr>
              <w:tabs>
                <w:tab w:val="left" w:pos="284"/>
              </w:tabs>
              <w:ind w:right="49"/>
              <w:jc w:val="both"/>
              <w:rPr>
                <w:rFonts w:ascii="Palatino Linotype" w:eastAsia="Palatino Linotype" w:hAnsi="Palatino Linotype" w:cs="Palatino Linotype"/>
              </w:rPr>
            </w:pPr>
            <w:r w:rsidRPr="00E5368A">
              <w:rPr>
                <w:rFonts w:ascii="Palatino Linotype" w:eastAsia="Palatino Linotype" w:hAnsi="Palatino Linotype" w:cs="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CC4F06" w:rsidRPr="00E5368A" w:rsidRDefault="00CC4F06" w:rsidP="00172689">
            <w:pPr>
              <w:tabs>
                <w:tab w:val="left" w:pos="284"/>
              </w:tabs>
              <w:ind w:right="49"/>
              <w:jc w:val="both"/>
              <w:rPr>
                <w:rFonts w:ascii="Palatino Linotype" w:eastAsia="Palatino Linotype" w:hAnsi="Palatino Linotype" w:cs="Palatino Linotype"/>
              </w:rPr>
            </w:pPr>
            <w:r w:rsidRPr="00E5368A">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rsidR="00CC4F06" w:rsidRPr="00E5368A" w:rsidRDefault="00CC4F06" w:rsidP="00172689">
            <w:pPr>
              <w:tabs>
                <w:tab w:val="left" w:pos="284"/>
              </w:tabs>
              <w:ind w:right="49"/>
              <w:jc w:val="both"/>
              <w:rPr>
                <w:rFonts w:ascii="Palatino Linotype" w:eastAsia="Palatino Linotype" w:hAnsi="Palatino Linotype" w:cs="Palatino Linotype"/>
              </w:rPr>
            </w:pPr>
            <w:r w:rsidRPr="00E5368A">
              <w:rPr>
                <w:rFonts w:ascii="Palatino Linotype" w:eastAsia="Palatino Linotype" w:hAnsi="Palatino Linotype" w:cs="Palatino Linotype"/>
              </w:rPr>
              <w:t xml:space="preserve">Ahora bien, </w:t>
            </w:r>
            <w:r w:rsidRPr="00E5368A">
              <w:rPr>
                <w:rFonts w:ascii="Palatino Linotype" w:eastAsia="Palatino Linotype" w:hAnsi="Palatino Linotype" w:cs="Palatino Linotype"/>
                <w:b/>
                <w:u w:val="single"/>
              </w:rPr>
              <w:t>para cada caso además de fundar y motivar</w:t>
            </w:r>
            <w:r w:rsidRPr="00E5368A">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C4F06" w:rsidRPr="00E5368A" w:rsidTr="00172689">
        <w:tc>
          <w:tcPr>
            <w:tcW w:w="1838" w:type="dxa"/>
          </w:tcPr>
          <w:p w:rsidR="00CC4F06" w:rsidRPr="00E5368A" w:rsidRDefault="00CC4F06" w:rsidP="00172689">
            <w:pPr>
              <w:tabs>
                <w:tab w:val="left" w:pos="284"/>
              </w:tabs>
              <w:ind w:right="49"/>
              <w:jc w:val="both"/>
              <w:rPr>
                <w:rFonts w:ascii="Palatino Linotype" w:eastAsia="Palatino Linotype" w:hAnsi="Palatino Linotype" w:cs="Palatino Linotype"/>
              </w:rPr>
            </w:pPr>
            <w:r w:rsidRPr="00E5368A">
              <w:rPr>
                <w:rFonts w:ascii="Palatino Linotype" w:eastAsia="Palatino Linotype" w:hAnsi="Palatino Linotype" w:cs="Palatino Linotype"/>
              </w:rPr>
              <w:lastRenderedPageBreak/>
              <w:t xml:space="preserve">e) Condiciones especiales de la clasificación de la información como confidencial. </w:t>
            </w:r>
          </w:p>
        </w:tc>
        <w:tc>
          <w:tcPr>
            <w:tcW w:w="6990" w:type="dxa"/>
          </w:tcPr>
          <w:p w:rsidR="00CC4F06" w:rsidRPr="00E5368A" w:rsidRDefault="00CC4F06" w:rsidP="00172689">
            <w:pPr>
              <w:tabs>
                <w:tab w:val="left" w:pos="284"/>
              </w:tabs>
              <w:ind w:right="49"/>
              <w:jc w:val="both"/>
              <w:rPr>
                <w:rFonts w:ascii="Palatino Linotype" w:eastAsia="Palatino Linotype" w:hAnsi="Palatino Linotype" w:cs="Palatino Linotype"/>
              </w:rPr>
            </w:pPr>
            <w:r w:rsidRPr="00E5368A">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rsidR="00CC4F06" w:rsidRPr="00E5368A" w:rsidRDefault="00CC4F06" w:rsidP="00172689">
            <w:pPr>
              <w:tabs>
                <w:tab w:val="left" w:pos="284"/>
              </w:tabs>
              <w:ind w:right="49"/>
              <w:jc w:val="both"/>
              <w:rPr>
                <w:rFonts w:ascii="Palatino Linotype" w:eastAsia="Palatino Linotype" w:hAnsi="Palatino Linotype" w:cs="Palatino Linotype"/>
              </w:rPr>
            </w:pPr>
            <w:r w:rsidRPr="00E5368A">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CC4F06" w:rsidRPr="00E5368A" w:rsidRDefault="00CC4F06" w:rsidP="00172689">
            <w:pPr>
              <w:tabs>
                <w:tab w:val="left" w:pos="284"/>
              </w:tabs>
              <w:rPr>
                <w:rFonts w:ascii="Palatino Linotype" w:eastAsia="Palatino Linotype" w:hAnsi="Palatino Linotype" w:cs="Palatino Linotype"/>
              </w:rPr>
            </w:pPr>
            <w:r w:rsidRPr="00E5368A">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B40D3E" w:rsidRPr="00E5368A" w:rsidRDefault="00B40D3E" w:rsidP="00B40D3E">
      <w:pPr>
        <w:spacing w:after="0" w:line="360" w:lineRule="auto"/>
        <w:ind w:right="49"/>
        <w:contextualSpacing/>
        <w:jc w:val="both"/>
        <w:rPr>
          <w:rFonts w:ascii="Palatino Linotype" w:eastAsia="Palatino Linotype" w:hAnsi="Palatino Linotype" w:cs="Palatino Linotype"/>
          <w:i/>
          <w:color w:val="000000"/>
          <w:sz w:val="24"/>
          <w:szCs w:val="24"/>
        </w:rPr>
      </w:pPr>
    </w:p>
    <w:p w:rsidR="005F1478" w:rsidRPr="00E5368A" w:rsidRDefault="005F1478" w:rsidP="005F1478">
      <w:pPr>
        <w:spacing w:line="360" w:lineRule="auto"/>
        <w:ind w:right="49"/>
        <w:contextualSpacing/>
        <w:jc w:val="both"/>
        <w:rPr>
          <w:rFonts w:ascii="Palatino Linotype" w:eastAsia="Palatino Linotype" w:hAnsi="Palatino Linotype" w:cs="Palatino Linotype"/>
          <w:b/>
          <w:color w:val="000000"/>
          <w:sz w:val="24"/>
          <w:szCs w:val="24"/>
        </w:rPr>
      </w:pPr>
    </w:p>
    <w:p w:rsidR="005F1478" w:rsidRPr="00E5368A" w:rsidRDefault="005F1478" w:rsidP="005F1478">
      <w:pPr>
        <w:numPr>
          <w:ilvl w:val="0"/>
          <w:numId w:val="1"/>
        </w:numPr>
        <w:spacing w:after="0" w:line="360" w:lineRule="auto"/>
        <w:ind w:left="0" w:right="49" w:firstLine="0"/>
        <w:contextualSpacing/>
        <w:jc w:val="both"/>
        <w:rPr>
          <w:rFonts w:ascii="Palatino Linotype" w:eastAsia="Palatino Linotype" w:hAnsi="Palatino Linotype" w:cs="Palatino Linotype"/>
          <w:b/>
          <w:color w:val="000000"/>
          <w:sz w:val="24"/>
          <w:szCs w:val="24"/>
        </w:rPr>
      </w:pPr>
      <w:r w:rsidRPr="00E5368A">
        <w:rPr>
          <w:rFonts w:ascii="Palatino Linotype" w:eastAsia="Palatino Linotype" w:hAnsi="Palatino Linotype" w:cs="Palatino Linotype"/>
          <w:color w:val="000000"/>
          <w:sz w:val="24"/>
          <w:szCs w:val="24"/>
        </w:rPr>
        <w:t xml:space="preserve">Es por lo anterior que, no se puede tener por colmado el derecho de acceso la información del ahora </w:t>
      </w:r>
      <w:r w:rsidRPr="00E5368A">
        <w:rPr>
          <w:rFonts w:ascii="Palatino Linotype" w:eastAsia="Palatino Linotype" w:hAnsi="Palatino Linotype" w:cs="Palatino Linotype"/>
          <w:b/>
          <w:color w:val="000000"/>
          <w:sz w:val="24"/>
          <w:szCs w:val="24"/>
        </w:rPr>
        <w:t xml:space="preserve">RECURRENTE, </w:t>
      </w:r>
      <w:r w:rsidRPr="00E5368A">
        <w:rPr>
          <w:rFonts w:ascii="Palatino Linotype" w:eastAsia="Palatino Linotype" w:hAnsi="Palatino Linotype" w:cs="Palatino Linotype"/>
          <w:color w:val="000000"/>
          <w:sz w:val="24"/>
          <w:szCs w:val="24"/>
        </w:rPr>
        <w:t xml:space="preserve">al haberse remitido la información en un formato cerrado, y en consecuencia, resultan fundadas las razones o motivos de inconformidad hechos valer por la </w:t>
      </w:r>
      <w:r w:rsidRPr="00E5368A">
        <w:rPr>
          <w:rFonts w:ascii="Palatino Linotype" w:eastAsia="Palatino Linotype" w:hAnsi="Palatino Linotype" w:cs="Palatino Linotype"/>
          <w:b/>
          <w:color w:val="000000"/>
          <w:sz w:val="24"/>
          <w:szCs w:val="24"/>
        </w:rPr>
        <w:t>RECURRENTE</w:t>
      </w:r>
      <w:r w:rsidRPr="00E5368A">
        <w:rPr>
          <w:rFonts w:ascii="Palatino Linotype" w:eastAsia="Palatino Linotype" w:hAnsi="Palatino Linotype" w:cs="Palatino Linotype"/>
          <w:color w:val="000000"/>
          <w:sz w:val="24"/>
          <w:szCs w:val="24"/>
        </w:rPr>
        <w:t xml:space="preserve"> dentro del recurso de revisión </w:t>
      </w:r>
      <w:r w:rsidR="00CC4F06" w:rsidRPr="00E5368A">
        <w:rPr>
          <w:rFonts w:ascii="Palatino Linotype" w:eastAsia="Palatino Linotype" w:hAnsi="Palatino Linotype" w:cs="Palatino Linotype"/>
          <w:b/>
          <w:bCs/>
          <w:color w:val="000000"/>
          <w:sz w:val="24"/>
          <w:szCs w:val="24"/>
        </w:rPr>
        <w:t> 01448</w:t>
      </w:r>
      <w:r w:rsidRPr="00E5368A">
        <w:rPr>
          <w:rFonts w:ascii="Palatino Linotype" w:eastAsia="Palatino Linotype" w:hAnsi="Palatino Linotype" w:cs="Palatino Linotype"/>
          <w:b/>
          <w:bCs/>
          <w:color w:val="000000"/>
          <w:sz w:val="24"/>
          <w:szCs w:val="24"/>
        </w:rPr>
        <w:t>/INFOEM/IP/RR/2024</w:t>
      </w:r>
      <w:r w:rsidRPr="00E5368A">
        <w:rPr>
          <w:rFonts w:ascii="Palatino Linotype" w:eastAsia="Palatino Linotype" w:hAnsi="Palatino Linotype" w:cs="Palatino Linotype"/>
          <w:color w:val="000000"/>
          <w:sz w:val="24"/>
          <w:szCs w:val="24"/>
        </w:rPr>
        <w:t xml:space="preserve">; por ello, y con fundamento en la fracción III del numeral 186 de la Ley de Transparencia y Acceso a la Información Pública del Estado de México y Municipios, se </w:t>
      </w:r>
      <w:r w:rsidRPr="00E5368A">
        <w:rPr>
          <w:rFonts w:ascii="Palatino Linotype" w:eastAsia="Palatino Linotype" w:hAnsi="Palatino Linotype" w:cs="Palatino Linotype"/>
          <w:b/>
          <w:color w:val="000000"/>
          <w:sz w:val="24"/>
          <w:szCs w:val="24"/>
        </w:rPr>
        <w:t xml:space="preserve">REVOCA </w:t>
      </w:r>
      <w:r w:rsidRPr="00E5368A">
        <w:rPr>
          <w:rFonts w:ascii="Palatino Linotype" w:eastAsia="Palatino Linotype" w:hAnsi="Palatino Linotype" w:cs="Palatino Linotype"/>
          <w:color w:val="000000"/>
          <w:sz w:val="24"/>
          <w:szCs w:val="24"/>
        </w:rPr>
        <w:t>la respuesta a las solicitud de información número</w:t>
      </w:r>
      <w:r w:rsidRPr="00E5368A">
        <w:rPr>
          <w:rFonts w:ascii="Palatino Linotype" w:hAnsi="Palatino Linotype"/>
          <w:b/>
          <w:bCs/>
          <w:color w:val="FF0000"/>
          <w:sz w:val="24"/>
          <w:szCs w:val="24"/>
        </w:rPr>
        <w:t xml:space="preserve"> </w:t>
      </w:r>
      <w:r w:rsidRPr="00E5368A">
        <w:rPr>
          <w:rFonts w:ascii="Palatino Linotype" w:eastAsia="Palatino Linotype" w:hAnsi="Palatino Linotype" w:cs="Palatino Linotype"/>
          <w:b/>
          <w:bCs/>
          <w:color w:val="000000"/>
          <w:sz w:val="24"/>
          <w:szCs w:val="24"/>
        </w:rPr>
        <w:t> </w:t>
      </w:r>
      <w:r w:rsidR="00CC4F06" w:rsidRPr="00E5368A">
        <w:rPr>
          <w:rFonts w:ascii="Palatino Linotype" w:eastAsia="Palatino Linotype" w:hAnsi="Palatino Linotype" w:cs="Palatino Linotype"/>
          <w:b/>
          <w:bCs/>
          <w:color w:val="000000"/>
          <w:sz w:val="24"/>
          <w:szCs w:val="24"/>
        </w:rPr>
        <w:t>00069/PLEGISLA/IP/2024</w:t>
      </w:r>
      <w:r w:rsidRPr="00E5368A">
        <w:rPr>
          <w:rFonts w:ascii="Palatino Linotype" w:eastAsia="Palatino Linotype" w:hAnsi="Palatino Linotype" w:cs="Palatino Linotype"/>
          <w:b/>
          <w:bCs/>
          <w:color w:val="000000"/>
          <w:sz w:val="24"/>
          <w:szCs w:val="24"/>
        </w:rPr>
        <w:t>.</w:t>
      </w:r>
    </w:p>
    <w:p w:rsidR="005F1478" w:rsidRPr="00E5368A" w:rsidRDefault="005F1478" w:rsidP="005F1478">
      <w:pPr>
        <w:spacing w:line="360" w:lineRule="auto"/>
        <w:ind w:right="49"/>
        <w:contextualSpacing/>
        <w:jc w:val="both"/>
        <w:rPr>
          <w:rFonts w:ascii="Palatino Linotype" w:eastAsia="Palatino Linotype" w:hAnsi="Palatino Linotype" w:cs="Palatino Linotype"/>
          <w:b/>
          <w:color w:val="000000"/>
          <w:sz w:val="24"/>
          <w:szCs w:val="24"/>
        </w:rPr>
      </w:pPr>
    </w:p>
    <w:p w:rsidR="005F1478" w:rsidRPr="00E5368A" w:rsidRDefault="005F1478" w:rsidP="005F1478">
      <w:pPr>
        <w:numPr>
          <w:ilvl w:val="0"/>
          <w:numId w:val="1"/>
        </w:numPr>
        <w:spacing w:after="0" w:line="360" w:lineRule="auto"/>
        <w:ind w:left="0" w:right="49" w:firstLine="0"/>
        <w:contextualSpacing/>
        <w:jc w:val="both"/>
        <w:rPr>
          <w:rFonts w:ascii="Palatino Linotype" w:eastAsia="Palatino Linotype" w:hAnsi="Palatino Linotype" w:cs="Palatino Linotype"/>
          <w:color w:val="000000"/>
          <w:sz w:val="24"/>
          <w:szCs w:val="24"/>
        </w:rPr>
      </w:pPr>
      <w:r w:rsidRPr="00E5368A">
        <w:rPr>
          <w:rFonts w:ascii="Palatino Linotype" w:eastAsia="Palatino Linotype" w:hAnsi="Palatino Linotype" w:cs="Palatino Linotype"/>
          <w:color w:val="000000"/>
          <w:sz w:val="24"/>
          <w:szCs w:val="24"/>
        </w:rPr>
        <w:t xml:space="preserve">Por lo anteriormente expuesto y fundado, este </w:t>
      </w:r>
      <w:r w:rsidRPr="00E5368A">
        <w:rPr>
          <w:rFonts w:ascii="Palatino Linotype" w:eastAsia="Palatino Linotype" w:hAnsi="Palatino Linotype" w:cs="Palatino Linotype"/>
          <w:b/>
          <w:color w:val="000000"/>
          <w:sz w:val="24"/>
          <w:szCs w:val="24"/>
        </w:rPr>
        <w:t>ÓRGANO GARANTE</w:t>
      </w:r>
      <w:r w:rsidRPr="00E5368A">
        <w:rPr>
          <w:rFonts w:ascii="Palatino Linotype" w:eastAsia="Palatino Linotype" w:hAnsi="Palatino Linotype" w:cs="Palatino Linotype"/>
          <w:color w:val="000000"/>
          <w:sz w:val="24"/>
          <w:szCs w:val="24"/>
        </w:rPr>
        <w:t xml:space="preserve"> emite los siguientes: -------------------------------------------------------------</w:t>
      </w:r>
      <w:r w:rsidR="004C1CEE" w:rsidRPr="00E5368A">
        <w:rPr>
          <w:rFonts w:ascii="Palatino Linotype" w:eastAsia="Palatino Linotype" w:hAnsi="Palatino Linotype" w:cs="Palatino Linotype"/>
          <w:color w:val="000000"/>
          <w:sz w:val="24"/>
          <w:szCs w:val="24"/>
        </w:rPr>
        <w:t>-----------------------------</w:t>
      </w:r>
    </w:p>
    <w:p w:rsidR="005F1478" w:rsidRPr="00E5368A" w:rsidRDefault="005F1478" w:rsidP="005F1478">
      <w:pPr>
        <w:tabs>
          <w:tab w:val="left" w:pos="567"/>
        </w:tabs>
        <w:spacing w:line="360" w:lineRule="auto"/>
        <w:jc w:val="both"/>
        <w:rPr>
          <w:rFonts w:ascii="Palatino Linotype" w:eastAsia="Palatino Linotype" w:hAnsi="Palatino Linotype" w:cs="Palatino Linotype"/>
          <w:sz w:val="24"/>
          <w:szCs w:val="24"/>
        </w:rPr>
      </w:pPr>
    </w:p>
    <w:p w:rsidR="005F1478" w:rsidRPr="00E5368A" w:rsidRDefault="005F1478" w:rsidP="005F1478">
      <w:pPr>
        <w:pStyle w:val="Ttulo1"/>
        <w:spacing w:before="0" w:line="360" w:lineRule="auto"/>
        <w:jc w:val="center"/>
        <w:rPr>
          <w:rFonts w:ascii="Palatino Linotype" w:eastAsia="Palatino Linotype" w:hAnsi="Palatino Linotype" w:cs="Palatino Linotype"/>
          <w:b/>
          <w:color w:val="000000"/>
          <w:sz w:val="24"/>
          <w:szCs w:val="24"/>
        </w:rPr>
      </w:pPr>
      <w:bookmarkStart w:id="151" w:name="_heading=h.4d34og8" w:colFirst="0" w:colLast="0"/>
      <w:bookmarkEnd w:id="151"/>
      <w:r w:rsidRPr="00E5368A">
        <w:rPr>
          <w:rFonts w:ascii="Palatino Linotype" w:eastAsia="Palatino Linotype" w:hAnsi="Palatino Linotype" w:cs="Palatino Linotype"/>
          <w:b/>
          <w:color w:val="000000"/>
          <w:sz w:val="24"/>
          <w:szCs w:val="24"/>
        </w:rPr>
        <w:lastRenderedPageBreak/>
        <w:t xml:space="preserve">R E S O L U T I V O S </w:t>
      </w:r>
    </w:p>
    <w:p w:rsidR="005F1478" w:rsidRPr="00E5368A" w:rsidRDefault="005F1478" w:rsidP="005F1478">
      <w:pPr>
        <w:spacing w:before="240" w:after="360" w:line="360" w:lineRule="auto"/>
        <w:jc w:val="both"/>
        <w:rPr>
          <w:rFonts w:ascii="Palatino Linotype" w:eastAsia="Palatino Linotype" w:hAnsi="Palatino Linotype" w:cs="Palatino Linotype"/>
          <w:b/>
          <w:sz w:val="24"/>
          <w:szCs w:val="24"/>
        </w:rPr>
      </w:pPr>
      <w:r w:rsidRPr="00E5368A">
        <w:rPr>
          <w:rFonts w:ascii="Palatino Linotype" w:eastAsia="Palatino Linotype" w:hAnsi="Palatino Linotype" w:cs="Palatino Linotype"/>
          <w:b/>
          <w:sz w:val="24"/>
          <w:szCs w:val="24"/>
        </w:rPr>
        <w:t>PRIMERO</w:t>
      </w:r>
      <w:r w:rsidRPr="00E5368A">
        <w:rPr>
          <w:rFonts w:ascii="Palatino Linotype" w:eastAsia="Palatino Linotype" w:hAnsi="Palatino Linotype" w:cs="Palatino Linotype"/>
          <w:sz w:val="24"/>
          <w:szCs w:val="24"/>
        </w:rPr>
        <w:t>. Resultan fundadas las razones o motivos de inconformidad hechos valer en el Recurso de Revisión</w:t>
      </w:r>
      <w:r w:rsidRPr="00E5368A">
        <w:rPr>
          <w:rFonts w:ascii="Palatino Linotype" w:hAnsi="Palatino Linotype"/>
          <w:sz w:val="24"/>
          <w:szCs w:val="24"/>
        </w:rPr>
        <w:t xml:space="preserve"> </w:t>
      </w:r>
      <w:r w:rsidR="00CC4F06" w:rsidRPr="00E5368A">
        <w:rPr>
          <w:rFonts w:ascii="Palatino Linotype" w:eastAsia="Palatino Linotype" w:hAnsi="Palatino Linotype" w:cs="Palatino Linotype"/>
          <w:b/>
          <w:bCs/>
          <w:sz w:val="24"/>
          <w:szCs w:val="24"/>
        </w:rPr>
        <w:t>0144</w:t>
      </w:r>
      <w:r w:rsidRPr="00E5368A">
        <w:rPr>
          <w:rFonts w:ascii="Palatino Linotype" w:eastAsia="Palatino Linotype" w:hAnsi="Palatino Linotype" w:cs="Palatino Linotype"/>
          <w:b/>
          <w:bCs/>
          <w:sz w:val="24"/>
          <w:szCs w:val="24"/>
        </w:rPr>
        <w:t>8/INFOEM/IP/RR/2024</w:t>
      </w:r>
      <w:r w:rsidRPr="00E5368A">
        <w:rPr>
          <w:rFonts w:ascii="Palatino Linotype" w:eastAsia="Palatino Linotype" w:hAnsi="Palatino Linotype" w:cs="Palatino Linotype"/>
          <w:sz w:val="24"/>
          <w:szCs w:val="24"/>
        </w:rPr>
        <w:t>,</w:t>
      </w:r>
      <w:r w:rsidRPr="00E5368A">
        <w:rPr>
          <w:rFonts w:ascii="Palatino Linotype" w:eastAsia="Palatino Linotype" w:hAnsi="Palatino Linotype" w:cs="Palatino Linotype"/>
          <w:b/>
          <w:sz w:val="24"/>
          <w:szCs w:val="24"/>
        </w:rPr>
        <w:t xml:space="preserve"> </w:t>
      </w:r>
      <w:r w:rsidRPr="00E5368A">
        <w:rPr>
          <w:rFonts w:ascii="Palatino Linotype" w:eastAsia="Palatino Linotype" w:hAnsi="Palatino Linotype" w:cs="Palatino Linotype"/>
          <w:sz w:val="24"/>
          <w:szCs w:val="24"/>
        </w:rPr>
        <w:t xml:space="preserve">en términos del Considerando </w:t>
      </w:r>
      <w:r w:rsidRPr="00E5368A">
        <w:rPr>
          <w:rFonts w:ascii="Palatino Linotype" w:eastAsia="Palatino Linotype" w:hAnsi="Palatino Linotype" w:cs="Palatino Linotype"/>
          <w:b/>
          <w:sz w:val="24"/>
          <w:szCs w:val="24"/>
        </w:rPr>
        <w:t xml:space="preserve">CUARTO </w:t>
      </w:r>
      <w:r w:rsidRPr="00E5368A">
        <w:rPr>
          <w:rFonts w:ascii="Palatino Linotype" w:eastAsia="Palatino Linotype" w:hAnsi="Palatino Linotype" w:cs="Palatino Linotype"/>
          <w:sz w:val="24"/>
          <w:szCs w:val="24"/>
        </w:rPr>
        <w:t xml:space="preserve">de la presente resolución. </w:t>
      </w:r>
    </w:p>
    <w:p w:rsidR="005F1478" w:rsidRPr="00E5368A" w:rsidRDefault="005F1478" w:rsidP="005F1478">
      <w:pPr>
        <w:tabs>
          <w:tab w:val="left" w:pos="567"/>
        </w:tabs>
        <w:spacing w:line="360" w:lineRule="auto"/>
        <w:jc w:val="both"/>
        <w:rPr>
          <w:rFonts w:ascii="Palatino Linotype" w:eastAsia="Palatino Linotype" w:hAnsi="Palatino Linotype" w:cs="Palatino Linotype"/>
          <w:sz w:val="24"/>
          <w:szCs w:val="24"/>
        </w:rPr>
      </w:pPr>
      <w:bookmarkStart w:id="152" w:name="_heading=h.17dp8vu" w:colFirst="0" w:colLast="0"/>
      <w:bookmarkEnd w:id="152"/>
      <w:r w:rsidRPr="00E5368A">
        <w:rPr>
          <w:rFonts w:ascii="Palatino Linotype" w:eastAsia="Palatino Linotype" w:hAnsi="Palatino Linotype" w:cs="Palatino Linotype"/>
          <w:b/>
          <w:sz w:val="24"/>
          <w:szCs w:val="24"/>
        </w:rPr>
        <w:t xml:space="preserve">SEGUNDO. </w:t>
      </w:r>
      <w:r w:rsidRPr="00E5368A">
        <w:rPr>
          <w:rFonts w:ascii="Palatino Linotype" w:eastAsia="Palatino Linotype" w:hAnsi="Palatino Linotype" w:cs="Palatino Linotype"/>
          <w:color w:val="000000"/>
          <w:sz w:val="24"/>
          <w:szCs w:val="24"/>
        </w:rPr>
        <w:t xml:space="preserve">Se </w:t>
      </w:r>
      <w:r w:rsidRPr="00E5368A">
        <w:rPr>
          <w:rFonts w:ascii="Palatino Linotype" w:eastAsia="Palatino Linotype" w:hAnsi="Palatino Linotype" w:cs="Palatino Linotype"/>
          <w:b/>
          <w:color w:val="000000"/>
          <w:sz w:val="24"/>
          <w:szCs w:val="24"/>
        </w:rPr>
        <w:t xml:space="preserve">REVOCA </w:t>
      </w:r>
      <w:r w:rsidRPr="00E5368A">
        <w:rPr>
          <w:rFonts w:ascii="Palatino Linotype" w:eastAsia="Palatino Linotype" w:hAnsi="Palatino Linotype" w:cs="Palatino Linotype"/>
          <w:color w:val="000000"/>
          <w:sz w:val="24"/>
          <w:szCs w:val="24"/>
        </w:rPr>
        <w:t>la respu</w:t>
      </w:r>
      <w:r w:rsidRPr="00E5368A">
        <w:rPr>
          <w:rFonts w:ascii="Palatino Linotype" w:eastAsia="Palatino Linotype" w:hAnsi="Palatino Linotype" w:cs="Palatino Linotype"/>
          <w:sz w:val="24"/>
          <w:szCs w:val="24"/>
        </w:rPr>
        <w:t xml:space="preserve">esta emitida por el </w:t>
      </w:r>
      <w:r w:rsidR="00CC4F06" w:rsidRPr="00E5368A">
        <w:rPr>
          <w:rFonts w:ascii="Palatino Linotype" w:eastAsia="Palatino Linotype" w:hAnsi="Palatino Linotype" w:cs="Palatino Linotype"/>
          <w:b/>
          <w:bCs/>
          <w:sz w:val="24"/>
          <w:szCs w:val="24"/>
        </w:rPr>
        <w:t>Poder Legislativo</w:t>
      </w:r>
      <w:r w:rsidRPr="00E5368A">
        <w:rPr>
          <w:rFonts w:ascii="Palatino Linotype" w:eastAsia="Palatino Linotype" w:hAnsi="Palatino Linotype" w:cs="Palatino Linotype"/>
          <w:b/>
          <w:sz w:val="24"/>
          <w:szCs w:val="24"/>
        </w:rPr>
        <w:t xml:space="preserve"> </w:t>
      </w:r>
      <w:r w:rsidRPr="00E5368A">
        <w:rPr>
          <w:rFonts w:ascii="Palatino Linotype" w:eastAsia="Palatino Linotype" w:hAnsi="Palatino Linotype" w:cs="Palatino Linotype"/>
          <w:sz w:val="24"/>
          <w:szCs w:val="24"/>
        </w:rPr>
        <w:t>a la solicitud</w:t>
      </w:r>
      <w:r w:rsidRPr="00E5368A">
        <w:rPr>
          <w:rFonts w:ascii="Palatino Linotype" w:eastAsia="Palatino Linotype" w:hAnsi="Palatino Linotype" w:cs="Palatino Linotype"/>
          <w:b/>
          <w:sz w:val="24"/>
          <w:szCs w:val="24"/>
        </w:rPr>
        <w:t xml:space="preserve"> </w:t>
      </w:r>
      <w:r w:rsidR="00CC4F06" w:rsidRPr="00E5368A">
        <w:rPr>
          <w:rFonts w:ascii="Palatino Linotype" w:eastAsia="Palatino Linotype" w:hAnsi="Palatino Linotype" w:cs="Palatino Linotype"/>
          <w:b/>
          <w:bCs/>
          <w:sz w:val="24"/>
          <w:szCs w:val="24"/>
        </w:rPr>
        <w:t xml:space="preserve"> 00069/PLEGISLA/IP/2024 </w:t>
      </w:r>
      <w:r w:rsidRPr="00E5368A">
        <w:rPr>
          <w:rFonts w:ascii="Palatino Linotype" w:eastAsia="Palatino Linotype" w:hAnsi="Palatino Linotype" w:cs="Palatino Linotype"/>
          <w:sz w:val="24"/>
          <w:szCs w:val="24"/>
        </w:rPr>
        <w:t>y se</w:t>
      </w:r>
      <w:r w:rsidRPr="00E5368A">
        <w:rPr>
          <w:rFonts w:ascii="Palatino Linotype" w:eastAsia="Palatino Linotype" w:hAnsi="Palatino Linotype" w:cs="Palatino Linotype"/>
          <w:b/>
          <w:sz w:val="24"/>
          <w:szCs w:val="24"/>
        </w:rPr>
        <w:t xml:space="preserve"> ORDENA </w:t>
      </w:r>
      <w:r w:rsidRPr="00E5368A">
        <w:rPr>
          <w:rFonts w:ascii="Palatino Linotype" w:eastAsia="Palatino Linotype" w:hAnsi="Palatino Linotype" w:cs="Palatino Linotype"/>
          <w:sz w:val="24"/>
          <w:szCs w:val="24"/>
        </w:rPr>
        <w:t>entregar vía Sistema de Acceso a la Información Mexiquense (SAIMEX), de ser procedente en versión pública, lo siguiente:</w:t>
      </w:r>
    </w:p>
    <w:p w:rsidR="00CC4F06" w:rsidRPr="00E5368A" w:rsidRDefault="00CC4F06" w:rsidP="006E08D5">
      <w:pPr>
        <w:pStyle w:val="Prrafodelista"/>
        <w:numPr>
          <w:ilvl w:val="0"/>
          <w:numId w:val="32"/>
        </w:numPr>
        <w:tabs>
          <w:tab w:val="left" w:pos="567"/>
        </w:tabs>
        <w:spacing w:line="360" w:lineRule="auto"/>
        <w:jc w:val="both"/>
        <w:rPr>
          <w:rFonts w:ascii="Palatino Linotype" w:eastAsia="Palatino Linotype" w:hAnsi="Palatino Linotype" w:cs="Palatino Linotype"/>
          <w:b/>
          <w:color w:val="000000"/>
        </w:rPr>
      </w:pPr>
      <w:r w:rsidRPr="00E5368A">
        <w:rPr>
          <w:rFonts w:ascii="Palatino Linotype" w:eastAsia="Palatino Linotype" w:hAnsi="Palatino Linotype" w:cs="Palatino Linotype"/>
          <w:b/>
          <w:color w:val="000000"/>
        </w:rPr>
        <w:t xml:space="preserve">Acuerdos </w:t>
      </w:r>
      <w:r w:rsidR="00663315" w:rsidRPr="00E5368A">
        <w:rPr>
          <w:rFonts w:ascii="Palatino Linotype" w:eastAsia="Palatino Linotype" w:hAnsi="Palatino Linotype" w:cs="Palatino Linotype"/>
          <w:b/>
          <w:color w:val="000000"/>
        </w:rPr>
        <w:t>d</w:t>
      </w:r>
      <w:r w:rsidR="00663315" w:rsidRPr="00E5368A">
        <w:rPr>
          <w:rFonts w:ascii="Palatino Linotype" w:eastAsia="Palatino Linotype" w:hAnsi="Palatino Linotype" w:cs="Palatino Linotype"/>
          <w:b/>
          <w:color w:val="000000"/>
          <w:lang w:val="es-MX"/>
        </w:rPr>
        <w:t>e fecha diecisiete de octubre de dos mil veintitrés</w:t>
      </w:r>
      <w:r w:rsidR="0069152E" w:rsidRPr="00E5368A">
        <w:rPr>
          <w:rFonts w:ascii="Palatino Linotype" w:eastAsia="Palatino Linotype" w:hAnsi="Palatino Linotype" w:cs="Palatino Linotype"/>
          <w:b/>
          <w:color w:val="000000"/>
          <w:lang w:val="es-MX"/>
        </w:rPr>
        <w:t xml:space="preserve"> y anexos,</w:t>
      </w:r>
      <w:r w:rsidR="00663315" w:rsidRPr="00E5368A">
        <w:rPr>
          <w:rFonts w:ascii="Palatino Linotype" w:eastAsia="Palatino Linotype" w:hAnsi="Palatino Linotype" w:cs="Palatino Linotype"/>
          <w:b/>
          <w:color w:val="000000"/>
          <w:lang w:val="es-MX"/>
        </w:rPr>
        <w:t xml:space="preserve"> </w:t>
      </w:r>
      <w:r w:rsidR="0069152E" w:rsidRPr="00E5368A">
        <w:rPr>
          <w:rFonts w:ascii="Palatino Linotype" w:eastAsia="Palatino Linotype" w:hAnsi="Palatino Linotype" w:cs="Palatino Linotype"/>
          <w:b/>
          <w:color w:val="000000"/>
          <w:lang w:val="es-MX"/>
        </w:rPr>
        <w:t>en los que</w:t>
      </w:r>
      <w:r w:rsidR="00663315" w:rsidRPr="00E5368A">
        <w:rPr>
          <w:rFonts w:ascii="Palatino Linotype" w:eastAsia="Palatino Linotype" w:hAnsi="Palatino Linotype" w:cs="Palatino Linotype"/>
          <w:b/>
          <w:color w:val="000000"/>
          <w:lang w:val="es-MX"/>
        </w:rPr>
        <w:t xml:space="preserve"> la Legislatura del Estado se declaró incompetente de seguir conociendo los diferendos limítrofes del Municipio de Teoloyucan</w:t>
      </w:r>
      <w:r w:rsidR="0069152E" w:rsidRPr="00E5368A">
        <w:rPr>
          <w:rFonts w:ascii="Palatino Linotype" w:eastAsia="Palatino Linotype" w:hAnsi="Palatino Linotype" w:cs="Palatino Linotype"/>
          <w:b/>
          <w:color w:val="000000"/>
          <w:lang w:val="es-MX"/>
        </w:rPr>
        <w:t>.</w:t>
      </w:r>
    </w:p>
    <w:p w:rsidR="0069152E" w:rsidRPr="00E5368A" w:rsidRDefault="0069152E" w:rsidP="0069152E">
      <w:pPr>
        <w:pStyle w:val="Prrafodelista"/>
        <w:tabs>
          <w:tab w:val="left" w:pos="567"/>
        </w:tabs>
        <w:spacing w:line="360" w:lineRule="auto"/>
        <w:jc w:val="both"/>
        <w:rPr>
          <w:rFonts w:ascii="Palatino Linotype" w:eastAsia="Palatino Linotype" w:hAnsi="Palatino Linotype" w:cs="Palatino Linotype"/>
          <w:b/>
          <w:color w:val="000000"/>
        </w:rPr>
      </w:pPr>
    </w:p>
    <w:p w:rsidR="00CC4F06" w:rsidRPr="00E5368A" w:rsidRDefault="00CC4F06" w:rsidP="007A33FF">
      <w:pPr>
        <w:spacing w:line="360" w:lineRule="auto"/>
        <w:jc w:val="both"/>
        <w:rPr>
          <w:rFonts w:ascii="Palatino Linotype" w:eastAsia="Calibri" w:hAnsi="Palatino Linotype" w:cs="Arial"/>
        </w:rPr>
      </w:pPr>
      <w:r w:rsidRPr="00E5368A">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E5368A">
        <w:rPr>
          <w:rFonts w:ascii="Palatino Linotype" w:eastAsia="Calibri" w:hAnsi="Palatino Linotype" w:cs="Arial"/>
          <w:b/>
        </w:rPr>
        <w:t>EL RECURRENTE</w:t>
      </w:r>
      <w:r w:rsidRPr="00E5368A">
        <w:rPr>
          <w:rFonts w:ascii="Palatino Linotype" w:eastAsia="Calibri" w:hAnsi="Palatino Linotype" w:cs="Arial"/>
        </w:rPr>
        <w:t>.</w:t>
      </w:r>
    </w:p>
    <w:p w:rsidR="007A33FF" w:rsidRPr="00E5368A" w:rsidRDefault="007A33FF" w:rsidP="007A33FF">
      <w:pPr>
        <w:spacing w:line="360" w:lineRule="auto"/>
        <w:jc w:val="both"/>
        <w:rPr>
          <w:rFonts w:ascii="Palatino Linotype" w:eastAsia="Calibri" w:hAnsi="Palatino Linotype" w:cs="Arial"/>
        </w:rPr>
      </w:pPr>
    </w:p>
    <w:p w:rsidR="005F1478" w:rsidRPr="00E5368A" w:rsidRDefault="005F1478" w:rsidP="005F1478">
      <w:pPr>
        <w:spacing w:line="360" w:lineRule="auto"/>
        <w:jc w:val="both"/>
        <w:rPr>
          <w:rFonts w:ascii="Palatino Linotype" w:eastAsia="Palatino Linotype" w:hAnsi="Palatino Linotype" w:cs="Palatino Linotype"/>
          <w:color w:val="000000"/>
          <w:sz w:val="24"/>
          <w:szCs w:val="24"/>
        </w:rPr>
      </w:pPr>
      <w:r w:rsidRPr="00E5368A">
        <w:rPr>
          <w:rFonts w:ascii="Palatino Linotype" w:eastAsia="Palatino Linotype" w:hAnsi="Palatino Linotype" w:cs="Palatino Linotype"/>
          <w:b/>
          <w:color w:val="000000"/>
          <w:sz w:val="24"/>
          <w:szCs w:val="24"/>
        </w:rPr>
        <w:t>TERCERO.</w:t>
      </w:r>
      <w:r w:rsidRPr="00E5368A">
        <w:rPr>
          <w:rFonts w:ascii="Palatino Linotype" w:eastAsia="Palatino Linotype" w:hAnsi="Palatino Linotype" w:cs="Palatino Linotype"/>
          <w:color w:val="000000"/>
          <w:sz w:val="24"/>
          <w:szCs w:val="24"/>
        </w:rPr>
        <w:t xml:space="preserve"> Notifíquese al Titular de la Unidad de Transparencia </w:t>
      </w:r>
      <w:r w:rsidRPr="00E5368A">
        <w:rPr>
          <w:rFonts w:ascii="Palatino Linotype" w:eastAsia="Palatino Linotype" w:hAnsi="Palatino Linotype" w:cs="Palatino Linotype"/>
          <w:color w:val="222222"/>
          <w:sz w:val="24"/>
          <w:szCs w:val="24"/>
        </w:rPr>
        <w:t xml:space="preserve">del </w:t>
      </w:r>
      <w:r w:rsidRPr="00E5368A">
        <w:rPr>
          <w:rFonts w:ascii="Palatino Linotype" w:eastAsia="Palatino Linotype" w:hAnsi="Palatino Linotype" w:cs="Palatino Linotype"/>
          <w:b/>
          <w:color w:val="222222"/>
          <w:sz w:val="24"/>
          <w:szCs w:val="24"/>
        </w:rPr>
        <w:t xml:space="preserve">SUJETO OBLIGADO </w:t>
      </w:r>
      <w:r w:rsidRPr="00E5368A">
        <w:rPr>
          <w:rFonts w:ascii="Palatino Linotype" w:eastAsia="Palatino Linotype" w:hAnsi="Palatino Linotype" w:cs="Palatino Linotype"/>
          <w:color w:val="222222"/>
          <w:sz w:val="24"/>
          <w:szCs w:val="24"/>
        </w:rPr>
        <w:t xml:space="preserve">la presente resolución, vía Sistema de Acceso a la Información Mexiquense </w:t>
      </w:r>
      <w:r w:rsidRPr="00E5368A">
        <w:rPr>
          <w:rFonts w:ascii="Palatino Linotype" w:eastAsia="Palatino Linotype" w:hAnsi="Palatino Linotype" w:cs="Palatino Linotype"/>
          <w:b/>
          <w:color w:val="222222"/>
          <w:sz w:val="24"/>
          <w:szCs w:val="24"/>
        </w:rPr>
        <w:t xml:space="preserve">(SAIMEX), </w:t>
      </w:r>
      <w:r w:rsidRPr="00E5368A">
        <w:rPr>
          <w:rFonts w:ascii="Palatino Linotype" w:eastAsia="Palatino Linotype" w:hAnsi="Palatino Linotype" w:cs="Palatino Linotype"/>
          <w:color w:val="222222"/>
          <w:sz w:val="24"/>
          <w:szCs w:val="24"/>
        </w:rPr>
        <w:t xml:space="preserve">para que conforme al artículo 186, último párrafo, 189, segundo párrafo, y 194 de la Ley de Transparencia y Acceso a la Información Pública </w:t>
      </w:r>
      <w:r w:rsidRPr="00E5368A">
        <w:rPr>
          <w:rFonts w:ascii="Palatino Linotype" w:eastAsia="Palatino Linotype" w:hAnsi="Palatino Linotype" w:cs="Palatino Linotype"/>
          <w:color w:val="222222"/>
          <w:sz w:val="24"/>
          <w:szCs w:val="24"/>
        </w:rPr>
        <w:lastRenderedPageBreak/>
        <w:t xml:space="preserve">del Estado de México y Municipios dé cumplimiento a lo ordenado dentro </w:t>
      </w:r>
      <w:r w:rsidRPr="00E5368A">
        <w:rPr>
          <w:rFonts w:ascii="Palatino Linotype" w:eastAsia="Palatino Linotype" w:hAnsi="Palatino Linotype" w:cs="Palatino Linotype"/>
          <w:b/>
          <w:bCs/>
          <w:color w:val="222222"/>
          <w:sz w:val="24"/>
          <w:szCs w:val="24"/>
        </w:rPr>
        <w:t>del plazo de diez días hábiles</w:t>
      </w:r>
      <w:r w:rsidRPr="00E5368A">
        <w:rPr>
          <w:rFonts w:ascii="Palatino Linotype" w:eastAsia="Palatino Linotype" w:hAnsi="Palatino Linotype" w:cs="Palatino Linotype"/>
          <w:color w:val="222222"/>
          <w:sz w:val="24"/>
          <w:szCs w:val="24"/>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5F1478" w:rsidRPr="00E5368A" w:rsidRDefault="005F1478" w:rsidP="005F1478">
      <w:pPr>
        <w:spacing w:line="360" w:lineRule="auto"/>
        <w:jc w:val="both"/>
        <w:rPr>
          <w:rFonts w:ascii="Palatino Linotype" w:eastAsia="Palatino Linotype" w:hAnsi="Palatino Linotype" w:cs="Palatino Linotype"/>
          <w:b/>
          <w:sz w:val="24"/>
          <w:szCs w:val="24"/>
        </w:rPr>
      </w:pPr>
    </w:p>
    <w:p w:rsidR="005F1478" w:rsidRPr="00E5368A" w:rsidRDefault="005F1478" w:rsidP="005F1478">
      <w:pPr>
        <w:spacing w:line="360" w:lineRule="auto"/>
        <w:jc w:val="both"/>
        <w:rPr>
          <w:rFonts w:ascii="Palatino Linotype" w:eastAsia="Palatino Linotype" w:hAnsi="Palatino Linotype" w:cs="Palatino Linotype"/>
          <w:b/>
          <w:sz w:val="24"/>
          <w:szCs w:val="24"/>
        </w:rPr>
      </w:pPr>
      <w:r w:rsidRPr="00E5368A">
        <w:rPr>
          <w:rFonts w:ascii="Palatino Linotype" w:eastAsia="Palatino Linotype" w:hAnsi="Palatino Linotype" w:cs="Palatino Linotype"/>
          <w:b/>
          <w:sz w:val="24"/>
          <w:szCs w:val="24"/>
        </w:rPr>
        <w:t>CUARTO. Notifíquese al RECURRENTE</w:t>
      </w:r>
      <w:r w:rsidRPr="00E5368A">
        <w:rPr>
          <w:rFonts w:ascii="Palatino Linotype" w:eastAsia="Palatino Linotype" w:hAnsi="Palatino Linotype" w:cs="Palatino Linotype"/>
          <w:sz w:val="24"/>
          <w:szCs w:val="24"/>
        </w:rPr>
        <w:t xml:space="preserve"> la presente resolución vía </w:t>
      </w:r>
      <w:r w:rsidRPr="00E5368A">
        <w:rPr>
          <w:rFonts w:ascii="Palatino Linotype" w:eastAsia="Palatino Linotype" w:hAnsi="Palatino Linotype" w:cs="Palatino Linotype"/>
          <w:b/>
          <w:sz w:val="24"/>
          <w:szCs w:val="24"/>
        </w:rPr>
        <w:t>SAIMEX</w:t>
      </w:r>
      <w:r w:rsidRPr="00E5368A">
        <w:rPr>
          <w:rFonts w:ascii="Palatino Linotype" w:eastAsia="Palatino Linotype" w:hAnsi="Palatino Linotype" w:cs="Palatino Linotype"/>
          <w:sz w:val="24"/>
          <w:szCs w:val="24"/>
        </w:rPr>
        <w:t>.</w:t>
      </w:r>
    </w:p>
    <w:p w:rsidR="005F1478" w:rsidRPr="00E5368A" w:rsidRDefault="005F1478" w:rsidP="005F1478">
      <w:pPr>
        <w:tabs>
          <w:tab w:val="left" w:pos="8080"/>
        </w:tabs>
        <w:spacing w:before="240" w:line="360" w:lineRule="auto"/>
        <w:ind w:right="49"/>
        <w:jc w:val="both"/>
        <w:rPr>
          <w:rFonts w:ascii="Palatino Linotype" w:eastAsia="Palatino Linotype" w:hAnsi="Palatino Linotype" w:cs="Palatino Linotype"/>
          <w:sz w:val="24"/>
          <w:szCs w:val="24"/>
        </w:rPr>
      </w:pPr>
      <w:r w:rsidRPr="00E5368A">
        <w:rPr>
          <w:rFonts w:ascii="Palatino Linotype" w:eastAsia="Palatino Linotype" w:hAnsi="Palatino Linotype" w:cs="Palatino Linotype"/>
          <w:b/>
          <w:sz w:val="24"/>
          <w:szCs w:val="24"/>
        </w:rPr>
        <w:t xml:space="preserve">QUINTO. </w:t>
      </w:r>
      <w:r w:rsidRPr="00E5368A">
        <w:rPr>
          <w:rFonts w:ascii="Palatino Linotype" w:eastAsia="Palatino Linotype" w:hAnsi="Palatino Linotype" w:cs="Palatino Linotype"/>
          <w:sz w:val="24"/>
          <w:szCs w:val="24"/>
        </w:rPr>
        <w:t>De conformidad con el artículo 198 de la Ley de Transparencia y Acceso a la Información Pública del Estado de México y Municipios, de considerarlo procedente, el</w:t>
      </w:r>
      <w:r w:rsidRPr="00E5368A">
        <w:rPr>
          <w:rFonts w:ascii="Palatino Linotype" w:eastAsia="Palatino Linotype" w:hAnsi="Palatino Linotype" w:cs="Palatino Linotype"/>
          <w:b/>
          <w:sz w:val="24"/>
          <w:szCs w:val="24"/>
        </w:rPr>
        <w:t xml:space="preserve"> SUJETO OBLIGADO </w:t>
      </w:r>
      <w:r w:rsidRPr="00E5368A">
        <w:rPr>
          <w:rFonts w:ascii="Palatino Linotype" w:eastAsia="Palatino Linotype" w:hAnsi="Palatino Linotype" w:cs="Palatino Linotype"/>
          <w:sz w:val="24"/>
          <w:szCs w:val="24"/>
        </w:rPr>
        <w:t>de manera fundada y motivada, podrá solicitar una ampliación de plazo para el cumplimiento de la presente resolución.</w:t>
      </w:r>
    </w:p>
    <w:p w:rsidR="005F1478" w:rsidRPr="00E5368A" w:rsidRDefault="005F1478" w:rsidP="005F1478">
      <w:pPr>
        <w:tabs>
          <w:tab w:val="left" w:pos="8080"/>
        </w:tabs>
        <w:spacing w:before="240" w:line="360" w:lineRule="auto"/>
        <w:ind w:right="49"/>
        <w:jc w:val="both"/>
        <w:rPr>
          <w:rFonts w:ascii="Palatino Linotype" w:eastAsia="Palatino Linotype" w:hAnsi="Palatino Linotype" w:cs="Palatino Linotype"/>
          <w:sz w:val="24"/>
          <w:szCs w:val="24"/>
        </w:rPr>
      </w:pPr>
      <w:r w:rsidRPr="00E5368A">
        <w:rPr>
          <w:rFonts w:ascii="Palatino Linotype" w:eastAsia="Palatino Linotype" w:hAnsi="Palatino Linotype" w:cs="Palatino Linotype"/>
          <w:b/>
          <w:sz w:val="24"/>
          <w:szCs w:val="24"/>
        </w:rPr>
        <w:t xml:space="preserve">SEXTO. </w:t>
      </w:r>
      <w:r w:rsidRPr="00E5368A">
        <w:rPr>
          <w:rFonts w:ascii="Palatino Linotype" w:eastAsia="Palatino Linotype" w:hAnsi="Palatino Linotype" w:cs="Palatino Linotype"/>
          <w:sz w:val="24"/>
          <w:szCs w:val="24"/>
        </w:rPr>
        <w:t xml:space="preserve">Se hace del conocimiento de </w:t>
      </w:r>
      <w:r w:rsidRPr="00E5368A">
        <w:rPr>
          <w:rFonts w:ascii="Palatino Linotype" w:eastAsia="Palatino Linotype" w:hAnsi="Palatino Linotype" w:cs="Palatino Linotype"/>
          <w:b/>
          <w:sz w:val="24"/>
          <w:szCs w:val="24"/>
        </w:rPr>
        <w:t>EL RECURRENTE</w:t>
      </w:r>
      <w:r w:rsidRPr="00E5368A">
        <w:rPr>
          <w:rFonts w:ascii="Palatino Linotype" w:eastAsia="Palatino Linotype" w:hAnsi="Palatino Linotype" w:cs="Palatino Linotype"/>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5F1478" w:rsidRPr="00E5368A" w:rsidRDefault="005F1478" w:rsidP="005F1478">
      <w:pPr>
        <w:tabs>
          <w:tab w:val="left" w:pos="8080"/>
        </w:tabs>
        <w:spacing w:before="240"/>
        <w:ind w:right="49"/>
        <w:jc w:val="both"/>
        <w:rPr>
          <w:rFonts w:ascii="Palatino Linotype" w:eastAsia="Palatino Linotype" w:hAnsi="Palatino Linotype" w:cs="Palatino Linotype"/>
          <w:sz w:val="24"/>
          <w:szCs w:val="24"/>
        </w:rPr>
      </w:pPr>
    </w:p>
    <w:p w:rsidR="007A33FF" w:rsidRPr="003C7186" w:rsidRDefault="007A33FF" w:rsidP="007A33FF">
      <w:pPr>
        <w:spacing w:line="360" w:lineRule="auto"/>
        <w:ind w:left="-142" w:right="-234" w:firstLine="1"/>
        <w:jc w:val="both"/>
        <w:rPr>
          <w:rFonts w:ascii="Palatino Linotype" w:hAnsi="Palatino Linotype"/>
        </w:rPr>
      </w:pPr>
      <w:r w:rsidRPr="00E5368A">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w:t>
      </w:r>
      <w:r w:rsidRPr="00E5368A">
        <w:rPr>
          <w:rFonts w:ascii="Palatino Linotype" w:hAnsi="Palatino Linotype"/>
        </w:rPr>
        <w:lastRenderedPageBreak/>
        <w:t>COMISIONADOS JOSÉ MARTÍNEZ VILCHIS; MARÍA DEL ROSARIO MEJÍA AYALA; SHARON CRISTINA MORALES MARTÍNEZ; LUIS GUSTAVO PARRA NORIEGA Y GUADALUPE RAMÍREZ PEÑA; EN LA SEGUNDA SESIÓN ORDINARIA CELEBRADA EL VEINTIDÓS (22) DE ENERO DE DOS MIL VEINTICINCO, ANTE EL SECRETARIO TÉCNICO DEL PLENO ALEXIS TAPIA RAMÍREZ.</w:t>
      </w:r>
      <w:bookmarkStart w:id="153" w:name="_GoBack"/>
      <w:bookmarkEnd w:id="153"/>
      <w:r w:rsidRPr="003C7186">
        <w:rPr>
          <w:rFonts w:ascii="Palatino Linotype" w:hAnsi="Palatino Linotype"/>
        </w:rPr>
        <w:t xml:space="preserve"> </w:t>
      </w:r>
    </w:p>
    <w:p w:rsidR="00791C1A" w:rsidRPr="00AE547F" w:rsidRDefault="00791C1A" w:rsidP="00791C1A">
      <w:pPr>
        <w:spacing w:line="360" w:lineRule="auto"/>
        <w:rPr>
          <w:rFonts w:ascii="Palatino Linotype" w:hAnsi="Palatino Linotype"/>
          <w:sz w:val="24"/>
          <w:szCs w:val="24"/>
        </w:rPr>
      </w:pPr>
    </w:p>
    <w:p w:rsidR="00791C1A" w:rsidRPr="00AE547F" w:rsidRDefault="00791C1A" w:rsidP="00791C1A">
      <w:pPr>
        <w:spacing w:line="360" w:lineRule="auto"/>
        <w:rPr>
          <w:rFonts w:ascii="Palatino Linotype" w:hAnsi="Palatino Linotype"/>
          <w:sz w:val="24"/>
          <w:szCs w:val="24"/>
        </w:rPr>
      </w:pPr>
    </w:p>
    <w:p w:rsidR="00791C1A" w:rsidRPr="00AE547F" w:rsidRDefault="00791C1A" w:rsidP="00791C1A">
      <w:pPr>
        <w:spacing w:line="360" w:lineRule="auto"/>
        <w:rPr>
          <w:rFonts w:ascii="Palatino Linotype" w:hAnsi="Palatino Linotype"/>
          <w:sz w:val="24"/>
          <w:szCs w:val="24"/>
        </w:rPr>
      </w:pPr>
    </w:p>
    <w:p w:rsidR="00791C1A" w:rsidRPr="00AE547F" w:rsidRDefault="00791C1A" w:rsidP="00791C1A">
      <w:pPr>
        <w:spacing w:line="360" w:lineRule="auto"/>
        <w:rPr>
          <w:rFonts w:ascii="Palatino Linotype" w:hAnsi="Palatino Linotype"/>
          <w:sz w:val="24"/>
          <w:szCs w:val="24"/>
        </w:rPr>
      </w:pPr>
    </w:p>
    <w:p w:rsidR="00791C1A" w:rsidRPr="00AE547F" w:rsidRDefault="00791C1A" w:rsidP="00791C1A">
      <w:pPr>
        <w:spacing w:line="360" w:lineRule="auto"/>
        <w:rPr>
          <w:rFonts w:ascii="Palatino Linotype" w:hAnsi="Palatino Linotype"/>
          <w:sz w:val="24"/>
          <w:szCs w:val="24"/>
        </w:rPr>
      </w:pPr>
    </w:p>
    <w:p w:rsidR="00791C1A" w:rsidRPr="00AE547F" w:rsidRDefault="00791C1A" w:rsidP="00791C1A">
      <w:pPr>
        <w:spacing w:line="360" w:lineRule="auto"/>
        <w:rPr>
          <w:rFonts w:ascii="Palatino Linotype" w:hAnsi="Palatino Linotype"/>
          <w:sz w:val="24"/>
          <w:szCs w:val="24"/>
        </w:rPr>
      </w:pPr>
    </w:p>
    <w:p w:rsidR="00791C1A" w:rsidRPr="00AE547F" w:rsidRDefault="00791C1A" w:rsidP="00791C1A">
      <w:pPr>
        <w:spacing w:line="360" w:lineRule="auto"/>
        <w:rPr>
          <w:rFonts w:ascii="Palatino Linotype" w:hAnsi="Palatino Linotype"/>
          <w:sz w:val="24"/>
          <w:szCs w:val="24"/>
        </w:rPr>
      </w:pPr>
    </w:p>
    <w:p w:rsidR="00791C1A" w:rsidRPr="00AE547F" w:rsidRDefault="00791C1A" w:rsidP="00791C1A">
      <w:pPr>
        <w:tabs>
          <w:tab w:val="left" w:pos="3374"/>
        </w:tabs>
        <w:spacing w:line="360" w:lineRule="auto"/>
        <w:rPr>
          <w:rFonts w:ascii="Palatino Linotype" w:hAnsi="Palatino Linotype"/>
          <w:sz w:val="24"/>
          <w:szCs w:val="24"/>
        </w:rPr>
      </w:pPr>
      <w:r w:rsidRPr="00AE547F">
        <w:rPr>
          <w:rFonts w:ascii="Palatino Linotype" w:hAnsi="Palatino Linotype"/>
          <w:sz w:val="24"/>
          <w:szCs w:val="24"/>
        </w:rPr>
        <w:tab/>
      </w:r>
    </w:p>
    <w:p w:rsidR="00791C1A" w:rsidRPr="00AE547F" w:rsidRDefault="00791C1A" w:rsidP="00791C1A">
      <w:pPr>
        <w:tabs>
          <w:tab w:val="left" w:pos="3374"/>
        </w:tabs>
        <w:spacing w:line="360" w:lineRule="auto"/>
        <w:rPr>
          <w:rFonts w:ascii="Palatino Linotype" w:hAnsi="Palatino Linotype"/>
          <w:sz w:val="24"/>
          <w:szCs w:val="24"/>
        </w:rPr>
      </w:pPr>
    </w:p>
    <w:p w:rsidR="00791C1A" w:rsidRPr="00AE547F" w:rsidRDefault="00791C1A" w:rsidP="00791C1A">
      <w:pPr>
        <w:tabs>
          <w:tab w:val="left" w:pos="3374"/>
        </w:tabs>
        <w:spacing w:line="360" w:lineRule="auto"/>
        <w:rPr>
          <w:rFonts w:ascii="Palatino Linotype" w:hAnsi="Palatino Linotype"/>
          <w:sz w:val="24"/>
          <w:szCs w:val="24"/>
        </w:rPr>
      </w:pPr>
    </w:p>
    <w:p w:rsidR="00791C1A" w:rsidRPr="00AE547F" w:rsidRDefault="00791C1A" w:rsidP="00791C1A">
      <w:pPr>
        <w:tabs>
          <w:tab w:val="left" w:pos="3374"/>
        </w:tabs>
        <w:spacing w:line="360" w:lineRule="auto"/>
        <w:rPr>
          <w:rFonts w:ascii="Palatino Linotype" w:hAnsi="Palatino Linotype"/>
          <w:sz w:val="24"/>
          <w:szCs w:val="24"/>
        </w:rPr>
      </w:pPr>
    </w:p>
    <w:p w:rsidR="00791C1A" w:rsidRPr="00AE547F" w:rsidRDefault="00791C1A" w:rsidP="00791C1A">
      <w:pPr>
        <w:tabs>
          <w:tab w:val="left" w:pos="3374"/>
        </w:tabs>
        <w:spacing w:line="360" w:lineRule="auto"/>
        <w:rPr>
          <w:rFonts w:ascii="Palatino Linotype" w:hAnsi="Palatino Linotype"/>
          <w:sz w:val="24"/>
          <w:szCs w:val="24"/>
        </w:rPr>
      </w:pPr>
    </w:p>
    <w:p w:rsidR="00791C1A" w:rsidRPr="00AE547F" w:rsidRDefault="00791C1A" w:rsidP="00791C1A">
      <w:pPr>
        <w:tabs>
          <w:tab w:val="left" w:pos="3374"/>
        </w:tabs>
        <w:spacing w:line="360" w:lineRule="auto"/>
        <w:rPr>
          <w:rFonts w:ascii="Palatino Linotype" w:hAnsi="Palatino Linotype"/>
          <w:sz w:val="24"/>
          <w:szCs w:val="24"/>
        </w:rPr>
      </w:pPr>
    </w:p>
    <w:p w:rsidR="00791C1A" w:rsidRPr="00AE547F" w:rsidRDefault="00791C1A" w:rsidP="00791C1A">
      <w:pPr>
        <w:tabs>
          <w:tab w:val="left" w:pos="3374"/>
        </w:tabs>
        <w:spacing w:line="360" w:lineRule="auto"/>
        <w:rPr>
          <w:rFonts w:ascii="Palatino Linotype" w:hAnsi="Palatino Linotype"/>
          <w:sz w:val="24"/>
          <w:szCs w:val="24"/>
        </w:rPr>
      </w:pPr>
    </w:p>
    <w:p w:rsidR="00791C1A" w:rsidRPr="00AE547F" w:rsidRDefault="00791C1A" w:rsidP="00791C1A">
      <w:pPr>
        <w:tabs>
          <w:tab w:val="left" w:pos="3374"/>
        </w:tabs>
        <w:spacing w:line="360" w:lineRule="auto"/>
        <w:rPr>
          <w:rFonts w:ascii="Palatino Linotype" w:hAnsi="Palatino Linotype"/>
          <w:sz w:val="24"/>
          <w:szCs w:val="24"/>
        </w:rPr>
      </w:pPr>
    </w:p>
    <w:p w:rsidR="00791C1A" w:rsidRPr="00AE547F" w:rsidRDefault="00791C1A" w:rsidP="00791C1A">
      <w:pPr>
        <w:tabs>
          <w:tab w:val="left" w:pos="3374"/>
        </w:tabs>
        <w:spacing w:line="360" w:lineRule="auto"/>
        <w:rPr>
          <w:rFonts w:ascii="Palatino Linotype" w:hAnsi="Palatino Linotype"/>
          <w:sz w:val="24"/>
          <w:szCs w:val="24"/>
        </w:rPr>
      </w:pPr>
    </w:p>
    <w:p w:rsidR="00791C1A" w:rsidRPr="00AE547F" w:rsidRDefault="00791C1A" w:rsidP="00791C1A">
      <w:pPr>
        <w:tabs>
          <w:tab w:val="left" w:pos="3374"/>
        </w:tabs>
        <w:spacing w:line="360" w:lineRule="auto"/>
        <w:rPr>
          <w:rFonts w:ascii="Palatino Linotype" w:hAnsi="Palatino Linotype"/>
          <w:sz w:val="24"/>
          <w:szCs w:val="24"/>
        </w:rPr>
      </w:pPr>
    </w:p>
    <w:p w:rsidR="00135F97" w:rsidRPr="00AE547F" w:rsidRDefault="00135F97">
      <w:pPr>
        <w:rPr>
          <w:rFonts w:ascii="Palatino Linotype" w:hAnsi="Palatino Linotype"/>
          <w:sz w:val="24"/>
          <w:szCs w:val="24"/>
        </w:rPr>
      </w:pPr>
    </w:p>
    <w:sectPr w:rsidR="00135F97" w:rsidRPr="00AE547F" w:rsidSect="00C47343">
      <w:headerReference w:type="even" r:id="rId13"/>
      <w:headerReference w:type="default" r:id="rId14"/>
      <w:footerReference w:type="default" r:id="rId15"/>
      <w:headerReference w:type="first" r:id="rId16"/>
      <w:footerReference w:type="first" r:id="rId17"/>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E37" w:rsidRDefault="00E70E37" w:rsidP="00791C1A">
      <w:pPr>
        <w:spacing w:after="0" w:line="240" w:lineRule="auto"/>
      </w:pPr>
      <w:r>
        <w:separator/>
      </w:r>
    </w:p>
  </w:endnote>
  <w:endnote w:type="continuationSeparator" w:id="0">
    <w:p w:rsidR="00E70E37" w:rsidRDefault="00E70E37" w:rsidP="0079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172689" w:rsidRPr="002D6DD8" w:rsidRDefault="00172689"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5368A">
              <w:rPr>
                <w:rFonts w:ascii="Palatino Linotype" w:hAnsi="Palatino Linotype"/>
                <w:bCs/>
                <w:noProof/>
                <w:sz w:val="20"/>
              </w:rPr>
              <w:t>5</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5368A">
              <w:rPr>
                <w:rFonts w:ascii="Palatino Linotype" w:hAnsi="Palatino Linotype"/>
                <w:bCs/>
                <w:noProof/>
                <w:sz w:val="20"/>
              </w:rPr>
              <w:t>50</w:t>
            </w:r>
            <w:r>
              <w:rPr>
                <w:rFonts w:ascii="Palatino Linotype" w:hAnsi="Palatino Linotype"/>
                <w:bCs/>
                <w:noProof/>
                <w:sz w:val="20"/>
              </w:rPr>
              <w:fldChar w:fldCharType="end"/>
            </w:r>
          </w:p>
        </w:sdtContent>
      </w:sdt>
    </w:sdtContent>
  </w:sdt>
  <w:p w:rsidR="00172689" w:rsidRDefault="001726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689" w:rsidRPr="000B69FA" w:rsidRDefault="00172689"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5368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5368A">
      <w:rPr>
        <w:rFonts w:ascii="Palatino Linotype" w:hAnsi="Palatino Linotype"/>
        <w:bCs/>
        <w:noProof/>
        <w:sz w:val="20"/>
      </w:rPr>
      <w:t>50</w:t>
    </w:r>
    <w:r>
      <w:rPr>
        <w:rFonts w:ascii="Palatino Linotype" w:hAnsi="Palatino Linotype"/>
        <w:bCs/>
        <w:noProof/>
        <w:sz w:val="20"/>
      </w:rPr>
      <w:fldChar w:fldCharType="end"/>
    </w:r>
  </w:p>
  <w:p w:rsidR="00172689" w:rsidRDefault="001726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E37" w:rsidRDefault="00E70E37" w:rsidP="00791C1A">
      <w:pPr>
        <w:spacing w:after="0" w:line="240" w:lineRule="auto"/>
      </w:pPr>
      <w:r>
        <w:separator/>
      </w:r>
    </w:p>
  </w:footnote>
  <w:footnote w:type="continuationSeparator" w:id="0">
    <w:p w:rsidR="00E70E37" w:rsidRDefault="00E70E37" w:rsidP="00791C1A">
      <w:pPr>
        <w:spacing w:after="0" w:line="240" w:lineRule="auto"/>
      </w:pPr>
      <w:r>
        <w:continuationSeparator/>
      </w:r>
    </w:p>
  </w:footnote>
  <w:footnote w:id="1">
    <w:p w:rsidR="00172689" w:rsidRPr="00F74E6D" w:rsidRDefault="00172689" w:rsidP="00B40D3E">
      <w:pPr>
        <w:pStyle w:val="Textonotapie"/>
      </w:pPr>
      <w:r>
        <w:rPr>
          <w:rStyle w:val="Refdenotaalpie"/>
        </w:rPr>
        <w:footnoteRef/>
      </w:r>
      <w:r>
        <w:t xml:space="preserve"> </w:t>
      </w:r>
      <w:r w:rsidRPr="00C27907">
        <w:t xml:space="preserve">Visible en: </w:t>
      </w:r>
      <w:hyperlink r:id="rId1" w:history="1">
        <w:r w:rsidRPr="00C27907">
          <w:rPr>
            <w:rStyle w:val="Hipervnculo"/>
            <w:i/>
          </w:rPr>
          <w:t>http://sjf.scjn.gob.mx/SJFSist/Documentos/Tesis/170/170722.pdf</w:t>
        </w:r>
      </w:hyperlink>
      <w:r>
        <w:t>. Consultado en fecha 18 de marzo de 2019.</w:t>
      </w:r>
    </w:p>
  </w:footnote>
  <w:footnote w:id="2">
    <w:p w:rsidR="00172689" w:rsidRDefault="00172689" w:rsidP="00B40D3E">
      <w:pPr>
        <w:pStyle w:val="Textonotapie"/>
      </w:pPr>
      <w:r>
        <w:rPr>
          <w:rStyle w:val="Refdenotaalpie"/>
        </w:rPr>
        <w:footnoteRef/>
      </w:r>
      <w:r>
        <w:t xml:space="preserve"> Al respecto la fracd6n XII del artículo 3 de la ley General de Transparencia y Acceso a la Información Pública, define a la información de Interés público como:</w:t>
      </w:r>
    </w:p>
    <w:p w:rsidR="00172689" w:rsidRDefault="00172689" w:rsidP="00B40D3E">
      <w:pPr>
        <w:pStyle w:val="Textonotapie"/>
      </w:pPr>
    </w:p>
    <w:p w:rsidR="00172689" w:rsidRDefault="00172689" w:rsidP="00B40D3E">
      <w:pPr>
        <w:pStyle w:val="Textonotapie"/>
      </w:pPr>
      <w:r>
        <w:t>Artículo 3. Para los efectos de la presente Ley se entenderá por:</w:t>
      </w:r>
    </w:p>
    <w:p w:rsidR="00172689" w:rsidRDefault="00172689" w:rsidP="00B40D3E">
      <w:pPr>
        <w:pStyle w:val="Textonotapie"/>
      </w:pPr>
      <w:r>
        <w:t>…</w:t>
      </w:r>
    </w:p>
    <w:p w:rsidR="00172689" w:rsidRDefault="00172689" w:rsidP="00B40D3E">
      <w:pPr>
        <w:pStyle w:val="Textonotapie"/>
      </w:pPr>
      <w:r w:rsidRPr="00DD0357">
        <w:rPr>
          <w:b/>
        </w:rPr>
        <w:t>XII. Información de interés público: Se refiere a la información que resulta relevante o beneficiosa para la sociedad y no simplemente de interés individual</w:t>
      </w:r>
      <w:r>
        <w:t>, cuya divulgación resulta útil para que el público comprenda las actividades que llevan a cabo los sujetos obligados;</w:t>
      </w:r>
    </w:p>
    <w:p w:rsidR="00172689" w:rsidRPr="00C27907" w:rsidRDefault="00172689" w:rsidP="00B40D3E">
      <w:pPr>
        <w:pStyle w:val="Textonotapie"/>
      </w:pPr>
      <w:r>
        <w:t>…</w:t>
      </w:r>
    </w:p>
    <w:p w:rsidR="00172689" w:rsidRDefault="00172689" w:rsidP="00B40D3E">
      <w:pPr>
        <w:pStyle w:val="Textonotapie"/>
        <w:jc w:val="both"/>
      </w:pPr>
    </w:p>
  </w:footnote>
  <w:footnote w:id="3">
    <w:p w:rsidR="00172689" w:rsidRDefault="00172689" w:rsidP="00B40D3E">
      <w:pPr>
        <w:pStyle w:val="Textonotapie"/>
        <w:jc w:val="both"/>
      </w:pPr>
      <w:r>
        <w:rPr>
          <w:rStyle w:val="Refdenotaalpie"/>
        </w:rPr>
        <w:footnoteRef/>
      </w:r>
      <w:r>
        <w:t xml:space="preserve"> </w:t>
      </w:r>
      <w:r w:rsidRPr="003557BE">
        <w:t>Michelle Zezza</w:t>
      </w:r>
      <w:r>
        <w:t xml:space="preserve">. </w:t>
      </w:r>
      <w:r w:rsidRPr="0092679B">
        <w:t>LA RACIONALIDAD DE LA PONDERACIÓN JUDICIAL: ANÁLISIS DE LAS TEORÍAS DE ROBERT ALEXY Y RICCARDO GUASTINI</w:t>
      </w:r>
      <w:r>
        <w:t xml:space="preserve">” Universidad Carlos III de Madrid. 2006. Visible en: </w:t>
      </w:r>
      <w:hyperlink r:id="rId2" w:history="1">
        <w:r w:rsidRPr="00260B04">
          <w:rPr>
            <w:rStyle w:val="Hipervnculo"/>
          </w:rPr>
          <w:t>https://e-archivo.uc3m.es/bitstream/handle/10016/26545/WF-18-03.pdf</w:t>
        </w:r>
      </w:hyperlink>
      <w:r>
        <w:t>.</w:t>
      </w:r>
    </w:p>
    <w:p w:rsidR="00172689" w:rsidRDefault="00172689" w:rsidP="00B40D3E">
      <w:pPr>
        <w:pStyle w:val="Textonotapie"/>
        <w:jc w:val="both"/>
      </w:pPr>
    </w:p>
    <w:p w:rsidR="00172689" w:rsidRDefault="00172689" w:rsidP="00B40D3E">
      <w:pPr>
        <w:pStyle w:val="Textonotapie"/>
        <w:jc w:val="both"/>
      </w:pPr>
    </w:p>
  </w:footnote>
  <w:footnote w:id="4">
    <w:p w:rsidR="00172689" w:rsidRPr="00320DFC" w:rsidRDefault="00172689" w:rsidP="00B40D3E">
      <w:pPr>
        <w:pStyle w:val="Textonotapie"/>
        <w:rPr>
          <w:sz w:val="16"/>
          <w:szCs w:val="16"/>
        </w:rPr>
      </w:pPr>
      <w:r w:rsidRPr="00320DFC">
        <w:rPr>
          <w:rStyle w:val="Refdenotaalpie"/>
          <w:sz w:val="16"/>
          <w:szCs w:val="16"/>
        </w:rPr>
        <w:footnoteRef/>
      </w:r>
      <w:r w:rsidRPr="00320DFC">
        <w:rPr>
          <w:sz w:val="16"/>
          <w:szCs w:val="16"/>
        </w:rPr>
        <w:t xml:space="preserve"> S</w:t>
      </w:r>
      <w:r w:rsidRPr="00320DFC">
        <w:rPr>
          <w:rFonts w:ascii="Palatino Linotype" w:hAnsi="Palatino Linotype"/>
          <w:sz w:val="16"/>
          <w:szCs w:val="16"/>
        </w:rPr>
        <w:t>entencia de fecha 19 de septiembre de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689" w:rsidRDefault="00E70E3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172689" w:rsidTr="00C47343">
      <w:trPr>
        <w:trHeight w:val="227"/>
      </w:trPr>
      <w:tc>
        <w:tcPr>
          <w:tcW w:w="2976" w:type="dxa"/>
          <w:vAlign w:val="center"/>
          <w:hideMark/>
        </w:tcPr>
        <w:p w:rsidR="00172689" w:rsidRPr="00674A46" w:rsidRDefault="00172689" w:rsidP="00FA172A">
          <w:pPr>
            <w:spacing w:after="0"/>
            <w:ind w:right="34"/>
            <w:jc w:val="right"/>
            <w:rPr>
              <w:rFonts w:ascii="Palatino Linotype" w:hAnsi="Palatino Linotype"/>
              <w:b/>
            </w:rPr>
          </w:pPr>
          <w:r w:rsidRPr="00674A46">
            <w:rPr>
              <w:rFonts w:ascii="Palatino Linotype" w:hAnsi="Palatino Linotype"/>
              <w:b/>
            </w:rPr>
            <w:t xml:space="preserve">Recurso </w:t>
          </w:r>
          <w:r>
            <w:rPr>
              <w:rFonts w:ascii="Palatino Linotype" w:hAnsi="Palatino Linotype"/>
              <w:b/>
            </w:rPr>
            <w:t>d</w:t>
          </w:r>
          <w:r w:rsidRPr="00674A46">
            <w:rPr>
              <w:rFonts w:ascii="Palatino Linotype" w:hAnsi="Palatino Linotype"/>
              <w:b/>
            </w:rPr>
            <w:t>e Revisión:</w:t>
          </w:r>
        </w:p>
      </w:tc>
      <w:tc>
        <w:tcPr>
          <w:tcW w:w="3543" w:type="dxa"/>
          <w:vAlign w:val="center"/>
          <w:hideMark/>
        </w:tcPr>
        <w:p w:rsidR="00172689" w:rsidRPr="00485ED8" w:rsidRDefault="00172689" w:rsidP="00FA172A">
          <w:pPr>
            <w:pStyle w:val="Encabezado"/>
            <w:rPr>
              <w:rFonts w:ascii="Palatino Linotype" w:hAnsi="Palatino Linotype"/>
              <w:b/>
              <w:sz w:val="22"/>
              <w:szCs w:val="22"/>
            </w:rPr>
          </w:pPr>
          <w:r>
            <w:rPr>
              <w:rFonts w:ascii="Palatino Linotype" w:hAnsi="Palatino Linotype" w:cs="Arial"/>
              <w:b/>
              <w:bCs/>
              <w:sz w:val="22"/>
              <w:szCs w:val="22"/>
              <w:lang w:val="es-MX" w:eastAsia="es-MX"/>
            </w:rPr>
            <w:t> </w:t>
          </w:r>
          <w:r w:rsidRPr="006A623E">
            <w:rPr>
              <w:rFonts w:ascii="Palatino Linotype" w:hAnsi="Palatino Linotype" w:cs="Arial"/>
              <w:b/>
              <w:bCs/>
              <w:sz w:val="22"/>
              <w:szCs w:val="22"/>
              <w:lang w:val="es-MX" w:eastAsia="es-MX"/>
            </w:rPr>
            <w:t>01448/INFOEM/IP/RR/2024</w:t>
          </w:r>
        </w:p>
      </w:tc>
    </w:tr>
    <w:tr w:rsidR="00172689" w:rsidTr="00C47343">
      <w:trPr>
        <w:trHeight w:val="242"/>
      </w:trPr>
      <w:tc>
        <w:tcPr>
          <w:tcW w:w="2976" w:type="dxa"/>
          <w:vAlign w:val="center"/>
          <w:hideMark/>
        </w:tcPr>
        <w:p w:rsidR="00172689" w:rsidRPr="00674A46" w:rsidRDefault="00172689" w:rsidP="00FA172A">
          <w:pPr>
            <w:spacing w:after="0"/>
            <w:ind w:right="34"/>
            <w:jc w:val="right"/>
            <w:rPr>
              <w:rFonts w:ascii="Palatino Linotype" w:hAnsi="Palatino Linotype"/>
              <w:b/>
            </w:rPr>
          </w:pPr>
          <w:r w:rsidRPr="00674A46">
            <w:rPr>
              <w:rFonts w:ascii="Palatino Linotype" w:hAnsi="Palatino Linotype"/>
              <w:b/>
            </w:rPr>
            <w:t>Sujeto Obligado:</w:t>
          </w:r>
        </w:p>
      </w:tc>
      <w:tc>
        <w:tcPr>
          <w:tcW w:w="3543" w:type="dxa"/>
          <w:vAlign w:val="center"/>
          <w:hideMark/>
        </w:tcPr>
        <w:p w:rsidR="00172689" w:rsidRPr="00485ED8" w:rsidRDefault="00172689" w:rsidP="00FA172A">
          <w:pPr>
            <w:pStyle w:val="Encabezado"/>
            <w:jc w:val="both"/>
            <w:rPr>
              <w:rFonts w:ascii="Palatino Linotype" w:hAnsi="Palatino Linotype"/>
              <w:b/>
              <w:sz w:val="22"/>
              <w:szCs w:val="22"/>
            </w:rPr>
          </w:pPr>
          <w:r w:rsidRPr="006A623E">
            <w:rPr>
              <w:rFonts w:ascii="Palatino Linotype" w:hAnsi="Palatino Linotype"/>
              <w:b/>
              <w:bCs/>
              <w:color w:val="000000"/>
              <w:sz w:val="22"/>
              <w:szCs w:val="22"/>
              <w:lang w:val="es-MX"/>
            </w:rPr>
            <w:t>Poder Legislativo</w:t>
          </w:r>
        </w:p>
      </w:tc>
    </w:tr>
    <w:tr w:rsidR="00172689" w:rsidTr="00C47343">
      <w:trPr>
        <w:trHeight w:val="342"/>
      </w:trPr>
      <w:tc>
        <w:tcPr>
          <w:tcW w:w="2976" w:type="dxa"/>
          <w:vAlign w:val="center"/>
          <w:hideMark/>
        </w:tcPr>
        <w:p w:rsidR="00172689" w:rsidRPr="00674A46" w:rsidRDefault="00172689" w:rsidP="00FA172A">
          <w:pPr>
            <w:spacing w:after="0"/>
            <w:ind w:right="34"/>
            <w:jc w:val="right"/>
            <w:rPr>
              <w:rFonts w:ascii="Palatino Linotype" w:hAnsi="Palatino Linotype"/>
              <w:b/>
            </w:rPr>
          </w:pPr>
          <w:r>
            <w:rPr>
              <w:rFonts w:ascii="Palatino Linotype" w:hAnsi="Palatino Linotype"/>
              <w:b/>
            </w:rPr>
            <w:t>Comisionada</w:t>
          </w:r>
          <w:r w:rsidRPr="00674A46">
            <w:rPr>
              <w:rFonts w:ascii="Palatino Linotype" w:hAnsi="Palatino Linotype"/>
              <w:b/>
            </w:rPr>
            <w:t xml:space="preserve"> Ponente:</w:t>
          </w:r>
        </w:p>
      </w:tc>
      <w:tc>
        <w:tcPr>
          <w:tcW w:w="3543" w:type="dxa"/>
          <w:vAlign w:val="center"/>
          <w:hideMark/>
        </w:tcPr>
        <w:p w:rsidR="00172689" w:rsidRPr="00485ED8" w:rsidRDefault="00172689" w:rsidP="00FA172A">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rsidR="00172689" w:rsidRPr="00AE046A" w:rsidRDefault="00E70E37" w:rsidP="00C47343">
    <w:pPr>
      <w:pStyle w:val="Encabezado"/>
      <w:tabs>
        <w:tab w:val="clear" w:pos="4419"/>
        <w:tab w:val="clear" w:pos="8838"/>
        <w:tab w:val="left" w:pos="6005"/>
      </w:tabs>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172689" w:rsidTr="00C47343">
      <w:trPr>
        <w:trHeight w:val="227"/>
      </w:trPr>
      <w:tc>
        <w:tcPr>
          <w:tcW w:w="2977" w:type="dxa"/>
          <w:vAlign w:val="center"/>
          <w:hideMark/>
        </w:tcPr>
        <w:p w:rsidR="00172689" w:rsidRPr="00674A46" w:rsidRDefault="00172689" w:rsidP="00FA172A">
          <w:pPr>
            <w:spacing w:after="0" w:line="240" w:lineRule="auto"/>
            <w:jc w:val="right"/>
            <w:rPr>
              <w:rFonts w:ascii="Palatino Linotype" w:hAnsi="Palatino Linotype"/>
              <w:b/>
            </w:rPr>
          </w:pPr>
          <w:r>
            <w:rPr>
              <w:rFonts w:ascii="Palatino Linotype" w:hAnsi="Palatino Linotype"/>
              <w:b/>
            </w:rPr>
            <w:t>Recurso d</w:t>
          </w:r>
          <w:r w:rsidRPr="00674A46">
            <w:rPr>
              <w:rFonts w:ascii="Palatino Linotype" w:hAnsi="Palatino Linotype"/>
              <w:b/>
            </w:rPr>
            <w:t>e Revisión:</w:t>
          </w:r>
        </w:p>
      </w:tc>
      <w:tc>
        <w:tcPr>
          <w:tcW w:w="3684" w:type="dxa"/>
          <w:vAlign w:val="center"/>
          <w:hideMark/>
        </w:tcPr>
        <w:p w:rsidR="00172689" w:rsidRPr="00485ED8" w:rsidRDefault="00172689" w:rsidP="00FA172A">
          <w:pPr>
            <w:pStyle w:val="Encabezado"/>
            <w:spacing w:line="276" w:lineRule="auto"/>
            <w:rPr>
              <w:rFonts w:ascii="Palatino Linotype" w:hAnsi="Palatino Linotype"/>
              <w:b/>
              <w:sz w:val="22"/>
              <w:szCs w:val="22"/>
            </w:rPr>
          </w:pPr>
          <w:r>
            <w:rPr>
              <w:rFonts w:ascii="Palatino Linotype" w:hAnsi="Palatino Linotype" w:cs="Arial"/>
              <w:b/>
              <w:bCs/>
              <w:sz w:val="22"/>
              <w:szCs w:val="22"/>
              <w:lang w:val="es-MX" w:eastAsia="es-MX"/>
            </w:rPr>
            <w:t> </w:t>
          </w:r>
          <w:r w:rsidRPr="006A623E">
            <w:rPr>
              <w:rFonts w:ascii="Palatino Linotype" w:hAnsi="Palatino Linotype" w:cs="Arial"/>
              <w:b/>
              <w:bCs/>
              <w:sz w:val="22"/>
              <w:szCs w:val="22"/>
              <w:lang w:val="es-MX" w:eastAsia="es-MX"/>
            </w:rPr>
            <w:t>01448/INFOEM/IP/RR/2024</w:t>
          </w:r>
        </w:p>
      </w:tc>
    </w:tr>
    <w:tr w:rsidR="00172689" w:rsidTr="00C47343">
      <w:trPr>
        <w:trHeight w:val="242"/>
      </w:trPr>
      <w:tc>
        <w:tcPr>
          <w:tcW w:w="2977" w:type="dxa"/>
          <w:vAlign w:val="center"/>
          <w:hideMark/>
        </w:tcPr>
        <w:p w:rsidR="00172689" w:rsidRPr="00674A46" w:rsidRDefault="00172689" w:rsidP="00FA172A">
          <w:pPr>
            <w:spacing w:after="0" w:line="240" w:lineRule="auto"/>
            <w:jc w:val="right"/>
            <w:rPr>
              <w:rFonts w:ascii="Palatino Linotype" w:hAnsi="Palatino Linotype"/>
              <w:b/>
            </w:rPr>
          </w:pPr>
          <w:r w:rsidRPr="00674A46">
            <w:rPr>
              <w:rFonts w:ascii="Palatino Linotype" w:hAnsi="Palatino Linotype"/>
              <w:b/>
            </w:rPr>
            <w:t>Recurrente:</w:t>
          </w:r>
        </w:p>
      </w:tc>
      <w:tc>
        <w:tcPr>
          <w:tcW w:w="3684" w:type="dxa"/>
        </w:tcPr>
        <w:p w:rsidR="00172689" w:rsidRPr="00B75F20" w:rsidRDefault="00E5368A" w:rsidP="00FA172A">
          <w:pPr>
            <w:pStyle w:val="Encabezado"/>
            <w:tabs>
              <w:tab w:val="left" w:pos="521"/>
            </w:tabs>
            <w:spacing w:line="276" w:lineRule="auto"/>
            <w:rPr>
              <w:rFonts w:ascii="Palatino Linotype" w:hAnsi="Palatino Linotype"/>
              <w:b/>
              <w:sz w:val="22"/>
              <w:szCs w:val="22"/>
            </w:rPr>
          </w:pPr>
          <w:r>
            <w:rPr>
              <w:rFonts w:ascii="Palatino Linotype" w:hAnsi="Palatino Linotype"/>
              <w:b/>
              <w:bCs/>
              <w:sz w:val="22"/>
              <w:szCs w:val="22"/>
              <w:lang w:val="es-MX"/>
            </w:rPr>
            <w:t>XXXXXXXXXX</w:t>
          </w:r>
        </w:p>
      </w:tc>
    </w:tr>
    <w:tr w:rsidR="00172689" w:rsidTr="00C47343">
      <w:trPr>
        <w:trHeight w:val="342"/>
      </w:trPr>
      <w:tc>
        <w:tcPr>
          <w:tcW w:w="2977" w:type="dxa"/>
          <w:vAlign w:val="center"/>
        </w:tcPr>
        <w:p w:rsidR="00172689" w:rsidRPr="00674A46" w:rsidRDefault="00172689" w:rsidP="00FA172A">
          <w:pPr>
            <w:spacing w:after="0" w:line="240" w:lineRule="auto"/>
            <w:jc w:val="right"/>
            <w:rPr>
              <w:rFonts w:ascii="Palatino Linotype" w:hAnsi="Palatino Linotype"/>
              <w:b/>
            </w:rPr>
          </w:pPr>
          <w:r w:rsidRPr="00674A46">
            <w:rPr>
              <w:rFonts w:ascii="Palatino Linotype" w:hAnsi="Palatino Linotype"/>
              <w:b/>
            </w:rPr>
            <w:t>Sujeto Obligado:</w:t>
          </w:r>
        </w:p>
      </w:tc>
      <w:tc>
        <w:tcPr>
          <w:tcW w:w="3684" w:type="dxa"/>
          <w:vAlign w:val="center"/>
        </w:tcPr>
        <w:p w:rsidR="00172689" w:rsidRPr="00674A46" w:rsidRDefault="00172689" w:rsidP="00FA172A">
          <w:pPr>
            <w:pStyle w:val="Encabezado"/>
            <w:spacing w:line="276" w:lineRule="auto"/>
            <w:jc w:val="both"/>
            <w:rPr>
              <w:rFonts w:ascii="Palatino Linotype" w:hAnsi="Palatino Linotype"/>
              <w:b/>
              <w:sz w:val="22"/>
              <w:szCs w:val="22"/>
            </w:rPr>
          </w:pPr>
          <w:r w:rsidRPr="006A623E">
            <w:rPr>
              <w:rFonts w:ascii="Palatino Linotype" w:hAnsi="Palatino Linotype"/>
              <w:b/>
              <w:bCs/>
              <w:color w:val="000000"/>
              <w:sz w:val="22"/>
              <w:szCs w:val="22"/>
              <w:lang w:val="es-MX"/>
            </w:rPr>
            <w:t>Poder Legislativo</w:t>
          </w:r>
        </w:p>
      </w:tc>
    </w:tr>
    <w:tr w:rsidR="00172689" w:rsidTr="00C47343">
      <w:trPr>
        <w:trHeight w:val="342"/>
      </w:trPr>
      <w:tc>
        <w:tcPr>
          <w:tcW w:w="2977" w:type="dxa"/>
          <w:vAlign w:val="center"/>
        </w:tcPr>
        <w:p w:rsidR="00172689" w:rsidRPr="00674A46" w:rsidRDefault="00172689" w:rsidP="00FA172A">
          <w:pPr>
            <w:spacing w:after="0" w:line="240" w:lineRule="auto"/>
            <w:jc w:val="right"/>
            <w:rPr>
              <w:rFonts w:ascii="Palatino Linotype" w:hAnsi="Palatino Linotype"/>
              <w:b/>
            </w:rPr>
          </w:pPr>
          <w:r w:rsidRPr="00674A46">
            <w:rPr>
              <w:rFonts w:ascii="Palatino Linotype" w:hAnsi="Palatino Linotype"/>
              <w:b/>
            </w:rPr>
            <w:t>Comisionad</w:t>
          </w:r>
          <w:r>
            <w:rPr>
              <w:rFonts w:ascii="Palatino Linotype" w:hAnsi="Palatino Linotype"/>
              <w:b/>
            </w:rPr>
            <w:t>a</w:t>
          </w:r>
          <w:r w:rsidRPr="00674A46">
            <w:rPr>
              <w:rFonts w:ascii="Palatino Linotype" w:hAnsi="Palatino Linotype"/>
              <w:b/>
            </w:rPr>
            <w:t xml:space="preserve"> Ponente:</w:t>
          </w:r>
        </w:p>
      </w:tc>
      <w:tc>
        <w:tcPr>
          <w:tcW w:w="3684" w:type="dxa"/>
          <w:vAlign w:val="center"/>
        </w:tcPr>
        <w:p w:rsidR="00172689" w:rsidRPr="00674A46" w:rsidRDefault="00172689" w:rsidP="00FA172A">
          <w:pPr>
            <w:pStyle w:val="Encabezado"/>
            <w:spacing w:line="276" w:lineRule="auto"/>
            <w:rPr>
              <w:rFonts w:ascii="Palatino Linotype" w:hAnsi="Palatino Linotype"/>
              <w:b/>
              <w:sz w:val="22"/>
              <w:szCs w:val="22"/>
            </w:rPr>
          </w:pPr>
          <w:r w:rsidRPr="00116201">
            <w:rPr>
              <w:rFonts w:ascii="Palatino Linotype" w:hAnsi="Palatino Linotype"/>
              <w:b/>
              <w:sz w:val="22"/>
              <w:szCs w:val="21"/>
            </w:rPr>
            <w:t>María del Rosario Mejía Ayala</w:t>
          </w:r>
        </w:p>
      </w:tc>
    </w:tr>
  </w:tbl>
  <w:p w:rsidR="00172689" w:rsidRPr="00C222C0" w:rsidRDefault="00E70E37">
    <w:pPr>
      <w:pStyle w:val="Encabezado"/>
      <w:rPr>
        <w:sz w:val="16"/>
      </w:rPr>
    </w:pPr>
    <w:r>
      <w:rPr>
        <w:noProof/>
        <w:sz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4A8E"/>
    <w:multiLevelType w:val="hybridMultilevel"/>
    <w:tmpl w:val="2D9E7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964D64"/>
    <w:multiLevelType w:val="multilevel"/>
    <w:tmpl w:val="7C4AC51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02DCF"/>
    <w:multiLevelType w:val="hybridMultilevel"/>
    <w:tmpl w:val="2EE6A6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48D0"/>
    <w:multiLevelType w:val="multilevel"/>
    <w:tmpl w:val="545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A66FC"/>
    <w:multiLevelType w:val="hybridMultilevel"/>
    <w:tmpl w:val="D70443AA"/>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5" w15:restartNumberingAfterBreak="0">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C40F9D"/>
    <w:multiLevelType w:val="hybridMultilevel"/>
    <w:tmpl w:val="4C326726"/>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7" w15:restartNumberingAfterBreak="0">
    <w:nsid w:val="1FE1354F"/>
    <w:multiLevelType w:val="hybridMultilevel"/>
    <w:tmpl w:val="ACCA4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BB58B5"/>
    <w:multiLevelType w:val="multilevel"/>
    <w:tmpl w:val="B41AF2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331392"/>
    <w:multiLevelType w:val="hybridMultilevel"/>
    <w:tmpl w:val="89562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514E82"/>
    <w:multiLevelType w:val="hybridMultilevel"/>
    <w:tmpl w:val="2ADC8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D649DD"/>
    <w:multiLevelType w:val="multilevel"/>
    <w:tmpl w:val="AFA86D9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4F1600"/>
    <w:multiLevelType w:val="hybridMultilevel"/>
    <w:tmpl w:val="6D469B7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3"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8465D1"/>
    <w:multiLevelType w:val="hybridMultilevel"/>
    <w:tmpl w:val="B0903448"/>
    <w:lvl w:ilvl="0" w:tplc="F372F4AE">
      <w:start w:val="1"/>
      <w:numFmt w:val="bullet"/>
      <w:lvlText w:val=""/>
      <w:lvlJc w:val="left"/>
      <w:pPr>
        <w:ind w:left="1068" w:hanging="360"/>
      </w:pPr>
      <w:rPr>
        <w:rFonts w:ascii="Symbol" w:hAnsi="Symbol" w:hint="default"/>
        <w:color w:val="auto"/>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6" w15:restartNumberingAfterBreak="0">
    <w:nsid w:val="3D260A6F"/>
    <w:multiLevelType w:val="hybridMultilevel"/>
    <w:tmpl w:val="C5EEB736"/>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17" w15:restartNumberingAfterBreak="0">
    <w:nsid w:val="3D470141"/>
    <w:multiLevelType w:val="hybridMultilevel"/>
    <w:tmpl w:val="9C04AC6A"/>
    <w:lvl w:ilvl="0" w:tplc="080A000F">
      <w:start w:val="2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3A66C9"/>
    <w:multiLevelType w:val="hybridMultilevel"/>
    <w:tmpl w:val="4852D220"/>
    <w:lvl w:ilvl="0" w:tplc="F372F4AE">
      <w:start w:val="1"/>
      <w:numFmt w:val="bullet"/>
      <w:lvlText w:val=""/>
      <w:lvlJc w:val="left"/>
      <w:pPr>
        <w:ind w:left="1068" w:hanging="360"/>
      </w:pPr>
      <w:rPr>
        <w:rFonts w:ascii="Symbol" w:hAnsi="Symbol" w:hint="default"/>
        <w:color w:val="auto"/>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42377886"/>
    <w:multiLevelType w:val="multilevel"/>
    <w:tmpl w:val="EDF0BA1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5651F2"/>
    <w:multiLevelType w:val="hybridMultilevel"/>
    <w:tmpl w:val="67DA83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9A3C11"/>
    <w:multiLevelType w:val="hybridMultilevel"/>
    <w:tmpl w:val="2636710A"/>
    <w:lvl w:ilvl="0" w:tplc="F2A2EEAA">
      <w:start w:val="12"/>
      <w:numFmt w:val="decimal"/>
      <w:lvlText w:val="%1."/>
      <w:lvlJc w:val="left"/>
      <w:pPr>
        <w:ind w:left="3054" w:hanging="360"/>
      </w:pPr>
      <w:rPr>
        <w:rFonts w:hint="default"/>
        <w:b/>
        <w:i w:val="0"/>
      </w:r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22" w15:restartNumberingAfterBreak="0">
    <w:nsid w:val="52A42C5A"/>
    <w:multiLevelType w:val="hybridMultilevel"/>
    <w:tmpl w:val="71DA2A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2F1B34"/>
    <w:multiLevelType w:val="hybridMultilevel"/>
    <w:tmpl w:val="08167E66"/>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4" w15:restartNumberingAfterBreak="0">
    <w:nsid w:val="599D1C1E"/>
    <w:multiLevelType w:val="hybridMultilevel"/>
    <w:tmpl w:val="C5CA7F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5B4C3533"/>
    <w:multiLevelType w:val="hybridMultilevel"/>
    <w:tmpl w:val="C8A6F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0D1D37"/>
    <w:multiLevelType w:val="hybridMultilevel"/>
    <w:tmpl w:val="81E6D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166BEC"/>
    <w:multiLevelType w:val="hybridMultilevel"/>
    <w:tmpl w:val="36BEA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9A5149"/>
    <w:multiLevelType w:val="hybridMultilevel"/>
    <w:tmpl w:val="46CEE2B6"/>
    <w:lvl w:ilvl="0" w:tplc="570610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61F123A"/>
    <w:multiLevelType w:val="hybridMultilevel"/>
    <w:tmpl w:val="B818E57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1422DD"/>
    <w:multiLevelType w:val="multilevel"/>
    <w:tmpl w:val="6A0CD13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883C0F"/>
    <w:multiLevelType w:val="hybridMultilevel"/>
    <w:tmpl w:val="1E10BDA2"/>
    <w:lvl w:ilvl="0" w:tplc="0B0E9E0E">
      <w:start w:val="1"/>
      <w:numFmt w:val="upperRoman"/>
      <w:lvlText w:val="%1."/>
      <w:lvlJc w:val="left"/>
      <w:pPr>
        <w:ind w:left="1773" w:hanging="720"/>
      </w:pPr>
      <w:rPr>
        <w:rFonts w:hint="default"/>
      </w:rPr>
    </w:lvl>
    <w:lvl w:ilvl="1" w:tplc="080A0019" w:tentative="1">
      <w:start w:val="1"/>
      <w:numFmt w:val="lowerLetter"/>
      <w:lvlText w:val="%2."/>
      <w:lvlJc w:val="left"/>
      <w:pPr>
        <w:ind w:left="2133" w:hanging="360"/>
      </w:pPr>
    </w:lvl>
    <w:lvl w:ilvl="2" w:tplc="080A001B" w:tentative="1">
      <w:start w:val="1"/>
      <w:numFmt w:val="lowerRoman"/>
      <w:lvlText w:val="%3."/>
      <w:lvlJc w:val="right"/>
      <w:pPr>
        <w:ind w:left="2853" w:hanging="180"/>
      </w:pPr>
    </w:lvl>
    <w:lvl w:ilvl="3" w:tplc="080A000F" w:tentative="1">
      <w:start w:val="1"/>
      <w:numFmt w:val="decimal"/>
      <w:lvlText w:val="%4."/>
      <w:lvlJc w:val="left"/>
      <w:pPr>
        <w:ind w:left="3573" w:hanging="360"/>
      </w:pPr>
    </w:lvl>
    <w:lvl w:ilvl="4" w:tplc="080A0019" w:tentative="1">
      <w:start w:val="1"/>
      <w:numFmt w:val="lowerLetter"/>
      <w:lvlText w:val="%5."/>
      <w:lvlJc w:val="left"/>
      <w:pPr>
        <w:ind w:left="4293" w:hanging="360"/>
      </w:pPr>
    </w:lvl>
    <w:lvl w:ilvl="5" w:tplc="080A001B" w:tentative="1">
      <w:start w:val="1"/>
      <w:numFmt w:val="lowerRoman"/>
      <w:lvlText w:val="%6."/>
      <w:lvlJc w:val="right"/>
      <w:pPr>
        <w:ind w:left="5013" w:hanging="180"/>
      </w:pPr>
    </w:lvl>
    <w:lvl w:ilvl="6" w:tplc="080A000F" w:tentative="1">
      <w:start w:val="1"/>
      <w:numFmt w:val="decimal"/>
      <w:lvlText w:val="%7."/>
      <w:lvlJc w:val="left"/>
      <w:pPr>
        <w:ind w:left="5733" w:hanging="360"/>
      </w:pPr>
    </w:lvl>
    <w:lvl w:ilvl="7" w:tplc="080A0019" w:tentative="1">
      <w:start w:val="1"/>
      <w:numFmt w:val="lowerLetter"/>
      <w:lvlText w:val="%8."/>
      <w:lvlJc w:val="left"/>
      <w:pPr>
        <w:ind w:left="6453" w:hanging="360"/>
      </w:pPr>
    </w:lvl>
    <w:lvl w:ilvl="8" w:tplc="080A001B" w:tentative="1">
      <w:start w:val="1"/>
      <w:numFmt w:val="lowerRoman"/>
      <w:lvlText w:val="%9."/>
      <w:lvlJc w:val="right"/>
      <w:pPr>
        <w:ind w:left="7173" w:hanging="180"/>
      </w:pPr>
    </w:lvl>
  </w:abstractNum>
  <w:abstractNum w:abstractNumId="33" w15:restartNumberingAfterBreak="0">
    <w:nsid w:val="6DFC2A3D"/>
    <w:multiLevelType w:val="hybridMultilevel"/>
    <w:tmpl w:val="DEBEB9DE"/>
    <w:lvl w:ilvl="0" w:tplc="75DACC22">
      <w:start w:val="1"/>
      <w:numFmt w:val="upperRoman"/>
      <w:lvlText w:val="%1."/>
      <w:lvlJc w:val="left"/>
      <w:pPr>
        <w:ind w:left="1818" w:hanging="720"/>
      </w:pPr>
      <w:rPr>
        <w:rFonts w:hint="default"/>
      </w:rPr>
    </w:lvl>
    <w:lvl w:ilvl="1" w:tplc="080A0019" w:tentative="1">
      <w:start w:val="1"/>
      <w:numFmt w:val="lowerLetter"/>
      <w:lvlText w:val="%2."/>
      <w:lvlJc w:val="left"/>
      <w:pPr>
        <w:ind w:left="2178" w:hanging="360"/>
      </w:pPr>
    </w:lvl>
    <w:lvl w:ilvl="2" w:tplc="080A001B" w:tentative="1">
      <w:start w:val="1"/>
      <w:numFmt w:val="lowerRoman"/>
      <w:lvlText w:val="%3."/>
      <w:lvlJc w:val="right"/>
      <w:pPr>
        <w:ind w:left="2898" w:hanging="180"/>
      </w:pPr>
    </w:lvl>
    <w:lvl w:ilvl="3" w:tplc="080A000F" w:tentative="1">
      <w:start w:val="1"/>
      <w:numFmt w:val="decimal"/>
      <w:lvlText w:val="%4."/>
      <w:lvlJc w:val="left"/>
      <w:pPr>
        <w:ind w:left="3618" w:hanging="360"/>
      </w:pPr>
    </w:lvl>
    <w:lvl w:ilvl="4" w:tplc="080A0019" w:tentative="1">
      <w:start w:val="1"/>
      <w:numFmt w:val="lowerLetter"/>
      <w:lvlText w:val="%5."/>
      <w:lvlJc w:val="left"/>
      <w:pPr>
        <w:ind w:left="4338" w:hanging="360"/>
      </w:pPr>
    </w:lvl>
    <w:lvl w:ilvl="5" w:tplc="080A001B" w:tentative="1">
      <w:start w:val="1"/>
      <w:numFmt w:val="lowerRoman"/>
      <w:lvlText w:val="%6."/>
      <w:lvlJc w:val="right"/>
      <w:pPr>
        <w:ind w:left="5058" w:hanging="180"/>
      </w:pPr>
    </w:lvl>
    <w:lvl w:ilvl="6" w:tplc="080A000F" w:tentative="1">
      <w:start w:val="1"/>
      <w:numFmt w:val="decimal"/>
      <w:lvlText w:val="%7."/>
      <w:lvlJc w:val="left"/>
      <w:pPr>
        <w:ind w:left="5778" w:hanging="360"/>
      </w:pPr>
    </w:lvl>
    <w:lvl w:ilvl="7" w:tplc="080A0019" w:tentative="1">
      <w:start w:val="1"/>
      <w:numFmt w:val="lowerLetter"/>
      <w:lvlText w:val="%8."/>
      <w:lvlJc w:val="left"/>
      <w:pPr>
        <w:ind w:left="6498" w:hanging="360"/>
      </w:pPr>
    </w:lvl>
    <w:lvl w:ilvl="8" w:tplc="080A001B" w:tentative="1">
      <w:start w:val="1"/>
      <w:numFmt w:val="lowerRoman"/>
      <w:lvlText w:val="%9."/>
      <w:lvlJc w:val="right"/>
      <w:pPr>
        <w:ind w:left="7218" w:hanging="180"/>
      </w:pPr>
    </w:lvl>
  </w:abstractNum>
  <w:abstractNum w:abstractNumId="34" w15:restartNumberingAfterBreak="0">
    <w:nsid w:val="7BAF3DB4"/>
    <w:multiLevelType w:val="hybridMultilevel"/>
    <w:tmpl w:val="E54E98B2"/>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5" w15:restartNumberingAfterBreak="0">
    <w:nsid w:val="7F0828E6"/>
    <w:multiLevelType w:val="hybridMultilevel"/>
    <w:tmpl w:val="682257DE"/>
    <w:lvl w:ilvl="0" w:tplc="A588F03A">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3"/>
  </w:num>
  <w:num w:numId="2">
    <w:abstractNumId w:val="34"/>
  </w:num>
  <w:num w:numId="3">
    <w:abstractNumId w:val="36"/>
  </w:num>
  <w:num w:numId="4">
    <w:abstractNumId w:val="23"/>
  </w:num>
  <w:num w:numId="5">
    <w:abstractNumId w:val="29"/>
  </w:num>
  <w:num w:numId="6">
    <w:abstractNumId w:val="15"/>
  </w:num>
  <w:num w:numId="7">
    <w:abstractNumId w:val="17"/>
  </w:num>
  <w:num w:numId="8">
    <w:abstractNumId w:val="27"/>
  </w:num>
  <w:num w:numId="9">
    <w:abstractNumId w:val="22"/>
  </w:num>
  <w:num w:numId="10">
    <w:abstractNumId w:val="21"/>
  </w:num>
  <w:num w:numId="11">
    <w:abstractNumId w:val="32"/>
  </w:num>
  <w:num w:numId="12">
    <w:abstractNumId w:val="33"/>
  </w:num>
  <w:num w:numId="13">
    <w:abstractNumId w:val="3"/>
  </w:num>
  <w:num w:numId="14">
    <w:abstractNumId w:val="24"/>
  </w:num>
  <w:num w:numId="15">
    <w:abstractNumId w:val="30"/>
  </w:num>
  <w:num w:numId="16">
    <w:abstractNumId w:val="11"/>
  </w:num>
  <w:num w:numId="17">
    <w:abstractNumId w:val="0"/>
  </w:num>
  <w:num w:numId="18">
    <w:abstractNumId w:val="28"/>
  </w:num>
  <w:num w:numId="19">
    <w:abstractNumId w:val="12"/>
  </w:num>
  <w:num w:numId="20">
    <w:abstractNumId w:val="9"/>
  </w:num>
  <w:num w:numId="21">
    <w:abstractNumId w:val="4"/>
  </w:num>
  <w:num w:numId="22">
    <w:abstractNumId w:val="6"/>
  </w:num>
  <w:num w:numId="23">
    <w:abstractNumId w:val="16"/>
  </w:num>
  <w:num w:numId="24">
    <w:abstractNumId w:val="2"/>
  </w:num>
  <w:num w:numId="25">
    <w:abstractNumId w:val="31"/>
  </w:num>
  <w:num w:numId="26">
    <w:abstractNumId w:val="8"/>
  </w:num>
  <w:num w:numId="27">
    <w:abstractNumId w:val="26"/>
  </w:num>
  <w:num w:numId="28">
    <w:abstractNumId w:val="5"/>
  </w:num>
  <w:num w:numId="29">
    <w:abstractNumId w:val="19"/>
  </w:num>
  <w:num w:numId="30">
    <w:abstractNumId w:val="1"/>
  </w:num>
  <w:num w:numId="31">
    <w:abstractNumId w:val="25"/>
  </w:num>
  <w:num w:numId="32">
    <w:abstractNumId w:val="7"/>
  </w:num>
  <w:num w:numId="33">
    <w:abstractNumId w:val="18"/>
  </w:num>
  <w:num w:numId="34">
    <w:abstractNumId w:val="14"/>
  </w:num>
  <w:num w:numId="35">
    <w:abstractNumId w:val="35"/>
  </w:num>
  <w:num w:numId="36">
    <w:abstractNumId w:val="2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1A"/>
    <w:rsid w:val="000225FC"/>
    <w:rsid w:val="000433E1"/>
    <w:rsid w:val="00051663"/>
    <w:rsid w:val="000624F6"/>
    <w:rsid w:val="00067E6B"/>
    <w:rsid w:val="000740A3"/>
    <w:rsid w:val="000A3175"/>
    <w:rsid w:val="000A66BA"/>
    <w:rsid w:val="000E6B31"/>
    <w:rsid w:val="000F68A0"/>
    <w:rsid w:val="00133022"/>
    <w:rsid w:val="00135F97"/>
    <w:rsid w:val="00164B4C"/>
    <w:rsid w:val="00172689"/>
    <w:rsid w:val="00173143"/>
    <w:rsid w:val="00174923"/>
    <w:rsid w:val="00181086"/>
    <w:rsid w:val="001A36F9"/>
    <w:rsid w:val="001B7EC2"/>
    <w:rsid w:val="001E2EE2"/>
    <w:rsid w:val="001F2519"/>
    <w:rsid w:val="00206E43"/>
    <w:rsid w:val="002175D0"/>
    <w:rsid w:val="00224377"/>
    <w:rsid w:val="002254CD"/>
    <w:rsid w:val="00266C5F"/>
    <w:rsid w:val="00280033"/>
    <w:rsid w:val="002906CC"/>
    <w:rsid w:val="002A1170"/>
    <w:rsid w:val="002A330F"/>
    <w:rsid w:val="002A7A5F"/>
    <w:rsid w:val="003063E9"/>
    <w:rsid w:val="00314CCE"/>
    <w:rsid w:val="00323B06"/>
    <w:rsid w:val="003321DC"/>
    <w:rsid w:val="00343468"/>
    <w:rsid w:val="00360861"/>
    <w:rsid w:val="003622A8"/>
    <w:rsid w:val="003713ED"/>
    <w:rsid w:val="00382576"/>
    <w:rsid w:val="00393AF1"/>
    <w:rsid w:val="003B1FAE"/>
    <w:rsid w:val="003D5EFE"/>
    <w:rsid w:val="00406EC3"/>
    <w:rsid w:val="00410AD6"/>
    <w:rsid w:val="0041415C"/>
    <w:rsid w:val="00433919"/>
    <w:rsid w:val="00446DFD"/>
    <w:rsid w:val="004571B5"/>
    <w:rsid w:val="0046294D"/>
    <w:rsid w:val="00490324"/>
    <w:rsid w:val="004A794B"/>
    <w:rsid w:val="004B691D"/>
    <w:rsid w:val="004C1CEE"/>
    <w:rsid w:val="004D2442"/>
    <w:rsid w:val="004D279A"/>
    <w:rsid w:val="004F4E74"/>
    <w:rsid w:val="004F58B4"/>
    <w:rsid w:val="005158C0"/>
    <w:rsid w:val="00522F48"/>
    <w:rsid w:val="005258F2"/>
    <w:rsid w:val="005349B1"/>
    <w:rsid w:val="00557CC5"/>
    <w:rsid w:val="00567F9D"/>
    <w:rsid w:val="00583C8F"/>
    <w:rsid w:val="00595309"/>
    <w:rsid w:val="005A3C34"/>
    <w:rsid w:val="005C6500"/>
    <w:rsid w:val="005C7901"/>
    <w:rsid w:val="005E02A4"/>
    <w:rsid w:val="005F1478"/>
    <w:rsid w:val="0061520A"/>
    <w:rsid w:val="00663315"/>
    <w:rsid w:val="00681552"/>
    <w:rsid w:val="00685D08"/>
    <w:rsid w:val="0069152E"/>
    <w:rsid w:val="006960A3"/>
    <w:rsid w:val="006A623E"/>
    <w:rsid w:val="006D16A1"/>
    <w:rsid w:val="006E007D"/>
    <w:rsid w:val="006E40C7"/>
    <w:rsid w:val="00753895"/>
    <w:rsid w:val="00783A93"/>
    <w:rsid w:val="00791C1A"/>
    <w:rsid w:val="007A33FF"/>
    <w:rsid w:val="007A79B1"/>
    <w:rsid w:val="007B4203"/>
    <w:rsid w:val="007C1F51"/>
    <w:rsid w:val="007E78EC"/>
    <w:rsid w:val="007F4B9A"/>
    <w:rsid w:val="008019FA"/>
    <w:rsid w:val="008135C9"/>
    <w:rsid w:val="00827207"/>
    <w:rsid w:val="0083463A"/>
    <w:rsid w:val="00853D0D"/>
    <w:rsid w:val="00866830"/>
    <w:rsid w:val="00896134"/>
    <w:rsid w:val="008969D4"/>
    <w:rsid w:val="008A3B93"/>
    <w:rsid w:val="008B0C27"/>
    <w:rsid w:val="008B1A53"/>
    <w:rsid w:val="008B3860"/>
    <w:rsid w:val="008B3BDB"/>
    <w:rsid w:val="008C0532"/>
    <w:rsid w:val="008D7B1F"/>
    <w:rsid w:val="008E7CAA"/>
    <w:rsid w:val="0090066B"/>
    <w:rsid w:val="009561FD"/>
    <w:rsid w:val="009A1EB7"/>
    <w:rsid w:val="009A3716"/>
    <w:rsid w:val="009A3CA9"/>
    <w:rsid w:val="009D5265"/>
    <w:rsid w:val="00A109D2"/>
    <w:rsid w:val="00A15550"/>
    <w:rsid w:val="00A315CF"/>
    <w:rsid w:val="00A37121"/>
    <w:rsid w:val="00A42712"/>
    <w:rsid w:val="00A56A78"/>
    <w:rsid w:val="00AA7A68"/>
    <w:rsid w:val="00AD20BE"/>
    <w:rsid w:val="00AE48EF"/>
    <w:rsid w:val="00AE547F"/>
    <w:rsid w:val="00B25FEC"/>
    <w:rsid w:val="00B40D3E"/>
    <w:rsid w:val="00B935A9"/>
    <w:rsid w:val="00BC4F85"/>
    <w:rsid w:val="00C25089"/>
    <w:rsid w:val="00C37399"/>
    <w:rsid w:val="00C47343"/>
    <w:rsid w:val="00CB3863"/>
    <w:rsid w:val="00CC4F06"/>
    <w:rsid w:val="00CC5DE6"/>
    <w:rsid w:val="00D01A96"/>
    <w:rsid w:val="00D04217"/>
    <w:rsid w:val="00D16F89"/>
    <w:rsid w:val="00D215E7"/>
    <w:rsid w:val="00D24100"/>
    <w:rsid w:val="00D37989"/>
    <w:rsid w:val="00D60DD7"/>
    <w:rsid w:val="00DA666E"/>
    <w:rsid w:val="00DB4288"/>
    <w:rsid w:val="00DF1252"/>
    <w:rsid w:val="00E24C4C"/>
    <w:rsid w:val="00E50FB9"/>
    <w:rsid w:val="00E521B1"/>
    <w:rsid w:val="00E5368A"/>
    <w:rsid w:val="00E56E2A"/>
    <w:rsid w:val="00E70E37"/>
    <w:rsid w:val="00EA318D"/>
    <w:rsid w:val="00EA42D4"/>
    <w:rsid w:val="00EC0A5F"/>
    <w:rsid w:val="00EC3077"/>
    <w:rsid w:val="00F128EC"/>
    <w:rsid w:val="00F155DB"/>
    <w:rsid w:val="00F2415F"/>
    <w:rsid w:val="00F65CAE"/>
    <w:rsid w:val="00F774D5"/>
    <w:rsid w:val="00F91E35"/>
    <w:rsid w:val="00FA172A"/>
    <w:rsid w:val="00FB55D3"/>
    <w:rsid w:val="00FD3A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2D66CD4-1F87-452E-B66A-7606F0E8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18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table" w:styleId="Tablaconcuadrcula">
    <w:name w:val="Table Grid"/>
    <w:basedOn w:val="Tablanormal"/>
    <w:uiPriority w:val="39"/>
    <w:rsid w:val="006D1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qFormat/>
    <w:rsid w:val="00853D0D"/>
    <w:pPr>
      <w:numPr>
        <w:numId w:val="28"/>
      </w:numPr>
      <w:spacing w:after="0" w:line="240" w:lineRule="auto"/>
      <w:contextualSpacing/>
    </w:pPr>
    <w:rPr>
      <w:rFonts w:ascii="Times New Roman" w:eastAsia="Times New Roman" w:hAnsi="Times New Roman" w:cs="Times New Roman"/>
      <w:sz w:val="20"/>
      <w:szCs w:val="20"/>
      <w:lang w:val="es-ES_tradnl" w:eastAsia="es-ES"/>
    </w:rPr>
  </w:style>
  <w:style w:type="paragraph" w:customStyle="1" w:styleId="corte4fondo">
    <w:name w:val="corte4 fondo"/>
    <w:basedOn w:val="Normal"/>
    <w:link w:val="corte4fondoCar3"/>
    <w:qFormat/>
    <w:rsid w:val="00B40D3E"/>
    <w:pPr>
      <w:spacing w:after="0" w:line="360" w:lineRule="auto"/>
      <w:ind w:firstLine="709"/>
      <w:jc w:val="both"/>
    </w:pPr>
    <w:rPr>
      <w:rFonts w:ascii="Arial" w:eastAsia="Times New Roman" w:hAnsi="Arial" w:cs="Times New Roman"/>
      <w:sz w:val="30"/>
      <w:szCs w:val="20"/>
      <w:lang w:eastAsia="es-MX"/>
    </w:rPr>
  </w:style>
  <w:style w:type="character" w:customStyle="1" w:styleId="corte4fondoCar3">
    <w:name w:val="corte4 fondo Car3"/>
    <w:link w:val="corte4fondo"/>
    <w:locked/>
    <w:rsid w:val="00B40D3E"/>
    <w:rPr>
      <w:rFonts w:ascii="Arial" w:eastAsia="Times New Roman" w:hAnsi="Arial" w:cs="Times New Roman"/>
      <w:sz w:val="30"/>
      <w:szCs w:val="20"/>
      <w:lang w:eastAsia="es-MX"/>
    </w:rPr>
  </w:style>
  <w:style w:type="table" w:customStyle="1" w:styleId="Tabladelista1clara-nfasis11">
    <w:name w:val="Tabla de lista 1 clara - Énfasis 11"/>
    <w:basedOn w:val="Tablanormal"/>
    <w:uiPriority w:val="46"/>
    <w:rsid w:val="00B40D3E"/>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4680">
      <w:bodyDiv w:val="1"/>
      <w:marLeft w:val="0"/>
      <w:marRight w:val="0"/>
      <w:marTop w:val="0"/>
      <w:marBottom w:val="0"/>
      <w:divBdr>
        <w:top w:val="none" w:sz="0" w:space="0" w:color="auto"/>
        <w:left w:val="none" w:sz="0" w:space="0" w:color="auto"/>
        <w:bottom w:val="none" w:sz="0" w:space="0" w:color="auto"/>
        <w:right w:val="none" w:sz="0" w:space="0" w:color="auto"/>
      </w:divBdr>
    </w:div>
    <w:div w:id="244263211">
      <w:bodyDiv w:val="1"/>
      <w:marLeft w:val="0"/>
      <w:marRight w:val="0"/>
      <w:marTop w:val="0"/>
      <w:marBottom w:val="0"/>
      <w:divBdr>
        <w:top w:val="none" w:sz="0" w:space="0" w:color="auto"/>
        <w:left w:val="none" w:sz="0" w:space="0" w:color="auto"/>
        <w:bottom w:val="none" w:sz="0" w:space="0" w:color="auto"/>
        <w:right w:val="none" w:sz="0" w:space="0" w:color="auto"/>
      </w:divBdr>
    </w:div>
    <w:div w:id="266011023">
      <w:bodyDiv w:val="1"/>
      <w:marLeft w:val="0"/>
      <w:marRight w:val="0"/>
      <w:marTop w:val="0"/>
      <w:marBottom w:val="0"/>
      <w:divBdr>
        <w:top w:val="none" w:sz="0" w:space="0" w:color="auto"/>
        <w:left w:val="none" w:sz="0" w:space="0" w:color="auto"/>
        <w:bottom w:val="none" w:sz="0" w:space="0" w:color="auto"/>
        <w:right w:val="none" w:sz="0" w:space="0" w:color="auto"/>
      </w:divBdr>
    </w:div>
    <w:div w:id="275412536">
      <w:bodyDiv w:val="1"/>
      <w:marLeft w:val="0"/>
      <w:marRight w:val="0"/>
      <w:marTop w:val="0"/>
      <w:marBottom w:val="0"/>
      <w:divBdr>
        <w:top w:val="none" w:sz="0" w:space="0" w:color="auto"/>
        <w:left w:val="none" w:sz="0" w:space="0" w:color="auto"/>
        <w:bottom w:val="none" w:sz="0" w:space="0" w:color="auto"/>
        <w:right w:val="none" w:sz="0" w:space="0" w:color="auto"/>
      </w:divBdr>
    </w:div>
    <w:div w:id="886067718">
      <w:bodyDiv w:val="1"/>
      <w:marLeft w:val="0"/>
      <w:marRight w:val="0"/>
      <w:marTop w:val="0"/>
      <w:marBottom w:val="0"/>
      <w:divBdr>
        <w:top w:val="none" w:sz="0" w:space="0" w:color="auto"/>
        <w:left w:val="none" w:sz="0" w:space="0" w:color="auto"/>
        <w:bottom w:val="none" w:sz="0" w:space="0" w:color="auto"/>
        <w:right w:val="none" w:sz="0" w:space="0" w:color="auto"/>
      </w:divBdr>
      <w:divsChild>
        <w:div w:id="450436740">
          <w:marLeft w:val="0"/>
          <w:marRight w:val="0"/>
          <w:marTop w:val="0"/>
          <w:marBottom w:val="0"/>
          <w:divBdr>
            <w:top w:val="none" w:sz="0" w:space="0" w:color="auto"/>
            <w:left w:val="none" w:sz="0" w:space="0" w:color="auto"/>
            <w:bottom w:val="none" w:sz="0" w:space="0" w:color="auto"/>
            <w:right w:val="none" w:sz="0" w:space="0" w:color="auto"/>
          </w:divBdr>
        </w:div>
      </w:divsChild>
    </w:div>
    <w:div w:id="999698790">
      <w:bodyDiv w:val="1"/>
      <w:marLeft w:val="0"/>
      <w:marRight w:val="0"/>
      <w:marTop w:val="0"/>
      <w:marBottom w:val="0"/>
      <w:divBdr>
        <w:top w:val="none" w:sz="0" w:space="0" w:color="auto"/>
        <w:left w:val="none" w:sz="0" w:space="0" w:color="auto"/>
        <w:bottom w:val="none" w:sz="0" w:space="0" w:color="auto"/>
        <w:right w:val="none" w:sz="0" w:space="0" w:color="auto"/>
      </w:divBdr>
    </w:div>
    <w:div w:id="1521427687">
      <w:bodyDiv w:val="1"/>
      <w:marLeft w:val="0"/>
      <w:marRight w:val="0"/>
      <w:marTop w:val="0"/>
      <w:marBottom w:val="0"/>
      <w:divBdr>
        <w:top w:val="none" w:sz="0" w:space="0" w:color="auto"/>
        <w:left w:val="none" w:sz="0" w:space="0" w:color="auto"/>
        <w:bottom w:val="none" w:sz="0" w:space="0" w:color="auto"/>
        <w:right w:val="none" w:sz="0" w:space="0" w:color="auto"/>
      </w:divBdr>
    </w:div>
    <w:div w:id="1545481208">
      <w:bodyDiv w:val="1"/>
      <w:marLeft w:val="0"/>
      <w:marRight w:val="0"/>
      <w:marTop w:val="0"/>
      <w:marBottom w:val="0"/>
      <w:divBdr>
        <w:top w:val="none" w:sz="0" w:space="0" w:color="auto"/>
        <w:left w:val="none" w:sz="0" w:space="0" w:color="auto"/>
        <w:bottom w:val="none" w:sz="0" w:space="0" w:color="auto"/>
        <w:right w:val="none" w:sz="0" w:space="0" w:color="auto"/>
      </w:divBdr>
    </w:div>
    <w:div w:id="1759012939">
      <w:bodyDiv w:val="1"/>
      <w:marLeft w:val="0"/>
      <w:marRight w:val="0"/>
      <w:marTop w:val="0"/>
      <w:marBottom w:val="0"/>
      <w:divBdr>
        <w:top w:val="none" w:sz="0" w:space="0" w:color="auto"/>
        <w:left w:val="none" w:sz="0" w:space="0" w:color="auto"/>
        <w:bottom w:val="none" w:sz="0" w:space="0" w:color="auto"/>
        <w:right w:val="none" w:sz="0" w:space="0" w:color="auto"/>
      </w:divBdr>
    </w:div>
    <w:div w:id="1803233392">
      <w:bodyDiv w:val="1"/>
      <w:marLeft w:val="0"/>
      <w:marRight w:val="0"/>
      <w:marTop w:val="0"/>
      <w:marBottom w:val="0"/>
      <w:divBdr>
        <w:top w:val="none" w:sz="0" w:space="0" w:color="auto"/>
        <w:left w:val="none" w:sz="0" w:space="0" w:color="auto"/>
        <w:bottom w:val="none" w:sz="0" w:space="0" w:color="auto"/>
        <w:right w:val="none" w:sz="0" w:space="0" w:color="auto"/>
      </w:divBdr>
    </w:div>
    <w:div w:id="1849174732">
      <w:bodyDiv w:val="1"/>
      <w:marLeft w:val="0"/>
      <w:marRight w:val="0"/>
      <w:marTop w:val="0"/>
      <w:marBottom w:val="0"/>
      <w:divBdr>
        <w:top w:val="none" w:sz="0" w:space="0" w:color="auto"/>
        <w:left w:val="none" w:sz="0" w:space="0" w:color="auto"/>
        <w:bottom w:val="none" w:sz="0" w:space="0" w:color="auto"/>
        <w:right w:val="none" w:sz="0" w:space="0" w:color="auto"/>
      </w:divBdr>
    </w:div>
    <w:div w:id="206806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imex.org.mx/saimex/solicitud/downloadAttach/2059638.pag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59637.p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2059636.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archivo.uc3m.es/bitstream/handle/10016/26545/WF-18-03.pdf" TargetMode="External"/><Relationship Id="rId1" Type="http://schemas.openxmlformats.org/officeDocument/2006/relationships/hyperlink" Target="http://sjf.scjn.gob.mx/SJFSist/Documentos/Tesis/170/1707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D7294-E0FC-430B-9456-99325F6A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50</Pages>
  <Words>11128</Words>
  <Characters>61205</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9</cp:revision>
  <dcterms:created xsi:type="dcterms:W3CDTF">2025-01-21T00:51:00Z</dcterms:created>
  <dcterms:modified xsi:type="dcterms:W3CDTF">2025-02-10T21:39:00Z</dcterms:modified>
</cp:coreProperties>
</file>