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13734" w:rsidRDefault="00AE3DA7" w:rsidP="00613734">
          <w:pPr>
            <w:pStyle w:val="TtulodeTDC"/>
            <w:spacing w:before="0" w:line="240" w:lineRule="auto"/>
            <w:rPr>
              <w:rFonts w:ascii="Palatino Linotype" w:hAnsi="Palatino Linotype"/>
              <w:color w:val="auto"/>
              <w:sz w:val="24"/>
              <w:szCs w:val="24"/>
              <w:lang w:val="es-ES"/>
            </w:rPr>
          </w:pPr>
          <w:r w:rsidRPr="00613734">
            <w:rPr>
              <w:rFonts w:ascii="Palatino Linotype" w:hAnsi="Palatino Linotype"/>
              <w:color w:val="auto"/>
              <w:sz w:val="24"/>
              <w:szCs w:val="24"/>
              <w:lang w:val="es-ES"/>
            </w:rPr>
            <w:t>Contenido</w:t>
          </w:r>
        </w:p>
        <w:p w14:paraId="3EB312A7" w14:textId="77777777" w:rsidR="00AA6EA9" w:rsidRPr="00613734" w:rsidRDefault="00AA6EA9" w:rsidP="00613734">
          <w:pPr>
            <w:spacing w:line="240" w:lineRule="auto"/>
            <w:rPr>
              <w:sz w:val="16"/>
              <w:szCs w:val="16"/>
              <w:lang w:val="es-ES" w:eastAsia="es-MX"/>
            </w:rPr>
          </w:pPr>
        </w:p>
        <w:p w14:paraId="65DBC9BB" w14:textId="77777777" w:rsidR="00384275" w:rsidRPr="00613734" w:rsidRDefault="00AE3DA7" w:rsidP="00613734">
          <w:pPr>
            <w:pStyle w:val="TDC1"/>
            <w:tabs>
              <w:tab w:val="right" w:leader="dot" w:pos="9034"/>
            </w:tabs>
            <w:rPr>
              <w:rFonts w:asciiTheme="minorHAnsi" w:eastAsiaTheme="minorEastAsia" w:hAnsiTheme="minorHAnsi" w:cstheme="minorBidi"/>
              <w:noProof/>
              <w:szCs w:val="22"/>
              <w:lang w:eastAsia="es-MX"/>
            </w:rPr>
          </w:pPr>
          <w:r w:rsidRPr="00613734">
            <w:rPr>
              <w:sz w:val="16"/>
              <w:szCs w:val="16"/>
            </w:rPr>
            <w:fldChar w:fldCharType="begin"/>
          </w:r>
          <w:r w:rsidRPr="00613734">
            <w:rPr>
              <w:sz w:val="16"/>
              <w:szCs w:val="16"/>
            </w:rPr>
            <w:instrText xml:space="preserve"> TOC \o "1-3" \h \z \u </w:instrText>
          </w:r>
          <w:r w:rsidRPr="00613734">
            <w:rPr>
              <w:sz w:val="16"/>
              <w:szCs w:val="16"/>
            </w:rPr>
            <w:fldChar w:fldCharType="separate"/>
          </w:r>
          <w:hyperlink w:anchor="_Toc191489316" w:history="1">
            <w:r w:rsidR="00384275" w:rsidRPr="00613734">
              <w:rPr>
                <w:rStyle w:val="Hipervnculo"/>
                <w:noProof/>
                <w:color w:val="auto"/>
              </w:rPr>
              <w:t>ANTECEDENTES</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_Toc191489316 \h </w:instrText>
            </w:r>
            <w:r w:rsidR="00384275" w:rsidRPr="00613734">
              <w:rPr>
                <w:noProof/>
                <w:webHidden/>
              </w:rPr>
            </w:r>
            <w:r w:rsidR="00384275" w:rsidRPr="00613734">
              <w:rPr>
                <w:noProof/>
                <w:webHidden/>
              </w:rPr>
              <w:fldChar w:fldCharType="separate"/>
            </w:r>
            <w:r w:rsidR="007E4C53">
              <w:rPr>
                <w:noProof/>
                <w:webHidden/>
              </w:rPr>
              <w:t>1</w:t>
            </w:r>
            <w:r w:rsidR="00384275" w:rsidRPr="00613734">
              <w:rPr>
                <w:noProof/>
                <w:webHidden/>
              </w:rPr>
              <w:fldChar w:fldCharType="end"/>
            </w:r>
          </w:hyperlink>
        </w:p>
        <w:p w14:paraId="3BD7078A" w14:textId="77777777" w:rsidR="00384275" w:rsidRPr="00613734" w:rsidRDefault="004E2B3A" w:rsidP="00613734">
          <w:pPr>
            <w:pStyle w:val="TDC2"/>
            <w:rPr>
              <w:rFonts w:asciiTheme="minorHAnsi" w:eastAsiaTheme="minorEastAsia" w:hAnsiTheme="minorHAnsi" w:cstheme="minorBidi"/>
              <w:noProof/>
              <w:szCs w:val="22"/>
              <w:lang w:eastAsia="es-MX"/>
            </w:rPr>
          </w:pPr>
          <w:hyperlink w:anchor="_Toc191489317" w:history="1">
            <w:r w:rsidR="00384275" w:rsidRPr="00613734">
              <w:rPr>
                <w:rStyle w:val="Hipervnculo"/>
                <w:noProof/>
                <w:color w:val="auto"/>
              </w:rPr>
              <w:t>DE LA SOLICITUD DE INFORMACIÓN</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_Toc191489317 \h </w:instrText>
            </w:r>
            <w:r w:rsidR="00384275" w:rsidRPr="00613734">
              <w:rPr>
                <w:noProof/>
                <w:webHidden/>
              </w:rPr>
            </w:r>
            <w:r w:rsidR="00384275" w:rsidRPr="00613734">
              <w:rPr>
                <w:noProof/>
                <w:webHidden/>
              </w:rPr>
              <w:fldChar w:fldCharType="separate"/>
            </w:r>
            <w:r w:rsidR="007E4C53">
              <w:rPr>
                <w:noProof/>
                <w:webHidden/>
              </w:rPr>
              <w:t>1</w:t>
            </w:r>
            <w:r w:rsidR="00384275" w:rsidRPr="00613734">
              <w:rPr>
                <w:noProof/>
                <w:webHidden/>
              </w:rPr>
              <w:fldChar w:fldCharType="end"/>
            </w:r>
          </w:hyperlink>
        </w:p>
        <w:p w14:paraId="43491598"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18" w:history="1">
            <w:r w:rsidR="00384275" w:rsidRPr="00613734">
              <w:rPr>
                <w:rStyle w:val="Hipervnculo"/>
                <w:noProof/>
                <w:color w:val="auto"/>
              </w:rPr>
              <w:t>a) Solicitud de información</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_Toc191489318 \h </w:instrText>
            </w:r>
            <w:r w:rsidR="00384275" w:rsidRPr="00613734">
              <w:rPr>
                <w:noProof/>
                <w:webHidden/>
              </w:rPr>
            </w:r>
            <w:r w:rsidR="00384275" w:rsidRPr="00613734">
              <w:rPr>
                <w:noProof/>
                <w:webHidden/>
              </w:rPr>
              <w:fldChar w:fldCharType="separate"/>
            </w:r>
            <w:r w:rsidR="007E4C53">
              <w:rPr>
                <w:noProof/>
                <w:webHidden/>
              </w:rPr>
              <w:t>1</w:t>
            </w:r>
            <w:r w:rsidR="00384275" w:rsidRPr="00613734">
              <w:rPr>
                <w:noProof/>
                <w:webHidden/>
              </w:rPr>
              <w:fldChar w:fldCharType="end"/>
            </w:r>
          </w:hyperlink>
        </w:p>
        <w:p w14:paraId="65CE479A"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19" w:history="1">
            <w:r w:rsidR="00384275" w:rsidRPr="00613734">
              <w:rPr>
                <w:rStyle w:val="Hipervnculo"/>
                <w:noProof/>
                <w:color w:val="auto"/>
              </w:rPr>
              <w:t>b) Turno de la solicitud de información</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_Toc191489319 \h </w:instrText>
            </w:r>
            <w:r w:rsidR="00384275" w:rsidRPr="00613734">
              <w:rPr>
                <w:noProof/>
                <w:webHidden/>
              </w:rPr>
            </w:r>
            <w:r w:rsidR="00384275" w:rsidRPr="00613734">
              <w:rPr>
                <w:noProof/>
                <w:webHidden/>
              </w:rPr>
              <w:fldChar w:fldCharType="separate"/>
            </w:r>
            <w:r w:rsidR="007E4C53">
              <w:rPr>
                <w:noProof/>
                <w:webHidden/>
              </w:rPr>
              <w:t>2</w:t>
            </w:r>
            <w:r w:rsidR="00384275" w:rsidRPr="00613734">
              <w:rPr>
                <w:noProof/>
                <w:webHidden/>
              </w:rPr>
              <w:fldChar w:fldCharType="end"/>
            </w:r>
          </w:hyperlink>
        </w:p>
        <w:p w14:paraId="359DC18D"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20" w:history="1">
            <w:r w:rsidR="00384275" w:rsidRPr="00613734">
              <w:rPr>
                <w:rStyle w:val="Hipervnculo"/>
                <w:noProof/>
                <w:color w:val="auto"/>
              </w:rPr>
              <w:t xml:space="preserve">c) </w:t>
            </w:r>
            <w:r w:rsidR="00384275" w:rsidRPr="00613734">
              <w:rPr>
                <w:rStyle w:val="Hipervnculo"/>
                <w:noProof/>
                <w:color w:val="auto"/>
                <w:lang w:val="es-ES"/>
              </w:rPr>
              <w:t xml:space="preserve">Respuesta </w:t>
            </w:r>
            <w:r w:rsidR="00384275" w:rsidRPr="00613734">
              <w:rPr>
                <w:rStyle w:val="Hipervnculo"/>
                <w:rFonts w:eastAsia="Calibri"/>
                <w:noProof/>
                <w:color w:val="auto"/>
                <w:lang w:eastAsia="en-US"/>
              </w:rPr>
              <w:t>del Sujeto Obligado</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_Toc191489320 \h </w:instrText>
            </w:r>
            <w:r w:rsidR="00384275" w:rsidRPr="00613734">
              <w:rPr>
                <w:noProof/>
                <w:webHidden/>
              </w:rPr>
            </w:r>
            <w:r w:rsidR="00384275" w:rsidRPr="00613734">
              <w:rPr>
                <w:noProof/>
                <w:webHidden/>
              </w:rPr>
              <w:fldChar w:fldCharType="separate"/>
            </w:r>
            <w:r w:rsidR="007E4C53">
              <w:rPr>
                <w:noProof/>
                <w:webHidden/>
              </w:rPr>
              <w:t>2</w:t>
            </w:r>
            <w:r w:rsidR="00384275" w:rsidRPr="00613734">
              <w:rPr>
                <w:noProof/>
                <w:webHidden/>
              </w:rPr>
              <w:fldChar w:fldCharType="end"/>
            </w:r>
          </w:hyperlink>
        </w:p>
        <w:p w14:paraId="00171991" w14:textId="77777777" w:rsidR="00384275" w:rsidRPr="00613734" w:rsidRDefault="004E2B3A" w:rsidP="00613734">
          <w:pPr>
            <w:pStyle w:val="TDC2"/>
            <w:rPr>
              <w:rFonts w:asciiTheme="minorHAnsi" w:eastAsiaTheme="minorEastAsia" w:hAnsiTheme="minorHAnsi" w:cstheme="minorBidi"/>
              <w:noProof/>
              <w:szCs w:val="22"/>
              <w:lang w:eastAsia="es-MX"/>
            </w:rPr>
          </w:pPr>
          <w:hyperlink w:anchor="_Toc191489321" w:history="1">
            <w:r w:rsidR="00384275" w:rsidRPr="00613734">
              <w:rPr>
                <w:rStyle w:val="Hipervnculo"/>
                <w:noProof/>
                <w:color w:val="auto"/>
              </w:rPr>
              <w:t>DEL RECURSO DE REVISIÓN</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_Toc191489321 \h </w:instrText>
            </w:r>
            <w:r w:rsidR="00384275" w:rsidRPr="00613734">
              <w:rPr>
                <w:noProof/>
                <w:webHidden/>
              </w:rPr>
            </w:r>
            <w:r w:rsidR="00384275" w:rsidRPr="00613734">
              <w:rPr>
                <w:noProof/>
                <w:webHidden/>
              </w:rPr>
              <w:fldChar w:fldCharType="separate"/>
            </w:r>
            <w:r w:rsidR="007E4C53">
              <w:rPr>
                <w:noProof/>
                <w:webHidden/>
              </w:rPr>
              <w:t>4</w:t>
            </w:r>
            <w:r w:rsidR="00384275" w:rsidRPr="00613734">
              <w:rPr>
                <w:noProof/>
                <w:webHidden/>
              </w:rPr>
              <w:fldChar w:fldCharType="end"/>
            </w:r>
          </w:hyperlink>
        </w:p>
        <w:p w14:paraId="113C6CE7"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22" w:history="1">
            <w:r w:rsidR="00384275" w:rsidRPr="00613734">
              <w:rPr>
                <w:rStyle w:val="Hipervnculo"/>
                <w:noProof/>
                <w:color w:val="auto"/>
              </w:rPr>
              <w:t>a) Interposición del Recurso de Revisión</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_Toc191489322 \h </w:instrText>
            </w:r>
            <w:r w:rsidR="00384275" w:rsidRPr="00613734">
              <w:rPr>
                <w:noProof/>
                <w:webHidden/>
              </w:rPr>
            </w:r>
            <w:r w:rsidR="00384275" w:rsidRPr="00613734">
              <w:rPr>
                <w:noProof/>
                <w:webHidden/>
              </w:rPr>
              <w:fldChar w:fldCharType="separate"/>
            </w:r>
            <w:r w:rsidR="007E4C53">
              <w:rPr>
                <w:noProof/>
                <w:webHidden/>
              </w:rPr>
              <w:t>4</w:t>
            </w:r>
            <w:r w:rsidR="00384275" w:rsidRPr="00613734">
              <w:rPr>
                <w:noProof/>
                <w:webHidden/>
              </w:rPr>
              <w:fldChar w:fldCharType="end"/>
            </w:r>
          </w:hyperlink>
        </w:p>
        <w:p w14:paraId="562A8740"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23" w:history="1">
            <w:r w:rsidR="00384275" w:rsidRPr="00613734">
              <w:rPr>
                <w:rStyle w:val="Hipervnculo"/>
                <w:noProof/>
                <w:color w:val="auto"/>
              </w:rPr>
              <w:t>b) Turno del Recurso de Revisión</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_Toc191489323 \h </w:instrText>
            </w:r>
            <w:r w:rsidR="00384275" w:rsidRPr="00613734">
              <w:rPr>
                <w:noProof/>
                <w:webHidden/>
              </w:rPr>
            </w:r>
            <w:r w:rsidR="00384275" w:rsidRPr="00613734">
              <w:rPr>
                <w:noProof/>
                <w:webHidden/>
              </w:rPr>
              <w:fldChar w:fldCharType="separate"/>
            </w:r>
            <w:r w:rsidR="007E4C53">
              <w:rPr>
                <w:noProof/>
                <w:webHidden/>
              </w:rPr>
              <w:t>5</w:t>
            </w:r>
            <w:r w:rsidR="00384275" w:rsidRPr="00613734">
              <w:rPr>
                <w:noProof/>
                <w:webHidden/>
              </w:rPr>
              <w:fldChar w:fldCharType="end"/>
            </w:r>
          </w:hyperlink>
        </w:p>
        <w:p w14:paraId="389385A0"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24" w:history="1">
            <w:r w:rsidR="00384275" w:rsidRPr="00613734">
              <w:rPr>
                <w:rStyle w:val="Hipervnculo"/>
                <w:noProof/>
                <w:color w:val="auto"/>
              </w:rPr>
              <w:t>c) Admisión del Recurso de Revisión</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_Toc191489324 \h </w:instrText>
            </w:r>
            <w:r w:rsidR="00384275" w:rsidRPr="00613734">
              <w:rPr>
                <w:noProof/>
                <w:webHidden/>
              </w:rPr>
            </w:r>
            <w:r w:rsidR="00384275" w:rsidRPr="00613734">
              <w:rPr>
                <w:noProof/>
                <w:webHidden/>
              </w:rPr>
              <w:fldChar w:fldCharType="separate"/>
            </w:r>
            <w:r w:rsidR="007E4C53">
              <w:rPr>
                <w:noProof/>
                <w:webHidden/>
              </w:rPr>
              <w:t>5</w:t>
            </w:r>
            <w:r w:rsidR="00384275" w:rsidRPr="00613734">
              <w:rPr>
                <w:noProof/>
                <w:webHidden/>
              </w:rPr>
              <w:fldChar w:fldCharType="end"/>
            </w:r>
          </w:hyperlink>
        </w:p>
        <w:p w14:paraId="0E7A178E"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25" w:history="1">
            <w:r w:rsidR="00384275" w:rsidRPr="00613734">
              <w:rPr>
                <w:rStyle w:val="Hipervnculo"/>
                <w:noProof/>
                <w:color w:val="auto"/>
              </w:rPr>
              <w:t>d) Informe Justificado del Sujeto Obligado</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_Toc191489325 \h </w:instrText>
            </w:r>
            <w:r w:rsidR="00384275" w:rsidRPr="00613734">
              <w:rPr>
                <w:noProof/>
                <w:webHidden/>
              </w:rPr>
            </w:r>
            <w:r w:rsidR="00384275" w:rsidRPr="00613734">
              <w:rPr>
                <w:noProof/>
                <w:webHidden/>
              </w:rPr>
              <w:fldChar w:fldCharType="separate"/>
            </w:r>
            <w:r w:rsidR="007E4C53">
              <w:rPr>
                <w:noProof/>
                <w:webHidden/>
              </w:rPr>
              <w:t>6</w:t>
            </w:r>
            <w:r w:rsidR="00384275" w:rsidRPr="00613734">
              <w:rPr>
                <w:noProof/>
                <w:webHidden/>
              </w:rPr>
              <w:fldChar w:fldCharType="end"/>
            </w:r>
          </w:hyperlink>
        </w:p>
        <w:p w14:paraId="7CE6608C"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26" w:history="1">
            <w:r w:rsidR="00384275" w:rsidRPr="00613734">
              <w:rPr>
                <w:rStyle w:val="Hipervnculo"/>
                <w:rFonts w:eastAsia="Calibri"/>
                <w:bCs/>
                <w:noProof/>
                <w:color w:val="auto"/>
                <w:lang w:eastAsia="en-US"/>
              </w:rPr>
              <w:t>e)</w:t>
            </w:r>
            <w:r w:rsidR="00384275" w:rsidRPr="00613734">
              <w:rPr>
                <w:rStyle w:val="Hipervnculo"/>
                <w:noProof/>
                <w:color w:val="auto"/>
              </w:rPr>
              <w:t xml:space="preserve"> </w:t>
            </w:r>
            <w:r w:rsidR="00384275" w:rsidRPr="00613734">
              <w:rPr>
                <w:rStyle w:val="Hipervnculo"/>
                <w:noProof/>
                <w:color w:val="auto"/>
                <w:lang w:val="es-ES"/>
              </w:rPr>
              <w:t>Manifestaciones de la Parte Recurrente</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_Toc191489326 \h </w:instrText>
            </w:r>
            <w:r w:rsidR="00384275" w:rsidRPr="00613734">
              <w:rPr>
                <w:noProof/>
                <w:webHidden/>
              </w:rPr>
            </w:r>
            <w:r w:rsidR="00384275" w:rsidRPr="00613734">
              <w:rPr>
                <w:noProof/>
                <w:webHidden/>
              </w:rPr>
              <w:fldChar w:fldCharType="separate"/>
            </w:r>
            <w:r w:rsidR="007E4C53">
              <w:rPr>
                <w:noProof/>
                <w:webHidden/>
              </w:rPr>
              <w:t>7</w:t>
            </w:r>
            <w:r w:rsidR="00384275" w:rsidRPr="00613734">
              <w:rPr>
                <w:noProof/>
                <w:webHidden/>
              </w:rPr>
              <w:fldChar w:fldCharType="end"/>
            </w:r>
          </w:hyperlink>
        </w:p>
        <w:p w14:paraId="2D12E361"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27" w:history="1">
            <w:r w:rsidR="00384275" w:rsidRPr="00613734">
              <w:rPr>
                <w:rStyle w:val="Hipervnculo"/>
                <w:noProof/>
                <w:color w:val="auto"/>
              </w:rPr>
              <w:t>f) Cierre de instrucción</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_Toc191489327 \h </w:instrText>
            </w:r>
            <w:r w:rsidR="00384275" w:rsidRPr="00613734">
              <w:rPr>
                <w:noProof/>
                <w:webHidden/>
              </w:rPr>
            </w:r>
            <w:r w:rsidR="00384275" w:rsidRPr="00613734">
              <w:rPr>
                <w:noProof/>
                <w:webHidden/>
              </w:rPr>
              <w:fldChar w:fldCharType="separate"/>
            </w:r>
            <w:r w:rsidR="007E4C53">
              <w:rPr>
                <w:noProof/>
                <w:webHidden/>
              </w:rPr>
              <w:t>7</w:t>
            </w:r>
            <w:r w:rsidR="00384275" w:rsidRPr="00613734">
              <w:rPr>
                <w:noProof/>
                <w:webHidden/>
              </w:rPr>
              <w:fldChar w:fldCharType="end"/>
            </w:r>
          </w:hyperlink>
        </w:p>
        <w:p w14:paraId="48A9D847" w14:textId="77777777" w:rsidR="00384275" w:rsidRPr="00613734" w:rsidRDefault="004E2B3A" w:rsidP="00613734">
          <w:pPr>
            <w:pStyle w:val="TDC1"/>
            <w:tabs>
              <w:tab w:val="right" w:leader="dot" w:pos="9034"/>
            </w:tabs>
            <w:rPr>
              <w:rFonts w:asciiTheme="minorHAnsi" w:eastAsiaTheme="minorEastAsia" w:hAnsiTheme="minorHAnsi" w:cstheme="minorBidi"/>
              <w:noProof/>
              <w:szCs w:val="22"/>
              <w:lang w:eastAsia="es-MX"/>
            </w:rPr>
          </w:pPr>
          <w:hyperlink w:anchor="_Toc191489328" w:history="1">
            <w:r w:rsidR="00384275" w:rsidRPr="00613734">
              <w:rPr>
                <w:rStyle w:val="Hipervnculo"/>
                <w:rFonts w:eastAsiaTheme="minorHAnsi"/>
                <w:noProof/>
                <w:color w:val="auto"/>
                <w:lang w:eastAsia="en-US"/>
              </w:rPr>
              <w:t>CONSIDERANDOS</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_Toc191489328 \h </w:instrText>
            </w:r>
            <w:r w:rsidR="00384275" w:rsidRPr="00613734">
              <w:rPr>
                <w:noProof/>
                <w:webHidden/>
              </w:rPr>
            </w:r>
            <w:r w:rsidR="00384275" w:rsidRPr="00613734">
              <w:rPr>
                <w:noProof/>
                <w:webHidden/>
              </w:rPr>
              <w:fldChar w:fldCharType="separate"/>
            </w:r>
            <w:r w:rsidR="007E4C53">
              <w:rPr>
                <w:noProof/>
                <w:webHidden/>
              </w:rPr>
              <w:t>7</w:t>
            </w:r>
            <w:r w:rsidR="00384275" w:rsidRPr="00613734">
              <w:rPr>
                <w:noProof/>
                <w:webHidden/>
              </w:rPr>
              <w:fldChar w:fldCharType="end"/>
            </w:r>
          </w:hyperlink>
        </w:p>
        <w:p w14:paraId="36DB060B" w14:textId="77777777" w:rsidR="00384275" w:rsidRPr="00613734" w:rsidRDefault="004E2B3A" w:rsidP="00613734">
          <w:pPr>
            <w:pStyle w:val="TDC2"/>
            <w:rPr>
              <w:rFonts w:asciiTheme="minorHAnsi" w:eastAsiaTheme="minorEastAsia" w:hAnsiTheme="minorHAnsi" w:cstheme="minorBidi"/>
              <w:noProof/>
              <w:szCs w:val="22"/>
              <w:lang w:eastAsia="es-MX"/>
            </w:rPr>
          </w:pPr>
          <w:hyperlink w:anchor="_Toc191489329" w:history="1">
            <w:r w:rsidR="00384275" w:rsidRPr="00613734">
              <w:rPr>
                <w:rStyle w:val="Hipervnculo"/>
                <w:rFonts w:eastAsia="Batang"/>
                <w:noProof/>
                <w:color w:val="auto"/>
              </w:rPr>
              <w:t>PRIMERO. Procedibilidad</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_Toc191489329 \h </w:instrText>
            </w:r>
            <w:r w:rsidR="00384275" w:rsidRPr="00613734">
              <w:rPr>
                <w:noProof/>
                <w:webHidden/>
              </w:rPr>
            </w:r>
            <w:r w:rsidR="00384275" w:rsidRPr="00613734">
              <w:rPr>
                <w:noProof/>
                <w:webHidden/>
              </w:rPr>
              <w:fldChar w:fldCharType="separate"/>
            </w:r>
            <w:r w:rsidR="007E4C53">
              <w:rPr>
                <w:noProof/>
                <w:webHidden/>
              </w:rPr>
              <w:t>7</w:t>
            </w:r>
            <w:r w:rsidR="00384275" w:rsidRPr="00613734">
              <w:rPr>
                <w:noProof/>
                <w:webHidden/>
              </w:rPr>
              <w:fldChar w:fldCharType="end"/>
            </w:r>
          </w:hyperlink>
        </w:p>
        <w:p w14:paraId="0B839D34"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30" w:history="1">
            <w:r w:rsidR="00384275" w:rsidRPr="00613734">
              <w:rPr>
                <w:rStyle w:val="Hipervnculo"/>
                <w:noProof/>
                <w:color w:val="auto"/>
              </w:rPr>
              <w:t>a) Competencia del Instituto</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_Toc191489330 \h </w:instrText>
            </w:r>
            <w:r w:rsidR="00384275" w:rsidRPr="00613734">
              <w:rPr>
                <w:noProof/>
                <w:webHidden/>
              </w:rPr>
            </w:r>
            <w:r w:rsidR="00384275" w:rsidRPr="00613734">
              <w:rPr>
                <w:noProof/>
                <w:webHidden/>
              </w:rPr>
              <w:fldChar w:fldCharType="separate"/>
            </w:r>
            <w:r w:rsidR="007E4C53">
              <w:rPr>
                <w:noProof/>
                <w:webHidden/>
              </w:rPr>
              <w:t>7</w:t>
            </w:r>
            <w:r w:rsidR="00384275" w:rsidRPr="00613734">
              <w:rPr>
                <w:noProof/>
                <w:webHidden/>
              </w:rPr>
              <w:fldChar w:fldCharType="end"/>
            </w:r>
          </w:hyperlink>
        </w:p>
        <w:p w14:paraId="53329920"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31" w:history="1">
            <w:r w:rsidR="00384275" w:rsidRPr="00613734">
              <w:rPr>
                <w:rStyle w:val="Hipervnculo"/>
                <w:noProof/>
                <w:color w:val="auto"/>
              </w:rPr>
              <w:t>b) Legitimidad de la parte recurrente</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_Toc191489331 \h </w:instrText>
            </w:r>
            <w:r w:rsidR="00384275" w:rsidRPr="00613734">
              <w:rPr>
                <w:noProof/>
                <w:webHidden/>
              </w:rPr>
            </w:r>
            <w:r w:rsidR="00384275" w:rsidRPr="00613734">
              <w:rPr>
                <w:noProof/>
                <w:webHidden/>
              </w:rPr>
              <w:fldChar w:fldCharType="separate"/>
            </w:r>
            <w:r w:rsidR="007E4C53">
              <w:rPr>
                <w:noProof/>
                <w:webHidden/>
              </w:rPr>
              <w:t>8</w:t>
            </w:r>
            <w:r w:rsidR="00384275" w:rsidRPr="00613734">
              <w:rPr>
                <w:noProof/>
                <w:webHidden/>
              </w:rPr>
              <w:fldChar w:fldCharType="end"/>
            </w:r>
          </w:hyperlink>
        </w:p>
        <w:p w14:paraId="5729342B"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32" w:history="1">
            <w:r w:rsidR="00384275" w:rsidRPr="00613734">
              <w:rPr>
                <w:rStyle w:val="Hipervnculo"/>
                <w:rFonts w:eastAsia="Calibri"/>
                <w:noProof/>
                <w:color w:val="auto"/>
                <w:lang w:eastAsia="es-ES_tradnl"/>
              </w:rPr>
              <w:t>c) Plazo para interponer el recurso</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_Toc191489332 \h </w:instrText>
            </w:r>
            <w:r w:rsidR="00384275" w:rsidRPr="00613734">
              <w:rPr>
                <w:noProof/>
                <w:webHidden/>
              </w:rPr>
            </w:r>
            <w:r w:rsidR="00384275" w:rsidRPr="00613734">
              <w:rPr>
                <w:noProof/>
                <w:webHidden/>
              </w:rPr>
              <w:fldChar w:fldCharType="separate"/>
            </w:r>
            <w:r w:rsidR="007E4C53">
              <w:rPr>
                <w:noProof/>
                <w:webHidden/>
              </w:rPr>
              <w:t>8</w:t>
            </w:r>
            <w:r w:rsidR="00384275" w:rsidRPr="00613734">
              <w:rPr>
                <w:noProof/>
                <w:webHidden/>
              </w:rPr>
              <w:fldChar w:fldCharType="end"/>
            </w:r>
          </w:hyperlink>
        </w:p>
        <w:p w14:paraId="62C343C4" w14:textId="77777777" w:rsidR="00384275" w:rsidRPr="00613734" w:rsidRDefault="004E2B3A" w:rsidP="00613734">
          <w:pPr>
            <w:pStyle w:val="TDC2"/>
            <w:rPr>
              <w:rFonts w:asciiTheme="minorHAnsi" w:eastAsiaTheme="minorEastAsia" w:hAnsiTheme="minorHAnsi" w:cstheme="minorBidi"/>
              <w:noProof/>
              <w:szCs w:val="22"/>
              <w:lang w:eastAsia="es-MX"/>
            </w:rPr>
          </w:pPr>
          <w:hyperlink w:anchor="_Toc191489333" w:history="1">
            <w:r w:rsidR="00384275" w:rsidRPr="00613734">
              <w:rPr>
                <w:rStyle w:val="Hipervnculo"/>
                <w:noProof/>
                <w:color w:val="auto"/>
              </w:rPr>
              <w:t>SEGUNDO. Estudio de Fondo</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_Toc191489333 \h </w:instrText>
            </w:r>
            <w:r w:rsidR="00384275" w:rsidRPr="00613734">
              <w:rPr>
                <w:noProof/>
                <w:webHidden/>
              </w:rPr>
            </w:r>
            <w:r w:rsidR="00384275" w:rsidRPr="00613734">
              <w:rPr>
                <w:noProof/>
                <w:webHidden/>
              </w:rPr>
              <w:fldChar w:fldCharType="separate"/>
            </w:r>
            <w:r w:rsidR="007E4C53">
              <w:rPr>
                <w:noProof/>
                <w:webHidden/>
              </w:rPr>
              <w:t>9</w:t>
            </w:r>
            <w:r w:rsidR="00384275" w:rsidRPr="00613734">
              <w:rPr>
                <w:noProof/>
                <w:webHidden/>
              </w:rPr>
              <w:fldChar w:fldCharType="end"/>
            </w:r>
          </w:hyperlink>
        </w:p>
        <w:p w14:paraId="780B907D"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34" w:history="1">
            <w:r w:rsidR="00384275" w:rsidRPr="00613734">
              <w:rPr>
                <w:rStyle w:val="Hipervnculo"/>
                <w:noProof/>
                <w:color w:val="auto"/>
              </w:rPr>
              <w:t>a) Mandato de transparencia y responsabilidad del Sujeto Obligado</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_Toc191489334 \h </w:instrText>
            </w:r>
            <w:r w:rsidR="00384275" w:rsidRPr="00613734">
              <w:rPr>
                <w:noProof/>
                <w:webHidden/>
              </w:rPr>
            </w:r>
            <w:r w:rsidR="00384275" w:rsidRPr="00613734">
              <w:rPr>
                <w:noProof/>
                <w:webHidden/>
              </w:rPr>
              <w:fldChar w:fldCharType="separate"/>
            </w:r>
            <w:r w:rsidR="007E4C53">
              <w:rPr>
                <w:noProof/>
                <w:webHidden/>
              </w:rPr>
              <w:t>9</w:t>
            </w:r>
            <w:r w:rsidR="00384275" w:rsidRPr="00613734">
              <w:rPr>
                <w:noProof/>
                <w:webHidden/>
              </w:rPr>
              <w:fldChar w:fldCharType="end"/>
            </w:r>
          </w:hyperlink>
        </w:p>
        <w:p w14:paraId="6EB306E4"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35" w:history="1">
            <w:r w:rsidR="00384275" w:rsidRPr="00613734">
              <w:rPr>
                <w:rStyle w:val="Hipervnculo"/>
                <w:rFonts w:eastAsia="Calibri"/>
                <w:noProof/>
                <w:color w:val="auto"/>
                <w:lang w:eastAsia="es-ES_tradnl"/>
              </w:rPr>
              <w:t>b) Controversia a resolver</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_Toc191489335 \h </w:instrText>
            </w:r>
            <w:r w:rsidR="00384275" w:rsidRPr="00613734">
              <w:rPr>
                <w:noProof/>
                <w:webHidden/>
              </w:rPr>
            </w:r>
            <w:r w:rsidR="00384275" w:rsidRPr="00613734">
              <w:rPr>
                <w:noProof/>
                <w:webHidden/>
              </w:rPr>
              <w:fldChar w:fldCharType="separate"/>
            </w:r>
            <w:r w:rsidR="007E4C53">
              <w:rPr>
                <w:noProof/>
                <w:webHidden/>
              </w:rPr>
              <w:t>12</w:t>
            </w:r>
            <w:r w:rsidR="00384275" w:rsidRPr="00613734">
              <w:rPr>
                <w:noProof/>
                <w:webHidden/>
              </w:rPr>
              <w:fldChar w:fldCharType="end"/>
            </w:r>
          </w:hyperlink>
        </w:p>
        <w:p w14:paraId="651C3FDA"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36" w:history="1">
            <w:r w:rsidR="00384275" w:rsidRPr="00613734">
              <w:rPr>
                <w:rStyle w:val="Hipervnculo"/>
                <w:noProof/>
                <w:color w:val="auto"/>
              </w:rPr>
              <w:t>c) Sobreseimiento</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_Toc191489336 \h </w:instrText>
            </w:r>
            <w:r w:rsidR="00384275" w:rsidRPr="00613734">
              <w:rPr>
                <w:noProof/>
                <w:webHidden/>
              </w:rPr>
            </w:r>
            <w:r w:rsidR="00384275" w:rsidRPr="00613734">
              <w:rPr>
                <w:noProof/>
                <w:webHidden/>
              </w:rPr>
              <w:fldChar w:fldCharType="separate"/>
            </w:r>
            <w:r w:rsidR="007E4C53">
              <w:rPr>
                <w:noProof/>
                <w:webHidden/>
              </w:rPr>
              <w:t>13</w:t>
            </w:r>
            <w:r w:rsidR="00384275" w:rsidRPr="00613734">
              <w:rPr>
                <w:noProof/>
                <w:webHidden/>
              </w:rPr>
              <w:fldChar w:fldCharType="end"/>
            </w:r>
          </w:hyperlink>
        </w:p>
        <w:p w14:paraId="07CA851C"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37" w:history="1">
            <w:r w:rsidR="00384275" w:rsidRPr="00613734">
              <w:rPr>
                <w:rStyle w:val="Hipervnculo"/>
                <w:noProof/>
                <w:color w:val="auto"/>
                <w:lang w:eastAsia="es-CO"/>
              </w:rPr>
              <w:t>d) Vista</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_Toc191489337 \h </w:instrText>
            </w:r>
            <w:r w:rsidR="00384275" w:rsidRPr="00613734">
              <w:rPr>
                <w:noProof/>
                <w:webHidden/>
              </w:rPr>
            </w:r>
            <w:r w:rsidR="00384275" w:rsidRPr="00613734">
              <w:rPr>
                <w:noProof/>
                <w:webHidden/>
              </w:rPr>
              <w:fldChar w:fldCharType="separate"/>
            </w:r>
            <w:r w:rsidR="007E4C53">
              <w:rPr>
                <w:noProof/>
                <w:webHidden/>
              </w:rPr>
              <w:t>17</w:t>
            </w:r>
            <w:r w:rsidR="00384275" w:rsidRPr="00613734">
              <w:rPr>
                <w:noProof/>
                <w:webHidden/>
              </w:rPr>
              <w:fldChar w:fldCharType="end"/>
            </w:r>
          </w:hyperlink>
        </w:p>
        <w:p w14:paraId="7F6140C2" w14:textId="77777777" w:rsidR="00384275" w:rsidRPr="00613734" w:rsidRDefault="004E2B3A" w:rsidP="00613734">
          <w:pPr>
            <w:pStyle w:val="TDC3"/>
            <w:rPr>
              <w:rFonts w:asciiTheme="minorHAnsi" w:eastAsiaTheme="minorEastAsia" w:hAnsiTheme="minorHAnsi" w:cstheme="minorBidi"/>
              <w:noProof/>
              <w:szCs w:val="22"/>
              <w:lang w:eastAsia="es-MX"/>
            </w:rPr>
          </w:pPr>
          <w:hyperlink w:anchor="_Toc191489338" w:history="1">
            <w:r w:rsidR="00384275" w:rsidRPr="00613734">
              <w:rPr>
                <w:rStyle w:val="Hipervnculo"/>
                <w:noProof/>
                <w:color w:val="auto"/>
              </w:rPr>
              <w:t>e) Conclusión</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_Toc191489338 \h </w:instrText>
            </w:r>
            <w:r w:rsidR="00384275" w:rsidRPr="00613734">
              <w:rPr>
                <w:noProof/>
                <w:webHidden/>
              </w:rPr>
            </w:r>
            <w:r w:rsidR="00384275" w:rsidRPr="00613734">
              <w:rPr>
                <w:noProof/>
                <w:webHidden/>
              </w:rPr>
              <w:fldChar w:fldCharType="separate"/>
            </w:r>
            <w:r w:rsidR="007E4C53">
              <w:rPr>
                <w:noProof/>
                <w:webHidden/>
              </w:rPr>
              <w:t>18</w:t>
            </w:r>
            <w:r w:rsidR="00384275" w:rsidRPr="00613734">
              <w:rPr>
                <w:noProof/>
                <w:webHidden/>
              </w:rPr>
              <w:fldChar w:fldCharType="end"/>
            </w:r>
          </w:hyperlink>
        </w:p>
        <w:p w14:paraId="50FE5E84" w14:textId="77777777" w:rsidR="00384275" w:rsidRPr="00613734" w:rsidRDefault="004E2B3A" w:rsidP="00613734">
          <w:pPr>
            <w:pStyle w:val="TDC1"/>
            <w:tabs>
              <w:tab w:val="right" w:leader="dot" w:pos="9034"/>
            </w:tabs>
            <w:rPr>
              <w:rFonts w:asciiTheme="minorHAnsi" w:eastAsiaTheme="minorEastAsia" w:hAnsiTheme="minorHAnsi" w:cstheme="minorBidi"/>
              <w:noProof/>
              <w:szCs w:val="22"/>
              <w:lang w:eastAsia="es-MX"/>
            </w:rPr>
          </w:pPr>
          <w:hyperlink w:anchor="_Toc191489339" w:history="1">
            <w:r w:rsidR="00384275" w:rsidRPr="00613734">
              <w:rPr>
                <w:rStyle w:val="Hipervnculo"/>
                <w:noProof/>
                <w:color w:val="auto"/>
              </w:rPr>
              <w:t>RESUELVE</w:t>
            </w:r>
            <w:r w:rsidR="00384275" w:rsidRPr="00613734">
              <w:rPr>
                <w:noProof/>
                <w:webHidden/>
              </w:rPr>
              <w:tab/>
            </w:r>
            <w:r w:rsidR="00384275" w:rsidRPr="00613734">
              <w:rPr>
                <w:noProof/>
                <w:webHidden/>
              </w:rPr>
              <w:fldChar w:fldCharType="begin"/>
            </w:r>
            <w:r w:rsidR="00384275" w:rsidRPr="00613734">
              <w:rPr>
                <w:noProof/>
                <w:webHidden/>
              </w:rPr>
              <w:instrText xml:space="preserve"> PAGEREF _Toc191489339 \h </w:instrText>
            </w:r>
            <w:r w:rsidR="00384275" w:rsidRPr="00613734">
              <w:rPr>
                <w:noProof/>
                <w:webHidden/>
              </w:rPr>
            </w:r>
            <w:r w:rsidR="00384275" w:rsidRPr="00613734">
              <w:rPr>
                <w:noProof/>
                <w:webHidden/>
              </w:rPr>
              <w:fldChar w:fldCharType="separate"/>
            </w:r>
            <w:r w:rsidR="007E4C53">
              <w:rPr>
                <w:noProof/>
                <w:webHidden/>
              </w:rPr>
              <w:t>19</w:t>
            </w:r>
            <w:r w:rsidR="00384275" w:rsidRPr="00613734">
              <w:rPr>
                <w:noProof/>
                <w:webHidden/>
              </w:rPr>
              <w:fldChar w:fldCharType="end"/>
            </w:r>
          </w:hyperlink>
        </w:p>
        <w:p w14:paraId="0C82FD7A" w14:textId="55E7F579" w:rsidR="009B2945" w:rsidRPr="00613734" w:rsidRDefault="00AE3DA7" w:rsidP="00613734">
          <w:pPr>
            <w:spacing w:line="240" w:lineRule="auto"/>
            <w:rPr>
              <w:b/>
              <w:bCs/>
              <w:lang w:val="es-ES"/>
            </w:rPr>
          </w:pPr>
          <w:r w:rsidRPr="00613734">
            <w:rPr>
              <w:b/>
              <w:bCs/>
              <w:sz w:val="16"/>
              <w:szCs w:val="16"/>
              <w:lang w:val="es-ES"/>
            </w:rPr>
            <w:fldChar w:fldCharType="end"/>
          </w:r>
        </w:p>
      </w:sdtContent>
    </w:sdt>
    <w:p w14:paraId="603A07E2" w14:textId="77777777" w:rsidR="00646436" w:rsidRPr="00613734" w:rsidRDefault="00646436" w:rsidP="00613734">
      <w:pPr>
        <w:rPr>
          <w:rFonts w:cs="Tahoma"/>
          <w:szCs w:val="22"/>
        </w:rPr>
        <w:sectPr w:rsidR="00646436" w:rsidRPr="0061373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9CAEC51" w:rsidR="00775BFC" w:rsidRPr="00613734" w:rsidRDefault="00775BFC" w:rsidP="00613734">
      <w:pPr>
        <w:rPr>
          <w:b/>
        </w:rPr>
      </w:pPr>
      <w:r w:rsidRPr="00613734">
        <w:lastRenderedPageBreak/>
        <w:t>Resolución del Pleno del Instituto de Transparencia, Acceso a la Información Pública y Protección de Datos Personales del Estado de México y Municipios, con domicilio en Metepec, Estado de México, de</w:t>
      </w:r>
      <w:r w:rsidR="00613734">
        <w:t>l</w:t>
      </w:r>
      <w:r w:rsidRPr="00613734">
        <w:t xml:space="preserve"> </w:t>
      </w:r>
      <w:r w:rsidR="004A5316" w:rsidRPr="00613734">
        <w:rPr>
          <w:b/>
        </w:rPr>
        <w:t>seis</w:t>
      </w:r>
      <w:r w:rsidRPr="00613734">
        <w:rPr>
          <w:b/>
        </w:rPr>
        <w:t xml:space="preserve"> de </w:t>
      </w:r>
      <w:r w:rsidR="00497DFF" w:rsidRPr="00613734">
        <w:rPr>
          <w:b/>
        </w:rPr>
        <w:t>mar</w:t>
      </w:r>
      <w:r w:rsidR="00794F09" w:rsidRPr="00613734">
        <w:rPr>
          <w:b/>
        </w:rPr>
        <w:t>z</w:t>
      </w:r>
      <w:r w:rsidR="00140633" w:rsidRPr="00613734">
        <w:rPr>
          <w:b/>
        </w:rPr>
        <w:t>o</w:t>
      </w:r>
      <w:r w:rsidRPr="00613734">
        <w:rPr>
          <w:b/>
        </w:rPr>
        <w:t xml:space="preserve"> de dos mil </w:t>
      </w:r>
      <w:r w:rsidR="00823EFC" w:rsidRPr="00613734">
        <w:rPr>
          <w:b/>
        </w:rPr>
        <w:t>veintic</w:t>
      </w:r>
      <w:r w:rsidR="00A360BB" w:rsidRPr="00613734">
        <w:rPr>
          <w:b/>
        </w:rPr>
        <w:t>inc</w:t>
      </w:r>
      <w:r w:rsidR="00823EFC" w:rsidRPr="00613734">
        <w:rPr>
          <w:b/>
        </w:rPr>
        <w:t>o</w:t>
      </w:r>
      <w:r w:rsidRPr="00613734">
        <w:rPr>
          <w:b/>
        </w:rPr>
        <w:t>.</w:t>
      </w:r>
    </w:p>
    <w:p w14:paraId="0AF3AAC4" w14:textId="77777777" w:rsidR="00775BFC" w:rsidRPr="00613734" w:rsidRDefault="00775BFC" w:rsidP="00613734"/>
    <w:p w14:paraId="40EAE038" w14:textId="59028084" w:rsidR="00775BFC" w:rsidRPr="00613734" w:rsidRDefault="00775BFC" w:rsidP="00613734">
      <w:r w:rsidRPr="00613734">
        <w:rPr>
          <w:b/>
        </w:rPr>
        <w:t xml:space="preserve">VISTO </w:t>
      </w:r>
      <w:r w:rsidRPr="00613734">
        <w:t xml:space="preserve">el expediente formado con motivo del Recurso de Revisión </w:t>
      </w:r>
      <w:r w:rsidR="00791F90" w:rsidRPr="00613734">
        <w:rPr>
          <w:rFonts w:eastAsia="Calibri"/>
          <w:b/>
          <w:lang w:eastAsia="en-US"/>
        </w:rPr>
        <w:t>00</w:t>
      </w:r>
      <w:r w:rsidR="004A5316" w:rsidRPr="00613734">
        <w:rPr>
          <w:rFonts w:eastAsia="Calibri"/>
          <w:b/>
          <w:lang w:eastAsia="en-US"/>
        </w:rPr>
        <w:t>672</w:t>
      </w:r>
      <w:r w:rsidRPr="00613734">
        <w:rPr>
          <w:rFonts w:eastAsia="Calibri"/>
          <w:b/>
          <w:lang w:eastAsia="en-US"/>
        </w:rPr>
        <w:t>/INFOEM/IP/RR/</w:t>
      </w:r>
      <w:r w:rsidR="00823EFC" w:rsidRPr="00613734">
        <w:rPr>
          <w:rFonts w:eastAsia="Calibri"/>
          <w:b/>
          <w:lang w:eastAsia="en-US"/>
        </w:rPr>
        <w:t>202</w:t>
      </w:r>
      <w:r w:rsidR="00A360BB" w:rsidRPr="00613734">
        <w:rPr>
          <w:rFonts w:eastAsia="Calibri"/>
          <w:b/>
          <w:lang w:eastAsia="en-US"/>
        </w:rPr>
        <w:t>5</w:t>
      </w:r>
      <w:r w:rsidRPr="00613734">
        <w:rPr>
          <w:rFonts w:eastAsia="Calibri"/>
          <w:lang w:eastAsia="en-US"/>
        </w:rPr>
        <w:t xml:space="preserve"> </w:t>
      </w:r>
      <w:r w:rsidRPr="00613734">
        <w:t xml:space="preserve">interpuesto por </w:t>
      </w:r>
      <w:bookmarkStart w:id="2" w:name="_GoBack"/>
      <w:r w:rsidR="00464827">
        <w:rPr>
          <w:b/>
          <w:bCs/>
        </w:rPr>
        <w:t>XXXXXXX XXXXXX XXXXXXXXXXX</w:t>
      </w:r>
      <w:bookmarkEnd w:id="2"/>
      <w:r w:rsidRPr="00613734">
        <w:t xml:space="preserve">, a quien en lo subsecuente se le denominará </w:t>
      </w:r>
      <w:r w:rsidRPr="00613734">
        <w:rPr>
          <w:b/>
          <w:bCs/>
        </w:rPr>
        <w:t>LA PARTE RECURRENTE</w:t>
      </w:r>
      <w:r w:rsidRPr="00613734">
        <w:t xml:space="preserve">, en contra de la respuesta emitida por </w:t>
      </w:r>
      <w:r w:rsidR="00791F90" w:rsidRPr="00613734">
        <w:t xml:space="preserve">el </w:t>
      </w:r>
      <w:r w:rsidR="004A5316" w:rsidRPr="00613734">
        <w:rPr>
          <w:b/>
          <w:bCs/>
        </w:rPr>
        <w:t>Ayuntamiento de Naucalpan de Juárez</w:t>
      </w:r>
      <w:r w:rsidRPr="00613734">
        <w:t xml:space="preserve">, en adelante </w:t>
      </w:r>
      <w:r w:rsidRPr="00613734">
        <w:rPr>
          <w:b/>
          <w:bCs/>
        </w:rPr>
        <w:t>EL SUJETO OBLIGADO</w:t>
      </w:r>
      <w:r w:rsidRPr="00613734">
        <w:rPr>
          <w:rFonts w:eastAsia="Calibri"/>
          <w:lang w:eastAsia="en-US"/>
        </w:rPr>
        <w:t xml:space="preserve">, </w:t>
      </w:r>
      <w:r w:rsidRPr="00613734">
        <w:t>se emite la presente Resolución con base en los Antecedentes y Considerandos que se exponen a continuación:</w:t>
      </w:r>
    </w:p>
    <w:p w14:paraId="2116968C" w14:textId="77777777" w:rsidR="00775BFC" w:rsidRPr="00613734" w:rsidRDefault="00775BFC" w:rsidP="00613734"/>
    <w:p w14:paraId="5A444FB6" w14:textId="639D3567" w:rsidR="00664420" w:rsidRPr="00613734" w:rsidRDefault="00664420" w:rsidP="00613734">
      <w:pPr>
        <w:pStyle w:val="Ttulo1"/>
      </w:pPr>
      <w:bookmarkStart w:id="3" w:name="_Toc191489316"/>
      <w:r w:rsidRPr="00613734">
        <w:t>ANTECEDENTES</w:t>
      </w:r>
      <w:bookmarkEnd w:id="3"/>
    </w:p>
    <w:p w14:paraId="5CB5034E" w14:textId="77777777" w:rsidR="00AC2DB8" w:rsidRPr="00613734" w:rsidRDefault="00AC2DB8" w:rsidP="00613734"/>
    <w:p w14:paraId="09B2D38F" w14:textId="6E49D146" w:rsidR="00664420" w:rsidRPr="00613734" w:rsidRDefault="00E37A3F" w:rsidP="00613734">
      <w:pPr>
        <w:pStyle w:val="Ttulo2"/>
      </w:pPr>
      <w:bookmarkStart w:id="4" w:name="_Toc191489317"/>
      <w:r w:rsidRPr="00613734">
        <w:t>DE LA SOLICITUD DE INFORMACIÓN</w:t>
      </w:r>
      <w:bookmarkEnd w:id="4"/>
    </w:p>
    <w:p w14:paraId="2C6AD1A5" w14:textId="0405B3CD" w:rsidR="00664420" w:rsidRPr="00613734" w:rsidRDefault="00E37A3F" w:rsidP="00613734">
      <w:pPr>
        <w:pStyle w:val="Ttulo3"/>
      </w:pPr>
      <w:bookmarkStart w:id="5" w:name="_Toc191489318"/>
      <w:r w:rsidRPr="00613734">
        <w:t xml:space="preserve">a) </w:t>
      </w:r>
      <w:r w:rsidR="006B10B0" w:rsidRPr="00613734">
        <w:t>S</w:t>
      </w:r>
      <w:r w:rsidR="00664420" w:rsidRPr="00613734">
        <w:t xml:space="preserve">olicitud de </w:t>
      </w:r>
      <w:r w:rsidR="006B10B0" w:rsidRPr="00613734">
        <w:t>i</w:t>
      </w:r>
      <w:r w:rsidR="00664420" w:rsidRPr="00613734">
        <w:t>nformación</w:t>
      </w:r>
      <w:bookmarkEnd w:id="5"/>
    </w:p>
    <w:p w14:paraId="06DCD29D" w14:textId="5EDDECAD" w:rsidR="009A2D78" w:rsidRPr="00613734" w:rsidRDefault="006B10B0" w:rsidP="00613734">
      <w:pPr>
        <w:pStyle w:val="Prrafodelista"/>
        <w:tabs>
          <w:tab w:val="left" w:pos="0"/>
        </w:tabs>
        <w:ind w:left="0"/>
        <w:contextualSpacing w:val="0"/>
        <w:rPr>
          <w:rFonts w:cs="Tahoma"/>
        </w:rPr>
      </w:pPr>
      <w:r w:rsidRPr="00613734">
        <w:rPr>
          <w:rFonts w:cs="Tahoma"/>
        </w:rPr>
        <w:t>El</w:t>
      </w:r>
      <w:r w:rsidR="00664420" w:rsidRPr="00613734">
        <w:rPr>
          <w:rFonts w:cs="Tahoma"/>
        </w:rPr>
        <w:t xml:space="preserve"> </w:t>
      </w:r>
      <w:r w:rsidR="004A5316" w:rsidRPr="00613734">
        <w:rPr>
          <w:rFonts w:cs="Tahoma"/>
          <w:b/>
          <w:bCs/>
        </w:rPr>
        <w:t>veintidós</w:t>
      </w:r>
      <w:r w:rsidR="00664420" w:rsidRPr="00613734">
        <w:rPr>
          <w:rFonts w:cs="Tahoma"/>
          <w:b/>
          <w:bCs/>
        </w:rPr>
        <w:t xml:space="preserve"> de </w:t>
      </w:r>
      <w:r w:rsidR="004A5316" w:rsidRPr="00613734">
        <w:rPr>
          <w:rFonts w:cs="Tahoma"/>
          <w:b/>
          <w:bCs/>
        </w:rPr>
        <w:t>enero</w:t>
      </w:r>
      <w:r w:rsidR="00664420" w:rsidRPr="00613734">
        <w:rPr>
          <w:rFonts w:cs="Tahoma"/>
          <w:b/>
          <w:bCs/>
        </w:rPr>
        <w:t xml:space="preserve"> de </w:t>
      </w:r>
      <w:r w:rsidR="00823EFC" w:rsidRPr="00613734">
        <w:rPr>
          <w:rFonts w:cs="Tahoma"/>
          <w:b/>
          <w:bCs/>
        </w:rPr>
        <w:t>dos mil veintic</w:t>
      </w:r>
      <w:r w:rsidR="00004959" w:rsidRPr="00613734">
        <w:rPr>
          <w:rFonts w:cs="Tahoma"/>
          <w:b/>
          <w:bCs/>
        </w:rPr>
        <w:t>inco</w:t>
      </w:r>
      <w:r w:rsidR="00664420" w:rsidRPr="00613734">
        <w:rPr>
          <w:rFonts w:cs="Tahoma"/>
        </w:rPr>
        <w:t xml:space="preserve">, </w:t>
      </w:r>
      <w:r w:rsidRPr="00613734">
        <w:rPr>
          <w:b/>
          <w:bCs/>
        </w:rPr>
        <w:t>LA PARTE RECURRENTE</w:t>
      </w:r>
      <w:r w:rsidR="00664420" w:rsidRPr="00613734">
        <w:rPr>
          <w:rFonts w:cs="Tahoma"/>
        </w:rPr>
        <w:t xml:space="preserve"> presentó una solicitud de acceso a la información pública </w:t>
      </w:r>
      <w:r w:rsidR="001F3515" w:rsidRPr="00613734">
        <w:rPr>
          <w:rFonts w:cs="Tahoma"/>
        </w:rPr>
        <w:t xml:space="preserve">ante el </w:t>
      </w:r>
      <w:r w:rsidR="001F3515" w:rsidRPr="00613734">
        <w:rPr>
          <w:rFonts w:cs="Tahoma"/>
          <w:b/>
          <w:bCs/>
        </w:rPr>
        <w:t>SUJETO OBLIGADO</w:t>
      </w:r>
      <w:r w:rsidR="001F3515" w:rsidRPr="00613734">
        <w:rPr>
          <w:rFonts w:cs="Tahoma"/>
        </w:rPr>
        <w:t xml:space="preserve">, </w:t>
      </w:r>
      <w:r w:rsidR="00664420" w:rsidRPr="00613734">
        <w:rPr>
          <w:rFonts w:cs="Tahoma"/>
        </w:rPr>
        <w:t>a través del Sistema de Acceso a la Información Mexiquense</w:t>
      </w:r>
      <w:r w:rsidRPr="00613734">
        <w:rPr>
          <w:rFonts w:cs="Tahoma"/>
        </w:rPr>
        <w:t xml:space="preserve"> </w:t>
      </w:r>
      <w:r w:rsidR="009A2D78" w:rsidRPr="00613734">
        <w:rPr>
          <w:rFonts w:cs="Tahoma"/>
        </w:rPr>
        <w:t>(</w:t>
      </w:r>
      <w:r w:rsidRPr="00613734">
        <w:rPr>
          <w:rFonts w:cs="Tahoma"/>
        </w:rPr>
        <w:t>SAIMEX</w:t>
      </w:r>
      <w:r w:rsidR="009A2D78" w:rsidRPr="00613734">
        <w:rPr>
          <w:rFonts w:cs="Tahoma"/>
        </w:rPr>
        <w:t>). Dicha solicitud quedó</w:t>
      </w:r>
      <w:r w:rsidRPr="00613734">
        <w:rPr>
          <w:rFonts w:cs="Tahoma"/>
        </w:rPr>
        <w:t xml:space="preserve"> registrada c</w:t>
      </w:r>
      <w:r w:rsidR="00664420" w:rsidRPr="00613734">
        <w:rPr>
          <w:rFonts w:cs="Tahoma"/>
        </w:rPr>
        <w:t>on el número de folio</w:t>
      </w:r>
      <w:r w:rsidR="00664420" w:rsidRPr="00613734">
        <w:rPr>
          <w:rFonts w:cs="Tahoma"/>
          <w:b/>
          <w:bCs/>
        </w:rPr>
        <w:t xml:space="preserve"> </w:t>
      </w:r>
      <w:r w:rsidR="00822064" w:rsidRPr="00613734">
        <w:rPr>
          <w:rFonts w:cs="Tahoma"/>
          <w:b/>
          <w:bCs/>
        </w:rPr>
        <w:t xml:space="preserve">00108/NAUCALPA/IP/2025 </w:t>
      </w:r>
      <w:r w:rsidR="002A3601" w:rsidRPr="00613734">
        <w:rPr>
          <w:rFonts w:cs="Tahoma"/>
        </w:rPr>
        <w:t xml:space="preserve">y en ella </w:t>
      </w:r>
      <w:r w:rsidR="009A2D78" w:rsidRPr="00613734">
        <w:rPr>
          <w:rFonts w:cs="Tahoma"/>
        </w:rPr>
        <w:t>se requirió la siguiente información:</w:t>
      </w:r>
    </w:p>
    <w:p w14:paraId="0459D6AC" w14:textId="77777777" w:rsidR="00664420" w:rsidRPr="00613734" w:rsidRDefault="00664420" w:rsidP="00613734">
      <w:pPr>
        <w:tabs>
          <w:tab w:val="left" w:pos="4667"/>
        </w:tabs>
        <w:ind w:left="567" w:right="567"/>
        <w:rPr>
          <w:rFonts w:cs="Tahoma"/>
          <w:b/>
          <w:bCs/>
        </w:rPr>
      </w:pPr>
    </w:p>
    <w:p w14:paraId="179FB369" w14:textId="7898C32A" w:rsidR="00664420" w:rsidRPr="00613734" w:rsidRDefault="00791F90" w:rsidP="00613734">
      <w:pPr>
        <w:pStyle w:val="Puesto"/>
      </w:pPr>
      <w:r w:rsidRPr="00613734">
        <w:t>“</w:t>
      </w:r>
      <w:r w:rsidR="00004959" w:rsidRPr="00613734">
        <w:t>Oficios firmados por el C. José Antonio Gómez García del 1 al 15 de enero de 2025</w:t>
      </w:r>
      <w:r w:rsidR="00664420" w:rsidRPr="00613734">
        <w:t>.</w:t>
      </w:r>
      <w:r w:rsidRPr="00613734">
        <w:t>”</w:t>
      </w:r>
    </w:p>
    <w:p w14:paraId="64B27DE3" w14:textId="77777777" w:rsidR="00664420" w:rsidRPr="00613734" w:rsidRDefault="00664420" w:rsidP="00613734">
      <w:pPr>
        <w:tabs>
          <w:tab w:val="left" w:pos="4667"/>
        </w:tabs>
        <w:ind w:left="567" w:right="567"/>
        <w:rPr>
          <w:rFonts w:cs="Tahoma"/>
          <w:bCs/>
          <w:i/>
          <w:szCs w:val="22"/>
        </w:rPr>
      </w:pPr>
    </w:p>
    <w:p w14:paraId="0BD6321D" w14:textId="56D9ABBC" w:rsidR="00664420" w:rsidRPr="00613734" w:rsidRDefault="009A2D78" w:rsidP="00613734">
      <w:pPr>
        <w:tabs>
          <w:tab w:val="left" w:pos="4667"/>
        </w:tabs>
        <w:ind w:left="567" w:right="567"/>
        <w:rPr>
          <w:rFonts w:cs="Tahoma"/>
          <w:bCs/>
          <w:szCs w:val="22"/>
        </w:rPr>
      </w:pPr>
      <w:r w:rsidRPr="00613734">
        <w:rPr>
          <w:rFonts w:cs="Tahoma"/>
          <w:b/>
          <w:bCs/>
          <w:szCs w:val="22"/>
        </w:rPr>
        <w:t>Modalidad de entrega</w:t>
      </w:r>
      <w:r w:rsidRPr="00613734">
        <w:rPr>
          <w:rFonts w:cs="Tahoma"/>
          <w:bCs/>
          <w:szCs w:val="22"/>
        </w:rPr>
        <w:t>: a</w:t>
      </w:r>
      <w:r w:rsidR="00664420" w:rsidRPr="00613734">
        <w:rPr>
          <w:rFonts w:cs="Tahoma"/>
          <w:bCs/>
          <w:i/>
          <w:szCs w:val="22"/>
        </w:rPr>
        <w:t xml:space="preserve"> través del </w:t>
      </w:r>
      <w:r w:rsidR="00664420" w:rsidRPr="00613734">
        <w:rPr>
          <w:rFonts w:cs="Tahoma"/>
          <w:b/>
          <w:bCs/>
          <w:i/>
          <w:szCs w:val="22"/>
        </w:rPr>
        <w:t>SAIMEX</w:t>
      </w:r>
      <w:r w:rsidRPr="00613734">
        <w:rPr>
          <w:rFonts w:cs="Tahoma"/>
          <w:bCs/>
          <w:i/>
          <w:szCs w:val="22"/>
        </w:rPr>
        <w:t>.</w:t>
      </w:r>
    </w:p>
    <w:p w14:paraId="334D2860" w14:textId="77777777" w:rsidR="00664420" w:rsidRPr="00613734" w:rsidRDefault="00664420" w:rsidP="00613734">
      <w:pPr>
        <w:autoSpaceDE w:val="0"/>
        <w:autoSpaceDN w:val="0"/>
        <w:adjustRightInd w:val="0"/>
        <w:ind w:right="-28"/>
        <w:rPr>
          <w:rFonts w:cs="Tahoma"/>
          <w:bCs/>
          <w:i/>
          <w:szCs w:val="22"/>
        </w:rPr>
      </w:pPr>
    </w:p>
    <w:p w14:paraId="12928086" w14:textId="4C51191E" w:rsidR="00004959" w:rsidRPr="00613734" w:rsidRDefault="00E37A3F" w:rsidP="00613734">
      <w:pPr>
        <w:pStyle w:val="Ttulo3"/>
      </w:pPr>
      <w:bookmarkStart w:id="6" w:name="_Toc191489319"/>
      <w:r w:rsidRPr="00613734">
        <w:lastRenderedPageBreak/>
        <w:t xml:space="preserve">b) </w:t>
      </w:r>
      <w:bookmarkStart w:id="7" w:name="_Toc165402856"/>
      <w:r w:rsidR="00004959" w:rsidRPr="00613734">
        <w:t>Turno de la solicitud de información</w:t>
      </w:r>
      <w:bookmarkEnd w:id="6"/>
      <w:bookmarkEnd w:id="7"/>
    </w:p>
    <w:p w14:paraId="1959618F" w14:textId="1A877869" w:rsidR="00004959" w:rsidRPr="00613734" w:rsidRDefault="00004959" w:rsidP="00613734">
      <w:r w:rsidRPr="00613734">
        <w:t xml:space="preserve">En cumplimiento al artículo 162 de la Ley de Transparencia y Acceso a la Información Pública del Estado de México y Municipios, el </w:t>
      </w:r>
      <w:r w:rsidRPr="00613734">
        <w:rPr>
          <w:rFonts w:eastAsia="Palatino Linotype" w:cs="Palatino Linotype"/>
          <w:b/>
        </w:rPr>
        <w:t>veintitrés de enero de dos mil veinticinco</w:t>
      </w:r>
      <w:r w:rsidRPr="00613734">
        <w:t xml:space="preserve">, el Titular de la Unidad de Transparencia del </w:t>
      </w:r>
      <w:r w:rsidRPr="00613734">
        <w:rPr>
          <w:b/>
        </w:rPr>
        <w:t>SUJETO OBLIGADO</w:t>
      </w:r>
      <w:r w:rsidRPr="00613734">
        <w:t xml:space="preserve"> turnó la solicitud de información al servidor público habilitado que estimó pertinente.</w:t>
      </w:r>
    </w:p>
    <w:p w14:paraId="15006C5D" w14:textId="77777777" w:rsidR="00004959" w:rsidRPr="00613734" w:rsidRDefault="00004959" w:rsidP="00613734"/>
    <w:p w14:paraId="4C49F537" w14:textId="77777777" w:rsidR="00004959" w:rsidRPr="00613734" w:rsidRDefault="00004959" w:rsidP="00613734">
      <w:pPr>
        <w:pStyle w:val="Ttulo3"/>
        <w:rPr>
          <w:rFonts w:eastAsia="Calibri"/>
          <w:lang w:eastAsia="en-US"/>
        </w:rPr>
      </w:pPr>
      <w:bookmarkStart w:id="8" w:name="_Toc165402857"/>
      <w:bookmarkStart w:id="9" w:name="_Toc191489320"/>
      <w:r w:rsidRPr="00613734">
        <w:t xml:space="preserve">c) </w:t>
      </w:r>
      <w:bookmarkStart w:id="10" w:name="_Toc165402860"/>
      <w:bookmarkEnd w:id="8"/>
      <w:r w:rsidRPr="00613734">
        <w:rPr>
          <w:lang w:val="es-ES"/>
        </w:rPr>
        <w:t xml:space="preserve">Respuesta </w:t>
      </w:r>
      <w:r w:rsidRPr="00613734">
        <w:rPr>
          <w:rFonts w:eastAsia="Calibri"/>
          <w:lang w:eastAsia="en-US"/>
        </w:rPr>
        <w:t>del Sujeto Obligado</w:t>
      </w:r>
      <w:bookmarkEnd w:id="9"/>
      <w:bookmarkEnd w:id="10"/>
    </w:p>
    <w:p w14:paraId="79199CC1" w14:textId="3102E8D8" w:rsidR="00664420" w:rsidRPr="00613734" w:rsidRDefault="00664420" w:rsidP="00613734">
      <w:pPr>
        <w:pStyle w:val="Sinespaciado"/>
        <w:spacing w:line="360" w:lineRule="auto"/>
        <w:rPr>
          <w:lang w:val="es-ES"/>
        </w:rPr>
      </w:pPr>
      <w:r w:rsidRPr="00613734">
        <w:rPr>
          <w:lang w:val="es-ES"/>
        </w:rPr>
        <w:t xml:space="preserve">El </w:t>
      </w:r>
      <w:r w:rsidR="00954C0B" w:rsidRPr="00613734">
        <w:rPr>
          <w:b/>
          <w:bCs/>
          <w:lang w:val="es-ES"/>
        </w:rPr>
        <w:t>cinco</w:t>
      </w:r>
      <w:r w:rsidRPr="00613734">
        <w:rPr>
          <w:b/>
          <w:bCs/>
          <w:lang w:val="es-ES"/>
        </w:rPr>
        <w:t xml:space="preserve"> de </w:t>
      </w:r>
      <w:r w:rsidR="00954C0B" w:rsidRPr="00613734">
        <w:rPr>
          <w:b/>
          <w:bCs/>
          <w:lang w:val="es-ES"/>
        </w:rPr>
        <w:t>febrero</w:t>
      </w:r>
      <w:r w:rsidRPr="00613734">
        <w:rPr>
          <w:b/>
          <w:bCs/>
          <w:lang w:val="es-ES"/>
        </w:rPr>
        <w:t xml:space="preserve"> de </w:t>
      </w:r>
      <w:r w:rsidR="00233E26" w:rsidRPr="00613734">
        <w:rPr>
          <w:b/>
          <w:bCs/>
          <w:lang w:val="es-ES"/>
        </w:rPr>
        <w:t>dos mil</w:t>
      </w:r>
      <w:r w:rsidR="00823EFC" w:rsidRPr="00613734">
        <w:rPr>
          <w:b/>
          <w:bCs/>
          <w:lang w:val="es-ES"/>
        </w:rPr>
        <w:t xml:space="preserve"> veintic</w:t>
      </w:r>
      <w:r w:rsidR="00954C0B" w:rsidRPr="00613734">
        <w:rPr>
          <w:b/>
          <w:bCs/>
          <w:lang w:val="es-ES"/>
        </w:rPr>
        <w:t>inc</w:t>
      </w:r>
      <w:r w:rsidR="00823EFC" w:rsidRPr="00613734">
        <w:rPr>
          <w:b/>
          <w:bCs/>
          <w:lang w:val="es-ES"/>
        </w:rPr>
        <w:t>o</w:t>
      </w:r>
      <w:r w:rsidRPr="00613734">
        <w:rPr>
          <w:lang w:val="es-ES"/>
        </w:rPr>
        <w:t xml:space="preserve">, </w:t>
      </w:r>
      <w:r w:rsidR="00F07EE6" w:rsidRPr="00613734">
        <w:rPr>
          <w:lang w:val="es-ES"/>
        </w:rPr>
        <w:t xml:space="preserve">el Titular de la Unidad de Transparencia del </w:t>
      </w:r>
      <w:r w:rsidR="00F07EE6" w:rsidRPr="00613734">
        <w:rPr>
          <w:b/>
          <w:lang w:val="es-ES"/>
        </w:rPr>
        <w:t>SUJETO OBLIGADO</w:t>
      </w:r>
      <w:r w:rsidR="00F07EE6" w:rsidRPr="00613734">
        <w:rPr>
          <w:lang w:val="es-ES"/>
        </w:rPr>
        <w:t xml:space="preserve"> notificó la siguiente respuesta a través del </w:t>
      </w:r>
      <w:r w:rsidRPr="00613734">
        <w:rPr>
          <w:lang w:val="es-ES"/>
        </w:rPr>
        <w:t>SAIMEX</w:t>
      </w:r>
      <w:r w:rsidR="00F07EE6" w:rsidRPr="00613734">
        <w:rPr>
          <w:lang w:val="es-ES"/>
        </w:rPr>
        <w:t>:</w:t>
      </w:r>
    </w:p>
    <w:p w14:paraId="669F7EFD" w14:textId="77777777" w:rsidR="00664420" w:rsidRPr="00613734" w:rsidRDefault="00664420" w:rsidP="00613734">
      <w:pPr>
        <w:tabs>
          <w:tab w:val="left" w:pos="4667"/>
        </w:tabs>
        <w:ind w:left="567" w:right="567"/>
        <w:rPr>
          <w:rFonts w:cs="Tahoma"/>
          <w:b/>
          <w:bCs/>
        </w:rPr>
      </w:pPr>
    </w:p>
    <w:p w14:paraId="333024FA" w14:textId="77777777" w:rsidR="00954C0B" w:rsidRPr="00613734" w:rsidRDefault="00954C0B" w:rsidP="00613734">
      <w:pPr>
        <w:pStyle w:val="Puesto"/>
        <w:jc w:val="right"/>
      </w:pPr>
      <w:r w:rsidRPr="00613734">
        <w:t>Naucalpan de Juárez, México a 05 de Febrero de 2025</w:t>
      </w:r>
    </w:p>
    <w:p w14:paraId="590750BA" w14:textId="77777777" w:rsidR="00954C0B" w:rsidRPr="00613734" w:rsidRDefault="00954C0B" w:rsidP="00613734">
      <w:pPr>
        <w:pStyle w:val="Puesto"/>
        <w:jc w:val="right"/>
      </w:pPr>
      <w:r w:rsidRPr="00613734">
        <w:t>Nombre del solicitante: C. Solicitante</w:t>
      </w:r>
    </w:p>
    <w:p w14:paraId="08B0DB79" w14:textId="77777777" w:rsidR="00954C0B" w:rsidRPr="00613734" w:rsidRDefault="00954C0B" w:rsidP="00613734">
      <w:pPr>
        <w:pStyle w:val="Puesto"/>
        <w:jc w:val="right"/>
      </w:pPr>
      <w:r w:rsidRPr="00613734">
        <w:t>Folio de la solicitud: 00108/NAUCALPA/IP/2025</w:t>
      </w:r>
    </w:p>
    <w:p w14:paraId="3761078E" w14:textId="77777777" w:rsidR="00384275" w:rsidRPr="00613734" w:rsidRDefault="00384275" w:rsidP="00613734"/>
    <w:p w14:paraId="03E053A7" w14:textId="77777777" w:rsidR="00954C0B" w:rsidRPr="00613734" w:rsidRDefault="00954C0B" w:rsidP="00613734">
      <w:pPr>
        <w:pStyle w:val="Puesto"/>
      </w:pPr>
      <w:r w:rsidRPr="00613734">
        <w:t>En respuesta a la solicitud recibida, nos permitimos hacer de su conocimiento que con fundamento en el artículo 53, Fracciones: II, V y VI de la Ley de Transparencia y Acceso a la Información Pública del Estado de México y Municipios, le contestamos que:</w:t>
      </w:r>
    </w:p>
    <w:p w14:paraId="206BA1CA" w14:textId="77777777" w:rsidR="00384275" w:rsidRPr="00613734" w:rsidRDefault="00384275" w:rsidP="00613734"/>
    <w:p w14:paraId="4FF5E4F7" w14:textId="77777777" w:rsidR="00954C0B" w:rsidRPr="00613734" w:rsidRDefault="00954C0B" w:rsidP="00613734">
      <w:pPr>
        <w:pStyle w:val="Puesto"/>
      </w:pPr>
      <w:r w:rsidRPr="00613734">
        <w:t xml:space="preserve">Por medio del Presente, reciba un cordial saludo y al mismo tiempo en estricto cumplimiento a las disposiciones establecidas en los Artículos 4, 7, 9, 11, 23 y demás respectivos a los establecidos en la ley de Transparencia y Acceso a la Información Pública del Estado de México y Municipios, en base a lo establecido en el artículo 6º. Inciso A-Fracción primera de nuestra Constitución Política de los Estados Unidos Mexicanos. Para dar respuesta al Folio de solicitud No. 00108/NAUCALPAN/IP/2025; Turnado a esta DIRECCIÓN DE SERVICIOS PÚBLICOS por la UNIDAD DE TRANSPARENCIA Y ACCESO A LA INFORMACIÓN PÚBLICA solicitando lo siguiente información: </w:t>
      </w:r>
      <w:r w:rsidRPr="00613734">
        <w:t xml:space="preserve"> Oficios firmados por el C. JOSÉ ANTONIO GÓMEZ GARCÍA DIRECTOR DE SERVICIOS PÚBLICOS del 1 al 15 de enero de 2025. Dicho esto, y en atención para dar solvencia a dicha solicitud de información le envió copia de los oficios firmados por el titular de la DIRECCIÓN DE SERVICIOS PÚBLICOS del día 1º al día 15 del mes en curso. </w:t>
      </w:r>
      <w:r w:rsidRPr="00613734">
        <w:t xml:space="preserve"> Anexo copia de oficios Solicitados a esta Dirección de Servicios Públicos (19 Anexos). Sin otro particular de momento, envió un cordial saludo; quedo de Usted. GRACIAS. Por </w:t>
      </w:r>
      <w:r w:rsidRPr="00613734">
        <w:lastRenderedPageBreak/>
        <w:t xml:space="preserve">medio del Presente, reciba un cordial saludo y al mismo tiempo en estricto cumplimiento a las disposiciones establecidas en los Artículos 4, 7, 9, 11, 23 y demás respectivos a los establecidos en la ley de Transparencia y Acceso a la Información Pública del Estado de México y Municipios, en base a lo establecido en el artículo 6º. Inciso A-Fracción primera de nuestra Constitución Política de los Estados Unidos Mexicanos. Para dar respuesta al Folio de solicitud No. 00108/NAUCALPAN/IP/2025; Turnado a esta DIRECCIÓN DE SERVICIOS PÚBLICOS por la UNIDAD DE TRANSPARENCIA Y ACCESO A LA INFORMACIÓN PÚBLICA solicitando lo siguiente información: </w:t>
      </w:r>
      <w:r w:rsidRPr="00613734">
        <w:t> Oficios firmados por el C. JOSÉ ANTONIO GÓMEZ GARCÍA DIRECTOR DE SERVICIOS PÚBLICOS del 1 al 15 de enero de 2025. Dicho esto, y en atención para dar solvencia a dicha solicitud de información y en protección de datos personales de la ley de Transparencia SE ANEXA acuerdo CT/NAU/ACTA-EXT-002/2025/20 Y ANEXO DE OFICIOS debidamente testados como lo marca la ley de Transparencia y Acceso a la Información Pública del Estado de México y Municipios. sin mas por el momento quedo de usted.</w:t>
      </w:r>
    </w:p>
    <w:p w14:paraId="5C2A75A2" w14:textId="77777777" w:rsidR="00384275" w:rsidRPr="00613734" w:rsidRDefault="00384275" w:rsidP="00613734"/>
    <w:p w14:paraId="275DB385" w14:textId="77777777" w:rsidR="00954C0B" w:rsidRPr="00613734" w:rsidRDefault="00954C0B" w:rsidP="00613734">
      <w:pPr>
        <w:pStyle w:val="Puesto"/>
      </w:pPr>
      <w:r w:rsidRPr="00613734">
        <w:t>ATENTAMENTE</w:t>
      </w:r>
    </w:p>
    <w:p w14:paraId="63EFAAFB" w14:textId="77777777" w:rsidR="00384275" w:rsidRPr="00613734" w:rsidRDefault="00384275" w:rsidP="00613734"/>
    <w:p w14:paraId="042FE73D" w14:textId="50BCBC59" w:rsidR="00F07EE6" w:rsidRPr="00613734" w:rsidRDefault="00954C0B" w:rsidP="00613734">
      <w:pPr>
        <w:pStyle w:val="Puesto"/>
      </w:pPr>
      <w:r w:rsidRPr="00613734">
        <w:t>Lic. Daniel Taboada Elías</w:t>
      </w:r>
      <w:r w:rsidR="00F07EE6" w:rsidRPr="00613734">
        <w:t>.</w:t>
      </w:r>
    </w:p>
    <w:p w14:paraId="5D11024C" w14:textId="77777777" w:rsidR="00664420" w:rsidRPr="00613734" w:rsidRDefault="00664420" w:rsidP="00613734">
      <w:pPr>
        <w:autoSpaceDE w:val="0"/>
        <w:autoSpaceDN w:val="0"/>
        <w:adjustRightInd w:val="0"/>
        <w:ind w:right="-28"/>
        <w:rPr>
          <w:rFonts w:cs="Tahoma"/>
          <w:bCs/>
          <w:szCs w:val="22"/>
        </w:rPr>
      </w:pPr>
    </w:p>
    <w:p w14:paraId="70920289" w14:textId="6CA6052C" w:rsidR="00664420" w:rsidRPr="00613734" w:rsidRDefault="00F07EE6" w:rsidP="00613734">
      <w:pPr>
        <w:autoSpaceDE w:val="0"/>
        <w:autoSpaceDN w:val="0"/>
        <w:adjustRightInd w:val="0"/>
        <w:ind w:right="-28"/>
        <w:rPr>
          <w:rFonts w:cs="Tahoma"/>
          <w:bCs/>
          <w:szCs w:val="22"/>
          <w:lang w:val="es-ES"/>
        </w:rPr>
      </w:pPr>
      <w:r w:rsidRPr="00613734">
        <w:rPr>
          <w:rFonts w:cs="Tahoma"/>
          <w:bCs/>
          <w:szCs w:val="22"/>
          <w:lang w:val="es-ES"/>
        </w:rPr>
        <w:t xml:space="preserve">Asimismo, </w:t>
      </w:r>
      <w:r w:rsidRPr="00613734">
        <w:rPr>
          <w:rFonts w:cs="Tahoma"/>
          <w:b/>
          <w:szCs w:val="22"/>
          <w:lang w:val="es-ES"/>
        </w:rPr>
        <w:t xml:space="preserve">EL SUJETO OBLIGADO </w:t>
      </w:r>
      <w:r w:rsidRPr="00613734">
        <w:rPr>
          <w:rFonts w:cs="Tahoma"/>
          <w:bCs/>
          <w:szCs w:val="22"/>
          <w:lang w:val="es-ES"/>
        </w:rPr>
        <w:t xml:space="preserve">adjuntó a su respuesta </w:t>
      </w:r>
      <w:r w:rsidR="00791F90" w:rsidRPr="00613734">
        <w:rPr>
          <w:rFonts w:cs="Tahoma"/>
          <w:bCs/>
          <w:szCs w:val="22"/>
          <w:lang w:val="es-ES"/>
        </w:rPr>
        <w:t>el</w:t>
      </w:r>
      <w:r w:rsidRPr="00613734">
        <w:rPr>
          <w:rFonts w:cs="Tahoma"/>
          <w:bCs/>
          <w:szCs w:val="22"/>
          <w:lang w:val="es-ES"/>
        </w:rPr>
        <w:t xml:space="preserve"> archivo electrónico que se describen a continuación</w:t>
      </w:r>
      <w:r w:rsidR="00664420" w:rsidRPr="00613734">
        <w:rPr>
          <w:rFonts w:cs="Tahoma"/>
          <w:bCs/>
          <w:szCs w:val="22"/>
          <w:lang w:val="es-ES"/>
        </w:rPr>
        <w:t>:</w:t>
      </w:r>
    </w:p>
    <w:p w14:paraId="799B43FD" w14:textId="77777777" w:rsidR="007F6427" w:rsidRPr="00613734" w:rsidRDefault="007F6427" w:rsidP="00613734">
      <w:pPr>
        <w:autoSpaceDE w:val="0"/>
        <w:autoSpaceDN w:val="0"/>
        <w:adjustRightInd w:val="0"/>
        <w:ind w:right="-28"/>
        <w:rPr>
          <w:rFonts w:cs="Tahoma"/>
          <w:bCs/>
          <w:szCs w:val="22"/>
          <w:lang w:val="es-ES"/>
        </w:rPr>
      </w:pPr>
    </w:p>
    <w:p w14:paraId="6FEE5DEB" w14:textId="2571EFF8" w:rsidR="00954C0B" w:rsidRPr="00613734" w:rsidRDefault="00954C0B" w:rsidP="00613734">
      <w:pPr>
        <w:pStyle w:val="Prrafodelista"/>
        <w:numPr>
          <w:ilvl w:val="0"/>
          <w:numId w:val="18"/>
        </w:numPr>
        <w:autoSpaceDE w:val="0"/>
        <w:autoSpaceDN w:val="0"/>
        <w:adjustRightInd w:val="0"/>
        <w:ind w:right="-28"/>
        <w:rPr>
          <w:rFonts w:cs="Tahoma"/>
          <w:bCs/>
          <w:szCs w:val="22"/>
          <w:lang w:val="es-ES"/>
        </w:rPr>
      </w:pPr>
      <w:r w:rsidRPr="00613734">
        <w:rPr>
          <w:rFonts w:cs="Tahoma"/>
          <w:b/>
          <w:bCs/>
          <w:i/>
          <w:szCs w:val="22"/>
          <w:lang w:val="es-ES"/>
        </w:rPr>
        <w:t>19 Oficios Servicios Públicos 2025.pdf</w:t>
      </w:r>
      <w:r w:rsidRPr="00613734">
        <w:rPr>
          <w:rFonts w:cs="Tahoma"/>
          <w:bCs/>
          <w:szCs w:val="22"/>
          <w:lang w:val="es-ES"/>
        </w:rPr>
        <w:t xml:space="preserve">: </w:t>
      </w:r>
      <w:r w:rsidR="00075021" w:rsidRPr="00613734">
        <w:rPr>
          <w:rFonts w:cs="Tahoma"/>
          <w:bCs/>
          <w:szCs w:val="22"/>
          <w:lang w:val="es-ES"/>
        </w:rPr>
        <w:t>Archivo constante de 19 páginas relativas a diversos oficios del seis al quince de enero de dos mil veinticinco</w:t>
      </w:r>
      <w:r w:rsidR="000D07EF" w:rsidRPr="00613734">
        <w:rPr>
          <w:rFonts w:cs="Tahoma"/>
          <w:bCs/>
          <w:szCs w:val="22"/>
          <w:lang w:val="es-ES"/>
        </w:rPr>
        <w:t xml:space="preserve"> de forma íntegra</w:t>
      </w:r>
      <w:r w:rsidR="00075021" w:rsidRPr="00613734">
        <w:rPr>
          <w:rFonts w:cs="Tahoma"/>
          <w:bCs/>
          <w:szCs w:val="22"/>
          <w:lang w:val="es-ES"/>
        </w:rPr>
        <w:t>.</w:t>
      </w:r>
    </w:p>
    <w:p w14:paraId="1625D7D0" w14:textId="77777777" w:rsidR="00954C0B" w:rsidRPr="00613734" w:rsidRDefault="00954C0B" w:rsidP="00613734">
      <w:pPr>
        <w:autoSpaceDE w:val="0"/>
        <w:autoSpaceDN w:val="0"/>
        <w:adjustRightInd w:val="0"/>
        <w:ind w:right="-28"/>
        <w:rPr>
          <w:rFonts w:cs="Tahoma"/>
          <w:bCs/>
          <w:szCs w:val="22"/>
          <w:lang w:val="es-ES"/>
        </w:rPr>
      </w:pPr>
    </w:p>
    <w:p w14:paraId="2695E72D" w14:textId="7055330C" w:rsidR="00954C0B" w:rsidRPr="00613734" w:rsidRDefault="00954C0B" w:rsidP="00613734">
      <w:pPr>
        <w:pStyle w:val="Prrafodelista"/>
        <w:numPr>
          <w:ilvl w:val="0"/>
          <w:numId w:val="18"/>
        </w:numPr>
        <w:autoSpaceDE w:val="0"/>
        <w:autoSpaceDN w:val="0"/>
        <w:adjustRightInd w:val="0"/>
        <w:ind w:right="-28"/>
        <w:rPr>
          <w:rFonts w:cs="Tahoma"/>
          <w:bCs/>
          <w:szCs w:val="22"/>
          <w:lang w:val="es-ES"/>
        </w:rPr>
      </w:pPr>
      <w:r w:rsidRPr="00613734">
        <w:rPr>
          <w:rFonts w:cs="Tahoma"/>
          <w:b/>
          <w:bCs/>
          <w:i/>
          <w:szCs w:val="22"/>
          <w:lang w:val="es-ES"/>
        </w:rPr>
        <w:t>Acuerdo CT-NAU-ACTA-EXT-002-2025-20.pdf</w:t>
      </w:r>
      <w:r w:rsidRPr="00613734">
        <w:rPr>
          <w:rFonts w:cs="Tahoma"/>
          <w:bCs/>
          <w:szCs w:val="22"/>
          <w:lang w:val="es-ES"/>
        </w:rPr>
        <w:t xml:space="preserve">: </w:t>
      </w:r>
      <w:r w:rsidR="00075021" w:rsidRPr="00613734">
        <w:rPr>
          <w:rFonts w:cs="Tahoma"/>
          <w:bCs/>
          <w:szCs w:val="22"/>
          <w:lang w:val="es-ES"/>
        </w:rPr>
        <w:t xml:space="preserve">Archivo constante de 4 páginas, que comprenden el Acuerdo emitido por el </w:t>
      </w:r>
      <w:r w:rsidR="00803FBC" w:rsidRPr="00613734">
        <w:rPr>
          <w:rFonts w:cs="Tahoma"/>
          <w:bCs/>
          <w:szCs w:val="22"/>
          <w:lang w:val="es-ES"/>
        </w:rPr>
        <w:t>Comité de Transparencia</w:t>
      </w:r>
      <w:r w:rsidR="00075021" w:rsidRPr="00613734">
        <w:rPr>
          <w:rFonts w:cs="Tahoma"/>
          <w:bCs/>
          <w:szCs w:val="22"/>
          <w:lang w:val="es-ES"/>
        </w:rPr>
        <w:t xml:space="preserve"> </w:t>
      </w:r>
      <w:r w:rsidR="00803FBC" w:rsidRPr="00613734">
        <w:rPr>
          <w:rFonts w:cs="Tahoma"/>
          <w:bCs/>
          <w:szCs w:val="22"/>
          <w:lang w:val="es-ES"/>
        </w:rPr>
        <w:t xml:space="preserve">del Sujeto Obligado </w:t>
      </w:r>
      <w:r w:rsidR="00075021" w:rsidRPr="00613734">
        <w:rPr>
          <w:rFonts w:cs="Tahoma"/>
          <w:bCs/>
          <w:szCs w:val="22"/>
          <w:lang w:val="es-ES"/>
        </w:rPr>
        <w:t xml:space="preserve">CT/NAU/ACTA-EXT-002/2025/20 </w:t>
      </w:r>
      <w:r w:rsidR="00822064" w:rsidRPr="00613734">
        <w:rPr>
          <w:rFonts w:cs="Tahoma"/>
          <w:bCs/>
          <w:szCs w:val="22"/>
          <w:lang w:val="es-ES"/>
        </w:rPr>
        <w:t xml:space="preserve">relativo a la clasificación de </w:t>
      </w:r>
      <w:r w:rsidR="000D07EF" w:rsidRPr="00613734">
        <w:rPr>
          <w:rFonts w:cs="Tahoma"/>
          <w:bCs/>
          <w:szCs w:val="22"/>
          <w:lang w:val="es-ES"/>
        </w:rPr>
        <w:t>datos en 3 oficios como confidenciales teléfono de particulares y correo electrónico.</w:t>
      </w:r>
    </w:p>
    <w:p w14:paraId="44D5123D" w14:textId="77777777" w:rsidR="00954C0B" w:rsidRPr="00613734" w:rsidRDefault="00954C0B" w:rsidP="00613734">
      <w:pPr>
        <w:autoSpaceDE w:val="0"/>
        <w:autoSpaceDN w:val="0"/>
        <w:adjustRightInd w:val="0"/>
        <w:ind w:right="-28"/>
        <w:rPr>
          <w:rFonts w:cs="Tahoma"/>
          <w:bCs/>
          <w:szCs w:val="22"/>
          <w:lang w:val="es-ES"/>
        </w:rPr>
      </w:pPr>
    </w:p>
    <w:p w14:paraId="2FAF4030" w14:textId="5828CAD0" w:rsidR="00954C0B" w:rsidRPr="00613734" w:rsidRDefault="00954C0B" w:rsidP="00613734">
      <w:pPr>
        <w:pStyle w:val="Prrafodelista"/>
        <w:numPr>
          <w:ilvl w:val="0"/>
          <w:numId w:val="18"/>
        </w:numPr>
        <w:autoSpaceDE w:val="0"/>
        <w:autoSpaceDN w:val="0"/>
        <w:adjustRightInd w:val="0"/>
        <w:ind w:right="-28"/>
        <w:rPr>
          <w:rFonts w:cs="Tahoma"/>
          <w:bCs/>
          <w:szCs w:val="22"/>
          <w:lang w:val="es-ES"/>
        </w:rPr>
      </w:pPr>
      <w:r w:rsidRPr="00613734">
        <w:rPr>
          <w:rFonts w:cs="Tahoma"/>
          <w:b/>
          <w:bCs/>
          <w:i/>
          <w:szCs w:val="22"/>
          <w:lang w:val="es-ES"/>
        </w:rPr>
        <w:lastRenderedPageBreak/>
        <w:t>Oficios Testados.pdf</w:t>
      </w:r>
      <w:r w:rsidRPr="00613734">
        <w:rPr>
          <w:rFonts w:cs="Tahoma"/>
          <w:bCs/>
          <w:szCs w:val="22"/>
          <w:lang w:val="es-ES"/>
        </w:rPr>
        <w:t xml:space="preserve">: </w:t>
      </w:r>
      <w:r w:rsidR="000D07EF" w:rsidRPr="00613734">
        <w:rPr>
          <w:rFonts w:cs="Tahoma"/>
          <w:bCs/>
          <w:szCs w:val="22"/>
          <w:lang w:val="es-ES"/>
        </w:rPr>
        <w:t>Archivo constante de 19 páginas relativas a diversos oficios del seis al quince de enero de dos mil veinticinco en versión pública.</w:t>
      </w:r>
    </w:p>
    <w:p w14:paraId="0E320324" w14:textId="77777777" w:rsidR="00954C0B" w:rsidRPr="00613734" w:rsidRDefault="00954C0B" w:rsidP="00613734">
      <w:pPr>
        <w:autoSpaceDE w:val="0"/>
        <w:autoSpaceDN w:val="0"/>
        <w:adjustRightInd w:val="0"/>
        <w:ind w:right="-28"/>
        <w:rPr>
          <w:rFonts w:cs="Tahoma"/>
          <w:b/>
          <w:bCs/>
          <w:i/>
          <w:szCs w:val="22"/>
          <w:lang w:val="es-ES"/>
        </w:rPr>
      </w:pPr>
    </w:p>
    <w:p w14:paraId="5A5DAB9E" w14:textId="77777777" w:rsidR="00E37A3F" w:rsidRPr="00613734" w:rsidRDefault="00E37A3F" w:rsidP="00613734">
      <w:pPr>
        <w:pStyle w:val="Ttulo2"/>
        <w:jc w:val="left"/>
      </w:pPr>
      <w:bookmarkStart w:id="11" w:name="_Toc191489321"/>
      <w:r w:rsidRPr="00613734">
        <w:t>DEL RECURSO DE REVISIÓN</w:t>
      </w:r>
      <w:bookmarkEnd w:id="11"/>
    </w:p>
    <w:p w14:paraId="2B216813" w14:textId="61ADBB2B" w:rsidR="00664420" w:rsidRPr="00613734" w:rsidRDefault="006E25BC" w:rsidP="00613734">
      <w:pPr>
        <w:pStyle w:val="Ttulo3"/>
      </w:pPr>
      <w:bookmarkStart w:id="12" w:name="_Toc191489322"/>
      <w:r w:rsidRPr="00613734">
        <w:rPr>
          <w:szCs w:val="32"/>
        </w:rPr>
        <w:t>a)</w:t>
      </w:r>
      <w:r w:rsidRPr="00613734">
        <w:t xml:space="preserve"> </w:t>
      </w:r>
      <w:r w:rsidR="00664420" w:rsidRPr="00613734">
        <w:t>Interposición del Recurso de Revisión</w:t>
      </w:r>
      <w:bookmarkEnd w:id="12"/>
    </w:p>
    <w:p w14:paraId="6279C622" w14:textId="722DEB7E" w:rsidR="00664420" w:rsidRPr="00613734" w:rsidRDefault="00664420" w:rsidP="00613734">
      <w:pPr>
        <w:autoSpaceDE w:val="0"/>
        <w:autoSpaceDN w:val="0"/>
        <w:adjustRightInd w:val="0"/>
        <w:ind w:right="-28"/>
        <w:rPr>
          <w:rFonts w:cs="Tahoma"/>
          <w:szCs w:val="22"/>
        </w:rPr>
      </w:pPr>
      <w:r w:rsidRPr="00613734">
        <w:rPr>
          <w:rFonts w:cs="Tahoma"/>
          <w:szCs w:val="22"/>
        </w:rPr>
        <w:t xml:space="preserve">El </w:t>
      </w:r>
      <w:r w:rsidR="007A258A" w:rsidRPr="00613734">
        <w:rPr>
          <w:rFonts w:cs="Tahoma"/>
          <w:b/>
          <w:bCs/>
          <w:szCs w:val="22"/>
        </w:rPr>
        <w:t>cinco</w:t>
      </w:r>
      <w:r w:rsidRPr="00613734">
        <w:rPr>
          <w:rFonts w:cs="Tahoma"/>
          <w:b/>
          <w:bCs/>
          <w:szCs w:val="22"/>
        </w:rPr>
        <w:t xml:space="preserve"> de </w:t>
      </w:r>
      <w:r w:rsidR="007A258A" w:rsidRPr="00613734">
        <w:rPr>
          <w:rFonts w:cs="Tahoma"/>
          <w:b/>
          <w:bCs/>
          <w:szCs w:val="22"/>
        </w:rPr>
        <w:t>febrero</w:t>
      </w:r>
      <w:r w:rsidRPr="00613734">
        <w:rPr>
          <w:rFonts w:cs="Tahoma"/>
          <w:b/>
          <w:bCs/>
          <w:szCs w:val="22"/>
        </w:rPr>
        <w:t xml:space="preserve"> de </w:t>
      </w:r>
      <w:r w:rsidR="00823EFC" w:rsidRPr="00613734">
        <w:rPr>
          <w:rFonts w:cs="Tahoma"/>
          <w:b/>
          <w:bCs/>
          <w:szCs w:val="22"/>
        </w:rPr>
        <w:t>dos mil veintic</w:t>
      </w:r>
      <w:r w:rsidR="007F6427" w:rsidRPr="00613734">
        <w:rPr>
          <w:rFonts w:cs="Tahoma"/>
          <w:b/>
          <w:bCs/>
          <w:szCs w:val="22"/>
        </w:rPr>
        <w:t>inc</w:t>
      </w:r>
      <w:r w:rsidR="00823EFC" w:rsidRPr="00613734">
        <w:rPr>
          <w:rFonts w:cs="Tahoma"/>
          <w:b/>
          <w:bCs/>
          <w:szCs w:val="22"/>
        </w:rPr>
        <w:t xml:space="preserve">o </w:t>
      </w:r>
      <w:r w:rsidR="00F75D23" w:rsidRPr="00613734">
        <w:rPr>
          <w:rFonts w:cs="Tahoma"/>
          <w:b/>
          <w:bCs/>
          <w:szCs w:val="22"/>
        </w:rPr>
        <w:t>LA PARTE RECURRENTE</w:t>
      </w:r>
      <w:r w:rsidR="00F75D23" w:rsidRPr="00613734">
        <w:rPr>
          <w:rFonts w:cs="Tahoma"/>
          <w:szCs w:val="22"/>
        </w:rPr>
        <w:t xml:space="preserve"> interpuso el recurso de revisión en contra de la respuesta emitida por el </w:t>
      </w:r>
      <w:r w:rsidR="00F75D23" w:rsidRPr="00613734">
        <w:rPr>
          <w:rFonts w:cs="Tahoma"/>
          <w:b/>
          <w:bCs/>
          <w:szCs w:val="22"/>
        </w:rPr>
        <w:t>SUJETO OBLIGADO</w:t>
      </w:r>
      <w:r w:rsidR="00953430" w:rsidRPr="00613734">
        <w:rPr>
          <w:rFonts w:cs="Tahoma"/>
          <w:szCs w:val="22"/>
        </w:rPr>
        <w:t xml:space="preserve">, mismo que fue registrado en el SAIMEX con el número de expediente </w:t>
      </w:r>
      <w:r w:rsidR="007F6427" w:rsidRPr="00613734">
        <w:rPr>
          <w:rFonts w:cs="Tahoma"/>
          <w:b/>
          <w:bCs/>
          <w:szCs w:val="22"/>
        </w:rPr>
        <w:t>00</w:t>
      </w:r>
      <w:r w:rsidR="004A5316" w:rsidRPr="00613734">
        <w:rPr>
          <w:rFonts w:cs="Tahoma"/>
          <w:b/>
          <w:bCs/>
          <w:szCs w:val="22"/>
        </w:rPr>
        <w:t>672</w:t>
      </w:r>
      <w:r w:rsidR="00953430" w:rsidRPr="00613734">
        <w:rPr>
          <w:rFonts w:cs="Tahoma"/>
          <w:b/>
          <w:bCs/>
          <w:szCs w:val="22"/>
        </w:rPr>
        <w:t>/INFOEM/IP/RR/</w:t>
      </w:r>
      <w:r w:rsidR="00823EFC" w:rsidRPr="00613734">
        <w:rPr>
          <w:rFonts w:cs="Tahoma"/>
          <w:b/>
          <w:bCs/>
          <w:szCs w:val="22"/>
        </w:rPr>
        <w:t>202</w:t>
      </w:r>
      <w:r w:rsidR="007A258A" w:rsidRPr="00613734">
        <w:rPr>
          <w:rFonts w:cs="Tahoma"/>
          <w:b/>
          <w:bCs/>
          <w:szCs w:val="22"/>
        </w:rPr>
        <w:t>5</w:t>
      </w:r>
      <w:r w:rsidR="00953430" w:rsidRPr="00613734">
        <w:rPr>
          <w:rFonts w:cs="Tahoma"/>
          <w:szCs w:val="22"/>
        </w:rPr>
        <w:t>, y en el cual manifiesta lo siguiente</w:t>
      </w:r>
      <w:r w:rsidRPr="00613734">
        <w:rPr>
          <w:rFonts w:cs="Tahoma"/>
          <w:szCs w:val="22"/>
        </w:rPr>
        <w:t>:</w:t>
      </w:r>
    </w:p>
    <w:p w14:paraId="74B30008" w14:textId="77777777" w:rsidR="00664420" w:rsidRPr="00613734" w:rsidRDefault="00664420" w:rsidP="00613734">
      <w:pPr>
        <w:tabs>
          <w:tab w:val="left" w:pos="4667"/>
        </w:tabs>
        <w:ind w:right="539"/>
        <w:rPr>
          <w:rFonts w:cs="Tahoma"/>
          <w:szCs w:val="22"/>
        </w:rPr>
      </w:pPr>
    </w:p>
    <w:p w14:paraId="12153283" w14:textId="77777777" w:rsidR="00664420" w:rsidRPr="00613734" w:rsidRDefault="00664420" w:rsidP="00613734">
      <w:pPr>
        <w:tabs>
          <w:tab w:val="left" w:pos="4667"/>
        </w:tabs>
        <w:ind w:left="567" w:right="539"/>
        <w:rPr>
          <w:rFonts w:cs="Tahoma"/>
          <w:b/>
          <w:iCs/>
        </w:rPr>
      </w:pPr>
      <w:r w:rsidRPr="00613734">
        <w:rPr>
          <w:rFonts w:cs="Tahoma"/>
          <w:b/>
          <w:iCs/>
        </w:rPr>
        <w:t>ACTO IMPUGNADO</w:t>
      </w:r>
      <w:r w:rsidRPr="00613734">
        <w:rPr>
          <w:rFonts w:cs="Tahoma"/>
          <w:b/>
          <w:iCs/>
        </w:rPr>
        <w:tab/>
      </w:r>
    </w:p>
    <w:p w14:paraId="523F8BF4" w14:textId="4EDE341D" w:rsidR="00664420" w:rsidRPr="00613734" w:rsidRDefault="007F6427" w:rsidP="00613734">
      <w:pPr>
        <w:pStyle w:val="Puesto"/>
      </w:pPr>
      <w:r w:rsidRPr="00613734">
        <w:t>“</w:t>
      </w:r>
      <w:r w:rsidR="007A258A" w:rsidRPr="00613734">
        <w:t xml:space="preserve">La Unidad de Transparencia en la entrega de la información, por un lado, pone a mi disposición tres archivos, en el denominado "19 Oficios Servicios Públicos 2025.pdf" me hace entrega de forma íntegra sin testar de los oficios DGSP/0005/2025, DGSP/0010/2025 y DGSP/0011/2025, de los que </w:t>
      </w:r>
      <w:bookmarkStart w:id="13" w:name="_Hlk191482821"/>
      <w:r w:rsidR="007A258A" w:rsidRPr="00613734">
        <w:t>se advierten datos personales de personas servidoras públicas, como el número telefónico particular y el correo electrónico</w:t>
      </w:r>
      <w:bookmarkEnd w:id="13"/>
      <w:r w:rsidR="007A258A" w:rsidRPr="00613734">
        <w:t>. Asimismo, los oficios DGSP/0006/2025, DGSP/0013/2025 y DGSP/0014/2025, ponen a mi disposición datos personales relacionados con las placas vehiculares, marca y modelo de vehículos que al parecer son de personas particulares, datos que forman parte del patrimonio de una persona, por lo que constituye un dato personal y, por ende, confidencial. Por otro lado, del acuerdo CT/NAU/ACTA-EXT-002/2025720, confirma la confidencialidad del NOMBRE de la persona SERVIDORA PÚBLICA, CORREO ELECTRÓNICO y TELÉFONO PARTICULAR. Ahora bien, del archivo denominado "Oficios Testados.pdf", me entregan los oficios DGSP/0005/2025, DGSP/0010/2025 y DGSP/0011/2025, en versión pública.</w:t>
      </w:r>
      <w:r w:rsidRPr="00613734">
        <w:t>”</w:t>
      </w:r>
    </w:p>
    <w:p w14:paraId="6AE8EA9A" w14:textId="77777777" w:rsidR="00664420" w:rsidRPr="00613734" w:rsidRDefault="00664420" w:rsidP="00613734">
      <w:pPr>
        <w:tabs>
          <w:tab w:val="left" w:pos="4667"/>
        </w:tabs>
        <w:ind w:left="567" w:right="539"/>
        <w:rPr>
          <w:rFonts w:cs="Tahoma"/>
          <w:bCs/>
          <w:i/>
        </w:rPr>
      </w:pPr>
    </w:p>
    <w:p w14:paraId="047D036B" w14:textId="77777777" w:rsidR="00664420" w:rsidRPr="00613734" w:rsidRDefault="00664420" w:rsidP="00613734">
      <w:pPr>
        <w:tabs>
          <w:tab w:val="left" w:pos="4667"/>
        </w:tabs>
        <w:ind w:left="567" w:right="539"/>
        <w:rPr>
          <w:rFonts w:cs="Tahoma"/>
          <w:b/>
          <w:iCs/>
        </w:rPr>
      </w:pPr>
      <w:r w:rsidRPr="00613734">
        <w:rPr>
          <w:rFonts w:cs="Tahoma"/>
          <w:b/>
          <w:iCs/>
        </w:rPr>
        <w:t>RAZONES O MOTIVOS DE LA INCONFORMIDAD</w:t>
      </w:r>
      <w:r w:rsidRPr="00613734">
        <w:rPr>
          <w:rFonts w:cs="Tahoma"/>
          <w:b/>
          <w:iCs/>
        </w:rPr>
        <w:tab/>
      </w:r>
    </w:p>
    <w:p w14:paraId="1DAE2563" w14:textId="2D065095" w:rsidR="00953430" w:rsidRPr="00613734" w:rsidRDefault="006D51EF" w:rsidP="00613734">
      <w:pPr>
        <w:pStyle w:val="Puesto"/>
      </w:pPr>
      <w:r w:rsidRPr="00613734">
        <w:t>“</w:t>
      </w:r>
      <w:r w:rsidR="007A258A" w:rsidRPr="00613734">
        <w:t xml:space="preserve">La Unidad de Transparencia en la entrega de la información, por un lado, pone a mi disposición tres archivos, en el denominado "19 Oficios Servicios Públicos 2025.pdf" me hace entrega de forma íntegra sin testar de los oficios DGSP/0005/2025, DGSP/0010/2025 y DGSP/0011/2025, de los que se advierten datos personales de personas servidoras públicas, como el número telefónico particular y el correo electrónico. Asimismo, los oficios DGSP/0006/2025, DGSP/0013/2025 y DGSP/0014/2025, ponen a mi disposición datos </w:t>
      </w:r>
      <w:r w:rsidR="007A258A" w:rsidRPr="00613734">
        <w:lastRenderedPageBreak/>
        <w:t xml:space="preserve">personales relacionados con las placas vehiculares, marca y modelo de vehículos que al parecer son de personas particulares, Los datos inherentes a la identificación de un vehículo, como son: marca, modelo, año modelo, clase, tipo, número de constancia de inscripción, placa, número de puertas, país de origen, versión, desplazamiento, número de cilindros, número de ejes y situación jurídica del vehículo, </w:t>
      </w:r>
      <w:bookmarkStart w:id="14" w:name="_Hlk191483187"/>
      <w:r w:rsidR="007A258A" w:rsidRPr="00613734">
        <w:t>al formar parte de un vehículo automotor y éste parte del patrimonio de una persona, constituye un dato personal y, por ende, confidencial</w:t>
      </w:r>
      <w:bookmarkEnd w:id="14"/>
      <w:r w:rsidR="007A258A" w:rsidRPr="00613734">
        <w:t xml:space="preserve"> Por otro lado, del acuerdo CT/NAU/ACTA-EXT-002/2025720, confirma la confidencialidad del NOMBRE de la persona SERVIDORA PÚBLICA, CORREO ELECTRÓNICO y TELÉFONO PARTICULAR. Ahora bien, del archivo denominado "Oficios Testados.pdf", me entregan los oficios DGSP/0005/2025, DGSP/0010/2025 y DGSP/0011/2025, en versión pública. </w:t>
      </w:r>
      <w:r w:rsidR="007A258A" w:rsidRPr="00613734">
        <w:rPr>
          <w:b/>
        </w:rPr>
        <w:t>Solicito se le dé vista al órgano interno de Control, porque el sujeto obligado, pone a disposición datos personales de servidores públicos como de particulares</w:t>
      </w:r>
      <w:r w:rsidR="007A258A" w:rsidRPr="00613734">
        <w:t>; específicamente de las personas integrantes del Comité de Transparencia es decir, de la "PRESIDENTA", el "SECRETARIO TÉCNICO", el "VOCAL" y la "OFICIAL DE PROTECCIÓN DE DATOS PERSONALES".</w:t>
      </w:r>
    </w:p>
    <w:p w14:paraId="21B6868C" w14:textId="77777777" w:rsidR="00827022" w:rsidRPr="00613734" w:rsidRDefault="00827022" w:rsidP="00613734">
      <w:pPr>
        <w:tabs>
          <w:tab w:val="left" w:pos="4667"/>
        </w:tabs>
        <w:spacing w:line="240" w:lineRule="auto"/>
        <w:ind w:left="567" w:right="539"/>
        <w:rPr>
          <w:rFonts w:cs="Tahoma"/>
          <w:bCs/>
          <w:i/>
        </w:rPr>
      </w:pPr>
    </w:p>
    <w:p w14:paraId="6804DEF1" w14:textId="3C4F6CB5" w:rsidR="00664420" w:rsidRPr="00613734" w:rsidRDefault="006E25BC" w:rsidP="00613734">
      <w:pPr>
        <w:pStyle w:val="Ttulo3"/>
      </w:pPr>
      <w:bookmarkStart w:id="15" w:name="_Toc191489323"/>
      <w:r w:rsidRPr="00613734">
        <w:t>b</w:t>
      </w:r>
      <w:r w:rsidR="00664420" w:rsidRPr="00613734">
        <w:t>) Turno del Recurso de Revisión</w:t>
      </w:r>
      <w:bookmarkEnd w:id="15"/>
    </w:p>
    <w:p w14:paraId="1173671B" w14:textId="666D140F" w:rsidR="00C72DAA" w:rsidRPr="00613734" w:rsidRDefault="00C72DAA" w:rsidP="00613734">
      <w:r w:rsidRPr="00613734">
        <w:t>Con fundamento en el artículo 185, fracción I de la Ley de Transparencia y Acceso a la Información Pública del Estado de México y Municipios, el</w:t>
      </w:r>
      <w:r w:rsidR="006D51EF" w:rsidRPr="00613734">
        <w:rPr>
          <w:rFonts w:eastAsia="Palatino Linotype" w:cs="Palatino Linotype"/>
          <w:b/>
        </w:rPr>
        <w:t xml:space="preserve"> cinco</w:t>
      </w:r>
      <w:r w:rsidRPr="00613734">
        <w:rPr>
          <w:rFonts w:eastAsia="Palatino Linotype" w:cs="Palatino Linotype"/>
          <w:b/>
        </w:rPr>
        <w:t xml:space="preserve"> de </w:t>
      </w:r>
      <w:r w:rsidR="006D51EF" w:rsidRPr="00613734">
        <w:rPr>
          <w:rFonts w:eastAsia="Palatino Linotype" w:cs="Palatino Linotype"/>
          <w:b/>
        </w:rPr>
        <w:t>febrero</w:t>
      </w:r>
      <w:r w:rsidRPr="00613734">
        <w:rPr>
          <w:rFonts w:eastAsia="Palatino Linotype" w:cs="Palatino Linotype"/>
          <w:b/>
        </w:rPr>
        <w:t xml:space="preserve"> de </w:t>
      </w:r>
      <w:r w:rsidR="00823EFC" w:rsidRPr="00613734">
        <w:rPr>
          <w:rFonts w:eastAsia="Palatino Linotype" w:cs="Palatino Linotype"/>
          <w:b/>
        </w:rPr>
        <w:t>dos mil veintic</w:t>
      </w:r>
      <w:r w:rsidR="007F6427" w:rsidRPr="00613734">
        <w:rPr>
          <w:rFonts w:eastAsia="Palatino Linotype" w:cs="Palatino Linotype"/>
          <w:b/>
        </w:rPr>
        <w:t>inc</w:t>
      </w:r>
      <w:r w:rsidR="00823EFC" w:rsidRPr="00613734">
        <w:rPr>
          <w:rFonts w:eastAsia="Palatino Linotype" w:cs="Palatino Linotype"/>
          <w:b/>
        </w:rPr>
        <w:t xml:space="preserve">o </w:t>
      </w:r>
      <w:r w:rsidRPr="00613734">
        <w:t>se turnó el recurso de revisión a través del</w:t>
      </w:r>
      <w:r w:rsidRPr="00613734">
        <w:rPr>
          <w:rFonts w:eastAsia="Arial Unicode MS"/>
        </w:rPr>
        <w:t xml:space="preserve"> </w:t>
      </w:r>
      <w:r w:rsidRPr="00613734">
        <w:rPr>
          <w:rFonts w:eastAsia="Arial Unicode MS"/>
          <w:bCs/>
        </w:rPr>
        <w:t>SAIMEX</w:t>
      </w:r>
      <w:r w:rsidRPr="00613734">
        <w:t xml:space="preserve"> a la </w:t>
      </w:r>
      <w:r w:rsidRPr="00613734">
        <w:rPr>
          <w:b/>
        </w:rPr>
        <w:t>Comisionada Sharon Cristina Morales Martínez</w:t>
      </w:r>
      <w:r w:rsidRPr="00613734">
        <w:rPr>
          <w:bCs/>
        </w:rPr>
        <w:t xml:space="preserve">, </w:t>
      </w:r>
      <w:r w:rsidRPr="00613734">
        <w:t xml:space="preserve">a efecto de decretar su admisión o desechamiento. </w:t>
      </w:r>
    </w:p>
    <w:p w14:paraId="18F305CB" w14:textId="77777777" w:rsidR="00664420" w:rsidRPr="00613734" w:rsidRDefault="00664420" w:rsidP="00613734">
      <w:pPr>
        <w:rPr>
          <w:rFonts w:eastAsia="Batang" w:cs="Tahoma"/>
          <w:bCs/>
          <w:szCs w:val="22"/>
        </w:rPr>
      </w:pPr>
    </w:p>
    <w:p w14:paraId="3E31EC2D" w14:textId="295256A1" w:rsidR="00664420" w:rsidRPr="00613734" w:rsidRDefault="006E25BC" w:rsidP="00613734">
      <w:pPr>
        <w:pStyle w:val="Ttulo3"/>
      </w:pPr>
      <w:bookmarkStart w:id="16" w:name="_Toc191489324"/>
      <w:r w:rsidRPr="00613734">
        <w:t>c</w:t>
      </w:r>
      <w:r w:rsidR="00664420" w:rsidRPr="00613734">
        <w:t>) Admisión del Recurso de Revisión</w:t>
      </w:r>
      <w:bookmarkEnd w:id="16"/>
    </w:p>
    <w:p w14:paraId="240447D5" w14:textId="39837F73" w:rsidR="000E09C4" w:rsidRPr="00613734" w:rsidRDefault="000E09C4" w:rsidP="00613734">
      <w:pPr>
        <w:rPr>
          <w:rFonts w:cs="Arial"/>
        </w:rPr>
      </w:pPr>
      <w:r w:rsidRPr="00613734">
        <w:rPr>
          <w:rFonts w:cs="Arial"/>
        </w:rPr>
        <w:t xml:space="preserve">El </w:t>
      </w:r>
      <w:r w:rsidR="00385D27" w:rsidRPr="00613734">
        <w:rPr>
          <w:rFonts w:eastAsia="Palatino Linotype" w:cs="Palatino Linotype"/>
          <w:b/>
        </w:rPr>
        <w:t>seis</w:t>
      </w:r>
      <w:r w:rsidRPr="00613734">
        <w:rPr>
          <w:rFonts w:eastAsia="Palatino Linotype" w:cs="Palatino Linotype"/>
          <w:b/>
        </w:rPr>
        <w:t xml:space="preserve"> de </w:t>
      </w:r>
      <w:r w:rsidR="00385D27" w:rsidRPr="00613734">
        <w:rPr>
          <w:rFonts w:eastAsia="Palatino Linotype" w:cs="Palatino Linotype"/>
          <w:b/>
        </w:rPr>
        <w:t>febrer</w:t>
      </w:r>
      <w:r w:rsidR="007F6427" w:rsidRPr="00613734">
        <w:rPr>
          <w:rFonts w:eastAsia="Palatino Linotype" w:cs="Palatino Linotype"/>
          <w:b/>
        </w:rPr>
        <w:t>o</w:t>
      </w:r>
      <w:r w:rsidRPr="00613734">
        <w:rPr>
          <w:rFonts w:eastAsia="Palatino Linotype" w:cs="Palatino Linotype"/>
          <w:b/>
        </w:rPr>
        <w:t xml:space="preserve"> de </w:t>
      </w:r>
      <w:r w:rsidR="00823EFC" w:rsidRPr="00613734">
        <w:rPr>
          <w:rFonts w:cs="Tahoma"/>
          <w:b/>
          <w:bCs/>
          <w:szCs w:val="22"/>
        </w:rPr>
        <w:t>dos mil veintic</w:t>
      </w:r>
      <w:r w:rsidR="007F6427" w:rsidRPr="00613734">
        <w:rPr>
          <w:rFonts w:cs="Tahoma"/>
          <w:b/>
          <w:bCs/>
          <w:szCs w:val="22"/>
        </w:rPr>
        <w:t>inc</w:t>
      </w:r>
      <w:r w:rsidR="00823EFC" w:rsidRPr="00613734">
        <w:rPr>
          <w:rFonts w:cs="Tahoma"/>
          <w:b/>
          <w:bCs/>
          <w:szCs w:val="22"/>
        </w:rPr>
        <w:t xml:space="preserve">o </w:t>
      </w:r>
      <w:r w:rsidRPr="00613734">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13734">
        <w:rPr>
          <w:rFonts w:cs="Arial"/>
        </w:rPr>
        <w:t>, fracción II</w:t>
      </w:r>
      <w:r w:rsidRPr="00613734">
        <w:rPr>
          <w:rFonts w:cs="Arial"/>
        </w:rPr>
        <w:t xml:space="preserve"> de la Ley de Transparencia y Acceso a la Información Pública del Estado de México y Municipios.</w:t>
      </w:r>
    </w:p>
    <w:p w14:paraId="09B589C5" w14:textId="77777777" w:rsidR="00664420" w:rsidRPr="00613734" w:rsidRDefault="00664420" w:rsidP="00613734">
      <w:pPr>
        <w:rPr>
          <w:rFonts w:cs="Tahoma"/>
          <w:b/>
          <w:szCs w:val="22"/>
        </w:rPr>
      </w:pPr>
    </w:p>
    <w:p w14:paraId="3B820F58" w14:textId="5F60B1AF" w:rsidR="00865CF4" w:rsidRPr="00613734" w:rsidRDefault="004A3350" w:rsidP="00613734">
      <w:pPr>
        <w:pStyle w:val="Ttulo3"/>
      </w:pPr>
      <w:bookmarkStart w:id="17" w:name="_Toc191489325"/>
      <w:r w:rsidRPr="00613734">
        <w:lastRenderedPageBreak/>
        <w:t>d</w:t>
      </w:r>
      <w:r w:rsidR="00664420" w:rsidRPr="00613734">
        <w:t xml:space="preserve">) </w:t>
      </w:r>
      <w:r w:rsidR="00865CF4" w:rsidRPr="00613734">
        <w:t>Informe Justificado del Sujeto Obligado</w:t>
      </w:r>
      <w:bookmarkEnd w:id="17"/>
    </w:p>
    <w:p w14:paraId="014B9301" w14:textId="75A50E16" w:rsidR="00550D2D" w:rsidRPr="00613734" w:rsidRDefault="00385D27" w:rsidP="00613734">
      <w:pPr>
        <w:rPr>
          <w:rFonts w:cs="Tahoma"/>
          <w:bCs/>
          <w:szCs w:val="24"/>
        </w:rPr>
      </w:pPr>
      <w:r w:rsidRPr="00613734">
        <w:rPr>
          <w:rFonts w:cs="Tahoma"/>
          <w:szCs w:val="24"/>
        </w:rPr>
        <w:t xml:space="preserve">El </w:t>
      </w:r>
      <w:r w:rsidRPr="00613734">
        <w:rPr>
          <w:rFonts w:cs="Tahoma"/>
          <w:b/>
          <w:szCs w:val="24"/>
        </w:rPr>
        <w:t xml:space="preserve">trece de febrero de dos mil veinticinco, </w:t>
      </w:r>
      <w:r w:rsidR="00865CF4" w:rsidRPr="00613734">
        <w:rPr>
          <w:rFonts w:cs="Tahoma"/>
          <w:b/>
          <w:szCs w:val="24"/>
        </w:rPr>
        <w:t xml:space="preserve">EL SUJETO OBLIGADO </w:t>
      </w:r>
      <w:r w:rsidR="00865CF4" w:rsidRPr="00613734">
        <w:rPr>
          <w:rFonts w:eastAsia="Arial Unicode MS" w:cs="Arial"/>
        </w:rPr>
        <w:t>rindió su informe justificado dentro del término legalmente concedido para ta</w:t>
      </w:r>
      <w:r w:rsidRPr="00613734">
        <w:rPr>
          <w:rFonts w:eastAsia="Arial Unicode MS" w:cs="Arial"/>
        </w:rPr>
        <w:t xml:space="preserve">l efecto, mediante el archivo </w:t>
      </w:r>
      <w:r w:rsidRPr="00613734">
        <w:rPr>
          <w:rFonts w:cs="Tahoma"/>
          <w:b/>
          <w:i/>
          <w:iCs/>
          <w:szCs w:val="24"/>
        </w:rPr>
        <w:t>DSP_0112_2025_.pdf</w:t>
      </w:r>
      <w:r w:rsidRPr="00613734">
        <w:rPr>
          <w:rFonts w:cs="Tahoma"/>
          <w:bCs/>
          <w:szCs w:val="24"/>
        </w:rPr>
        <w:t xml:space="preserve">, constante de tres páginas, </w:t>
      </w:r>
      <w:r w:rsidR="00DA142B" w:rsidRPr="00613734">
        <w:rPr>
          <w:rFonts w:cs="Tahoma"/>
          <w:bCs/>
          <w:szCs w:val="24"/>
        </w:rPr>
        <w:t>relativas al oficio DSP/0112/2025 de doce de febrero de dos mil veinticinco</w:t>
      </w:r>
      <w:r w:rsidR="003F5596" w:rsidRPr="00613734">
        <w:rPr>
          <w:rFonts w:cs="Tahoma"/>
          <w:bCs/>
          <w:szCs w:val="24"/>
        </w:rPr>
        <w:t>,</w:t>
      </w:r>
      <w:r w:rsidR="00DA142B" w:rsidRPr="00613734">
        <w:rPr>
          <w:rFonts w:cs="Tahoma"/>
          <w:bCs/>
          <w:szCs w:val="24"/>
        </w:rPr>
        <w:t xml:space="preserve"> a través del cual, el </w:t>
      </w:r>
      <w:r w:rsidR="00497DFF" w:rsidRPr="00613734">
        <w:rPr>
          <w:rFonts w:cs="Tahoma"/>
          <w:bCs/>
          <w:szCs w:val="24"/>
        </w:rPr>
        <w:t>E</w:t>
      </w:r>
      <w:r w:rsidR="00DA142B" w:rsidRPr="00613734">
        <w:rPr>
          <w:rFonts w:cs="Tahoma"/>
          <w:bCs/>
          <w:szCs w:val="24"/>
        </w:rPr>
        <w:t xml:space="preserve">nlace de la Unidad de Transparencia y </w:t>
      </w:r>
      <w:r w:rsidR="00497DFF" w:rsidRPr="00613734">
        <w:rPr>
          <w:rFonts w:cs="Tahoma"/>
          <w:bCs/>
          <w:szCs w:val="24"/>
        </w:rPr>
        <w:t>A</w:t>
      </w:r>
      <w:r w:rsidR="00DA142B" w:rsidRPr="00613734">
        <w:rPr>
          <w:rFonts w:cs="Tahoma"/>
          <w:bCs/>
          <w:szCs w:val="24"/>
        </w:rPr>
        <w:t>cceso la Información Pública</w:t>
      </w:r>
      <w:r w:rsidR="00497DFF" w:rsidRPr="00613734">
        <w:rPr>
          <w:rFonts w:cs="Tahoma"/>
          <w:bCs/>
          <w:szCs w:val="24"/>
        </w:rPr>
        <w:t xml:space="preserve"> </w:t>
      </w:r>
      <w:r w:rsidR="003F5596" w:rsidRPr="00613734">
        <w:rPr>
          <w:rFonts w:cs="Tahoma"/>
          <w:bCs/>
          <w:szCs w:val="24"/>
        </w:rPr>
        <w:t xml:space="preserve"> de la Dirección de Servicios Públicos </w:t>
      </w:r>
      <w:r w:rsidR="00497DFF" w:rsidRPr="00613734">
        <w:rPr>
          <w:rFonts w:cs="Tahoma"/>
          <w:bCs/>
          <w:szCs w:val="24"/>
        </w:rPr>
        <w:t xml:space="preserve">informa al Coordinador de la Unidad de </w:t>
      </w:r>
      <w:r w:rsidR="00550D2D" w:rsidRPr="00613734">
        <w:rPr>
          <w:rFonts w:cs="Tahoma"/>
          <w:bCs/>
          <w:szCs w:val="24"/>
        </w:rPr>
        <w:t>Transparencia</w:t>
      </w:r>
      <w:r w:rsidR="00497DFF" w:rsidRPr="00613734">
        <w:rPr>
          <w:rFonts w:cs="Tahoma"/>
          <w:bCs/>
          <w:szCs w:val="24"/>
        </w:rPr>
        <w:t xml:space="preserve"> y Acceso  al Información Pública sobre el recurso interpuesto</w:t>
      </w:r>
      <w:r w:rsidR="00550D2D" w:rsidRPr="00613734">
        <w:rPr>
          <w:rFonts w:cs="Tahoma"/>
          <w:bCs/>
          <w:szCs w:val="24"/>
        </w:rPr>
        <w:t>,</w:t>
      </w:r>
      <w:r w:rsidR="00497DFF" w:rsidRPr="00613734">
        <w:rPr>
          <w:rFonts w:cs="Tahoma"/>
          <w:bCs/>
          <w:szCs w:val="24"/>
        </w:rPr>
        <w:t xml:space="preserve"> </w:t>
      </w:r>
      <w:r w:rsidR="00550D2D" w:rsidRPr="00613734">
        <w:rPr>
          <w:rFonts w:cs="Tahoma"/>
          <w:bCs/>
          <w:szCs w:val="24"/>
        </w:rPr>
        <w:t xml:space="preserve"> y sostiene:</w:t>
      </w:r>
    </w:p>
    <w:p w14:paraId="5A5ADF98" w14:textId="119CC126" w:rsidR="00550D2D" w:rsidRPr="00613734" w:rsidRDefault="00550D2D" w:rsidP="00613734">
      <w:pPr>
        <w:pStyle w:val="Puesto"/>
      </w:pPr>
      <w:r w:rsidRPr="00613734">
        <w:t>“… hago de su conocimiento que la información entregada a la Unidad de Transparencia y Acceso a la Información Pública con fecha 24 de Enero del año en curso por la Dirección de Servicios Públicos, fue entregada bajo el consentimiento del que suscribe así como los datos del segundo enlace de Esta Dirección de Servicios Públicos como hace constar la Carta Consentimiento con fecha 14 de enero de 2025…”</w:t>
      </w:r>
    </w:p>
    <w:p w14:paraId="2A867DC0" w14:textId="77777777" w:rsidR="00550D2D" w:rsidRPr="00613734" w:rsidRDefault="00550D2D" w:rsidP="00613734">
      <w:pPr>
        <w:rPr>
          <w:rFonts w:cs="Tahoma"/>
          <w:bCs/>
          <w:szCs w:val="24"/>
        </w:rPr>
      </w:pPr>
    </w:p>
    <w:p w14:paraId="0BE59D1F" w14:textId="562AEC54" w:rsidR="00550D2D" w:rsidRPr="00613734" w:rsidRDefault="00550D2D" w:rsidP="00613734">
      <w:pPr>
        <w:rPr>
          <w:rFonts w:cs="Tahoma"/>
          <w:bCs/>
          <w:szCs w:val="24"/>
        </w:rPr>
      </w:pPr>
      <w:r w:rsidRPr="00613734">
        <w:rPr>
          <w:rFonts w:cs="Tahoma"/>
          <w:bCs/>
          <w:szCs w:val="24"/>
        </w:rPr>
        <w:t>A</w:t>
      </w:r>
      <w:r w:rsidR="00497DFF" w:rsidRPr="00613734">
        <w:rPr>
          <w:rFonts w:cs="Tahoma"/>
          <w:bCs/>
          <w:szCs w:val="24"/>
        </w:rPr>
        <w:t>compaña</w:t>
      </w:r>
      <w:r w:rsidRPr="00613734">
        <w:rPr>
          <w:rFonts w:cs="Tahoma"/>
          <w:bCs/>
          <w:szCs w:val="24"/>
        </w:rPr>
        <w:t xml:space="preserve"> </w:t>
      </w:r>
      <w:r w:rsidR="003F5596" w:rsidRPr="00613734">
        <w:rPr>
          <w:rFonts w:cs="Tahoma"/>
          <w:bCs/>
          <w:szCs w:val="24"/>
        </w:rPr>
        <w:t xml:space="preserve">dos </w:t>
      </w:r>
      <w:r w:rsidRPr="00613734">
        <w:rPr>
          <w:rFonts w:cs="Tahoma"/>
          <w:bCs/>
          <w:szCs w:val="24"/>
        </w:rPr>
        <w:t>“carta</w:t>
      </w:r>
      <w:r w:rsidR="003F5596" w:rsidRPr="00613734">
        <w:rPr>
          <w:rFonts w:cs="Tahoma"/>
          <w:bCs/>
          <w:szCs w:val="24"/>
        </w:rPr>
        <w:t>s</w:t>
      </w:r>
      <w:r w:rsidRPr="00613734">
        <w:rPr>
          <w:rFonts w:cs="Tahoma"/>
          <w:bCs/>
          <w:szCs w:val="24"/>
        </w:rPr>
        <w:t xml:space="preserve"> consentimiento” </w:t>
      </w:r>
      <w:r w:rsidR="003F5596" w:rsidRPr="00613734">
        <w:rPr>
          <w:rFonts w:cs="Tahoma"/>
          <w:bCs/>
          <w:szCs w:val="24"/>
        </w:rPr>
        <w:t xml:space="preserve">mediante las cuales, los Enlaces de la Unidad de Transparencia y Acceso la Información Pública de la Dirección de Servicios Públicos informan al Coordinador de la Unidad de Transparencia y Acceso  al Información Pública </w:t>
      </w:r>
      <w:r w:rsidRPr="00613734">
        <w:rPr>
          <w:rFonts w:cs="Tahoma"/>
          <w:bCs/>
          <w:szCs w:val="24"/>
        </w:rPr>
        <w:t>que</w:t>
      </w:r>
      <w:r w:rsidR="003F5596" w:rsidRPr="00613734">
        <w:rPr>
          <w:rFonts w:cs="Tahoma"/>
          <w:bCs/>
          <w:szCs w:val="24"/>
        </w:rPr>
        <w:t xml:space="preserve"> otorgan su consentimiento para al Ayuntamiento de Naucalpan de Juárez, a través de la Dirección de Servicios Públicos para que </w:t>
      </w:r>
      <w:r w:rsidRPr="00613734">
        <w:rPr>
          <w:rFonts w:cs="Tahoma"/>
          <w:bCs/>
          <w:szCs w:val="24"/>
        </w:rPr>
        <w:t>se utilice</w:t>
      </w:r>
      <w:r w:rsidR="003F5596" w:rsidRPr="00613734">
        <w:rPr>
          <w:rFonts w:cs="Tahoma"/>
          <w:bCs/>
          <w:szCs w:val="24"/>
        </w:rPr>
        <w:t>n</w:t>
      </w:r>
      <w:r w:rsidRPr="00613734">
        <w:rPr>
          <w:rFonts w:cs="Tahoma"/>
          <w:bCs/>
          <w:szCs w:val="24"/>
        </w:rPr>
        <w:t xml:space="preserve"> </w:t>
      </w:r>
      <w:r w:rsidR="003F5596" w:rsidRPr="00613734">
        <w:rPr>
          <w:rFonts w:cs="Tahoma"/>
          <w:bCs/>
          <w:szCs w:val="24"/>
        </w:rPr>
        <w:t>sus</w:t>
      </w:r>
      <w:r w:rsidRPr="00613734">
        <w:rPr>
          <w:rFonts w:cs="Tahoma"/>
          <w:bCs/>
          <w:szCs w:val="24"/>
        </w:rPr>
        <w:t xml:space="preserve"> correo</w:t>
      </w:r>
      <w:r w:rsidR="003F5596" w:rsidRPr="00613734">
        <w:rPr>
          <w:rFonts w:cs="Tahoma"/>
          <w:bCs/>
          <w:szCs w:val="24"/>
        </w:rPr>
        <w:t>s</w:t>
      </w:r>
      <w:r w:rsidRPr="00613734">
        <w:rPr>
          <w:rFonts w:cs="Tahoma"/>
          <w:bCs/>
          <w:szCs w:val="24"/>
        </w:rPr>
        <w:t xml:space="preserve"> electrónico</w:t>
      </w:r>
      <w:r w:rsidR="003F5596" w:rsidRPr="00613734">
        <w:rPr>
          <w:rFonts w:cs="Tahoma"/>
          <w:bCs/>
          <w:szCs w:val="24"/>
        </w:rPr>
        <w:t>s</w:t>
      </w:r>
      <w:r w:rsidRPr="00613734">
        <w:rPr>
          <w:rFonts w:cs="Tahoma"/>
          <w:bCs/>
          <w:szCs w:val="24"/>
        </w:rPr>
        <w:t xml:space="preserve"> y número</w:t>
      </w:r>
      <w:r w:rsidR="003F5596" w:rsidRPr="00613734">
        <w:rPr>
          <w:rFonts w:cs="Tahoma"/>
          <w:bCs/>
          <w:szCs w:val="24"/>
        </w:rPr>
        <w:t>s</w:t>
      </w:r>
      <w:r w:rsidRPr="00613734">
        <w:rPr>
          <w:rFonts w:cs="Tahoma"/>
          <w:bCs/>
          <w:szCs w:val="24"/>
        </w:rPr>
        <w:t xml:space="preserve"> </w:t>
      </w:r>
      <w:r w:rsidR="003F5596" w:rsidRPr="00613734">
        <w:rPr>
          <w:rFonts w:cs="Tahoma"/>
          <w:bCs/>
          <w:szCs w:val="24"/>
        </w:rPr>
        <w:t xml:space="preserve">telefónicos </w:t>
      </w:r>
      <w:r w:rsidRPr="00613734">
        <w:rPr>
          <w:rFonts w:cs="Tahoma"/>
          <w:bCs/>
          <w:szCs w:val="24"/>
        </w:rPr>
        <w:t>personal</w:t>
      </w:r>
      <w:r w:rsidR="003F5596" w:rsidRPr="00613734">
        <w:rPr>
          <w:rFonts w:cs="Tahoma"/>
          <w:bCs/>
          <w:szCs w:val="24"/>
        </w:rPr>
        <w:t>es</w:t>
      </w:r>
      <w:r w:rsidRPr="00613734">
        <w:rPr>
          <w:rFonts w:cs="Tahoma"/>
          <w:bCs/>
          <w:szCs w:val="24"/>
        </w:rPr>
        <w:t xml:space="preserve"> para establecer un contacto institucional con la Unidad de Transparenci</w:t>
      </w:r>
      <w:r w:rsidR="003F5596" w:rsidRPr="00613734">
        <w:rPr>
          <w:rFonts w:cs="Tahoma"/>
          <w:bCs/>
          <w:szCs w:val="24"/>
        </w:rPr>
        <w:t>a</w:t>
      </w:r>
      <w:r w:rsidRPr="00613734">
        <w:rPr>
          <w:rFonts w:cs="Tahoma"/>
          <w:bCs/>
          <w:szCs w:val="24"/>
        </w:rPr>
        <w:t xml:space="preserve"> además refiere</w:t>
      </w:r>
      <w:r w:rsidR="003F5596" w:rsidRPr="00613734">
        <w:rPr>
          <w:rFonts w:cs="Tahoma"/>
          <w:bCs/>
          <w:szCs w:val="24"/>
        </w:rPr>
        <w:t>n</w:t>
      </w:r>
      <w:r w:rsidRPr="00613734">
        <w:rPr>
          <w:rFonts w:cs="Tahoma"/>
          <w:bCs/>
          <w:szCs w:val="24"/>
        </w:rPr>
        <w:t xml:space="preserve"> que, no es una forma de interponer una solicitud de información pero sí para establecer un contacto y resolver dudas.</w:t>
      </w:r>
    </w:p>
    <w:p w14:paraId="04D3C906" w14:textId="77777777" w:rsidR="00550D2D" w:rsidRPr="00613734" w:rsidRDefault="00550D2D" w:rsidP="00613734">
      <w:pPr>
        <w:rPr>
          <w:rFonts w:cs="Tahoma"/>
          <w:bCs/>
          <w:szCs w:val="24"/>
        </w:rPr>
      </w:pPr>
    </w:p>
    <w:p w14:paraId="17399694" w14:textId="20741F83" w:rsidR="00384275" w:rsidRPr="00613734" w:rsidRDefault="00384275" w:rsidP="00613734">
      <w:pPr>
        <w:rPr>
          <w:rFonts w:cs="Tahoma"/>
          <w:bCs/>
          <w:szCs w:val="24"/>
        </w:rPr>
      </w:pPr>
      <w:r w:rsidRPr="00613734">
        <w:rPr>
          <w:rFonts w:cs="Tahoma"/>
          <w:bCs/>
          <w:szCs w:val="24"/>
        </w:rPr>
        <w:t xml:space="preserve">Esta información fue puesta a la vista de </w:t>
      </w:r>
      <w:r w:rsidRPr="00613734">
        <w:rPr>
          <w:rFonts w:cs="Tahoma"/>
          <w:b/>
          <w:szCs w:val="24"/>
        </w:rPr>
        <w:t xml:space="preserve">LA PARTE RECURRENTE </w:t>
      </w:r>
      <w:r w:rsidRPr="00613734">
        <w:rPr>
          <w:rFonts w:cs="Tahoma"/>
          <w:bCs/>
          <w:szCs w:val="24"/>
        </w:rPr>
        <w:t xml:space="preserve">el </w:t>
      </w:r>
      <w:r w:rsidRPr="00613734">
        <w:rPr>
          <w:rFonts w:cs="Tahoma"/>
          <w:b/>
          <w:szCs w:val="24"/>
        </w:rPr>
        <w:t>diecisiete de febrero de dos mil veinticinco</w:t>
      </w:r>
      <w:r w:rsidRPr="00613734">
        <w:rPr>
          <w:rFonts w:cs="Tahoma"/>
          <w:bCs/>
          <w:szCs w:val="24"/>
        </w:rPr>
        <w:t xml:space="preserve"> para que, en un plazo de tres días hábiles, manifestara lo que a su derecho conviniera, de conformidad con lo establecido en el </w:t>
      </w:r>
      <w:r w:rsidRPr="00613734">
        <w:rPr>
          <w:rFonts w:cs="Arial"/>
        </w:rPr>
        <w:t>artículo 185, fracción III de la Ley de Transparencia y Acceso a la Información Pública del Estado de México y Municipios</w:t>
      </w:r>
      <w:r w:rsidRPr="00613734">
        <w:rPr>
          <w:rFonts w:cs="Tahoma"/>
          <w:bCs/>
          <w:szCs w:val="24"/>
        </w:rPr>
        <w:t>.</w:t>
      </w:r>
    </w:p>
    <w:p w14:paraId="755B7730" w14:textId="1BE91AF7" w:rsidR="00664420" w:rsidRPr="00613734" w:rsidRDefault="004A3350" w:rsidP="00613734">
      <w:pPr>
        <w:pStyle w:val="Ttulo3"/>
        <w:rPr>
          <w:lang w:val="es-ES"/>
        </w:rPr>
      </w:pPr>
      <w:bookmarkStart w:id="18" w:name="_Toc191489326"/>
      <w:r w:rsidRPr="00613734">
        <w:rPr>
          <w:rFonts w:eastAsia="Calibri"/>
          <w:bCs/>
          <w:lang w:eastAsia="en-US"/>
        </w:rPr>
        <w:lastRenderedPageBreak/>
        <w:t>e</w:t>
      </w:r>
      <w:r w:rsidR="00664420" w:rsidRPr="00613734">
        <w:rPr>
          <w:rFonts w:eastAsia="Calibri"/>
          <w:bCs/>
          <w:lang w:eastAsia="en-US"/>
        </w:rPr>
        <w:t>)</w:t>
      </w:r>
      <w:r w:rsidR="00664420" w:rsidRPr="00613734">
        <w:t xml:space="preserve"> </w:t>
      </w:r>
      <w:r w:rsidR="00865CF4" w:rsidRPr="00613734">
        <w:rPr>
          <w:lang w:val="es-ES"/>
        </w:rPr>
        <w:t>Manifestaciones de la Parte Recurrente</w:t>
      </w:r>
      <w:bookmarkEnd w:id="18"/>
    </w:p>
    <w:p w14:paraId="4E8AF011" w14:textId="77777777" w:rsidR="00865CF4" w:rsidRPr="00613734" w:rsidRDefault="00865CF4" w:rsidP="00613734">
      <w:pPr>
        <w:rPr>
          <w:rFonts w:eastAsia="Arial Unicode MS" w:cs="Arial"/>
        </w:rPr>
      </w:pPr>
      <w:r w:rsidRPr="00613734">
        <w:rPr>
          <w:rFonts w:cs="Tahoma"/>
          <w:b/>
          <w:szCs w:val="24"/>
        </w:rPr>
        <w:t xml:space="preserve">LA PARTE RECURRENTE </w:t>
      </w:r>
      <w:r w:rsidRPr="00613734">
        <w:rPr>
          <w:rFonts w:eastAsia="Arial Unicode MS" w:cs="Arial"/>
        </w:rPr>
        <w:t>no realizó manifestación alguna dentro del término legalmente concedido para tal efecto, ni presentó pruebas o alegatos.</w:t>
      </w:r>
    </w:p>
    <w:p w14:paraId="6923684C" w14:textId="77777777" w:rsidR="00664420" w:rsidRPr="00613734" w:rsidRDefault="00664420" w:rsidP="00613734">
      <w:pPr>
        <w:rPr>
          <w:rFonts w:cs="Tahoma"/>
          <w:szCs w:val="22"/>
        </w:rPr>
      </w:pPr>
    </w:p>
    <w:p w14:paraId="0E651988" w14:textId="45C20536" w:rsidR="00664420" w:rsidRPr="00613734" w:rsidRDefault="004A3350" w:rsidP="00613734">
      <w:pPr>
        <w:pStyle w:val="Ttulo3"/>
      </w:pPr>
      <w:bookmarkStart w:id="19" w:name="_Toc191489327"/>
      <w:r w:rsidRPr="00613734">
        <w:t>f</w:t>
      </w:r>
      <w:r w:rsidR="00664420" w:rsidRPr="00613734">
        <w:t>) Cierre de instrucción</w:t>
      </w:r>
      <w:bookmarkEnd w:id="19"/>
    </w:p>
    <w:p w14:paraId="79AF95DC" w14:textId="27CEB437" w:rsidR="00664420" w:rsidRPr="00613734" w:rsidRDefault="00BF091A" w:rsidP="00613734">
      <w:r w:rsidRPr="00613734">
        <w:rPr>
          <w:rFonts w:cs="Tahoma"/>
          <w:szCs w:val="22"/>
        </w:rPr>
        <w:t>Al no existir diligencias pendientes por desahogar</w:t>
      </w:r>
      <w:r w:rsidRPr="00613734">
        <w:rPr>
          <w:rFonts w:cs="Arial"/>
        </w:rPr>
        <w:t xml:space="preserve">, el </w:t>
      </w:r>
      <w:bookmarkStart w:id="20" w:name="_Hlk104892386"/>
      <w:r w:rsidR="00575DA9" w:rsidRPr="00613734">
        <w:rPr>
          <w:rFonts w:cs="Arial"/>
          <w:b/>
        </w:rPr>
        <w:t>cinco</w:t>
      </w:r>
      <w:r w:rsidRPr="00613734">
        <w:rPr>
          <w:rFonts w:cs="Arial"/>
          <w:b/>
        </w:rPr>
        <w:t xml:space="preserve"> de </w:t>
      </w:r>
      <w:bookmarkEnd w:id="20"/>
      <w:r w:rsidR="00497DFF" w:rsidRPr="00613734">
        <w:rPr>
          <w:rFonts w:cs="Arial"/>
          <w:b/>
        </w:rPr>
        <w:t>marz</w:t>
      </w:r>
      <w:r w:rsidR="00140633" w:rsidRPr="00613734">
        <w:rPr>
          <w:rFonts w:cs="Arial"/>
          <w:b/>
        </w:rPr>
        <w:t>o</w:t>
      </w:r>
      <w:r w:rsidRPr="00613734">
        <w:rPr>
          <w:rFonts w:cs="Arial"/>
          <w:b/>
        </w:rPr>
        <w:t xml:space="preserve"> de </w:t>
      </w:r>
      <w:r w:rsidR="00823EFC" w:rsidRPr="00613734">
        <w:rPr>
          <w:rFonts w:cs="Tahoma"/>
          <w:b/>
          <w:bCs/>
          <w:szCs w:val="22"/>
        </w:rPr>
        <w:t>dos mil veintic</w:t>
      </w:r>
      <w:r w:rsidR="00E25133" w:rsidRPr="00613734">
        <w:rPr>
          <w:rFonts w:cs="Tahoma"/>
          <w:b/>
          <w:bCs/>
          <w:szCs w:val="22"/>
        </w:rPr>
        <w:t>inc</w:t>
      </w:r>
      <w:r w:rsidR="00823EFC" w:rsidRPr="00613734">
        <w:rPr>
          <w:rFonts w:cs="Tahoma"/>
          <w:b/>
          <w:bCs/>
          <w:szCs w:val="22"/>
        </w:rPr>
        <w:t xml:space="preserve">o </w:t>
      </w:r>
      <w:r w:rsidRPr="00613734">
        <w:rPr>
          <w:rFonts w:cs="Arial"/>
        </w:rPr>
        <w:t xml:space="preserve">la </w:t>
      </w:r>
      <w:r w:rsidRPr="00613734">
        <w:rPr>
          <w:rFonts w:cs="Arial"/>
          <w:b/>
          <w:bCs/>
        </w:rPr>
        <w:t xml:space="preserve">Comisionada </w:t>
      </w:r>
      <w:r w:rsidRPr="00613734">
        <w:rPr>
          <w:b/>
        </w:rPr>
        <w:t xml:space="preserve">Sharon Cristina Morales Martínez </w:t>
      </w:r>
      <w:r w:rsidRPr="00613734">
        <w:rPr>
          <w:rFonts w:cs="Arial"/>
        </w:rPr>
        <w:t>acordó el cierre de instrucción</w:t>
      </w:r>
      <w:r w:rsidR="0011350D" w:rsidRPr="00613734">
        <w:rPr>
          <w:rFonts w:cs="Arial"/>
        </w:rPr>
        <w:t xml:space="preserve"> y</w:t>
      </w:r>
      <w:r w:rsidRPr="00613734">
        <w:rPr>
          <w:rFonts w:cs="Arial"/>
        </w:rPr>
        <w:t xml:space="preserve"> </w:t>
      </w:r>
      <w:r w:rsidR="0011350D" w:rsidRPr="00613734">
        <w:rPr>
          <w:rFonts w:cs="Arial"/>
        </w:rPr>
        <w:t xml:space="preserve">la </w:t>
      </w:r>
      <w:r w:rsidRPr="00613734">
        <w:rPr>
          <w:rFonts w:cs="Arial"/>
        </w:rPr>
        <w:t>remisión del expediente a efecto de ser resuelto, de conformidad con lo establecido en el artículo 185 fracciones VI y VIII de la Ley de Transparencia y Acceso a la Información Pública del Estado de México y Municipios</w:t>
      </w:r>
      <w:r w:rsidRPr="00613734">
        <w:t>.</w:t>
      </w:r>
      <w:r w:rsidR="0011350D" w:rsidRPr="00613734">
        <w:t xml:space="preserve"> Dicho acuerdo </w:t>
      </w:r>
      <w:r w:rsidR="00664420" w:rsidRPr="00613734">
        <w:rPr>
          <w:rFonts w:cs="Tahoma"/>
          <w:szCs w:val="22"/>
        </w:rPr>
        <w:t xml:space="preserve">fue notificado a las partes el mismo día a través del </w:t>
      </w:r>
      <w:r w:rsidR="00664420" w:rsidRPr="00613734">
        <w:rPr>
          <w:rFonts w:cs="Tahoma"/>
          <w:szCs w:val="22"/>
          <w:lang w:val="es-ES"/>
        </w:rPr>
        <w:t>SAIMEX</w:t>
      </w:r>
      <w:r w:rsidR="00664420" w:rsidRPr="00613734">
        <w:rPr>
          <w:rFonts w:cs="Tahoma"/>
          <w:szCs w:val="22"/>
        </w:rPr>
        <w:t>.</w:t>
      </w:r>
    </w:p>
    <w:p w14:paraId="741683E3" w14:textId="77777777" w:rsidR="0011350D" w:rsidRPr="00613734" w:rsidRDefault="0011350D" w:rsidP="00613734">
      <w:pPr>
        <w:rPr>
          <w:rFonts w:cs="Tahoma"/>
          <w:szCs w:val="22"/>
        </w:rPr>
      </w:pPr>
    </w:p>
    <w:p w14:paraId="7A9629DE" w14:textId="77777777" w:rsidR="00664420" w:rsidRPr="00613734" w:rsidRDefault="00664420" w:rsidP="00613734">
      <w:pPr>
        <w:pStyle w:val="Ttulo1"/>
        <w:rPr>
          <w:rFonts w:eastAsiaTheme="minorHAnsi"/>
          <w:lang w:eastAsia="en-US"/>
        </w:rPr>
      </w:pPr>
      <w:bookmarkStart w:id="21" w:name="_Toc191489328"/>
      <w:r w:rsidRPr="00613734">
        <w:rPr>
          <w:rFonts w:eastAsiaTheme="minorHAnsi"/>
          <w:lang w:eastAsia="en-US"/>
        </w:rPr>
        <w:t>CONSIDERANDOS</w:t>
      </w:r>
      <w:bookmarkEnd w:id="21"/>
    </w:p>
    <w:p w14:paraId="6DD1243B" w14:textId="77777777" w:rsidR="00664420" w:rsidRPr="00613734" w:rsidRDefault="00664420" w:rsidP="00613734">
      <w:pPr>
        <w:contextualSpacing/>
        <w:jc w:val="center"/>
        <w:rPr>
          <w:rFonts w:eastAsiaTheme="minorHAnsi" w:cs="Tahoma"/>
          <w:b/>
          <w:szCs w:val="22"/>
          <w:lang w:eastAsia="en-US"/>
        </w:rPr>
      </w:pPr>
    </w:p>
    <w:p w14:paraId="0B67CB92" w14:textId="2E307D3B" w:rsidR="00664420" w:rsidRPr="00613734" w:rsidRDefault="00664420" w:rsidP="00613734">
      <w:pPr>
        <w:pStyle w:val="Ttulo2"/>
        <w:rPr>
          <w:rFonts w:eastAsia="Batang"/>
        </w:rPr>
      </w:pPr>
      <w:bookmarkStart w:id="22" w:name="_Toc191489329"/>
      <w:r w:rsidRPr="00613734">
        <w:rPr>
          <w:rFonts w:eastAsia="Batang"/>
        </w:rPr>
        <w:t xml:space="preserve">PRIMERO. </w:t>
      </w:r>
      <w:r w:rsidR="00BA55A8" w:rsidRPr="00613734">
        <w:rPr>
          <w:rFonts w:eastAsia="Batang"/>
        </w:rPr>
        <w:t>Procedibilidad</w:t>
      </w:r>
      <w:bookmarkEnd w:id="22"/>
    </w:p>
    <w:p w14:paraId="39C52BC1" w14:textId="56FCC20D" w:rsidR="00BA55A8" w:rsidRPr="00613734" w:rsidRDefault="00BA55A8" w:rsidP="00613734">
      <w:pPr>
        <w:pStyle w:val="Ttulo3"/>
      </w:pPr>
      <w:bookmarkStart w:id="23" w:name="_Toc191489330"/>
      <w:r w:rsidRPr="00613734">
        <w:t>a) Competencia</w:t>
      </w:r>
      <w:r w:rsidR="00150C49" w:rsidRPr="00613734">
        <w:t xml:space="preserve"> del Instituto</w:t>
      </w:r>
      <w:bookmarkEnd w:id="23"/>
    </w:p>
    <w:p w14:paraId="56E64942" w14:textId="6572EDF7" w:rsidR="0011350D" w:rsidRPr="00613734" w:rsidRDefault="0011350D" w:rsidP="00613734">
      <w:pPr>
        <w:rPr>
          <w:rFonts w:cs="Arial"/>
        </w:rPr>
      </w:pPr>
      <w:r w:rsidRPr="00613734">
        <w:t xml:space="preserve">Este Instituto de Transparencia, Acceso a la Información Pública y Protección de Datos Personales del Estado de México y Municipios es competente para conocer y resolver </w:t>
      </w:r>
      <w:r w:rsidR="005F65B7" w:rsidRPr="00613734">
        <w:t xml:space="preserve">el </w:t>
      </w:r>
      <w:r w:rsidRPr="0061373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13734">
        <w:rPr>
          <w:rFonts w:cs="Arial"/>
        </w:rPr>
        <w:t xml:space="preserve">; y 9, fracciones I y XXIII y 11 del Reglamento Interior del Instituto de </w:t>
      </w:r>
      <w:r w:rsidRPr="00613734">
        <w:rPr>
          <w:rFonts w:cs="Arial"/>
        </w:rPr>
        <w:lastRenderedPageBreak/>
        <w:t>Transparencia, Acceso a la Información Pública y Protección de Datos Personales del Estado de México y Municipios.</w:t>
      </w:r>
    </w:p>
    <w:p w14:paraId="6C36A399" w14:textId="77777777" w:rsidR="00DB1C09" w:rsidRPr="00613734" w:rsidRDefault="00DB1C09" w:rsidP="00613734">
      <w:pPr>
        <w:rPr>
          <w:rFonts w:cs="Arial"/>
        </w:rPr>
      </w:pPr>
    </w:p>
    <w:p w14:paraId="517A2DD6" w14:textId="4169BE4D" w:rsidR="00664420" w:rsidRPr="00613734" w:rsidRDefault="00BA55A8" w:rsidP="00613734">
      <w:pPr>
        <w:pStyle w:val="Ttulo3"/>
      </w:pPr>
      <w:bookmarkStart w:id="24" w:name="_Toc191489331"/>
      <w:r w:rsidRPr="00613734">
        <w:t>b)</w:t>
      </w:r>
      <w:r w:rsidR="00664420" w:rsidRPr="00613734">
        <w:t xml:space="preserve"> </w:t>
      </w:r>
      <w:r w:rsidR="00D91CB4" w:rsidRPr="00613734">
        <w:t>Legitimidad</w:t>
      </w:r>
      <w:r w:rsidRPr="00613734">
        <w:t xml:space="preserve"> de la parte recurrente</w:t>
      </w:r>
      <w:bookmarkEnd w:id="24"/>
    </w:p>
    <w:p w14:paraId="26FEA382" w14:textId="0B06695C" w:rsidR="00D91CB4" w:rsidRPr="00613734" w:rsidRDefault="00D91CB4" w:rsidP="00613734">
      <w:pPr>
        <w:rPr>
          <w:rFonts w:cs="Arial"/>
          <w:bCs/>
        </w:rPr>
      </w:pPr>
      <w:r w:rsidRPr="00613734">
        <w:rPr>
          <w:rFonts w:cs="Arial"/>
          <w:bCs/>
        </w:rPr>
        <w:t>El recurso de revisión fue interpuesto por parte legítima, ya que se presentó por la misma persona que formuló la solicitud de acceso a la Información Pública,</w:t>
      </w:r>
      <w:r w:rsidRPr="00613734">
        <w:rPr>
          <w:rFonts w:cs="Arial"/>
          <w:b/>
          <w:bCs/>
        </w:rPr>
        <w:t xml:space="preserve"> </w:t>
      </w:r>
      <w:r w:rsidRPr="00613734">
        <w:rPr>
          <w:rFonts w:cs="Arial"/>
        </w:rPr>
        <w:t>debido a que los datos de acceso</w:t>
      </w:r>
      <w:r w:rsidRPr="00613734">
        <w:rPr>
          <w:rFonts w:cs="Arial"/>
          <w:b/>
          <w:bCs/>
        </w:rPr>
        <w:t xml:space="preserve"> </w:t>
      </w:r>
      <w:r w:rsidRPr="00613734">
        <w:rPr>
          <w:rFonts w:cs="Arial"/>
          <w:b/>
        </w:rPr>
        <w:t>SAIMEX</w:t>
      </w:r>
      <w:r w:rsidRPr="00613734">
        <w:rPr>
          <w:rFonts w:eastAsia="Calibri" w:cs="Arial"/>
          <w:lang w:eastAsia="en-US"/>
        </w:rPr>
        <w:t xml:space="preserve"> son personales e irrepetibles.</w:t>
      </w:r>
    </w:p>
    <w:p w14:paraId="2C367810" w14:textId="77777777" w:rsidR="00D91CB4" w:rsidRPr="00613734" w:rsidRDefault="00D91CB4" w:rsidP="00613734"/>
    <w:p w14:paraId="496490FC" w14:textId="1A5F3FDB" w:rsidR="00D91CB4" w:rsidRPr="00613734" w:rsidRDefault="00BA55A8" w:rsidP="00613734">
      <w:pPr>
        <w:pStyle w:val="Ttulo3"/>
        <w:rPr>
          <w:rFonts w:eastAsia="Calibri"/>
          <w:lang w:eastAsia="es-ES_tradnl"/>
        </w:rPr>
      </w:pPr>
      <w:bookmarkStart w:id="25" w:name="_Toc191489332"/>
      <w:r w:rsidRPr="00613734">
        <w:rPr>
          <w:rFonts w:eastAsia="Calibri"/>
          <w:lang w:eastAsia="es-ES_tradnl"/>
        </w:rPr>
        <w:t>c)</w:t>
      </w:r>
      <w:r w:rsidR="00664420" w:rsidRPr="00613734">
        <w:rPr>
          <w:rFonts w:eastAsia="Calibri"/>
          <w:lang w:eastAsia="es-ES_tradnl"/>
        </w:rPr>
        <w:t xml:space="preserve"> </w:t>
      </w:r>
      <w:r w:rsidR="00D91CB4" w:rsidRPr="00613734">
        <w:rPr>
          <w:rFonts w:eastAsia="Calibri"/>
          <w:lang w:eastAsia="es-ES_tradnl"/>
        </w:rPr>
        <w:t>Plazo para interponer el recurso</w:t>
      </w:r>
      <w:bookmarkEnd w:id="25"/>
    </w:p>
    <w:p w14:paraId="106D37EE" w14:textId="096B9AE9" w:rsidR="00D91CB4" w:rsidRPr="00613734" w:rsidRDefault="00D91CB4" w:rsidP="00613734">
      <w:pPr>
        <w:rPr>
          <w:rFonts w:eastAsiaTheme="minorEastAsia" w:cs="Arial"/>
          <w:lang w:val="es-ES_tradnl"/>
        </w:rPr>
      </w:pPr>
      <w:r w:rsidRPr="00613734">
        <w:rPr>
          <w:rFonts w:cs="Arial"/>
          <w:b/>
        </w:rPr>
        <w:t>EL SUJETO OBLIGADO</w:t>
      </w:r>
      <w:r w:rsidRPr="00613734">
        <w:rPr>
          <w:rFonts w:cs="Arial"/>
        </w:rPr>
        <w:t xml:space="preserve"> notificó la respuesta a la solicitud de acceso a la Información Pública el </w:t>
      </w:r>
      <w:r w:rsidR="003F5596" w:rsidRPr="00613734">
        <w:rPr>
          <w:rFonts w:eastAsia="Palatino Linotype" w:cs="Palatino Linotype"/>
          <w:b/>
        </w:rPr>
        <w:t>cinco</w:t>
      </w:r>
      <w:r w:rsidRPr="00613734">
        <w:rPr>
          <w:rFonts w:eastAsia="Palatino Linotype" w:cs="Palatino Linotype"/>
          <w:b/>
        </w:rPr>
        <w:t xml:space="preserve"> de </w:t>
      </w:r>
      <w:r w:rsidR="003F5596" w:rsidRPr="00613734">
        <w:rPr>
          <w:rFonts w:eastAsia="Palatino Linotype" w:cs="Palatino Linotype"/>
          <w:b/>
        </w:rPr>
        <w:t>febrero</w:t>
      </w:r>
      <w:r w:rsidRPr="00613734">
        <w:rPr>
          <w:rFonts w:eastAsia="Palatino Linotype" w:cs="Palatino Linotype"/>
          <w:b/>
        </w:rPr>
        <w:t xml:space="preserve"> de </w:t>
      </w:r>
      <w:r w:rsidR="00823EFC" w:rsidRPr="00613734">
        <w:rPr>
          <w:rFonts w:eastAsia="Palatino Linotype" w:cs="Palatino Linotype"/>
          <w:b/>
        </w:rPr>
        <w:t>dos mil veintic</w:t>
      </w:r>
      <w:r w:rsidR="003F5596" w:rsidRPr="00613734">
        <w:rPr>
          <w:rFonts w:eastAsia="Palatino Linotype" w:cs="Palatino Linotype"/>
          <w:b/>
        </w:rPr>
        <w:t>inc</w:t>
      </w:r>
      <w:r w:rsidR="00823EFC" w:rsidRPr="00613734">
        <w:rPr>
          <w:rFonts w:eastAsia="Palatino Linotype" w:cs="Palatino Linotype"/>
          <w:b/>
        </w:rPr>
        <w:t xml:space="preserve">o </w:t>
      </w:r>
      <w:r w:rsidR="00A53315" w:rsidRPr="00613734">
        <w:rPr>
          <w:rFonts w:cs="Arial"/>
        </w:rPr>
        <w:t xml:space="preserve">y el recurso </w:t>
      </w:r>
      <w:r w:rsidR="00A53315" w:rsidRPr="00613734">
        <w:rPr>
          <w:rFonts w:eastAsia="Palatino Linotype" w:cs="Palatino Linotype"/>
        </w:rPr>
        <w:t>que nos ocupa se interpuso el</w:t>
      </w:r>
      <w:r w:rsidR="003F5596" w:rsidRPr="00613734">
        <w:rPr>
          <w:rFonts w:eastAsia="Palatino Linotype" w:cs="Palatino Linotype"/>
          <w:b/>
        </w:rPr>
        <w:t xml:space="preserve"> mismo día</w:t>
      </w:r>
      <w:r w:rsidR="00A53315" w:rsidRPr="00613734">
        <w:rPr>
          <w:rFonts w:eastAsia="Palatino Linotype" w:cs="Palatino Linotype"/>
          <w:bCs/>
        </w:rPr>
        <w:t>;</w:t>
      </w:r>
      <w:r w:rsidR="00A53315" w:rsidRPr="00613734">
        <w:rPr>
          <w:rFonts w:eastAsia="Palatino Linotype" w:cs="Palatino Linotype"/>
        </w:rPr>
        <w:t xml:space="preserve"> por lo tanto, éste se encuentra dentro del margen temporal previsto en el artículo 178 de la </w:t>
      </w:r>
      <w:r w:rsidR="00A53315" w:rsidRPr="00613734">
        <w:rPr>
          <w:rFonts w:cs="Arial"/>
        </w:rPr>
        <w:t xml:space="preserve">Ley de Transparencia y Acceso a la Información Pública del Estado de México y Municipios, </w:t>
      </w:r>
      <w:r w:rsidR="00A53315" w:rsidRPr="00613734">
        <w:rPr>
          <w:rFonts w:eastAsia="Calibri"/>
          <w:lang w:eastAsia="es-ES_tradnl"/>
        </w:rPr>
        <w:t xml:space="preserve">el cual </w:t>
      </w:r>
      <w:r w:rsidRPr="00613734">
        <w:rPr>
          <w:rFonts w:cs="Arial"/>
        </w:rPr>
        <w:t xml:space="preserve">transcurrió del </w:t>
      </w:r>
      <w:r w:rsidR="00DF52C5" w:rsidRPr="00613734">
        <w:rPr>
          <w:rFonts w:cs="Arial"/>
          <w:b/>
        </w:rPr>
        <w:t>seis</w:t>
      </w:r>
      <w:r w:rsidRPr="00613734">
        <w:rPr>
          <w:rFonts w:cs="Arial"/>
          <w:b/>
        </w:rPr>
        <w:t xml:space="preserve"> al </w:t>
      </w:r>
      <w:r w:rsidR="00DF52C5" w:rsidRPr="00613734">
        <w:rPr>
          <w:rFonts w:cs="Arial"/>
          <w:b/>
        </w:rPr>
        <w:t>veintiséis</w:t>
      </w:r>
      <w:r w:rsidRPr="00613734">
        <w:rPr>
          <w:rFonts w:cs="Arial"/>
          <w:b/>
        </w:rPr>
        <w:t xml:space="preserve"> de </w:t>
      </w:r>
      <w:r w:rsidR="00DF52C5" w:rsidRPr="00613734">
        <w:rPr>
          <w:rFonts w:cs="Arial"/>
          <w:b/>
        </w:rPr>
        <w:t>febrer</w:t>
      </w:r>
      <w:r w:rsidR="00140633" w:rsidRPr="00613734">
        <w:rPr>
          <w:rFonts w:cs="Arial"/>
          <w:b/>
        </w:rPr>
        <w:t>o</w:t>
      </w:r>
      <w:r w:rsidRPr="00613734">
        <w:rPr>
          <w:rFonts w:cs="Arial"/>
          <w:b/>
        </w:rPr>
        <w:t xml:space="preserve"> de </w:t>
      </w:r>
      <w:r w:rsidR="00823EFC" w:rsidRPr="00613734">
        <w:rPr>
          <w:rFonts w:eastAsia="Palatino Linotype" w:cs="Palatino Linotype"/>
          <w:b/>
        </w:rPr>
        <w:t>dos mil veintic</w:t>
      </w:r>
      <w:r w:rsidR="00140633" w:rsidRPr="00613734">
        <w:rPr>
          <w:rFonts w:eastAsia="Palatino Linotype" w:cs="Palatino Linotype"/>
          <w:b/>
        </w:rPr>
        <w:t>inc</w:t>
      </w:r>
      <w:r w:rsidR="00823EFC" w:rsidRPr="00613734">
        <w:rPr>
          <w:rFonts w:eastAsia="Palatino Linotype" w:cs="Palatino Linotype"/>
          <w:b/>
        </w:rPr>
        <w:t>o</w:t>
      </w:r>
      <w:r w:rsidRPr="00613734">
        <w:rPr>
          <w:rFonts w:cs="Arial"/>
        </w:rPr>
        <w:t xml:space="preserve">, </w:t>
      </w:r>
      <w:r w:rsidRPr="00613734">
        <w:rPr>
          <w:rFonts w:eastAsiaTheme="minorEastAsia" w:cs="Arial"/>
          <w:lang w:val="es-ES_tradnl"/>
        </w:rPr>
        <w:t xml:space="preserve">sin contemplar en el cómputo los días </w:t>
      </w:r>
      <w:bookmarkStart w:id="26" w:name="_Hlk62134391"/>
      <w:r w:rsidRPr="00613734">
        <w:rPr>
          <w:rFonts w:eastAsiaTheme="minorEastAsia" w:cs="Arial"/>
          <w:lang w:val="es-ES_tradnl"/>
        </w:rPr>
        <w:t>sábados</w:t>
      </w:r>
      <w:r w:rsidR="00CB7E9A" w:rsidRPr="00613734">
        <w:rPr>
          <w:rFonts w:eastAsiaTheme="minorEastAsia" w:cs="Arial"/>
          <w:lang w:val="es-ES_tradnl"/>
        </w:rPr>
        <w:t xml:space="preserve">, </w:t>
      </w:r>
      <w:r w:rsidRPr="00613734">
        <w:rPr>
          <w:rFonts w:eastAsiaTheme="minorEastAsia" w:cs="Arial"/>
          <w:lang w:val="es-ES_tradnl"/>
        </w:rPr>
        <w:t>domingos</w:t>
      </w:r>
      <w:r w:rsidR="00CB7E9A" w:rsidRPr="00613734">
        <w:rPr>
          <w:rFonts w:eastAsiaTheme="minorEastAsia" w:cs="Arial"/>
          <w:lang w:val="es-ES_tradnl"/>
        </w:rPr>
        <w:t xml:space="preserve"> y aquellos</w:t>
      </w:r>
      <w:r w:rsidRPr="00613734">
        <w:rPr>
          <w:rFonts w:eastAsiaTheme="minorEastAsia" w:cs="Arial"/>
          <w:lang w:val="es-ES_tradnl"/>
        </w:rPr>
        <w:t xml:space="preserve"> considerados como días inhábiles</w:t>
      </w:r>
      <w:r w:rsidR="00CB7E9A" w:rsidRPr="00613734">
        <w:rPr>
          <w:rFonts w:eastAsiaTheme="minorEastAsia" w:cs="Arial"/>
          <w:lang w:val="es-ES_tradnl"/>
        </w:rPr>
        <w:t xml:space="preserve"> </w:t>
      </w:r>
      <w:r w:rsidRPr="00613734">
        <w:rPr>
          <w:rFonts w:eastAsiaTheme="minorEastAsia" w:cs="Arial"/>
          <w:lang w:val="es-ES_tradnl"/>
        </w:rPr>
        <w:t xml:space="preserve">en términos del </w:t>
      </w:r>
      <w:bookmarkEnd w:id="26"/>
      <w:r w:rsidRPr="00613734">
        <w:rPr>
          <w:rFonts w:eastAsiaTheme="minorEastAsia" w:cs="Arial"/>
          <w:lang w:val="es-ES_tradnl"/>
        </w:rPr>
        <w:t>Calendario oficia</w:t>
      </w:r>
      <w:r w:rsidR="00CB7E9A" w:rsidRPr="00613734">
        <w:rPr>
          <w:rFonts w:eastAsiaTheme="minorEastAsia" w:cs="Arial"/>
          <w:lang w:val="es-ES_tradnl"/>
        </w:rPr>
        <w:t>l en Materia de Transparencia, Acceso a la Información Pública y Protección de Datos Personales del Estado de México y Municipios, así como de labores del Instituto.</w:t>
      </w:r>
    </w:p>
    <w:p w14:paraId="4A1A69B1" w14:textId="77777777" w:rsidR="00DF52C5" w:rsidRPr="00613734" w:rsidRDefault="00DF52C5" w:rsidP="00613734">
      <w:pPr>
        <w:rPr>
          <w:rFonts w:eastAsiaTheme="minorEastAsia" w:cs="Arial"/>
          <w:lang w:val="es-ES_tradnl"/>
        </w:rPr>
      </w:pPr>
    </w:p>
    <w:p w14:paraId="725596F8" w14:textId="77777777" w:rsidR="00DF52C5" w:rsidRPr="00613734" w:rsidRDefault="00DF52C5" w:rsidP="00613734">
      <w:r w:rsidRPr="00613734">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613734">
        <w:rPr>
          <w:b/>
        </w:rPr>
        <w:t>EL RECURRENTE</w:t>
      </w:r>
      <w:r w:rsidRPr="00613734">
        <w:t xml:space="preserve"> tenga conocimiento de la respuesta impugnada; sin </w:t>
      </w:r>
      <w:r w:rsidRPr="00613734">
        <w:lastRenderedPageBreak/>
        <w:t>embargo, no prohíbe que el Recurso de Revisión, se presente el mismo día en que aquélla fue notificada.</w:t>
      </w:r>
    </w:p>
    <w:p w14:paraId="588DA8F8" w14:textId="77777777" w:rsidR="00DF52C5" w:rsidRPr="00613734" w:rsidRDefault="00DF52C5" w:rsidP="00613734">
      <w:pPr>
        <w:rPr>
          <w:sz w:val="24"/>
          <w:szCs w:val="24"/>
        </w:rPr>
      </w:pPr>
    </w:p>
    <w:p w14:paraId="4D981C1E" w14:textId="77777777" w:rsidR="00DF52C5" w:rsidRPr="00613734" w:rsidRDefault="00DF52C5" w:rsidP="00613734">
      <w:r w:rsidRPr="00613734">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5F7B858F" w14:textId="77777777" w:rsidR="00DF52C5" w:rsidRPr="00613734" w:rsidRDefault="00DF52C5" w:rsidP="00613734">
      <w:pPr>
        <w:tabs>
          <w:tab w:val="left" w:pos="851"/>
        </w:tabs>
        <w:spacing w:line="240" w:lineRule="auto"/>
        <w:ind w:left="851" w:right="901"/>
        <w:rPr>
          <w:sz w:val="24"/>
          <w:szCs w:val="24"/>
        </w:rPr>
      </w:pPr>
    </w:p>
    <w:p w14:paraId="20BFB6E9" w14:textId="77777777" w:rsidR="00DF52C5" w:rsidRPr="00613734" w:rsidRDefault="00DF52C5" w:rsidP="00613734">
      <w:pPr>
        <w:tabs>
          <w:tab w:val="left" w:pos="851"/>
        </w:tabs>
        <w:spacing w:line="240" w:lineRule="auto"/>
        <w:ind w:left="851" w:right="901"/>
        <w:rPr>
          <w:i/>
        </w:rPr>
      </w:pPr>
      <w:r w:rsidRPr="00613734">
        <w:rPr>
          <w:b/>
          <w:i/>
        </w:rPr>
        <w:t xml:space="preserve">“RECURSO DE RECLAMACIÓN. SU INTERPOSICIÓN NO ES EXTEMPORÁNEA SI SE REALIZA ANTES DE QUE INICIE EL PLAZO PARA HACERLO. </w:t>
      </w:r>
      <w:r w:rsidRPr="00613734">
        <w:rPr>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75D8DB10" w14:textId="77777777" w:rsidR="00DF52C5" w:rsidRPr="00613734" w:rsidRDefault="00DF52C5" w:rsidP="00613734">
      <w:pPr>
        <w:tabs>
          <w:tab w:val="left" w:pos="851"/>
        </w:tabs>
        <w:spacing w:line="240" w:lineRule="auto"/>
        <w:ind w:left="851" w:right="901"/>
        <w:rPr>
          <w:sz w:val="24"/>
          <w:szCs w:val="24"/>
        </w:rPr>
      </w:pPr>
    </w:p>
    <w:p w14:paraId="1B58ED86" w14:textId="77777777" w:rsidR="00DF52C5" w:rsidRPr="00613734" w:rsidRDefault="00DF52C5" w:rsidP="00613734">
      <w:r w:rsidRPr="00613734">
        <w:t>Por lo tanto, en aras de privilegiar el derecho de acceso a la información se entra al estudio del presente Recurso de Revisión, sin que la fecha en que se presentó afecte la Resolución.</w:t>
      </w:r>
    </w:p>
    <w:p w14:paraId="0EFF7141" w14:textId="77777777" w:rsidR="00362A11" w:rsidRPr="00613734" w:rsidRDefault="00362A11" w:rsidP="00613734"/>
    <w:p w14:paraId="457548E9" w14:textId="3F7AF03B" w:rsidR="00C71CEF" w:rsidRPr="00613734" w:rsidRDefault="00C71CEF" w:rsidP="00613734">
      <w:pPr>
        <w:pStyle w:val="Ttulo2"/>
      </w:pPr>
      <w:bookmarkStart w:id="27" w:name="_Toc191489333"/>
      <w:r w:rsidRPr="00613734">
        <w:t>SEGUNDO. Estudio de Fondo</w:t>
      </w:r>
      <w:bookmarkEnd w:id="27"/>
    </w:p>
    <w:p w14:paraId="2A308F59" w14:textId="0FF373F0" w:rsidR="00C049E2" w:rsidRPr="00613734" w:rsidRDefault="00C71CEF" w:rsidP="00613734">
      <w:pPr>
        <w:pStyle w:val="Ttulo3"/>
      </w:pPr>
      <w:bookmarkStart w:id="28" w:name="_Toc191489334"/>
      <w:r w:rsidRPr="00613734">
        <w:t>a</w:t>
      </w:r>
      <w:r w:rsidR="00C049E2" w:rsidRPr="00613734">
        <w:t>) Mandato de transparencia y responsabilidad del Sujeto Obligado</w:t>
      </w:r>
      <w:bookmarkEnd w:id="28"/>
    </w:p>
    <w:p w14:paraId="6901A889" w14:textId="59EEDAE1" w:rsidR="00C049E2" w:rsidRPr="00613734" w:rsidRDefault="00C049E2" w:rsidP="00613734">
      <w:pPr>
        <w:rPr>
          <w:rFonts w:eastAsia="Palatino Linotype"/>
        </w:rPr>
      </w:pPr>
      <w:r w:rsidRPr="00613734">
        <w:rPr>
          <w:rFonts w:eastAsia="Palatino Linotype"/>
        </w:rPr>
        <w:t xml:space="preserve">El </w:t>
      </w:r>
      <w:r w:rsidR="00717E59" w:rsidRPr="00613734">
        <w:rPr>
          <w:rFonts w:eastAsia="Palatino Linotype"/>
        </w:rPr>
        <w:t>d</w:t>
      </w:r>
      <w:r w:rsidRPr="00613734">
        <w:rPr>
          <w:rFonts w:eastAsia="Palatino Linotype"/>
        </w:rPr>
        <w:t xml:space="preserve">erecho de </w:t>
      </w:r>
      <w:r w:rsidR="00717E59" w:rsidRPr="00613734">
        <w:rPr>
          <w:rFonts w:eastAsia="Palatino Linotype"/>
        </w:rPr>
        <w:t>a</w:t>
      </w:r>
      <w:r w:rsidRPr="00613734">
        <w:rPr>
          <w:rFonts w:eastAsia="Palatino Linotype"/>
        </w:rPr>
        <w:t xml:space="preserve">cceso a la </w:t>
      </w:r>
      <w:r w:rsidR="00717E59" w:rsidRPr="00613734">
        <w:rPr>
          <w:rFonts w:eastAsia="Palatino Linotype"/>
        </w:rPr>
        <w:t>i</w:t>
      </w:r>
      <w:r w:rsidRPr="00613734">
        <w:rPr>
          <w:rFonts w:eastAsia="Palatino Linotype"/>
        </w:rPr>
        <w:t xml:space="preserve">nformación </w:t>
      </w:r>
      <w:r w:rsidR="00717E59" w:rsidRPr="00613734">
        <w:rPr>
          <w:rFonts w:eastAsia="Palatino Linotype"/>
        </w:rPr>
        <w:t>p</w:t>
      </w:r>
      <w:r w:rsidRPr="0061373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13734">
        <w:rPr>
          <w:rFonts w:eastAsia="Palatino Linotype"/>
        </w:rPr>
        <w:t>:</w:t>
      </w:r>
    </w:p>
    <w:p w14:paraId="7FAB8D32" w14:textId="77777777" w:rsidR="00C049E2" w:rsidRPr="00613734" w:rsidRDefault="00C049E2" w:rsidP="00613734">
      <w:pPr>
        <w:rPr>
          <w:rFonts w:eastAsia="Palatino Linotype"/>
        </w:rPr>
      </w:pPr>
    </w:p>
    <w:p w14:paraId="05320813" w14:textId="77777777" w:rsidR="00C049E2" w:rsidRPr="00613734" w:rsidRDefault="00C049E2" w:rsidP="00613734">
      <w:pPr>
        <w:spacing w:line="240" w:lineRule="auto"/>
        <w:ind w:left="567" w:right="539"/>
        <w:rPr>
          <w:rFonts w:eastAsia="Palatino Linotype"/>
          <w:b/>
          <w:i/>
        </w:rPr>
      </w:pPr>
      <w:r w:rsidRPr="00613734">
        <w:rPr>
          <w:rFonts w:eastAsia="Palatino Linotype"/>
          <w:b/>
          <w:i/>
        </w:rPr>
        <w:t>Constitución Política de los Estados Unidos Mexicanos</w:t>
      </w:r>
    </w:p>
    <w:p w14:paraId="6B6C67B6" w14:textId="77777777" w:rsidR="00C049E2" w:rsidRPr="00613734" w:rsidRDefault="00C049E2" w:rsidP="00613734">
      <w:pPr>
        <w:spacing w:line="240" w:lineRule="auto"/>
        <w:ind w:left="567" w:right="539"/>
        <w:rPr>
          <w:rFonts w:eastAsia="Palatino Linotype"/>
          <w:b/>
          <w:i/>
        </w:rPr>
      </w:pPr>
      <w:r w:rsidRPr="00613734">
        <w:rPr>
          <w:rFonts w:eastAsia="Palatino Linotype"/>
          <w:b/>
          <w:i/>
        </w:rPr>
        <w:t>“Artículo 6.</w:t>
      </w:r>
    </w:p>
    <w:p w14:paraId="38D3B4C4" w14:textId="77777777" w:rsidR="00C049E2" w:rsidRPr="00613734" w:rsidRDefault="00C049E2" w:rsidP="00613734">
      <w:pPr>
        <w:spacing w:line="240" w:lineRule="auto"/>
        <w:ind w:left="567" w:right="539"/>
        <w:rPr>
          <w:rFonts w:eastAsia="Palatino Linotype"/>
          <w:i/>
        </w:rPr>
      </w:pPr>
      <w:r w:rsidRPr="00613734">
        <w:rPr>
          <w:rFonts w:eastAsia="Palatino Linotype"/>
          <w:i/>
        </w:rPr>
        <w:lastRenderedPageBreak/>
        <w:t>(…)</w:t>
      </w:r>
    </w:p>
    <w:p w14:paraId="2CCAA297" w14:textId="6602827B" w:rsidR="00C049E2" w:rsidRPr="00613734" w:rsidRDefault="00C049E2" w:rsidP="00613734">
      <w:pPr>
        <w:spacing w:line="240" w:lineRule="auto"/>
        <w:ind w:left="567" w:right="539"/>
        <w:rPr>
          <w:rFonts w:eastAsia="Palatino Linotype"/>
          <w:i/>
        </w:rPr>
      </w:pPr>
      <w:r w:rsidRPr="00613734">
        <w:rPr>
          <w:rFonts w:eastAsia="Palatino Linotype"/>
          <w:i/>
        </w:rPr>
        <w:t>Para efectos de lo dispuesto en el presente artículo se observará lo siguiente:</w:t>
      </w:r>
    </w:p>
    <w:p w14:paraId="74CC3718" w14:textId="77777777" w:rsidR="00C049E2" w:rsidRPr="00613734" w:rsidRDefault="00C049E2" w:rsidP="00613734">
      <w:pPr>
        <w:spacing w:line="240" w:lineRule="auto"/>
        <w:ind w:left="567" w:right="539"/>
        <w:rPr>
          <w:rFonts w:eastAsia="Palatino Linotype"/>
          <w:b/>
          <w:i/>
        </w:rPr>
      </w:pPr>
      <w:r w:rsidRPr="00613734">
        <w:rPr>
          <w:rFonts w:eastAsia="Palatino Linotype"/>
          <w:b/>
          <w:i/>
        </w:rPr>
        <w:t>A</w:t>
      </w:r>
      <w:r w:rsidRPr="00613734">
        <w:rPr>
          <w:rFonts w:eastAsia="Palatino Linotype"/>
          <w:i/>
        </w:rPr>
        <w:t xml:space="preserve">. </w:t>
      </w:r>
      <w:r w:rsidRPr="00613734">
        <w:rPr>
          <w:rFonts w:eastAsia="Palatino Linotype"/>
          <w:b/>
          <w:i/>
        </w:rPr>
        <w:t>Para el ejercicio del derecho de acceso a la información</w:t>
      </w:r>
      <w:r w:rsidRPr="00613734">
        <w:rPr>
          <w:rFonts w:eastAsia="Palatino Linotype"/>
          <w:i/>
        </w:rPr>
        <w:t xml:space="preserve">, la Federación y </w:t>
      </w:r>
      <w:r w:rsidRPr="00613734">
        <w:rPr>
          <w:rFonts w:eastAsia="Palatino Linotype"/>
          <w:b/>
          <w:i/>
        </w:rPr>
        <w:t>las entidades federativas, en el ámbito de sus respectivas competencias, se regirán por los siguientes principios y bases:</w:t>
      </w:r>
    </w:p>
    <w:p w14:paraId="596A956B" w14:textId="77777777" w:rsidR="00C049E2" w:rsidRPr="00613734" w:rsidRDefault="00C049E2" w:rsidP="00613734">
      <w:pPr>
        <w:spacing w:line="240" w:lineRule="auto"/>
        <w:ind w:left="567" w:right="539"/>
        <w:rPr>
          <w:rFonts w:eastAsia="Palatino Linotype"/>
          <w:i/>
        </w:rPr>
      </w:pPr>
      <w:r w:rsidRPr="00613734">
        <w:rPr>
          <w:rFonts w:eastAsia="Palatino Linotype"/>
          <w:b/>
          <w:i/>
        </w:rPr>
        <w:t xml:space="preserve">I. </w:t>
      </w:r>
      <w:r w:rsidRPr="00613734">
        <w:rPr>
          <w:rFonts w:eastAsia="Palatino Linotype"/>
          <w:b/>
          <w:i/>
        </w:rPr>
        <w:tab/>
        <w:t>Toda la información en posesión de cualquier</w:t>
      </w:r>
      <w:r w:rsidRPr="00613734">
        <w:rPr>
          <w:rFonts w:eastAsia="Palatino Linotype"/>
          <w:i/>
        </w:rPr>
        <w:t xml:space="preserve"> </w:t>
      </w:r>
      <w:r w:rsidRPr="00613734">
        <w:rPr>
          <w:rFonts w:eastAsia="Palatino Linotype"/>
          <w:b/>
          <w:i/>
        </w:rPr>
        <w:t>autoridad</w:t>
      </w:r>
      <w:r w:rsidRPr="0061373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13734">
        <w:rPr>
          <w:rFonts w:eastAsia="Palatino Linotype"/>
          <w:b/>
          <w:i/>
        </w:rPr>
        <w:t>municipal</w:t>
      </w:r>
      <w:r w:rsidRPr="00613734">
        <w:rPr>
          <w:rFonts w:eastAsia="Palatino Linotype"/>
          <w:i/>
        </w:rPr>
        <w:t xml:space="preserve">, </w:t>
      </w:r>
      <w:r w:rsidRPr="00613734">
        <w:rPr>
          <w:rFonts w:eastAsia="Palatino Linotype"/>
          <w:b/>
          <w:i/>
        </w:rPr>
        <w:t>es pública</w:t>
      </w:r>
      <w:r w:rsidRPr="00613734">
        <w:rPr>
          <w:rFonts w:eastAsia="Palatino Linotype"/>
          <w:i/>
        </w:rPr>
        <w:t xml:space="preserve"> y sólo podrá ser reservada temporalmente por razones de interés público y seguridad nacional, en los términos que fijen las leyes. </w:t>
      </w:r>
      <w:r w:rsidRPr="0061373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13734">
        <w:rPr>
          <w:rFonts w:eastAsia="Palatino Linotype"/>
          <w:i/>
        </w:rPr>
        <w:t>, la ley determinará los supuestos específicos bajo los cuales procederá la declaración de inexistencia de la información.”</w:t>
      </w:r>
    </w:p>
    <w:p w14:paraId="68F313E4" w14:textId="77777777" w:rsidR="00C049E2" w:rsidRPr="00613734" w:rsidRDefault="00C049E2" w:rsidP="00613734">
      <w:pPr>
        <w:spacing w:line="240" w:lineRule="auto"/>
        <w:ind w:left="567" w:right="539"/>
        <w:rPr>
          <w:rFonts w:eastAsia="Palatino Linotype"/>
          <w:b/>
          <w:i/>
        </w:rPr>
      </w:pPr>
    </w:p>
    <w:p w14:paraId="504F12DB" w14:textId="77777777" w:rsidR="00C049E2" w:rsidRPr="00613734" w:rsidRDefault="00C049E2" w:rsidP="00613734">
      <w:pPr>
        <w:spacing w:line="240" w:lineRule="auto"/>
        <w:ind w:left="567" w:right="539"/>
        <w:rPr>
          <w:rFonts w:eastAsia="Palatino Linotype"/>
          <w:b/>
          <w:i/>
        </w:rPr>
      </w:pPr>
      <w:r w:rsidRPr="00613734">
        <w:rPr>
          <w:rFonts w:eastAsia="Palatino Linotype"/>
          <w:b/>
          <w:i/>
        </w:rPr>
        <w:t>Constitución Política del Estado Libre y Soberano de México</w:t>
      </w:r>
    </w:p>
    <w:p w14:paraId="04932D29" w14:textId="77777777" w:rsidR="00C049E2" w:rsidRPr="00613734" w:rsidRDefault="00C049E2" w:rsidP="00613734">
      <w:pPr>
        <w:spacing w:line="240" w:lineRule="auto"/>
        <w:ind w:left="567" w:right="539"/>
        <w:rPr>
          <w:rFonts w:eastAsia="Palatino Linotype"/>
          <w:i/>
        </w:rPr>
      </w:pPr>
      <w:r w:rsidRPr="00613734">
        <w:rPr>
          <w:rFonts w:eastAsia="Palatino Linotype"/>
          <w:b/>
          <w:i/>
        </w:rPr>
        <w:t>“Artículo 5</w:t>
      </w:r>
      <w:r w:rsidRPr="00613734">
        <w:rPr>
          <w:rFonts w:eastAsia="Palatino Linotype"/>
          <w:i/>
        </w:rPr>
        <w:t xml:space="preserve">.- </w:t>
      </w:r>
    </w:p>
    <w:p w14:paraId="1D3829F4" w14:textId="77777777" w:rsidR="00C049E2" w:rsidRPr="00613734" w:rsidRDefault="00C049E2" w:rsidP="00613734">
      <w:pPr>
        <w:spacing w:line="240" w:lineRule="auto"/>
        <w:ind w:left="567" w:right="539"/>
        <w:rPr>
          <w:rFonts w:eastAsia="Palatino Linotype"/>
          <w:i/>
        </w:rPr>
      </w:pPr>
      <w:r w:rsidRPr="00613734">
        <w:rPr>
          <w:rFonts w:eastAsia="Palatino Linotype"/>
          <w:i/>
        </w:rPr>
        <w:t>(…)</w:t>
      </w:r>
    </w:p>
    <w:p w14:paraId="0EAE47FD" w14:textId="77777777" w:rsidR="00C049E2" w:rsidRPr="00613734" w:rsidRDefault="00C049E2" w:rsidP="00613734">
      <w:pPr>
        <w:spacing w:line="240" w:lineRule="auto"/>
        <w:ind w:left="567" w:right="539"/>
        <w:rPr>
          <w:rFonts w:eastAsia="Palatino Linotype"/>
          <w:i/>
        </w:rPr>
      </w:pPr>
      <w:r w:rsidRPr="00613734">
        <w:rPr>
          <w:rFonts w:eastAsia="Palatino Linotype"/>
          <w:b/>
          <w:i/>
        </w:rPr>
        <w:t>El derecho a la información será garantizado por el Estado. La ley establecerá las previsiones que permitan asegurar la protección, el respeto y la difusión de este derecho</w:t>
      </w:r>
      <w:r w:rsidRPr="00613734">
        <w:rPr>
          <w:rFonts w:eastAsia="Palatino Linotype"/>
          <w:i/>
        </w:rPr>
        <w:t>.</w:t>
      </w:r>
    </w:p>
    <w:p w14:paraId="4F0C804A" w14:textId="77777777" w:rsidR="00C049E2" w:rsidRPr="00613734" w:rsidRDefault="00C049E2" w:rsidP="00613734">
      <w:pPr>
        <w:spacing w:line="240" w:lineRule="auto"/>
        <w:ind w:left="567" w:right="539"/>
        <w:rPr>
          <w:rFonts w:eastAsia="Palatino Linotype"/>
          <w:i/>
        </w:rPr>
      </w:pPr>
      <w:r w:rsidRPr="0061373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13734" w:rsidRDefault="00C049E2" w:rsidP="00613734">
      <w:pPr>
        <w:spacing w:line="240" w:lineRule="auto"/>
        <w:ind w:left="567" w:right="539"/>
        <w:rPr>
          <w:rFonts w:eastAsia="Palatino Linotype"/>
          <w:i/>
        </w:rPr>
      </w:pPr>
      <w:r w:rsidRPr="00613734">
        <w:rPr>
          <w:rFonts w:eastAsia="Palatino Linotype"/>
          <w:b/>
          <w:i/>
        </w:rPr>
        <w:t>Este derecho se regirá por los principios y bases siguientes</w:t>
      </w:r>
      <w:r w:rsidRPr="00613734">
        <w:rPr>
          <w:rFonts w:eastAsia="Palatino Linotype"/>
          <w:i/>
        </w:rPr>
        <w:t>:</w:t>
      </w:r>
    </w:p>
    <w:p w14:paraId="4A3E8CBA" w14:textId="77777777" w:rsidR="00C049E2" w:rsidRPr="00613734" w:rsidRDefault="00C049E2" w:rsidP="00613734">
      <w:pPr>
        <w:spacing w:line="240" w:lineRule="auto"/>
        <w:ind w:left="567" w:right="539"/>
        <w:rPr>
          <w:rFonts w:eastAsia="Palatino Linotype"/>
          <w:i/>
        </w:rPr>
      </w:pPr>
      <w:r w:rsidRPr="00613734">
        <w:rPr>
          <w:rFonts w:eastAsia="Palatino Linotype"/>
          <w:b/>
          <w:i/>
        </w:rPr>
        <w:t>I. Toda la información en posesión de cualquier autoridad, entidad, órgano y organismos de los</w:t>
      </w:r>
      <w:r w:rsidRPr="00613734">
        <w:rPr>
          <w:rFonts w:eastAsia="Palatino Linotype"/>
          <w:i/>
        </w:rPr>
        <w:t xml:space="preserve"> Poderes Ejecutivo, Legislativo y Judicial, órganos autónomos, partidos políticos, fideicomisos y fondos públicos estatales y </w:t>
      </w:r>
      <w:r w:rsidRPr="00613734">
        <w:rPr>
          <w:rFonts w:eastAsia="Palatino Linotype"/>
          <w:b/>
          <w:i/>
        </w:rPr>
        <w:t>municipales</w:t>
      </w:r>
      <w:r w:rsidRPr="0061373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13734">
        <w:rPr>
          <w:rFonts w:eastAsia="Palatino Linotype"/>
          <w:b/>
          <w:i/>
        </w:rPr>
        <w:t>es pública</w:t>
      </w:r>
      <w:r w:rsidRPr="0061373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13734">
        <w:rPr>
          <w:rFonts w:eastAsia="Palatino Linotype"/>
          <w:b/>
          <w:i/>
        </w:rPr>
        <w:t>En la interpretación de este derecho deberá prevalecer el principio de máxima publicidad</w:t>
      </w:r>
      <w:r w:rsidRPr="00613734">
        <w:rPr>
          <w:rFonts w:eastAsia="Palatino Linotype"/>
          <w:i/>
        </w:rPr>
        <w:t xml:space="preserve">. </w:t>
      </w:r>
      <w:r w:rsidRPr="00613734">
        <w:rPr>
          <w:rFonts w:eastAsia="Palatino Linotype"/>
          <w:b/>
          <w:i/>
        </w:rPr>
        <w:t>Los sujetos obligados deberán documentar todo acto que derive del ejercicio de sus facultades, competencias o funciones</w:t>
      </w:r>
      <w:r w:rsidRPr="00613734">
        <w:rPr>
          <w:rFonts w:eastAsia="Palatino Linotype"/>
          <w:i/>
        </w:rPr>
        <w:t>, la ley determinará los supuestos específicos bajo los cuales procederá la declaración de inexistencia de la información.”</w:t>
      </w:r>
    </w:p>
    <w:p w14:paraId="5CA98E37" w14:textId="77777777" w:rsidR="00C049E2" w:rsidRPr="00613734" w:rsidRDefault="00C049E2" w:rsidP="00613734">
      <w:pPr>
        <w:rPr>
          <w:rFonts w:eastAsia="Palatino Linotype"/>
          <w:b/>
          <w:i/>
        </w:rPr>
      </w:pPr>
    </w:p>
    <w:p w14:paraId="6FC1BB3B" w14:textId="3BF4A33D" w:rsidR="00C049E2" w:rsidRPr="00613734" w:rsidRDefault="00717E59" w:rsidP="00613734">
      <w:pPr>
        <w:rPr>
          <w:rFonts w:eastAsia="Palatino Linotype"/>
          <w:i/>
        </w:rPr>
      </w:pPr>
      <w:r w:rsidRPr="00613734">
        <w:rPr>
          <w:rFonts w:eastAsia="Palatino Linotype"/>
        </w:rPr>
        <w:t xml:space="preserve">Asimismo, </w:t>
      </w:r>
      <w:r w:rsidR="00C049E2" w:rsidRPr="00613734">
        <w:rPr>
          <w:rFonts w:eastAsia="Palatino Linotype"/>
        </w:rPr>
        <w:t>el artículo 150 de la Ley de Transparencia y Acceso a la Información Pública del Estado de México y Municipios</w:t>
      </w:r>
      <w:r w:rsidR="00057B2D" w:rsidRPr="00613734">
        <w:rPr>
          <w:rFonts w:eastAsia="Palatino Linotype"/>
        </w:rPr>
        <w:t xml:space="preserve"> </w:t>
      </w:r>
      <w:r w:rsidR="00E9335C" w:rsidRPr="00613734">
        <w:rPr>
          <w:rFonts w:eastAsia="Palatino Linotype"/>
        </w:rPr>
        <w:t xml:space="preserve">indica </w:t>
      </w:r>
      <w:r w:rsidR="00057B2D" w:rsidRPr="00613734">
        <w:rPr>
          <w:rFonts w:eastAsia="Palatino Linotype"/>
        </w:rPr>
        <w:t>que</w:t>
      </w:r>
      <w:r w:rsidR="00C049E2" w:rsidRPr="00613734">
        <w:rPr>
          <w:rFonts w:eastAsia="Palatino Linotype"/>
        </w:rPr>
        <w:t xml:space="preserve"> la solicitud es la garantía primaria del Derecho de Acceso a la Información, además, establece que se regirá </w:t>
      </w:r>
      <w:r w:rsidR="00C049E2" w:rsidRPr="00613734">
        <w:rPr>
          <w:rFonts w:eastAsia="Palatino Linotype"/>
          <w:i/>
        </w:rPr>
        <w:t>por los principios de simplicidad, rapidez</w:t>
      </w:r>
      <w:r w:rsidR="005F65B7" w:rsidRPr="00613734">
        <w:rPr>
          <w:rFonts w:eastAsia="Palatino Linotype"/>
          <w:i/>
        </w:rPr>
        <w:t>,</w:t>
      </w:r>
      <w:r w:rsidR="00C049E2" w:rsidRPr="00613734">
        <w:rPr>
          <w:rFonts w:eastAsia="Palatino Linotype"/>
          <w:i/>
        </w:rPr>
        <w:t xml:space="preserve"> gratuidad del procedimiento, auxilio y orientación a los particulare</w:t>
      </w:r>
      <w:r w:rsidR="001A58B3" w:rsidRPr="00613734">
        <w:rPr>
          <w:rFonts w:eastAsia="Palatino Linotype"/>
          <w:i/>
        </w:rPr>
        <w:t>s.</w:t>
      </w:r>
    </w:p>
    <w:p w14:paraId="033466A6" w14:textId="77777777" w:rsidR="001A58B3" w:rsidRPr="00613734" w:rsidRDefault="001A58B3" w:rsidP="00613734">
      <w:pPr>
        <w:rPr>
          <w:rFonts w:eastAsia="Palatino Linotype"/>
          <w:i/>
        </w:rPr>
      </w:pPr>
    </w:p>
    <w:p w14:paraId="04ADA10B" w14:textId="574A944A" w:rsidR="001A58B3" w:rsidRPr="00613734" w:rsidRDefault="00233F17" w:rsidP="00613734">
      <w:pPr>
        <w:rPr>
          <w:rFonts w:eastAsia="Palatino Linotype" w:cs="Palatino Linotype"/>
          <w:i/>
          <w:szCs w:val="22"/>
        </w:rPr>
      </w:pPr>
      <w:r w:rsidRPr="00613734">
        <w:rPr>
          <w:rFonts w:eastAsia="Palatino Linotype" w:cs="Palatino Linotype"/>
        </w:rPr>
        <w:t xml:space="preserve">Por su parte, el artículo 4 de </w:t>
      </w:r>
      <w:r w:rsidR="001A58B3" w:rsidRPr="0061373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13734">
        <w:rPr>
          <w:rFonts w:eastAsia="Palatino Linotype" w:cs="Palatino Linotype"/>
        </w:rPr>
        <w:t>.</w:t>
      </w:r>
    </w:p>
    <w:p w14:paraId="1407DBB8" w14:textId="77777777" w:rsidR="001A58B3" w:rsidRPr="00613734" w:rsidRDefault="001A58B3" w:rsidP="00613734">
      <w:pPr>
        <w:rPr>
          <w:rFonts w:eastAsia="Palatino Linotype" w:cs="Palatino Linotype"/>
        </w:rPr>
      </w:pPr>
    </w:p>
    <w:p w14:paraId="7552AA79" w14:textId="5C52E4A4" w:rsidR="001A58B3" w:rsidRPr="00613734" w:rsidRDefault="001A58B3" w:rsidP="00613734">
      <w:pPr>
        <w:rPr>
          <w:rFonts w:eastAsia="Palatino Linotype" w:cs="Palatino Linotype"/>
        </w:rPr>
      </w:pPr>
      <w:r w:rsidRPr="00613734">
        <w:rPr>
          <w:rFonts w:eastAsia="Palatino Linotype" w:cs="Palatino Linotype"/>
        </w:rPr>
        <w:t xml:space="preserve">Esto es, que los Sujetos Obligados </w:t>
      </w:r>
      <w:r w:rsidR="00FA5957" w:rsidRPr="00613734">
        <w:rPr>
          <w:rFonts w:eastAsia="Palatino Linotype" w:cs="Palatino Linotype"/>
        </w:rPr>
        <w:t>deben</w:t>
      </w:r>
      <w:r w:rsidRPr="00613734">
        <w:rPr>
          <w:rFonts w:eastAsia="Palatino Linotype" w:cs="Palatino Linotype"/>
        </w:rPr>
        <w:t xml:space="preserve"> atender las solicitudes de acceso a la información pública que se les </w:t>
      </w:r>
      <w:r w:rsidR="00FA5957" w:rsidRPr="00613734">
        <w:rPr>
          <w:rFonts w:eastAsia="Palatino Linotype" w:cs="Palatino Linotype"/>
        </w:rPr>
        <w:t>sean realizadas,</w:t>
      </w:r>
      <w:r w:rsidRPr="00613734">
        <w:rPr>
          <w:rFonts w:eastAsia="Palatino Linotype" w:cs="Palatino Linotype"/>
        </w:rPr>
        <w:t xml:space="preserve"> y proporcionar la información pública que obre en su poder</w:t>
      </w:r>
      <w:r w:rsidR="00FA5957" w:rsidRPr="00613734">
        <w:rPr>
          <w:rFonts w:eastAsia="Palatino Linotype" w:cs="Palatino Linotype"/>
        </w:rPr>
        <w:t>,</w:t>
      </w:r>
      <w:r w:rsidRPr="00613734">
        <w:rPr>
          <w:rFonts w:eastAsia="Palatino Linotype" w:cs="Palatino Linotype"/>
        </w:rPr>
        <w:t xml:space="preserve"> conforme </w:t>
      </w:r>
      <w:r w:rsidR="00FA5957" w:rsidRPr="00613734">
        <w:rPr>
          <w:rFonts w:eastAsia="Palatino Linotype" w:cs="Palatino Linotype"/>
        </w:rPr>
        <w:t>a</w:t>
      </w:r>
      <w:r w:rsidRPr="00613734">
        <w:rPr>
          <w:rFonts w:eastAsia="Palatino Linotype" w:cs="Palatino Linotype"/>
        </w:rPr>
        <w:t xml:space="preserve">l estado </w:t>
      </w:r>
      <w:r w:rsidR="00FA5957" w:rsidRPr="00613734">
        <w:rPr>
          <w:rFonts w:eastAsia="Palatino Linotype" w:cs="Palatino Linotype"/>
        </w:rPr>
        <w:t xml:space="preserve">en </w:t>
      </w:r>
      <w:r w:rsidRPr="00613734">
        <w:rPr>
          <w:rFonts w:eastAsia="Palatino Linotype" w:cs="Palatino Linotype"/>
        </w:rPr>
        <w:t>que se encuentr</w:t>
      </w:r>
      <w:r w:rsidR="00FA5957" w:rsidRPr="00613734">
        <w:rPr>
          <w:rFonts w:eastAsia="Palatino Linotype" w:cs="Palatino Linotype"/>
        </w:rPr>
        <w:t>e, sin que sea necesario</w:t>
      </w:r>
      <w:r w:rsidRPr="00613734">
        <w:rPr>
          <w:rFonts w:eastAsia="Palatino Linotype" w:cs="Palatino Linotype"/>
        </w:rPr>
        <w:t xml:space="preserve"> </w:t>
      </w:r>
      <w:r w:rsidR="00FA5957" w:rsidRPr="00613734">
        <w:rPr>
          <w:rFonts w:eastAsia="Palatino Linotype" w:cs="Palatino Linotype"/>
        </w:rPr>
        <w:t>procesar</w:t>
      </w:r>
      <w:r w:rsidRPr="00613734">
        <w:rPr>
          <w:rFonts w:eastAsia="Palatino Linotype" w:cs="Palatino Linotype"/>
        </w:rPr>
        <w:t xml:space="preserve"> la misma, ni presentarla conforme al interés del solicitante; </w:t>
      </w:r>
      <w:r w:rsidR="00FA5957" w:rsidRPr="00613734">
        <w:rPr>
          <w:rFonts w:eastAsia="Palatino Linotype" w:cs="Palatino Linotype"/>
        </w:rPr>
        <w:t>tal y como</w:t>
      </w:r>
      <w:r w:rsidRPr="00613734">
        <w:rPr>
          <w:rFonts w:eastAsia="Palatino Linotype" w:cs="Palatino Linotype"/>
        </w:rPr>
        <w:t xml:space="preserve"> lo establece el artículo 12 de la Ley de Transparencia y Acceso a la Información Pública del Estado de México y Municipios</w:t>
      </w:r>
      <w:r w:rsidR="00970EB3" w:rsidRPr="00613734">
        <w:rPr>
          <w:rFonts w:eastAsia="Palatino Linotype" w:cs="Palatino Linotype"/>
        </w:rPr>
        <w:t>.</w:t>
      </w:r>
    </w:p>
    <w:p w14:paraId="73245195" w14:textId="77777777" w:rsidR="00970EB3" w:rsidRPr="00613734" w:rsidRDefault="00970EB3" w:rsidP="00613734">
      <w:pPr>
        <w:rPr>
          <w:rFonts w:eastAsia="Palatino Linotype" w:cs="Palatino Linotype"/>
        </w:rPr>
      </w:pPr>
    </w:p>
    <w:p w14:paraId="7F62D4DF" w14:textId="775730E1" w:rsidR="001A58B3" w:rsidRPr="00613734" w:rsidRDefault="001A58B3" w:rsidP="00613734">
      <w:pPr>
        <w:rPr>
          <w:rFonts w:eastAsia="Palatino Linotype" w:cs="Palatino Linotype"/>
        </w:rPr>
      </w:pPr>
      <w:r w:rsidRPr="00613734">
        <w:rPr>
          <w:rFonts w:eastAsia="Palatino Linotype" w:cs="Palatino Linotype"/>
        </w:rPr>
        <w:t>Es decir, que todo sujeto obligado que genere, recopile, administre, procese, archive, posea o conserven, son responsables de la misma</w:t>
      </w:r>
      <w:r w:rsidR="00970EB3" w:rsidRPr="00613734">
        <w:rPr>
          <w:rFonts w:eastAsia="Palatino Linotype" w:cs="Palatino Linotype"/>
        </w:rPr>
        <w:t>,</w:t>
      </w:r>
      <w:r w:rsidRPr="0061373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13734">
        <w:rPr>
          <w:rFonts w:eastAsia="Palatino Linotype" w:cs="Palatino Linotype"/>
        </w:rPr>
        <w:t>o</w:t>
      </w:r>
      <w:r w:rsidRPr="0061373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13734" w:rsidRDefault="001A58B3" w:rsidP="00613734">
      <w:pPr>
        <w:rPr>
          <w:rFonts w:eastAsia="Palatino Linotype" w:cs="Palatino Linotype"/>
        </w:rPr>
      </w:pPr>
    </w:p>
    <w:p w14:paraId="04E42DFE" w14:textId="573F1198" w:rsidR="001A58B3" w:rsidRPr="00613734" w:rsidRDefault="001A58B3" w:rsidP="00613734">
      <w:pPr>
        <w:rPr>
          <w:rFonts w:eastAsia="Palatino Linotype" w:cs="Palatino Linotype"/>
        </w:rPr>
      </w:pPr>
      <w:r w:rsidRPr="00613734">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13734">
        <w:rPr>
          <w:rFonts w:eastAsia="Palatino Linotype" w:cs="Palatino Linotype"/>
        </w:rPr>
        <w:t>, s</w:t>
      </w:r>
      <w:r w:rsidRPr="00613734">
        <w:rPr>
          <w:rFonts w:eastAsia="Palatino Linotype" w:cs="Palatino Linotype"/>
        </w:rPr>
        <w:t xml:space="preserve">iempre y cuando no se trate de información reservada o </w:t>
      </w:r>
      <w:r w:rsidR="00331F35" w:rsidRPr="00613734">
        <w:rPr>
          <w:rFonts w:eastAsia="Palatino Linotype" w:cs="Palatino Linotype"/>
        </w:rPr>
        <w:t>confidencial.</w:t>
      </w:r>
    </w:p>
    <w:p w14:paraId="40C5219F" w14:textId="77777777" w:rsidR="001A58B3" w:rsidRPr="00613734" w:rsidRDefault="001A58B3" w:rsidP="00613734">
      <w:pPr>
        <w:rPr>
          <w:rFonts w:eastAsia="Palatino Linotype" w:cs="Palatino Linotype"/>
        </w:rPr>
      </w:pPr>
    </w:p>
    <w:p w14:paraId="2E629608" w14:textId="01727E15" w:rsidR="00C049E2" w:rsidRPr="00613734" w:rsidRDefault="006067C7" w:rsidP="00613734">
      <w:pPr>
        <w:rPr>
          <w:rFonts w:eastAsia="Palatino Linotype"/>
        </w:rPr>
      </w:pPr>
      <w:bookmarkStart w:id="29" w:name="_heading=h.2s8eyo1" w:colFirst="0" w:colLast="0"/>
      <w:bookmarkEnd w:id="29"/>
      <w:r w:rsidRPr="00613734">
        <w:rPr>
          <w:rFonts w:eastAsia="Palatino Linotype"/>
        </w:rPr>
        <w:t>Con base en lo anterior</w:t>
      </w:r>
      <w:r w:rsidR="00B22A80" w:rsidRPr="00613734">
        <w:rPr>
          <w:rFonts w:eastAsia="Palatino Linotype"/>
        </w:rPr>
        <w:t>, se considera que</w:t>
      </w:r>
      <w:r w:rsidR="00C049E2" w:rsidRPr="00613734">
        <w:rPr>
          <w:rFonts w:eastAsia="Palatino Linotype"/>
        </w:rPr>
        <w:t xml:space="preserve"> </w:t>
      </w:r>
      <w:r w:rsidR="00B22A80" w:rsidRPr="00613734">
        <w:rPr>
          <w:rFonts w:eastAsia="Palatino Linotype"/>
          <w:b/>
          <w:bCs/>
        </w:rPr>
        <w:t>EL</w:t>
      </w:r>
      <w:r w:rsidR="00C049E2" w:rsidRPr="00613734">
        <w:rPr>
          <w:rFonts w:eastAsia="Palatino Linotype"/>
        </w:rPr>
        <w:t xml:space="preserve"> </w:t>
      </w:r>
      <w:r w:rsidR="00C049E2" w:rsidRPr="00613734">
        <w:rPr>
          <w:rFonts w:eastAsia="Palatino Linotype"/>
          <w:b/>
        </w:rPr>
        <w:t>SUJETO OBLIGADO</w:t>
      </w:r>
      <w:r w:rsidR="00C049E2" w:rsidRPr="00613734">
        <w:rPr>
          <w:rFonts w:eastAsia="Palatino Linotype"/>
        </w:rPr>
        <w:t xml:space="preserve"> </w:t>
      </w:r>
      <w:r w:rsidR="00B22A80" w:rsidRPr="00613734">
        <w:rPr>
          <w:rFonts w:eastAsia="Palatino Linotype"/>
        </w:rPr>
        <w:t xml:space="preserve">se </w:t>
      </w:r>
      <w:r w:rsidR="00717E59" w:rsidRPr="00613734">
        <w:rPr>
          <w:rFonts w:eastAsia="Palatino Linotype"/>
        </w:rPr>
        <w:t>encontraba</w:t>
      </w:r>
      <w:r w:rsidR="00B22A80" w:rsidRPr="00613734">
        <w:rPr>
          <w:rFonts w:eastAsia="Palatino Linotype"/>
        </w:rPr>
        <w:t xml:space="preserve"> compelido a</w:t>
      </w:r>
      <w:r w:rsidR="00C049E2" w:rsidRPr="00613734">
        <w:rPr>
          <w:rFonts w:eastAsia="Palatino Linotype"/>
        </w:rPr>
        <w:t xml:space="preserve"> atender la solicitud de acceso a la información </w:t>
      </w:r>
      <w:r w:rsidR="00B22A80" w:rsidRPr="00613734">
        <w:rPr>
          <w:rFonts w:eastAsia="Palatino Linotype"/>
        </w:rPr>
        <w:t xml:space="preserve">realizada por </w:t>
      </w:r>
      <w:r w:rsidR="00B22A80" w:rsidRPr="00613734">
        <w:rPr>
          <w:rFonts w:eastAsia="Palatino Linotype"/>
          <w:b/>
          <w:bCs/>
        </w:rPr>
        <w:t>LA PARTE RECURRENTE</w:t>
      </w:r>
      <w:r w:rsidR="00331F35" w:rsidRPr="00613734">
        <w:rPr>
          <w:rFonts w:eastAsia="Palatino Linotype"/>
        </w:rPr>
        <w:t>.</w:t>
      </w:r>
    </w:p>
    <w:p w14:paraId="1611F147" w14:textId="77777777" w:rsidR="00BD5A7C" w:rsidRPr="00613734" w:rsidRDefault="00BD5A7C" w:rsidP="00613734">
      <w:pPr>
        <w:rPr>
          <w:rFonts w:eastAsia="Palatino Linotype"/>
        </w:rPr>
      </w:pPr>
    </w:p>
    <w:p w14:paraId="51A0E8B4" w14:textId="676DCA47" w:rsidR="00664420" w:rsidRPr="00613734" w:rsidRDefault="00C71CEF" w:rsidP="00613734">
      <w:pPr>
        <w:pStyle w:val="Ttulo3"/>
        <w:rPr>
          <w:rFonts w:eastAsia="Calibri"/>
          <w:lang w:eastAsia="es-ES_tradnl"/>
        </w:rPr>
      </w:pPr>
      <w:bookmarkStart w:id="30" w:name="_Toc191489335"/>
      <w:r w:rsidRPr="00613734">
        <w:rPr>
          <w:rFonts w:eastAsia="Calibri"/>
          <w:lang w:eastAsia="es-ES_tradnl"/>
        </w:rPr>
        <w:t>b)</w:t>
      </w:r>
      <w:r w:rsidR="00A53315" w:rsidRPr="00613734">
        <w:rPr>
          <w:rFonts w:eastAsia="Calibri"/>
          <w:lang w:eastAsia="es-ES_tradnl"/>
        </w:rPr>
        <w:t xml:space="preserve"> </w:t>
      </w:r>
      <w:r w:rsidR="00A21A20" w:rsidRPr="00613734">
        <w:rPr>
          <w:rFonts w:eastAsia="Calibri"/>
          <w:lang w:eastAsia="es-ES_tradnl"/>
        </w:rPr>
        <w:t>Controversia a resolver</w:t>
      </w:r>
      <w:bookmarkEnd w:id="30"/>
    </w:p>
    <w:p w14:paraId="7D9D559B" w14:textId="3FE90146" w:rsidR="00664420" w:rsidRPr="00613734" w:rsidRDefault="00664420" w:rsidP="00613734">
      <w:pPr>
        <w:rPr>
          <w:rFonts w:eastAsia="Calibri" w:cs="Tahoma"/>
          <w:iCs/>
          <w:szCs w:val="22"/>
          <w:lang w:eastAsia="es-ES_tradnl"/>
        </w:rPr>
      </w:pPr>
      <w:r w:rsidRPr="0061373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13734">
        <w:rPr>
          <w:rFonts w:eastAsia="Calibri"/>
          <w:b/>
          <w:bCs/>
          <w:lang w:eastAsia="es-ES_tradnl"/>
        </w:rPr>
        <w:t>LA PARTE RECURRENTE</w:t>
      </w:r>
      <w:r w:rsidRPr="00613734">
        <w:rPr>
          <w:rFonts w:eastAsia="Calibri"/>
          <w:lang w:eastAsia="es-ES_tradnl"/>
        </w:rPr>
        <w:t xml:space="preserve"> solicitó</w:t>
      </w:r>
      <w:r w:rsidR="00384275" w:rsidRPr="00613734">
        <w:rPr>
          <w:rFonts w:eastAsia="Calibri"/>
          <w:lang w:eastAsia="es-ES_tradnl"/>
        </w:rPr>
        <w:t xml:space="preserve"> los oficios firmados por el servidor público precisado en la solicitud del 1 al 15 de enero de 2025.</w:t>
      </w:r>
    </w:p>
    <w:p w14:paraId="76DAAD2F" w14:textId="77777777" w:rsidR="00140633" w:rsidRPr="00613734" w:rsidRDefault="00140633" w:rsidP="00613734">
      <w:pPr>
        <w:tabs>
          <w:tab w:val="left" w:pos="4962"/>
        </w:tabs>
        <w:contextualSpacing/>
        <w:rPr>
          <w:rFonts w:eastAsiaTheme="minorHAnsi" w:cs="Tahoma"/>
          <w:bCs/>
          <w:iCs/>
          <w:szCs w:val="22"/>
          <w:lang w:eastAsia="en-US"/>
        </w:rPr>
      </w:pPr>
    </w:p>
    <w:p w14:paraId="6622FF7D" w14:textId="7244D0CE" w:rsidR="00AA2898" w:rsidRPr="00613734" w:rsidRDefault="00664420" w:rsidP="00613734">
      <w:pPr>
        <w:tabs>
          <w:tab w:val="left" w:pos="4962"/>
        </w:tabs>
        <w:contextualSpacing/>
        <w:rPr>
          <w:rFonts w:eastAsiaTheme="minorHAnsi" w:cs="Tahoma"/>
          <w:bCs/>
          <w:iCs/>
          <w:szCs w:val="22"/>
          <w:lang w:eastAsia="en-US"/>
        </w:rPr>
      </w:pPr>
      <w:r w:rsidRPr="00613734">
        <w:rPr>
          <w:rFonts w:eastAsiaTheme="minorHAnsi" w:cs="Tahoma"/>
          <w:bCs/>
          <w:iCs/>
          <w:szCs w:val="22"/>
          <w:lang w:eastAsia="en-US"/>
        </w:rPr>
        <w:t xml:space="preserve">En respuesta, </w:t>
      </w:r>
      <w:r w:rsidR="005D5A50" w:rsidRPr="00613734">
        <w:rPr>
          <w:rFonts w:eastAsiaTheme="minorHAnsi" w:cs="Tahoma"/>
          <w:b/>
          <w:iCs/>
          <w:szCs w:val="22"/>
          <w:lang w:eastAsia="en-US"/>
        </w:rPr>
        <w:t>EL SUJETO OBLIGADO</w:t>
      </w:r>
      <w:r w:rsidR="00140633" w:rsidRPr="00613734">
        <w:rPr>
          <w:rFonts w:eastAsiaTheme="minorHAnsi" w:cs="Tahoma"/>
          <w:bCs/>
          <w:iCs/>
          <w:szCs w:val="22"/>
          <w:lang w:eastAsia="en-US"/>
        </w:rPr>
        <w:t xml:space="preserve"> </w:t>
      </w:r>
      <w:r w:rsidR="00AC093D" w:rsidRPr="00613734">
        <w:rPr>
          <w:rFonts w:eastAsiaTheme="minorHAnsi" w:cs="Tahoma"/>
          <w:bCs/>
          <w:iCs/>
          <w:szCs w:val="22"/>
          <w:lang w:eastAsia="en-US"/>
        </w:rPr>
        <w:t>proporcionó los oficios solicitados tanto en forma íntegra como en lo que consideró en versión pública, acompañando el Acuerdo del Comité de Transparencia respectivo.</w:t>
      </w:r>
    </w:p>
    <w:p w14:paraId="4BEBD880" w14:textId="77777777" w:rsidR="00664420" w:rsidRPr="00613734" w:rsidRDefault="00664420" w:rsidP="00613734">
      <w:pPr>
        <w:tabs>
          <w:tab w:val="left" w:pos="4962"/>
        </w:tabs>
        <w:contextualSpacing/>
        <w:rPr>
          <w:rFonts w:eastAsiaTheme="minorHAnsi" w:cs="Tahoma"/>
          <w:bCs/>
          <w:iCs/>
          <w:szCs w:val="22"/>
          <w:lang w:eastAsia="en-US"/>
        </w:rPr>
      </w:pPr>
    </w:p>
    <w:p w14:paraId="31DD81D7" w14:textId="630E33FA" w:rsidR="00664420" w:rsidRPr="00613734" w:rsidRDefault="00CF7586" w:rsidP="00613734">
      <w:pPr>
        <w:tabs>
          <w:tab w:val="left" w:pos="4962"/>
        </w:tabs>
        <w:contextualSpacing/>
        <w:rPr>
          <w:rFonts w:eastAsiaTheme="minorHAnsi" w:cs="Tahoma"/>
          <w:bCs/>
          <w:iCs/>
          <w:szCs w:val="22"/>
          <w:lang w:eastAsia="en-US"/>
        </w:rPr>
      </w:pPr>
      <w:r w:rsidRPr="00613734">
        <w:rPr>
          <w:rFonts w:eastAsiaTheme="minorHAnsi" w:cs="Tahoma"/>
          <w:bCs/>
          <w:iCs/>
          <w:szCs w:val="22"/>
          <w:lang w:eastAsia="en-US"/>
        </w:rPr>
        <w:t xml:space="preserve">Ahora bien, en la interposición del presente recurso </w:t>
      </w:r>
      <w:r w:rsidRPr="00613734">
        <w:rPr>
          <w:rFonts w:eastAsiaTheme="minorHAnsi" w:cs="Tahoma"/>
          <w:b/>
          <w:iCs/>
          <w:szCs w:val="22"/>
          <w:lang w:eastAsia="en-US"/>
        </w:rPr>
        <w:t>LA PARTE RECURRENTE</w:t>
      </w:r>
      <w:r w:rsidR="00664420" w:rsidRPr="00613734">
        <w:rPr>
          <w:rFonts w:eastAsiaTheme="minorHAnsi" w:cs="Tahoma"/>
          <w:bCs/>
          <w:iCs/>
          <w:szCs w:val="22"/>
          <w:lang w:eastAsia="en-US"/>
        </w:rPr>
        <w:t xml:space="preserve"> se inconformó </w:t>
      </w:r>
      <w:r w:rsidR="00AC093D" w:rsidRPr="00613734">
        <w:rPr>
          <w:rFonts w:eastAsiaTheme="minorHAnsi" w:cs="Tahoma"/>
          <w:bCs/>
          <w:iCs/>
          <w:szCs w:val="22"/>
          <w:lang w:eastAsia="en-US"/>
        </w:rPr>
        <w:t>porque se dejaron datos personales expuestos.</w:t>
      </w:r>
    </w:p>
    <w:p w14:paraId="73F59A6C" w14:textId="77777777" w:rsidR="00AA2898" w:rsidRPr="00613734" w:rsidRDefault="00AA2898" w:rsidP="00613734">
      <w:pPr>
        <w:tabs>
          <w:tab w:val="left" w:pos="4962"/>
        </w:tabs>
        <w:contextualSpacing/>
        <w:rPr>
          <w:rFonts w:eastAsiaTheme="minorHAnsi" w:cs="Tahoma"/>
          <w:bCs/>
          <w:iCs/>
          <w:szCs w:val="22"/>
          <w:lang w:eastAsia="en-US"/>
        </w:rPr>
      </w:pPr>
    </w:p>
    <w:p w14:paraId="414FD2D5" w14:textId="28A110C7" w:rsidR="00664420" w:rsidRPr="00613734" w:rsidRDefault="00A21A20" w:rsidP="00613734">
      <w:pPr>
        <w:pStyle w:val="Ttulo3"/>
      </w:pPr>
      <w:bookmarkStart w:id="31" w:name="_Toc191489336"/>
      <w:r w:rsidRPr="00613734">
        <w:lastRenderedPageBreak/>
        <w:t>c)</w:t>
      </w:r>
      <w:r w:rsidR="00664420" w:rsidRPr="00613734">
        <w:t xml:space="preserve"> </w:t>
      </w:r>
      <w:r w:rsidR="00AC093D" w:rsidRPr="00613734">
        <w:t>Sobreseimiento</w:t>
      </w:r>
      <w:bookmarkEnd w:id="31"/>
    </w:p>
    <w:p w14:paraId="56EC90EB" w14:textId="77777777" w:rsidR="00963029" w:rsidRPr="00613734" w:rsidRDefault="00963029" w:rsidP="00613734">
      <w:pPr>
        <w:rPr>
          <w:lang w:val="es-ES_tradnl"/>
        </w:rPr>
      </w:pPr>
      <w:r w:rsidRPr="00613734">
        <w:rPr>
          <w:lang w:val="es-ES"/>
        </w:rPr>
        <w:t xml:space="preserve">Derivado de lo anterior, es necesario precisar que conforme a lo establecido en los artículos </w:t>
      </w:r>
      <w:r w:rsidRPr="00613734">
        <w:t xml:space="preserve">176 y 179 de la Ley de Transparencia local, el </w:t>
      </w:r>
      <w:r w:rsidRPr="00613734">
        <w:rPr>
          <w:lang w:val="es-ES"/>
        </w:rPr>
        <w:t>Recurso de Revisión</w:t>
      </w:r>
      <w:r w:rsidRPr="00613734">
        <w:t xml:space="preserve"> es la garantía secundaria que la Ley otorga a los particulares para reparar cualquier posible afectación a su derecho de Acceso a la Información Pública; siendo éste el medio a través del cual, este Órgano Garante después de realizar el</w:t>
      </w:r>
      <w:r w:rsidRPr="00613734">
        <w:rPr>
          <w:lang w:val="es-ES_tradnl"/>
        </w:rPr>
        <w:t xml:space="preserve"> análisis al procedimiento de Acceso a la Información, podrá determinar la posible afectación y de ser el caso ordenar la reparación a la violación del derecho en cuestión.</w:t>
      </w:r>
    </w:p>
    <w:p w14:paraId="4C806362" w14:textId="77777777" w:rsidR="00963029" w:rsidRPr="00613734" w:rsidRDefault="00963029" w:rsidP="00613734">
      <w:pPr>
        <w:rPr>
          <w:lang w:val="es-ES_tradnl"/>
        </w:rPr>
      </w:pPr>
    </w:p>
    <w:p w14:paraId="74718289" w14:textId="77777777" w:rsidR="00963029" w:rsidRPr="00613734" w:rsidRDefault="00963029" w:rsidP="00613734">
      <w:pPr>
        <w:rPr>
          <w:bCs/>
        </w:rPr>
      </w:pPr>
      <w:r w:rsidRPr="00613734">
        <w:rPr>
          <w:bCs/>
        </w:rPr>
        <w:t>Es así que, la legislación adjetiva establece medios de impugnación o recursos a través de los cuales los particulares o las personas que se consideren afectados en la emisión de un acto de autoridad, cuentan con la posibilidad de impugnar aquél, con el objeto de que la misma autoridad que emitió el acto, o bien, un órgano superior, realice un nuevo análisis del asunto a efecto de determinar la legalidad o ilegalidad del acto que se combate.</w:t>
      </w:r>
    </w:p>
    <w:p w14:paraId="41A9BD1A" w14:textId="77777777" w:rsidR="00963029" w:rsidRPr="00613734" w:rsidRDefault="00963029" w:rsidP="00613734">
      <w:pPr>
        <w:rPr>
          <w:lang w:val="es-ES_tradnl"/>
        </w:rPr>
      </w:pPr>
    </w:p>
    <w:p w14:paraId="27C867B0" w14:textId="77777777" w:rsidR="00963029" w:rsidRPr="00613734" w:rsidRDefault="00963029" w:rsidP="00613734">
      <w:pPr>
        <w:rPr>
          <w:bCs/>
        </w:rPr>
      </w:pPr>
      <w:r w:rsidRPr="00613734">
        <w:rPr>
          <w:bCs/>
        </w:rPr>
        <w:t>También, es necesario precisar que los medios de impugnación constituyen recursos legales a través de los cuales se corrigen los errores cometidos tanto en el curso del procedimiento, como en el dictado de la resolución.</w:t>
      </w:r>
    </w:p>
    <w:p w14:paraId="4E3E8B3A" w14:textId="77777777" w:rsidR="00963029" w:rsidRPr="00613734" w:rsidRDefault="00963029" w:rsidP="00613734">
      <w:pPr>
        <w:rPr>
          <w:bCs/>
        </w:rPr>
      </w:pPr>
    </w:p>
    <w:p w14:paraId="50700410" w14:textId="77777777" w:rsidR="00963029" w:rsidRPr="00613734" w:rsidRDefault="00963029" w:rsidP="00613734">
      <w:r w:rsidRPr="00613734">
        <w:t xml:space="preserve">De ahí que, podemos afirmar que la finalidad de los recursos o medios de impugnación es revocar, confirmar o modificar el acto que se impugna; por ende, para lograrlo es indispensable que </w:t>
      </w:r>
      <w:bookmarkStart w:id="32" w:name="_Hlk164809406"/>
      <w:r w:rsidRPr="00613734">
        <w:rPr>
          <w:b/>
        </w:rPr>
        <w:t xml:space="preserve">LA PARTE </w:t>
      </w:r>
      <w:bookmarkEnd w:id="32"/>
      <w:r w:rsidRPr="00613734">
        <w:rPr>
          <w:b/>
        </w:rPr>
        <w:t>RECURRENTE</w:t>
      </w:r>
      <w:r w:rsidRPr="00613734">
        <w:t xml:space="preserve">, señale la causa, motivo o circunstancia por la que considera que el acto que impugna le causa perjuicio o lesión a sus intereses; de tal forma que, los motivos de inconformidad o agravios expresados en un Recurso de Revisión deben tener por objeto combatir los argumentos sustentados en la respuesta impugnada, lo que </w:t>
      </w:r>
      <w:r w:rsidRPr="00613734">
        <w:lastRenderedPageBreak/>
        <w:t>implica que el límite de un recurso es el estudio efectuado a los motivos de inconformidad que deben necesariamente tener relación directa con la materia del acto combatido.</w:t>
      </w:r>
    </w:p>
    <w:p w14:paraId="01C9F055" w14:textId="77777777" w:rsidR="00963029" w:rsidRPr="00613734" w:rsidRDefault="00963029" w:rsidP="00613734">
      <w:pPr>
        <w:ind w:right="-93"/>
        <w:rPr>
          <w:rFonts w:eastAsiaTheme="majorEastAsia" w:cstheme="majorBidi"/>
          <w:kern w:val="28"/>
          <w:szCs w:val="56"/>
        </w:rPr>
      </w:pPr>
    </w:p>
    <w:p w14:paraId="118E5145" w14:textId="7F59CBF7" w:rsidR="00963029" w:rsidRPr="00613734" w:rsidRDefault="00963029" w:rsidP="00613734">
      <w:pPr>
        <w:rPr>
          <w:rFonts w:cs="Tahoma"/>
          <w:bCs/>
          <w:iCs/>
        </w:rPr>
      </w:pPr>
      <w:r w:rsidRPr="00613734">
        <w:t xml:space="preserve">De manera que, del análisis realizado a las manifestaciones vertidas por </w:t>
      </w:r>
      <w:r w:rsidRPr="00613734">
        <w:rPr>
          <w:b/>
          <w:bCs/>
        </w:rPr>
        <w:t>LA PARTE RECURRENTE</w:t>
      </w:r>
      <w:r w:rsidRPr="00613734">
        <w:t xml:space="preserve"> como acto impugnado; así como razones o motivos de inconformidad, este Órgano Garante advierte que, </w:t>
      </w:r>
      <w:r w:rsidRPr="00613734">
        <w:rPr>
          <w:b/>
          <w:bCs/>
        </w:rPr>
        <w:t>impugna</w:t>
      </w:r>
      <w:r w:rsidR="001C2B22" w:rsidRPr="00613734">
        <w:rPr>
          <w:b/>
          <w:bCs/>
        </w:rPr>
        <w:t xml:space="preserve"> </w:t>
      </w:r>
      <w:r w:rsidRPr="00613734">
        <w:rPr>
          <w:rFonts w:cs="Tahoma"/>
          <w:bCs/>
          <w:iCs/>
        </w:rPr>
        <w:t>la entrega de forma íntegra de oficios de los que se advierten datos personales de personas servidoras públicas, como el número telefónico particular y el correo electrónico; así como datos personales relacionados con las placas vehiculares, marca y modelo de vehículos de personas particulares</w:t>
      </w:r>
      <w:r w:rsidR="001C2B22" w:rsidRPr="00613734">
        <w:rPr>
          <w:rFonts w:cs="Tahoma"/>
          <w:bCs/>
          <w:iCs/>
        </w:rPr>
        <w:t xml:space="preserve"> y solicita </w:t>
      </w:r>
      <w:r w:rsidR="001C2B22" w:rsidRPr="00613734">
        <w:rPr>
          <w:rFonts w:cs="Tahoma"/>
          <w:b/>
          <w:bCs/>
          <w:iCs/>
        </w:rPr>
        <w:t xml:space="preserve">se le dé vista al órgano interno de control, </w:t>
      </w:r>
      <w:r w:rsidR="001C2B22" w:rsidRPr="00613734">
        <w:rPr>
          <w:rFonts w:cs="Tahoma"/>
          <w:iCs/>
        </w:rPr>
        <w:t>respecto</w:t>
      </w:r>
      <w:r w:rsidR="001C2B22" w:rsidRPr="00613734">
        <w:rPr>
          <w:rFonts w:cs="Tahoma"/>
          <w:b/>
          <w:bCs/>
          <w:iCs/>
        </w:rPr>
        <w:t xml:space="preserve"> </w:t>
      </w:r>
      <w:r w:rsidR="001C2B22" w:rsidRPr="00613734">
        <w:rPr>
          <w:rFonts w:cs="Tahoma"/>
          <w:bCs/>
          <w:iCs/>
        </w:rPr>
        <w:t>de las personas integrantes del comité de transparencia es decir, de la "presidenta", el "secretario técnico", el "vocal" y la "oficial de protección de datos personales".</w:t>
      </w:r>
    </w:p>
    <w:p w14:paraId="27D3A9A3" w14:textId="77777777" w:rsidR="001C2B22" w:rsidRPr="00613734" w:rsidRDefault="001C2B22" w:rsidP="00613734">
      <w:pPr>
        <w:rPr>
          <w:rFonts w:cs="Tahoma"/>
          <w:bCs/>
          <w:iCs/>
        </w:rPr>
      </w:pPr>
    </w:p>
    <w:p w14:paraId="767E8636" w14:textId="77777777" w:rsidR="001C2B22" w:rsidRPr="00613734" w:rsidRDefault="001C2B22" w:rsidP="00613734">
      <w:pPr>
        <w:rPr>
          <w:rFonts w:cs="Tahoma"/>
          <w:bCs/>
          <w:szCs w:val="22"/>
        </w:rPr>
      </w:pPr>
      <w:r w:rsidRPr="00613734">
        <w:rPr>
          <w:rFonts w:eastAsia="Calibri"/>
          <w:lang w:eastAsia="en-US"/>
        </w:rPr>
        <w:t xml:space="preserve">Ante ello, es importante precisar que este Instituto de Transparencia como Órgano Garante </w:t>
      </w:r>
      <w:r w:rsidRPr="00613734">
        <w:rPr>
          <w:rFonts w:eastAsia="Calibri"/>
          <w:lang w:eastAsia="es-MX"/>
        </w:rPr>
        <w:t xml:space="preserve">de la difusión, protección y respeto al derecho de acceso a la información pública y a la protección de datos personales, conforme a su naturaleza jurídica y en términos del artículo 179 de la </w:t>
      </w:r>
      <w:r w:rsidRPr="00613734">
        <w:rPr>
          <w:rFonts w:eastAsia="Calibri"/>
          <w:b/>
          <w:lang w:eastAsia="es-MX"/>
        </w:rPr>
        <w:t>Ley de Transparencia y Acceso a la Información Pública del Estado de México</w:t>
      </w:r>
      <w:r w:rsidRPr="00613734">
        <w:rPr>
          <w:rFonts w:eastAsia="Calibri"/>
          <w:lang w:eastAsia="es-MX"/>
        </w:rPr>
        <w:t>,</w:t>
      </w:r>
      <w:r w:rsidRPr="00613734">
        <w:rPr>
          <w:rFonts w:eastAsia="Calibri"/>
          <w:lang w:eastAsia="en-US"/>
        </w:rPr>
        <w:t xml:space="preserve"> es competente para resolver los recursos de revisión, cuando se actualice cualquiera de las siguientes causas:</w:t>
      </w:r>
    </w:p>
    <w:p w14:paraId="03566433" w14:textId="77777777" w:rsidR="001C2B22" w:rsidRPr="00613734" w:rsidRDefault="001C2B22" w:rsidP="00613734">
      <w:pPr>
        <w:spacing w:line="240" w:lineRule="auto"/>
        <w:ind w:left="567" w:right="567"/>
        <w:rPr>
          <w:rFonts w:eastAsia="Calibri" w:cs="Arial"/>
          <w:i/>
          <w:iCs/>
          <w:szCs w:val="22"/>
          <w:lang w:eastAsia="en-US"/>
        </w:rPr>
      </w:pPr>
    </w:p>
    <w:p w14:paraId="6EEFB722" w14:textId="5D7C4455"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I. La negativa a la información solicitada;</w:t>
      </w:r>
    </w:p>
    <w:p w14:paraId="7D517461"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II. La clasificación de la información;</w:t>
      </w:r>
    </w:p>
    <w:p w14:paraId="38EAB622"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III. La declaración de inexistencia de la información;</w:t>
      </w:r>
    </w:p>
    <w:p w14:paraId="1F5A0ACC"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IV. La declaración de incompetencia por el sujeto obligado;</w:t>
      </w:r>
    </w:p>
    <w:p w14:paraId="5C5D02C8"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V. La entrega de información incompleta;</w:t>
      </w:r>
    </w:p>
    <w:p w14:paraId="7740A837"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VI. La entrega de información que no corresponda con lo solicitado;</w:t>
      </w:r>
    </w:p>
    <w:p w14:paraId="068245F6"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VII. La falta de respuesta a una solicitud de acceso a la información;</w:t>
      </w:r>
    </w:p>
    <w:p w14:paraId="4EC2AB22"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VIII. La notificación, entrega o puesta a disposición de información en una modalidad o formato distinto al solicitado;</w:t>
      </w:r>
    </w:p>
    <w:p w14:paraId="1D2C1D1B"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IX. La entrega o puesta a disposición de información en un formato incomprensible y/o no accesible para el solicitante;</w:t>
      </w:r>
    </w:p>
    <w:p w14:paraId="406561E9"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lastRenderedPageBreak/>
        <w:t>X. Los costos o tiempos de entrega de la información;</w:t>
      </w:r>
    </w:p>
    <w:p w14:paraId="0C69FDF7"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XI. La falta de trámite a una solicitud;</w:t>
      </w:r>
    </w:p>
    <w:p w14:paraId="5940A9CC"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XII. La negativa a permitir la consulta directa de la información;</w:t>
      </w:r>
    </w:p>
    <w:p w14:paraId="20BED260"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XIII. La falta, deficiencia o insuficiencia de la fundamentación y/o motivación en la respuesta; y</w:t>
      </w:r>
    </w:p>
    <w:p w14:paraId="5399697E" w14:textId="77777777" w:rsidR="001C2B22" w:rsidRPr="00613734" w:rsidRDefault="001C2B22" w:rsidP="00613734">
      <w:pPr>
        <w:spacing w:line="240" w:lineRule="auto"/>
        <w:ind w:left="567" w:right="567"/>
        <w:rPr>
          <w:rFonts w:eastAsia="Calibri" w:cs="Arial"/>
          <w:i/>
          <w:iCs/>
          <w:szCs w:val="22"/>
          <w:lang w:eastAsia="en-US"/>
        </w:rPr>
      </w:pPr>
      <w:r w:rsidRPr="00613734">
        <w:rPr>
          <w:rFonts w:eastAsia="Calibri" w:cs="Arial"/>
          <w:i/>
          <w:iCs/>
          <w:szCs w:val="22"/>
          <w:lang w:eastAsia="en-US"/>
        </w:rPr>
        <w:t>XIV. La orientación a un trámite específico.</w:t>
      </w:r>
    </w:p>
    <w:p w14:paraId="3F70DE97" w14:textId="77777777" w:rsidR="001C2B22" w:rsidRPr="00613734" w:rsidRDefault="001C2B22" w:rsidP="00613734"/>
    <w:p w14:paraId="68181C32" w14:textId="5B6E119A" w:rsidR="001C2B22" w:rsidRPr="00613734" w:rsidRDefault="001C2B22" w:rsidP="00613734">
      <w:r w:rsidRPr="00613734">
        <w:t xml:space="preserve">De acuerdo con las hipótesis de procedencia, los motivos de inconformidad hechos valer por </w:t>
      </w:r>
      <w:r w:rsidRPr="00613734">
        <w:rPr>
          <w:b/>
        </w:rPr>
        <w:t>LA PARTE RECURRENTE</w:t>
      </w:r>
      <w:r w:rsidRPr="00613734">
        <w:t xml:space="preserve"> resultan inatendibles</w:t>
      </w:r>
      <w:r w:rsidRPr="00613734">
        <w:rPr>
          <w:rStyle w:val="Refdenotaalpie"/>
        </w:rPr>
        <w:footnoteReference w:id="1"/>
      </w:r>
      <w:r w:rsidRPr="00613734">
        <w:t>, pues no actualizan causal de procedencia alguna de las establecidas en el artículo 179 referido.</w:t>
      </w:r>
    </w:p>
    <w:p w14:paraId="7639E52B" w14:textId="77777777" w:rsidR="00263330" w:rsidRPr="00613734" w:rsidRDefault="00263330" w:rsidP="00613734"/>
    <w:p w14:paraId="2F04AC1D" w14:textId="77777777" w:rsidR="00263330" w:rsidRPr="00613734" w:rsidRDefault="00263330" w:rsidP="00613734">
      <w:r w:rsidRPr="00613734">
        <w:rPr>
          <w:lang w:eastAsia="es-MX"/>
        </w:rPr>
        <w:t xml:space="preserve">Es importante traer a contexto lo dispuesto en los artículos </w:t>
      </w:r>
      <w:r w:rsidRPr="00613734">
        <w:t>186, 191 y 192 de la Ley de Transparencia local, los cuales disponen lo siguiente:</w:t>
      </w:r>
    </w:p>
    <w:p w14:paraId="614B968C" w14:textId="77777777" w:rsidR="00263330" w:rsidRPr="00613734" w:rsidRDefault="00263330" w:rsidP="00613734">
      <w:pPr>
        <w:spacing w:line="240" w:lineRule="auto"/>
        <w:rPr>
          <w:rFonts w:cs="Arial"/>
          <w:sz w:val="24"/>
          <w:szCs w:val="24"/>
          <w:lang w:eastAsia="es-MX"/>
        </w:rPr>
      </w:pPr>
    </w:p>
    <w:p w14:paraId="2BDB53AD" w14:textId="77777777" w:rsidR="00263330" w:rsidRPr="00613734" w:rsidRDefault="00263330" w:rsidP="00613734">
      <w:pPr>
        <w:pStyle w:val="Puesto"/>
      </w:pPr>
      <w:r w:rsidRPr="00613734">
        <w:rPr>
          <w:rFonts w:cs="Bookman Old Style,Bold"/>
          <w:b/>
          <w:bCs/>
        </w:rPr>
        <w:t xml:space="preserve">“Artículo 186. </w:t>
      </w:r>
      <w:r w:rsidRPr="00613734">
        <w:t>Las resoluciones del Instituto podrán:</w:t>
      </w:r>
    </w:p>
    <w:p w14:paraId="1825CD05" w14:textId="77777777" w:rsidR="00263330" w:rsidRPr="00613734" w:rsidRDefault="00263330" w:rsidP="00613734">
      <w:pPr>
        <w:pStyle w:val="Puesto"/>
      </w:pPr>
      <w:r w:rsidRPr="00613734">
        <w:rPr>
          <w:rFonts w:cs="Bookman Old Style,Bold"/>
          <w:b/>
          <w:bCs/>
        </w:rPr>
        <w:t xml:space="preserve">I. </w:t>
      </w:r>
      <w:r w:rsidRPr="00613734">
        <w:t>Desechar o sobreseer el recurso;</w:t>
      </w:r>
    </w:p>
    <w:p w14:paraId="7D3702FE" w14:textId="77777777" w:rsidR="00263330" w:rsidRPr="00613734" w:rsidRDefault="00263330" w:rsidP="00613734">
      <w:pPr>
        <w:pStyle w:val="Puesto"/>
      </w:pPr>
      <w:r w:rsidRPr="00613734">
        <w:rPr>
          <w:rFonts w:cs="Bookman Old Style,Bold"/>
          <w:b/>
          <w:bCs/>
        </w:rPr>
        <w:t xml:space="preserve">II. </w:t>
      </w:r>
      <w:r w:rsidRPr="00613734">
        <w:t>Confirmar la respuesta del sujeto obligado;</w:t>
      </w:r>
    </w:p>
    <w:p w14:paraId="427AC3BB" w14:textId="77777777" w:rsidR="00263330" w:rsidRPr="00613734" w:rsidRDefault="00263330" w:rsidP="00613734">
      <w:pPr>
        <w:pStyle w:val="Puesto"/>
      </w:pPr>
      <w:r w:rsidRPr="00613734">
        <w:rPr>
          <w:rFonts w:cs="Bookman Old Style,Bold"/>
          <w:b/>
          <w:bCs/>
        </w:rPr>
        <w:t xml:space="preserve">III. </w:t>
      </w:r>
      <w:r w:rsidRPr="00613734">
        <w:t>Revocar o modificar la respuesta del sujeto obligado; y</w:t>
      </w:r>
    </w:p>
    <w:p w14:paraId="7AB3C7B4" w14:textId="77777777" w:rsidR="00263330" w:rsidRPr="00613734" w:rsidRDefault="00263330" w:rsidP="00613734">
      <w:pPr>
        <w:pStyle w:val="Puesto"/>
      </w:pPr>
      <w:r w:rsidRPr="00613734">
        <w:rPr>
          <w:rFonts w:cs="Bookman Old Style,Bold"/>
          <w:b/>
          <w:bCs/>
        </w:rPr>
        <w:t xml:space="preserve">IV. </w:t>
      </w:r>
      <w:r w:rsidRPr="00613734">
        <w:t>Ordenar la entrega de la información</w:t>
      </w:r>
    </w:p>
    <w:p w14:paraId="5E013E5F" w14:textId="77777777" w:rsidR="00263330" w:rsidRPr="00613734" w:rsidRDefault="00263330" w:rsidP="00613734">
      <w:pPr>
        <w:pStyle w:val="Puesto"/>
      </w:pPr>
      <w:r w:rsidRPr="00613734">
        <w:rPr>
          <w:rFonts w:cs="Bookman Old Style,Bold"/>
          <w:b/>
          <w:bCs/>
        </w:rPr>
        <w:t>…</w:t>
      </w:r>
    </w:p>
    <w:p w14:paraId="70C2B79F" w14:textId="77777777" w:rsidR="00263330" w:rsidRPr="00613734" w:rsidRDefault="00263330" w:rsidP="00613734">
      <w:pPr>
        <w:pStyle w:val="Puesto"/>
        <w:rPr>
          <w:rFonts w:cs="Bookman Old Style,Bold"/>
          <w:b/>
          <w:bCs/>
        </w:rPr>
      </w:pPr>
    </w:p>
    <w:p w14:paraId="790B4B4A" w14:textId="77777777" w:rsidR="00263330" w:rsidRPr="00613734" w:rsidRDefault="00263330" w:rsidP="00613734">
      <w:pPr>
        <w:pStyle w:val="Puesto"/>
      </w:pPr>
      <w:r w:rsidRPr="00613734">
        <w:rPr>
          <w:rFonts w:cs="Bookman Old Style,Bold"/>
          <w:b/>
          <w:bCs/>
        </w:rPr>
        <w:t xml:space="preserve">Artículo 191. </w:t>
      </w:r>
      <w:r w:rsidRPr="00613734">
        <w:t>El recurso será desechado por improcedente cuando:</w:t>
      </w:r>
    </w:p>
    <w:p w14:paraId="415451E4" w14:textId="77777777" w:rsidR="00263330" w:rsidRPr="00613734" w:rsidRDefault="00263330" w:rsidP="00613734">
      <w:pPr>
        <w:pStyle w:val="Puesto"/>
      </w:pPr>
      <w:r w:rsidRPr="00613734">
        <w:rPr>
          <w:rFonts w:cs="Bookman Old Style,Bold"/>
          <w:b/>
          <w:bCs/>
        </w:rPr>
        <w:t xml:space="preserve">I. </w:t>
      </w:r>
      <w:r w:rsidRPr="00613734">
        <w:t>Sea extemporáneo por haber transcurrido el plazo establecido en la presente Ley, a partir de la respuesta;</w:t>
      </w:r>
    </w:p>
    <w:p w14:paraId="5AD662FB" w14:textId="77777777" w:rsidR="00263330" w:rsidRPr="00613734" w:rsidRDefault="00263330" w:rsidP="00613734">
      <w:pPr>
        <w:pStyle w:val="Puesto"/>
      </w:pPr>
      <w:r w:rsidRPr="00613734">
        <w:rPr>
          <w:rFonts w:cs="Bookman Old Style,Bold"/>
          <w:b/>
          <w:bCs/>
        </w:rPr>
        <w:t xml:space="preserve">II. </w:t>
      </w:r>
      <w:r w:rsidRPr="00613734">
        <w:t>Se esté tramitando ante el Poder Judicial de la Federación algún recurso o medio de defensa interpuesto por el recurrente;</w:t>
      </w:r>
    </w:p>
    <w:p w14:paraId="6DA01823" w14:textId="77777777" w:rsidR="00263330" w:rsidRPr="00613734" w:rsidRDefault="00263330" w:rsidP="00613734">
      <w:pPr>
        <w:pStyle w:val="Puesto"/>
      </w:pPr>
      <w:r w:rsidRPr="00613734">
        <w:rPr>
          <w:rFonts w:cs="Bookman Old Style,Bold"/>
          <w:b/>
          <w:bCs/>
        </w:rPr>
        <w:t xml:space="preserve">III. </w:t>
      </w:r>
      <w:r w:rsidRPr="00613734">
        <w:rPr>
          <w:b/>
        </w:rPr>
        <w:t>No actualice alguno de los supuestos previstos en la presente Ley;</w:t>
      </w:r>
    </w:p>
    <w:p w14:paraId="31CAF891" w14:textId="77777777" w:rsidR="00263330" w:rsidRPr="00613734" w:rsidRDefault="00263330" w:rsidP="00613734">
      <w:pPr>
        <w:pStyle w:val="Puesto"/>
      </w:pPr>
      <w:r w:rsidRPr="00613734">
        <w:rPr>
          <w:rFonts w:cs="Bookman Old Style,Bold"/>
          <w:b/>
          <w:bCs/>
        </w:rPr>
        <w:t xml:space="preserve">IV. </w:t>
      </w:r>
      <w:r w:rsidRPr="00613734">
        <w:t>No se haya desahogado la prevención en los términos establecidos en la presente Ley;</w:t>
      </w:r>
    </w:p>
    <w:p w14:paraId="52AEA446" w14:textId="77777777" w:rsidR="00263330" w:rsidRPr="00613734" w:rsidRDefault="00263330" w:rsidP="00613734">
      <w:pPr>
        <w:pStyle w:val="Puesto"/>
      </w:pPr>
      <w:r w:rsidRPr="00613734">
        <w:rPr>
          <w:rFonts w:cs="Bookman Old Style,Bold"/>
          <w:bCs/>
        </w:rPr>
        <w:t xml:space="preserve">V. </w:t>
      </w:r>
      <w:r w:rsidRPr="00613734">
        <w:t>Se impugne la veracidad de la información proporcionada;</w:t>
      </w:r>
    </w:p>
    <w:p w14:paraId="10E0E3DB" w14:textId="77777777" w:rsidR="00263330" w:rsidRPr="00613734" w:rsidRDefault="00263330" w:rsidP="00613734">
      <w:pPr>
        <w:pStyle w:val="Puesto"/>
      </w:pPr>
      <w:r w:rsidRPr="00613734">
        <w:rPr>
          <w:rFonts w:cs="Bookman Old Style,Bold"/>
          <w:bCs/>
        </w:rPr>
        <w:t xml:space="preserve">VI. </w:t>
      </w:r>
      <w:r w:rsidRPr="00613734">
        <w:t>Se trate de una consulta, o trámite en específico; y</w:t>
      </w:r>
    </w:p>
    <w:p w14:paraId="1E91F48B" w14:textId="77777777" w:rsidR="00263330" w:rsidRPr="00613734" w:rsidRDefault="00263330" w:rsidP="00613734">
      <w:pPr>
        <w:pStyle w:val="Puesto"/>
      </w:pPr>
      <w:r w:rsidRPr="00613734">
        <w:rPr>
          <w:rFonts w:cs="Bookman Old Style,Bold"/>
          <w:bCs/>
        </w:rPr>
        <w:lastRenderedPageBreak/>
        <w:t xml:space="preserve">VII. </w:t>
      </w:r>
      <w:r w:rsidRPr="00613734">
        <w:t>El recurrente amplíe su solicitud en el Recurso de Revisión, únicamente respecto de los nuevos contenidos.</w:t>
      </w:r>
    </w:p>
    <w:p w14:paraId="605F43DF" w14:textId="77777777" w:rsidR="00263330" w:rsidRPr="00613734" w:rsidRDefault="00263330" w:rsidP="00613734">
      <w:pPr>
        <w:pStyle w:val="Puesto"/>
      </w:pPr>
    </w:p>
    <w:p w14:paraId="41BBB7E0" w14:textId="77777777" w:rsidR="00263330" w:rsidRPr="00613734" w:rsidRDefault="00263330" w:rsidP="00613734">
      <w:pPr>
        <w:pStyle w:val="Puesto"/>
      </w:pPr>
      <w:r w:rsidRPr="00613734">
        <w:rPr>
          <w:rFonts w:cs="Bookman Old Style,Bold"/>
          <w:b/>
        </w:rPr>
        <w:t>Artículo 192.</w:t>
      </w:r>
      <w:r w:rsidRPr="00613734">
        <w:rPr>
          <w:rFonts w:cs="Bookman Old Style,Bold"/>
          <w:bCs/>
        </w:rPr>
        <w:t xml:space="preserve"> </w:t>
      </w:r>
      <w:r w:rsidRPr="00613734">
        <w:t>El recurso será sobreseído, en todo o en parte, cuando una vez admitido, se actualicen alguno de los siguientes supuestos:</w:t>
      </w:r>
    </w:p>
    <w:p w14:paraId="5989DB7F" w14:textId="77777777" w:rsidR="00263330" w:rsidRPr="00613734" w:rsidRDefault="00263330" w:rsidP="00613734">
      <w:pPr>
        <w:pStyle w:val="Puesto"/>
      </w:pPr>
      <w:r w:rsidRPr="00613734">
        <w:rPr>
          <w:rFonts w:cs="Bookman Old Style,Bold"/>
          <w:bCs/>
        </w:rPr>
        <w:t xml:space="preserve">I. </w:t>
      </w:r>
      <w:r w:rsidRPr="00613734">
        <w:t>El recurrente se desista expresamente del recurso;</w:t>
      </w:r>
    </w:p>
    <w:p w14:paraId="18B69026" w14:textId="77777777" w:rsidR="00263330" w:rsidRPr="00613734" w:rsidRDefault="00263330" w:rsidP="00613734">
      <w:pPr>
        <w:pStyle w:val="Puesto"/>
      </w:pPr>
      <w:r w:rsidRPr="00613734">
        <w:rPr>
          <w:rFonts w:cs="Bookman Old Style,Bold"/>
          <w:bCs/>
        </w:rPr>
        <w:t xml:space="preserve">II. </w:t>
      </w:r>
      <w:r w:rsidRPr="00613734">
        <w:t>El recurrente fallezca o, tratándose de personas jurídicas colectivas, se disuelva;</w:t>
      </w:r>
    </w:p>
    <w:p w14:paraId="2EC4C2B2" w14:textId="77777777" w:rsidR="00263330" w:rsidRPr="00613734" w:rsidRDefault="00263330" w:rsidP="00613734">
      <w:pPr>
        <w:pStyle w:val="Puesto"/>
      </w:pPr>
      <w:r w:rsidRPr="00613734">
        <w:rPr>
          <w:rFonts w:cs="Bookman Old Style,Bold"/>
          <w:bCs/>
        </w:rPr>
        <w:t xml:space="preserve">III. </w:t>
      </w:r>
      <w:r w:rsidRPr="00613734">
        <w:t>El sujeto obligado responsable del acto lo modifique o revoque de tal manera que el Recurso de Revisión quede sin materia;</w:t>
      </w:r>
    </w:p>
    <w:p w14:paraId="4D6DE5AE" w14:textId="77777777" w:rsidR="00263330" w:rsidRPr="00613734" w:rsidRDefault="00263330" w:rsidP="00613734">
      <w:pPr>
        <w:pStyle w:val="Puesto"/>
        <w:rPr>
          <w:b/>
        </w:rPr>
      </w:pPr>
      <w:r w:rsidRPr="00613734">
        <w:rPr>
          <w:rFonts w:cs="Bookman Old Style,Bold"/>
          <w:b/>
        </w:rPr>
        <w:t xml:space="preserve">IV. </w:t>
      </w:r>
      <w:r w:rsidRPr="00613734">
        <w:rPr>
          <w:b/>
        </w:rPr>
        <w:t>Admitido el Recurso de Revisión, aparezca alguna causal de improcedencia en los términos de la presente Ley; y</w:t>
      </w:r>
    </w:p>
    <w:p w14:paraId="0C1114D6" w14:textId="77777777" w:rsidR="00263330" w:rsidRPr="00613734" w:rsidRDefault="00263330" w:rsidP="00613734">
      <w:pPr>
        <w:pStyle w:val="Puesto"/>
      </w:pPr>
      <w:r w:rsidRPr="00613734">
        <w:rPr>
          <w:rFonts w:cs="Bookman Old Style,Bold"/>
          <w:b/>
          <w:bCs/>
        </w:rPr>
        <w:t xml:space="preserve">V. </w:t>
      </w:r>
      <w:r w:rsidRPr="00613734">
        <w:t>Cuando por cualquier motivo quede sin materia el recurso.”</w:t>
      </w:r>
    </w:p>
    <w:p w14:paraId="06591A4E" w14:textId="77777777" w:rsidR="00263330" w:rsidRPr="00613734" w:rsidRDefault="00263330" w:rsidP="00613734">
      <w:pPr>
        <w:autoSpaceDE w:val="0"/>
        <w:autoSpaceDN w:val="0"/>
        <w:adjustRightInd w:val="0"/>
        <w:spacing w:line="240" w:lineRule="auto"/>
        <w:ind w:left="851" w:right="899"/>
        <w:rPr>
          <w:rFonts w:eastAsia="MS Mincho" w:cs="Bookman Old Style"/>
          <w:szCs w:val="22"/>
        </w:rPr>
      </w:pPr>
      <w:r w:rsidRPr="00613734">
        <w:rPr>
          <w:rFonts w:eastAsia="MS Mincho" w:cs="Bookman Old Style,Bold"/>
          <w:bCs/>
          <w:i/>
          <w:szCs w:val="22"/>
        </w:rPr>
        <w:t>(Énfasis añadido)</w:t>
      </w:r>
    </w:p>
    <w:p w14:paraId="2352DD88" w14:textId="77777777" w:rsidR="00263330" w:rsidRPr="00613734" w:rsidRDefault="00263330" w:rsidP="00613734">
      <w:pPr>
        <w:autoSpaceDE w:val="0"/>
        <w:autoSpaceDN w:val="0"/>
        <w:adjustRightInd w:val="0"/>
        <w:spacing w:line="240" w:lineRule="auto"/>
        <w:ind w:left="851" w:right="899"/>
        <w:rPr>
          <w:rFonts w:eastAsia="MS Mincho" w:cs="Bookman Old Style"/>
          <w:szCs w:val="22"/>
        </w:rPr>
      </w:pPr>
    </w:p>
    <w:p w14:paraId="3D0970EA" w14:textId="77777777" w:rsidR="00263330" w:rsidRPr="00613734" w:rsidRDefault="00263330" w:rsidP="00613734">
      <w:r w:rsidRPr="00613734">
        <w:t>Por lo que al analizar el contenido de los numerales citados previamente, podemos señalar que la Ley de Transparencia y Acceso a la Información Pública del Estado de México y Municipios,  contempla la posibilidad de desechar el Recurso de Revisión en el momento procesal en que también se puede admitir, por alguna de las causales transcritas, artículo que tiene un momento de aplicabilidad previo a la admisión del Recurso de Revisión por no reunir los requisitos de procedibilidad previstos en el artículo 179 de la Ley en la Materia.</w:t>
      </w:r>
    </w:p>
    <w:p w14:paraId="768BB22A" w14:textId="77777777" w:rsidR="001C2B22" w:rsidRPr="00613734" w:rsidRDefault="001C2B22" w:rsidP="00613734"/>
    <w:p w14:paraId="52756060" w14:textId="6272D5DF" w:rsidR="001C2B22" w:rsidRPr="00613734" w:rsidRDefault="00263330" w:rsidP="00613734">
      <w:r w:rsidRPr="00613734">
        <w:t>En consecuencia, el recurso resulta improcedente y por ello, debería desecharse en términos el artículo 191 fracción III, al no actualizar alguno de los supuestos previstos en la Ley de la materia para su procedencia, sin embargo, en el caso al haber sido admitido, se actualiza la causal IV del artículo 192 de la misma Ley que establece que, procede el sobreseimiento cuando “</w:t>
      </w:r>
      <w:r w:rsidRPr="00613734">
        <w:rPr>
          <w:i/>
          <w:iCs/>
        </w:rPr>
        <w:t>Admitido el recurso de revisión, aparezca alguna causal de improcedencia en los términos de la presente Ley</w:t>
      </w:r>
      <w:r w:rsidRPr="00613734">
        <w:t xml:space="preserve">”. Aunado a ello, es evidente que </w:t>
      </w:r>
      <w:r w:rsidRPr="00613734">
        <w:rPr>
          <w:b/>
          <w:bCs/>
        </w:rPr>
        <w:t>LA PARTE RECURRENTE</w:t>
      </w:r>
      <w:r w:rsidRPr="00613734">
        <w:t xml:space="preserve"> ha obtenido la información solicitada.</w:t>
      </w:r>
    </w:p>
    <w:p w14:paraId="051D08BC" w14:textId="77777777" w:rsidR="001C2B22" w:rsidRPr="00613734" w:rsidRDefault="001C2B22" w:rsidP="00613734"/>
    <w:p w14:paraId="021B2194" w14:textId="01112164" w:rsidR="00597C3F" w:rsidRPr="00613734" w:rsidRDefault="00597C3F" w:rsidP="00613734">
      <w:r w:rsidRPr="00613734">
        <w:t xml:space="preserve">Lo anterior, sin que sea obstáculo </w:t>
      </w:r>
      <w:r w:rsidR="0034006A" w:rsidRPr="00613734">
        <w:t>la orientación de</w:t>
      </w:r>
      <w:r w:rsidRPr="00613734">
        <w:t xml:space="preserve"> este </w:t>
      </w:r>
      <w:r w:rsidR="0034006A" w:rsidRPr="00613734">
        <w:t xml:space="preserve">Pleno como </w:t>
      </w:r>
      <w:r w:rsidRPr="00613734">
        <w:t>Órgano Garante</w:t>
      </w:r>
      <w:r w:rsidR="0034006A" w:rsidRPr="00613734">
        <w:t xml:space="preserve"> en la protección de Datos de Personales, </w:t>
      </w:r>
      <w:r w:rsidRPr="00613734">
        <w:t xml:space="preserve">respecto </w:t>
      </w:r>
      <w:r w:rsidR="001A0FB0" w:rsidRPr="00613734">
        <w:t xml:space="preserve">a los argumentos </w:t>
      </w:r>
      <w:r w:rsidR="00624E27" w:rsidRPr="00613734">
        <w:t xml:space="preserve">referidos como razones o </w:t>
      </w:r>
      <w:r w:rsidR="00624E27" w:rsidRPr="00613734">
        <w:lastRenderedPageBreak/>
        <w:t xml:space="preserve">motivos de inconformidad por </w:t>
      </w:r>
      <w:r w:rsidRPr="00613734">
        <w:rPr>
          <w:b/>
          <w:bCs/>
        </w:rPr>
        <w:t>LA PARTE RECURRENTE</w:t>
      </w:r>
      <w:r w:rsidRPr="00613734">
        <w:t xml:space="preserve"> </w:t>
      </w:r>
      <w:r w:rsidR="00624E27" w:rsidRPr="00613734">
        <w:t>consistentes en “</w:t>
      </w:r>
      <w:r w:rsidR="0034006A" w:rsidRPr="00613734">
        <w:rPr>
          <w:i/>
          <w:iCs/>
        </w:rPr>
        <w:t xml:space="preserve">Los datos inherentes a la identificación de un vehículo, como son: marca, modelo, año modelo, clase, tipo, número de constancia de inscripción, placa, número de puertas, país de origen, versión, desplazamiento, número de cilindros, número de ejes y </w:t>
      </w:r>
      <w:r w:rsidR="00624E27" w:rsidRPr="00613734">
        <w:rPr>
          <w:i/>
          <w:iCs/>
        </w:rPr>
        <w:t xml:space="preserve">situación jurídica del vehículo”; </w:t>
      </w:r>
      <w:r w:rsidR="00624E27" w:rsidRPr="00613734">
        <w:rPr>
          <w:iCs/>
        </w:rPr>
        <w:t xml:space="preserve">al respecto, es de </w:t>
      </w:r>
      <w:r w:rsidR="005E783D" w:rsidRPr="00613734">
        <w:t xml:space="preserve">señalar que </w:t>
      </w:r>
      <w:r w:rsidR="006E5F53" w:rsidRPr="00613734">
        <w:t xml:space="preserve">dichos datos </w:t>
      </w:r>
      <w:r w:rsidR="00624E27" w:rsidRPr="00613734">
        <w:rPr>
          <w:bCs/>
        </w:rPr>
        <w:t xml:space="preserve">no constituyen </w:t>
      </w:r>
      <w:r w:rsidR="006E5F53" w:rsidRPr="00613734">
        <w:rPr>
          <w:bCs/>
        </w:rPr>
        <w:t xml:space="preserve">datos personales </w:t>
      </w:r>
      <w:r w:rsidR="00624E27" w:rsidRPr="00613734">
        <w:rPr>
          <w:bCs/>
        </w:rPr>
        <w:t>, pues no vinculan</w:t>
      </w:r>
      <w:r w:rsidR="006E5F53" w:rsidRPr="00613734">
        <w:rPr>
          <w:bCs/>
        </w:rPr>
        <w:t xml:space="preserve"> a una persona</w:t>
      </w:r>
      <w:r w:rsidR="006E5F53" w:rsidRPr="00613734">
        <w:t xml:space="preserve"> </w:t>
      </w:r>
      <w:r w:rsidR="006E5F53" w:rsidRPr="00613734">
        <w:rPr>
          <w:bCs/>
        </w:rPr>
        <w:t>identificada</w:t>
      </w:r>
      <w:r w:rsidR="006E5F53" w:rsidRPr="00613734">
        <w:t>.</w:t>
      </w:r>
    </w:p>
    <w:p w14:paraId="4EB5A6A3" w14:textId="77777777" w:rsidR="006E5F53" w:rsidRPr="00613734" w:rsidRDefault="00597C3F" w:rsidP="00613734">
      <w:r w:rsidRPr="00613734">
        <w:t xml:space="preserve"> </w:t>
      </w:r>
    </w:p>
    <w:p w14:paraId="03458D6D" w14:textId="69679DE9" w:rsidR="00624E27" w:rsidRPr="00613734" w:rsidRDefault="00624E27" w:rsidP="00613734">
      <w:r w:rsidRPr="00613734">
        <w:t xml:space="preserve">Ahora bien, respecto a los argumentos referidos como razones o motivos de inconformidad por </w:t>
      </w:r>
      <w:r w:rsidRPr="00613734">
        <w:rPr>
          <w:b/>
          <w:bCs/>
        </w:rPr>
        <w:t>LA PARTE RECURRENTE</w:t>
      </w:r>
      <w:r w:rsidRPr="00613734">
        <w:t xml:space="preserve"> consistentes en </w:t>
      </w:r>
    </w:p>
    <w:p w14:paraId="5FD4F987" w14:textId="77777777" w:rsidR="00624E27" w:rsidRPr="00613734" w:rsidRDefault="00624E27" w:rsidP="00613734"/>
    <w:p w14:paraId="29C690DC" w14:textId="79339B3F" w:rsidR="006E5F53" w:rsidRPr="00613734" w:rsidRDefault="0021797D" w:rsidP="00613734">
      <w:pPr>
        <w:rPr>
          <w:iCs/>
        </w:rPr>
      </w:pPr>
      <w:r w:rsidRPr="00613734">
        <w:t>Ahora bien</w:t>
      </w:r>
      <w:r w:rsidR="00624E27" w:rsidRPr="00613734">
        <w:t>, respecto a la solicitud realizada por el particular en las razones o motivos de inconformidad, consistente en “</w:t>
      </w:r>
      <w:r w:rsidR="006E5F53" w:rsidRPr="00613734">
        <w:rPr>
          <w:rFonts w:cs="Tahoma"/>
          <w:i/>
          <w:iCs/>
        </w:rPr>
        <w:t>Se le dé vista al Órgano Interno de Control, porque el sujeto obligado, pone a disposición datos personales de servidores públicos como de particulares; específicamente de las personas integrantes del Comité de Transparencia es decir, de la "PRESIDENTA", el "SECRETARIO TÉCNICO", el "VOCAL" y la "OFICIAL DE PRO</w:t>
      </w:r>
      <w:r w:rsidR="00624E27" w:rsidRPr="00613734">
        <w:rPr>
          <w:rFonts w:cs="Tahoma"/>
          <w:i/>
          <w:iCs/>
        </w:rPr>
        <w:t xml:space="preserve">TECCIÓN DE DATOS PERSONALES"; </w:t>
      </w:r>
      <w:r w:rsidR="00624E27" w:rsidRPr="00613734">
        <w:rPr>
          <w:rFonts w:cs="Tahoma"/>
          <w:iCs/>
        </w:rPr>
        <w:t>al respecto, al respecto, este Órgano Garante precisa que el recurso de revisión no es el medio para sancionar; sin embargo, se dejan a salvo sus derechos para en caso de así considerarlo, acuda ante la instancia competente y realice las denuncias o quejas que considere pertinentes.</w:t>
      </w:r>
    </w:p>
    <w:p w14:paraId="1A5A2086" w14:textId="77777777" w:rsidR="006E5F53" w:rsidRPr="00613734" w:rsidRDefault="006E5F53" w:rsidP="00613734"/>
    <w:p w14:paraId="74494DDE" w14:textId="3B76E628" w:rsidR="00A95E57" w:rsidRPr="00613734" w:rsidRDefault="00A95E57" w:rsidP="00613734">
      <w:pPr>
        <w:pStyle w:val="Ttulo3"/>
        <w:rPr>
          <w:lang w:eastAsia="es-CO"/>
        </w:rPr>
      </w:pPr>
      <w:bookmarkStart w:id="33" w:name="_Toc191489337"/>
      <w:r w:rsidRPr="00613734">
        <w:rPr>
          <w:lang w:eastAsia="es-CO"/>
        </w:rPr>
        <w:t>d) Vista</w:t>
      </w:r>
      <w:bookmarkEnd w:id="33"/>
      <w:r w:rsidRPr="00613734">
        <w:rPr>
          <w:lang w:eastAsia="es-CO"/>
        </w:rPr>
        <w:t xml:space="preserve"> </w:t>
      </w:r>
    </w:p>
    <w:p w14:paraId="6A0DDAE3" w14:textId="77777777" w:rsidR="0021797D" w:rsidRPr="00613734" w:rsidRDefault="00A95E57" w:rsidP="00613734">
      <w:pPr>
        <w:rPr>
          <w:rFonts w:cs="Arial"/>
        </w:rPr>
      </w:pPr>
      <w:r w:rsidRPr="00613734">
        <w:rPr>
          <w:lang w:eastAsia="es-CO"/>
        </w:rPr>
        <w:t xml:space="preserve">Finalmente, </w:t>
      </w:r>
      <w:r w:rsidR="0021797D" w:rsidRPr="00613734">
        <w:rPr>
          <w:lang w:eastAsia="es-CO"/>
        </w:rPr>
        <w:t xml:space="preserve">del análisis a las documentales que integran el expediente electrónico se advierte que </w:t>
      </w:r>
      <w:r w:rsidR="0021797D" w:rsidRPr="00613734">
        <w:rPr>
          <w:b/>
          <w:lang w:eastAsia="es-CO"/>
        </w:rPr>
        <w:t xml:space="preserve">EL SUJETO OBLIGADO </w:t>
      </w:r>
      <w:r w:rsidRPr="00613734">
        <w:t>dej</w:t>
      </w:r>
      <w:r w:rsidR="0021797D" w:rsidRPr="00613734">
        <w:t xml:space="preserve">ó visibles datos personales, los cuales de manera enunciativa más no limitativa son correo electrónico y teléfono particular; </w:t>
      </w:r>
      <w:r w:rsidR="0021797D" w:rsidRPr="00613734">
        <w:rPr>
          <w:rFonts w:cs="Arial"/>
        </w:rPr>
        <w:t xml:space="preserve">atento a ello, se deberá </w:t>
      </w:r>
      <w:r w:rsidR="0021797D" w:rsidRPr="00613734">
        <w:rPr>
          <w:rFonts w:cs="Arial"/>
          <w:lang w:val="es-ES"/>
        </w:rPr>
        <w:t>hacer</w:t>
      </w:r>
      <w:r w:rsidR="0021797D" w:rsidRPr="00613734">
        <w:rPr>
          <w:rFonts w:cs="Arial"/>
        </w:rPr>
        <w:t xml:space="preserve"> del conocimiento al</w:t>
      </w:r>
      <w:r w:rsidR="0021797D" w:rsidRPr="00613734">
        <w:rPr>
          <w:rFonts w:cs="Arial"/>
          <w:lang w:val="es-ES"/>
        </w:rPr>
        <w:t xml:space="preserve"> Titular de la Dirección General de Protección de Datos Personales en atención al artículo 82, fracción XXVII de la Ley de Protección de Datos Personales del Estado de México y Municipios., </w:t>
      </w:r>
      <w:r w:rsidR="0021797D" w:rsidRPr="00613734">
        <w:rPr>
          <w:rFonts w:cs="Arial"/>
        </w:rPr>
        <w:t>a fin de que determinen lo conducente.</w:t>
      </w:r>
    </w:p>
    <w:p w14:paraId="30932F7A" w14:textId="77777777" w:rsidR="0021797D" w:rsidRPr="00613734" w:rsidRDefault="0021797D" w:rsidP="00613734"/>
    <w:p w14:paraId="2220BE5B" w14:textId="6BFF98A1" w:rsidR="0021797D" w:rsidRPr="00613734" w:rsidRDefault="0021797D" w:rsidP="00613734">
      <w:r w:rsidRPr="00613734">
        <w:rPr>
          <w:rFonts w:cs="Tahoma"/>
          <w:bCs/>
        </w:rPr>
        <w:lastRenderedPageBreak/>
        <w:t xml:space="preserve">Ahora bien, no se omite comentar que si bien </w:t>
      </w:r>
      <w:r w:rsidRPr="00613734">
        <w:rPr>
          <w:rFonts w:cs="Tahoma"/>
          <w:b/>
          <w:bCs/>
        </w:rPr>
        <w:t xml:space="preserve">EL SUJETO OBLIGADO </w:t>
      </w:r>
      <w:r w:rsidRPr="00613734">
        <w:rPr>
          <w:rFonts w:cs="Tahoma"/>
          <w:bCs/>
        </w:rPr>
        <w:t xml:space="preserve">mediante Informe Justificado </w:t>
      </w:r>
      <w:r w:rsidRPr="00613734">
        <w:t>acompañó dos cartas de consentimiento, respecto de los datos del correo electrónico y teléfono particular que dejó visibles correspondientes a dos servidores públicos; lo cierto es que las mismas, se advierte que se trata de una autorización interna entre los enlaces de la Unidad de Transparencia y Acceso a la Información Pública de la Dirección de Servicios Públicos y el Coordinar de Transparencia, es decir, se trata de una autorización institucional, no así, una autorización para hacer públicos el correo electrónico y teléfono particular a través de una solicitud de acceso a la información pública..</w:t>
      </w:r>
    </w:p>
    <w:p w14:paraId="0D37E20A" w14:textId="77777777" w:rsidR="0021797D" w:rsidRPr="00613734" w:rsidRDefault="0021797D" w:rsidP="00613734">
      <w:pPr>
        <w:rPr>
          <w:rFonts w:cs="Tahoma"/>
          <w:b/>
          <w:bCs/>
        </w:rPr>
      </w:pPr>
    </w:p>
    <w:p w14:paraId="6CD05AC4" w14:textId="691C4199" w:rsidR="00BD5A7C" w:rsidRPr="00613734" w:rsidRDefault="00BD3B7D" w:rsidP="00613734">
      <w:pPr>
        <w:pStyle w:val="Ttulo3"/>
      </w:pPr>
      <w:bookmarkStart w:id="34" w:name="_Toc191489338"/>
      <w:r w:rsidRPr="00613734">
        <w:t>e</w:t>
      </w:r>
      <w:r w:rsidR="00BD5A7C" w:rsidRPr="00613734">
        <w:t>) Conclusión</w:t>
      </w:r>
      <w:bookmarkEnd w:id="34"/>
    </w:p>
    <w:p w14:paraId="5D152C1F" w14:textId="1427E8B5" w:rsidR="0021797D" w:rsidRPr="00613734" w:rsidRDefault="0021797D" w:rsidP="00613734">
      <w:pPr>
        <w:ind w:right="49"/>
        <w:rPr>
          <w:rFonts w:cs="Arial"/>
        </w:rPr>
      </w:pPr>
      <w:bookmarkStart w:id="35" w:name="_Hlk165381027"/>
      <w:r w:rsidRPr="00613734">
        <w:rPr>
          <w:rFonts w:cs="Arial"/>
        </w:rPr>
        <w:t xml:space="preserve">Es así que, los argumentos expuestos permiten a este Órgano Garante determinar que </w:t>
      </w:r>
      <w:r w:rsidRPr="00613734">
        <w:rPr>
          <w:rFonts w:eastAsia="Calibri" w:cs="Arial"/>
        </w:rPr>
        <w:t>el Recurso de Revisión actualiza la causal de sobreseimiento establecida en la fracción IV del artículo 192, en relación a la fracción III del artículo 191, ambos de la Ley de Transparencia y Acceso a la Información Pública del Estado de México y Municipios.</w:t>
      </w:r>
    </w:p>
    <w:p w14:paraId="2E9AB24E" w14:textId="77777777" w:rsidR="00BD3B7D" w:rsidRPr="00613734" w:rsidRDefault="00BD3B7D" w:rsidP="00613734">
      <w:pPr>
        <w:ind w:right="-93"/>
        <w:rPr>
          <w:rFonts w:cs="Tahoma"/>
          <w:bCs/>
          <w:szCs w:val="22"/>
        </w:rPr>
      </w:pPr>
    </w:p>
    <w:p w14:paraId="6C4C444E" w14:textId="16F1DC79" w:rsidR="00BD5A7C" w:rsidRDefault="00BD5A7C" w:rsidP="00613734">
      <w:pPr>
        <w:ind w:right="-93"/>
        <w:rPr>
          <w:rFonts w:cs="Tahoma"/>
          <w:bCs/>
          <w:szCs w:val="22"/>
        </w:rPr>
      </w:pPr>
      <w:r w:rsidRPr="0061373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8D8A184" w14:textId="77777777" w:rsidR="00613734" w:rsidRDefault="00613734" w:rsidP="00613734">
      <w:pPr>
        <w:ind w:right="-93"/>
        <w:rPr>
          <w:rFonts w:cs="Tahoma"/>
          <w:bCs/>
          <w:szCs w:val="22"/>
        </w:rPr>
      </w:pPr>
    </w:p>
    <w:p w14:paraId="11233B3F" w14:textId="77777777" w:rsidR="00613734" w:rsidRDefault="00613734" w:rsidP="00613734">
      <w:pPr>
        <w:ind w:right="-93"/>
        <w:rPr>
          <w:rFonts w:cs="Tahoma"/>
          <w:bCs/>
          <w:szCs w:val="22"/>
        </w:rPr>
      </w:pPr>
    </w:p>
    <w:p w14:paraId="35070F24" w14:textId="77777777" w:rsidR="00613734" w:rsidRDefault="00613734" w:rsidP="00613734">
      <w:pPr>
        <w:ind w:right="-93"/>
        <w:rPr>
          <w:rFonts w:cs="Tahoma"/>
          <w:bCs/>
          <w:szCs w:val="22"/>
        </w:rPr>
      </w:pPr>
    </w:p>
    <w:p w14:paraId="67FA22AA" w14:textId="77777777" w:rsidR="00613734" w:rsidRPr="00613734" w:rsidRDefault="00613734" w:rsidP="00613734">
      <w:pPr>
        <w:ind w:right="-93"/>
        <w:rPr>
          <w:rFonts w:cs="Tahoma"/>
          <w:bCs/>
          <w:szCs w:val="22"/>
        </w:rPr>
      </w:pPr>
    </w:p>
    <w:bookmarkEnd w:id="35"/>
    <w:p w14:paraId="7C13D1A0" w14:textId="77777777" w:rsidR="00BD5A7C" w:rsidRPr="00613734" w:rsidRDefault="00BD5A7C" w:rsidP="00613734"/>
    <w:p w14:paraId="5C396097" w14:textId="684A0E4F" w:rsidR="00664420" w:rsidRPr="00613734" w:rsidRDefault="00664420" w:rsidP="00613734">
      <w:pPr>
        <w:pStyle w:val="Ttulo1"/>
      </w:pPr>
      <w:bookmarkStart w:id="36" w:name="_Toc191489339"/>
      <w:r w:rsidRPr="00613734">
        <w:lastRenderedPageBreak/>
        <w:t>RESUELVE</w:t>
      </w:r>
      <w:bookmarkEnd w:id="36"/>
    </w:p>
    <w:p w14:paraId="203B7093" w14:textId="77777777" w:rsidR="00664420" w:rsidRPr="00613734" w:rsidRDefault="00664420" w:rsidP="00613734">
      <w:pPr>
        <w:ind w:right="113"/>
        <w:rPr>
          <w:rFonts w:cs="Arial"/>
          <w:b/>
          <w:szCs w:val="22"/>
        </w:rPr>
      </w:pPr>
    </w:p>
    <w:p w14:paraId="5A2670A7" w14:textId="3B022173" w:rsidR="00A95E57" w:rsidRPr="00613734" w:rsidRDefault="00FC3CE0" w:rsidP="00613734">
      <w:pPr>
        <w:rPr>
          <w:lang w:val="es-ES" w:eastAsia="es-MX"/>
        </w:rPr>
      </w:pPr>
      <w:r w:rsidRPr="00613734">
        <w:rPr>
          <w:b/>
          <w:bCs/>
        </w:rPr>
        <w:t>PRIMERO.</w:t>
      </w:r>
      <w:r w:rsidRPr="00613734">
        <w:t xml:space="preserve"> </w:t>
      </w:r>
      <w:r w:rsidRPr="00613734">
        <w:rPr>
          <w:rFonts w:cs="Tahoma"/>
          <w:szCs w:val="22"/>
        </w:rPr>
        <w:t xml:space="preserve">Se </w:t>
      </w:r>
      <w:r w:rsidR="00A95E57" w:rsidRPr="00613734">
        <w:rPr>
          <w:b/>
          <w:lang w:eastAsia="es-MX"/>
        </w:rPr>
        <w:t>SOBRESEE</w:t>
      </w:r>
      <w:r w:rsidR="00A95E57" w:rsidRPr="00613734">
        <w:rPr>
          <w:lang w:eastAsia="es-MX"/>
        </w:rPr>
        <w:t xml:space="preserve"> el Recurso de Revisión </w:t>
      </w:r>
      <w:r w:rsidR="00A95E57" w:rsidRPr="00613734">
        <w:rPr>
          <w:b/>
          <w:szCs w:val="24"/>
          <w:lang w:eastAsia="es-MX"/>
        </w:rPr>
        <w:t xml:space="preserve">00672/INFOEM/IP/RR/2025 </w:t>
      </w:r>
      <w:r w:rsidR="00A95E57" w:rsidRPr="00613734">
        <w:rPr>
          <w:lang w:val="es-ES" w:eastAsia="es-MX"/>
        </w:rPr>
        <w:t xml:space="preserve">porque una vez admitido se actualizó la causal establecida en el artículo 192 fracción IV, </w:t>
      </w:r>
      <w:r w:rsidR="00A95E57" w:rsidRPr="00613734">
        <w:rPr>
          <w:szCs w:val="24"/>
          <w:lang w:eastAsia="es-MX"/>
        </w:rPr>
        <w:t>por</w:t>
      </w:r>
      <w:r w:rsidR="00A95E57" w:rsidRPr="00613734">
        <w:rPr>
          <w:lang w:val="es-ES" w:eastAsia="es-MX"/>
        </w:rPr>
        <w:t xml:space="preserve"> ser improcedente en términos de la </w:t>
      </w:r>
      <w:r w:rsidR="00A95E57" w:rsidRPr="00613734">
        <w:rPr>
          <w:szCs w:val="24"/>
          <w:lang w:eastAsia="es-ES_tradnl"/>
        </w:rPr>
        <w:t>Ley de Transparencia y Acceso a la Información Pública del Estado de México y Municipios</w:t>
      </w:r>
      <w:r w:rsidR="00A95E57" w:rsidRPr="00613734">
        <w:rPr>
          <w:lang w:val="es-ES" w:eastAsia="es-MX"/>
        </w:rPr>
        <w:t xml:space="preserve">, en términos del Considerando </w:t>
      </w:r>
      <w:r w:rsidR="00A95E57" w:rsidRPr="00613734">
        <w:rPr>
          <w:b/>
          <w:lang w:val="es-ES" w:eastAsia="es-MX"/>
        </w:rPr>
        <w:t>SEGUNDO</w:t>
      </w:r>
      <w:r w:rsidR="00A95E57" w:rsidRPr="00613734">
        <w:rPr>
          <w:lang w:val="es-ES" w:eastAsia="es-MX"/>
        </w:rPr>
        <w:t xml:space="preserve"> de la presente resolución.</w:t>
      </w:r>
    </w:p>
    <w:p w14:paraId="78D4A482" w14:textId="77777777" w:rsidR="00FC3CE0" w:rsidRPr="00613734" w:rsidRDefault="00FC3CE0" w:rsidP="00613734">
      <w:pPr>
        <w:widowControl w:val="0"/>
        <w:rPr>
          <w:rFonts w:eastAsia="Calibri" w:cs="Tahoma"/>
          <w:bCs/>
          <w:szCs w:val="22"/>
          <w:lang w:eastAsia="en-US"/>
        </w:rPr>
      </w:pPr>
    </w:p>
    <w:p w14:paraId="204034C1" w14:textId="77777777" w:rsidR="00A95E57" w:rsidRPr="00613734" w:rsidRDefault="00A95E57" w:rsidP="00613734">
      <w:r w:rsidRPr="00613734">
        <w:rPr>
          <w:b/>
        </w:rPr>
        <w:t>SEGUNDO.</w:t>
      </w:r>
      <w:r w:rsidRPr="00613734">
        <w:t xml:space="preserve"> </w:t>
      </w:r>
      <w:r w:rsidRPr="00613734">
        <w:rPr>
          <w:b/>
        </w:rPr>
        <w:t>Notifíquese</w:t>
      </w:r>
      <w:r w:rsidRPr="00613734">
        <w:t xml:space="preserve"> vía </w:t>
      </w:r>
      <w:r w:rsidRPr="00613734">
        <w:rPr>
          <w:b/>
        </w:rPr>
        <w:t>SAIMEX</w:t>
      </w:r>
      <w:r w:rsidRPr="00613734">
        <w:t xml:space="preserve"> la presente resolución al Titular de la Unidad de Transparencia del </w:t>
      </w:r>
      <w:r w:rsidRPr="00613734">
        <w:rPr>
          <w:b/>
        </w:rPr>
        <w:t>SUJETO OBLIGADO</w:t>
      </w:r>
      <w:r w:rsidRPr="00613734">
        <w:t>, para su conocimiento.</w:t>
      </w:r>
    </w:p>
    <w:p w14:paraId="5A3496D8" w14:textId="77777777" w:rsidR="00A95E57" w:rsidRPr="00613734" w:rsidRDefault="00A95E57" w:rsidP="00613734"/>
    <w:p w14:paraId="2E8BC84B" w14:textId="77777777" w:rsidR="00A95E57" w:rsidRPr="00613734" w:rsidRDefault="00A95E57" w:rsidP="00613734">
      <w:r w:rsidRPr="00613734">
        <w:rPr>
          <w:b/>
        </w:rPr>
        <w:t>TERCERO.</w:t>
      </w:r>
      <w:r w:rsidRPr="00613734">
        <w:t xml:space="preserve"> </w:t>
      </w:r>
      <w:r w:rsidRPr="00613734">
        <w:rPr>
          <w:b/>
          <w:szCs w:val="17"/>
          <w:lang w:eastAsia="es-ES_tradnl"/>
        </w:rPr>
        <w:t>Notifíquese</w:t>
      </w:r>
      <w:r w:rsidRPr="00613734">
        <w:rPr>
          <w:szCs w:val="17"/>
          <w:lang w:eastAsia="es-ES_tradnl"/>
        </w:rPr>
        <w:t xml:space="preserve"> a </w:t>
      </w:r>
      <w:r w:rsidRPr="00613734">
        <w:rPr>
          <w:b/>
        </w:rPr>
        <w:t xml:space="preserve">LA PARTE </w:t>
      </w:r>
      <w:r w:rsidRPr="00613734">
        <w:rPr>
          <w:b/>
          <w:szCs w:val="17"/>
          <w:lang w:eastAsia="es-ES_tradnl"/>
        </w:rPr>
        <w:t>RECURRENTE</w:t>
      </w:r>
      <w:r w:rsidRPr="00613734">
        <w:rPr>
          <w:szCs w:val="17"/>
          <w:lang w:eastAsia="es-ES_tradnl"/>
        </w:rPr>
        <w:t xml:space="preserve"> la presente resolución vía </w:t>
      </w:r>
      <w:r w:rsidRPr="00613734">
        <w:rPr>
          <w:rFonts w:cs="Arial"/>
          <w:b/>
          <w:bCs/>
          <w:lang w:eastAsia="es-MX"/>
        </w:rPr>
        <w:t>SAIMEX</w:t>
      </w:r>
      <w:r w:rsidRPr="00613734">
        <w:rPr>
          <w:rFonts w:cs="Arial"/>
          <w:lang w:eastAsia="es-MX"/>
        </w:rPr>
        <w:t>.</w:t>
      </w:r>
    </w:p>
    <w:p w14:paraId="438FA755" w14:textId="77777777" w:rsidR="00A95E57" w:rsidRPr="00613734" w:rsidRDefault="00A95E57" w:rsidP="00613734"/>
    <w:p w14:paraId="791349A8" w14:textId="77777777" w:rsidR="00A95E57" w:rsidRPr="00613734" w:rsidRDefault="00A95E57" w:rsidP="00613734">
      <w:r w:rsidRPr="00613734">
        <w:rPr>
          <w:b/>
        </w:rPr>
        <w:t>CUARTO.</w:t>
      </w:r>
      <w:r w:rsidRPr="00613734">
        <w:t xml:space="preserve"> </w:t>
      </w:r>
      <w:r w:rsidRPr="00613734">
        <w:rPr>
          <w:b/>
          <w:lang w:eastAsia="es-ES_tradnl"/>
        </w:rPr>
        <w:t>Hágase</w:t>
      </w:r>
      <w:r w:rsidRPr="00613734">
        <w:rPr>
          <w:lang w:eastAsia="es-ES_tradnl"/>
        </w:rPr>
        <w:t xml:space="preserve"> </w:t>
      </w:r>
      <w:r w:rsidRPr="00613734">
        <w:rPr>
          <w:b/>
          <w:lang w:eastAsia="es-ES_tradnl"/>
        </w:rPr>
        <w:t xml:space="preserve">del </w:t>
      </w:r>
      <w:r w:rsidRPr="00613734">
        <w:rPr>
          <w:b/>
          <w:lang w:eastAsia="es-MX"/>
        </w:rPr>
        <w:t>conocimiento</w:t>
      </w:r>
      <w:r w:rsidRPr="00613734">
        <w:rPr>
          <w:b/>
          <w:lang w:eastAsia="es-ES_tradnl"/>
        </w:rPr>
        <w:t xml:space="preserve"> </w:t>
      </w:r>
      <w:r w:rsidRPr="00613734">
        <w:rPr>
          <w:lang w:eastAsia="es-ES_tradnl"/>
        </w:rPr>
        <w:t>de</w:t>
      </w:r>
      <w:r w:rsidRPr="00613734">
        <w:rPr>
          <w:rFonts w:ascii="Times New Roman" w:hAnsi="Times New Roman"/>
          <w:lang w:eastAsia="es-MX"/>
        </w:rPr>
        <w:t xml:space="preserve"> </w:t>
      </w:r>
      <w:r w:rsidRPr="00613734">
        <w:rPr>
          <w:b/>
          <w:bCs/>
          <w:lang w:eastAsia="es-ES_tradnl"/>
        </w:rPr>
        <w:t>LA PARTE</w:t>
      </w:r>
      <w:r w:rsidRPr="00613734">
        <w:rPr>
          <w:lang w:eastAsia="es-ES_tradnl"/>
        </w:rPr>
        <w:t xml:space="preserve"> </w:t>
      </w:r>
      <w:r w:rsidRPr="00613734">
        <w:rPr>
          <w:b/>
          <w:lang w:eastAsia="es-ES_tradnl"/>
        </w:rPr>
        <w:t>RECURRENTE</w:t>
      </w:r>
      <w:r w:rsidRPr="00613734">
        <w:rPr>
          <w:lang w:eastAsia="es-ES_tradnl"/>
        </w:rPr>
        <w:t xml:space="preserve">, que de </w:t>
      </w:r>
      <w:r w:rsidRPr="00613734">
        <w:rPr>
          <w:lang w:eastAsia="es-MX"/>
        </w:rPr>
        <w:t>conformidad</w:t>
      </w:r>
      <w:r w:rsidRPr="00613734">
        <w:rPr>
          <w:lang w:eastAsia="es-ES_tradnl"/>
        </w:rPr>
        <w:t xml:space="preserve"> </w:t>
      </w:r>
      <w:r w:rsidRPr="00613734">
        <w:rPr>
          <w:rFonts w:cs="Arial"/>
          <w:lang w:eastAsia="es-MX"/>
        </w:rPr>
        <w:t>con</w:t>
      </w:r>
      <w:r w:rsidRPr="00613734">
        <w:rPr>
          <w:lang w:eastAsia="es-ES_tradnl"/>
        </w:rPr>
        <w:t xml:space="preserve"> lo </w:t>
      </w:r>
      <w:r w:rsidRPr="00613734">
        <w:rPr>
          <w:rFonts w:cs="Arial"/>
          <w:lang w:eastAsia="es-MX"/>
        </w:rPr>
        <w:t>establecido</w:t>
      </w:r>
      <w:r w:rsidRPr="00613734">
        <w:rPr>
          <w:lang w:eastAsia="es-ES_tradnl"/>
        </w:rPr>
        <w:t xml:space="preserve"> en el artículo 196 de la Ley de Transparencia y Acceso a la Información Pública del Estado de México y Municipios, podrá impugnarla vía Juicio de Amparo en los términos de las leyes aplicables.</w:t>
      </w:r>
    </w:p>
    <w:p w14:paraId="781B99AF" w14:textId="77777777" w:rsidR="00A95E57" w:rsidRPr="00613734" w:rsidRDefault="00A95E57" w:rsidP="00613734">
      <w:pPr>
        <w:rPr>
          <w:b/>
          <w:bCs/>
        </w:rPr>
      </w:pPr>
    </w:p>
    <w:p w14:paraId="43DF9D99" w14:textId="67D70C2C" w:rsidR="00FC3CE0" w:rsidRPr="00613734" w:rsidRDefault="00FC3CE0" w:rsidP="00613734">
      <w:r w:rsidRPr="00613734">
        <w:rPr>
          <w:b/>
          <w:bCs/>
        </w:rPr>
        <w:t>QUINTO</w:t>
      </w:r>
      <w:r w:rsidRPr="00613734">
        <w:t xml:space="preserve">. </w:t>
      </w:r>
      <w:r w:rsidR="004A3350" w:rsidRPr="00613734">
        <w:t xml:space="preserve">Gírese oficio al Titular de la </w:t>
      </w:r>
      <w:r w:rsidR="004A3350" w:rsidRPr="00613734">
        <w:rPr>
          <w:b/>
        </w:rPr>
        <w:t>Dirección General de Protección de Datos Personales</w:t>
      </w:r>
      <w:r w:rsidR="004A3350" w:rsidRPr="00613734">
        <w:t xml:space="preserve">, en atención al artículo 82, fracción XXVII de la Ley de Protección de Datos Personales del Estado de México y Municipios, en términos del Considerando </w:t>
      </w:r>
      <w:r w:rsidR="004A3350" w:rsidRPr="00613734">
        <w:rPr>
          <w:b/>
        </w:rPr>
        <w:t>SEGUNDO</w:t>
      </w:r>
      <w:r w:rsidR="004A3350" w:rsidRPr="00613734">
        <w:t xml:space="preserve"> de la presente resolución.</w:t>
      </w:r>
    </w:p>
    <w:p w14:paraId="2BC8564F" w14:textId="77777777" w:rsidR="00FC3CE0" w:rsidRDefault="00FC3CE0" w:rsidP="00613734">
      <w:pPr>
        <w:ind w:right="113"/>
        <w:rPr>
          <w:rFonts w:cs="Arial"/>
          <w:b/>
          <w:szCs w:val="22"/>
        </w:rPr>
      </w:pPr>
    </w:p>
    <w:p w14:paraId="111823D3" w14:textId="77777777" w:rsidR="00613734" w:rsidRDefault="00613734" w:rsidP="00613734">
      <w:pPr>
        <w:ind w:right="113"/>
        <w:rPr>
          <w:rFonts w:cs="Arial"/>
          <w:b/>
          <w:szCs w:val="22"/>
        </w:rPr>
      </w:pPr>
    </w:p>
    <w:p w14:paraId="04A2B428" w14:textId="77777777" w:rsidR="00613734" w:rsidRDefault="00613734" w:rsidP="00613734">
      <w:pPr>
        <w:ind w:right="113"/>
        <w:rPr>
          <w:rFonts w:cs="Arial"/>
          <w:b/>
          <w:szCs w:val="22"/>
        </w:rPr>
      </w:pPr>
    </w:p>
    <w:p w14:paraId="70E60B37" w14:textId="77777777" w:rsidR="00613734" w:rsidRPr="00613734" w:rsidRDefault="00613734" w:rsidP="00613734">
      <w:pPr>
        <w:ind w:right="113"/>
        <w:rPr>
          <w:rFonts w:cs="Arial"/>
          <w:b/>
          <w:szCs w:val="22"/>
        </w:rPr>
      </w:pPr>
    </w:p>
    <w:p w14:paraId="719A5C63" w14:textId="2963BCE9" w:rsidR="00664420" w:rsidRPr="00613734" w:rsidRDefault="00664420" w:rsidP="00613734">
      <w:pPr>
        <w:rPr>
          <w:rFonts w:eastAsia="Palatino Linotype" w:cs="Palatino Linotype"/>
          <w:szCs w:val="22"/>
        </w:rPr>
      </w:pPr>
      <w:r w:rsidRPr="00613734">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A3350" w:rsidRPr="00613734">
        <w:rPr>
          <w:rFonts w:eastAsia="Palatino Linotype" w:cs="Palatino Linotype"/>
          <w:szCs w:val="22"/>
        </w:rPr>
        <w:t>OCTAVA</w:t>
      </w:r>
      <w:r w:rsidRPr="00613734">
        <w:rPr>
          <w:rFonts w:eastAsia="Palatino Linotype" w:cs="Palatino Linotype"/>
          <w:szCs w:val="22"/>
        </w:rPr>
        <w:t xml:space="preserve"> SESIÓN ORDINARIA, CELEBRADA</w:t>
      </w:r>
      <w:r w:rsidR="007E4C53">
        <w:rPr>
          <w:rFonts w:eastAsia="Palatino Linotype" w:cs="Palatino Linotype"/>
          <w:szCs w:val="22"/>
        </w:rPr>
        <w:t xml:space="preserve"> EL</w:t>
      </w:r>
      <w:r w:rsidRPr="00613734">
        <w:rPr>
          <w:rFonts w:eastAsia="Palatino Linotype" w:cs="Palatino Linotype"/>
          <w:szCs w:val="22"/>
        </w:rPr>
        <w:t xml:space="preserve"> </w:t>
      </w:r>
      <w:r w:rsidR="004A3350" w:rsidRPr="00613734">
        <w:rPr>
          <w:rFonts w:eastAsia="Palatino Linotype" w:cs="Palatino Linotype"/>
          <w:szCs w:val="22"/>
        </w:rPr>
        <w:t>SEIS</w:t>
      </w:r>
      <w:r w:rsidRPr="00613734">
        <w:rPr>
          <w:rFonts w:eastAsia="Palatino Linotype" w:cs="Palatino Linotype"/>
          <w:szCs w:val="22"/>
        </w:rPr>
        <w:t xml:space="preserve"> DE </w:t>
      </w:r>
      <w:r w:rsidR="004A3350" w:rsidRPr="00613734">
        <w:rPr>
          <w:rFonts w:eastAsia="Palatino Linotype" w:cs="Palatino Linotype"/>
          <w:szCs w:val="22"/>
        </w:rPr>
        <w:t>MARZ</w:t>
      </w:r>
      <w:r w:rsidR="00BA5479" w:rsidRPr="00613734">
        <w:rPr>
          <w:rFonts w:eastAsia="Palatino Linotype" w:cs="Palatino Linotype"/>
          <w:szCs w:val="22"/>
        </w:rPr>
        <w:t>O</w:t>
      </w:r>
      <w:r w:rsidRPr="00613734">
        <w:rPr>
          <w:rFonts w:eastAsia="Palatino Linotype" w:cs="Palatino Linotype"/>
          <w:szCs w:val="22"/>
        </w:rPr>
        <w:t xml:space="preserve"> DE DOS MIL </w:t>
      </w:r>
      <w:r w:rsidR="00A40804" w:rsidRPr="00613734">
        <w:rPr>
          <w:rFonts w:eastAsia="Palatino Linotype" w:cs="Palatino Linotype"/>
          <w:szCs w:val="22"/>
        </w:rPr>
        <w:t>VEINTICINCO</w:t>
      </w:r>
      <w:r w:rsidRPr="00613734">
        <w:rPr>
          <w:rFonts w:eastAsia="Palatino Linotype" w:cs="Palatino Linotype"/>
          <w:szCs w:val="22"/>
        </w:rPr>
        <w:t>, ANTE EL SECRETARIO TÉCNICO DEL PLENO, ALEXIS TAPIA RAMÍREZ.</w:t>
      </w:r>
    </w:p>
    <w:p w14:paraId="2FC81FF2" w14:textId="77777777" w:rsidR="00BA5479" w:rsidRPr="00613734" w:rsidRDefault="00BA5479" w:rsidP="00613734">
      <w:pPr>
        <w:ind w:right="-93"/>
      </w:pPr>
      <w:r w:rsidRPr="00613734">
        <w:t>SCMM/AGZ/DEMF/ESS</w:t>
      </w:r>
    </w:p>
    <w:p w14:paraId="49D72DA3" w14:textId="77777777" w:rsidR="00664420" w:rsidRPr="00613734" w:rsidRDefault="00664420" w:rsidP="00613734">
      <w:pPr>
        <w:ind w:right="-93"/>
        <w:rPr>
          <w:rFonts w:eastAsia="Calibri" w:cs="Tahoma"/>
          <w:bCs/>
          <w:szCs w:val="22"/>
          <w:lang w:eastAsia="en-US"/>
        </w:rPr>
      </w:pPr>
    </w:p>
    <w:p w14:paraId="5EFEA0CD" w14:textId="77777777" w:rsidR="00664420" w:rsidRPr="00613734" w:rsidRDefault="00664420" w:rsidP="00613734">
      <w:pPr>
        <w:ind w:right="-93"/>
        <w:rPr>
          <w:rFonts w:eastAsia="Calibri" w:cs="Tahoma"/>
          <w:szCs w:val="22"/>
          <w:lang w:val="es-ES"/>
        </w:rPr>
      </w:pPr>
    </w:p>
    <w:p w14:paraId="696BC976" w14:textId="77777777" w:rsidR="00664420" w:rsidRPr="00613734" w:rsidRDefault="00664420" w:rsidP="00613734">
      <w:pPr>
        <w:ind w:right="-93"/>
        <w:rPr>
          <w:rFonts w:eastAsia="Calibri" w:cs="Tahoma"/>
          <w:bCs/>
          <w:szCs w:val="22"/>
          <w:lang w:val="es-ES" w:eastAsia="en-US"/>
        </w:rPr>
      </w:pPr>
    </w:p>
    <w:p w14:paraId="671CB0C5" w14:textId="77777777" w:rsidR="00664420" w:rsidRPr="00613734" w:rsidRDefault="00664420" w:rsidP="00613734">
      <w:pPr>
        <w:ind w:right="-93"/>
        <w:rPr>
          <w:rFonts w:eastAsia="Calibri" w:cs="Tahoma"/>
          <w:bCs/>
          <w:szCs w:val="22"/>
          <w:lang w:val="es-ES_tradnl" w:eastAsia="en-US"/>
        </w:rPr>
      </w:pPr>
    </w:p>
    <w:p w14:paraId="52B66DE7" w14:textId="77777777" w:rsidR="00664420" w:rsidRPr="00613734" w:rsidRDefault="00664420" w:rsidP="00613734">
      <w:pPr>
        <w:ind w:right="-93"/>
        <w:rPr>
          <w:rFonts w:eastAsia="Calibri" w:cs="Tahoma"/>
          <w:bCs/>
          <w:szCs w:val="22"/>
          <w:lang w:val="es-ES_tradnl" w:eastAsia="en-US"/>
        </w:rPr>
      </w:pPr>
    </w:p>
    <w:p w14:paraId="3BA305D1" w14:textId="77777777" w:rsidR="00664420" w:rsidRPr="00613734" w:rsidRDefault="00664420" w:rsidP="00613734">
      <w:pPr>
        <w:ind w:right="-93"/>
        <w:rPr>
          <w:rFonts w:eastAsia="Calibri" w:cs="Tahoma"/>
          <w:bCs/>
          <w:szCs w:val="22"/>
          <w:lang w:val="es-ES_tradnl" w:eastAsia="en-US"/>
        </w:rPr>
      </w:pPr>
    </w:p>
    <w:p w14:paraId="78230707" w14:textId="77777777" w:rsidR="00664420" w:rsidRPr="00613734" w:rsidRDefault="00664420" w:rsidP="00613734">
      <w:pPr>
        <w:ind w:right="-93"/>
        <w:rPr>
          <w:rFonts w:eastAsia="Calibri" w:cs="Tahoma"/>
          <w:bCs/>
          <w:szCs w:val="22"/>
          <w:lang w:val="es-ES_tradnl" w:eastAsia="en-US"/>
        </w:rPr>
      </w:pPr>
    </w:p>
    <w:p w14:paraId="72D18B28" w14:textId="77777777" w:rsidR="00664420" w:rsidRPr="00613734" w:rsidRDefault="00664420" w:rsidP="00613734">
      <w:pPr>
        <w:ind w:right="-93"/>
        <w:rPr>
          <w:rFonts w:eastAsia="Calibri" w:cs="Tahoma"/>
          <w:bCs/>
          <w:szCs w:val="22"/>
          <w:lang w:val="es-ES_tradnl" w:eastAsia="en-US"/>
        </w:rPr>
      </w:pPr>
    </w:p>
    <w:p w14:paraId="6BD461DC" w14:textId="77777777" w:rsidR="00664420" w:rsidRPr="00613734" w:rsidRDefault="00664420" w:rsidP="00613734">
      <w:pPr>
        <w:tabs>
          <w:tab w:val="center" w:pos="4568"/>
        </w:tabs>
        <w:ind w:right="-93"/>
        <w:rPr>
          <w:rFonts w:eastAsia="Calibri" w:cs="Tahoma"/>
          <w:bCs/>
          <w:szCs w:val="22"/>
          <w:lang w:eastAsia="en-US"/>
        </w:rPr>
      </w:pPr>
    </w:p>
    <w:p w14:paraId="4DBB1727" w14:textId="77777777" w:rsidR="00664420" w:rsidRPr="00613734" w:rsidRDefault="00664420" w:rsidP="00613734">
      <w:pPr>
        <w:tabs>
          <w:tab w:val="center" w:pos="4568"/>
        </w:tabs>
        <w:ind w:right="-93"/>
        <w:rPr>
          <w:rFonts w:eastAsia="Calibri" w:cs="Tahoma"/>
          <w:bCs/>
          <w:szCs w:val="22"/>
          <w:lang w:eastAsia="en-US"/>
        </w:rPr>
      </w:pPr>
    </w:p>
    <w:p w14:paraId="1D74121B" w14:textId="77777777" w:rsidR="00664420" w:rsidRPr="00613734" w:rsidRDefault="00664420" w:rsidP="00613734">
      <w:pPr>
        <w:tabs>
          <w:tab w:val="center" w:pos="4568"/>
        </w:tabs>
        <w:ind w:right="-93"/>
        <w:rPr>
          <w:rFonts w:eastAsia="Calibri" w:cs="Tahoma"/>
          <w:bCs/>
          <w:szCs w:val="22"/>
          <w:lang w:eastAsia="en-US"/>
        </w:rPr>
      </w:pPr>
    </w:p>
    <w:p w14:paraId="08E74E9C" w14:textId="77777777" w:rsidR="00664420" w:rsidRPr="00613734" w:rsidRDefault="00664420" w:rsidP="00613734">
      <w:pPr>
        <w:tabs>
          <w:tab w:val="center" w:pos="4568"/>
        </w:tabs>
        <w:ind w:right="-93"/>
        <w:rPr>
          <w:rFonts w:eastAsia="Calibri" w:cs="Tahoma"/>
          <w:bCs/>
          <w:szCs w:val="22"/>
          <w:lang w:eastAsia="en-US"/>
        </w:rPr>
      </w:pPr>
    </w:p>
    <w:p w14:paraId="2CBF5E03" w14:textId="77777777" w:rsidR="00664420" w:rsidRPr="00613734" w:rsidRDefault="00664420" w:rsidP="00613734">
      <w:pPr>
        <w:tabs>
          <w:tab w:val="center" w:pos="4568"/>
        </w:tabs>
        <w:ind w:right="-93"/>
        <w:rPr>
          <w:rFonts w:eastAsia="Calibri" w:cs="Tahoma"/>
          <w:bCs/>
          <w:szCs w:val="22"/>
          <w:lang w:eastAsia="en-US"/>
        </w:rPr>
      </w:pPr>
    </w:p>
    <w:p w14:paraId="44865A6D" w14:textId="77777777" w:rsidR="00664420" w:rsidRPr="00613734" w:rsidRDefault="00664420" w:rsidP="00613734">
      <w:pPr>
        <w:tabs>
          <w:tab w:val="center" w:pos="4568"/>
        </w:tabs>
        <w:ind w:right="-93"/>
        <w:rPr>
          <w:rFonts w:eastAsia="Calibri" w:cs="Tahoma"/>
          <w:bCs/>
          <w:szCs w:val="22"/>
          <w:lang w:eastAsia="en-US"/>
        </w:rPr>
      </w:pPr>
    </w:p>
    <w:p w14:paraId="7147F06B" w14:textId="77777777" w:rsidR="00664420" w:rsidRPr="00613734" w:rsidRDefault="00664420" w:rsidP="00613734">
      <w:pPr>
        <w:tabs>
          <w:tab w:val="center" w:pos="4568"/>
        </w:tabs>
        <w:ind w:right="-93"/>
        <w:rPr>
          <w:rFonts w:eastAsia="Calibri" w:cs="Tahoma"/>
          <w:bCs/>
          <w:szCs w:val="22"/>
          <w:lang w:eastAsia="en-US"/>
        </w:rPr>
      </w:pPr>
    </w:p>
    <w:p w14:paraId="6FDF3D7E" w14:textId="77777777" w:rsidR="00664420" w:rsidRPr="00613734" w:rsidRDefault="00664420" w:rsidP="00613734">
      <w:pPr>
        <w:tabs>
          <w:tab w:val="center" w:pos="4568"/>
        </w:tabs>
        <w:ind w:right="-93"/>
        <w:rPr>
          <w:rFonts w:eastAsia="Calibri" w:cs="Tahoma"/>
          <w:bCs/>
          <w:szCs w:val="22"/>
          <w:lang w:eastAsia="en-US"/>
        </w:rPr>
      </w:pPr>
    </w:p>
    <w:p w14:paraId="6246F818" w14:textId="77777777" w:rsidR="00664420" w:rsidRPr="00613734" w:rsidRDefault="00664420" w:rsidP="00613734">
      <w:pPr>
        <w:tabs>
          <w:tab w:val="center" w:pos="4568"/>
        </w:tabs>
        <w:ind w:right="-93"/>
        <w:rPr>
          <w:rFonts w:eastAsia="Calibri" w:cs="Tahoma"/>
          <w:bCs/>
          <w:szCs w:val="22"/>
          <w:lang w:eastAsia="en-US"/>
        </w:rPr>
      </w:pPr>
    </w:p>
    <w:p w14:paraId="57A88B28" w14:textId="77777777" w:rsidR="00664420" w:rsidRPr="00613734" w:rsidRDefault="00664420" w:rsidP="00613734">
      <w:pPr>
        <w:tabs>
          <w:tab w:val="center" w:pos="4568"/>
        </w:tabs>
        <w:ind w:right="-93"/>
        <w:rPr>
          <w:rFonts w:eastAsia="Calibri" w:cs="Tahoma"/>
          <w:bCs/>
          <w:szCs w:val="22"/>
          <w:lang w:eastAsia="en-US"/>
        </w:rPr>
      </w:pPr>
    </w:p>
    <w:p w14:paraId="77EF6095" w14:textId="77777777" w:rsidR="00664420" w:rsidRPr="00613734" w:rsidRDefault="00664420" w:rsidP="00613734">
      <w:pPr>
        <w:tabs>
          <w:tab w:val="center" w:pos="4568"/>
        </w:tabs>
        <w:ind w:right="-93"/>
        <w:rPr>
          <w:rFonts w:eastAsia="Calibri" w:cs="Tahoma"/>
          <w:bCs/>
          <w:szCs w:val="22"/>
          <w:lang w:eastAsia="en-US"/>
        </w:rPr>
      </w:pPr>
    </w:p>
    <w:p w14:paraId="35593947" w14:textId="77777777" w:rsidR="00664420" w:rsidRPr="00613734" w:rsidRDefault="00664420" w:rsidP="00613734">
      <w:pPr>
        <w:tabs>
          <w:tab w:val="center" w:pos="4568"/>
        </w:tabs>
        <w:ind w:right="-93"/>
        <w:rPr>
          <w:rFonts w:eastAsia="Calibri" w:cs="Tahoma"/>
          <w:bCs/>
          <w:szCs w:val="22"/>
          <w:lang w:eastAsia="en-US"/>
        </w:rPr>
      </w:pPr>
    </w:p>
    <w:p w14:paraId="3AF72A17" w14:textId="77777777" w:rsidR="00664420" w:rsidRPr="00613734" w:rsidRDefault="00664420" w:rsidP="00613734">
      <w:pPr>
        <w:tabs>
          <w:tab w:val="center" w:pos="4568"/>
        </w:tabs>
        <w:ind w:right="-93"/>
        <w:rPr>
          <w:rFonts w:eastAsia="Calibri" w:cs="Tahoma"/>
          <w:bCs/>
          <w:szCs w:val="22"/>
          <w:lang w:eastAsia="en-US"/>
        </w:rPr>
      </w:pPr>
    </w:p>
    <w:p w14:paraId="37169144" w14:textId="77777777" w:rsidR="00664420" w:rsidRPr="00613734" w:rsidRDefault="00664420" w:rsidP="00613734">
      <w:pPr>
        <w:tabs>
          <w:tab w:val="center" w:pos="4568"/>
        </w:tabs>
        <w:ind w:right="-93"/>
        <w:rPr>
          <w:rFonts w:eastAsia="Calibri" w:cs="Tahoma"/>
          <w:bCs/>
          <w:szCs w:val="22"/>
          <w:lang w:eastAsia="en-US"/>
        </w:rPr>
      </w:pPr>
    </w:p>
    <w:p w14:paraId="77CFC088" w14:textId="77777777" w:rsidR="00664420" w:rsidRPr="00613734" w:rsidRDefault="00664420" w:rsidP="00613734">
      <w:pPr>
        <w:tabs>
          <w:tab w:val="center" w:pos="4568"/>
        </w:tabs>
        <w:ind w:right="-93"/>
        <w:rPr>
          <w:rFonts w:eastAsia="Calibri" w:cs="Tahoma"/>
          <w:bCs/>
          <w:szCs w:val="22"/>
          <w:lang w:eastAsia="en-US"/>
        </w:rPr>
      </w:pPr>
    </w:p>
    <w:p w14:paraId="781A11A5" w14:textId="77777777" w:rsidR="00664420" w:rsidRPr="00613734" w:rsidRDefault="00664420" w:rsidP="00613734">
      <w:pPr>
        <w:tabs>
          <w:tab w:val="center" w:pos="4568"/>
        </w:tabs>
        <w:ind w:right="-93"/>
        <w:rPr>
          <w:rFonts w:eastAsia="Calibri" w:cs="Tahoma"/>
          <w:bCs/>
          <w:szCs w:val="22"/>
          <w:lang w:eastAsia="en-US"/>
        </w:rPr>
      </w:pPr>
    </w:p>
    <w:p w14:paraId="5B4ADFF3" w14:textId="77777777" w:rsidR="00A131AC" w:rsidRPr="00613734" w:rsidRDefault="00A131AC" w:rsidP="00613734"/>
    <w:sectPr w:rsidR="00A131AC" w:rsidRPr="00613734"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69310" w14:textId="77777777" w:rsidR="004E2B3A" w:rsidRDefault="004E2B3A" w:rsidP="00664420">
      <w:pPr>
        <w:spacing w:line="240" w:lineRule="auto"/>
      </w:pPr>
      <w:r>
        <w:separator/>
      </w:r>
    </w:p>
  </w:endnote>
  <w:endnote w:type="continuationSeparator" w:id="0">
    <w:p w14:paraId="6DD49842" w14:textId="77777777" w:rsidR="004E2B3A" w:rsidRDefault="004E2B3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24E27" w:rsidRDefault="00624E27">
    <w:pPr>
      <w:tabs>
        <w:tab w:val="center" w:pos="4550"/>
        <w:tab w:val="left" w:pos="5818"/>
      </w:tabs>
      <w:ind w:right="260"/>
      <w:jc w:val="right"/>
      <w:rPr>
        <w:color w:val="071320" w:themeColor="text2" w:themeShade="80"/>
        <w:sz w:val="24"/>
        <w:szCs w:val="24"/>
      </w:rPr>
    </w:pPr>
  </w:p>
  <w:p w14:paraId="1BCA7F23" w14:textId="77777777" w:rsidR="00624E27" w:rsidRDefault="00624E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24E27" w:rsidRDefault="00624E2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E3B41" w:rsidRPr="00DE3B41">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E3B41" w:rsidRPr="00DE3B41">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624E27" w:rsidRDefault="00624E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1B56E" w14:textId="77777777" w:rsidR="004E2B3A" w:rsidRDefault="004E2B3A" w:rsidP="00664420">
      <w:pPr>
        <w:spacing w:line="240" w:lineRule="auto"/>
      </w:pPr>
      <w:r>
        <w:separator/>
      </w:r>
    </w:p>
  </w:footnote>
  <w:footnote w:type="continuationSeparator" w:id="0">
    <w:p w14:paraId="15D48700" w14:textId="77777777" w:rsidR="004E2B3A" w:rsidRDefault="004E2B3A" w:rsidP="00664420">
      <w:pPr>
        <w:spacing w:line="240" w:lineRule="auto"/>
      </w:pPr>
      <w:r>
        <w:continuationSeparator/>
      </w:r>
    </w:p>
  </w:footnote>
  <w:footnote w:id="1">
    <w:p w14:paraId="28A61551" w14:textId="6958B8D6" w:rsidR="00624E27" w:rsidRPr="001C2B22" w:rsidRDefault="00624E27" w:rsidP="001C2B22">
      <w:pPr>
        <w:pStyle w:val="Textonotapie"/>
        <w:rPr>
          <w:sz w:val="16"/>
          <w:szCs w:val="16"/>
        </w:rPr>
      </w:pPr>
      <w:r w:rsidRPr="001C2B22">
        <w:rPr>
          <w:rStyle w:val="Refdenotaalpie"/>
          <w:sz w:val="16"/>
          <w:szCs w:val="16"/>
        </w:rPr>
        <w:footnoteRef/>
      </w:r>
      <w:r w:rsidRPr="001C2B22">
        <w:rPr>
          <w:sz w:val="16"/>
          <w:szCs w:val="16"/>
        </w:rPr>
        <w:t xml:space="preserve"> AGRAVIOS INATENDIBLES. SON AQUELLOS QUE NO IMPUGNAN LAS CONSIDERACIONES Y FUNDAMENTOS DEL FALLO RECURRIDO.</w:t>
      </w:r>
      <w:r>
        <w:rPr>
          <w:sz w:val="16"/>
          <w:szCs w:val="16"/>
        </w:rPr>
        <w:t xml:space="preserve"> </w:t>
      </w:r>
      <w:r w:rsidRPr="001C2B22">
        <w:rPr>
          <w:sz w:val="16"/>
          <w:szCs w:val="16"/>
        </w:rPr>
        <w:t>Cuando no estén dadas las condiciones que la ley establece para suplir la queja deficiente, deben desestimarse por inatendibles los agravios expresados en el recurso de revisión, si no contienen razonamiento jurídico alguno, tendiente a desvirtuar los fundamentos y consideraciones en que se sustenta el fallo recurrido.</w:t>
      </w:r>
      <w:r>
        <w:rPr>
          <w:sz w:val="16"/>
          <w:szCs w:val="16"/>
        </w:rPr>
        <w:t xml:space="preserve"> </w:t>
      </w:r>
      <w:r w:rsidRPr="001C2B22">
        <w:rPr>
          <w:sz w:val="16"/>
          <w:szCs w:val="16"/>
        </w:rPr>
        <w:t>PRIMER TRIBUNAL COLEGIADO DEL SEXTO CIRCUITO. Registro digital: 220368</w:t>
      </w:r>
      <w:r>
        <w:rPr>
          <w:sz w:val="16"/>
          <w:szCs w:val="16"/>
        </w:rPr>
        <w:t xml:space="preserve">, </w:t>
      </w:r>
      <w:r w:rsidRPr="001C2B22">
        <w:rPr>
          <w:sz w:val="16"/>
          <w:szCs w:val="16"/>
        </w:rPr>
        <w:t>Instancia: Tribunales Colegiados de Circuito</w:t>
      </w:r>
      <w:r>
        <w:rPr>
          <w:sz w:val="16"/>
          <w:szCs w:val="16"/>
        </w:rPr>
        <w:t xml:space="preserve">, </w:t>
      </w:r>
      <w:r w:rsidRPr="001C2B22">
        <w:rPr>
          <w:sz w:val="16"/>
          <w:szCs w:val="16"/>
        </w:rPr>
        <w:t>Octava Época</w:t>
      </w:r>
      <w:r>
        <w:rPr>
          <w:sz w:val="16"/>
          <w:szCs w:val="16"/>
        </w:rPr>
        <w:t xml:space="preserve">, </w:t>
      </w:r>
      <w:r w:rsidRPr="001C2B22">
        <w:rPr>
          <w:sz w:val="16"/>
          <w:szCs w:val="16"/>
        </w:rPr>
        <w:t>Materia(s): Común</w:t>
      </w:r>
      <w:r>
        <w:rPr>
          <w:sz w:val="16"/>
          <w:szCs w:val="16"/>
        </w:rPr>
        <w:t xml:space="preserve">, </w:t>
      </w:r>
      <w:r w:rsidRPr="001C2B22">
        <w:rPr>
          <w:sz w:val="16"/>
          <w:szCs w:val="16"/>
        </w:rPr>
        <w:t>Tesis:VI. 1o. J/67</w:t>
      </w:r>
      <w:r>
        <w:rPr>
          <w:sz w:val="16"/>
          <w:szCs w:val="16"/>
        </w:rPr>
        <w:t xml:space="preserve">, </w:t>
      </w:r>
      <w:r w:rsidRPr="001C2B22">
        <w:rPr>
          <w:sz w:val="16"/>
          <w:szCs w:val="16"/>
        </w:rPr>
        <w:t>Fuente: Semanario Judicial de la Federación</w:t>
      </w:r>
      <w:r>
        <w:rPr>
          <w:sz w:val="16"/>
          <w:szCs w:val="16"/>
        </w:rPr>
        <w:t xml:space="preserve">, </w:t>
      </w:r>
      <w:r w:rsidRPr="001C2B22">
        <w:rPr>
          <w:sz w:val="16"/>
          <w:szCs w:val="16"/>
        </w:rPr>
        <w:t>Tipo: Tesis de Jurisprudencia</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24E27" w:rsidRPr="00330DA7" w14:paraId="070A4B18" w14:textId="77777777" w:rsidTr="003F35FD">
      <w:trPr>
        <w:trHeight w:val="144"/>
        <w:jc w:val="right"/>
      </w:trPr>
      <w:tc>
        <w:tcPr>
          <w:tcW w:w="2727" w:type="dxa"/>
        </w:tcPr>
        <w:p w14:paraId="62B7493A" w14:textId="77777777" w:rsidR="00624E27" w:rsidRPr="00330DA7" w:rsidRDefault="00624E27" w:rsidP="004A5316">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45E2933" w:rsidR="00624E27" w:rsidRPr="00A90C72" w:rsidRDefault="00624E27" w:rsidP="004A5316">
          <w:pPr>
            <w:tabs>
              <w:tab w:val="right" w:pos="8838"/>
            </w:tabs>
            <w:spacing w:line="240" w:lineRule="auto"/>
            <w:ind w:left="-74" w:right="-105"/>
            <w:rPr>
              <w:rFonts w:eastAsia="Calibri" w:cs="Tahoma"/>
              <w:szCs w:val="22"/>
              <w:lang w:eastAsia="en-US"/>
            </w:rPr>
          </w:pPr>
          <w:r>
            <w:rPr>
              <w:rFonts w:eastAsia="Calibri" w:cs="Tahoma"/>
              <w:szCs w:val="22"/>
              <w:lang w:eastAsia="en-US"/>
            </w:rPr>
            <w:t>00672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2025 </w:t>
          </w:r>
        </w:p>
      </w:tc>
    </w:tr>
    <w:tr w:rsidR="00624E27" w:rsidRPr="00330DA7" w14:paraId="4521E058" w14:textId="77777777" w:rsidTr="003F35FD">
      <w:trPr>
        <w:trHeight w:val="283"/>
        <w:jc w:val="right"/>
      </w:trPr>
      <w:tc>
        <w:tcPr>
          <w:tcW w:w="2727" w:type="dxa"/>
        </w:tcPr>
        <w:p w14:paraId="0B68C086" w14:textId="77777777" w:rsidR="00624E27" w:rsidRPr="00330DA7" w:rsidRDefault="00624E27" w:rsidP="004A5316">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DBC8501" w:rsidR="00624E27" w:rsidRPr="00952DD0" w:rsidRDefault="00624E27" w:rsidP="004A5316">
          <w:pPr>
            <w:tabs>
              <w:tab w:val="left" w:pos="2834"/>
              <w:tab w:val="right" w:pos="8838"/>
            </w:tabs>
            <w:spacing w:line="240" w:lineRule="auto"/>
            <w:ind w:left="-108" w:right="-105"/>
            <w:rPr>
              <w:rFonts w:eastAsia="Calibri" w:cs="Tahoma"/>
              <w:szCs w:val="22"/>
              <w:lang w:eastAsia="en-US"/>
            </w:rPr>
          </w:pPr>
          <w:r w:rsidRPr="004A5316">
            <w:rPr>
              <w:rFonts w:eastAsia="Calibri" w:cs="Tahoma"/>
              <w:szCs w:val="22"/>
              <w:lang w:eastAsia="en-US"/>
            </w:rPr>
            <w:t>Ayuntamiento de Naucalpan de Juárez</w:t>
          </w:r>
        </w:p>
      </w:tc>
    </w:tr>
    <w:tr w:rsidR="00624E27" w:rsidRPr="00330DA7" w14:paraId="6331D9B6" w14:textId="77777777" w:rsidTr="003F35FD">
      <w:trPr>
        <w:trHeight w:val="283"/>
        <w:jc w:val="right"/>
      </w:trPr>
      <w:tc>
        <w:tcPr>
          <w:tcW w:w="2727" w:type="dxa"/>
        </w:tcPr>
        <w:p w14:paraId="3FA86BAE" w14:textId="24BDEF11" w:rsidR="00624E27" w:rsidRPr="00330DA7" w:rsidRDefault="00624E27" w:rsidP="004A5316">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624E27" w:rsidRPr="00EA66FC" w:rsidRDefault="00624E27" w:rsidP="004A5316">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25DD3A7A" w:rsidR="00624E27" w:rsidRPr="00443C6B" w:rsidRDefault="004E2B3A" w:rsidP="00AE3DA7">
    <w:pPr>
      <w:pStyle w:val="Encabezado"/>
      <w:tabs>
        <w:tab w:val="clear" w:pos="4419"/>
        <w:tab w:val="clear" w:pos="8838"/>
        <w:tab w:val="center" w:pos="4522"/>
        <w:tab w:val="left" w:pos="6203"/>
      </w:tabs>
      <w:rPr>
        <w:sz w:val="14"/>
      </w:rPr>
    </w:pPr>
    <w:r>
      <w:rPr>
        <w:noProof/>
        <w:sz w:val="14"/>
        <w14:ligatures w14:val="standardContextual"/>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left:0;text-align:left;margin-left:-78.65pt;margin-top:-125.5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24E27" w:rsidRPr="00330DA7" w14:paraId="29CFF901" w14:textId="77777777" w:rsidTr="00791F90">
      <w:trPr>
        <w:trHeight w:val="1435"/>
      </w:trPr>
      <w:tc>
        <w:tcPr>
          <w:tcW w:w="283" w:type="dxa"/>
          <w:shd w:val="clear" w:color="auto" w:fill="auto"/>
        </w:tcPr>
        <w:p w14:paraId="046B9F8F" w14:textId="77777777" w:rsidR="00624E27" w:rsidRPr="00330DA7" w:rsidRDefault="00624E27" w:rsidP="00791F90">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24E27" w:rsidRPr="00330DA7" w14:paraId="04F272D2" w14:textId="77777777" w:rsidTr="00791F90">
            <w:trPr>
              <w:trHeight w:val="144"/>
            </w:trPr>
            <w:tc>
              <w:tcPr>
                <w:tcW w:w="2727" w:type="dxa"/>
              </w:tcPr>
              <w:p w14:paraId="2FD4DBF6" w14:textId="77777777" w:rsidR="00624E27" w:rsidRPr="00330DA7" w:rsidRDefault="00624E27" w:rsidP="004A5316">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66FAD1A" w:rsidR="00624E27" w:rsidRPr="00A90C72" w:rsidRDefault="00624E27" w:rsidP="004A5316">
                <w:pPr>
                  <w:tabs>
                    <w:tab w:val="right" w:pos="8838"/>
                  </w:tabs>
                  <w:spacing w:line="240" w:lineRule="auto"/>
                  <w:ind w:left="-74" w:right="-105"/>
                  <w:rPr>
                    <w:rFonts w:eastAsia="Calibri" w:cs="Tahoma"/>
                    <w:szCs w:val="22"/>
                    <w:lang w:eastAsia="en-US"/>
                  </w:rPr>
                </w:pPr>
                <w:r>
                  <w:rPr>
                    <w:rFonts w:eastAsia="Calibri" w:cs="Tahoma"/>
                    <w:szCs w:val="22"/>
                    <w:lang w:eastAsia="en-US"/>
                  </w:rPr>
                  <w:t>00672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2025 </w:t>
                </w:r>
              </w:p>
            </w:tc>
            <w:tc>
              <w:tcPr>
                <w:tcW w:w="3402" w:type="dxa"/>
              </w:tcPr>
              <w:p w14:paraId="71DEA1CF" w14:textId="77777777" w:rsidR="00624E27" w:rsidRDefault="00624E27" w:rsidP="004A5316">
                <w:pPr>
                  <w:tabs>
                    <w:tab w:val="right" w:pos="8838"/>
                  </w:tabs>
                  <w:spacing w:line="240" w:lineRule="auto"/>
                  <w:ind w:left="-74" w:right="-105"/>
                  <w:rPr>
                    <w:rFonts w:eastAsia="Calibri" w:cs="Tahoma"/>
                    <w:szCs w:val="22"/>
                    <w:lang w:eastAsia="en-US"/>
                  </w:rPr>
                </w:pPr>
              </w:p>
            </w:tc>
          </w:tr>
          <w:tr w:rsidR="00624E27" w:rsidRPr="00330DA7" w14:paraId="05C58951" w14:textId="77777777" w:rsidTr="00791F90">
            <w:trPr>
              <w:trHeight w:val="144"/>
            </w:trPr>
            <w:tc>
              <w:tcPr>
                <w:tcW w:w="2727" w:type="dxa"/>
              </w:tcPr>
              <w:p w14:paraId="642B9610" w14:textId="77777777" w:rsidR="00624E27" w:rsidRPr="00330DA7" w:rsidRDefault="00624E27" w:rsidP="004A5316">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5E1DEF7" w:rsidR="00624E27" w:rsidRPr="005F19B1" w:rsidRDefault="00464827" w:rsidP="004A5316">
                <w:pPr>
                  <w:tabs>
                    <w:tab w:val="left" w:pos="3122"/>
                    <w:tab w:val="right" w:pos="8838"/>
                  </w:tabs>
                  <w:spacing w:line="240" w:lineRule="auto"/>
                  <w:ind w:left="-105" w:right="-105"/>
                  <w:rPr>
                    <w:rFonts w:eastAsia="Calibri" w:cs="Tahoma"/>
                    <w:szCs w:val="22"/>
                    <w:lang w:eastAsia="en-US"/>
                  </w:rPr>
                </w:pPr>
                <w:r>
                  <w:rPr>
                    <w:rFonts w:eastAsia="Calibri" w:cs="Tahoma"/>
                    <w:szCs w:val="22"/>
                    <w:lang w:eastAsia="en-US"/>
                  </w:rPr>
                  <w:t>XXXXXXX XXXXXX XXXXXXXXXXX</w:t>
                </w:r>
              </w:p>
            </w:tc>
            <w:tc>
              <w:tcPr>
                <w:tcW w:w="3402" w:type="dxa"/>
              </w:tcPr>
              <w:p w14:paraId="73F47F53" w14:textId="77777777" w:rsidR="00624E27" w:rsidRPr="005F19B1" w:rsidRDefault="00624E27" w:rsidP="004A5316">
                <w:pPr>
                  <w:tabs>
                    <w:tab w:val="left" w:pos="3122"/>
                    <w:tab w:val="right" w:pos="8838"/>
                  </w:tabs>
                  <w:spacing w:line="240" w:lineRule="auto"/>
                  <w:ind w:left="-105" w:right="-105"/>
                  <w:rPr>
                    <w:rFonts w:eastAsia="Calibri" w:cs="Tahoma"/>
                    <w:szCs w:val="22"/>
                    <w:lang w:eastAsia="en-US"/>
                  </w:rPr>
                </w:pPr>
              </w:p>
            </w:tc>
          </w:tr>
          <w:bookmarkEnd w:id="1"/>
          <w:tr w:rsidR="00624E27" w:rsidRPr="00330DA7" w14:paraId="00E6CDC1" w14:textId="77777777" w:rsidTr="00791F90">
            <w:trPr>
              <w:trHeight w:val="283"/>
            </w:trPr>
            <w:tc>
              <w:tcPr>
                <w:tcW w:w="2727" w:type="dxa"/>
              </w:tcPr>
              <w:p w14:paraId="0631AD24" w14:textId="77777777" w:rsidR="00624E27" w:rsidRPr="00330DA7" w:rsidRDefault="00624E27" w:rsidP="004A5316">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333E8F7" w:rsidR="00624E27" w:rsidRPr="00952DD0" w:rsidRDefault="00624E27" w:rsidP="004A5316">
                <w:pPr>
                  <w:tabs>
                    <w:tab w:val="left" w:pos="2834"/>
                    <w:tab w:val="right" w:pos="8838"/>
                  </w:tabs>
                  <w:spacing w:line="240" w:lineRule="auto"/>
                  <w:ind w:left="-108" w:right="-105"/>
                  <w:rPr>
                    <w:rFonts w:eastAsia="Calibri" w:cs="Tahoma"/>
                    <w:szCs w:val="22"/>
                    <w:lang w:eastAsia="en-US"/>
                  </w:rPr>
                </w:pPr>
                <w:r w:rsidRPr="004A5316">
                  <w:rPr>
                    <w:rFonts w:eastAsia="Calibri" w:cs="Tahoma"/>
                    <w:szCs w:val="22"/>
                    <w:lang w:eastAsia="en-US"/>
                  </w:rPr>
                  <w:t>Ayuntamiento de Naucalpan de Juárez</w:t>
                </w:r>
              </w:p>
            </w:tc>
            <w:tc>
              <w:tcPr>
                <w:tcW w:w="3402" w:type="dxa"/>
              </w:tcPr>
              <w:p w14:paraId="3A7DA319" w14:textId="77777777" w:rsidR="00624E27" w:rsidRPr="00A90C72" w:rsidRDefault="00624E27" w:rsidP="004A5316">
                <w:pPr>
                  <w:tabs>
                    <w:tab w:val="left" w:pos="2834"/>
                    <w:tab w:val="right" w:pos="8838"/>
                  </w:tabs>
                  <w:spacing w:line="240" w:lineRule="auto"/>
                  <w:ind w:left="-108" w:right="-105"/>
                  <w:rPr>
                    <w:rFonts w:eastAsia="Calibri" w:cs="Tahoma"/>
                    <w:szCs w:val="22"/>
                    <w:lang w:eastAsia="en-US"/>
                  </w:rPr>
                </w:pPr>
              </w:p>
            </w:tc>
          </w:tr>
          <w:tr w:rsidR="00624E27" w:rsidRPr="00330DA7" w14:paraId="0F6CD8D2" w14:textId="77777777" w:rsidTr="00791F90">
            <w:trPr>
              <w:trHeight w:val="283"/>
            </w:trPr>
            <w:tc>
              <w:tcPr>
                <w:tcW w:w="2727" w:type="dxa"/>
              </w:tcPr>
              <w:p w14:paraId="31700628" w14:textId="7607B0FB" w:rsidR="00624E27" w:rsidRPr="00330DA7" w:rsidRDefault="00624E27" w:rsidP="004A5316">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624E27" w:rsidRPr="00EA66FC" w:rsidRDefault="00624E27" w:rsidP="004A5316">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24E27" w:rsidRPr="00330DA7" w:rsidRDefault="00624E27" w:rsidP="004A5316">
                <w:pPr>
                  <w:tabs>
                    <w:tab w:val="right" w:pos="8838"/>
                  </w:tabs>
                  <w:spacing w:line="240" w:lineRule="auto"/>
                  <w:ind w:left="-108" w:right="-105"/>
                  <w:rPr>
                    <w:rFonts w:eastAsia="Calibri" w:cs="Tahoma"/>
                    <w:szCs w:val="22"/>
                    <w:lang w:eastAsia="en-US"/>
                  </w:rPr>
                </w:pPr>
              </w:p>
            </w:tc>
          </w:tr>
        </w:tbl>
        <w:p w14:paraId="5DC6AC61" w14:textId="77777777" w:rsidR="00624E27" w:rsidRPr="00330DA7" w:rsidRDefault="00624E27" w:rsidP="00791F90">
          <w:pPr>
            <w:tabs>
              <w:tab w:val="right" w:pos="8838"/>
            </w:tabs>
            <w:ind w:left="-28"/>
            <w:rPr>
              <w:rFonts w:ascii="Arial" w:eastAsia="Calibri" w:hAnsi="Arial" w:cs="Arial"/>
              <w:b/>
              <w:szCs w:val="22"/>
              <w:lang w:eastAsia="en-US"/>
            </w:rPr>
          </w:pPr>
        </w:p>
      </w:tc>
    </w:tr>
  </w:tbl>
  <w:p w14:paraId="2A906731" w14:textId="77777777" w:rsidR="00624E27" w:rsidRPr="00765661" w:rsidRDefault="004E2B3A" w:rsidP="00791F90">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AD49F3"/>
    <w:multiLevelType w:val="hybridMultilevel"/>
    <w:tmpl w:val="8D56A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ED6904"/>
    <w:multiLevelType w:val="hybridMultilevel"/>
    <w:tmpl w:val="DCDC7D0C"/>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3A45F36"/>
    <w:multiLevelType w:val="hybridMultilevel"/>
    <w:tmpl w:val="53BCA2FC"/>
    <w:lvl w:ilvl="0" w:tplc="080A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45E1D7F"/>
    <w:multiLevelType w:val="hybridMultilevel"/>
    <w:tmpl w:val="0A081832"/>
    <w:lvl w:ilvl="0" w:tplc="ADE23C5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B76A1"/>
    <w:multiLevelType w:val="hybridMultilevel"/>
    <w:tmpl w:val="428670F2"/>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9D04A70"/>
    <w:multiLevelType w:val="hybridMultilevel"/>
    <w:tmpl w:val="10B2EF4C"/>
    <w:lvl w:ilvl="0" w:tplc="BAAC12B6">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076659"/>
    <w:multiLevelType w:val="hybridMultilevel"/>
    <w:tmpl w:val="421EE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120FC5"/>
    <w:multiLevelType w:val="hybridMultilevel"/>
    <w:tmpl w:val="DCDC7D0C"/>
    <w:lvl w:ilvl="0" w:tplc="D1A8C8D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69217F"/>
    <w:multiLevelType w:val="hybridMultilevel"/>
    <w:tmpl w:val="8E12B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9235AF"/>
    <w:multiLevelType w:val="multilevel"/>
    <w:tmpl w:val="8C90E5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F041119"/>
    <w:multiLevelType w:val="hybridMultilevel"/>
    <w:tmpl w:val="DCDC7D0C"/>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6"/>
  </w:num>
  <w:num w:numId="3">
    <w:abstractNumId w:val="20"/>
  </w:num>
  <w:num w:numId="4">
    <w:abstractNumId w:val="4"/>
  </w:num>
  <w:num w:numId="5">
    <w:abstractNumId w:val="1"/>
  </w:num>
  <w:num w:numId="6">
    <w:abstractNumId w:val="22"/>
  </w:num>
  <w:num w:numId="7">
    <w:abstractNumId w:val="13"/>
  </w:num>
  <w:num w:numId="8">
    <w:abstractNumId w:val="3"/>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2"/>
  </w:num>
  <w:num w:numId="15">
    <w:abstractNumId w:val="14"/>
  </w:num>
  <w:num w:numId="16">
    <w:abstractNumId w:val="23"/>
  </w:num>
  <w:num w:numId="17">
    <w:abstractNumId w:val="5"/>
  </w:num>
  <w:num w:numId="18">
    <w:abstractNumId w:val="21"/>
  </w:num>
  <w:num w:numId="19">
    <w:abstractNumId w:val="18"/>
  </w:num>
  <w:num w:numId="20">
    <w:abstractNumId w:val="9"/>
  </w:num>
  <w:num w:numId="21">
    <w:abstractNumId w:val="11"/>
  </w:num>
  <w:num w:numId="22">
    <w:abstractNumId w:val="15"/>
  </w:num>
  <w:num w:numId="23">
    <w:abstractNumId w:val="19"/>
  </w:num>
  <w:num w:numId="24">
    <w:abstractNumId w:val="24"/>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CA3"/>
    <w:rsid w:val="00004959"/>
    <w:rsid w:val="0000629A"/>
    <w:rsid w:val="00025D48"/>
    <w:rsid w:val="000318BC"/>
    <w:rsid w:val="00057B2D"/>
    <w:rsid w:val="00067698"/>
    <w:rsid w:val="00075021"/>
    <w:rsid w:val="00080071"/>
    <w:rsid w:val="000C0BE5"/>
    <w:rsid w:val="000D07EF"/>
    <w:rsid w:val="000D0D67"/>
    <w:rsid w:val="000E09C4"/>
    <w:rsid w:val="0011350D"/>
    <w:rsid w:val="00117EC9"/>
    <w:rsid w:val="00140633"/>
    <w:rsid w:val="00141876"/>
    <w:rsid w:val="0014207B"/>
    <w:rsid w:val="001426F0"/>
    <w:rsid w:val="00150C49"/>
    <w:rsid w:val="0017451A"/>
    <w:rsid w:val="001904B9"/>
    <w:rsid w:val="001A0FB0"/>
    <w:rsid w:val="001A58B3"/>
    <w:rsid w:val="001C0AAA"/>
    <w:rsid w:val="001C2B22"/>
    <w:rsid w:val="001C7688"/>
    <w:rsid w:val="001F3515"/>
    <w:rsid w:val="0021797D"/>
    <w:rsid w:val="00233005"/>
    <w:rsid w:val="00233E26"/>
    <w:rsid w:val="00233F17"/>
    <w:rsid w:val="002630A2"/>
    <w:rsid w:val="00263330"/>
    <w:rsid w:val="002A3601"/>
    <w:rsid w:val="002B7C6F"/>
    <w:rsid w:val="002D111C"/>
    <w:rsid w:val="00302476"/>
    <w:rsid w:val="00331F35"/>
    <w:rsid w:val="00335CDF"/>
    <w:rsid w:val="0034006A"/>
    <w:rsid w:val="00362A11"/>
    <w:rsid w:val="00384275"/>
    <w:rsid w:val="00385D27"/>
    <w:rsid w:val="003A40C1"/>
    <w:rsid w:val="003B2B13"/>
    <w:rsid w:val="003B5D3E"/>
    <w:rsid w:val="003D160D"/>
    <w:rsid w:val="003F35FD"/>
    <w:rsid w:val="003F5596"/>
    <w:rsid w:val="00401D3C"/>
    <w:rsid w:val="0041385B"/>
    <w:rsid w:val="00441BFA"/>
    <w:rsid w:val="00454FBD"/>
    <w:rsid w:val="00464827"/>
    <w:rsid w:val="00497DFF"/>
    <w:rsid w:val="004A3350"/>
    <w:rsid w:val="004A5316"/>
    <w:rsid w:val="004C6AEB"/>
    <w:rsid w:val="004D7CD8"/>
    <w:rsid w:val="004E2B3A"/>
    <w:rsid w:val="004E5068"/>
    <w:rsid w:val="004F7A00"/>
    <w:rsid w:val="00523F48"/>
    <w:rsid w:val="005365FA"/>
    <w:rsid w:val="00550D2D"/>
    <w:rsid w:val="005723CB"/>
    <w:rsid w:val="00575400"/>
    <w:rsid w:val="00575DA9"/>
    <w:rsid w:val="00597C3F"/>
    <w:rsid w:val="005B18AF"/>
    <w:rsid w:val="005B422B"/>
    <w:rsid w:val="005D5A50"/>
    <w:rsid w:val="005E67E4"/>
    <w:rsid w:val="005E783D"/>
    <w:rsid w:val="005F5301"/>
    <w:rsid w:val="005F65B7"/>
    <w:rsid w:val="006067C7"/>
    <w:rsid w:val="00613734"/>
    <w:rsid w:val="006159AD"/>
    <w:rsid w:val="00624E27"/>
    <w:rsid w:val="00646436"/>
    <w:rsid w:val="00664420"/>
    <w:rsid w:val="006A646A"/>
    <w:rsid w:val="006B10B0"/>
    <w:rsid w:val="006B2DFD"/>
    <w:rsid w:val="006D51EF"/>
    <w:rsid w:val="006E25BC"/>
    <w:rsid w:val="006E5F53"/>
    <w:rsid w:val="006E6BBC"/>
    <w:rsid w:val="006F7768"/>
    <w:rsid w:val="00715FF2"/>
    <w:rsid w:val="00717E59"/>
    <w:rsid w:val="00735CCB"/>
    <w:rsid w:val="00775BFC"/>
    <w:rsid w:val="00790814"/>
    <w:rsid w:val="00791F90"/>
    <w:rsid w:val="0079385E"/>
    <w:rsid w:val="00794F09"/>
    <w:rsid w:val="007A258A"/>
    <w:rsid w:val="007A3459"/>
    <w:rsid w:val="007B6074"/>
    <w:rsid w:val="007D1C55"/>
    <w:rsid w:val="007D317F"/>
    <w:rsid w:val="007E4C53"/>
    <w:rsid w:val="007F5D06"/>
    <w:rsid w:val="007F6427"/>
    <w:rsid w:val="00803FBC"/>
    <w:rsid w:val="00805A6E"/>
    <w:rsid w:val="0080771A"/>
    <w:rsid w:val="00822064"/>
    <w:rsid w:val="00823EFC"/>
    <w:rsid w:val="00827022"/>
    <w:rsid w:val="00852A8A"/>
    <w:rsid w:val="00865CF4"/>
    <w:rsid w:val="00876DBC"/>
    <w:rsid w:val="008A6003"/>
    <w:rsid w:val="008A6F88"/>
    <w:rsid w:val="008B1E16"/>
    <w:rsid w:val="008B68A8"/>
    <w:rsid w:val="008C6035"/>
    <w:rsid w:val="008E1316"/>
    <w:rsid w:val="00910FD2"/>
    <w:rsid w:val="00931437"/>
    <w:rsid w:val="00953430"/>
    <w:rsid w:val="00953C1B"/>
    <w:rsid w:val="00954C0B"/>
    <w:rsid w:val="00963029"/>
    <w:rsid w:val="00970EB3"/>
    <w:rsid w:val="009A18D8"/>
    <w:rsid w:val="009A2D78"/>
    <w:rsid w:val="009A7C10"/>
    <w:rsid w:val="009B2945"/>
    <w:rsid w:val="009E2DEE"/>
    <w:rsid w:val="009F797C"/>
    <w:rsid w:val="00A131AC"/>
    <w:rsid w:val="00A16D85"/>
    <w:rsid w:val="00A21A20"/>
    <w:rsid w:val="00A360BB"/>
    <w:rsid w:val="00A36A99"/>
    <w:rsid w:val="00A40804"/>
    <w:rsid w:val="00A53315"/>
    <w:rsid w:val="00A70EF0"/>
    <w:rsid w:val="00A9208D"/>
    <w:rsid w:val="00A95E57"/>
    <w:rsid w:val="00AA2898"/>
    <w:rsid w:val="00AA6EA9"/>
    <w:rsid w:val="00AC093D"/>
    <w:rsid w:val="00AC2DB8"/>
    <w:rsid w:val="00AC3CA0"/>
    <w:rsid w:val="00AE3DA7"/>
    <w:rsid w:val="00AF03C4"/>
    <w:rsid w:val="00AF68A7"/>
    <w:rsid w:val="00B10E40"/>
    <w:rsid w:val="00B22A80"/>
    <w:rsid w:val="00BA5479"/>
    <w:rsid w:val="00BA55A8"/>
    <w:rsid w:val="00BB2ABF"/>
    <w:rsid w:val="00BB64F4"/>
    <w:rsid w:val="00BD3B7D"/>
    <w:rsid w:val="00BD3F4F"/>
    <w:rsid w:val="00BD5A7C"/>
    <w:rsid w:val="00BE7A1B"/>
    <w:rsid w:val="00BF0221"/>
    <w:rsid w:val="00BF091A"/>
    <w:rsid w:val="00BF4EAD"/>
    <w:rsid w:val="00C049E2"/>
    <w:rsid w:val="00C06DD5"/>
    <w:rsid w:val="00C36795"/>
    <w:rsid w:val="00C461EC"/>
    <w:rsid w:val="00C46A2E"/>
    <w:rsid w:val="00C507D4"/>
    <w:rsid w:val="00C71CEF"/>
    <w:rsid w:val="00C72DAA"/>
    <w:rsid w:val="00C80B14"/>
    <w:rsid w:val="00CB7E9A"/>
    <w:rsid w:val="00CD0B92"/>
    <w:rsid w:val="00CE29D3"/>
    <w:rsid w:val="00CF2D8B"/>
    <w:rsid w:val="00CF7586"/>
    <w:rsid w:val="00D036D3"/>
    <w:rsid w:val="00D2790D"/>
    <w:rsid w:val="00D37098"/>
    <w:rsid w:val="00D51ECD"/>
    <w:rsid w:val="00D6170E"/>
    <w:rsid w:val="00D91CB4"/>
    <w:rsid w:val="00DA142B"/>
    <w:rsid w:val="00DB1C09"/>
    <w:rsid w:val="00DC2BB0"/>
    <w:rsid w:val="00DE1133"/>
    <w:rsid w:val="00DE3B41"/>
    <w:rsid w:val="00DF52C5"/>
    <w:rsid w:val="00E00DC8"/>
    <w:rsid w:val="00E02CE0"/>
    <w:rsid w:val="00E16BF5"/>
    <w:rsid w:val="00E25133"/>
    <w:rsid w:val="00E37A3F"/>
    <w:rsid w:val="00E37D3C"/>
    <w:rsid w:val="00E62E6A"/>
    <w:rsid w:val="00E839D7"/>
    <w:rsid w:val="00E83EF5"/>
    <w:rsid w:val="00E9335C"/>
    <w:rsid w:val="00EB49D8"/>
    <w:rsid w:val="00ED1C1E"/>
    <w:rsid w:val="00EE2AF2"/>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B7D"/>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unhideWhenUsed/>
    <w:rsid w:val="00AA2898"/>
    <w:pPr>
      <w:spacing w:line="240" w:lineRule="auto"/>
    </w:pPr>
    <w:rPr>
      <w:sz w:val="20"/>
    </w:rPr>
  </w:style>
  <w:style w:type="character" w:customStyle="1" w:styleId="TextonotapieCar">
    <w:name w:val="Texto nota pie Car"/>
    <w:basedOn w:val="Fuentedeprrafopredeter"/>
    <w:link w:val="Textonotapie"/>
    <w:uiPriority w:val="99"/>
    <w:rsid w:val="00AA2898"/>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AA2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81388-A161-4504-82D4-E0A92B5B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5651</Words>
  <Characters>31085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2025-03-10T16:25:00Z</cp:lastPrinted>
  <dcterms:created xsi:type="dcterms:W3CDTF">2025-02-27T01:08:00Z</dcterms:created>
  <dcterms:modified xsi:type="dcterms:W3CDTF">2025-04-24T18:21:00Z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