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D95" w:rsidRPr="002D69DA" w:rsidRDefault="004D6D95" w:rsidP="00E84339">
      <w:pPr>
        <w:pStyle w:val="Prrafodelista"/>
        <w:spacing w:line="360" w:lineRule="auto"/>
        <w:ind w:left="0"/>
        <w:jc w:val="both"/>
        <w:rPr>
          <w:rFonts w:ascii="Palatino Linotype" w:eastAsia="Calibri" w:hAnsi="Palatino Linotype" w:cs="Arial"/>
          <w:b/>
          <w:color w:val="000000" w:themeColor="text1"/>
        </w:rPr>
      </w:pPr>
      <w:bookmarkStart w:id="0" w:name="_Toc48841664"/>
      <w:bookmarkStart w:id="1" w:name="_Toc466418172"/>
      <w:bookmarkStart w:id="2" w:name="_Toc462402153"/>
      <w:bookmarkStart w:id="3" w:name="_Toc495430768"/>
      <w:r w:rsidRPr="002D69DA">
        <w:rPr>
          <w:rFonts w:ascii="Palatino Linotype" w:eastAsia="Calibri" w:hAnsi="Palatino Linotype" w:cs="Arial"/>
          <w:color w:val="000000" w:themeColor="text1"/>
        </w:rPr>
        <w:t>Re</w:t>
      </w:r>
      <w:bookmarkStart w:id="4" w:name="_GoBack"/>
      <w:bookmarkEnd w:id="4"/>
      <w:r w:rsidRPr="002D69DA">
        <w:rPr>
          <w:rFonts w:ascii="Palatino Linotype" w:eastAsia="Calibri" w:hAnsi="Palatino Linotype" w:cs="Arial"/>
          <w:color w:val="000000" w:themeColor="text1"/>
        </w:rPr>
        <w:t xml:space="preserve">solución del Pleno del Instituto de Transparencia, Acceso a la Información Pública y Protección de Datos Personales del Estado de México y Municipios, con domicilio en Metepec, Estado de México; </w:t>
      </w:r>
      <w:r w:rsidRPr="002D69DA">
        <w:rPr>
          <w:rFonts w:ascii="Palatino Linotype" w:eastAsia="Calibri" w:hAnsi="Palatino Linotype" w:cs="Arial"/>
          <w:b/>
          <w:color w:val="000000" w:themeColor="text1"/>
        </w:rPr>
        <w:t>de</w:t>
      </w:r>
      <w:r w:rsidR="0040280F">
        <w:rPr>
          <w:rFonts w:ascii="Palatino Linotype" w:eastAsia="Calibri" w:hAnsi="Palatino Linotype" w:cs="Arial"/>
          <w:b/>
          <w:color w:val="000000" w:themeColor="text1"/>
        </w:rPr>
        <w:t xml:space="preserve"> fecha</w:t>
      </w:r>
      <w:r w:rsidRPr="002D69DA">
        <w:rPr>
          <w:rFonts w:ascii="Palatino Linotype" w:eastAsia="Calibri" w:hAnsi="Palatino Linotype" w:cs="Arial"/>
          <w:b/>
          <w:color w:val="000000" w:themeColor="text1"/>
        </w:rPr>
        <w:t xml:space="preserve"> </w:t>
      </w:r>
      <w:r w:rsidR="00EF3D59" w:rsidRPr="002D69DA">
        <w:rPr>
          <w:rFonts w:ascii="Palatino Linotype" w:eastAsia="Calibri" w:hAnsi="Palatino Linotype" w:cs="Arial"/>
          <w:b/>
          <w:color w:val="000000" w:themeColor="text1"/>
        </w:rPr>
        <w:t>dieciocho</w:t>
      </w:r>
      <w:r w:rsidR="0040280F">
        <w:rPr>
          <w:rFonts w:ascii="Palatino Linotype" w:eastAsia="Calibri" w:hAnsi="Palatino Linotype" w:cs="Arial"/>
          <w:b/>
          <w:color w:val="000000" w:themeColor="text1"/>
        </w:rPr>
        <w:t xml:space="preserve"> (18)</w:t>
      </w:r>
      <w:r w:rsidR="00EF3D59" w:rsidRPr="002D69DA">
        <w:rPr>
          <w:rFonts w:ascii="Palatino Linotype" w:eastAsia="Calibri" w:hAnsi="Palatino Linotype" w:cs="Arial"/>
          <w:b/>
          <w:color w:val="000000" w:themeColor="text1"/>
        </w:rPr>
        <w:t xml:space="preserve"> de junio </w:t>
      </w:r>
      <w:r w:rsidRPr="002D69DA">
        <w:rPr>
          <w:rFonts w:ascii="Palatino Linotype" w:eastAsia="Calibri" w:hAnsi="Palatino Linotype" w:cs="Arial"/>
          <w:b/>
          <w:color w:val="000000" w:themeColor="text1"/>
        </w:rPr>
        <w:t>de dos mil veinticinco.</w:t>
      </w:r>
    </w:p>
    <w:p w:rsidR="004D6D95" w:rsidRPr="002D69DA" w:rsidRDefault="004D6D95" w:rsidP="00E84339">
      <w:pPr>
        <w:pStyle w:val="Prrafodelista"/>
        <w:spacing w:line="360" w:lineRule="auto"/>
        <w:ind w:left="0"/>
        <w:jc w:val="both"/>
        <w:rPr>
          <w:rFonts w:ascii="Palatino Linotype" w:eastAsia="Calibri" w:hAnsi="Palatino Linotype" w:cs="Arial"/>
          <w:b/>
          <w:color w:val="000000" w:themeColor="text1"/>
        </w:rPr>
      </w:pPr>
    </w:p>
    <w:p w:rsidR="004D6D95" w:rsidRPr="002D69DA" w:rsidRDefault="004D6D95" w:rsidP="00E84339">
      <w:pPr>
        <w:pStyle w:val="Prrafodelista"/>
        <w:spacing w:line="360" w:lineRule="auto"/>
        <w:ind w:left="0"/>
        <w:jc w:val="both"/>
        <w:rPr>
          <w:rFonts w:ascii="Palatino Linotype" w:eastAsia="Calibri" w:hAnsi="Palatino Linotype" w:cs="Arial"/>
          <w:color w:val="000000" w:themeColor="text1"/>
        </w:rPr>
      </w:pPr>
      <w:r w:rsidRPr="002D69DA">
        <w:rPr>
          <w:rFonts w:ascii="Palatino Linotype" w:eastAsia="Calibri" w:hAnsi="Palatino Linotype" w:cs="Arial"/>
          <w:b/>
          <w:color w:val="000000" w:themeColor="text1"/>
        </w:rPr>
        <w:t>VISTOS</w:t>
      </w:r>
      <w:r w:rsidRPr="002D69DA">
        <w:rPr>
          <w:rFonts w:ascii="Palatino Linotype" w:eastAsia="Calibri" w:hAnsi="Palatino Linotype" w:cs="Arial"/>
          <w:color w:val="000000" w:themeColor="text1"/>
        </w:rPr>
        <w:t xml:space="preserve"> los expedientes electrónicos formados con motivo de los Recursos de Revisión </w:t>
      </w:r>
      <w:r w:rsidR="00C57935" w:rsidRPr="0040280F">
        <w:rPr>
          <w:rFonts w:ascii="Palatino Linotype" w:eastAsia="Calibri" w:hAnsi="Palatino Linotype" w:cs="Arial"/>
          <w:b/>
          <w:color w:val="000000" w:themeColor="text1"/>
          <w:sz w:val="22"/>
        </w:rPr>
        <w:t>04923/INFOEM/IP/RR/2025, 04924/INFOEM/IP/RR/2025, 04932/INFOEM/IP/RR/2025, 04969/INFOEM/IP/RR/2025, 04970/INFOEM/IP/RR/2025, 04971/INFOEM/IP/RR/2025, 05046/INFOEM/IP/RR/2025, 05047/INFOEM/IP/RR/2025, 05048/INFOEM/IP/RR/2025, 05049/INFOEM/IP/RR/2025, 05050/INFOEM/IP/RR/2025, 05051/INFOEM/IP/RR/2025, 05541/INFOEM/IP/RR/2025, 05542/INFOEM/IP/RR/2025, 05543/INFOEM/IP/RR/2025, 05544/INFOEM/IP/RR/2025, 05545/INFOEM/IP/RR/2025, 05546/INFOEM/IP/RR/2025, 05547/INFOEM/IP/RR/2025, 05548/INFOEM/IP/RR/2025, 05549/INFOEM/IP/RR/2025, 05550/INFOEM/IP/RR/2025, 05551/INFOEM/IP/RR</w:t>
      </w:r>
      <w:r w:rsidR="00E84339" w:rsidRPr="0040280F">
        <w:rPr>
          <w:rFonts w:ascii="Palatino Linotype" w:eastAsia="Calibri" w:hAnsi="Palatino Linotype" w:cs="Arial"/>
          <w:b/>
          <w:color w:val="000000" w:themeColor="text1"/>
          <w:sz w:val="22"/>
        </w:rPr>
        <w:t>/2025 y 05552/INFOEM/IP/RR/2025</w:t>
      </w:r>
      <w:r w:rsidRPr="002D69DA">
        <w:rPr>
          <w:rFonts w:ascii="Palatino Linotype" w:eastAsia="Calibri" w:hAnsi="Palatino Linotype" w:cs="Arial"/>
          <w:color w:val="000000" w:themeColor="text1"/>
        </w:rPr>
        <w:t>, promovidos por  </w:t>
      </w:r>
      <w:r w:rsidR="0040280F">
        <w:rPr>
          <w:rFonts w:ascii="Palatino Linotype" w:eastAsia="Calibri" w:hAnsi="Palatino Linotype" w:cs="Arial"/>
          <w:b/>
          <w:bCs/>
          <w:color w:val="000000" w:themeColor="text1"/>
        </w:rPr>
        <w:t>XXXX</w:t>
      </w:r>
      <w:r w:rsidRPr="002D69DA">
        <w:rPr>
          <w:rFonts w:ascii="Palatino Linotype" w:eastAsia="Calibri" w:hAnsi="Palatino Linotype" w:cs="Arial"/>
          <w:color w:val="000000" w:themeColor="text1"/>
        </w:rPr>
        <w:t xml:space="preserve">, a través del Sistema de Acceso a la Información Mexiquense (SAIMEX), a quien en lo sucesivo se le identificará como </w:t>
      </w:r>
      <w:r w:rsidRPr="002D69DA">
        <w:rPr>
          <w:rFonts w:ascii="Palatino Linotype" w:eastAsia="Calibri" w:hAnsi="Palatino Linotype" w:cs="Arial"/>
          <w:b/>
          <w:color w:val="000000" w:themeColor="text1"/>
        </w:rPr>
        <w:t>EL RECURRENTE</w:t>
      </w:r>
      <w:r w:rsidRPr="002D69DA">
        <w:rPr>
          <w:rFonts w:ascii="Palatino Linotype" w:eastAsia="Calibri" w:hAnsi="Palatino Linotype" w:cs="Arial"/>
          <w:color w:val="000000" w:themeColor="text1"/>
        </w:rPr>
        <w:t xml:space="preserve">, en contra de las respuestas del </w:t>
      </w:r>
      <w:r w:rsidR="00C57935" w:rsidRPr="002D69DA">
        <w:rPr>
          <w:rFonts w:ascii="Palatino Linotype" w:eastAsia="Calibri" w:hAnsi="Palatino Linotype" w:cs="Arial"/>
          <w:b/>
          <w:color w:val="000000" w:themeColor="text1"/>
        </w:rPr>
        <w:t>Ayuntamiento de Toluca</w:t>
      </w:r>
      <w:r w:rsidRPr="002D69DA">
        <w:rPr>
          <w:rFonts w:ascii="Palatino Linotype" w:eastAsia="Calibri" w:hAnsi="Palatino Linotype" w:cs="Arial"/>
          <w:color w:val="000000" w:themeColor="text1"/>
        </w:rPr>
        <w:t xml:space="preserve">, en lo sucesivo </w:t>
      </w:r>
      <w:r w:rsidRPr="002D69DA">
        <w:rPr>
          <w:rFonts w:ascii="Palatino Linotype" w:eastAsia="Calibri" w:hAnsi="Palatino Linotype" w:cs="Arial"/>
          <w:b/>
          <w:color w:val="000000" w:themeColor="text1"/>
        </w:rPr>
        <w:t>EL SUJETO OBLIGADO</w:t>
      </w:r>
      <w:r w:rsidRPr="002D69DA">
        <w:rPr>
          <w:rFonts w:ascii="Palatino Linotype" w:eastAsia="Calibri" w:hAnsi="Palatino Linotype" w:cs="Arial"/>
          <w:color w:val="000000" w:themeColor="text1"/>
        </w:rPr>
        <w:t>, se procede a dictar la presente resolución, con base en los siguientes:</w:t>
      </w:r>
      <w:bookmarkStart w:id="5" w:name="_Toc85733154"/>
    </w:p>
    <w:p w:rsidR="004D6D95" w:rsidRPr="002D69DA" w:rsidRDefault="004D6D95" w:rsidP="00E84339">
      <w:pPr>
        <w:pStyle w:val="Prrafodelista"/>
        <w:spacing w:line="360" w:lineRule="auto"/>
        <w:ind w:left="0"/>
        <w:jc w:val="both"/>
        <w:rPr>
          <w:rFonts w:ascii="Palatino Linotype" w:eastAsia="Calibri" w:hAnsi="Palatino Linotype" w:cs="Arial"/>
          <w:color w:val="000000" w:themeColor="text1"/>
        </w:rPr>
      </w:pPr>
    </w:p>
    <w:p w:rsidR="004D6D95" w:rsidRPr="002D69DA" w:rsidRDefault="004D6D95" w:rsidP="00E84339">
      <w:pPr>
        <w:pStyle w:val="Prrafodelista"/>
        <w:spacing w:line="360" w:lineRule="auto"/>
        <w:ind w:left="0"/>
        <w:jc w:val="center"/>
        <w:rPr>
          <w:rFonts w:ascii="Palatino Linotype" w:eastAsia="Calibri" w:hAnsi="Palatino Linotype" w:cs="Arial"/>
          <w:b/>
          <w:color w:val="000000" w:themeColor="text1"/>
        </w:rPr>
      </w:pPr>
      <w:r w:rsidRPr="002D69DA">
        <w:rPr>
          <w:rFonts w:ascii="Palatino Linotype" w:eastAsia="Calibri" w:hAnsi="Palatino Linotype" w:cs="Arial"/>
          <w:b/>
          <w:color w:val="000000" w:themeColor="text1"/>
        </w:rPr>
        <w:t>A N T E C E D E N T E S</w:t>
      </w:r>
      <w:bookmarkEnd w:id="5"/>
    </w:p>
    <w:p w:rsidR="004D6D95" w:rsidRPr="002D69DA" w:rsidRDefault="004D6D95" w:rsidP="00E84339">
      <w:pPr>
        <w:spacing w:line="360" w:lineRule="auto"/>
        <w:rPr>
          <w:rFonts w:ascii="Palatino Linotype" w:hAnsi="Palatino Linotype"/>
          <w:color w:val="000000" w:themeColor="text1"/>
          <w:lang w:val="es-ES"/>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Calibri" w:hAnsi="Palatino Linotype" w:cs="Arial"/>
          <w:color w:val="000000" w:themeColor="text1"/>
        </w:rPr>
      </w:pPr>
      <w:r w:rsidRPr="002D69DA">
        <w:rPr>
          <w:rFonts w:ascii="Palatino Linotype" w:eastAsia="Calibri" w:hAnsi="Palatino Linotype" w:cs="Arial"/>
          <w:color w:val="000000" w:themeColor="text1"/>
        </w:rPr>
        <w:t xml:space="preserve">El día </w:t>
      </w:r>
      <w:r w:rsidR="00C57935" w:rsidRPr="002D69DA">
        <w:rPr>
          <w:rFonts w:ascii="Palatino Linotype" w:eastAsia="Calibri" w:hAnsi="Palatino Linotype" w:cs="Arial"/>
          <w:b/>
          <w:color w:val="000000" w:themeColor="text1"/>
        </w:rPr>
        <w:t>veinticuatro de marzo, tres, veintiuno</w:t>
      </w:r>
      <w:r w:rsidR="00572D14" w:rsidRPr="002D69DA">
        <w:rPr>
          <w:rFonts w:ascii="Palatino Linotype" w:eastAsia="Calibri" w:hAnsi="Palatino Linotype" w:cs="Arial"/>
          <w:b/>
          <w:color w:val="000000" w:themeColor="text1"/>
        </w:rPr>
        <w:t xml:space="preserve"> y</w:t>
      </w:r>
      <w:r w:rsidR="00C57935" w:rsidRPr="002D69DA">
        <w:rPr>
          <w:rFonts w:ascii="Palatino Linotype" w:eastAsia="Calibri" w:hAnsi="Palatino Linotype" w:cs="Arial"/>
          <w:b/>
          <w:color w:val="000000" w:themeColor="text1"/>
        </w:rPr>
        <w:t xml:space="preserve"> veintitrés de abril </w:t>
      </w:r>
      <w:r w:rsidRPr="002D69DA">
        <w:rPr>
          <w:rFonts w:ascii="Palatino Linotype" w:eastAsia="Calibri" w:hAnsi="Palatino Linotype" w:cs="Arial"/>
          <w:b/>
          <w:color w:val="000000" w:themeColor="text1"/>
        </w:rPr>
        <w:t>de dos mil veinticinco</w:t>
      </w:r>
      <w:r w:rsidRPr="002D69DA">
        <w:rPr>
          <w:rFonts w:ascii="Palatino Linotype" w:hAnsi="Palatino Linotype"/>
          <w:b/>
          <w:color w:val="000000" w:themeColor="text1"/>
        </w:rPr>
        <w:t xml:space="preserve">, </w:t>
      </w:r>
      <w:r w:rsidRPr="002D69DA">
        <w:rPr>
          <w:rFonts w:ascii="Palatino Linotype" w:eastAsia="Calibri" w:hAnsi="Palatino Linotype" w:cs="Arial"/>
          <w:color w:val="000000" w:themeColor="text1"/>
        </w:rPr>
        <w:t xml:space="preserve">se presentó ante el </w:t>
      </w:r>
      <w:r w:rsidRPr="002D69DA">
        <w:rPr>
          <w:rFonts w:ascii="Palatino Linotype" w:eastAsia="Calibri" w:hAnsi="Palatino Linotype" w:cs="Arial"/>
          <w:b/>
          <w:color w:val="000000" w:themeColor="text1"/>
        </w:rPr>
        <w:t>SUJETO OBLIGADO</w:t>
      </w:r>
      <w:r w:rsidRPr="002D69DA">
        <w:rPr>
          <w:rFonts w:ascii="Palatino Linotype" w:eastAsia="Calibri" w:hAnsi="Palatino Linotype" w:cs="Arial"/>
          <w:color w:val="000000" w:themeColor="text1"/>
        </w:rPr>
        <w:t xml:space="preserve"> vía </w:t>
      </w:r>
      <w:r w:rsidRPr="002D69DA">
        <w:rPr>
          <w:rFonts w:ascii="Palatino Linotype" w:eastAsia="Calibri" w:hAnsi="Palatino Linotype" w:cs="Arial"/>
          <w:b/>
          <w:color w:val="000000" w:themeColor="text1"/>
        </w:rPr>
        <w:t>SAIMEX</w:t>
      </w:r>
      <w:r w:rsidRPr="002D69DA">
        <w:rPr>
          <w:rFonts w:ascii="Palatino Linotype" w:eastAsia="Calibri" w:hAnsi="Palatino Linotype" w:cs="Arial"/>
          <w:color w:val="000000" w:themeColor="text1"/>
        </w:rPr>
        <w:t>, las solicitudes de información pública registradas con los números</w:t>
      </w:r>
      <w:r w:rsidRPr="002D69DA">
        <w:rPr>
          <w:rFonts w:ascii="Palatino Linotype" w:hAnsi="Palatino Linotype"/>
          <w:b/>
          <w:bCs/>
          <w:color w:val="000000" w:themeColor="text1"/>
        </w:rPr>
        <w:t xml:space="preserve"> </w:t>
      </w:r>
      <w:r w:rsidR="00707483" w:rsidRPr="00A35104">
        <w:rPr>
          <w:rFonts w:ascii="Palatino Linotype" w:hAnsi="Palatino Linotype"/>
          <w:b/>
          <w:bCs/>
          <w:color w:val="000000" w:themeColor="text1"/>
          <w:sz w:val="22"/>
        </w:rPr>
        <w:t>01787/TOLUCA</w:t>
      </w:r>
      <w:r w:rsidR="00A35104">
        <w:rPr>
          <w:rFonts w:ascii="Palatino Linotype" w:hAnsi="Palatino Linotype"/>
          <w:b/>
          <w:bCs/>
          <w:color w:val="000000" w:themeColor="text1"/>
          <w:sz w:val="22"/>
        </w:rPr>
        <w:t xml:space="preserve">/IP/2025, 01786/TOLUCA/IP/2025, </w:t>
      </w:r>
      <w:r w:rsidR="00707483" w:rsidRPr="00A35104">
        <w:rPr>
          <w:rFonts w:ascii="Palatino Linotype" w:hAnsi="Palatino Linotype"/>
          <w:b/>
          <w:bCs/>
          <w:color w:val="000000" w:themeColor="text1"/>
          <w:sz w:val="22"/>
        </w:rPr>
        <w:t xml:space="preserve">1785/TOLUCA/IP/2025, 01783/TOLUCA/IP/2025, </w:t>
      </w:r>
      <w:r w:rsidR="00707483" w:rsidRPr="00A35104">
        <w:rPr>
          <w:rFonts w:ascii="Palatino Linotype" w:hAnsi="Palatino Linotype"/>
          <w:b/>
          <w:bCs/>
          <w:color w:val="000000" w:themeColor="text1"/>
          <w:sz w:val="22"/>
        </w:rPr>
        <w:lastRenderedPageBreak/>
        <w:t>01784/TOLUCA/IP/2025, 01736/TOLUCA/IP/2025, 02002/TOLUCA/IP/2025, 02003/TOLUCA/IP/2025, 02004/TOLUCA/IP/2025, 02005/TOLUCA</w:t>
      </w:r>
      <w:r w:rsidR="00A35104">
        <w:rPr>
          <w:rFonts w:ascii="Palatino Linotype" w:hAnsi="Palatino Linotype"/>
          <w:b/>
          <w:bCs/>
          <w:color w:val="000000" w:themeColor="text1"/>
          <w:sz w:val="22"/>
        </w:rPr>
        <w:t xml:space="preserve">/IP/2025, 02006/TOLUCA/IP/2025, </w:t>
      </w:r>
      <w:r w:rsidR="00707483" w:rsidRPr="00A35104">
        <w:rPr>
          <w:rFonts w:ascii="Palatino Linotype" w:hAnsi="Palatino Linotype"/>
          <w:b/>
          <w:bCs/>
          <w:color w:val="000000" w:themeColor="text1"/>
          <w:sz w:val="22"/>
        </w:rPr>
        <w:t>02007/TOLUCA/IP/2025</w:t>
      </w:r>
      <w:r w:rsidRPr="00A35104">
        <w:rPr>
          <w:rFonts w:ascii="Palatino Linotype" w:hAnsi="Palatino Linotype"/>
          <w:b/>
          <w:bCs/>
          <w:color w:val="000000" w:themeColor="text1"/>
          <w:sz w:val="22"/>
          <w:lang w:val="es-MX"/>
        </w:rPr>
        <w:t xml:space="preserve">, </w:t>
      </w:r>
      <w:r w:rsidR="00707483" w:rsidRPr="00A35104">
        <w:rPr>
          <w:rFonts w:ascii="Palatino Linotype" w:hAnsi="Palatino Linotype"/>
          <w:b/>
          <w:bCs/>
          <w:color w:val="000000" w:themeColor="text1"/>
          <w:sz w:val="22"/>
        </w:rPr>
        <w:t>02334/TOLUCA/IP/2025,  02336/TOLUCA/IP/2025, 02337/TOLUCA/IP/2025, 02338/TOLUCA/IP/2025, 02339/TOLUCA/IP/2025, 02340/TOLUCA/IP/2025, 02409/TOLUCA/IP/2025, 02410/TOLUCA/IP/2025, 02411/TOLUCA/IP/2025, 02412/TOLUCA/IP/2025, 02413/TOLUCA/IP/2025 y 02414/TOLUCA/IP/2025,</w:t>
      </w:r>
      <w:r w:rsidR="00707483" w:rsidRPr="002D69DA">
        <w:rPr>
          <w:rFonts w:ascii="Palatino Linotype" w:hAnsi="Palatino Linotype"/>
          <w:b/>
          <w:bCs/>
          <w:color w:val="000000" w:themeColor="text1"/>
        </w:rPr>
        <w:t xml:space="preserve"> </w:t>
      </w:r>
      <w:r w:rsidR="0040280F">
        <w:rPr>
          <w:rFonts w:ascii="Palatino Linotype" w:eastAsia="Calibri" w:hAnsi="Palatino Linotype" w:cs="Arial"/>
          <w:color w:val="000000" w:themeColor="text1"/>
        </w:rPr>
        <w:t>en las que</w:t>
      </w:r>
      <w:r w:rsidRPr="002D69DA">
        <w:rPr>
          <w:rFonts w:ascii="Palatino Linotype" w:eastAsia="Calibri" w:hAnsi="Palatino Linotype" w:cs="Arial"/>
          <w:color w:val="000000" w:themeColor="text1"/>
        </w:rPr>
        <w:t xml:space="preserve"> se solicitó la siguiente información:</w:t>
      </w:r>
    </w:p>
    <w:p w:rsidR="00707483" w:rsidRPr="002D69DA" w:rsidRDefault="00707483" w:rsidP="00E84339">
      <w:pPr>
        <w:pStyle w:val="Prrafodelista"/>
        <w:spacing w:line="360" w:lineRule="auto"/>
        <w:ind w:left="0"/>
        <w:jc w:val="both"/>
        <w:rPr>
          <w:rFonts w:ascii="Palatino Linotype" w:eastAsia="Calibri" w:hAnsi="Palatino Linotype" w:cs="Arial"/>
          <w:b/>
          <w:color w:val="000000" w:themeColor="text1"/>
        </w:rPr>
      </w:pPr>
    </w:p>
    <w:tbl>
      <w:tblPr>
        <w:tblStyle w:val="Tablaconcuadrcula"/>
        <w:tblW w:w="0" w:type="auto"/>
        <w:tblLook w:val="04A0" w:firstRow="1" w:lastRow="0" w:firstColumn="1" w:lastColumn="0" w:noHBand="0" w:noVBand="1"/>
      </w:tblPr>
      <w:tblGrid>
        <w:gridCol w:w="3681"/>
        <w:gridCol w:w="5098"/>
      </w:tblGrid>
      <w:tr w:rsidR="00E84339" w:rsidRPr="002D69DA" w:rsidTr="00CB1328">
        <w:tc>
          <w:tcPr>
            <w:tcW w:w="3681" w:type="dxa"/>
          </w:tcPr>
          <w:p w:rsidR="00707483" w:rsidRPr="002D69DA" w:rsidRDefault="00707483"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color w:val="000000" w:themeColor="text1"/>
              </w:rPr>
              <w:t xml:space="preserve">Solicitud de información </w:t>
            </w:r>
          </w:p>
        </w:tc>
        <w:tc>
          <w:tcPr>
            <w:tcW w:w="5098" w:type="dxa"/>
          </w:tcPr>
          <w:p w:rsidR="00707483" w:rsidRPr="002D69DA" w:rsidRDefault="00707483"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Información solicitada</w:t>
            </w:r>
          </w:p>
        </w:tc>
      </w:tr>
      <w:tr w:rsidR="00E84339" w:rsidRPr="002D69DA" w:rsidTr="00CB1328">
        <w:tc>
          <w:tcPr>
            <w:tcW w:w="3681" w:type="dxa"/>
          </w:tcPr>
          <w:p w:rsidR="00707483" w:rsidRPr="002D69DA" w:rsidRDefault="00707483"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Solicitud 01787/TOLUCA/IP/2025</w:t>
            </w:r>
          </w:p>
        </w:tc>
        <w:tc>
          <w:tcPr>
            <w:tcW w:w="5098" w:type="dxa"/>
          </w:tcPr>
          <w:p w:rsidR="00707483" w:rsidRPr="002D69DA" w:rsidRDefault="00CB1328"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de2024 primera y segiunda quincena, con nomina de aguinaldo y prima vacacional”</w:t>
            </w:r>
          </w:p>
        </w:tc>
      </w:tr>
      <w:tr w:rsidR="00E84339" w:rsidRPr="002D69DA" w:rsidTr="00CB1328">
        <w:tc>
          <w:tcPr>
            <w:tcW w:w="3681" w:type="dxa"/>
          </w:tcPr>
          <w:p w:rsidR="00707483" w:rsidRPr="002D69DA" w:rsidRDefault="00707483"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Solicitud 01786/TOLUCA/IP/2025</w:t>
            </w:r>
          </w:p>
        </w:tc>
        <w:tc>
          <w:tcPr>
            <w:tcW w:w="5098" w:type="dxa"/>
          </w:tcPr>
          <w:p w:rsidR="00707483" w:rsidRPr="002D69DA" w:rsidRDefault="00CB1328"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w:t>
            </w:r>
            <w:r w:rsidRPr="002D69DA">
              <w:rPr>
                <w:rFonts w:ascii="Palatino Linotype" w:eastAsia="Calibri" w:hAnsi="Palatino Linotype" w:cs="Arial"/>
                <w:i/>
                <w:color w:val="000000" w:themeColor="text1"/>
              </w:rPr>
              <w:lastRenderedPageBreak/>
              <w:t>Issemym del trabajador numero de Plaza Curp del trabajador quincena por quincena del mes de enero de2023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i/>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1785/TOLUCA/IP/2025</w:t>
            </w:r>
          </w:p>
        </w:tc>
        <w:tc>
          <w:tcPr>
            <w:tcW w:w="5098" w:type="dxa"/>
          </w:tcPr>
          <w:p w:rsidR="00707483" w:rsidRPr="002D69DA" w:rsidRDefault="00CB1328"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2022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01783/TOLUCA/IP/2025</w:t>
            </w:r>
          </w:p>
        </w:tc>
        <w:tc>
          <w:tcPr>
            <w:tcW w:w="5098" w:type="dxa"/>
          </w:tcPr>
          <w:p w:rsidR="00707483" w:rsidRPr="002D69DA" w:rsidRDefault="00CB1328"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Compensación bruta, Gratificación bruta Subsidio o impuesto, total Percepciones brutas Issemym desglosado, ISR total Deducciones Neto Departamento Nombre del departamento nombre de la direccion Clave de Issemym del trabajador numero de Plaza Curp del trabajador quincena por quincena del mes de diciembre de 2023 primera y segunda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01784/TOLUCA/IP/2025</w:t>
            </w:r>
          </w:p>
        </w:tc>
        <w:tc>
          <w:tcPr>
            <w:tcW w:w="5098" w:type="dxa"/>
          </w:tcPr>
          <w:p w:rsidR="00707483" w:rsidRPr="002D69DA" w:rsidRDefault="00CB1328"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w:t>
            </w:r>
            <w:r w:rsidRPr="002D69DA">
              <w:rPr>
                <w:rFonts w:ascii="Palatino Linotype" w:eastAsia="Calibri" w:hAnsi="Palatino Linotype" w:cs="Arial"/>
                <w:i/>
                <w:color w:val="000000" w:themeColor="text1"/>
              </w:rPr>
              <w:lastRenderedPageBreak/>
              <w:t>total Percepciones brutas Issemym desglosado, ISR total Deducciones Neto Departamento Nombre del departamento nombre de la direccion Clave de Issemym del trabajador numero de Plaza Curp del trabajador quincena por quincena del mes de diciembre de2024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01736/TOLUCA/IP/2025</w:t>
            </w:r>
          </w:p>
        </w:tc>
        <w:tc>
          <w:tcPr>
            <w:tcW w:w="5098" w:type="dxa"/>
          </w:tcPr>
          <w:p w:rsidR="00707483" w:rsidRPr="002D69DA" w:rsidRDefault="00CB1328" w:rsidP="00E84339">
            <w:pPr>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diciembre de2022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02002/TOLUCA/IP/2025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2022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02003/TOLUCA/IP/2025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“Listado de la nomina en formato excel por Empleado, con numero de empleado, con Nombre completo RFC, Fecha Alta, Antigüedad, Categoria, </w:t>
            </w:r>
            <w:r w:rsidRPr="002D69DA">
              <w:rPr>
                <w:rFonts w:ascii="Palatino Linotype" w:eastAsia="Calibri" w:hAnsi="Palatino Linotype" w:cs="Arial"/>
                <w:i/>
                <w:color w:val="000000" w:themeColor="text1"/>
              </w:rPr>
              <w:lastRenderedPageBreak/>
              <w:t>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2023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02004/TOLUCA/IP/2025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2025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02005/TOLUCA/IP/2025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2022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02006/TOLUCA/IP/2025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2024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02007/TOLUCA/IP/2025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2025 primera y segiunda quincena, con nomina de aguinaldo y prima vacacional”</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rPr>
              <w:t>02334/TOLUCA/IP/2025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w:t>
            </w:r>
            <w:r w:rsidRPr="002D69DA">
              <w:rPr>
                <w:rFonts w:ascii="Palatino Linotype" w:eastAsia="Calibri" w:hAnsi="Palatino Linotype" w:cs="Arial"/>
                <w:i/>
                <w:color w:val="000000" w:themeColor="text1"/>
              </w:rPr>
              <w:lastRenderedPageBreak/>
              <w:t>trabajador quincena por quincena del mes de enero de 2025 primera y segiunda quincena, con nomina de aguinaldo y prima vacacional, que causaron alta en cada quincena con todas sus percepciones.”</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02336/TOLUCA/IP/2025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2025 primera y segiunda quincena, con nomina de aguinaldo y prima vacacional, que causaron baja”</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02337/TOLUCA/IP/2025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2025 primera y segiunda quincena, con nomina de aguinaldo y prima vacacional, que causaron alta”</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02338/TOLUCA/IP/2025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“Listado de la nomina en formato excel por Empleado, con numero de empleado, con Nombre completo RFC, Fecha Alta, Antigüedad, Categoria, Tipo de Empleado confianza, sindicalizado, </w:t>
            </w:r>
            <w:r w:rsidRPr="002D69DA">
              <w:rPr>
                <w:rFonts w:ascii="Palatino Linotype" w:eastAsia="Calibri" w:hAnsi="Palatino Linotype" w:cs="Arial"/>
                <w:i/>
                <w:color w:val="000000" w:themeColor="text1"/>
              </w:rPr>
              <w:lastRenderedPageBreak/>
              <w:t>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2025 primera y segiunda quincena, con nomina de aguinaldo y prima vacacional, que causaron baja”</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02339/TOLUCA/IP/2025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2025 primera y segiunda quincena, con nomina de aguinaldo y prima vacacional, que causaron alta”</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02340/TOLUCA/IP/2025</w:t>
            </w:r>
          </w:p>
        </w:tc>
        <w:tc>
          <w:tcPr>
            <w:tcW w:w="5098" w:type="dxa"/>
          </w:tcPr>
          <w:p w:rsidR="00707483" w:rsidRPr="002D69DA" w:rsidRDefault="00AA39E9" w:rsidP="00E84339">
            <w:pPr>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2025 primera y segiunda quincena, con nomina </w:t>
            </w:r>
            <w:r w:rsidRPr="002D69DA">
              <w:rPr>
                <w:rFonts w:ascii="Palatino Linotype" w:eastAsia="Calibri" w:hAnsi="Palatino Linotype" w:cs="Arial"/>
                <w:i/>
                <w:color w:val="000000" w:themeColor="text1"/>
              </w:rPr>
              <w:lastRenderedPageBreak/>
              <w:t>de aguinaldo y prima vacacional, que causaron baja”</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02409/TOLUCA/IP/2025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2025 primera y segiunda quincena, con nomina de aguinaldo y prima vacacional, que causaron modificacion salarial, incremento o decremento en algunas o en todas sus percepciones y/o comisionados, transferencias de area, cambio de condiciones laborales.”</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02410/TOLUCA/IP/2025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2025 primera y segiunda quincena, con nomina de aguinaldo y prima vacacional, que causaron modificacion salarial, incremento o decremento en algunas o en todas sus percepciones y/o comisionados, transferencias de area, cambio de condiciones laborales.”</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02411/TOLUCA/IP/2025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2025 primera y segiunda quincena, con nomina de aguinaldo y prima vacacional, que causaron modificacion salarial, incremento o decremento en algunas o en todas sus percepciones y/o comisionados, transferencias de area, cambio de condiciones laborales.”</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02412/TOLUCA/IP/2025</w:t>
            </w:r>
          </w:p>
        </w:tc>
        <w:tc>
          <w:tcPr>
            <w:tcW w:w="5098" w:type="dxa"/>
          </w:tcPr>
          <w:p w:rsidR="00707483" w:rsidRPr="002D69DA" w:rsidRDefault="00AA39E9" w:rsidP="00E84339">
            <w:pPr>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2025 primera y segiunda quincena, con nomina de aguinaldo y prima vacacional, que causaron modificacion salarial, incremento o decremento en algunas o en todas sus percepciones y/o comisionados, transferencias de area, cambio de condiciones laborales.”</w:t>
            </w:r>
          </w:p>
        </w:tc>
      </w:tr>
      <w:tr w:rsidR="00E84339"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02413/TOLUCA/IP/2025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“Listado de la nomina en formato excel por Empleado, con numero de empleado, con Nombre </w:t>
            </w:r>
            <w:r w:rsidRPr="002D69DA">
              <w:rPr>
                <w:rFonts w:ascii="Palatino Linotype" w:eastAsia="Calibri" w:hAnsi="Palatino Linotype" w:cs="Arial"/>
                <w:i/>
                <w:color w:val="000000" w:themeColor="text1"/>
              </w:rPr>
              <w:lastRenderedPageBreak/>
              <w:t>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2025 primera y segiunda quincena, con nomina de aguinaldo y prima vacacional, que causaron baja”</w:t>
            </w:r>
          </w:p>
        </w:tc>
      </w:tr>
      <w:tr w:rsidR="00707483" w:rsidRPr="002D69DA" w:rsidTr="00CB1328">
        <w:tc>
          <w:tcPr>
            <w:tcW w:w="3681" w:type="dxa"/>
          </w:tcPr>
          <w:p w:rsidR="00707483" w:rsidRPr="002D69DA" w:rsidRDefault="00B73146"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02414/TOLUCA/IP/2025</w:t>
            </w:r>
          </w:p>
        </w:tc>
        <w:tc>
          <w:tcPr>
            <w:tcW w:w="5098" w:type="dxa"/>
          </w:tcPr>
          <w:p w:rsidR="00707483" w:rsidRPr="002D69DA" w:rsidRDefault="00AA39E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2025 primera y segiunda quincena, con nomina de aguinaldo y prima vacacional, que causaron alta”</w:t>
            </w:r>
          </w:p>
        </w:tc>
      </w:tr>
    </w:tbl>
    <w:p w:rsidR="004D6D95" w:rsidRPr="002D69DA" w:rsidRDefault="004D6D95" w:rsidP="00E84339">
      <w:pPr>
        <w:pStyle w:val="Prrafodelista"/>
        <w:numPr>
          <w:ilvl w:val="0"/>
          <w:numId w:val="7"/>
        </w:numPr>
        <w:spacing w:line="360" w:lineRule="auto"/>
        <w:ind w:left="0"/>
        <w:jc w:val="both"/>
        <w:rPr>
          <w:rFonts w:ascii="Palatino Linotype" w:eastAsia="Calibri" w:hAnsi="Palatino Linotype" w:cs="Arial"/>
          <w:color w:val="000000" w:themeColor="text1"/>
        </w:rPr>
      </w:pPr>
      <w:r w:rsidRPr="002D69DA">
        <w:rPr>
          <w:rFonts w:ascii="Palatino Linotype" w:eastAsia="Calibri" w:hAnsi="Palatino Linotype" w:cs="Arial"/>
          <w:b/>
          <w:color w:val="000000" w:themeColor="text1"/>
        </w:rPr>
        <w:t>Modalidad de entrega</w:t>
      </w:r>
      <w:r w:rsidRPr="002D69DA">
        <w:rPr>
          <w:rFonts w:ascii="Palatino Linotype" w:eastAsia="Calibri" w:hAnsi="Palatino Linotype" w:cs="Arial"/>
          <w:color w:val="000000" w:themeColor="text1"/>
        </w:rPr>
        <w:t>: Vía SAIMEX.</w:t>
      </w:r>
    </w:p>
    <w:p w:rsidR="004D6D95" w:rsidRPr="002D69DA" w:rsidRDefault="004D6D95" w:rsidP="00E84339">
      <w:pPr>
        <w:pStyle w:val="Prrafodelista"/>
        <w:spacing w:line="360" w:lineRule="auto"/>
        <w:ind w:left="0"/>
        <w:jc w:val="both"/>
        <w:rPr>
          <w:rFonts w:ascii="Palatino Linotype" w:hAnsi="Palatino Linotype" w:cs="Arial"/>
          <w:i/>
          <w:color w:val="000000" w:themeColor="text1"/>
        </w:rPr>
      </w:pPr>
    </w:p>
    <w:p w:rsidR="00AD163E"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b/>
          <w:bCs/>
          <w:color w:val="000000" w:themeColor="text1"/>
          <w:lang w:val="es-MX"/>
        </w:rPr>
      </w:pPr>
      <w:r w:rsidRPr="002D69DA">
        <w:rPr>
          <w:rFonts w:ascii="Palatino Linotype" w:hAnsi="Palatino Linotype" w:cs="Arial"/>
          <w:color w:val="000000" w:themeColor="text1"/>
        </w:rPr>
        <w:t xml:space="preserve">De lo anterior, el </w:t>
      </w:r>
      <w:r w:rsidR="00AD163E" w:rsidRPr="002D69DA">
        <w:rPr>
          <w:rFonts w:ascii="Palatino Linotype" w:hAnsi="Palatino Linotype" w:cs="Arial"/>
          <w:b/>
          <w:color w:val="000000" w:themeColor="text1"/>
        </w:rPr>
        <w:t xml:space="preserve">veinticuatro de marzo, tres, veintiuno y veintitrés de abril </w:t>
      </w:r>
      <w:r w:rsidRPr="002D69DA">
        <w:rPr>
          <w:rFonts w:ascii="Palatino Linotype" w:hAnsi="Palatino Linotype" w:cs="Arial"/>
          <w:b/>
          <w:color w:val="000000" w:themeColor="text1"/>
        </w:rPr>
        <w:t xml:space="preserve">de dos mil veinticinco </w:t>
      </w:r>
      <w:r w:rsidRPr="002D69DA">
        <w:rPr>
          <w:rFonts w:ascii="Palatino Linotype" w:hAnsi="Palatino Linotype" w:cs="Arial"/>
          <w:color w:val="000000" w:themeColor="text1"/>
        </w:rPr>
        <w:t xml:space="preserve">el </w:t>
      </w:r>
      <w:r w:rsidRPr="002D69DA">
        <w:rPr>
          <w:rFonts w:ascii="Palatino Linotype" w:hAnsi="Palatino Linotype" w:cs="Arial"/>
          <w:b/>
          <w:color w:val="000000" w:themeColor="text1"/>
        </w:rPr>
        <w:t xml:space="preserve">SUJETO OBLIGADO </w:t>
      </w:r>
      <w:r w:rsidRPr="002D69DA">
        <w:rPr>
          <w:rFonts w:ascii="Palatino Linotype" w:hAnsi="Palatino Linotype" w:cs="Arial"/>
          <w:color w:val="000000" w:themeColor="text1"/>
        </w:rPr>
        <w:t xml:space="preserve">giro los requerimientos para que fueran atendidas las solitudes de información </w:t>
      </w:r>
      <w:r w:rsidR="00AD163E" w:rsidRPr="002D69DA">
        <w:rPr>
          <w:rFonts w:ascii="Palatino Linotype" w:hAnsi="Palatino Linotype" w:cs="Arial"/>
          <w:b/>
          <w:color w:val="000000" w:themeColor="text1"/>
        </w:rPr>
        <w:t xml:space="preserve">01787/TOLUCA/IP/2025, 01786/TOLUCA/IP/2025, 1785/TOLUCA/IP/2025, 01783/TOLUCA/IP/2025, 01784/TOLUCA/IP/2025, 01736/TOLUCA/IP/2025, 02002/TOLUCA/IP/2025, </w:t>
      </w:r>
      <w:r w:rsidR="00AD163E" w:rsidRPr="002D69DA">
        <w:rPr>
          <w:rFonts w:ascii="Palatino Linotype" w:hAnsi="Palatino Linotype" w:cs="Arial"/>
          <w:b/>
          <w:color w:val="000000" w:themeColor="text1"/>
        </w:rPr>
        <w:lastRenderedPageBreak/>
        <w:t xml:space="preserve">02003/TOLUCA/IP/2025, 02004/TOLUCA/IP/2025, 02005/TOLUCA/IP/2025, 02006/TOLUCA/IP/2025, 02007/TOLUCA/IP/2025, </w:t>
      </w:r>
      <w:r w:rsidR="00C351A8" w:rsidRPr="002D69DA">
        <w:rPr>
          <w:rFonts w:ascii="Palatino Linotype" w:hAnsi="Palatino Linotype" w:cs="Arial"/>
          <w:b/>
          <w:color w:val="000000" w:themeColor="text1"/>
        </w:rPr>
        <w:t xml:space="preserve"> </w:t>
      </w:r>
      <w:r w:rsidR="00AD163E" w:rsidRPr="002D69DA">
        <w:rPr>
          <w:rFonts w:ascii="Palatino Linotype" w:hAnsi="Palatino Linotype" w:cs="Arial"/>
          <w:b/>
          <w:color w:val="000000" w:themeColor="text1"/>
        </w:rPr>
        <w:t xml:space="preserve">02334/TOLUCA/IP/2025,  02336/TOLUCA/IP/2025, 02337/TOLUCA/IP/2025, 02338/TOLUCA/IP/2025, 02339/TOLUCA/IP/2025, 02340/TOLUCA/IP/2025, 02409/TOLUCA/IP/2025, 02410/TOLUCA/IP/2025, 02411/TOLUCA/IP/2025, </w:t>
      </w:r>
      <w:r w:rsidR="00C351A8" w:rsidRPr="002D69DA">
        <w:rPr>
          <w:rFonts w:ascii="Palatino Linotype" w:hAnsi="Palatino Linotype" w:cs="Arial"/>
          <w:b/>
          <w:color w:val="000000" w:themeColor="text1"/>
        </w:rPr>
        <w:t xml:space="preserve"> </w:t>
      </w:r>
      <w:r w:rsidR="00AD163E" w:rsidRPr="002D69DA">
        <w:rPr>
          <w:rFonts w:ascii="Palatino Linotype" w:hAnsi="Palatino Linotype" w:cs="Arial"/>
          <w:b/>
          <w:color w:val="000000" w:themeColor="text1"/>
        </w:rPr>
        <w:t xml:space="preserve">02412/TOLUCA/IP/2025, 02413/TOLUCA/IP/2025 y 02414/TOLUCA/IP/2025. </w:t>
      </w:r>
    </w:p>
    <w:p w:rsidR="004D6D95" w:rsidRPr="002D69DA" w:rsidRDefault="004D6D95" w:rsidP="00E84339">
      <w:pPr>
        <w:pStyle w:val="Prrafodelista"/>
        <w:spacing w:line="360" w:lineRule="auto"/>
        <w:ind w:left="0"/>
        <w:contextualSpacing w:val="0"/>
        <w:jc w:val="both"/>
        <w:rPr>
          <w:rFonts w:ascii="Palatino Linotype" w:hAnsi="Palatino Linotype" w:cs="Arial"/>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b/>
          <w:bCs/>
          <w:color w:val="000000" w:themeColor="text1"/>
          <w:lang w:val="es-MX"/>
        </w:rPr>
      </w:pPr>
      <w:r w:rsidRPr="002D69DA">
        <w:rPr>
          <w:rFonts w:ascii="Palatino Linotype" w:hAnsi="Palatino Linotype" w:cs="Arial"/>
          <w:color w:val="000000" w:themeColor="text1"/>
        </w:rPr>
        <w:t xml:space="preserve">Seguidamente, el </w:t>
      </w:r>
      <w:r w:rsidR="00AD163E" w:rsidRPr="002D69DA">
        <w:rPr>
          <w:rFonts w:ascii="Palatino Linotype" w:hAnsi="Palatino Linotype" w:cs="Arial"/>
          <w:b/>
          <w:color w:val="000000" w:themeColor="text1"/>
        </w:rPr>
        <w:t xml:space="preserve">veintiuno de abril, dos, doce y catorce de mayo </w:t>
      </w:r>
      <w:r w:rsidRPr="002D69DA">
        <w:rPr>
          <w:rFonts w:ascii="Palatino Linotype" w:hAnsi="Palatino Linotype" w:cs="Arial"/>
          <w:b/>
          <w:color w:val="000000" w:themeColor="text1"/>
        </w:rPr>
        <w:t xml:space="preserve">de dos mil veinticinco </w:t>
      </w:r>
      <w:r w:rsidRPr="002D69DA">
        <w:rPr>
          <w:rFonts w:ascii="Palatino Linotype" w:hAnsi="Palatino Linotype" w:cs="Arial"/>
          <w:color w:val="000000" w:themeColor="text1"/>
        </w:rPr>
        <w:t xml:space="preserve">el </w:t>
      </w:r>
      <w:r w:rsidRPr="002D69DA">
        <w:rPr>
          <w:rFonts w:ascii="Palatino Linotype" w:hAnsi="Palatino Linotype" w:cs="Arial"/>
          <w:b/>
          <w:color w:val="000000" w:themeColor="text1"/>
        </w:rPr>
        <w:t xml:space="preserve">SUJETO OBLIGADO </w:t>
      </w:r>
      <w:r w:rsidRPr="002D69DA">
        <w:rPr>
          <w:rFonts w:ascii="Palatino Linotype" w:hAnsi="Palatino Linotype" w:cs="Arial"/>
          <w:color w:val="000000" w:themeColor="text1"/>
        </w:rPr>
        <w:t xml:space="preserve">dio respuesta a las solicitudes de información </w:t>
      </w:r>
      <w:r w:rsidR="00707483" w:rsidRPr="002D69DA">
        <w:rPr>
          <w:rFonts w:ascii="Palatino Linotype" w:hAnsi="Palatino Linotype"/>
          <w:b/>
          <w:bCs/>
          <w:color w:val="000000" w:themeColor="text1"/>
          <w:lang w:val="es-MX"/>
        </w:rPr>
        <w:t xml:space="preserve">01787/TOLUCA/IP/2025, </w:t>
      </w:r>
      <w:r w:rsidR="00AD163E" w:rsidRPr="002D69DA">
        <w:rPr>
          <w:rFonts w:ascii="Palatino Linotype" w:hAnsi="Palatino Linotype" w:cs="Arial"/>
          <w:b/>
          <w:color w:val="000000" w:themeColor="text1"/>
        </w:rPr>
        <w:t>01787/TOLUCA/IP/2025, 01786/TOLUCA/IP/2025, 1785/TOLUCA/IP/2025, 01783/TOLUCA/IP/2025, 01784/TOLUCA/IP/2025, 01736/TOLUCA/IP/2025, 02002/TOLUCA/IP/2025, 02003/TOLUCA/IP/2025, 02004/TOLUCA/IP/2025, 02005/TOLUCA/IP/2025, 02006/TOLUCA/IP/2025, 02007/TOLUCA/IP/2025, 02334/TOLUCA/IP/2025,  02336/TOLUCA/IP/2025, 02337/TOLUCA/IP/2025, 02338/TOLUCA/IP/2025, 02339/TOLUCA/IP/2025, 02340/TOLUCA/IP/2025, 02409/TOLUCA/IP/2025, 02410/TOLUCA/IP/2025, 02411/TOLUCA/IP/2025, 02412/TOLUCA/IP/2025, 02413/TOLUCA/IP/2025 y 02414/TOLUCA/IP/2025</w:t>
      </w:r>
      <w:r w:rsidRPr="002D69DA">
        <w:rPr>
          <w:rFonts w:ascii="Palatino Linotype" w:hAnsi="Palatino Linotype"/>
          <w:b/>
          <w:bCs/>
          <w:color w:val="000000" w:themeColor="text1"/>
          <w:lang w:val="es-MX"/>
        </w:rPr>
        <w:t xml:space="preserve">, </w:t>
      </w:r>
      <w:r w:rsidR="00415864" w:rsidRPr="002D69DA">
        <w:rPr>
          <w:rFonts w:ascii="Palatino Linotype" w:hAnsi="Palatino Linotype"/>
          <w:bCs/>
          <w:color w:val="000000" w:themeColor="text1"/>
          <w:lang w:val="es-MX"/>
        </w:rPr>
        <w:t xml:space="preserve">mediante los siguientes archivos electrónicos en formato PDF, </w:t>
      </w:r>
      <w:r w:rsidRPr="002D69DA">
        <w:rPr>
          <w:rFonts w:ascii="Palatino Linotype" w:hAnsi="Palatino Linotype"/>
          <w:bCs/>
          <w:color w:val="000000" w:themeColor="text1"/>
          <w:lang w:val="es-MX"/>
        </w:rPr>
        <w:t xml:space="preserve"> </w:t>
      </w:r>
      <w:r w:rsidR="00415864" w:rsidRPr="002D69DA">
        <w:rPr>
          <w:rFonts w:ascii="Palatino Linotype" w:hAnsi="Palatino Linotype"/>
          <w:bCs/>
          <w:color w:val="000000" w:themeColor="text1"/>
          <w:lang w:val="es-MX"/>
        </w:rPr>
        <w:t xml:space="preserve">cuyo contenido a </w:t>
      </w:r>
      <w:r w:rsidRPr="002D69DA">
        <w:rPr>
          <w:rFonts w:ascii="Palatino Linotype" w:hAnsi="Palatino Linotype"/>
          <w:bCs/>
          <w:color w:val="000000" w:themeColor="text1"/>
          <w:lang w:val="es-MX"/>
        </w:rPr>
        <w:t>grosso modo es el siguiente:</w:t>
      </w:r>
    </w:p>
    <w:tbl>
      <w:tblPr>
        <w:tblStyle w:val="Tablaconcuadrcula"/>
        <w:tblW w:w="0" w:type="auto"/>
        <w:tblLook w:val="04A0" w:firstRow="1" w:lastRow="0" w:firstColumn="1" w:lastColumn="0" w:noHBand="0" w:noVBand="1"/>
      </w:tblPr>
      <w:tblGrid>
        <w:gridCol w:w="3681"/>
        <w:gridCol w:w="5098"/>
      </w:tblGrid>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i/>
                <w:color w:val="000000" w:themeColor="text1"/>
              </w:rPr>
            </w:pPr>
            <w:r w:rsidRPr="002D69DA">
              <w:rPr>
                <w:rFonts w:ascii="Palatino Linotype" w:eastAsia="Calibri" w:hAnsi="Palatino Linotype" w:cs="Arial"/>
                <w:b/>
                <w:i/>
                <w:color w:val="000000" w:themeColor="text1"/>
              </w:rPr>
              <w:t xml:space="preserve">Solicitud de información </w:t>
            </w:r>
          </w:p>
        </w:tc>
        <w:tc>
          <w:tcPr>
            <w:tcW w:w="5098" w:type="dxa"/>
          </w:tcPr>
          <w:p w:rsidR="00E72F67" w:rsidRPr="002D69DA" w:rsidRDefault="00E72F67"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Respuesta </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Solicitud 01787/TOLUCA/IP/2025</w:t>
            </w:r>
          </w:p>
        </w:tc>
        <w:tc>
          <w:tcPr>
            <w:tcW w:w="5098" w:type="dxa"/>
          </w:tcPr>
          <w:p w:rsidR="00E72F67" w:rsidRPr="002D69DA" w:rsidRDefault="00415864"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01787. 2025.pdf: </w:t>
            </w:r>
            <w:r w:rsidRPr="002D69DA">
              <w:rPr>
                <w:rFonts w:ascii="Palatino Linotype" w:eastAsia="Calibri" w:hAnsi="Palatino Linotype" w:cs="Arial"/>
                <w:i/>
                <w:color w:val="000000" w:themeColor="text1"/>
              </w:rPr>
              <w:t xml:space="preserve">oficio del Titular de la Unidad de Transparencia, mediante el cual se informa que la Dirección General de Administración que después de haber realizado una búsqueda exhaustiva y razonable en los archivos que obran en esta Dirección y sus Departamentos, informa que </w:t>
            </w:r>
            <w:r w:rsidRPr="002D69DA">
              <w:rPr>
                <w:rFonts w:ascii="Palatino Linotype" w:eastAsia="Calibri" w:hAnsi="Palatino Linotype" w:cs="Arial"/>
                <w:i/>
                <w:color w:val="000000" w:themeColor="text1"/>
              </w:rPr>
              <w:lastRenderedPageBreak/>
              <w:t xml:space="preserve">respecto a lo solicitado, no se encontró registro alguno. </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Solicitud 01786/TOLUCA/IP/2025</w:t>
            </w:r>
          </w:p>
        </w:tc>
        <w:tc>
          <w:tcPr>
            <w:tcW w:w="5098" w:type="dxa"/>
          </w:tcPr>
          <w:p w:rsidR="00E72F67" w:rsidRPr="002D69DA" w:rsidRDefault="002C7383"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01786.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i/>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1785/TOLUCA/IP/2025</w:t>
            </w:r>
          </w:p>
        </w:tc>
        <w:tc>
          <w:tcPr>
            <w:tcW w:w="5098" w:type="dxa"/>
          </w:tcPr>
          <w:p w:rsidR="00E72F67" w:rsidRPr="002D69DA" w:rsidRDefault="002C7383"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01785.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01783/TOLUCA/IP/2025</w:t>
            </w:r>
          </w:p>
        </w:tc>
        <w:tc>
          <w:tcPr>
            <w:tcW w:w="5098" w:type="dxa"/>
          </w:tcPr>
          <w:p w:rsidR="00E72F67" w:rsidRPr="002D69DA" w:rsidRDefault="002C7383"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01783.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01784/TOLUCA/IP/2025</w:t>
            </w:r>
          </w:p>
        </w:tc>
        <w:tc>
          <w:tcPr>
            <w:tcW w:w="5098" w:type="dxa"/>
          </w:tcPr>
          <w:p w:rsidR="00E72F67" w:rsidRPr="002D69DA" w:rsidRDefault="002C7383"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01784.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01736/TOLUCA/IP/2025</w:t>
            </w:r>
          </w:p>
        </w:tc>
        <w:tc>
          <w:tcPr>
            <w:tcW w:w="5098" w:type="dxa"/>
          </w:tcPr>
          <w:p w:rsidR="00E72F67" w:rsidRPr="002D69DA" w:rsidRDefault="002C7383" w:rsidP="00E84339">
            <w:pPr>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01736. 2025.pdf: </w:t>
            </w:r>
            <w:r w:rsidRPr="002D69DA">
              <w:rPr>
                <w:rFonts w:ascii="Palatino Linotype" w:eastAsia="Calibri" w:hAnsi="Palatino Linotype" w:cs="Arial"/>
                <w:i/>
                <w:color w:val="000000" w:themeColor="text1"/>
              </w:rPr>
              <w:t xml:space="preserve">oficio del Titular de la Unidad de Transparencia, mediante el cual se informa que </w:t>
            </w:r>
            <w:r w:rsidRPr="002D69DA">
              <w:rPr>
                <w:rFonts w:ascii="Palatino Linotype" w:eastAsia="Calibri" w:hAnsi="Palatino Linotype" w:cs="Arial"/>
                <w:i/>
                <w:color w:val="000000" w:themeColor="text1"/>
              </w:rPr>
              <w:lastRenderedPageBreak/>
              <w:t>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02002/TOLUCA/IP/2025</w:t>
            </w:r>
          </w:p>
        </w:tc>
        <w:tc>
          <w:tcPr>
            <w:tcW w:w="5098" w:type="dxa"/>
          </w:tcPr>
          <w:p w:rsidR="00E72F67" w:rsidRPr="002D69DA" w:rsidRDefault="002C7383"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02002.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02003/TOLUCA/IP/2025</w:t>
            </w:r>
          </w:p>
        </w:tc>
        <w:tc>
          <w:tcPr>
            <w:tcW w:w="5098" w:type="dxa"/>
          </w:tcPr>
          <w:p w:rsidR="00E72F67" w:rsidRPr="002D69DA" w:rsidRDefault="00AB613A"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02003.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02004/TOLUCA/IP/2025</w:t>
            </w:r>
          </w:p>
        </w:tc>
        <w:tc>
          <w:tcPr>
            <w:tcW w:w="5098" w:type="dxa"/>
          </w:tcPr>
          <w:p w:rsidR="00E72F67" w:rsidRPr="002D69DA" w:rsidRDefault="00AB613A"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02004.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02005/TOLUCA/IP/2025</w:t>
            </w:r>
          </w:p>
        </w:tc>
        <w:tc>
          <w:tcPr>
            <w:tcW w:w="5098" w:type="dxa"/>
          </w:tcPr>
          <w:p w:rsidR="00E72F67" w:rsidRPr="002D69DA" w:rsidRDefault="00AB613A" w:rsidP="00E84339">
            <w:pPr>
              <w:pStyle w:val="Prrafodelista"/>
              <w:ind w:left="0"/>
              <w:jc w:val="both"/>
              <w:rPr>
                <w:rFonts w:ascii="Palatino Linotype" w:eastAsia="Calibri" w:hAnsi="Palatino Linotype" w:cs="Arial"/>
                <w:b/>
                <w:i/>
                <w:color w:val="000000" w:themeColor="text1"/>
              </w:rPr>
            </w:pPr>
            <w:r w:rsidRPr="002D69DA">
              <w:rPr>
                <w:rFonts w:ascii="Palatino Linotype" w:eastAsia="Calibri" w:hAnsi="Palatino Linotype" w:cs="Arial"/>
                <w:b/>
                <w:i/>
                <w:color w:val="000000" w:themeColor="text1"/>
              </w:rPr>
              <w:t xml:space="preserve">R. 02005. 2025.pdf: </w:t>
            </w:r>
            <w:r w:rsidR="003D6CAC" w:rsidRPr="002D69DA">
              <w:rPr>
                <w:rFonts w:ascii="Palatino Linotype" w:eastAsia="Calibri" w:hAnsi="Palatino Linotype" w:cs="Arial"/>
                <w:i/>
                <w:color w:val="000000" w:themeColor="text1"/>
              </w:rPr>
              <w:t xml:space="preserve">oficio del Titular de la Unidad de Transparencia, mediante el cual se informa que la Dirección General de Administración que después de haber realizado una búsqueda exhaustiva y razonable en los archivos que obran en esta Dirección y sus Departamentos, informa que </w:t>
            </w:r>
            <w:r w:rsidR="003D6CAC" w:rsidRPr="002D69DA">
              <w:rPr>
                <w:rFonts w:ascii="Palatino Linotype" w:eastAsia="Calibri" w:hAnsi="Palatino Linotype" w:cs="Arial"/>
                <w:i/>
                <w:color w:val="000000" w:themeColor="text1"/>
              </w:rPr>
              <w:lastRenderedPageBreak/>
              <w:t>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02006/TOLUCA/IP/2025</w:t>
            </w:r>
          </w:p>
        </w:tc>
        <w:tc>
          <w:tcPr>
            <w:tcW w:w="5098" w:type="dxa"/>
          </w:tcPr>
          <w:p w:rsidR="00E72F67" w:rsidRPr="002D69DA" w:rsidRDefault="003D6CA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02006. 2025.pdf: </w:t>
            </w:r>
            <w:r w:rsidR="00951976"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02007/TOLUCA/IP/2025</w:t>
            </w:r>
          </w:p>
        </w:tc>
        <w:tc>
          <w:tcPr>
            <w:tcW w:w="5098" w:type="dxa"/>
          </w:tcPr>
          <w:p w:rsidR="00E72F67" w:rsidRPr="002D69DA" w:rsidRDefault="00951976"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02007. 2025.pdf: </w:t>
            </w:r>
            <w:r w:rsidRPr="002D69DA">
              <w:rPr>
                <w:rFonts w:ascii="Palatino Linotype" w:eastAsia="Calibri" w:hAnsi="Palatino Linotype" w:cs="Arial"/>
                <w:i/>
                <w:color w:val="000000" w:themeColor="text1"/>
              </w:rPr>
              <w:t>oficio del Titular de la Unidad de Transparencia, mediante el cual se informa que la Dirección General de Administración que después de haber realizado una búsqueda exhaustiva y razonable en los archivos que obran en esta Dirección y sus Departamentos, informa que respecto a lo solicitado, no se encontró registro alguno.</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rPr>
              <w:t>02334/TOLUCA/IP/2025</w:t>
            </w:r>
          </w:p>
        </w:tc>
        <w:tc>
          <w:tcPr>
            <w:tcW w:w="5098" w:type="dxa"/>
          </w:tcPr>
          <w:p w:rsidR="00E72F67" w:rsidRPr="002D69DA" w:rsidRDefault="00F9326F"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02334. 2025.pdf: </w:t>
            </w:r>
            <w:r w:rsidRPr="002D69DA">
              <w:rPr>
                <w:rFonts w:ascii="Palatino Linotype" w:eastAsia="Calibri" w:hAnsi="Palatino Linotype" w:cs="Arial"/>
                <w:i/>
                <w:color w:val="000000" w:themeColor="text1"/>
              </w:rPr>
              <w:t xml:space="preserve">oficio del Titular de la Unidad de Transparencia, mediante el cual se informa que después de haber realizado una búsqueda exhaustiva y razonable en los archivos que obran en esta Dirección y sus Departamentos, informa que respecto a lo solicitado, no se encontró registro alguno, además de señalar que lo solicitado no es atendible mediante una solicitud una solicitud de Acceso a la Información, porque se tratan de manifestaciones subjetivas vertidas por el particular. </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02336/TOLUCA/IP/2025</w:t>
            </w:r>
          </w:p>
        </w:tc>
        <w:tc>
          <w:tcPr>
            <w:tcW w:w="5098" w:type="dxa"/>
          </w:tcPr>
          <w:p w:rsidR="00E72F67" w:rsidRPr="002D69DA" w:rsidRDefault="00FE4DE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02336. 2025.pdf: </w:t>
            </w:r>
            <w:r w:rsidRPr="002D69DA">
              <w:rPr>
                <w:rFonts w:ascii="Palatino Linotype" w:eastAsia="Calibri" w:hAnsi="Palatino Linotype" w:cs="Arial"/>
                <w:i/>
                <w:color w:val="000000" w:themeColor="text1"/>
              </w:rPr>
              <w:t xml:space="preserve">oficio del Titular de la Unidad de Transparencia, mediante el cual se informa que después de haber realizado una búsqueda exhaustiva y razonable en los archivos que obran en esta Dirección y sus Departamentos, informa que respecto a lo solicitado, no se encontró registro alguno, además de señalar que lo solicitado no es </w:t>
            </w:r>
            <w:r w:rsidRPr="002D69DA">
              <w:rPr>
                <w:rFonts w:ascii="Palatino Linotype" w:eastAsia="Calibri" w:hAnsi="Palatino Linotype" w:cs="Arial"/>
                <w:i/>
                <w:color w:val="000000" w:themeColor="text1"/>
              </w:rPr>
              <w:lastRenderedPageBreak/>
              <w:t>atendible mediante una solicitud una solicitud de Acceso a la Información, porque se tratan de manifestaciones subjetivas vertidas por el particular.</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02337/TOLUCA/IP/2025</w:t>
            </w:r>
          </w:p>
        </w:tc>
        <w:tc>
          <w:tcPr>
            <w:tcW w:w="5098" w:type="dxa"/>
          </w:tcPr>
          <w:p w:rsidR="00E72F67" w:rsidRPr="002D69DA" w:rsidRDefault="00FE4DE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02337. 2025.pdf: </w:t>
            </w:r>
            <w:r w:rsidRPr="002D69DA">
              <w:rPr>
                <w:rFonts w:ascii="Palatino Linotype" w:eastAsia="Calibri" w:hAnsi="Palatino Linotype" w:cs="Arial"/>
                <w:i/>
                <w:color w:val="000000" w:themeColor="text1"/>
              </w:rPr>
              <w:t>oficio del Titular de la Unidad de Transparencia, mediante el cual se informa que después de haber realizado una búsqueda exhaustiva y razonable en los archivos que obran en esta Dirección y sus Departamentos, informa que respecto a lo solicitado, no se encontró registro alguno, además de señalar que lo solicitado no es atendible mediante una solicitud una solicitud de Acceso a la Información, porque se tratan de manifestaciones subjetivas vertidas por el particular.</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02338/TOLUCA/IP/2025</w:t>
            </w:r>
          </w:p>
        </w:tc>
        <w:tc>
          <w:tcPr>
            <w:tcW w:w="5098" w:type="dxa"/>
          </w:tcPr>
          <w:p w:rsidR="00E72F67" w:rsidRPr="002D69DA" w:rsidRDefault="00FE4DE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02338. 2025.pdf: </w:t>
            </w:r>
            <w:r w:rsidRPr="002D69DA">
              <w:rPr>
                <w:rFonts w:ascii="Palatino Linotype" w:eastAsia="Calibri" w:hAnsi="Palatino Linotype" w:cs="Arial"/>
                <w:i/>
                <w:color w:val="000000" w:themeColor="text1"/>
              </w:rPr>
              <w:t>oficio del Titular de la Unidad de Transparencia, mediante el cual se informa que después de haber realizado una búsqueda exhaustiva y razonable en los archivos que obran en esta Dirección y sus Departamentos, informa que respecto a lo solicitado, no se encontró registro alguno, además de señalar que lo solicitado no es atendible mediante una solicitud una solicitud de Acceso a la Información, porque se tratan de manifestaciones subjetivas vertidas por el particular.</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02339/TOLUCA/IP/2025</w:t>
            </w:r>
          </w:p>
        </w:tc>
        <w:tc>
          <w:tcPr>
            <w:tcW w:w="5098" w:type="dxa"/>
          </w:tcPr>
          <w:p w:rsidR="00E72F67" w:rsidRPr="002D69DA" w:rsidRDefault="00FE4DE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2339. 2025.pdf: </w:t>
            </w:r>
            <w:r w:rsidRPr="002D69DA">
              <w:rPr>
                <w:rFonts w:ascii="Palatino Linotype" w:eastAsia="Calibri" w:hAnsi="Palatino Linotype" w:cs="Arial"/>
                <w:i/>
                <w:color w:val="000000" w:themeColor="text1"/>
              </w:rPr>
              <w:t xml:space="preserve">oficio del Titular de la Unidad de Transparencia, mediante el cual se informa que después de haber realizado una búsqueda exhaustiva y razonable en los archivos que obran en esta Dirección y sus Departamentos, informa que respecto a lo solicitado, no se encontró registro alguno, además de señalar que lo solicitado no es atendible mediante una solicitud una solicitud de Acceso a la Información, porque se tratan de </w:t>
            </w:r>
            <w:r w:rsidRPr="002D69DA">
              <w:rPr>
                <w:rFonts w:ascii="Palatino Linotype" w:eastAsia="Calibri" w:hAnsi="Palatino Linotype" w:cs="Arial"/>
                <w:i/>
                <w:color w:val="000000" w:themeColor="text1"/>
              </w:rPr>
              <w:lastRenderedPageBreak/>
              <w:t>manifestaciones subjetivas vertidas por el particular.</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02340/TOLUCA/IP/2025</w:t>
            </w:r>
          </w:p>
        </w:tc>
        <w:tc>
          <w:tcPr>
            <w:tcW w:w="5098" w:type="dxa"/>
          </w:tcPr>
          <w:p w:rsidR="00E72F67" w:rsidRPr="002D69DA" w:rsidRDefault="00FE4DEC" w:rsidP="00E84339">
            <w:pPr>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02340. 2025.pdf: </w:t>
            </w:r>
            <w:r w:rsidRPr="002D69DA">
              <w:rPr>
                <w:rFonts w:ascii="Palatino Linotype" w:eastAsia="Calibri" w:hAnsi="Palatino Linotype" w:cs="Arial"/>
                <w:i/>
                <w:color w:val="000000" w:themeColor="text1"/>
              </w:rPr>
              <w:t>oficio del Titular de la Unidad de Transparencia, mediante el cual se informa que después de haber realizado una búsqueda exhaustiva y razonable en los archivos que obran en esta Dirección y sus Departamentos, informa que respecto a lo solicitado, no se encontró registro alguno, además de señalar que lo solicitado no es atendible mediante una solicitud una solicitud de Acceso a la Información, porque se tratan de manifestaciones subjetivas vertidas por el particular.</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02409/TOLUCA/IP/2025</w:t>
            </w:r>
          </w:p>
        </w:tc>
        <w:tc>
          <w:tcPr>
            <w:tcW w:w="5098" w:type="dxa"/>
          </w:tcPr>
          <w:p w:rsidR="00E72F67" w:rsidRPr="002D69DA" w:rsidRDefault="00FE4DE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02409_25.pdf: </w:t>
            </w:r>
            <w:r w:rsidRPr="002D69DA">
              <w:rPr>
                <w:rFonts w:ascii="Palatino Linotype" w:eastAsia="Calibri" w:hAnsi="Palatino Linotype" w:cs="Arial"/>
                <w:i/>
                <w:color w:val="000000" w:themeColor="text1"/>
              </w:rPr>
              <w:t>oficio del Titular de la Unidad de Transparencia, mediante el cual se informa que después de haber realizado una búsqueda exhaustiva y razonable en los archivos que obran en esta Dirección y sus Departamentos, informa que respecto a lo solicitado, no se encontró registro alguno, además de señalar que lo solicitado no es atendible mediante una solicitud una solicitud de Acceso a la Información, porque se tratan de manifestaciones subjetivas vertidas por el particular.</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02410/TOLUCA/IP/2025</w:t>
            </w:r>
          </w:p>
        </w:tc>
        <w:tc>
          <w:tcPr>
            <w:tcW w:w="5098" w:type="dxa"/>
          </w:tcPr>
          <w:p w:rsidR="00E72F67" w:rsidRPr="002D69DA" w:rsidRDefault="00FE4DE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02410_25.pdf: </w:t>
            </w:r>
            <w:r w:rsidRPr="002D69DA">
              <w:rPr>
                <w:rFonts w:ascii="Palatino Linotype" w:eastAsia="Calibri" w:hAnsi="Palatino Linotype" w:cs="Arial"/>
                <w:i/>
                <w:color w:val="000000" w:themeColor="text1"/>
              </w:rPr>
              <w:t xml:space="preserve">oficio del Titular de la Unidad de Transparencia, mediante el cual informó que la Dirección de Recursos Humanos, refirió que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w:t>
            </w:r>
            <w:r w:rsidRPr="002D69DA">
              <w:rPr>
                <w:rFonts w:ascii="Palatino Linotype" w:eastAsia="Calibri" w:hAnsi="Palatino Linotype" w:cs="Arial"/>
                <w:i/>
                <w:color w:val="000000" w:themeColor="text1"/>
              </w:rPr>
              <w:lastRenderedPageBreak/>
              <w:t>colman con la entrega de documentos, situación que conlleva a afirmar que está en presencia del ejercicio del Derecho de Petición.</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02411/TOLUCA/IP/2025</w:t>
            </w:r>
          </w:p>
        </w:tc>
        <w:tc>
          <w:tcPr>
            <w:tcW w:w="5098" w:type="dxa"/>
          </w:tcPr>
          <w:p w:rsidR="00E72F67" w:rsidRPr="002D69DA" w:rsidRDefault="00A638F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02411_25.pdf: </w:t>
            </w:r>
            <w:r w:rsidRPr="002D69DA">
              <w:rPr>
                <w:rFonts w:ascii="Palatino Linotype" w:eastAsia="Calibri" w:hAnsi="Palatino Linotype" w:cs="Arial"/>
                <w:i/>
                <w:color w:val="000000" w:themeColor="text1"/>
              </w:rPr>
              <w:t>oficio del Titular de la Unidad de Transparencia, mediante el cual informó que la Dirección de Recursos Humanos, refirió que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02412/TOLUCA/IP/2025</w:t>
            </w:r>
          </w:p>
        </w:tc>
        <w:tc>
          <w:tcPr>
            <w:tcW w:w="5098" w:type="dxa"/>
          </w:tcPr>
          <w:p w:rsidR="00E72F67" w:rsidRPr="002D69DA" w:rsidRDefault="00A638F9" w:rsidP="00E84339">
            <w:pPr>
              <w:jc w:val="both"/>
              <w:rPr>
                <w:rFonts w:ascii="Palatino Linotype" w:eastAsia="Calibri" w:hAnsi="Palatino Linotype" w:cs="Arial"/>
                <w:b/>
                <w:i/>
                <w:color w:val="000000" w:themeColor="text1"/>
              </w:rPr>
            </w:pPr>
            <w:r w:rsidRPr="002D69DA">
              <w:rPr>
                <w:rFonts w:ascii="Palatino Linotype" w:eastAsia="Calibri" w:hAnsi="Palatino Linotype" w:cs="Arial"/>
                <w:b/>
                <w:i/>
                <w:color w:val="000000" w:themeColor="text1"/>
              </w:rPr>
              <w:t xml:space="preserve">R. 02412_25.pdf: </w:t>
            </w:r>
            <w:r w:rsidR="001C7B22" w:rsidRPr="002D69DA">
              <w:rPr>
                <w:rFonts w:ascii="Palatino Linotype" w:eastAsia="Calibri" w:hAnsi="Palatino Linotype" w:cs="Arial"/>
                <w:i/>
                <w:color w:val="000000" w:themeColor="text1"/>
              </w:rPr>
              <w:t>oficio del Titular de la Unidad de Transparencia, mediante el cual informó que la Dirección de Recursos Humanos, refirió que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p>
        </w:tc>
      </w:tr>
      <w:tr w:rsidR="00E84339"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t xml:space="preserve">Solicitud </w:t>
            </w:r>
            <w:r w:rsidRPr="002D69DA">
              <w:rPr>
                <w:rFonts w:ascii="Palatino Linotype" w:eastAsia="Calibri" w:hAnsi="Palatino Linotype" w:cs="Arial"/>
                <w:b/>
                <w:bCs/>
                <w:i/>
                <w:color w:val="000000" w:themeColor="text1"/>
                <w:lang w:val="es-MX"/>
              </w:rPr>
              <w:t>02413/TOLUCA/IP/2025</w:t>
            </w:r>
          </w:p>
        </w:tc>
        <w:tc>
          <w:tcPr>
            <w:tcW w:w="5098" w:type="dxa"/>
          </w:tcPr>
          <w:p w:rsidR="00E72F67" w:rsidRPr="002D69DA" w:rsidRDefault="001C7B22"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02413_25.pdf: </w:t>
            </w:r>
            <w:r w:rsidRPr="002D69DA">
              <w:rPr>
                <w:rFonts w:ascii="Palatino Linotype" w:eastAsia="Calibri" w:hAnsi="Palatino Linotype" w:cs="Arial"/>
                <w:i/>
                <w:color w:val="000000" w:themeColor="text1"/>
              </w:rPr>
              <w:t xml:space="preserve">oficio del Titular de la Unidad de Transparencia, mediante el cual informó que la Dirección de Recursos Humanos, refirió que </w:t>
            </w:r>
            <w:r w:rsidRPr="002D69DA">
              <w:rPr>
                <w:rFonts w:ascii="Palatino Linotype" w:eastAsia="Calibri" w:hAnsi="Palatino Linotype" w:cs="Arial"/>
                <w:i/>
                <w:color w:val="000000" w:themeColor="text1"/>
              </w:rPr>
              <w:lastRenderedPageBreak/>
              <w:t>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p>
        </w:tc>
      </w:tr>
      <w:tr w:rsidR="00E72F67" w:rsidRPr="002D69DA" w:rsidTr="003D6CAC">
        <w:tc>
          <w:tcPr>
            <w:tcW w:w="3681" w:type="dxa"/>
          </w:tcPr>
          <w:p w:rsidR="00E72F67" w:rsidRPr="002D69DA" w:rsidRDefault="00E72F67" w:rsidP="00E84339">
            <w:pPr>
              <w:pStyle w:val="Prrafodelista"/>
              <w:ind w:left="0"/>
              <w:jc w:val="both"/>
              <w:rPr>
                <w:rFonts w:ascii="Palatino Linotype" w:eastAsia="Calibri" w:hAnsi="Palatino Linotype" w:cs="Arial"/>
                <w:b/>
                <w:color w:val="000000" w:themeColor="text1"/>
              </w:rPr>
            </w:pPr>
            <w:r w:rsidRPr="002D69DA">
              <w:rPr>
                <w:rFonts w:ascii="Palatino Linotype" w:eastAsia="Calibri" w:hAnsi="Palatino Linotype" w:cs="Arial"/>
                <w:b/>
                <w:i/>
                <w:color w:val="000000" w:themeColor="text1"/>
              </w:rPr>
              <w:lastRenderedPageBreak/>
              <w:t xml:space="preserve">Solicitud </w:t>
            </w:r>
            <w:r w:rsidRPr="002D69DA">
              <w:rPr>
                <w:rFonts w:ascii="Palatino Linotype" w:eastAsia="Calibri" w:hAnsi="Palatino Linotype" w:cs="Arial"/>
                <w:b/>
                <w:bCs/>
                <w:i/>
                <w:color w:val="000000" w:themeColor="text1"/>
                <w:lang w:val="es-MX"/>
              </w:rPr>
              <w:t>02414/TOLUCA/IP/2025</w:t>
            </w:r>
          </w:p>
        </w:tc>
        <w:tc>
          <w:tcPr>
            <w:tcW w:w="5098" w:type="dxa"/>
          </w:tcPr>
          <w:p w:rsidR="00E72F67" w:rsidRPr="002D69DA" w:rsidRDefault="00AE5ECD"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b/>
                <w:i/>
                <w:color w:val="000000" w:themeColor="text1"/>
              </w:rPr>
              <w:t xml:space="preserve">R. 02414_25.pdf: </w:t>
            </w:r>
            <w:r w:rsidRPr="002D69DA">
              <w:rPr>
                <w:rFonts w:ascii="Palatino Linotype" w:eastAsia="Calibri" w:hAnsi="Palatino Linotype" w:cs="Arial"/>
                <w:i/>
                <w:color w:val="000000" w:themeColor="text1"/>
              </w:rPr>
              <w:t>oficio del Titular de la Unidad de Transparencia, mediante el cual informó que la Dirección de Recursos Humanos, refirió que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p>
        </w:tc>
      </w:tr>
    </w:tbl>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eastAsia="Calibri" w:hAnsi="Palatino Linotype" w:cs="Arial"/>
          <w:color w:val="000000" w:themeColor="text1"/>
          <w:lang w:val="es-AR"/>
        </w:rPr>
        <w:t xml:space="preserve">El </w:t>
      </w:r>
      <w:r w:rsidR="00F15D65" w:rsidRPr="002D69DA">
        <w:rPr>
          <w:rFonts w:ascii="Palatino Linotype" w:eastAsia="Calibri" w:hAnsi="Palatino Linotype" w:cs="Arial"/>
          <w:b/>
          <w:color w:val="000000" w:themeColor="text1"/>
          <w:lang w:val="es-AR"/>
        </w:rPr>
        <w:t xml:space="preserve">veintinueve y treinta de abril, así como el cinco y quince de mayo </w:t>
      </w:r>
      <w:r w:rsidRPr="002D69DA">
        <w:rPr>
          <w:rFonts w:ascii="Palatino Linotype" w:eastAsia="Calibri" w:hAnsi="Palatino Linotype" w:cs="Arial"/>
          <w:b/>
          <w:color w:val="000000" w:themeColor="text1"/>
          <w:lang w:val="es-AR"/>
        </w:rPr>
        <w:t>de dos mil veinticinco</w:t>
      </w:r>
      <w:r w:rsidRPr="002D69DA">
        <w:rPr>
          <w:rFonts w:ascii="Palatino Linotype" w:hAnsi="Palatino Linotype"/>
          <w:color w:val="000000" w:themeColor="text1"/>
        </w:rPr>
        <w:t xml:space="preserve">, el </w:t>
      </w:r>
      <w:r w:rsidRPr="002D69DA">
        <w:rPr>
          <w:rFonts w:ascii="Palatino Linotype" w:hAnsi="Palatino Linotype"/>
          <w:b/>
          <w:caps/>
          <w:color w:val="000000" w:themeColor="text1"/>
        </w:rPr>
        <w:t>solicitante</w:t>
      </w:r>
      <w:r w:rsidRPr="002D69DA">
        <w:rPr>
          <w:rFonts w:ascii="Palatino Linotype" w:hAnsi="Palatino Linotype"/>
          <w:color w:val="000000" w:themeColor="text1"/>
        </w:rPr>
        <w:t xml:space="preserve"> interpuso recurso de revisión en las solicitudes de información </w:t>
      </w:r>
      <w:r w:rsidR="008E3CEB" w:rsidRPr="002D69DA">
        <w:rPr>
          <w:rFonts w:ascii="Palatino Linotype" w:hAnsi="Palatino Linotype"/>
          <w:b/>
          <w:bCs/>
          <w:color w:val="000000" w:themeColor="text1"/>
          <w:lang w:val="es-MX"/>
        </w:rPr>
        <w:t xml:space="preserve">01787/TOLUCA/IP/2025, </w:t>
      </w:r>
      <w:r w:rsidR="008E3CEB" w:rsidRPr="002D69DA">
        <w:rPr>
          <w:rFonts w:ascii="Palatino Linotype" w:hAnsi="Palatino Linotype" w:cs="Arial"/>
          <w:b/>
          <w:color w:val="000000" w:themeColor="text1"/>
        </w:rPr>
        <w:t xml:space="preserve">01787/TOLUCA/IP/2025, 01786/TOLUCA/IP/2025, 1785/TOLUCA/IP/2025, 01783/TOLUCA/IP/2025, 01784/TOLUCA/IP/2025, 01736/TOLUCA/IP/2025, 02002/TOLUCA/IP/2025, 02003/TOLUCA/IP/2025, 02004/TOLUCA/IP/2025, 02005/TOLUCA/IP/2025, </w:t>
      </w:r>
      <w:r w:rsidR="008E3CEB" w:rsidRPr="002D69DA">
        <w:rPr>
          <w:rFonts w:ascii="Palatino Linotype" w:hAnsi="Palatino Linotype" w:cs="Arial"/>
          <w:b/>
          <w:color w:val="000000" w:themeColor="text1"/>
        </w:rPr>
        <w:lastRenderedPageBreak/>
        <w:t>02006/TOLUCA/IP/2025, 02007/TOLUCA/IP/2025, 02334/TOLUCA/IP/2025,  02336/TOLUCA/IP/2025, 02337/TOLUCA/IP/2025, 02338/TOLUCA/IP/2025, 02339/TOLUCA/IP/2025, 02340/TOLUCA/IP/2025, 02409/TOLUCA/IP/2025, 02410/TOLUCA/IP/2025, 02411/TOLUCA/IP/2025, 02412/TOLUCA/IP/2025, 02413/TOLUCA/IP/2025 y 02414/TOLUCA/IP/2025</w:t>
      </w:r>
      <w:r w:rsidRPr="002D69DA">
        <w:rPr>
          <w:rFonts w:ascii="Palatino Linotype" w:hAnsi="Palatino Linotype"/>
          <w:b/>
          <w:bCs/>
          <w:color w:val="000000" w:themeColor="text1"/>
          <w:lang w:val="es-MX"/>
        </w:rPr>
        <w:t xml:space="preserve">, </w:t>
      </w:r>
      <w:r w:rsidRPr="002D69DA">
        <w:rPr>
          <w:rFonts w:ascii="Palatino Linotype" w:hAnsi="Palatino Linotype"/>
          <w:color w:val="000000" w:themeColor="text1"/>
        </w:rPr>
        <w:t xml:space="preserve">en contra de las respuestas emitidas por el </w:t>
      </w:r>
      <w:r w:rsidRPr="002D69DA">
        <w:rPr>
          <w:rFonts w:ascii="Palatino Linotype" w:hAnsi="Palatino Linotype"/>
          <w:b/>
          <w:color w:val="000000" w:themeColor="text1"/>
        </w:rPr>
        <w:t>SUJETO OBLIGADO</w:t>
      </w:r>
      <w:r w:rsidRPr="002D69DA">
        <w:rPr>
          <w:rFonts w:ascii="Palatino Linotype" w:hAnsi="Palatino Linotype" w:cs="Arial"/>
          <w:color w:val="000000" w:themeColor="text1"/>
        </w:rPr>
        <w:t>, señalando las siguientes razones o motivos de inconformidad:</w:t>
      </w:r>
    </w:p>
    <w:tbl>
      <w:tblPr>
        <w:tblStyle w:val="Tablaconcuadrcula"/>
        <w:tblW w:w="0" w:type="auto"/>
        <w:tblLook w:val="04A0" w:firstRow="1" w:lastRow="0" w:firstColumn="1" w:lastColumn="0" w:noHBand="0" w:noVBand="1"/>
      </w:tblPr>
      <w:tblGrid>
        <w:gridCol w:w="3823"/>
        <w:gridCol w:w="5005"/>
      </w:tblGrid>
      <w:tr w:rsidR="00E84339" w:rsidRPr="002D69DA" w:rsidTr="004D6D95">
        <w:tc>
          <w:tcPr>
            <w:tcW w:w="3823" w:type="dxa"/>
          </w:tcPr>
          <w:p w:rsidR="004D6D95" w:rsidRPr="002D69DA" w:rsidRDefault="004D6D95" w:rsidP="00E84339">
            <w:pPr>
              <w:pStyle w:val="Prrafodelista"/>
              <w:ind w:left="0"/>
              <w:jc w:val="both"/>
              <w:rPr>
                <w:rFonts w:ascii="Palatino Linotype" w:hAnsi="Palatino Linotype" w:cs="Arial"/>
                <w:b/>
                <w:i/>
                <w:color w:val="000000" w:themeColor="text1"/>
              </w:rPr>
            </w:pPr>
            <w:r w:rsidRPr="002D69DA">
              <w:rPr>
                <w:rFonts w:ascii="Palatino Linotype" w:hAnsi="Palatino Linotype" w:cs="Arial"/>
                <w:b/>
                <w:i/>
                <w:color w:val="000000" w:themeColor="text1"/>
              </w:rPr>
              <w:t>Recursos de Revisión</w:t>
            </w:r>
          </w:p>
        </w:tc>
        <w:tc>
          <w:tcPr>
            <w:tcW w:w="5005" w:type="dxa"/>
          </w:tcPr>
          <w:p w:rsidR="004D6D95" w:rsidRPr="002D69DA" w:rsidRDefault="004D6D95" w:rsidP="00E84339">
            <w:pPr>
              <w:pStyle w:val="Prrafodelista"/>
              <w:ind w:left="0"/>
              <w:jc w:val="both"/>
              <w:rPr>
                <w:rFonts w:ascii="Palatino Linotype" w:hAnsi="Palatino Linotype" w:cs="Arial"/>
                <w:b/>
                <w:i/>
                <w:color w:val="000000" w:themeColor="text1"/>
              </w:rPr>
            </w:pPr>
            <w:r w:rsidRPr="002D69DA">
              <w:rPr>
                <w:rFonts w:ascii="Palatino Linotype" w:hAnsi="Palatino Linotype" w:cs="Arial"/>
                <w:b/>
                <w:i/>
                <w:color w:val="000000" w:themeColor="text1"/>
              </w:rPr>
              <w:t>Acto Impugnado y Razones o Motivos de Inconformidad</w:t>
            </w:r>
          </w:p>
        </w:tc>
      </w:tr>
      <w:tr w:rsidR="00E84339" w:rsidRPr="002D69DA" w:rsidTr="00FD2B03">
        <w:trPr>
          <w:trHeight w:val="332"/>
        </w:trPr>
        <w:tc>
          <w:tcPr>
            <w:tcW w:w="3823" w:type="dxa"/>
          </w:tcPr>
          <w:p w:rsidR="004D6D95" w:rsidRPr="002D69DA" w:rsidRDefault="004D6D95" w:rsidP="00E84339">
            <w:pPr>
              <w:rPr>
                <w:rFonts w:ascii="Palatino Linotype" w:hAnsi="Palatino Linotype" w:cs="Arial"/>
                <w:i/>
                <w:color w:val="000000" w:themeColor="text1"/>
              </w:rPr>
            </w:pPr>
          </w:p>
          <w:p w:rsidR="004D6D95" w:rsidRPr="002D69DA" w:rsidRDefault="004D6D95" w:rsidP="00E84339">
            <w:pPr>
              <w:rPr>
                <w:rFonts w:ascii="Palatino Linotype" w:hAnsi="Palatino Linotype" w:cs="Arial"/>
                <w:bCs/>
                <w:i/>
                <w:color w:val="000000" w:themeColor="text1"/>
                <w:lang w:val="es-MX"/>
              </w:rPr>
            </w:pPr>
            <w:r w:rsidRPr="002D69DA">
              <w:rPr>
                <w:rFonts w:ascii="Palatino Linotype" w:hAnsi="Palatino Linotype" w:cs="Arial"/>
                <w:b/>
                <w:i/>
                <w:color w:val="000000" w:themeColor="text1"/>
              </w:rPr>
              <w:t xml:space="preserve">Recurso de Revisión </w:t>
            </w:r>
            <w:r w:rsidR="007763EF" w:rsidRPr="002D69DA">
              <w:rPr>
                <w:rFonts w:ascii="Palatino Linotype" w:hAnsi="Palatino Linotype" w:cs="Arial"/>
                <w:b/>
                <w:i/>
                <w:color w:val="000000" w:themeColor="text1"/>
              </w:rPr>
              <w:t>04923/INFOEM/IP/RR/2025</w:t>
            </w:r>
            <w:r w:rsidRPr="002D69DA">
              <w:rPr>
                <w:rFonts w:ascii="Palatino Linotype" w:hAnsi="Palatino Linotype" w:cs="Arial"/>
                <w:b/>
                <w:bCs/>
                <w:i/>
                <w:color w:val="000000" w:themeColor="text1"/>
                <w:lang w:val="es-MX"/>
              </w:rPr>
              <w:t xml:space="preserve">: </w:t>
            </w:r>
          </w:p>
          <w:p w:rsidR="004D6D95" w:rsidRPr="002D69DA" w:rsidRDefault="004D6D95" w:rsidP="00E84339">
            <w:pPr>
              <w:pStyle w:val="Prrafodelista"/>
              <w:ind w:left="0"/>
              <w:rPr>
                <w:rFonts w:ascii="Palatino Linotype" w:hAnsi="Palatino Linotype" w:cs="Arial"/>
                <w:bCs/>
                <w:i/>
                <w:color w:val="000000" w:themeColor="text1"/>
                <w:lang w:val="es-MX"/>
              </w:rPr>
            </w:pPr>
          </w:p>
          <w:p w:rsidR="004D6D95" w:rsidRPr="002D69DA" w:rsidRDefault="004D6D95" w:rsidP="00E84339">
            <w:pPr>
              <w:pStyle w:val="Prrafodelista"/>
              <w:ind w:left="0"/>
              <w:rPr>
                <w:rFonts w:ascii="Palatino Linotype" w:hAnsi="Palatino Linotype" w:cs="Arial"/>
                <w:bCs/>
                <w:i/>
                <w:color w:val="000000" w:themeColor="text1"/>
                <w:lang w:val="es-MX"/>
              </w:rPr>
            </w:pPr>
          </w:p>
          <w:p w:rsidR="004D6D95" w:rsidRPr="002D69DA" w:rsidRDefault="004D6D95" w:rsidP="00E84339">
            <w:pPr>
              <w:rPr>
                <w:rFonts w:ascii="Palatino Linotype" w:hAnsi="Palatino Linotype" w:cs="Arial"/>
                <w:b/>
                <w:i/>
                <w:color w:val="000000" w:themeColor="text1"/>
              </w:rPr>
            </w:pPr>
          </w:p>
          <w:p w:rsidR="004D6D95" w:rsidRPr="002D69DA" w:rsidRDefault="004D6D95" w:rsidP="00E84339">
            <w:pPr>
              <w:rPr>
                <w:rFonts w:ascii="Palatino Linotype" w:hAnsi="Palatino Linotype" w:cs="Arial"/>
                <w:i/>
                <w:color w:val="000000" w:themeColor="text1"/>
              </w:rPr>
            </w:pPr>
          </w:p>
        </w:tc>
        <w:tc>
          <w:tcPr>
            <w:tcW w:w="5005" w:type="dxa"/>
          </w:tcPr>
          <w:p w:rsidR="004D6D95" w:rsidRPr="002D69DA" w:rsidRDefault="004D6D95"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815AC7" w:rsidRPr="002D69DA">
              <w:rPr>
                <w:rFonts w:ascii="Palatino Linotype" w:hAnsi="Palatino Linotype" w:cs="Arial"/>
                <w:i/>
                <w:color w:val="000000" w:themeColor="text1"/>
                <w:lang w:val="es-MX"/>
              </w:rPr>
              <w:t>“Respuesta a la Solicitud 1787/2025”</w:t>
            </w:r>
          </w:p>
          <w:p w:rsidR="004D6D95" w:rsidRPr="002D69DA" w:rsidRDefault="004D6D95"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4D6D95" w:rsidRPr="002D69DA" w:rsidRDefault="004D6D95" w:rsidP="00E84339">
            <w:pPr>
              <w:jc w:val="both"/>
              <w:rPr>
                <w:rFonts w:ascii="Palatino Linotype" w:hAnsi="Palatino Linotype" w:cs="Arial"/>
                <w:b/>
                <w:i/>
                <w:color w:val="000000" w:themeColor="text1"/>
                <w:lang w:val="es-MX"/>
              </w:rPr>
            </w:pPr>
            <w:r w:rsidRPr="002D69DA">
              <w:rPr>
                <w:rFonts w:ascii="Palatino Linotype" w:hAnsi="Palatino Linotype" w:cs="Arial"/>
                <w:b/>
                <w:i/>
                <w:color w:val="000000" w:themeColor="text1"/>
              </w:rPr>
              <w:t>Razones o Motivos de inconformidad:</w:t>
            </w:r>
            <w:r w:rsidRPr="002D69DA">
              <w:rPr>
                <w:rFonts w:ascii="Palatino Linotype" w:hAnsi="Palatino Linotype" w:cs="Arial"/>
                <w:i/>
                <w:color w:val="000000" w:themeColor="text1"/>
                <w:lang w:val="es-MX"/>
              </w:rPr>
              <w:t xml:space="preserve"> </w:t>
            </w:r>
            <w:r w:rsidR="00815AC7" w:rsidRPr="002D69DA">
              <w:rPr>
                <w:rFonts w:ascii="Palatino Linotype" w:hAnsi="Palatino Linotype" w:cs="Arial"/>
                <w:i/>
                <w:color w:val="000000" w:themeColor="text1"/>
                <w:lang w:val="es-MX"/>
              </w:rPr>
              <w:t>“</w:t>
            </w:r>
            <w:r w:rsidR="00815AC7" w:rsidRPr="002D69DA">
              <w:rPr>
                <w:rFonts w:ascii="Palatino Linotype" w:hAnsi="Palatino Linotype" w:cs="Arial"/>
                <w:i/>
                <w:color w:val="000000" w:themeColor="text1"/>
              </w:rPr>
              <w:t xml:space="preserve">ASUNTO: Recurso de Revisión conforme a los artículos 160 y 161 de la LTAIPEMyM FOLIO: 01787/TOLUCA/IP/2025 COMISIONADOS DEL INFOEM PRESENTE. **RAZONES DE INCONFORMIDAD:** Contenido de la respuesta: El sujeto obligado, mediante el documento denominado RS. 01787.2025 (1), respondió únicamente anexando un oficio firmado por el Dr. Nahum Miguel Mendoza Morales, en el cual: Se menciona el número de folio 01787/TOLUCA/IP/2025, pero no se entrega la información requerida. El oficio no contiene el listado solicitado, no presenta la nómina en formato Excel, no proporciona desglose quincenal del mes de enero de 2024, ni los conceptos detallados requeridos (RFC, CURP, Sueldo, Deducciones, etc.). En dicho oficio, se acumulan referencias a otros folios distintos y se da respuesta genérica a solicitudes ajenas, con lo cual se confunde y tergiversa la atención específica debida </w:t>
            </w:r>
            <w:r w:rsidR="00815AC7" w:rsidRPr="002D69DA">
              <w:rPr>
                <w:rFonts w:ascii="Palatino Linotype" w:hAnsi="Palatino Linotype" w:cs="Arial"/>
                <w:i/>
                <w:color w:val="000000" w:themeColor="text1"/>
              </w:rPr>
              <w:lastRenderedPageBreak/>
              <w:t xml:space="preserve">a la solicitud 01787/TOLUCA/IP/2025. Violación de principios de transparencia: La respuesta no es congruente, ni exhaustiva, y representa una maniobra dilatoria y obstruccionista, en violación directa a los principios de: Máxima publicidad y certeza jurídica (artículos 4 y 6 LTAIPEMyM). Congruencia y exhaustividad (artículos 92 fracción XII, 100 fracción II, y 160 LTAIPEMyM). Dolo y mala fe: El comportamiento del sujeto obligado evidencia dolo y mala intención: Entrega un documento vacío de contenido incongruente el cual agrego para su revision y se determine el dolo y la mala intencion y que estas actitudes sean sancionadas al ser recurrente en el comportamiento. Mezcla otros folios que no corresponden a la solicitud, confundiendo deliberadamente al solicitante. No cumple con la obligación de proporcionar la información en el formato requerido (Excel), ni explica fundadamente ninguna causal de reserva o inexistencia. Conducta reiterada: El sujeto obligado presenta un patrón de conductas sistemáticas de obstaculización en múltiples solicitudes, configurando un incumplimiento grave que amerita no sólo la revocación de la respuesta, sino la apertura de procedimiento de responsabilidad administrativa. PETICIONES CONCRETAS Que se admita el presente recurso de revisión, se declare fundado, y se ordene al Ayuntamiento de Toluca entregar la información solicitada de forma completa, detallada y en el formato Excel solicitado. Que en este mismo procedimiento se gire vista al Órgano Interno de Control Municipal, para que se determine la probable responsabilidad administrativa del servidor público firmante del oficio (Dr. Nahum </w:t>
            </w:r>
            <w:r w:rsidR="00815AC7" w:rsidRPr="002D69DA">
              <w:rPr>
                <w:rFonts w:ascii="Palatino Linotype" w:hAnsi="Palatino Linotype" w:cs="Arial"/>
                <w:i/>
                <w:color w:val="000000" w:themeColor="text1"/>
              </w:rPr>
              <w:lastRenderedPageBreak/>
              <w:t>Miguel Mendoza Morales), conforme a los artículos 191 y 192 de la Ley de Transparencia. Que, en su caso, se impongan las medidas de apremio correspondientes para garantizar el cumplimiento de la resolución. **HECHOS:** - En la solicitud con folio 01787/TOLUCA/IP/2025, el sujeto obligado entregó exclusivamente un documento en formato PDF, denominado **"RS. 01787. 2025 (1)"**, que no responde en forma congruente, completa ni en el formato solicitado. - La información proporcionada es insuficiente, errónea y no guarda relación proporcional con los extremos de la solicitud. - Esta conducta es reiterada en otras solicitudes, afectando sistemáticamente el ejercicio del derecho de acceso a la información pública. **PETICIÓN:** - Que se admita la presente denuncia. - Que se investigue la actuación del sujeto obligado. - Que se impongan las medidas correctivas correspondientes y, en su caso, se turne al Órgano de Control Interno para sanción administrativa.”</w:t>
            </w:r>
          </w:p>
        </w:tc>
      </w:tr>
      <w:tr w:rsidR="00E84339" w:rsidRPr="002D69DA" w:rsidTr="004D6D95">
        <w:tc>
          <w:tcPr>
            <w:tcW w:w="3823" w:type="dxa"/>
          </w:tcPr>
          <w:p w:rsidR="007763EF" w:rsidRPr="002D69DA" w:rsidRDefault="007763EF" w:rsidP="00E84339">
            <w:pPr>
              <w:rPr>
                <w:rFonts w:ascii="Palatino Linotype" w:hAnsi="Palatino Linotype" w:cs="Arial"/>
                <w:bCs/>
                <w:i/>
                <w:color w:val="000000" w:themeColor="text1"/>
                <w:lang w:val="es-MX"/>
              </w:rPr>
            </w:pPr>
            <w:r w:rsidRPr="002D69DA">
              <w:rPr>
                <w:rFonts w:ascii="Palatino Linotype" w:hAnsi="Palatino Linotype" w:cs="Arial"/>
                <w:b/>
                <w:i/>
                <w:color w:val="000000" w:themeColor="text1"/>
              </w:rPr>
              <w:lastRenderedPageBreak/>
              <w:t>Recurso de Revisión 04924/INFOEM/IP/RR/2025</w:t>
            </w:r>
            <w:r w:rsidRPr="002D69DA">
              <w:rPr>
                <w:rFonts w:ascii="Palatino Linotype" w:hAnsi="Palatino Linotype" w:cs="Arial"/>
                <w:b/>
                <w:bCs/>
                <w:i/>
                <w:color w:val="000000" w:themeColor="text1"/>
                <w:lang w:val="es-MX"/>
              </w:rPr>
              <w:t xml:space="preserve">: </w:t>
            </w:r>
          </w:p>
          <w:p w:rsidR="007763EF" w:rsidRPr="002D69DA" w:rsidRDefault="007763EF" w:rsidP="00E84339">
            <w:pPr>
              <w:rPr>
                <w:rFonts w:ascii="Palatino Linotype" w:hAnsi="Palatino Linotype" w:cs="Arial"/>
                <w:i/>
                <w:color w:val="000000" w:themeColor="text1"/>
              </w:rPr>
            </w:pPr>
          </w:p>
        </w:tc>
        <w:tc>
          <w:tcPr>
            <w:tcW w:w="5005" w:type="dxa"/>
          </w:tcPr>
          <w:p w:rsidR="00FD2B03" w:rsidRPr="002D69DA" w:rsidRDefault="00FD2B03"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8D2AB7" w:rsidRPr="002D69DA">
              <w:rPr>
                <w:rFonts w:ascii="Palatino Linotype" w:hAnsi="Palatino Linotype" w:cs="Arial"/>
                <w:i/>
                <w:color w:val="000000" w:themeColor="text1"/>
                <w:lang w:val="es-MX"/>
              </w:rPr>
              <w:t>“</w:t>
            </w:r>
            <w:r w:rsidR="008D2AB7" w:rsidRPr="002D69DA">
              <w:rPr>
                <w:rFonts w:ascii="Palatino Linotype" w:hAnsi="Palatino Linotype" w:cs="Arial"/>
                <w:i/>
                <w:color w:val="000000" w:themeColor="text1"/>
              </w:rPr>
              <w:t>Solicitud: 01786/TOLUCA/IP/2025”</w:t>
            </w:r>
          </w:p>
          <w:p w:rsidR="008D2AB7" w:rsidRPr="002D69DA" w:rsidRDefault="008D2AB7"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“Motivos del recurso: Solicité las nóminas quincenales de enero de 2023, incluyendo datos por empleado: nombre, RFC, CURP, tipo de contratación,</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 xml:space="preserve">percepciones, deducciones, neto, y conceptos como aguinaldo y prima vacacional, en formato Excel. El sujeto obligado respondió con un oficio firmado por el Titular de la Unidad de Transparencia, señalando que la Dirección de Recursos Humanos no encontró registro alguno, y citando el criterio 3/17 del INAI como excusa para </w:t>
            </w:r>
            <w:r w:rsidR="008D2AB7" w:rsidRPr="002D69DA">
              <w:rPr>
                <w:rFonts w:ascii="Palatino Linotype" w:hAnsi="Palatino Linotype" w:cs="Arial"/>
                <w:i/>
                <w:color w:val="000000" w:themeColor="text1"/>
              </w:rPr>
              <w:lastRenderedPageBreak/>
              <w:t>no generar documentos. Esta respuesta es</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dolosa, evasiva y violatoria del derecho de acceso a la información, por las siguientes razones: La información solicitada debe existir, porque forma parte de las funciones ordinarias de control y ejecución del gasto de nómina. El Ayuntamiento está obligado por ley a publicarla trimestralmente en IPOMEX, lo que implica necesariamente que la genera, conserva y manipula. No se ofreció consulta directa, ni copia parcial, ni constancia formal de inexistencia: solo una negación para bloquear el acceso deliberadamente. Además, esta no es una práctica aislada. El sujeto obligado tiene un patrón reiterado de conducta obstructiva, simulando búsquedas, invocando criterios legales fuera de contexto y entregando respuestas vacías para desgastar al solicitante. Solicito: Se admita el recurso y se ordene la entrega completa de la información solicitada. Se gire vista a la Contraloría Municipal por simulación, falsedad y reincidencia. Se impongan medidas de apremio conforme al artículo 189 de la LTAIPEMyM.”</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04932/INFOEM/IP/RR/2025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8D2AB7" w:rsidRPr="002D69DA">
              <w:rPr>
                <w:rFonts w:ascii="Palatino Linotype" w:hAnsi="Palatino Linotype" w:cs="Arial"/>
                <w:i/>
                <w:color w:val="000000" w:themeColor="text1"/>
                <w:lang w:val="es-MX"/>
              </w:rPr>
              <w:t>“</w:t>
            </w:r>
            <w:r w:rsidR="008D2AB7" w:rsidRPr="002D69DA">
              <w:rPr>
                <w:rFonts w:ascii="Palatino Linotype" w:hAnsi="Palatino Linotype" w:cs="Arial"/>
                <w:i/>
                <w:color w:val="000000" w:themeColor="text1"/>
              </w:rPr>
              <w:t>Solicitud: 01785/TOLUCA/IP/2025”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“HECHOS Y MOTIVOS DE INCONFORMIDAD Se solicitó información pública de carácter obligatorio, conforme al artículo 92 de la Ley de Transparencia del Estado de México y Municipios (LTAYPEMyM), que obliga a los sujetos a publicar y entregar: "La remuneración bruta y neta de todos los servidores públicos.</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 xml:space="preserve">incluyendo sueldos, prestaciones, gratificaciones, primas, compensaciones, subsidios, impuestos, deducciones, neto, </w:t>
            </w:r>
            <w:r w:rsidR="008D2AB7" w:rsidRPr="002D69DA">
              <w:rPr>
                <w:rFonts w:ascii="Palatino Linotype" w:hAnsi="Palatino Linotype" w:cs="Arial"/>
                <w:i/>
                <w:color w:val="000000" w:themeColor="text1"/>
              </w:rPr>
              <w:lastRenderedPageBreak/>
              <w:t>departamento, dirección y demás datos relacionados." El sujeto obligado respondió con el documento R.01786.2025, donde se simula la inexistencia o se evade la entrega de la información, a pesar de: Que el Código Reglamentario Municipal de Toluca establece que Recursos Humanos coadyuva en la elaboración de la nómina, y Administración la autoriza. Que dicha nómina debe generarse de forma regular, pagarse y timbrarse vía CFDI. La simulación de la inexistencia constituye una conducta expresamente sancionada por la Ley de Transparencia, conforme a los artículos: Art. 222 fracción XII y XIII: sanciona declarar con dolo o negligencia la inexistencia de información que debe generarse o que existe total o parcialmente</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Art. 230 fracción III: impone multa de hasta 1,500 UMA. Art. 169: el Comité de Transparencia está</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obligado a fundar, motivar y emitir resolución específica sobre inexistencia, lo cual no se acredita en la respuesta. PETICIÓN Con fundamento en el artículo 179 fracción III y VII de la LTAYPEMyM, por la entrega incompleta y la simulación de inexistencia, solicito al Pleno del INFOEM lo siguiente: Que se admita y resuelva favorablemente el presente recurso de revisión, ordenando la entrega completa de la nómina solicitada, en el formato disponible más cercano (preferentemente Excel), correspondiente a enero de 2022, incluyendo nómina ordinaria, aguinaldo y prima vacacional. Que se analice la probable conducta dolosa o negligente del sujeto obligado, al simular la inexistencia de información que debe generarse por disposición normativa y constitucional. Que, con</w:t>
            </w:r>
            <w:r w:rsidR="008D2AB7" w:rsidRPr="002D69DA">
              <w:rPr>
                <w:rFonts w:ascii="Palatino Linotype" w:hAnsi="Palatino Linotype" w:cs="Arial"/>
                <w:b/>
                <w:i/>
                <w:color w:val="000000" w:themeColor="text1"/>
              </w:rPr>
              <w:t xml:space="preserve"> </w:t>
            </w:r>
            <w:r w:rsidR="008D2AB7" w:rsidRPr="002D69DA">
              <w:rPr>
                <w:rFonts w:ascii="Palatino Linotype" w:hAnsi="Palatino Linotype" w:cs="Arial"/>
                <w:i/>
                <w:color w:val="000000" w:themeColor="text1"/>
              </w:rPr>
              <w:t xml:space="preserve">fundamento en los artículos 222 y 230 de la LTAYPEMyM, se </w:t>
            </w:r>
            <w:r w:rsidR="008D2AB7" w:rsidRPr="002D69DA">
              <w:rPr>
                <w:rFonts w:ascii="Palatino Linotype" w:hAnsi="Palatino Linotype" w:cs="Arial"/>
                <w:i/>
                <w:color w:val="000000" w:themeColor="text1"/>
              </w:rPr>
              <w:lastRenderedPageBreak/>
              <w:t>imponga la sanción correspondiente y que se le dé vista al Órgano Interno de Control del Ayuntamiento de Toluca, en términos del artículo 223. Que, de estimarse una reincidencia o un patrón de ocultamiento sistemático, se incluya esta situación en el informe de cumplimiento y se tomen medidas adicionales conforme al artículo 231 de la misma Ley.”</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04969/INFOEM/IP/RR/2025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AB4DD0" w:rsidRPr="002D69DA">
              <w:rPr>
                <w:rFonts w:ascii="Palatino Linotype" w:hAnsi="Palatino Linotype" w:cs="Arial"/>
                <w:i/>
                <w:color w:val="000000" w:themeColor="text1"/>
                <w:lang w:val="es-MX"/>
              </w:rPr>
              <w:t>“</w:t>
            </w:r>
            <w:r w:rsidR="00AB4DD0" w:rsidRPr="002D69DA">
              <w:rPr>
                <w:rFonts w:ascii="Palatino Linotype" w:hAnsi="Palatino Linotype" w:cs="Arial"/>
                <w:i/>
                <w:color w:val="000000" w:themeColor="text1"/>
              </w:rPr>
              <w:t>solicitud 01783/TOLUCA/IP/2025”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AB4DD0" w:rsidRPr="002D69DA">
              <w:rPr>
                <w:rFonts w:ascii="Palatino Linotype" w:hAnsi="Palatino Linotype" w:cs="Arial"/>
                <w:b/>
                <w:i/>
                <w:color w:val="000000" w:themeColor="text1"/>
              </w:rPr>
              <w:t xml:space="preserve"> </w:t>
            </w:r>
            <w:r w:rsidR="00AB4DD0" w:rsidRPr="002D69DA">
              <w:rPr>
                <w:rFonts w:ascii="Palatino Linotype" w:hAnsi="Palatino Linotype" w:cs="Arial"/>
                <w:i/>
                <w:color w:val="000000" w:themeColor="text1"/>
              </w:rPr>
              <w:t>“</w:t>
            </w:r>
            <w:r w:rsidR="00AB4DD0" w:rsidRPr="002D69DA">
              <w:rPr>
                <w:rFonts w:ascii="Palatino Linotype" w:hAnsi="Palatino Linotype" w:cs="Palatino Linotype"/>
                <w:i/>
                <w:color w:val="000000" w:themeColor="text1"/>
              </w:rPr>
              <w:t>🟩</w:t>
            </w:r>
            <w:r w:rsidR="00AB4DD0" w:rsidRPr="002D69DA">
              <w:rPr>
                <w:rFonts w:ascii="Palatino Linotype" w:hAnsi="Palatino Linotype" w:cs="Arial"/>
                <w:i/>
                <w:color w:val="000000" w:themeColor="text1"/>
              </w:rPr>
              <w:t xml:space="preserve"> HECHOS Mediante la solicitud 01783/TOLUCA/IP/2025, requerí información pública relativa a la nómina del personal del mes de diciembre de 2023, en formato desagregado por</w:t>
            </w:r>
            <w:r w:rsidR="00AB4DD0" w:rsidRPr="002D69DA">
              <w:rPr>
                <w:rFonts w:ascii="Palatino Linotype" w:hAnsi="Palatino Linotype" w:cs="Arial"/>
                <w:b/>
                <w:i/>
                <w:color w:val="000000" w:themeColor="text1"/>
              </w:rPr>
              <w:t xml:space="preserve"> </w:t>
            </w:r>
            <w:r w:rsidR="00AB4DD0" w:rsidRPr="002D69DA">
              <w:rPr>
                <w:rFonts w:ascii="Palatino Linotype" w:hAnsi="Palatino Linotype" w:cs="Arial"/>
                <w:i/>
                <w:color w:val="000000" w:themeColor="text1"/>
              </w:rPr>
              <w:t xml:space="preserve">empleado. El sujeto obligado respondió que, tras una supuesta búsqueda exhaustiva, no encontró registros y se limitó a invocar que no está obligado a elaborar documentos ad hoc. </w:t>
            </w:r>
            <w:r w:rsidR="00AB4DD0" w:rsidRPr="002D69DA">
              <w:rPr>
                <w:rFonts w:ascii="Palatino Linotype" w:hAnsi="Palatino Linotype" w:cs="Palatino Linotype"/>
                <w:i/>
                <w:color w:val="000000" w:themeColor="text1"/>
              </w:rPr>
              <w:t>🟨</w:t>
            </w:r>
            <w:r w:rsidR="00AB4DD0" w:rsidRPr="002D69DA">
              <w:rPr>
                <w:rFonts w:ascii="Palatino Linotype" w:hAnsi="Palatino Linotype" w:cs="Arial"/>
                <w:i/>
                <w:color w:val="000000" w:themeColor="text1"/>
              </w:rPr>
              <w:t xml:space="preserve"> AGRAVIOS La información solicitada forma parte de los actos obligatorios que deben documentarse conforme a la ley y al reglamento municipal. La elaboración de la nómina está prevista dentro de las atribuciones expresas de la Dirección General de Administración y de la Dirección de Recursos Humanos, según el Código Reglamentario del Ayuntamiento de Toluca. Por tanto, conforme al artículo 18 de la Ley de Transparencia, el sujeto obligado debe documentar todo acto derivado del ejercicio de sus atribuciones, y conforme al artículo 19, dicha información se presume existente, salvo que se funde y motive la excepción por parte del Comité de Transparencia, lo cual no ocurrió. El artículo 92 obliga a publicar y conservar la información relativa a percepciones </w:t>
            </w:r>
            <w:r w:rsidR="00AB4DD0" w:rsidRPr="002D69DA">
              <w:rPr>
                <w:rFonts w:ascii="Palatino Linotype" w:hAnsi="Palatino Linotype" w:cs="Arial"/>
                <w:i/>
                <w:color w:val="000000" w:themeColor="text1"/>
              </w:rPr>
              <w:lastRenderedPageBreak/>
              <w:t>de los servidores públicos. Este artículo impone como obligación específica de transparencia proactiva contar con la información sobre sueldos, compensaciones, gratificaciones y deducciones de todo el personal, lo cual reafirma el deber legal de generar y</w:t>
            </w:r>
            <w:r w:rsidR="00AB4DD0" w:rsidRPr="002D69DA">
              <w:rPr>
                <w:rFonts w:ascii="Palatino Linotype" w:hAnsi="Palatino Linotype" w:cs="Arial"/>
                <w:b/>
                <w:i/>
                <w:color w:val="000000" w:themeColor="text1"/>
              </w:rPr>
              <w:t xml:space="preserve"> </w:t>
            </w:r>
            <w:r w:rsidR="00AB4DD0" w:rsidRPr="002D69DA">
              <w:rPr>
                <w:rFonts w:ascii="Palatino Linotype" w:hAnsi="Palatino Linotype" w:cs="Arial"/>
                <w:i/>
                <w:color w:val="000000" w:themeColor="text1"/>
              </w:rPr>
              <w:t xml:space="preserve">mantener dicha información disponible. La Ley de Archivos del Estado de México exige conservar los documentos administrativos y realizar entrega-recepción. Conforme a dicha ley, los entes públicos deben custodiar y transferir su información conforme al Catálogo de Disposición Documental. La nómina, al ser parte de la gestión administrativa ordinaria, no puede desaparecer sin rastro; su supuesta inexistencia evidencia una posible irregularidad administrativa. La negativa configura una probable simulación de inexistencia dolosa o negligente. El artículo 222, fracciones XII y XIII, califica como falta administrativa negar información que debe documentarse o que se presume existente. Más aún, esta conducta ha sido reiterada en diversas solicitudes similares, lo que puede evidenciar una práctica sistemática para evitar la rendición de cuentas. </w:t>
            </w:r>
            <w:r w:rsidR="00AB4DD0" w:rsidRPr="002D69DA">
              <w:rPr>
                <w:rFonts w:ascii="Palatino Linotype" w:hAnsi="Palatino Linotype" w:cs="Palatino Linotype"/>
                <w:i/>
                <w:color w:val="000000" w:themeColor="text1"/>
              </w:rPr>
              <w:t>🟥</w:t>
            </w:r>
            <w:r w:rsidR="00AB4DD0" w:rsidRPr="002D69DA">
              <w:rPr>
                <w:rFonts w:ascii="Palatino Linotype" w:hAnsi="Palatino Linotype" w:cs="Arial"/>
                <w:i/>
                <w:color w:val="000000" w:themeColor="text1"/>
              </w:rPr>
              <w:t xml:space="preserve"> PETICIÓN Con fundamento en los artículos 12, 18, 19, 92, 179, 181, 222 y 223 de la Ley de Transparencia del Estado de México y Municipios, así como en la Ley de Archivos y en el Código Reglamentario Municipal, solicito al Instituto: Se admita y resuelva el presente recurso, ordenando la</w:t>
            </w:r>
            <w:r w:rsidR="00AB4DD0" w:rsidRPr="002D69DA">
              <w:rPr>
                <w:rFonts w:ascii="Palatino Linotype" w:hAnsi="Palatino Linotype" w:cs="Arial"/>
                <w:b/>
                <w:i/>
                <w:color w:val="000000" w:themeColor="text1"/>
              </w:rPr>
              <w:t xml:space="preserve"> </w:t>
            </w:r>
            <w:r w:rsidR="00AB4DD0" w:rsidRPr="002D69DA">
              <w:rPr>
                <w:rFonts w:ascii="Palatino Linotype" w:hAnsi="Palatino Linotype" w:cs="Arial"/>
                <w:i/>
                <w:color w:val="000000" w:themeColor="text1"/>
              </w:rPr>
              <w:t xml:space="preserve">entrega íntegra y conforme a derecho de la información solicitada. Se tenga por acreditado el incumplimiento a la obligación de documentar, conservar y publicar información relativa a percepciones del personal, conforme a la normatividad aplicable. Se ordene al sujeto obligado proporcionar la información en el formato </w:t>
            </w:r>
            <w:r w:rsidR="00AB4DD0" w:rsidRPr="002D69DA">
              <w:rPr>
                <w:rFonts w:ascii="Palatino Linotype" w:hAnsi="Palatino Linotype" w:cs="Arial"/>
                <w:i/>
                <w:color w:val="000000" w:themeColor="text1"/>
              </w:rPr>
              <w:lastRenderedPageBreak/>
              <w:t>en que obre en sus archivos, sin invocar criterios que resulten inaplicables para el caso. Se verifique el patrón de conducta reiterada del sujeto obligado respecto de solicitudes similares. Se dé vista al Órgano Interno de Control, en términos del artículo 223, para que inicie el procedimiento correspondiente ante la probable comisión de faltas administrativas.”</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04970/INFOEM/IP/RR/2025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800DE2" w:rsidRPr="002D69DA">
              <w:rPr>
                <w:rFonts w:ascii="Palatino Linotype" w:hAnsi="Palatino Linotype" w:cs="Arial"/>
                <w:i/>
                <w:color w:val="000000" w:themeColor="text1"/>
                <w:lang w:val="es-MX"/>
              </w:rPr>
              <w:t>“solicitud 01784/TOLUCA/IP/2025”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800DE2" w:rsidRPr="002D69DA">
              <w:rPr>
                <w:rFonts w:ascii="Palatino Linotype" w:hAnsi="Palatino Linotype" w:cs="Arial"/>
                <w:b/>
                <w:i/>
                <w:color w:val="000000" w:themeColor="text1"/>
              </w:rPr>
              <w:t xml:space="preserve"> </w:t>
            </w:r>
            <w:r w:rsidR="00800DE2" w:rsidRPr="002D69DA">
              <w:rPr>
                <w:rFonts w:ascii="Palatino Linotype" w:hAnsi="Palatino Linotype" w:cs="Arial"/>
                <w:i/>
                <w:color w:val="000000" w:themeColor="text1"/>
              </w:rPr>
              <w:t>“</w:t>
            </w:r>
            <w:r w:rsidR="00800DE2" w:rsidRPr="002D69DA">
              <w:rPr>
                <w:rFonts w:ascii="Segoe UI Symbol" w:hAnsi="Segoe UI Symbol" w:cs="Segoe UI Symbol"/>
                <w:i/>
                <w:color w:val="000000" w:themeColor="text1"/>
              </w:rPr>
              <w:t>🔷</w:t>
            </w:r>
            <w:r w:rsidR="00800DE2" w:rsidRPr="002D69DA">
              <w:rPr>
                <w:rFonts w:ascii="Palatino Linotype" w:hAnsi="Palatino Linotype" w:cs="Arial"/>
                <w:i/>
                <w:color w:val="000000" w:themeColor="text1"/>
              </w:rPr>
              <w:t xml:space="preserve"> HECHOS Con fecha [●], presenté mediante la Plataforma SAIMEX la solicitud 01784/TOLUCA/IP/2025, en la cual requerí el listado de la nómina correspondiente al mes de diciembre de 2024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800DE2" w:rsidRPr="002D69DA">
              <w:rPr>
                <w:rFonts w:ascii="Segoe UI Symbol" w:hAnsi="Segoe UI Symbol" w:cs="Segoe UI Symbol"/>
                <w:i/>
                <w:color w:val="000000" w:themeColor="text1"/>
              </w:rPr>
              <w:t>🔶</w:t>
            </w:r>
            <w:r w:rsidR="00800DE2" w:rsidRPr="002D69DA">
              <w:rPr>
                <w:rFonts w:ascii="Palatino Linotype" w:hAnsi="Palatino Linotype" w:cs="Arial"/>
                <w:i/>
                <w:color w:val="000000" w:themeColor="text1"/>
              </w:rPr>
              <w:t xml:space="preserve"> AGRAVIOS Simulación de inexistencia de información obligatoria La nómina solicitada es producto de las funciones administrativas ordinarias del Ayuntamiento, específicamente de </w:t>
            </w:r>
            <w:r w:rsidR="00800DE2" w:rsidRPr="002D69DA">
              <w:rPr>
                <w:rFonts w:ascii="Palatino Linotype" w:hAnsi="Palatino Linotype" w:cs="Arial"/>
                <w:i/>
                <w:color w:val="000000" w:themeColor="text1"/>
              </w:rPr>
              <w:lastRenderedPageBreak/>
              <w:t xml:space="preserve">la Dirección General de Administración y la Dirección de Recursos Humanos, conforme al Código Reglamentario Municipal. Por tanto, conforme al artículo 18 de la Ley de Transparencia, la información debió estar documentada, y conforme al artículo 19, se presume existente salvo prueba fundada y motivada por el Comité de Transparencia, lo cual no ocurrió. Violación al principio de máxima publicidad y deber de conservación La información requerida es de acceso público directo conforme al 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entrega-recepción. Negativa reiterada que evidencia una práctica sistemática de ocultamiento Esta no es una conducta aislada: el sujeto obligado ha incurrido en negativas similares en otras 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elaborar documentos nuevos. Omisión del Comité de Transparencia El sujeto obligado no adjuntó resolución ni acuerdo fundado y motivado del Comité de Transparencia, como exige el artículo 19 para declarar inexistente información que debe estar documentada. Falta administrativa conforme al artículo 222 La conducta encuadra en </w:t>
            </w:r>
            <w:r w:rsidR="00800DE2" w:rsidRPr="002D69DA">
              <w:rPr>
                <w:rFonts w:ascii="Palatino Linotype" w:hAnsi="Palatino Linotype" w:cs="Arial"/>
                <w:i/>
                <w:color w:val="000000" w:themeColor="text1"/>
              </w:rPr>
              <w:lastRenderedPageBreak/>
              <w:t xml:space="preserve">las fracciones XII y XIII del artículo 222: simular inexistencia de información que debe generarse o que se presume existente. Esto constituye una falta administrativa que amerita procedimiento y vista. </w:t>
            </w:r>
            <w:r w:rsidR="00800DE2" w:rsidRPr="002D69DA">
              <w:rPr>
                <w:rFonts w:ascii="Palatino Linotype" w:hAnsi="Palatino Linotype" w:cs="Palatino Linotype"/>
                <w:i/>
                <w:color w:val="000000" w:themeColor="text1"/>
              </w:rPr>
              <w:t>🟥</w:t>
            </w:r>
            <w:r w:rsidR="00800DE2"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Estado de México, se solicita respetuosamente al INFOEM: Se admita y resuelva el presente recurso, ordenando la entrega íntegra y legal de la información requerida, conforme a las obligaciones 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Se determine si existe un comportamiento reiterado y sistemático de negativa por parte del sujeto obligado respecto a solicitudes similares, y se emitan las recomendaciones y medidas 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conformidad con el artículo 181, último párrafo, a fin de que el fondo del asunto sea analizado en su integridad.”</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04971/INFOEM/IP/RR/2025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9262C7" w:rsidRPr="002D69DA">
              <w:rPr>
                <w:rFonts w:ascii="Palatino Linotype" w:hAnsi="Palatino Linotype" w:cs="Arial"/>
                <w:i/>
                <w:color w:val="000000" w:themeColor="text1"/>
                <w:lang w:val="es-MX"/>
              </w:rPr>
              <w:t>“Solicitud: 01736/TOLUCA/IP/2025”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lastRenderedPageBreak/>
              <w:t>Razones o Motivos de inconformidad:</w:t>
            </w:r>
            <w:r w:rsidR="009262C7" w:rsidRPr="002D69DA">
              <w:rPr>
                <w:rFonts w:ascii="Palatino Linotype" w:hAnsi="Palatino Linotype" w:cs="Arial"/>
                <w:b/>
                <w:i/>
                <w:color w:val="000000" w:themeColor="text1"/>
              </w:rPr>
              <w:t xml:space="preserve"> </w:t>
            </w:r>
            <w:r w:rsidR="009262C7" w:rsidRPr="002D69DA">
              <w:rPr>
                <w:rFonts w:ascii="Palatino Linotype" w:hAnsi="Palatino Linotype" w:cs="Arial"/>
                <w:i/>
                <w:color w:val="000000" w:themeColor="text1"/>
              </w:rPr>
              <w:t>“</w:t>
            </w:r>
            <w:r w:rsidR="009262C7" w:rsidRPr="002D69DA">
              <w:rPr>
                <w:rFonts w:ascii="Segoe UI Symbol" w:hAnsi="Segoe UI Symbol" w:cs="Segoe UI Symbol"/>
                <w:i/>
                <w:color w:val="000000" w:themeColor="text1"/>
              </w:rPr>
              <w:t>🔷</w:t>
            </w:r>
            <w:r w:rsidR="009262C7" w:rsidRPr="002D69DA">
              <w:rPr>
                <w:rFonts w:ascii="Palatino Linotype" w:hAnsi="Palatino Linotype" w:cs="Arial"/>
                <w:i/>
                <w:color w:val="000000" w:themeColor="text1"/>
              </w:rPr>
              <w:t xml:space="preserve"> HECHOS Con fecha [●], presenté mediante la Plataforma SAIMEX la solicitud 01736/TOLUCA/IP/2025, en la cual requerí el listado de la nómina correspondiente al mes de diciembre de 2022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9262C7" w:rsidRPr="002D69DA">
              <w:rPr>
                <w:rFonts w:ascii="Segoe UI Symbol" w:hAnsi="Segoe UI Symbol" w:cs="Segoe UI Symbol"/>
                <w:i/>
                <w:color w:val="000000" w:themeColor="text1"/>
              </w:rPr>
              <w:t>🔶</w:t>
            </w:r>
            <w:r w:rsidR="009262C7" w:rsidRPr="002D69DA">
              <w:rPr>
                <w:rFonts w:ascii="Palatino Linotype" w:hAnsi="Palatino Linotype" w:cs="Arial"/>
                <w:i/>
                <w:color w:val="000000" w:themeColor="text1"/>
              </w:rPr>
              <w:t xml:space="preserve"> AGRAVIOS Simulación de inexistencia de información obligatoria La nómina solicitada es producto de las funciones administrativas ordinarias del Ayuntamiento, específicamente de la Dirección General de Administración y la Dirección de Recursos Humanos, conforme al Código Reglamentario Municipal. Por tanto, conforme al artículo 18 de la Ley de Transparencia, la información debió estar documentada, y conforme al artículo 19, se presume existente salvo prueba fundada y motivada por el Comité de Transparencia, lo cual no ocurrió. Violación al principio de máxima publicidad y deber de conservación La información requerida es de acceso público directo conforme al </w:t>
            </w:r>
            <w:r w:rsidR="009262C7" w:rsidRPr="002D69DA">
              <w:rPr>
                <w:rFonts w:ascii="Palatino Linotype" w:hAnsi="Palatino Linotype" w:cs="Arial"/>
                <w:i/>
                <w:color w:val="000000" w:themeColor="text1"/>
              </w:rPr>
              <w:lastRenderedPageBreak/>
              <w:t xml:space="preserve">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entrega-recepción. Negativa reiterada que evidencia una práctica sistemática de ocultamiento Esta no es una conducta aislada: el sujeto obligado ha incurrido en negativas similares en otras 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elaborar documentos nuevos. Omisión del Comité de Transparencia El sujeto obligado no adjuntó resolución ni acuerdo fundado y motivado del Comité de Transparencia, como exige el artículo 19 para declarar inexistente información que debe estar documentada. Falta administrativa conforme al artículo 222 La conducta encuadra en las fracciones XII y XIII del artículo 222: simular inexistencia de información que debe generarse o que se presume existente. Esto constituye una falta administrativa que amerita procedimiento y vista. </w:t>
            </w:r>
            <w:r w:rsidR="009262C7" w:rsidRPr="002D69DA">
              <w:rPr>
                <w:rFonts w:ascii="Palatino Linotype" w:hAnsi="Palatino Linotype" w:cs="Palatino Linotype"/>
                <w:i/>
                <w:color w:val="000000" w:themeColor="text1"/>
              </w:rPr>
              <w:t>🟥</w:t>
            </w:r>
            <w:r w:rsidR="009262C7"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Estado de México, se solicita respetuosamente al INFOEM: Se admita y resuelva el presente recurso, ordenando la entrega íntegra y legal de la información requerida, conforme a las obligaciones </w:t>
            </w:r>
            <w:r w:rsidR="009262C7" w:rsidRPr="002D69DA">
              <w:rPr>
                <w:rFonts w:ascii="Palatino Linotype" w:hAnsi="Palatino Linotype" w:cs="Arial"/>
                <w:i/>
                <w:color w:val="000000" w:themeColor="text1"/>
              </w:rPr>
              <w:lastRenderedPageBreak/>
              <w:t>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Se determine si existe un comportamiento reiterado y sistemático de negativa por parte del sujeto obligado respecto a solicitudes similares, y se emitan las recomendaciones y medidas 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conformidad con el artículo 181, último párrafo, a fin de que el fondo del asunto sea analizado en su integridad.”</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05046/INFOEM/IP/RR/2025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9262C7" w:rsidRPr="002D69DA">
              <w:rPr>
                <w:rFonts w:ascii="Palatino Linotype" w:hAnsi="Palatino Linotype" w:cs="Arial"/>
                <w:i/>
                <w:color w:val="000000" w:themeColor="text1"/>
                <w:lang w:val="es-MX"/>
              </w:rPr>
              <w:t>“</w:t>
            </w:r>
            <w:r w:rsidR="009262C7" w:rsidRPr="002D69DA">
              <w:rPr>
                <w:rFonts w:ascii="Palatino Linotype" w:hAnsi="Palatino Linotype" w:cs="Arial"/>
                <w:i/>
                <w:color w:val="000000" w:themeColor="text1"/>
              </w:rPr>
              <w:t>solicitud de información 2002/2025”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9262C7" w:rsidRPr="002D69DA">
              <w:rPr>
                <w:rFonts w:ascii="Palatino Linotype" w:hAnsi="Palatino Linotype" w:cs="Arial"/>
                <w:b/>
                <w:i/>
                <w:color w:val="000000" w:themeColor="text1"/>
              </w:rPr>
              <w:t xml:space="preserve"> “RAZONES O MOTIVOS DE LA INCONFORMIDAD </w:t>
            </w:r>
            <w:r w:rsidR="009262C7" w:rsidRPr="002D69DA">
              <w:rPr>
                <w:rFonts w:ascii="Segoe UI Symbol" w:hAnsi="Segoe UI Symbol" w:cs="Segoe UI Symbol"/>
                <w:i/>
                <w:color w:val="000000" w:themeColor="text1"/>
              </w:rPr>
              <w:t>🔷</w:t>
            </w:r>
            <w:r w:rsidR="009262C7" w:rsidRPr="002D69DA">
              <w:rPr>
                <w:rFonts w:ascii="Palatino Linotype" w:hAnsi="Palatino Linotype" w:cs="Arial"/>
                <w:i/>
                <w:color w:val="000000" w:themeColor="text1"/>
              </w:rPr>
              <w:t xml:space="preserve"> HECHOS Con fecha [●], presenté mediante la Plataforma SAIMEX la solicitud 2002/TOLUCA/IP/2025, en la cual requerí el listado de la nómina correspondiente al mes de febrero de 2022 (primera y segunda quincena), con los siguientes campos: número de empleado, nombre completo, RFC, CURP, tipo de contratación, categoría, plaza, percepciones y deducciones desglosadas, claves del ISSEMYM, antigüedad, dirección, departamento y concepto de </w:t>
            </w:r>
            <w:r w:rsidR="009262C7" w:rsidRPr="002D69DA">
              <w:rPr>
                <w:rFonts w:ascii="Palatino Linotype" w:hAnsi="Palatino Linotype" w:cs="Arial"/>
                <w:i/>
                <w:color w:val="000000" w:themeColor="text1"/>
              </w:rPr>
              <w:lastRenderedPageBreak/>
              <w:t>aguinaldo y prima vacacional. Solicité dicha información en formato Excel o en el formato</w:t>
            </w:r>
            <w:r w:rsidR="009262C7" w:rsidRPr="002D69DA">
              <w:rPr>
                <w:rFonts w:ascii="Palatino Linotype" w:hAnsi="Palatino Linotype" w:cs="Arial"/>
                <w:b/>
                <w:i/>
                <w:color w:val="000000" w:themeColor="text1"/>
              </w:rPr>
              <w:t xml:space="preserve"> </w:t>
            </w:r>
            <w:r w:rsidR="009262C7" w:rsidRPr="002D69DA">
              <w:rPr>
                <w:rFonts w:ascii="Palatino Linotype" w:hAnsi="Palatino Linotype" w:cs="Arial"/>
                <w:i/>
                <w:color w:val="000000" w:themeColor="text1"/>
              </w:rPr>
              <w:t>en</w:t>
            </w:r>
            <w:r w:rsidR="009262C7" w:rsidRPr="002D69DA">
              <w:rPr>
                <w:rFonts w:ascii="Palatino Linotype" w:hAnsi="Palatino Linotype" w:cs="Arial"/>
                <w:b/>
                <w:i/>
                <w:color w:val="000000" w:themeColor="text1"/>
              </w:rPr>
              <w:t xml:space="preserve"> </w:t>
            </w:r>
            <w:r w:rsidR="009262C7" w:rsidRPr="002D69DA">
              <w:rPr>
                <w:rFonts w:ascii="Palatino Linotype" w:hAnsi="Palatino Linotype" w:cs="Arial"/>
                <w:i/>
                <w:color w:val="000000" w:themeColor="text1"/>
              </w:rPr>
              <w:t xml:space="preserve">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9262C7" w:rsidRPr="002D69DA">
              <w:rPr>
                <w:rFonts w:ascii="Segoe UI Symbol" w:hAnsi="Segoe UI Symbol" w:cs="Segoe UI Symbol"/>
                <w:i/>
                <w:color w:val="000000" w:themeColor="text1"/>
              </w:rPr>
              <w:t>🔶</w:t>
            </w:r>
            <w:r w:rsidR="009262C7" w:rsidRPr="002D69DA">
              <w:rPr>
                <w:rFonts w:ascii="Palatino Linotype" w:hAnsi="Palatino Linotype" w:cs="Arial"/>
                <w:i/>
                <w:color w:val="000000" w:themeColor="text1"/>
              </w:rPr>
              <w:t xml:space="preserve"> AGRAVIOS Simulación de inexistencia de</w:t>
            </w:r>
            <w:r w:rsidR="009262C7" w:rsidRPr="002D69DA">
              <w:rPr>
                <w:rFonts w:ascii="Palatino Linotype" w:hAnsi="Palatino Linotype" w:cs="Arial"/>
                <w:b/>
                <w:i/>
                <w:color w:val="000000" w:themeColor="text1"/>
              </w:rPr>
              <w:t xml:space="preserve"> </w:t>
            </w:r>
            <w:r w:rsidR="009262C7" w:rsidRPr="002D69DA">
              <w:rPr>
                <w:rFonts w:ascii="Palatino Linotype" w:hAnsi="Palatino Linotype" w:cs="Arial"/>
                <w:i/>
                <w:color w:val="000000" w:themeColor="text1"/>
              </w:rPr>
              <w:t xml:space="preserve">información obligatoria La nómina solicitada es producto de las funciones administrativas ordinarias del Ayuntamiento, específicamente de la Dirección General de Administración y la Dirección de Recursos Humanos, conforme al Código Reglamentario Municipal. Por tanto, conforme al artículo 18 de la Ley de Transparencia, la información debió estar documentada, y conforme al artículo 19, se presume existente salvo prueba fundada y motivada por el Comité de Transparencia, lo cual no ocurrió. Violación al principio de máxima publicidad y deber de conservación La información requerida es de acceso público directo conforme al 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entrega-recepción. Negativa reiterada que evidencia una práctica sistemática de ocultamiento Esta no es una conducta aislada: el sujeto obligado ha incurrido en negativas similares en otras </w:t>
            </w:r>
            <w:r w:rsidR="009262C7" w:rsidRPr="002D69DA">
              <w:rPr>
                <w:rFonts w:ascii="Palatino Linotype" w:hAnsi="Palatino Linotype" w:cs="Arial"/>
                <w:i/>
                <w:color w:val="000000" w:themeColor="text1"/>
              </w:rPr>
              <w:lastRenderedPageBreak/>
              <w:t>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elaborar</w:t>
            </w:r>
            <w:r w:rsidR="009262C7" w:rsidRPr="002D69DA">
              <w:rPr>
                <w:rFonts w:ascii="Palatino Linotype" w:hAnsi="Palatino Linotype" w:cs="Arial"/>
                <w:b/>
                <w:i/>
                <w:color w:val="000000" w:themeColor="text1"/>
              </w:rPr>
              <w:t xml:space="preserve"> </w:t>
            </w:r>
            <w:r w:rsidR="009262C7" w:rsidRPr="002D69DA">
              <w:rPr>
                <w:rFonts w:ascii="Palatino Linotype" w:hAnsi="Palatino Linotype" w:cs="Arial"/>
                <w:i/>
                <w:color w:val="000000" w:themeColor="text1"/>
              </w:rPr>
              <w:t xml:space="preserve">documentos nuevos. Omisión del Comité de Transparencia El sujeto obligado no adjuntó resolución ni acuerdo fundado y motivado del Comité de Transparencia, como exige el artículo 19 para declarar inexistente información que debe estar documentada. Falta administrativa conforme al artículo 222 La conducta encuadra en las fracciones XII y XIII del artículo 222: simular inexistencia de información que debe generarse o que se presume existente. Esto constituye una falta administrativa que amerita procedimiento y vista. </w:t>
            </w:r>
            <w:r w:rsidR="009262C7" w:rsidRPr="002D69DA">
              <w:rPr>
                <w:rFonts w:ascii="Palatino Linotype" w:hAnsi="Palatino Linotype" w:cs="Palatino Linotype"/>
                <w:i/>
                <w:color w:val="000000" w:themeColor="text1"/>
              </w:rPr>
              <w:t>🟥</w:t>
            </w:r>
            <w:r w:rsidR="009262C7"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Estado de México, se solicita respetuosamente al INFOEM: Se admita y resuelva el presente recurso, ordenando la entrega íntegra y legal de la información requerida, conforme a las obligaciones 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Se determine si existe un comportamiento reiterado y sistemático de negativa por parte del sujeto obligado respecto a solicitudes similares, y se emitan las recomendaciones y medidas </w:t>
            </w:r>
            <w:r w:rsidR="009262C7" w:rsidRPr="002D69DA">
              <w:rPr>
                <w:rFonts w:ascii="Palatino Linotype" w:hAnsi="Palatino Linotype" w:cs="Arial"/>
                <w:i/>
                <w:color w:val="000000" w:themeColor="text1"/>
              </w:rPr>
              <w:lastRenderedPageBreak/>
              <w:t>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conformidad con el artículo 181, último párrafo, a fin de que el fondo del asunto sea analizado en su integridad.”</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05047/INFOEM/IP/RR/2025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53256E" w:rsidRPr="002D69DA">
              <w:rPr>
                <w:rFonts w:ascii="Palatino Linotype" w:hAnsi="Palatino Linotype" w:cs="Arial"/>
                <w:i/>
                <w:color w:val="000000" w:themeColor="text1"/>
                <w:lang w:val="es-MX"/>
              </w:rPr>
              <w:t>“</w:t>
            </w:r>
            <w:r w:rsidR="0053256E" w:rsidRPr="002D69DA">
              <w:rPr>
                <w:rFonts w:ascii="Palatino Linotype" w:hAnsi="Palatino Linotype" w:cs="Arial"/>
                <w:i/>
                <w:color w:val="000000" w:themeColor="text1"/>
              </w:rPr>
              <w:t>solicitud de información 2003/2025”</w:t>
            </w:r>
          </w:p>
          <w:p w:rsidR="00FD2B03" w:rsidRPr="002D69DA" w:rsidRDefault="00FD2B03" w:rsidP="00E84339">
            <w:pPr>
              <w:ind w:firstLine="708"/>
              <w:jc w:val="both"/>
              <w:rPr>
                <w:rFonts w:ascii="Palatino Linotype" w:hAnsi="Palatino Linotype" w:cs="Arial"/>
                <w:i/>
                <w:color w:val="000000" w:themeColor="text1"/>
                <w:lang w:val="es-MX"/>
              </w:rPr>
            </w:pP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53256E" w:rsidRPr="002D69DA">
              <w:rPr>
                <w:rFonts w:ascii="Palatino Linotype" w:hAnsi="Palatino Linotype" w:cs="Arial"/>
                <w:b/>
                <w:i/>
                <w:color w:val="000000" w:themeColor="text1"/>
              </w:rPr>
              <w:t xml:space="preserve"> </w:t>
            </w:r>
            <w:r w:rsidR="0053256E" w:rsidRPr="002D69DA">
              <w:rPr>
                <w:rFonts w:ascii="Palatino Linotype" w:hAnsi="Palatino Linotype" w:cs="Arial"/>
                <w:i/>
                <w:color w:val="000000" w:themeColor="text1"/>
              </w:rPr>
              <w:t xml:space="preserve">“RAZONES O MOTIVOS DE LA INCONFORMIDAD </w:t>
            </w:r>
            <w:r w:rsidR="0053256E" w:rsidRPr="002D69DA">
              <w:rPr>
                <w:rFonts w:ascii="Segoe UI Symbol" w:hAnsi="Segoe UI Symbol" w:cs="Segoe UI Symbol"/>
                <w:i/>
                <w:color w:val="000000" w:themeColor="text1"/>
              </w:rPr>
              <w:t>🔷</w:t>
            </w:r>
            <w:r w:rsidR="0053256E" w:rsidRPr="002D69DA">
              <w:rPr>
                <w:rFonts w:ascii="Palatino Linotype" w:hAnsi="Palatino Linotype" w:cs="Arial"/>
                <w:i/>
                <w:color w:val="000000" w:themeColor="text1"/>
              </w:rPr>
              <w:t xml:space="preserve"> HECHOS Con fecha [●], presenté mediante la Plataforma SAIMEX la solicitud 2003/TOLUCA/IP/2025, en la cual requerí el listado de la nómina correspondiente al mes de febrero de 2023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53256E" w:rsidRPr="002D69DA">
              <w:rPr>
                <w:rFonts w:ascii="Segoe UI Symbol" w:hAnsi="Segoe UI Symbol" w:cs="Segoe UI Symbol"/>
                <w:i/>
                <w:color w:val="000000" w:themeColor="text1"/>
              </w:rPr>
              <w:t>🔶</w:t>
            </w:r>
            <w:r w:rsidR="0053256E" w:rsidRPr="002D69DA">
              <w:rPr>
                <w:rFonts w:ascii="Palatino Linotype" w:hAnsi="Palatino Linotype" w:cs="Arial"/>
                <w:i/>
                <w:color w:val="000000" w:themeColor="text1"/>
              </w:rPr>
              <w:t xml:space="preserve"> </w:t>
            </w:r>
            <w:r w:rsidR="0053256E" w:rsidRPr="002D69DA">
              <w:rPr>
                <w:rFonts w:ascii="Palatino Linotype" w:hAnsi="Palatino Linotype" w:cs="Arial"/>
                <w:i/>
                <w:color w:val="000000" w:themeColor="text1"/>
              </w:rPr>
              <w:lastRenderedPageBreak/>
              <w:t xml:space="preserve">AGRAVIOS Simulación de inexistencia de información obligatoria La nómina solicitada es producto de las funciones administrativas ordinarias del Ayuntamiento, específicamente de la Dirección General de Administración y la Dirección de Recursos Humanos, conforme al Código Reglamentario Municipal. Por tanto, conforme al artículo 18 de la Ley de Transparencia, la información debió estar documentada, y conforme al artículo 19, se presume existente salvo prueba fundada y motivada por el Comité de Transparencia, lo cual no ocurrió. Violación al principio de máxima publicidad y deber de conservación La información requerida es de acceso público directo conforme al 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entrega-recepción. Negativa reiterada que evidencia una práctica sistemática de ocultamiento Esta no es una conducta aislada: el sujeto obligado ha incurrido en negativas similares en otras 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elaborar documentos nuevos. Omisión del Comité de Transparencia El sujeto obligado no adjuntó resolución ni acuerdo fundado y motivado del </w:t>
            </w:r>
            <w:r w:rsidR="0053256E" w:rsidRPr="002D69DA">
              <w:rPr>
                <w:rFonts w:ascii="Palatino Linotype" w:hAnsi="Palatino Linotype" w:cs="Arial"/>
                <w:i/>
                <w:color w:val="000000" w:themeColor="text1"/>
              </w:rPr>
              <w:lastRenderedPageBreak/>
              <w:t xml:space="preserve">Comité de Transparencia, como exige el artículo 19 para declarar inexistente información que debe estar documentada. Falta administrativa conforme al artículo 222 La conducta encuadra en las fracciones XII y XIII del artículo 222: simular inexistencia de información que debe generarse o que se presume existente. Esto constituye una falta administrativa que amerita procedimiento y vista. </w:t>
            </w:r>
            <w:r w:rsidR="0053256E" w:rsidRPr="002D69DA">
              <w:rPr>
                <w:rFonts w:ascii="Palatino Linotype" w:hAnsi="Palatino Linotype" w:cs="Palatino Linotype"/>
                <w:i/>
                <w:color w:val="000000" w:themeColor="text1"/>
              </w:rPr>
              <w:t>🟥</w:t>
            </w:r>
            <w:r w:rsidR="0053256E"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Estado de México, se solicita respetuosamente al INFOEM: Se admita y resuelva el presente recurso, ordenando la entrega íntegra y legal de la información requerida, conforme a las obligaciones 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Se determine si existe un comportamiento reiterado y sistemático de negativa por parte del sujeto obligado respecto a solicitudes similares, y se emitan las recomendaciones y medidas 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conformidad con el artículo 181, último párrafo, a fin de que el fondo del asunto sea analizado en su integridad.”</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05048/INFOEM/IP/RR/2025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BC5EE6" w:rsidRPr="002D69DA">
              <w:rPr>
                <w:rFonts w:ascii="Palatino Linotype" w:hAnsi="Palatino Linotype" w:cs="Arial"/>
                <w:i/>
                <w:color w:val="000000" w:themeColor="text1"/>
                <w:lang w:val="es-MX"/>
              </w:rPr>
              <w:t>“solicitud de infromacion 2004/2025”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b/>
                <w:i/>
                <w:color w:val="000000" w:themeColor="text1"/>
                <w:lang w:val="es-MX"/>
              </w:rPr>
            </w:pPr>
            <w:r w:rsidRPr="002D69DA">
              <w:rPr>
                <w:rFonts w:ascii="Palatino Linotype" w:hAnsi="Palatino Linotype" w:cs="Arial"/>
                <w:b/>
                <w:i/>
                <w:color w:val="000000" w:themeColor="text1"/>
              </w:rPr>
              <w:t>Razones o Motivos de inconformidad:</w:t>
            </w:r>
            <w:r w:rsidR="00BC5EE6" w:rsidRPr="002D69DA">
              <w:rPr>
                <w:rFonts w:ascii="Palatino Linotype" w:hAnsi="Palatino Linotype" w:cs="Arial"/>
                <w:b/>
                <w:i/>
                <w:color w:val="000000" w:themeColor="text1"/>
              </w:rPr>
              <w:t xml:space="preserve"> </w:t>
            </w:r>
            <w:r w:rsidR="00BC5EE6" w:rsidRPr="002D69DA">
              <w:rPr>
                <w:rFonts w:ascii="Palatino Linotype" w:hAnsi="Palatino Linotype" w:cs="Arial"/>
                <w:i/>
                <w:color w:val="000000" w:themeColor="text1"/>
              </w:rPr>
              <w:t xml:space="preserve">“RAZONES O MOTIVOS DE LA INCONFORMIDAD </w:t>
            </w:r>
            <w:r w:rsidR="00BC5EE6" w:rsidRPr="002D69DA">
              <w:rPr>
                <w:rFonts w:ascii="Segoe UI Symbol" w:hAnsi="Segoe UI Symbol" w:cs="Segoe UI Symbol"/>
                <w:i/>
                <w:color w:val="000000" w:themeColor="text1"/>
              </w:rPr>
              <w:t>🔷</w:t>
            </w:r>
            <w:r w:rsidR="00BC5EE6" w:rsidRPr="002D69DA">
              <w:rPr>
                <w:rFonts w:ascii="Palatino Linotype" w:hAnsi="Palatino Linotype" w:cs="Arial"/>
                <w:i/>
                <w:color w:val="000000" w:themeColor="text1"/>
              </w:rPr>
              <w:t xml:space="preserve"> HECHOS Con fecha [●], presenté mediante la Plataforma SAIMEX la solicitud 2004/TOLUCA/IP/2025, en la cual requerí el listado de la nómina correspondiente al mes de febrero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BC5EE6" w:rsidRPr="002D69DA">
              <w:rPr>
                <w:rFonts w:ascii="Segoe UI Symbol" w:hAnsi="Segoe UI Symbol" w:cs="Segoe UI Symbol"/>
                <w:i/>
                <w:color w:val="000000" w:themeColor="text1"/>
              </w:rPr>
              <w:t>🔶</w:t>
            </w:r>
            <w:r w:rsidR="00BC5EE6" w:rsidRPr="002D69DA">
              <w:rPr>
                <w:rFonts w:ascii="Palatino Linotype" w:hAnsi="Palatino Linotype" w:cs="Arial"/>
                <w:i/>
                <w:color w:val="000000" w:themeColor="text1"/>
              </w:rPr>
              <w:t xml:space="preserve"> AGRAVIOS Simulación de inexistencia de información obligatoria La nómina solicitada es producto de las funciones administrativas ordinarias del Ayuntamiento, específicamente de la Dirección General de Administración y la Dirección de Recursos Humanos, conforme al Código Reglamentario Municipal. Por tanto, conforme al artículo 18 de la Ley de Transparencia, la información debió estar documentada, y conforme al artículo 19, se presume existente salvo prueba fundada y </w:t>
            </w:r>
            <w:r w:rsidR="00BC5EE6" w:rsidRPr="002D69DA">
              <w:rPr>
                <w:rFonts w:ascii="Palatino Linotype" w:hAnsi="Palatino Linotype" w:cs="Arial"/>
                <w:i/>
                <w:color w:val="000000" w:themeColor="text1"/>
              </w:rPr>
              <w:lastRenderedPageBreak/>
              <w:t xml:space="preserve">motivada por el Comité de Transparencia, lo cual no ocurrió. Violación al principio de máxima publicidad y deber de conservación La información requerida es de acceso público directo conforme al 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entrega-recepción. Negativa reiterada que evidencia una práctica sistemática de ocultamiento Esta no es una conducta aislada: el sujeto obligado ha incurrido en negativas similares en otras 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elaborar documentos nuevos. Omisión del Comité de Transparencia El sujeto obligado no adjuntó resolución ni acuerdo fundado y motivado del Comité de Transparencia, como exige el artículo 19 para declarar inexistente información que debe estar documentada. Falta administrativa conforme al artículo 222 La conducta encuadra en las fracciones XII y XIII del artículo 222: simular inexistencia de información que debe generarse o que se presume existente. Esto constituye una falta administrativa que amerita procedimiento y vista. </w:t>
            </w:r>
            <w:r w:rsidR="00BC5EE6" w:rsidRPr="002D69DA">
              <w:rPr>
                <w:rFonts w:ascii="Palatino Linotype" w:hAnsi="Palatino Linotype" w:cs="Palatino Linotype"/>
                <w:i/>
                <w:color w:val="000000" w:themeColor="text1"/>
              </w:rPr>
              <w:t>🟥</w:t>
            </w:r>
            <w:r w:rsidR="00BC5EE6"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w:t>
            </w:r>
            <w:r w:rsidR="00BC5EE6" w:rsidRPr="002D69DA">
              <w:rPr>
                <w:rFonts w:ascii="Palatino Linotype" w:hAnsi="Palatino Linotype" w:cs="Arial"/>
                <w:i/>
                <w:color w:val="000000" w:themeColor="text1"/>
              </w:rPr>
              <w:lastRenderedPageBreak/>
              <w:t>Estado de México, se solicita respetuosamente al INFOEM: Se admita y resuelva el presente recurso, ordenando la entrega íntegra y legal de la información requerida, conforme a las obligaciones 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Se determine si existe un comportamiento reiterado y sistemático de negativa por parte del sujeto obligado respecto a solicitudes similares, y se emitan las recomendaciones y medidas 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conformidad con el artículo 181, último párrafo, a fin de que el fondo del asunto sea analizado en su integridad.</w:t>
            </w:r>
            <w:r w:rsidR="00B24DED" w:rsidRPr="002D69DA">
              <w:rPr>
                <w:rFonts w:ascii="Palatino Linotype" w:hAnsi="Palatino Linotype" w:cs="Arial"/>
                <w:i/>
                <w:color w:val="000000" w:themeColor="text1"/>
              </w:rPr>
              <w:t>”</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05049/INFOEM/IP/RR/2025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CB1D91" w:rsidRPr="002D69DA">
              <w:rPr>
                <w:rFonts w:ascii="Palatino Linotype" w:hAnsi="Palatino Linotype" w:cs="Arial"/>
                <w:i/>
                <w:color w:val="000000" w:themeColor="text1"/>
                <w:lang w:val="es-MX"/>
              </w:rPr>
              <w:t>“solicitu de información 2005/2025”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CB1D91" w:rsidRPr="002D69DA">
              <w:rPr>
                <w:rFonts w:ascii="Palatino Linotype" w:hAnsi="Palatino Linotype" w:cs="Arial"/>
                <w:b/>
                <w:i/>
                <w:color w:val="000000" w:themeColor="text1"/>
              </w:rPr>
              <w:t xml:space="preserve"> </w:t>
            </w:r>
            <w:r w:rsidR="00CB1D91" w:rsidRPr="002D69DA">
              <w:rPr>
                <w:rFonts w:ascii="Palatino Linotype" w:hAnsi="Palatino Linotype" w:cs="Arial"/>
                <w:i/>
                <w:color w:val="000000" w:themeColor="text1"/>
              </w:rPr>
              <w:t xml:space="preserve">“RAZONES O MOTIVOS DE LA INCONFORMIDAD </w:t>
            </w:r>
            <w:r w:rsidR="00CB1D91" w:rsidRPr="002D69DA">
              <w:rPr>
                <w:rFonts w:ascii="Segoe UI Symbol" w:hAnsi="Segoe UI Symbol" w:cs="Segoe UI Symbol"/>
                <w:i/>
                <w:color w:val="000000" w:themeColor="text1"/>
              </w:rPr>
              <w:t>🔷</w:t>
            </w:r>
            <w:r w:rsidR="00CB1D91" w:rsidRPr="002D69DA">
              <w:rPr>
                <w:rFonts w:ascii="Palatino Linotype" w:hAnsi="Palatino Linotype" w:cs="Arial"/>
                <w:i/>
                <w:color w:val="000000" w:themeColor="text1"/>
              </w:rPr>
              <w:t xml:space="preserve"> HECHOS Con fecha [●], presenté mediante la Plataforma SAIMEX la solicitud 2005/TOLUCA/IP/2025, en la cual requerí el listado de la nómina correspondiente al mes de marzo de 2022 (primera y segunda quincena), con los siguientes campos: número de </w:t>
            </w:r>
            <w:r w:rsidR="00CB1D91" w:rsidRPr="002D69DA">
              <w:rPr>
                <w:rFonts w:ascii="Palatino Linotype" w:hAnsi="Palatino Linotype" w:cs="Arial"/>
                <w:i/>
                <w:color w:val="000000" w:themeColor="text1"/>
              </w:rPr>
              <w:lastRenderedPageBreak/>
              <w:t xml:space="preserve">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CB1D91" w:rsidRPr="002D69DA">
              <w:rPr>
                <w:rFonts w:ascii="Segoe UI Symbol" w:hAnsi="Segoe UI Symbol" w:cs="Segoe UI Symbol"/>
                <w:i/>
                <w:color w:val="000000" w:themeColor="text1"/>
              </w:rPr>
              <w:t>🔶</w:t>
            </w:r>
            <w:r w:rsidR="00CB1D91" w:rsidRPr="002D69DA">
              <w:rPr>
                <w:rFonts w:ascii="Palatino Linotype" w:hAnsi="Palatino Linotype" w:cs="Arial"/>
                <w:i/>
                <w:color w:val="000000" w:themeColor="text1"/>
              </w:rPr>
              <w:t xml:space="preserve"> AGRAVIOS Simulación de inexistencia de información obligatoria La nómina solicitada es producto de las funciones administrativas ordinarias del Ayuntamiento, específicamente de la Dirección General de Administración y la Dirección de Recursos Humanos, conforme al Código Reglamentario Municipal. Por tanto, conforme al artículo 18 de la Ley de Transparencia, la información debió estar documentada, y conforme al artículo 19, se presume existente salvo prueba fundada y motivada por el Comité de Transparencia, lo cual no ocurrió. Violación al principio de máxima publicidad y deber de conservación La información requerida es de acceso público directo conforme al 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w:t>
            </w:r>
            <w:r w:rsidR="00CB1D91" w:rsidRPr="002D69DA">
              <w:rPr>
                <w:rFonts w:ascii="Palatino Linotype" w:hAnsi="Palatino Linotype" w:cs="Arial"/>
                <w:i/>
                <w:color w:val="000000" w:themeColor="text1"/>
              </w:rPr>
              <w:lastRenderedPageBreak/>
              <w:t xml:space="preserve">recepción. Negativa reiterada que evidencia una práctica sistemática de ocultamiento Esta no es una conducta aislada: el sujeto obligado ha incurrido en negativas similares en otras 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elaborar documentos nuevos. Omisión del Comité de Transparencia El sujeto obligado no adjuntó resolución ni acuerdo fundado y motivado del Comité de Transparencia, como exige el artículo 19 para declarar inexistente información que debe estar documentada. Falta administrativa conforme al artículo 222 La conducta encuadra en las fracciones XII y XIII del artículo 222: simular inexistencia de información que debe generarse o que se presume existente. Esto constituye una falta administrativa que amerita procedimiento y vista. </w:t>
            </w:r>
            <w:r w:rsidR="00CB1D91" w:rsidRPr="002D69DA">
              <w:rPr>
                <w:rFonts w:ascii="Palatino Linotype" w:hAnsi="Palatino Linotype" w:cs="Palatino Linotype"/>
                <w:i/>
                <w:color w:val="000000" w:themeColor="text1"/>
              </w:rPr>
              <w:t>🟥</w:t>
            </w:r>
            <w:r w:rsidR="00CB1D91"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Estado de México, se solicita respetuosamente al INFOEM: Se admita y resuelva el presente recurso, ordenando la entrega íntegra y legal de la información requerida, conforme a las obligaciones 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w:t>
            </w:r>
            <w:r w:rsidR="00CB1D91" w:rsidRPr="002D69DA">
              <w:rPr>
                <w:rFonts w:ascii="Palatino Linotype" w:hAnsi="Palatino Linotype" w:cs="Arial"/>
                <w:i/>
                <w:color w:val="000000" w:themeColor="text1"/>
              </w:rPr>
              <w:lastRenderedPageBreak/>
              <w:t>Se determine si existe un comportamiento reiterado y sistemático de negativa por parte del sujeto obligado respecto a solicitudes similares, y se emitan las recomendaciones y medidas 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conformidad con el artículo 181, último párrafo, a fin de que el fondo del asunto sea analizado en su integridad.”</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05050/INFOEM/IP/RR/2025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8E5735" w:rsidRPr="002D69DA">
              <w:rPr>
                <w:rFonts w:ascii="Palatino Linotype" w:hAnsi="Palatino Linotype" w:cs="Arial"/>
                <w:i/>
                <w:color w:val="000000" w:themeColor="text1"/>
                <w:lang w:val="es-MX"/>
              </w:rPr>
              <w:t>“solicitud de infromacion 2006/2025”</w:t>
            </w: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8E5735" w:rsidRPr="002D69DA">
              <w:rPr>
                <w:rFonts w:ascii="Palatino Linotype" w:hAnsi="Palatino Linotype" w:cs="Arial"/>
                <w:b/>
                <w:i/>
                <w:color w:val="000000" w:themeColor="text1"/>
              </w:rPr>
              <w:t xml:space="preserve"> </w:t>
            </w:r>
            <w:r w:rsidR="008E5735" w:rsidRPr="002D69DA">
              <w:rPr>
                <w:rFonts w:ascii="Palatino Linotype" w:hAnsi="Palatino Linotype" w:cs="Arial"/>
                <w:i/>
                <w:color w:val="000000" w:themeColor="text1"/>
              </w:rPr>
              <w:t xml:space="preserve">“RAZONES O MOTIVOS DE LA INCONFORMIDAD </w:t>
            </w:r>
            <w:r w:rsidR="008E5735" w:rsidRPr="002D69DA">
              <w:rPr>
                <w:rFonts w:ascii="Segoe UI Symbol" w:hAnsi="Segoe UI Symbol" w:cs="Segoe UI Symbol"/>
                <w:i/>
                <w:color w:val="000000" w:themeColor="text1"/>
              </w:rPr>
              <w:t>🔷</w:t>
            </w:r>
            <w:r w:rsidR="008E5735" w:rsidRPr="002D69DA">
              <w:rPr>
                <w:rFonts w:ascii="Palatino Linotype" w:hAnsi="Palatino Linotype" w:cs="Arial"/>
                <w:i/>
                <w:color w:val="000000" w:themeColor="text1"/>
              </w:rPr>
              <w:t xml:space="preserve"> HECHOS Con fecha [●], presenté mediante la Plataforma SAIMEX la solicitud 2006/TOLUCA/IP/2025, en la cual requerí el listado de la nómina correspondiente al mes de marzo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w:t>
            </w:r>
            <w:r w:rsidR="008E5735" w:rsidRPr="002D69DA">
              <w:rPr>
                <w:rFonts w:ascii="Palatino Linotype" w:hAnsi="Palatino Linotype" w:cs="Arial"/>
                <w:i/>
                <w:color w:val="000000" w:themeColor="text1"/>
              </w:rPr>
              <w:lastRenderedPageBreak/>
              <w:t xml:space="preserve">memorandos, etc., y que no tiene la obligación de elaborar documentos ad hoc para atender solicitudes, citando el Criterio 03/77 del INAI. </w:t>
            </w:r>
            <w:r w:rsidR="008E5735" w:rsidRPr="002D69DA">
              <w:rPr>
                <w:rFonts w:ascii="Segoe UI Symbol" w:hAnsi="Segoe UI Symbol" w:cs="Segoe UI Symbol"/>
                <w:i/>
                <w:color w:val="000000" w:themeColor="text1"/>
              </w:rPr>
              <w:t>🔶</w:t>
            </w:r>
            <w:r w:rsidR="008E5735" w:rsidRPr="002D69DA">
              <w:rPr>
                <w:rFonts w:ascii="Palatino Linotype" w:hAnsi="Palatino Linotype" w:cs="Arial"/>
                <w:i/>
                <w:color w:val="000000" w:themeColor="text1"/>
              </w:rPr>
              <w:t xml:space="preserve"> AGRAVIOS Simulación de inexistencia de información obligatoria La nómina solicitada es producto de las funciones administrativas ordinarias del Ayuntamiento, específicamente de la Dirección General de Administración y la Dirección de Recursos Humanos, conforme al Código Reglamentario Municipal. Por tanto, conforme al artículo 18 de la Ley de Transparencia, la información debió estar documentada, y conforme al artículo 19, se presume existente salvo prueba fundada y motivada por el Comité de Transparencia, lo cual no ocurrió. Violación al principio de máxima publicidad y deber de conservación La información requerida es de acceso público directo conforme al 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entrega-recepción. Negativa reiterada que evidencia una práctica sistemática de ocultamiento Esta no es una conducta aislada: el sujeto obligado ha incurrido en negativas similares en otras 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w:t>
            </w:r>
            <w:r w:rsidR="008E5735" w:rsidRPr="002D69DA">
              <w:rPr>
                <w:rFonts w:ascii="Palatino Linotype" w:hAnsi="Palatino Linotype" w:cs="Arial"/>
                <w:i/>
                <w:color w:val="000000" w:themeColor="text1"/>
              </w:rPr>
              <w:lastRenderedPageBreak/>
              <w:t xml:space="preserve">elaborar documentos nuevos. Omisión del Comité de Transparencia El sujeto obligado no adjuntó resolución ni acuerdo fundado y motivado del Comité de Transparencia, como exige el artículo 19 para declarar inexistente información que debe estar documentada. Falta administrativa conforme al artículo 222 La conducta encuadra en las fracciones XII y XIII del artículo 222: simular inexistencia de información que debe generarse o que se presume existente. Esto constituye una falta administrativa que amerita procedimiento y vista. </w:t>
            </w:r>
            <w:r w:rsidR="008E5735" w:rsidRPr="002D69DA">
              <w:rPr>
                <w:rFonts w:ascii="Palatino Linotype" w:hAnsi="Palatino Linotype" w:cs="Palatino Linotype"/>
                <w:i/>
                <w:color w:val="000000" w:themeColor="text1"/>
              </w:rPr>
              <w:t>🟥</w:t>
            </w:r>
            <w:r w:rsidR="008E5735"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Estado de México, se solicita respetuosamente al INFOEM: Se admita y resuelva el presente recurso, ordenando la entrega íntegra y legal de la información requerida, conforme a las obligaciones 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Se determine si existe un comportamiento reiterado y sistemático de negativa por parte del sujeto obligado respecto a solicitudes similares, y se emitan las recomendaciones y medidas 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w:t>
            </w:r>
            <w:r w:rsidR="008E5735" w:rsidRPr="002D69DA">
              <w:rPr>
                <w:rFonts w:ascii="Palatino Linotype" w:hAnsi="Palatino Linotype" w:cs="Arial"/>
                <w:i/>
                <w:color w:val="000000" w:themeColor="text1"/>
              </w:rPr>
              <w:lastRenderedPageBreak/>
              <w:t>conformidad con el artículo 181, último párrafo, a fin de que el fondo del asunto sea analizado en su integridad.”</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05051/INFOEM/IP/RR/2025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8E5735" w:rsidRPr="002D69DA">
              <w:rPr>
                <w:rFonts w:ascii="Palatino Linotype" w:hAnsi="Palatino Linotype" w:cs="Arial"/>
                <w:i/>
                <w:color w:val="000000" w:themeColor="text1"/>
                <w:lang w:val="es-MX"/>
              </w:rPr>
              <w:t>“</w:t>
            </w:r>
            <w:r w:rsidR="008E5735" w:rsidRPr="002D69DA">
              <w:rPr>
                <w:rFonts w:ascii="Palatino Linotype" w:hAnsi="Palatino Linotype" w:cs="Arial"/>
                <w:i/>
                <w:color w:val="000000" w:themeColor="text1"/>
              </w:rPr>
              <w:t>solicitud de informacion 2007/2025”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8E5735" w:rsidRPr="002D69DA">
              <w:rPr>
                <w:rFonts w:ascii="Palatino Linotype" w:hAnsi="Palatino Linotype" w:cs="Arial"/>
                <w:b/>
                <w:i/>
                <w:color w:val="000000" w:themeColor="text1"/>
              </w:rPr>
              <w:t xml:space="preserve"> </w:t>
            </w:r>
            <w:r w:rsidR="008E5735" w:rsidRPr="002D69DA">
              <w:rPr>
                <w:rFonts w:ascii="Palatino Linotype" w:hAnsi="Palatino Linotype" w:cs="Arial"/>
                <w:i/>
                <w:color w:val="000000" w:themeColor="text1"/>
              </w:rPr>
              <w:t xml:space="preserve">“RAZONES O MOTIVOS DE LA INCONFORMIDAD </w:t>
            </w:r>
            <w:r w:rsidR="008E5735" w:rsidRPr="002D69DA">
              <w:rPr>
                <w:rFonts w:ascii="Segoe UI Symbol" w:hAnsi="Segoe UI Symbol" w:cs="Segoe UI Symbol"/>
                <w:i/>
                <w:color w:val="000000" w:themeColor="text1"/>
              </w:rPr>
              <w:t>🔷</w:t>
            </w:r>
            <w:r w:rsidR="008E5735" w:rsidRPr="002D69DA">
              <w:rPr>
                <w:rFonts w:ascii="Palatino Linotype" w:hAnsi="Palatino Linotype" w:cs="Arial"/>
                <w:i/>
                <w:color w:val="000000" w:themeColor="text1"/>
              </w:rPr>
              <w:t xml:space="preserve"> HECHOS Con fecha [●], presenté mediante la Plataforma SAIMEX la solicitud 2007/TOLUCA/IP/2025, en la cual requerí el listado de la nómina correspondiente al mes de marzo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8E5735" w:rsidRPr="002D69DA">
              <w:rPr>
                <w:rFonts w:ascii="Segoe UI Symbol" w:hAnsi="Segoe UI Symbol" w:cs="Segoe UI Symbol"/>
                <w:i/>
                <w:color w:val="000000" w:themeColor="text1"/>
              </w:rPr>
              <w:t>🔶</w:t>
            </w:r>
            <w:r w:rsidR="008E5735" w:rsidRPr="002D69DA">
              <w:rPr>
                <w:rFonts w:ascii="Palatino Linotype" w:hAnsi="Palatino Linotype" w:cs="Arial"/>
                <w:i/>
                <w:color w:val="000000" w:themeColor="text1"/>
              </w:rPr>
              <w:t xml:space="preserve"> AGRAVIOS Simulación de inexistencia de información obligatoria La nómina solicitada es producto de las funciones administrativas ordinarias del Ayuntamiento, específicamente de la Dirección General de Administración y la Dirección de Recursos Humanos, conforme al Código Reglamentario Municipal. Por tanto, conforme al artículo 18 de la Ley de </w:t>
            </w:r>
            <w:r w:rsidR="008E5735" w:rsidRPr="002D69DA">
              <w:rPr>
                <w:rFonts w:ascii="Palatino Linotype" w:hAnsi="Palatino Linotype" w:cs="Arial"/>
                <w:i/>
                <w:color w:val="000000" w:themeColor="text1"/>
              </w:rPr>
              <w:lastRenderedPageBreak/>
              <w:t xml:space="preserve">Transparencia, la información debió estar documentada, y conforme al artículo 19, se presume existente salvo prueba fundada y motivada por el Comité de Transparencia, lo cual no ocurrió. Violación al principio de máxima publicidad y deber de conservación La información requerida es de acceso público directo conforme al artículo 92, fracción VIII, que obliga a poner a disposición del público toda información relativa a remuneraciones brutas y netas, incluyendo todas las percepciones y deducciones del personal. Además, la Ley de Archivos del Estado de México exige la conservación y transferencia adecuada de dicha información en procesos de entrega-recepción. Negativa reiterada que evidencia una práctica sistemática de ocultamiento Esta no es una conducta aislada: el sujeto obligado ha incurrido en negativas similares en otras solicitudes, lo que evidencia un patrón sistemático de omisión y opacidad. Entrega incompleta al no ofrecer la información existente en su formato original El artículo 12 de la ley establece que debe entregarse la información en el formato en que obre en los archivos, lo cual el sujeto obligado eludió al invocar erróneamente que se le pedía elaborar documentos nuevos. Omisión del Comité de Transparencia El sujeto obligado no adjuntó resolución ni acuerdo fundado y motivado del Comité de Transparencia, como exige el artículo 19 para declarar inexistente información que debe estar documentada. Falta administrativa conforme al artículo 222 La conducta encuadra en las fracciones XII y XIII del artículo 222: simular inexistencia de información que debe generarse o que se presume existente. Esto constituye una falta administrativa que amerita procedimiento y </w:t>
            </w:r>
            <w:r w:rsidR="008E5735" w:rsidRPr="002D69DA">
              <w:rPr>
                <w:rFonts w:ascii="Palatino Linotype" w:hAnsi="Palatino Linotype" w:cs="Arial"/>
                <w:i/>
                <w:color w:val="000000" w:themeColor="text1"/>
              </w:rPr>
              <w:lastRenderedPageBreak/>
              <w:t xml:space="preserve">vista. </w:t>
            </w:r>
            <w:r w:rsidR="008E5735" w:rsidRPr="002D69DA">
              <w:rPr>
                <w:rFonts w:ascii="Palatino Linotype" w:hAnsi="Palatino Linotype" w:cs="Palatino Linotype"/>
                <w:i/>
                <w:color w:val="000000" w:themeColor="text1"/>
              </w:rPr>
              <w:t>🟥</w:t>
            </w:r>
            <w:r w:rsidR="008E5735" w:rsidRPr="002D69DA">
              <w:rPr>
                <w:rFonts w:ascii="Palatino Linotype" w:hAnsi="Palatino Linotype" w:cs="Arial"/>
                <w:i/>
                <w:color w:val="000000" w:themeColor="text1"/>
              </w:rPr>
              <w:t xml:space="preserve"> PETICIONES Con fundamento en los artículos 12, 18, 19, 92, 179, 181, 222 y 223 de la Ley de Transparencia y en la Ley de Archivos del Estado de México, se solicita respetuosamente al INFOEM: Se admita y resuelva el presente recurso, ordenando la entrega íntegra y legal de la información requerida, conforme a las obligaciones que tiene el sujeto obligado. Se declare que el sujeto obligado incumplió el deber legal de documentar, conservar y proporcionar información pública obligatoria relacionada con la nómina de su personal. Se ordene la entrega de la información en el formato en que obre en sus archivos, conforme al principio de máxima publicidad y al artículo 12. Se determine si existe un comportamiento reiterado y sistemático de negativa por parte del sujeto obligado respecto a solicitudes similares, y se emitan las recomendaciones y medidas correctivas correspondientes. Se dé vista al Órgano Interno de Control para que determine si existen responsabilidades administrativas conforme al artículo 223, ante la probable comisión de faltas previstas en el artículo 222. Se solicita expresamente que el Instituto aplique la suplencia de la queja en favor del solicitante, de conformidad con el artículo 181, último párrafo, a fin de que el fondo del asunto sea analizado en su integridad.”</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05541/INFOEM/IP/RR/2025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E74A4B" w:rsidRPr="002D69DA">
              <w:rPr>
                <w:rFonts w:ascii="Palatino Linotype" w:hAnsi="Palatino Linotype" w:cs="Arial"/>
                <w:i/>
                <w:color w:val="000000" w:themeColor="text1"/>
                <w:lang w:val="es-MX"/>
              </w:rPr>
              <w:t>“</w:t>
            </w:r>
            <w:r w:rsidR="00E74A4B" w:rsidRPr="002D69DA">
              <w:rPr>
                <w:rFonts w:ascii="Palatino Linotype" w:hAnsi="Palatino Linotype" w:cs="Arial"/>
                <w:i/>
                <w:color w:val="000000" w:themeColor="text1"/>
              </w:rPr>
              <w:t>Solicitud 2334/2025”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E74A4B" w:rsidRPr="002D69DA">
              <w:rPr>
                <w:rFonts w:ascii="Palatino Linotype" w:hAnsi="Palatino Linotype" w:cs="Arial"/>
                <w:b/>
                <w:i/>
                <w:color w:val="000000" w:themeColor="text1"/>
              </w:rPr>
              <w:t xml:space="preserve"> </w:t>
            </w:r>
            <w:r w:rsidR="00E74A4B" w:rsidRPr="002D69DA">
              <w:rPr>
                <w:rFonts w:ascii="Palatino Linotype" w:hAnsi="Palatino Linotype" w:cs="Arial"/>
                <w:i/>
                <w:color w:val="000000" w:themeColor="text1"/>
              </w:rPr>
              <w:t xml:space="preserve">“RAZONES O MOTIVOS DE LA INCONFORMIDAD </w:t>
            </w:r>
            <w:r w:rsidR="00E74A4B" w:rsidRPr="002D69DA">
              <w:rPr>
                <w:rFonts w:ascii="Segoe UI Symbol" w:hAnsi="Segoe UI Symbol" w:cs="Segoe UI Symbol"/>
                <w:i/>
                <w:color w:val="000000" w:themeColor="text1"/>
              </w:rPr>
              <w:t>🔷</w:t>
            </w:r>
            <w:r w:rsidR="00E74A4B" w:rsidRPr="002D69DA">
              <w:rPr>
                <w:rFonts w:ascii="Palatino Linotype" w:hAnsi="Palatino Linotype" w:cs="Arial"/>
                <w:i/>
                <w:color w:val="000000" w:themeColor="text1"/>
              </w:rPr>
              <w:t xml:space="preserve"> HECHOS Con fecha [●], presenté mediante la Plataforma SAIMEX la solicitud 2007/TOLUCA/IP/2025, en la cual requerí el listado de la nómina correspondiente al </w:t>
            </w:r>
            <w:r w:rsidR="00E74A4B" w:rsidRPr="002D69DA">
              <w:rPr>
                <w:rFonts w:ascii="Palatino Linotype" w:hAnsi="Palatino Linotype" w:cs="Arial"/>
                <w:i/>
                <w:color w:val="000000" w:themeColor="text1"/>
              </w:rPr>
              <w:lastRenderedPageBreak/>
              <w:t xml:space="preserve">mes de enero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E74A4B" w:rsidRPr="002D69DA">
              <w:rPr>
                <w:rFonts w:ascii="Segoe UI Symbol" w:hAnsi="Segoe UI Symbol" w:cs="Segoe UI Symbol"/>
                <w:i/>
                <w:color w:val="000000" w:themeColor="text1"/>
              </w:rPr>
              <w:t>🔶</w:t>
            </w:r>
            <w:r w:rsidR="00E74A4B"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w:t>
            </w:r>
            <w:r w:rsidR="00E74A4B" w:rsidRPr="002D69DA">
              <w:rPr>
                <w:rFonts w:ascii="Palatino Linotype" w:hAnsi="Palatino Linotype" w:cs="Arial"/>
                <w:i/>
                <w:color w:val="000000" w:themeColor="text1"/>
              </w:rPr>
              <w:lastRenderedPageBreak/>
              <w:t xml:space="preserve">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E74A4B" w:rsidRPr="002D69DA">
              <w:rPr>
                <w:rFonts w:ascii="Palatino Linotype" w:hAnsi="Palatino Linotype" w:cs="Palatino Linotype"/>
                <w:i/>
                <w:color w:val="000000" w:themeColor="text1"/>
              </w:rPr>
              <w:t>🟥</w:t>
            </w:r>
            <w:r w:rsidR="00E74A4B" w:rsidRPr="002D69DA">
              <w:rPr>
                <w:rFonts w:ascii="Palatino Linotype" w:hAnsi="Palatino Linotype" w:cs="Arial"/>
                <w:i/>
                <w:color w:val="000000" w:themeColor="text1"/>
              </w:rPr>
              <w:t xml:space="preserve"> PETICIONES Con fundamento en los artículos </w:t>
            </w:r>
            <w:r w:rsidR="00E74A4B" w:rsidRPr="002D69DA">
              <w:rPr>
                <w:rFonts w:ascii="Palatino Linotype" w:hAnsi="Palatino Linotype" w:cs="Arial"/>
                <w:i/>
                <w:color w:val="000000" w:themeColor="text1"/>
              </w:rPr>
              <w:lastRenderedPageBreak/>
              <w:t>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05542/INFOEM/IP/RR/2025</w:t>
            </w:r>
          </w:p>
        </w:tc>
        <w:tc>
          <w:tcPr>
            <w:tcW w:w="5005" w:type="dxa"/>
          </w:tcPr>
          <w:p w:rsidR="00FD2B03" w:rsidRPr="002D69DA" w:rsidRDefault="00FD2B03" w:rsidP="00E84339">
            <w:pPr>
              <w:jc w:val="both"/>
              <w:rPr>
                <w:rFonts w:ascii="Palatino Linotype" w:hAnsi="Palatino Linotype" w:cs="Arial"/>
                <w:b/>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702968" w:rsidRPr="002D69DA">
              <w:rPr>
                <w:rFonts w:ascii="Palatino Linotype" w:hAnsi="Palatino Linotype" w:cs="Arial"/>
                <w:i/>
                <w:color w:val="000000" w:themeColor="text1"/>
                <w:lang w:val="es-MX"/>
              </w:rPr>
              <w:t>“solicitud 02336/2025</w:t>
            </w: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702968" w:rsidRPr="002D69DA">
              <w:rPr>
                <w:rFonts w:ascii="Palatino Linotype" w:hAnsi="Palatino Linotype" w:cs="Arial"/>
                <w:b/>
                <w:i/>
                <w:color w:val="000000" w:themeColor="text1"/>
              </w:rPr>
              <w:t xml:space="preserve"> </w:t>
            </w:r>
            <w:r w:rsidR="00702968" w:rsidRPr="002D69DA">
              <w:rPr>
                <w:rFonts w:ascii="Palatino Linotype" w:hAnsi="Palatino Linotype" w:cs="Arial"/>
                <w:i/>
                <w:color w:val="000000" w:themeColor="text1"/>
              </w:rPr>
              <w:t xml:space="preserve">“RAZONES O MOTIVOS DE LA INCONFORMIDAD ee </w:t>
            </w:r>
            <w:r w:rsidR="00702968" w:rsidRPr="002D69DA">
              <w:rPr>
                <w:rFonts w:ascii="Segoe UI Symbol" w:hAnsi="Segoe UI Symbol" w:cs="Segoe UI Symbol"/>
                <w:i/>
                <w:color w:val="000000" w:themeColor="text1"/>
              </w:rPr>
              <w:t>🔷</w:t>
            </w:r>
            <w:r w:rsidR="00702968" w:rsidRPr="002D69DA">
              <w:rPr>
                <w:rFonts w:ascii="Palatino Linotype" w:hAnsi="Palatino Linotype" w:cs="Arial"/>
                <w:i/>
                <w:color w:val="000000" w:themeColor="text1"/>
              </w:rPr>
              <w:t xml:space="preserve"> HECHOS Con fecha [●], presenté mediante la Plataforma SAIMEX la solicitud 2007/TOLUCA/IP/2025, en la cual </w:t>
            </w:r>
            <w:r w:rsidR="00702968" w:rsidRPr="002D69DA">
              <w:rPr>
                <w:rFonts w:ascii="Palatino Linotype" w:hAnsi="Palatino Linotype" w:cs="Arial"/>
                <w:i/>
                <w:color w:val="000000" w:themeColor="text1"/>
              </w:rPr>
              <w:lastRenderedPageBreak/>
              <w:t xml:space="preserve">requerí el listado de la nómina correspondiente al mes de enero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702968" w:rsidRPr="002D69DA">
              <w:rPr>
                <w:rFonts w:ascii="Segoe UI Symbol" w:hAnsi="Segoe UI Symbol" w:cs="Segoe UI Symbol"/>
                <w:i/>
                <w:color w:val="000000" w:themeColor="text1"/>
              </w:rPr>
              <w:t>🔶</w:t>
            </w:r>
            <w:r w:rsidR="00702968"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w:t>
            </w:r>
            <w:r w:rsidR="00702968" w:rsidRPr="002D69DA">
              <w:rPr>
                <w:rFonts w:ascii="Palatino Linotype" w:hAnsi="Palatino Linotype" w:cs="Arial"/>
                <w:i/>
                <w:color w:val="000000" w:themeColor="text1"/>
              </w:rPr>
              <w:lastRenderedPageBreak/>
              <w:t xml:space="preserve">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702968" w:rsidRPr="002D69DA">
              <w:rPr>
                <w:rFonts w:ascii="Palatino Linotype" w:hAnsi="Palatino Linotype" w:cs="Palatino Linotype"/>
                <w:i/>
                <w:color w:val="000000" w:themeColor="text1"/>
              </w:rPr>
              <w:t>🟥</w:t>
            </w:r>
            <w:r w:rsidR="00702968" w:rsidRPr="002D69DA">
              <w:rPr>
                <w:rFonts w:ascii="Palatino Linotype" w:hAnsi="Palatino Linotype" w:cs="Arial"/>
                <w:i/>
                <w:color w:val="000000" w:themeColor="text1"/>
              </w:rPr>
              <w:t xml:space="preserve"> </w:t>
            </w:r>
            <w:r w:rsidR="00702968" w:rsidRPr="002D69DA">
              <w:rPr>
                <w:rFonts w:ascii="Palatino Linotype" w:hAnsi="Palatino Linotype" w:cs="Arial"/>
                <w:i/>
                <w:color w:val="000000" w:themeColor="text1"/>
              </w:rPr>
              <w:lastRenderedPageBreak/>
              <w:t>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05543/INFOEM/IP/RR/2025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702968" w:rsidRPr="002D69DA">
              <w:rPr>
                <w:rFonts w:ascii="Palatino Linotype" w:hAnsi="Palatino Linotype" w:cs="Arial"/>
                <w:i/>
                <w:color w:val="000000" w:themeColor="text1"/>
                <w:lang w:val="es-MX"/>
              </w:rPr>
              <w:t>“solicitud 2337/2025”</w:t>
            </w:r>
          </w:p>
          <w:p w:rsidR="00FD2B03" w:rsidRPr="002D69DA" w:rsidRDefault="00FD2B03" w:rsidP="00E84339">
            <w:pPr>
              <w:ind w:firstLine="708"/>
              <w:jc w:val="both"/>
              <w:rPr>
                <w:rFonts w:ascii="Palatino Linotype" w:hAnsi="Palatino Linotype" w:cs="Arial"/>
                <w:i/>
                <w:color w:val="000000" w:themeColor="text1"/>
                <w:lang w:val="es-MX"/>
              </w:rPr>
            </w:pP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702968" w:rsidRPr="002D69DA">
              <w:rPr>
                <w:rFonts w:ascii="Palatino Linotype" w:hAnsi="Palatino Linotype" w:cs="Arial"/>
                <w:b/>
                <w:i/>
                <w:color w:val="000000" w:themeColor="text1"/>
              </w:rPr>
              <w:t xml:space="preserve"> </w:t>
            </w:r>
            <w:r w:rsidR="00702968" w:rsidRPr="002D69DA">
              <w:rPr>
                <w:rFonts w:ascii="Palatino Linotype" w:hAnsi="Palatino Linotype" w:cs="Arial"/>
                <w:i/>
                <w:color w:val="000000" w:themeColor="text1"/>
              </w:rPr>
              <w:t xml:space="preserve">“RAZONES O MOTIVOS DE LA INCONFORMIDAD ee </w:t>
            </w:r>
            <w:r w:rsidR="00702968" w:rsidRPr="002D69DA">
              <w:rPr>
                <w:rFonts w:ascii="Segoe UI Symbol" w:hAnsi="Segoe UI Symbol" w:cs="Segoe UI Symbol"/>
                <w:i/>
                <w:color w:val="000000" w:themeColor="text1"/>
              </w:rPr>
              <w:t>🔷</w:t>
            </w:r>
            <w:r w:rsidR="00702968" w:rsidRPr="002D69DA">
              <w:rPr>
                <w:rFonts w:ascii="Palatino Linotype" w:hAnsi="Palatino Linotype" w:cs="Arial"/>
                <w:i/>
                <w:color w:val="000000" w:themeColor="text1"/>
              </w:rPr>
              <w:t xml:space="preserve"> HECHOS Con fecha </w:t>
            </w:r>
            <w:r w:rsidR="00702968" w:rsidRPr="002D69DA">
              <w:rPr>
                <w:rFonts w:ascii="Palatino Linotype" w:hAnsi="Palatino Linotype" w:cs="Arial"/>
                <w:i/>
                <w:color w:val="000000" w:themeColor="text1"/>
              </w:rPr>
              <w:lastRenderedPageBreak/>
              <w:t xml:space="preserve">[●], presenté mediante la Plataforma SAIMEX la solicitud 2007/TOLUCA/IP/2025, en la cual requerí el listado de la nómina correspondiente al mes de febrero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702968" w:rsidRPr="002D69DA">
              <w:rPr>
                <w:rFonts w:ascii="Segoe UI Symbol" w:hAnsi="Segoe UI Symbol" w:cs="Segoe UI Symbol"/>
                <w:i/>
                <w:color w:val="000000" w:themeColor="text1"/>
              </w:rPr>
              <w:t>🔶</w:t>
            </w:r>
            <w:r w:rsidR="00702968"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w:t>
            </w:r>
            <w:r w:rsidR="00702968" w:rsidRPr="002D69DA">
              <w:rPr>
                <w:rFonts w:ascii="Palatino Linotype" w:hAnsi="Palatino Linotype" w:cs="Arial"/>
                <w:i/>
                <w:color w:val="000000" w:themeColor="text1"/>
              </w:rPr>
              <w:lastRenderedPageBreak/>
              <w:t xml:space="preserve">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w:t>
            </w:r>
            <w:r w:rsidR="00702968" w:rsidRPr="002D69DA">
              <w:rPr>
                <w:rFonts w:ascii="Palatino Linotype" w:hAnsi="Palatino Linotype" w:cs="Arial"/>
                <w:i/>
                <w:color w:val="000000" w:themeColor="text1"/>
              </w:rPr>
              <w:lastRenderedPageBreak/>
              <w:t xml:space="preserve">acceso a la información reconocido en el artículo 6° constitucional y en la ley estatal. </w:t>
            </w:r>
            <w:r w:rsidR="00702968" w:rsidRPr="002D69DA">
              <w:rPr>
                <w:rFonts w:ascii="Palatino Linotype" w:hAnsi="Palatino Linotype" w:cs="Palatino Linotype"/>
                <w:i/>
                <w:color w:val="000000" w:themeColor="text1"/>
              </w:rPr>
              <w:t>🟥</w:t>
            </w:r>
            <w:r w:rsidR="00702968"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05544/INFOEM/IP/RR/2025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702968" w:rsidRPr="002D69DA">
              <w:rPr>
                <w:rFonts w:ascii="Palatino Linotype" w:hAnsi="Palatino Linotype" w:cs="Arial"/>
                <w:i/>
                <w:color w:val="000000" w:themeColor="text1"/>
                <w:lang w:val="es-MX"/>
              </w:rPr>
              <w:t>“</w:t>
            </w:r>
            <w:r w:rsidR="00702968" w:rsidRPr="002D69DA">
              <w:rPr>
                <w:rFonts w:ascii="Palatino Linotype" w:hAnsi="Palatino Linotype" w:cs="Arial"/>
                <w:i/>
                <w:color w:val="000000" w:themeColor="text1"/>
              </w:rPr>
              <w:t>solicitud 2338/2025”</w:t>
            </w:r>
          </w:p>
          <w:p w:rsidR="00FD2B03" w:rsidRPr="002D69DA" w:rsidRDefault="00FD2B03" w:rsidP="00E84339">
            <w:pPr>
              <w:ind w:firstLine="708"/>
              <w:jc w:val="both"/>
              <w:rPr>
                <w:rFonts w:ascii="Palatino Linotype" w:hAnsi="Palatino Linotype" w:cs="Arial"/>
                <w:i/>
                <w:color w:val="000000" w:themeColor="text1"/>
                <w:lang w:val="es-MX"/>
              </w:rPr>
            </w:pP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lastRenderedPageBreak/>
              <w:t>Razones o Motivos de inconformidad:</w:t>
            </w:r>
            <w:r w:rsidR="00702968" w:rsidRPr="002D69DA">
              <w:rPr>
                <w:rFonts w:ascii="Palatino Linotype" w:hAnsi="Palatino Linotype" w:cs="Arial"/>
                <w:b/>
                <w:i/>
                <w:color w:val="000000" w:themeColor="text1"/>
              </w:rPr>
              <w:t xml:space="preserve"> </w:t>
            </w:r>
            <w:r w:rsidR="00702968" w:rsidRPr="002D69DA">
              <w:rPr>
                <w:rFonts w:ascii="Palatino Linotype" w:hAnsi="Palatino Linotype" w:cs="Arial"/>
                <w:i/>
                <w:color w:val="000000" w:themeColor="text1"/>
              </w:rPr>
              <w:t xml:space="preserve">“RAZONES O MOTIVOS DE LA INCONFORMIDAD ee </w:t>
            </w:r>
            <w:r w:rsidR="00702968" w:rsidRPr="002D69DA">
              <w:rPr>
                <w:rFonts w:ascii="Segoe UI Symbol" w:hAnsi="Segoe UI Symbol" w:cs="Segoe UI Symbol"/>
                <w:i/>
                <w:color w:val="000000" w:themeColor="text1"/>
              </w:rPr>
              <w:t>🔷</w:t>
            </w:r>
            <w:r w:rsidR="00702968" w:rsidRPr="002D69DA">
              <w:rPr>
                <w:rFonts w:ascii="Palatino Linotype" w:hAnsi="Palatino Linotype" w:cs="Arial"/>
                <w:i/>
                <w:color w:val="000000" w:themeColor="text1"/>
              </w:rPr>
              <w:t xml:space="preserve"> HECHOS Con fecha [●], presenté mediante la Plataforma SAIMEX la solicitud 2007/TOLUCA/IP/2025, en la cual requerí el listado de la nómina correspondiente al mes de febrero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702968" w:rsidRPr="002D69DA">
              <w:rPr>
                <w:rFonts w:ascii="Segoe UI Symbol" w:hAnsi="Segoe UI Symbol" w:cs="Segoe UI Symbol"/>
                <w:i/>
                <w:color w:val="000000" w:themeColor="text1"/>
              </w:rPr>
              <w:t>🔶</w:t>
            </w:r>
            <w:r w:rsidR="00702968"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w:t>
            </w:r>
            <w:r w:rsidR="00702968" w:rsidRPr="002D69DA">
              <w:rPr>
                <w:rFonts w:ascii="Palatino Linotype" w:hAnsi="Palatino Linotype" w:cs="Arial"/>
                <w:i/>
                <w:color w:val="000000" w:themeColor="text1"/>
              </w:rPr>
              <w:lastRenderedPageBreak/>
              <w:t xml:space="preserve">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w:t>
            </w:r>
            <w:r w:rsidR="00702968" w:rsidRPr="002D69DA">
              <w:rPr>
                <w:rFonts w:ascii="Palatino Linotype" w:hAnsi="Palatino Linotype" w:cs="Arial"/>
                <w:i/>
                <w:color w:val="000000" w:themeColor="text1"/>
              </w:rPr>
              <w:lastRenderedPageBreak/>
              <w:t xml:space="preserve">bloqueos en redes sociales oficiales, lo cual configura un mecanismo deliberado de obstrucción, contrario al derecho humano de acceso a la información reconocido en el artículo 6° constitucional y en la ley estatal. </w:t>
            </w:r>
            <w:r w:rsidR="00702968" w:rsidRPr="002D69DA">
              <w:rPr>
                <w:rFonts w:ascii="Palatino Linotype" w:hAnsi="Palatino Linotype" w:cs="Palatino Linotype"/>
                <w:i/>
                <w:color w:val="000000" w:themeColor="text1"/>
              </w:rPr>
              <w:t>🟥</w:t>
            </w:r>
            <w:r w:rsidR="00702968"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lastRenderedPageBreak/>
              <w:t>05545/INFOEM/IP/RR/2025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lastRenderedPageBreak/>
              <w:t>Acto impugnado:</w:t>
            </w:r>
            <w:r w:rsidRPr="002D69DA">
              <w:rPr>
                <w:rFonts w:ascii="Palatino Linotype" w:hAnsi="Palatino Linotype" w:cs="Arial"/>
                <w:i/>
                <w:color w:val="000000" w:themeColor="text1"/>
                <w:lang w:val="es-MX"/>
              </w:rPr>
              <w:t xml:space="preserve"> </w:t>
            </w:r>
            <w:r w:rsidR="00A26932" w:rsidRPr="002D69DA">
              <w:rPr>
                <w:rFonts w:ascii="Palatino Linotype" w:hAnsi="Palatino Linotype" w:cs="Arial"/>
                <w:i/>
                <w:color w:val="000000" w:themeColor="text1"/>
                <w:lang w:val="es-MX"/>
              </w:rPr>
              <w:t>“</w:t>
            </w:r>
            <w:r w:rsidR="00A26932" w:rsidRPr="002D69DA">
              <w:rPr>
                <w:rFonts w:ascii="Palatino Linotype" w:hAnsi="Palatino Linotype" w:cs="Arial"/>
                <w:i/>
                <w:color w:val="000000" w:themeColor="text1"/>
              </w:rPr>
              <w:t>solicitud 2339/2025”</w:t>
            </w: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lastRenderedPageBreak/>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A26932" w:rsidRPr="002D69DA">
              <w:rPr>
                <w:rFonts w:ascii="Palatino Linotype" w:hAnsi="Palatino Linotype" w:cs="Arial"/>
                <w:b/>
                <w:i/>
                <w:color w:val="000000" w:themeColor="text1"/>
              </w:rPr>
              <w:t xml:space="preserve"> </w:t>
            </w:r>
            <w:r w:rsidR="00A26932" w:rsidRPr="002D69DA">
              <w:rPr>
                <w:rFonts w:ascii="Palatino Linotype" w:hAnsi="Palatino Linotype" w:cs="Arial"/>
                <w:i/>
                <w:color w:val="000000" w:themeColor="text1"/>
              </w:rPr>
              <w:t xml:space="preserve">“RAZONES O MOTIVOS DE LA INCONFORMIDAD ee </w:t>
            </w:r>
            <w:r w:rsidR="00A26932" w:rsidRPr="002D69DA">
              <w:rPr>
                <w:rFonts w:ascii="Segoe UI Symbol" w:hAnsi="Segoe UI Symbol" w:cs="Segoe UI Symbol"/>
                <w:i/>
                <w:color w:val="000000" w:themeColor="text1"/>
              </w:rPr>
              <w:t>🔷</w:t>
            </w:r>
            <w:r w:rsidR="00A26932" w:rsidRPr="002D69DA">
              <w:rPr>
                <w:rFonts w:ascii="Palatino Linotype" w:hAnsi="Palatino Linotype" w:cs="Arial"/>
                <w:i/>
                <w:color w:val="000000" w:themeColor="text1"/>
              </w:rPr>
              <w:t xml:space="preserve"> HECHOS Con fecha [●], presenté mediante la Plataforma SAIMEX la solicitud 2007/TOLUCA/IP/2025, en la cual requerí el listado de la nómina correspondiente al mes de marzo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A26932" w:rsidRPr="002D69DA">
              <w:rPr>
                <w:rFonts w:ascii="Segoe UI Symbol" w:hAnsi="Segoe UI Symbol" w:cs="Segoe UI Symbol"/>
                <w:i/>
                <w:color w:val="000000" w:themeColor="text1"/>
              </w:rPr>
              <w:t>🔶</w:t>
            </w:r>
            <w:r w:rsidR="00A26932"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w:t>
            </w:r>
            <w:r w:rsidR="00A26932" w:rsidRPr="002D69DA">
              <w:rPr>
                <w:rFonts w:ascii="Palatino Linotype" w:hAnsi="Palatino Linotype" w:cs="Arial"/>
                <w:i/>
                <w:color w:val="000000" w:themeColor="text1"/>
              </w:rPr>
              <w:lastRenderedPageBreak/>
              <w:t xml:space="preserve">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w:t>
            </w:r>
            <w:r w:rsidR="00A26932" w:rsidRPr="002D69DA">
              <w:rPr>
                <w:rFonts w:ascii="Palatino Linotype" w:hAnsi="Palatino Linotype" w:cs="Arial"/>
                <w:i/>
                <w:color w:val="000000" w:themeColor="text1"/>
              </w:rPr>
              <w:lastRenderedPageBreak/>
              <w:t xml:space="preserve">acompañadas de eliminación de comentarios y bloqueos en redes sociales oficiales, lo cual configura un mecanismo deliberado de obstrucción, contrario al derecho humano de acceso a la información reconocido en el artículo 6° constitucional y en la ley estatal. </w:t>
            </w:r>
            <w:r w:rsidR="00A26932" w:rsidRPr="002D69DA">
              <w:rPr>
                <w:rFonts w:ascii="Palatino Linotype" w:hAnsi="Palatino Linotype" w:cs="Palatino Linotype"/>
                <w:i/>
                <w:color w:val="000000" w:themeColor="text1"/>
              </w:rPr>
              <w:t>🟥</w:t>
            </w:r>
            <w:r w:rsidR="00A26932"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05546/INFOEM/IP/RR/2025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C1639C" w:rsidRPr="002D69DA">
              <w:rPr>
                <w:rFonts w:ascii="Palatino Linotype" w:hAnsi="Palatino Linotype" w:cs="Arial"/>
                <w:i/>
                <w:color w:val="000000" w:themeColor="text1"/>
                <w:lang w:val="es-MX"/>
              </w:rPr>
              <w:t>“</w:t>
            </w:r>
            <w:r w:rsidR="00C1639C" w:rsidRPr="002D69DA">
              <w:rPr>
                <w:rFonts w:ascii="Palatino Linotype" w:hAnsi="Palatino Linotype" w:cs="Arial"/>
                <w:i/>
                <w:color w:val="000000" w:themeColor="text1"/>
              </w:rPr>
              <w:t>solicitud 2340/2025”</w:t>
            </w: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C1639C" w:rsidRPr="002D69DA">
              <w:rPr>
                <w:rFonts w:ascii="Palatino Linotype" w:hAnsi="Palatino Linotype" w:cs="Arial"/>
                <w:b/>
                <w:i/>
                <w:color w:val="000000" w:themeColor="text1"/>
              </w:rPr>
              <w:t xml:space="preserve"> </w:t>
            </w:r>
            <w:r w:rsidR="00C1639C" w:rsidRPr="002D69DA">
              <w:rPr>
                <w:rFonts w:ascii="Palatino Linotype" w:hAnsi="Palatino Linotype" w:cs="Arial"/>
                <w:i/>
                <w:color w:val="000000" w:themeColor="text1"/>
              </w:rPr>
              <w:t xml:space="preserve">“RAZONES O MOTIVOS DE LA INCONFORMIDAD ee </w:t>
            </w:r>
            <w:r w:rsidR="00C1639C" w:rsidRPr="002D69DA">
              <w:rPr>
                <w:rFonts w:ascii="Segoe UI Symbol" w:hAnsi="Segoe UI Symbol" w:cs="Segoe UI Symbol"/>
                <w:i/>
                <w:color w:val="000000" w:themeColor="text1"/>
              </w:rPr>
              <w:t>🔷</w:t>
            </w:r>
            <w:r w:rsidR="00C1639C" w:rsidRPr="002D69DA">
              <w:rPr>
                <w:rFonts w:ascii="Palatino Linotype" w:hAnsi="Palatino Linotype" w:cs="Arial"/>
                <w:i/>
                <w:color w:val="000000" w:themeColor="text1"/>
              </w:rPr>
              <w:t xml:space="preserve"> HECHOS Con fecha [●], presenté mediante la Plataforma SAIMEX la solicitud 2007/TOLUCA/IP/2025, en la cual requerí el listado de la nómina correspondiente al mes de marzo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C1639C" w:rsidRPr="002D69DA">
              <w:rPr>
                <w:rFonts w:ascii="Segoe UI Symbol" w:hAnsi="Segoe UI Symbol" w:cs="Segoe UI Symbol"/>
                <w:i/>
                <w:color w:val="000000" w:themeColor="text1"/>
              </w:rPr>
              <w:t>🔶</w:t>
            </w:r>
            <w:r w:rsidR="00C1639C"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w:t>
            </w:r>
            <w:r w:rsidR="00C1639C" w:rsidRPr="002D69DA">
              <w:rPr>
                <w:rFonts w:ascii="Palatino Linotype" w:hAnsi="Palatino Linotype" w:cs="Arial"/>
                <w:i/>
                <w:color w:val="000000" w:themeColor="text1"/>
              </w:rPr>
              <w:lastRenderedPageBreak/>
              <w:t xml:space="preserve">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w:t>
            </w:r>
            <w:r w:rsidR="00C1639C" w:rsidRPr="002D69DA">
              <w:rPr>
                <w:rFonts w:ascii="Palatino Linotype" w:hAnsi="Palatino Linotype" w:cs="Arial"/>
                <w:i/>
                <w:color w:val="000000" w:themeColor="text1"/>
              </w:rPr>
              <w:lastRenderedPageBreak/>
              <w:t xml:space="preserve">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C1639C" w:rsidRPr="002D69DA">
              <w:rPr>
                <w:rFonts w:ascii="Palatino Linotype" w:hAnsi="Palatino Linotype" w:cs="Palatino Linotype"/>
                <w:i/>
                <w:color w:val="000000" w:themeColor="text1"/>
              </w:rPr>
              <w:t>🟥</w:t>
            </w:r>
            <w:r w:rsidR="00C1639C"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w:t>
            </w:r>
            <w:r w:rsidR="00C1639C" w:rsidRPr="002D69DA">
              <w:rPr>
                <w:rFonts w:ascii="Palatino Linotype" w:hAnsi="Palatino Linotype" w:cs="Arial"/>
                <w:i/>
                <w:color w:val="000000" w:themeColor="text1"/>
              </w:rPr>
              <w:lastRenderedPageBreak/>
              <w:t>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05547/INFOEM/IP/RR/2025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7C4D95" w:rsidRPr="002D69DA">
              <w:rPr>
                <w:rFonts w:ascii="Palatino Linotype" w:hAnsi="Palatino Linotype" w:cs="Arial"/>
                <w:i/>
                <w:color w:val="000000" w:themeColor="text1"/>
                <w:lang w:val="es-MX"/>
              </w:rPr>
              <w:t>“</w:t>
            </w:r>
            <w:r w:rsidR="007C4D95" w:rsidRPr="002D69DA">
              <w:rPr>
                <w:rFonts w:ascii="Palatino Linotype" w:hAnsi="Palatino Linotype" w:cs="Arial"/>
                <w:i/>
                <w:color w:val="000000" w:themeColor="text1"/>
              </w:rPr>
              <w:t>solicitud 2409/2025”</w:t>
            </w:r>
          </w:p>
          <w:p w:rsidR="00FD2B03" w:rsidRPr="002D69DA" w:rsidRDefault="00FD2B03" w:rsidP="00E84339">
            <w:pPr>
              <w:ind w:firstLine="708"/>
              <w:jc w:val="both"/>
              <w:rPr>
                <w:rFonts w:ascii="Palatino Linotype" w:hAnsi="Palatino Linotype" w:cs="Arial"/>
                <w:i/>
                <w:color w:val="000000" w:themeColor="text1"/>
                <w:lang w:val="es-MX"/>
              </w:rPr>
            </w:pP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7C4D95" w:rsidRPr="002D69DA">
              <w:rPr>
                <w:rFonts w:ascii="Palatino Linotype" w:hAnsi="Palatino Linotype" w:cs="Arial"/>
                <w:b/>
                <w:i/>
                <w:color w:val="000000" w:themeColor="text1"/>
              </w:rPr>
              <w:t xml:space="preserve"> </w:t>
            </w:r>
            <w:r w:rsidR="007C4D95" w:rsidRPr="002D69DA">
              <w:rPr>
                <w:rFonts w:ascii="Palatino Linotype" w:hAnsi="Palatino Linotype" w:cs="Arial"/>
                <w:i/>
                <w:color w:val="000000" w:themeColor="text1"/>
              </w:rPr>
              <w:t xml:space="preserve">“RAZONES O MOTIVOS DE LA INCONFORMIDAD ee </w:t>
            </w:r>
            <w:r w:rsidR="007C4D95" w:rsidRPr="002D69DA">
              <w:rPr>
                <w:rFonts w:ascii="Segoe UI Symbol" w:hAnsi="Segoe UI Symbol" w:cs="Segoe UI Symbol"/>
                <w:i/>
                <w:color w:val="000000" w:themeColor="text1"/>
              </w:rPr>
              <w:t>🔷</w:t>
            </w:r>
            <w:r w:rsidR="007C4D95" w:rsidRPr="002D69DA">
              <w:rPr>
                <w:rFonts w:ascii="Palatino Linotype" w:hAnsi="Palatino Linotype" w:cs="Arial"/>
                <w:i/>
                <w:color w:val="000000" w:themeColor="text1"/>
              </w:rPr>
              <w:t xml:space="preserve"> HECHOS Con fecha [●], presenté mediante la Plataforma SAIMEX la solicitud 2007/TOLUCA/IP/2025, en la cual requerí el listado de la nómina correspondiente al mes de enero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7C4D95" w:rsidRPr="002D69DA">
              <w:rPr>
                <w:rFonts w:ascii="Segoe UI Symbol" w:hAnsi="Segoe UI Symbol" w:cs="Segoe UI Symbol"/>
                <w:i/>
                <w:color w:val="000000" w:themeColor="text1"/>
              </w:rPr>
              <w:t>🔶</w:t>
            </w:r>
            <w:r w:rsidR="007C4D95"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w:t>
            </w:r>
            <w:r w:rsidR="007C4D95" w:rsidRPr="002D69DA">
              <w:rPr>
                <w:rFonts w:ascii="Palatino Linotype" w:hAnsi="Palatino Linotype" w:cs="Arial"/>
                <w:b/>
                <w:i/>
                <w:color w:val="000000" w:themeColor="text1"/>
              </w:rPr>
              <w:t xml:space="preserve"> </w:t>
            </w:r>
            <w:r w:rsidR="007C4D95" w:rsidRPr="002D69DA">
              <w:rPr>
                <w:rFonts w:ascii="Palatino Linotype" w:hAnsi="Palatino Linotype" w:cs="Arial"/>
                <w:i/>
                <w:color w:val="000000" w:themeColor="text1"/>
              </w:rPr>
              <w:t xml:space="preserve">de Recursos Humanos, conforme a lo previsto en el Código Reglamentario Municipal. En términos del artículo 18 de la Ley de Transparencia, dicha información debe estar </w:t>
            </w:r>
            <w:r w:rsidR="007C4D95" w:rsidRPr="002D69DA">
              <w:rPr>
                <w:rFonts w:ascii="Palatino Linotype" w:hAnsi="Palatino Linotype" w:cs="Arial"/>
                <w:i/>
                <w:color w:val="000000" w:themeColor="text1"/>
              </w:rPr>
              <w:lastRenderedPageBreak/>
              <w:t>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w:t>
            </w:r>
            <w:r w:rsidR="007C4D95" w:rsidRPr="002D69DA">
              <w:rPr>
                <w:rFonts w:ascii="Palatino Linotype" w:hAnsi="Palatino Linotype" w:cs="Arial"/>
                <w:b/>
                <w:i/>
                <w:color w:val="000000" w:themeColor="text1"/>
              </w:rPr>
              <w:t xml:space="preserve"> </w:t>
            </w:r>
            <w:r w:rsidR="007C4D95" w:rsidRPr="002D69DA">
              <w:rPr>
                <w:rFonts w:ascii="Palatino Linotype" w:hAnsi="Palatino Linotype" w:cs="Arial"/>
                <w:i/>
                <w:color w:val="000000" w:themeColor="text1"/>
              </w:rPr>
              <w:t xml:space="preserve">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w:t>
            </w:r>
            <w:r w:rsidR="007C4D95" w:rsidRPr="002D69DA">
              <w:rPr>
                <w:rFonts w:ascii="Palatino Linotype" w:hAnsi="Palatino Linotype" w:cs="Arial"/>
                <w:i/>
                <w:color w:val="000000" w:themeColor="text1"/>
              </w:rPr>
              <w:lastRenderedPageBreak/>
              <w:t xml:space="preserve">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7C4D95" w:rsidRPr="002D69DA">
              <w:rPr>
                <w:rFonts w:ascii="Palatino Linotype" w:hAnsi="Palatino Linotype" w:cs="Palatino Linotype"/>
                <w:i/>
                <w:color w:val="000000" w:themeColor="text1"/>
              </w:rPr>
              <w:t>🟥</w:t>
            </w:r>
            <w:r w:rsidR="007C4D95"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w:t>
            </w:r>
            <w:r w:rsidR="007C4D95" w:rsidRPr="002D69DA">
              <w:rPr>
                <w:rFonts w:ascii="Palatino Linotype" w:hAnsi="Palatino Linotype" w:cs="Arial"/>
                <w:b/>
                <w:i/>
                <w:color w:val="000000" w:themeColor="text1"/>
              </w:rPr>
              <w:t xml:space="preserve"> </w:t>
            </w:r>
            <w:r w:rsidR="007C4D95" w:rsidRPr="002D69DA">
              <w:rPr>
                <w:rFonts w:ascii="Palatino Linotype" w:hAnsi="Palatino Linotype" w:cs="Arial"/>
                <w:i/>
                <w:color w:val="000000" w:themeColor="text1"/>
              </w:rPr>
              <w:t xml:space="preserve">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w:t>
            </w:r>
            <w:r w:rsidR="007C4D95" w:rsidRPr="002D69DA">
              <w:rPr>
                <w:rFonts w:ascii="Palatino Linotype" w:hAnsi="Palatino Linotype" w:cs="Arial"/>
                <w:i/>
                <w:color w:val="000000" w:themeColor="text1"/>
              </w:rPr>
              <w:lastRenderedPageBreak/>
              <w:t>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05548/INFOEM/IP/RR/2025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A152DE" w:rsidRPr="002D69DA">
              <w:rPr>
                <w:rFonts w:ascii="Palatino Linotype" w:hAnsi="Palatino Linotype" w:cs="Arial"/>
                <w:i/>
                <w:color w:val="000000" w:themeColor="text1"/>
                <w:lang w:val="es-MX"/>
              </w:rPr>
              <w:t>“</w:t>
            </w:r>
            <w:r w:rsidR="00A152DE" w:rsidRPr="002D69DA">
              <w:rPr>
                <w:rFonts w:ascii="Palatino Linotype" w:hAnsi="Palatino Linotype" w:cs="Arial"/>
                <w:i/>
                <w:color w:val="000000" w:themeColor="text1"/>
              </w:rPr>
              <w:t>solicitud 2410/2025”</w:t>
            </w:r>
          </w:p>
          <w:p w:rsidR="00FD2B03" w:rsidRPr="002D69DA" w:rsidRDefault="00FD2B03" w:rsidP="00E84339">
            <w:pPr>
              <w:ind w:firstLine="708"/>
              <w:jc w:val="both"/>
              <w:rPr>
                <w:rFonts w:ascii="Palatino Linotype" w:hAnsi="Palatino Linotype" w:cs="Arial"/>
                <w:i/>
                <w:color w:val="000000" w:themeColor="text1"/>
                <w:lang w:val="es-MX"/>
              </w:rPr>
            </w:pP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A152DE" w:rsidRPr="002D69DA">
              <w:rPr>
                <w:rFonts w:ascii="Palatino Linotype" w:hAnsi="Palatino Linotype" w:cs="Arial"/>
                <w:b/>
                <w:i/>
                <w:color w:val="000000" w:themeColor="text1"/>
              </w:rPr>
              <w:t xml:space="preserve"> </w:t>
            </w:r>
            <w:r w:rsidR="00A152DE" w:rsidRPr="002D69DA">
              <w:rPr>
                <w:rFonts w:ascii="Palatino Linotype" w:hAnsi="Palatino Linotype" w:cs="Arial"/>
                <w:i/>
                <w:color w:val="000000" w:themeColor="text1"/>
              </w:rPr>
              <w:t xml:space="preserve">“RAZONES O MOTIVOS DE LA INCONFORMIDAD ee </w:t>
            </w:r>
            <w:r w:rsidR="00A152DE" w:rsidRPr="002D69DA">
              <w:rPr>
                <w:rFonts w:ascii="Segoe UI Symbol" w:hAnsi="Segoe UI Symbol" w:cs="Segoe UI Symbol"/>
                <w:i/>
                <w:color w:val="000000" w:themeColor="text1"/>
              </w:rPr>
              <w:t>🔷</w:t>
            </w:r>
            <w:r w:rsidR="00A152DE" w:rsidRPr="002D69DA">
              <w:rPr>
                <w:rFonts w:ascii="Palatino Linotype" w:hAnsi="Palatino Linotype" w:cs="Arial"/>
                <w:i/>
                <w:color w:val="000000" w:themeColor="text1"/>
              </w:rPr>
              <w:t xml:space="preserve"> HECHOS Con fecha [●], presenté mediante la Plataforma SAIMEX la solicitud 2410/TOLUCA/IP/2025, en la cual requerí el listado de la nómina correspondiente al mes de febrero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A152DE" w:rsidRPr="002D69DA">
              <w:rPr>
                <w:rFonts w:ascii="Segoe UI Symbol" w:hAnsi="Segoe UI Symbol" w:cs="Segoe UI Symbol"/>
                <w:i/>
                <w:color w:val="000000" w:themeColor="text1"/>
              </w:rPr>
              <w:t>🔶</w:t>
            </w:r>
            <w:r w:rsidR="00A152DE"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Dirección de Recursos Humanos, conforme a lo previsto en el Código Reglamentario Municipal. </w:t>
            </w:r>
            <w:r w:rsidR="00A152DE" w:rsidRPr="002D69DA">
              <w:rPr>
                <w:rFonts w:ascii="Palatino Linotype" w:hAnsi="Palatino Linotype" w:cs="Arial"/>
                <w:i/>
                <w:color w:val="000000" w:themeColor="text1"/>
              </w:rPr>
              <w:lastRenderedPageBreak/>
              <w:t xml:space="preserve">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artículo 222, al incumplir obligaciones de transparencia y simular inexistencia de </w:t>
            </w:r>
            <w:r w:rsidR="00A152DE" w:rsidRPr="002D69DA">
              <w:rPr>
                <w:rFonts w:ascii="Palatino Linotype" w:hAnsi="Palatino Linotype" w:cs="Arial"/>
                <w:i/>
                <w:color w:val="000000" w:themeColor="text1"/>
              </w:rPr>
              <w:lastRenderedPageBreak/>
              <w:t xml:space="preserve">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A152DE" w:rsidRPr="002D69DA">
              <w:rPr>
                <w:rFonts w:ascii="Palatino Linotype" w:hAnsi="Palatino Linotype" w:cs="Palatino Linotype"/>
                <w:i/>
                <w:color w:val="000000" w:themeColor="text1"/>
              </w:rPr>
              <w:t>🟥</w:t>
            </w:r>
            <w:r w:rsidR="00A152DE"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censura, como eliminación de comentarios y bloqueos a ciudadanos en plataformas oficiales. • </w:t>
            </w:r>
            <w:r w:rsidR="00A152DE" w:rsidRPr="002D69DA">
              <w:rPr>
                <w:rFonts w:ascii="Palatino Linotype" w:hAnsi="Palatino Linotype" w:cs="Arial"/>
                <w:i/>
                <w:color w:val="000000" w:themeColor="text1"/>
              </w:rPr>
              <w:lastRenderedPageBreak/>
              <w:t>•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05549/INFOEM/IP/RR/2025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E939D6" w:rsidRPr="002D69DA">
              <w:rPr>
                <w:rFonts w:ascii="Palatino Linotype" w:hAnsi="Palatino Linotype" w:cs="Arial"/>
                <w:i/>
                <w:color w:val="000000" w:themeColor="text1"/>
                <w:lang w:val="es-MX"/>
              </w:rPr>
              <w:t>“</w:t>
            </w:r>
            <w:r w:rsidR="00E939D6" w:rsidRPr="002D69DA">
              <w:rPr>
                <w:rFonts w:ascii="Palatino Linotype" w:hAnsi="Palatino Linotype" w:cs="Arial"/>
                <w:i/>
                <w:color w:val="000000" w:themeColor="text1"/>
              </w:rPr>
              <w:t>solicitud 2411/2025”</w:t>
            </w:r>
          </w:p>
          <w:p w:rsidR="00FD2B03" w:rsidRPr="002D69DA" w:rsidRDefault="00FD2B03" w:rsidP="00E84339">
            <w:pPr>
              <w:ind w:firstLine="708"/>
              <w:jc w:val="both"/>
              <w:rPr>
                <w:rFonts w:ascii="Palatino Linotype" w:hAnsi="Palatino Linotype" w:cs="Arial"/>
                <w:i/>
                <w:color w:val="000000" w:themeColor="text1"/>
                <w:lang w:val="es-MX"/>
              </w:rPr>
            </w:pPr>
          </w:p>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i/>
                <w:color w:val="000000" w:themeColor="text1"/>
                <w:lang w:val="es-MX"/>
              </w:rPr>
              <w:t xml:space="preserve"> </w:t>
            </w: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E939D6" w:rsidRPr="002D69DA">
              <w:rPr>
                <w:rFonts w:ascii="Palatino Linotype" w:hAnsi="Palatino Linotype" w:cs="Arial"/>
                <w:b/>
                <w:i/>
                <w:color w:val="000000" w:themeColor="text1"/>
              </w:rPr>
              <w:t xml:space="preserve"> </w:t>
            </w:r>
            <w:r w:rsidR="00E939D6" w:rsidRPr="002D69DA">
              <w:rPr>
                <w:rFonts w:ascii="Palatino Linotype" w:hAnsi="Palatino Linotype" w:cs="Arial"/>
                <w:i/>
                <w:color w:val="000000" w:themeColor="text1"/>
              </w:rPr>
              <w:t>“</w:t>
            </w:r>
            <w:r w:rsidR="003F4E7B" w:rsidRPr="002D69DA">
              <w:rPr>
                <w:rFonts w:ascii="Palatino Linotype" w:hAnsi="Palatino Linotype" w:cs="Arial"/>
                <w:i/>
                <w:color w:val="000000" w:themeColor="text1"/>
              </w:rPr>
              <w:t xml:space="preserve">RAZONES O MOTIVOS DE LA INCONFORMIDAD ee </w:t>
            </w:r>
            <w:r w:rsidR="003F4E7B" w:rsidRPr="002D69DA">
              <w:rPr>
                <w:rFonts w:ascii="Segoe UI Symbol" w:hAnsi="Segoe UI Symbol" w:cs="Segoe UI Symbol"/>
                <w:i/>
                <w:color w:val="000000" w:themeColor="text1"/>
              </w:rPr>
              <w:t>🔷</w:t>
            </w:r>
            <w:r w:rsidR="003F4E7B" w:rsidRPr="002D69DA">
              <w:rPr>
                <w:rFonts w:ascii="Palatino Linotype" w:hAnsi="Palatino Linotype" w:cs="Arial"/>
                <w:i/>
                <w:color w:val="000000" w:themeColor="text1"/>
              </w:rPr>
              <w:t xml:space="preserve"> HECHOS Con fecha [●], presenté mediante la Plataforma SAIMEX la solicitud 2411/TOLUCA/IP/2025, en la cual requerí el listado de la nómina correspondiente al mes de marzo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3F4E7B" w:rsidRPr="002D69DA">
              <w:rPr>
                <w:rFonts w:ascii="Segoe UI Symbol" w:hAnsi="Segoe UI Symbol" w:cs="Segoe UI Symbol"/>
                <w:i/>
                <w:color w:val="000000" w:themeColor="text1"/>
              </w:rPr>
              <w:t>🔶</w:t>
            </w:r>
            <w:r w:rsidR="003F4E7B"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la Dirección General de Administración y la </w:t>
            </w:r>
            <w:r w:rsidR="003F4E7B" w:rsidRPr="002D69DA">
              <w:rPr>
                <w:rFonts w:ascii="Palatino Linotype" w:hAnsi="Palatino Linotype" w:cs="Arial"/>
                <w:i/>
                <w:color w:val="000000" w:themeColor="text1"/>
              </w:rPr>
              <w:lastRenderedPageBreak/>
              <w:t xml:space="preserve">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conducta encuadra en las fracciones XII y XIII del </w:t>
            </w:r>
            <w:r w:rsidR="003F4E7B" w:rsidRPr="002D69DA">
              <w:rPr>
                <w:rFonts w:ascii="Palatino Linotype" w:hAnsi="Palatino Linotype" w:cs="Arial"/>
                <w:i/>
                <w:color w:val="000000" w:themeColor="text1"/>
              </w:rPr>
              <w:lastRenderedPageBreak/>
              <w:t xml:space="preserve">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3F4E7B" w:rsidRPr="002D69DA">
              <w:rPr>
                <w:rFonts w:ascii="Palatino Linotype" w:hAnsi="Palatino Linotype" w:cs="Palatino Linotype"/>
                <w:i/>
                <w:color w:val="000000" w:themeColor="text1"/>
              </w:rPr>
              <w:t>🟥</w:t>
            </w:r>
            <w:r w:rsidR="003F4E7B"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respuestas dolosas con prácticas digitales de </w:t>
            </w:r>
            <w:r w:rsidR="003F4E7B" w:rsidRPr="002D69DA">
              <w:rPr>
                <w:rFonts w:ascii="Palatino Linotype" w:hAnsi="Palatino Linotype" w:cs="Arial"/>
                <w:i/>
                <w:color w:val="000000" w:themeColor="text1"/>
              </w:rPr>
              <w:lastRenderedPageBreak/>
              <w:t>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05550/INFOEM/IP/RR/2025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E3610F" w:rsidRPr="002D69DA">
              <w:rPr>
                <w:rFonts w:ascii="Palatino Linotype" w:hAnsi="Palatino Linotype" w:cs="Arial"/>
                <w:i/>
                <w:color w:val="000000" w:themeColor="text1"/>
                <w:lang w:val="es-MX"/>
              </w:rPr>
              <w:t>“solicitud 2412/2025”</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2E4E12" w:rsidRPr="002D69DA">
              <w:rPr>
                <w:rFonts w:ascii="Palatino Linotype" w:hAnsi="Palatino Linotype" w:cs="Arial"/>
                <w:b/>
                <w:i/>
                <w:color w:val="000000" w:themeColor="text1"/>
              </w:rPr>
              <w:t xml:space="preserve"> </w:t>
            </w:r>
            <w:r w:rsidR="002E4E12" w:rsidRPr="002D69DA">
              <w:rPr>
                <w:rFonts w:ascii="Palatino Linotype" w:hAnsi="Palatino Linotype" w:cs="Arial"/>
                <w:i/>
                <w:color w:val="000000" w:themeColor="text1"/>
              </w:rPr>
              <w:t xml:space="preserve">“RAZONES O MOTIVOS DE LA INCONFORMIDAD ee </w:t>
            </w:r>
            <w:r w:rsidR="002E4E12" w:rsidRPr="002D69DA">
              <w:rPr>
                <w:rFonts w:ascii="Segoe UI Symbol" w:hAnsi="Segoe UI Symbol" w:cs="Segoe UI Symbol"/>
                <w:i/>
                <w:color w:val="000000" w:themeColor="text1"/>
              </w:rPr>
              <w:t>🔷</w:t>
            </w:r>
            <w:r w:rsidR="002E4E12" w:rsidRPr="002D69DA">
              <w:rPr>
                <w:rFonts w:ascii="Palatino Linotype" w:hAnsi="Palatino Linotype" w:cs="Arial"/>
                <w:i/>
                <w:color w:val="000000" w:themeColor="text1"/>
              </w:rPr>
              <w:t xml:space="preserve"> HECHOS Con fecha [●], presenté mediante la Plataforma SAIMEX la solicitud 2412/TOLUCA/IP/2025, en la cual requerí el listado de la nómina correspondiente al mes de abril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2E4E12" w:rsidRPr="002D69DA">
              <w:rPr>
                <w:rFonts w:ascii="Segoe UI Symbol" w:hAnsi="Segoe UI Symbol" w:cs="Segoe UI Symbol"/>
                <w:i/>
                <w:color w:val="000000" w:themeColor="text1"/>
              </w:rPr>
              <w:t>🔶</w:t>
            </w:r>
            <w:r w:rsidR="002E4E12"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ordinarias del Ayuntamiento, específicamente de </w:t>
            </w:r>
            <w:r w:rsidR="002E4E12" w:rsidRPr="002D69DA">
              <w:rPr>
                <w:rFonts w:ascii="Palatino Linotype" w:hAnsi="Palatino Linotype" w:cs="Arial"/>
                <w:i/>
                <w:color w:val="000000" w:themeColor="text1"/>
              </w:rPr>
              <w:lastRenderedPageBreak/>
              <w:t xml:space="preserve">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Falta administrativa conforme al artículo 222 Esta </w:t>
            </w:r>
            <w:r w:rsidR="002E4E12" w:rsidRPr="002D69DA">
              <w:rPr>
                <w:rFonts w:ascii="Palatino Linotype" w:hAnsi="Palatino Linotype" w:cs="Arial"/>
                <w:i/>
                <w:color w:val="000000" w:themeColor="text1"/>
              </w:rPr>
              <w:lastRenderedPageBreak/>
              <w:t xml:space="preserve">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2E4E12" w:rsidRPr="002D69DA">
              <w:rPr>
                <w:rFonts w:ascii="Palatino Linotype" w:hAnsi="Palatino Linotype" w:cs="Palatino Linotype"/>
                <w:i/>
                <w:color w:val="000000" w:themeColor="text1"/>
              </w:rPr>
              <w:t>🟥</w:t>
            </w:r>
            <w:r w:rsidR="002E4E12"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coordinada de obstrucción, al combinarse </w:t>
            </w:r>
            <w:r w:rsidR="002E4E12" w:rsidRPr="002D69DA">
              <w:rPr>
                <w:rFonts w:ascii="Palatino Linotype" w:hAnsi="Palatino Linotype" w:cs="Arial"/>
                <w:i/>
                <w:color w:val="000000" w:themeColor="text1"/>
              </w:rPr>
              <w:lastRenderedPageBreak/>
              <w:t>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05551/INFOEM/IP/RR/2025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E3610F" w:rsidRPr="002D69DA">
              <w:rPr>
                <w:rFonts w:ascii="Palatino Linotype" w:hAnsi="Palatino Linotype" w:cs="Arial"/>
                <w:i/>
                <w:color w:val="000000" w:themeColor="text1"/>
                <w:lang w:val="es-MX"/>
              </w:rPr>
              <w:t>“</w:t>
            </w:r>
            <w:r w:rsidR="005F39CE" w:rsidRPr="002D69DA">
              <w:rPr>
                <w:rFonts w:ascii="Palatino Linotype" w:hAnsi="Palatino Linotype" w:cs="Arial"/>
                <w:i/>
                <w:color w:val="000000" w:themeColor="text1"/>
              </w:rPr>
              <w:t>solicitud 2413</w:t>
            </w:r>
            <w:r w:rsidR="00E3610F" w:rsidRPr="002D69DA">
              <w:rPr>
                <w:rFonts w:ascii="Palatino Linotype" w:hAnsi="Palatino Linotype" w:cs="Arial"/>
                <w:i/>
                <w:color w:val="000000" w:themeColor="text1"/>
                <w:lang w:val="es-MX"/>
              </w:rPr>
              <w:t>”</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E3610F" w:rsidRPr="002D69DA">
              <w:rPr>
                <w:rFonts w:ascii="Palatino Linotype" w:hAnsi="Palatino Linotype" w:cs="Arial"/>
                <w:b/>
                <w:i/>
                <w:color w:val="000000" w:themeColor="text1"/>
              </w:rPr>
              <w:t xml:space="preserve"> </w:t>
            </w:r>
            <w:r w:rsidR="005F39CE" w:rsidRPr="002D69DA">
              <w:rPr>
                <w:rFonts w:ascii="Palatino Linotype" w:hAnsi="Palatino Linotype" w:cs="Arial"/>
                <w:i/>
                <w:color w:val="000000" w:themeColor="text1"/>
              </w:rPr>
              <w:t xml:space="preserve">“RAZONES O MOTIVOS DE LA INCONFORMIDAD ee </w:t>
            </w:r>
            <w:r w:rsidR="005F39CE" w:rsidRPr="002D69DA">
              <w:rPr>
                <w:rFonts w:ascii="Segoe UI Symbol" w:hAnsi="Segoe UI Symbol" w:cs="Segoe UI Symbol"/>
                <w:i/>
                <w:color w:val="000000" w:themeColor="text1"/>
              </w:rPr>
              <w:t>🔷</w:t>
            </w:r>
            <w:r w:rsidR="005F39CE" w:rsidRPr="002D69DA">
              <w:rPr>
                <w:rFonts w:ascii="Palatino Linotype" w:hAnsi="Palatino Linotype" w:cs="Arial"/>
                <w:i/>
                <w:color w:val="000000" w:themeColor="text1"/>
              </w:rPr>
              <w:t xml:space="preserve"> HECHOS Con fecha [●], presenté mediante la Plataforma SAIMEX la solicitud 2413/TOLUCA/IP/2025, en la cual requerí el listado de la nómina correspondiente al mes de abril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5F39CE" w:rsidRPr="002D69DA">
              <w:rPr>
                <w:rFonts w:ascii="Segoe UI Symbol" w:hAnsi="Segoe UI Symbol" w:cs="Segoe UI Symbol"/>
                <w:i/>
                <w:color w:val="000000" w:themeColor="text1"/>
              </w:rPr>
              <w:t>🔶</w:t>
            </w:r>
            <w:r w:rsidR="005F39CE" w:rsidRPr="002D69DA">
              <w:rPr>
                <w:rFonts w:ascii="Palatino Linotype" w:hAnsi="Palatino Linotype" w:cs="Arial"/>
                <w:i/>
                <w:color w:val="000000" w:themeColor="text1"/>
              </w:rPr>
              <w:t xml:space="preserve"> AGRAVIOS • • Simulación de inexistencia de información obligatoria La nómina solicitada es producto de las funciones administrativas </w:t>
            </w:r>
            <w:r w:rsidR="005F39CE" w:rsidRPr="002D69DA">
              <w:rPr>
                <w:rFonts w:ascii="Palatino Linotype" w:hAnsi="Palatino Linotype" w:cs="Arial"/>
                <w:i/>
                <w:color w:val="000000" w:themeColor="text1"/>
              </w:rPr>
              <w:lastRenderedPageBreak/>
              <w:t xml:space="preserve">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cual invalida la declaración de inexistencia. • • </w:t>
            </w:r>
            <w:r w:rsidR="005F39CE" w:rsidRPr="002D69DA">
              <w:rPr>
                <w:rFonts w:ascii="Palatino Linotype" w:hAnsi="Palatino Linotype" w:cs="Arial"/>
                <w:i/>
                <w:color w:val="000000" w:themeColor="text1"/>
              </w:rPr>
              <w:lastRenderedPageBreak/>
              <w:t xml:space="preserve">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5F39CE" w:rsidRPr="002D69DA">
              <w:rPr>
                <w:rFonts w:ascii="Palatino Linotype" w:hAnsi="Palatino Linotype" w:cs="Palatino Linotype"/>
                <w:i/>
                <w:color w:val="000000" w:themeColor="text1"/>
              </w:rPr>
              <w:t>🟥</w:t>
            </w:r>
            <w:r w:rsidR="005F39CE"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 • Se considere la existencia de una estrategia </w:t>
            </w:r>
            <w:r w:rsidR="005F39CE" w:rsidRPr="002D69DA">
              <w:rPr>
                <w:rFonts w:ascii="Palatino Linotype" w:hAnsi="Palatino Linotype" w:cs="Arial"/>
                <w:i/>
                <w:color w:val="000000" w:themeColor="text1"/>
              </w:rPr>
              <w:lastRenderedPageBreak/>
              <w:t>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p>
        </w:tc>
      </w:tr>
      <w:tr w:rsidR="00E84339" w:rsidRPr="002D69DA" w:rsidTr="004D6D95">
        <w:tc>
          <w:tcPr>
            <w:tcW w:w="3823" w:type="dxa"/>
          </w:tcPr>
          <w:p w:rsidR="007763EF" w:rsidRPr="002D69DA" w:rsidRDefault="00C9240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C9240B" w:rsidRPr="002D69DA" w:rsidRDefault="00C9240B"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05552/INFOEM/IP/RR/2025</w:t>
            </w:r>
          </w:p>
        </w:tc>
        <w:tc>
          <w:tcPr>
            <w:tcW w:w="5005" w:type="dxa"/>
          </w:tcPr>
          <w:p w:rsidR="00FD2B03"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Acto impugnado:</w:t>
            </w:r>
            <w:r w:rsidRPr="002D69DA">
              <w:rPr>
                <w:rFonts w:ascii="Palatino Linotype" w:hAnsi="Palatino Linotype" w:cs="Arial"/>
                <w:i/>
                <w:color w:val="000000" w:themeColor="text1"/>
                <w:lang w:val="es-MX"/>
              </w:rPr>
              <w:t xml:space="preserve"> </w:t>
            </w:r>
            <w:r w:rsidR="00B07815" w:rsidRPr="002D69DA">
              <w:rPr>
                <w:rFonts w:ascii="Palatino Linotype" w:hAnsi="Palatino Linotype" w:cs="Arial"/>
                <w:i/>
                <w:color w:val="000000" w:themeColor="text1"/>
                <w:lang w:val="es-MX"/>
              </w:rPr>
              <w:t>“</w:t>
            </w:r>
            <w:r w:rsidR="00B07815" w:rsidRPr="002D69DA">
              <w:rPr>
                <w:rFonts w:ascii="Palatino Linotype" w:hAnsi="Palatino Linotype" w:cs="Arial"/>
                <w:i/>
                <w:color w:val="000000" w:themeColor="text1"/>
              </w:rPr>
              <w:t>solicitud 2414”</w:t>
            </w:r>
          </w:p>
          <w:p w:rsidR="00FD2B03" w:rsidRPr="002D69DA" w:rsidRDefault="00FD2B03" w:rsidP="00E84339">
            <w:pPr>
              <w:jc w:val="both"/>
              <w:rPr>
                <w:rFonts w:ascii="Palatino Linotype" w:hAnsi="Palatino Linotype" w:cs="Arial"/>
                <w:i/>
                <w:color w:val="000000" w:themeColor="text1"/>
                <w:lang w:val="es-MX"/>
              </w:rPr>
            </w:pPr>
          </w:p>
          <w:p w:rsidR="007763EF" w:rsidRPr="002D69DA" w:rsidRDefault="00FD2B03" w:rsidP="00E84339">
            <w:pPr>
              <w:jc w:val="both"/>
              <w:rPr>
                <w:rFonts w:ascii="Palatino Linotype" w:hAnsi="Palatino Linotype" w:cs="Arial"/>
                <w:i/>
                <w:color w:val="000000" w:themeColor="text1"/>
                <w:lang w:val="es-MX"/>
              </w:rPr>
            </w:pPr>
            <w:r w:rsidRPr="002D69DA">
              <w:rPr>
                <w:rFonts w:ascii="Palatino Linotype" w:hAnsi="Palatino Linotype" w:cs="Arial"/>
                <w:b/>
                <w:i/>
                <w:color w:val="000000" w:themeColor="text1"/>
              </w:rPr>
              <w:t>Razones o Motivos de inconformidad:</w:t>
            </w:r>
            <w:r w:rsidR="00B07815" w:rsidRPr="002D69DA">
              <w:rPr>
                <w:rFonts w:ascii="Palatino Linotype" w:hAnsi="Palatino Linotype" w:cs="Arial"/>
                <w:b/>
                <w:i/>
                <w:color w:val="000000" w:themeColor="text1"/>
              </w:rPr>
              <w:t xml:space="preserve"> </w:t>
            </w:r>
            <w:r w:rsidR="00B07815" w:rsidRPr="002D69DA">
              <w:rPr>
                <w:rFonts w:ascii="Palatino Linotype" w:hAnsi="Palatino Linotype" w:cs="Arial"/>
                <w:i/>
                <w:color w:val="000000" w:themeColor="text1"/>
              </w:rPr>
              <w:t xml:space="preserve">“RAZONES O MOTIVOS DE LA INCONFORMIDAD ee </w:t>
            </w:r>
            <w:r w:rsidR="00B07815" w:rsidRPr="002D69DA">
              <w:rPr>
                <w:rFonts w:ascii="Segoe UI Symbol" w:hAnsi="Segoe UI Symbol" w:cs="Segoe UI Symbol"/>
                <w:i/>
                <w:color w:val="000000" w:themeColor="text1"/>
              </w:rPr>
              <w:t>🔷</w:t>
            </w:r>
            <w:r w:rsidR="00B07815" w:rsidRPr="002D69DA">
              <w:rPr>
                <w:rFonts w:ascii="Palatino Linotype" w:hAnsi="Palatino Linotype" w:cs="Arial"/>
                <w:i/>
                <w:color w:val="000000" w:themeColor="text1"/>
              </w:rPr>
              <w:t xml:space="preserve"> HECHOS Con fecha [●], presenté mediante la Plataforma SAIMEX la solicitud 2414/TOLUCA/IP/2025, en la cual requerí el listado de la nómina correspondiente al mes de abril de 2025 (primera y segunda quincena), con los siguientes campos: número de empleado, nombre completo, RFC, CURP, tipo de contratación, categoría, plaza, percepciones y deducciones desglosadas, claves del ISSEMYM, antigüedad, dirección, departamento y concepto de aguinaldo y prima vacacional. Solicité dicha información en formato Excel o en el formato en que obre en sus archivos. El sujeto obligado respondió que, tras una búsqueda exhaustiva, no encontró registros relacionados con la solicitud. Alegó que la información pública se materializa únicamente en documentos como oficios, actas, memorandos, etc., y que no tiene la obligación de elaborar documentos ad hoc para atender solicitudes, citando el Criterio 03/77 del INAI. </w:t>
            </w:r>
            <w:r w:rsidR="00B07815" w:rsidRPr="002D69DA">
              <w:rPr>
                <w:rFonts w:ascii="Segoe UI Symbol" w:hAnsi="Segoe UI Symbol" w:cs="Segoe UI Symbol"/>
                <w:i/>
                <w:color w:val="000000" w:themeColor="text1"/>
              </w:rPr>
              <w:t>🔶</w:t>
            </w:r>
            <w:r w:rsidR="00B07815" w:rsidRPr="002D69DA">
              <w:rPr>
                <w:rFonts w:ascii="Palatino Linotype" w:hAnsi="Palatino Linotype" w:cs="Arial"/>
                <w:i/>
                <w:color w:val="000000" w:themeColor="text1"/>
              </w:rPr>
              <w:t xml:space="preserve"> AGRAVIOS • • Simulación de inexistencia de información obligatoria La nómina solicitada es </w:t>
            </w:r>
            <w:r w:rsidR="00B07815" w:rsidRPr="002D69DA">
              <w:rPr>
                <w:rFonts w:ascii="Palatino Linotype" w:hAnsi="Palatino Linotype" w:cs="Arial"/>
                <w:i/>
                <w:color w:val="000000" w:themeColor="text1"/>
              </w:rPr>
              <w:lastRenderedPageBreak/>
              <w:t xml:space="preserve">producto de las funciones administrativas ordinarias del Ayuntamiento, específicamente de la Dirección General de Administración y la Dirección de Recursos Humanos, conforme a lo previsto en el Código Reglamentario Municipal. En términos del artículo 18 de la Ley de Transparencia, dicha información debe estar documentada. Además, conforme al artículo 19, se presume existente salvo prueba en contrario fundada y motivada por el Comité de Transparencia, lo cual no ocurrió. • • Violación al principio de máxima publicidad y deber de conservación La información solicitada es de acceso público conforme al artículo 92, fracción VIII, que obliga a publicar las remuneraciones brutas y netas del personal, incluyendo todas las percepciones, deducciones, aguinaldo y prima vacacional. A su vez, la Ley de Archivos del Estado de México obliga a su conservación y transferencia documental. • • Negativa reiterada que evidencia una práctica sistemática de ocultamiento Esta no es una omisión aislada. El sujeto obligado ha respondido en diversas solicitudes con la misma fórmula de inexistencia, sin sustento jurídico ni documental, configurando un patrón sistemático de evasión y obstrucción del derecho de acceso a la información pública. • • Entrega incompleta al no ofrecer la información en su formato original El artículo 12 establece que la información debe entregarse en el estado en que se encuentre, lo cual fue eludido bajo el argumento incorrecto de que se trataba de una solicitud de creación de documentos nuevos. • • Omisión del Comité de Transparencia No se anexó resolución del Comité de Transparencia debidamente fundada y motivada, como exige el artículo 19, lo </w:t>
            </w:r>
            <w:r w:rsidR="00B07815" w:rsidRPr="002D69DA">
              <w:rPr>
                <w:rFonts w:ascii="Palatino Linotype" w:hAnsi="Palatino Linotype" w:cs="Arial"/>
                <w:i/>
                <w:color w:val="000000" w:themeColor="text1"/>
              </w:rPr>
              <w:lastRenderedPageBreak/>
              <w:t xml:space="preserve">cual invalida la declaración de inexistencia. • • Falta administrativa conforme al artículo 222 Esta conducta encuadra en las fracciones XII y XIII del artículo 222, al incumplir obligaciones de transparencia y simular inexistencia de información que debe generarse y se presume existente. Esto amerita el inicio de procedimiento sancionador. • • Obstrucción sistemática del derecho de acceso a la información pública El sujeto obligado ha incurrido en conductas reiteradas de simulación de inexistencia, acompañadas de eliminación de comentarios y bloqueos en redes sociales oficiales, lo cual configura un mecanismo deliberado de obstrucción, contrario al derecho humano de acceso a la información reconocido en el artículo 6° constitucional y en la ley estatal. </w:t>
            </w:r>
            <w:r w:rsidR="00B07815" w:rsidRPr="002D69DA">
              <w:rPr>
                <w:rFonts w:ascii="Palatino Linotype" w:hAnsi="Palatino Linotype" w:cs="Palatino Linotype"/>
                <w:i/>
                <w:color w:val="000000" w:themeColor="text1"/>
              </w:rPr>
              <w:t>🟥</w:t>
            </w:r>
            <w:r w:rsidR="00B07815" w:rsidRPr="002D69DA">
              <w:rPr>
                <w:rFonts w:ascii="Palatino Linotype" w:hAnsi="Palatino Linotype" w:cs="Arial"/>
                <w:i/>
                <w:color w:val="000000" w:themeColor="text1"/>
              </w:rPr>
              <w:t xml:space="preserve"> PETICIONES Con fundamento en los artículos 12, 18, 19, 92, 179, 181, 222 y 223 de la Ley de Transparencia del Estado de México, así como en la Ley de Archivos del Estado de México, se solicita respetuosamente al INFOEM: • • Se admita y resuelva el presente recurso, ordenando la entrega íntegra y legal de la información solicitada, en el formato en que obre en los archivos. • • Se declare que el sujeto obligado incumplió el deber legal de documentar, conservar y proporcionar información pública obligatoria, y que dicha negativa constituye un acto contrario a la ley. • • Se determine la existencia de una práctica reiterada y sistemática de negativa infundada, y se emitan las medidas correctivas correspondientes. • • Se dé vista al Órgano Interno de Control conforme al artículo 223, ante la probable comisión de faltas administrativas previstas en el artículo 222, fracciones XII y XIII. </w:t>
            </w:r>
            <w:r w:rsidR="00B07815" w:rsidRPr="002D69DA">
              <w:rPr>
                <w:rFonts w:ascii="Palatino Linotype" w:hAnsi="Palatino Linotype" w:cs="Arial"/>
                <w:i/>
                <w:color w:val="000000" w:themeColor="text1"/>
              </w:rPr>
              <w:lastRenderedPageBreak/>
              <w:t>• • Se considere la existencia de una estrategia coordinada de obstrucción, al combinarse respuestas dolosas con prácticas digitales de censura, como eliminación de comentarios y bloqueos a ciudadanos en plataformas oficiales. • • Se aplique expresamente la suplencia de la queja en favor del solicitante, de conformidad con el artículo 181, último párrafo, a fin de que se resuelva de fondo el presente recurso y se proteja de manera efectiva el derecho de acceso a la información pública.”</w:t>
            </w:r>
            <w:r w:rsidR="00C77582" w:rsidRPr="002D69DA">
              <w:rPr>
                <w:rFonts w:ascii="Palatino Linotype" w:hAnsi="Palatino Linotype" w:cs="Arial"/>
                <w:i/>
                <w:color w:val="000000" w:themeColor="text1"/>
              </w:rPr>
              <w:t>1</w:t>
            </w:r>
          </w:p>
        </w:tc>
      </w:tr>
    </w:tbl>
    <w:p w:rsidR="004D6D95" w:rsidRPr="002D69DA" w:rsidRDefault="004D6D95" w:rsidP="00E84339">
      <w:pPr>
        <w:pStyle w:val="Prrafodelista"/>
        <w:spacing w:line="360" w:lineRule="auto"/>
        <w:ind w:left="0"/>
        <w:contextualSpacing w:val="0"/>
        <w:jc w:val="both"/>
        <w:rPr>
          <w:rFonts w:ascii="Palatino Linotype" w:hAnsi="Palatino Linotype"/>
          <w:color w:val="000000" w:themeColor="text1"/>
        </w:rPr>
      </w:pPr>
    </w:p>
    <w:p w:rsidR="002508A9" w:rsidRPr="002D69DA" w:rsidRDefault="002508A9"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hAnsi="Palatino Linotype"/>
          <w:color w:val="000000" w:themeColor="text1"/>
        </w:rPr>
        <w:t xml:space="preserve">De lo anterior, se observa que el </w:t>
      </w:r>
      <w:r w:rsidRPr="002D69DA">
        <w:rPr>
          <w:rFonts w:ascii="Palatino Linotype" w:hAnsi="Palatino Linotype"/>
          <w:b/>
          <w:color w:val="000000" w:themeColor="text1"/>
        </w:rPr>
        <w:t xml:space="preserve">RECURRENTE </w:t>
      </w:r>
      <w:r w:rsidRPr="002D69DA">
        <w:rPr>
          <w:rFonts w:ascii="Palatino Linotype" w:hAnsi="Palatino Linotype"/>
          <w:color w:val="000000" w:themeColor="text1"/>
        </w:rPr>
        <w:t xml:space="preserve">anexo un archivo electrónico en formato PDF, para los recursos de revisión </w:t>
      </w:r>
      <w:r w:rsidRPr="002D69DA">
        <w:rPr>
          <w:rFonts w:ascii="Palatino Linotype" w:hAnsi="Palatino Linotype"/>
          <w:b/>
          <w:i/>
          <w:color w:val="000000" w:themeColor="text1"/>
          <w:lang w:val="es-MX"/>
        </w:rPr>
        <w:t>04923/INFOEM/IP/RR/2025, 04924/INFOEM/IP/RR/2025, 04932/INFOEM/IP/RR/2025, 04969/INFOEM/IP/RR/2025, 04970/INFOEM/IP/RR/2025 y 04971/INFOEM/IP/RR/2025</w:t>
      </w:r>
      <w:r w:rsidR="00662A46" w:rsidRPr="002D69DA">
        <w:rPr>
          <w:rFonts w:ascii="Palatino Linotype" w:hAnsi="Palatino Linotype"/>
          <w:b/>
          <w:i/>
          <w:color w:val="000000" w:themeColor="text1"/>
          <w:lang w:val="es-MX"/>
        </w:rPr>
        <w:t xml:space="preserve">. </w:t>
      </w:r>
    </w:p>
    <w:p w:rsidR="00662A46" w:rsidRPr="002D69DA" w:rsidRDefault="00662A46" w:rsidP="00E84339">
      <w:pPr>
        <w:pStyle w:val="Prrafodelista"/>
        <w:spacing w:line="360" w:lineRule="auto"/>
        <w:ind w:left="0"/>
        <w:contextualSpacing w:val="0"/>
        <w:jc w:val="both"/>
        <w:rPr>
          <w:rFonts w:ascii="Palatino Linotype" w:hAnsi="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hAnsi="Palatino Linotype"/>
          <w:color w:val="000000" w:themeColor="text1"/>
        </w:rPr>
        <w:t>Consecutivamente</w:t>
      </w:r>
      <w:r w:rsidRPr="002D69DA">
        <w:rPr>
          <w:rFonts w:ascii="Palatino Linotype" w:hAnsi="Palatino Linotype"/>
          <w:i/>
          <w:color w:val="000000" w:themeColor="text1"/>
        </w:rPr>
        <w:t xml:space="preserve">, </w:t>
      </w:r>
      <w:r w:rsidRPr="002D69DA">
        <w:rPr>
          <w:rFonts w:ascii="Palatino Linotype" w:hAnsi="Palatino Linotype"/>
          <w:color w:val="000000" w:themeColor="text1"/>
        </w:rPr>
        <w:t>con fundamento en lo dispuesto por el artículo 185 fracción I de la Ley de Transparencia y Acceso a la Información Pública del Estado de México y Municipios, los recursos de referencia, fueron turnados</w:t>
      </w:r>
      <w:r w:rsidRPr="002D69DA">
        <w:rPr>
          <w:rFonts w:ascii="Palatino Linotype" w:hAnsi="Palatino Linotype"/>
          <w:b/>
          <w:color w:val="000000" w:themeColor="text1"/>
        </w:rPr>
        <w:t xml:space="preserve"> </w:t>
      </w:r>
      <w:r w:rsidRPr="002D69DA">
        <w:rPr>
          <w:rFonts w:ascii="Palatino Linotype" w:hAnsi="Palatino Linotype"/>
          <w:color w:val="000000" w:themeColor="text1"/>
        </w:rPr>
        <w:t xml:space="preserve">a las Comisionadas </w:t>
      </w:r>
      <w:r w:rsidRPr="002D69DA">
        <w:rPr>
          <w:rFonts w:ascii="Palatino Linotype" w:hAnsi="Palatino Linotype"/>
          <w:b/>
          <w:color w:val="000000" w:themeColor="text1"/>
        </w:rPr>
        <w:t>María del Rosario Mejía</w:t>
      </w:r>
      <w:r w:rsidR="00662A46" w:rsidRPr="002D69DA">
        <w:rPr>
          <w:rFonts w:ascii="Palatino Linotype" w:hAnsi="Palatino Linotype"/>
          <w:b/>
          <w:color w:val="000000" w:themeColor="text1"/>
        </w:rPr>
        <w:t xml:space="preserve"> Ayala</w:t>
      </w:r>
      <w:r w:rsidR="00C77582" w:rsidRPr="002D69DA">
        <w:rPr>
          <w:rFonts w:ascii="Palatino Linotype" w:hAnsi="Palatino Linotype"/>
          <w:b/>
          <w:color w:val="000000" w:themeColor="text1"/>
        </w:rPr>
        <w:t xml:space="preserve">, Sharon Cristina Morales Martínez y </w:t>
      </w:r>
      <w:r w:rsidRPr="002D69DA">
        <w:rPr>
          <w:rFonts w:ascii="Palatino Linotype" w:hAnsi="Palatino Linotype"/>
          <w:b/>
          <w:color w:val="000000" w:themeColor="text1"/>
        </w:rPr>
        <w:t>Guadalupe Ramírez Peña</w:t>
      </w:r>
      <w:r w:rsidR="00662A46" w:rsidRPr="002D69DA">
        <w:rPr>
          <w:rFonts w:ascii="Palatino Linotype" w:hAnsi="Palatino Linotype"/>
          <w:b/>
          <w:color w:val="000000" w:themeColor="text1"/>
        </w:rPr>
        <w:t xml:space="preserve">, </w:t>
      </w:r>
      <w:r w:rsidR="00662A46" w:rsidRPr="002D69DA">
        <w:rPr>
          <w:rFonts w:ascii="Palatino Linotype" w:hAnsi="Palatino Linotype"/>
          <w:color w:val="000000" w:themeColor="text1"/>
        </w:rPr>
        <w:t>al</w:t>
      </w:r>
      <w:r w:rsidR="00662A46" w:rsidRPr="002D69DA">
        <w:rPr>
          <w:rFonts w:ascii="Palatino Linotype" w:hAnsi="Palatino Linotype"/>
          <w:b/>
          <w:color w:val="000000" w:themeColor="text1"/>
        </w:rPr>
        <w:t xml:space="preserve"> </w:t>
      </w:r>
      <w:r w:rsidR="00C77582" w:rsidRPr="002D69DA">
        <w:rPr>
          <w:rFonts w:ascii="Palatino Linotype" w:hAnsi="Palatino Linotype"/>
          <w:color w:val="000000" w:themeColor="text1"/>
        </w:rPr>
        <w:t xml:space="preserve">Comisionado Presidente </w:t>
      </w:r>
      <w:r w:rsidR="00C77582" w:rsidRPr="002D69DA">
        <w:rPr>
          <w:rFonts w:ascii="Palatino Linotype" w:hAnsi="Palatino Linotype"/>
          <w:b/>
          <w:color w:val="000000" w:themeColor="text1"/>
        </w:rPr>
        <w:t xml:space="preserve">José Martínez Vilchis </w:t>
      </w:r>
      <w:r w:rsidR="00C77582" w:rsidRPr="002D69DA">
        <w:rPr>
          <w:rFonts w:ascii="Palatino Linotype" w:hAnsi="Palatino Linotype"/>
          <w:color w:val="000000" w:themeColor="text1"/>
        </w:rPr>
        <w:t xml:space="preserve">y al Comisionado </w:t>
      </w:r>
      <w:r w:rsidR="00C77582" w:rsidRPr="002D69DA">
        <w:rPr>
          <w:rFonts w:ascii="Palatino Linotype" w:hAnsi="Palatino Linotype"/>
          <w:b/>
          <w:color w:val="000000" w:themeColor="text1"/>
        </w:rPr>
        <w:t>Luis Gustavo Parra Noriega</w:t>
      </w:r>
      <w:r w:rsidRPr="002D69DA">
        <w:rPr>
          <w:rFonts w:ascii="Palatino Linotype" w:hAnsi="Palatino Linotype"/>
          <w:b/>
          <w:color w:val="000000" w:themeColor="text1"/>
        </w:rPr>
        <w:t>,</w:t>
      </w:r>
      <w:r w:rsidRPr="002D69DA">
        <w:rPr>
          <w:rFonts w:ascii="Palatino Linotype" w:hAnsi="Palatino Linotype"/>
          <w:color w:val="000000" w:themeColor="text1"/>
        </w:rPr>
        <w:t xml:space="preserve"> </w:t>
      </w:r>
      <w:r w:rsidRPr="002D69DA">
        <w:rPr>
          <w:rFonts w:ascii="Palatino Linotype" w:hAnsi="Palatino Linotype"/>
          <w:b/>
          <w:color w:val="000000" w:themeColor="text1"/>
        </w:rPr>
        <w:t xml:space="preserve"> </w:t>
      </w:r>
      <w:r w:rsidR="0040280F">
        <w:rPr>
          <w:rFonts w:ascii="Palatino Linotype" w:hAnsi="Palatino Linotype"/>
          <w:color w:val="000000" w:themeColor="text1"/>
        </w:rPr>
        <w:t>para</w:t>
      </w:r>
      <w:r w:rsidRPr="002D69DA">
        <w:rPr>
          <w:rFonts w:ascii="Palatino Linotype" w:hAnsi="Palatino Linotype"/>
          <w:color w:val="000000" w:themeColor="text1"/>
        </w:rPr>
        <w:t xml:space="preserve"> su análisis.</w:t>
      </w:r>
    </w:p>
    <w:p w:rsidR="004D6D95" w:rsidRPr="002D69DA" w:rsidRDefault="004D6D95" w:rsidP="00E84339">
      <w:pPr>
        <w:pStyle w:val="Prrafodelista"/>
        <w:spacing w:line="360" w:lineRule="auto"/>
        <w:ind w:left="0"/>
        <w:jc w:val="both"/>
        <w:rPr>
          <w:rFonts w:ascii="Palatino Linotype" w:hAnsi="Palatino Linotype"/>
          <w:color w:val="000000" w:themeColor="text1"/>
        </w:rPr>
      </w:pPr>
    </w:p>
    <w:p w:rsidR="004D6D95" w:rsidRPr="002D69DA" w:rsidRDefault="0040280F"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Pr>
          <w:rFonts w:ascii="Palatino Linotype" w:hAnsi="Palatino Linotype"/>
          <w:color w:val="000000" w:themeColor="text1"/>
        </w:rPr>
        <w:t>Lo</w:t>
      </w:r>
      <w:r w:rsidR="004D6D95" w:rsidRPr="002D69DA">
        <w:rPr>
          <w:rFonts w:ascii="Palatino Linotype" w:hAnsi="Palatino Linotype"/>
          <w:color w:val="000000" w:themeColor="text1"/>
        </w:rPr>
        <w:t>s</w:t>
      </w:r>
      <w:r>
        <w:rPr>
          <w:rFonts w:ascii="Palatino Linotype" w:hAnsi="Palatino Linotype"/>
          <w:color w:val="000000" w:themeColor="text1"/>
        </w:rPr>
        <w:t xml:space="preserve"> comisionado</w:t>
      </w:r>
      <w:r w:rsidR="004D6D95" w:rsidRPr="002D69DA">
        <w:rPr>
          <w:rFonts w:ascii="Palatino Linotype" w:hAnsi="Palatino Linotype"/>
          <w:color w:val="000000" w:themeColor="text1"/>
        </w:rPr>
        <w:t>s</w:t>
      </w:r>
      <w:r>
        <w:rPr>
          <w:rFonts w:ascii="Palatino Linotype" w:hAnsi="Palatino Linotype"/>
          <w:color w:val="000000" w:themeColor="text1"/>
        </w:rPr>
        <w:t xml:space="preserve"> y comisionadas p</w:t>
      </w:r>
      <w:r w:rsidR="004D6D95" w:rsidRPr="002D69DA">
        <w:rPr>
          <w:rFonts w:ascii="Palatino Linotype" w:hAnsi="Palatino Linotype"/>
          <w:color w:val="000000" w:themeColor="text1"/>
        </w:rPr>
        <w:t>onentes</w:t>
      </w:r>
      <w:r>
        <w:rPr>
          <w:rFonts w:ascii="Palatino Linotype" w:hAnsi="Palatino Linotype"/>
          <w:color w:val="000000" w:themeColor="text1"/>
        </w:rPr>
        <w:t>,</w:t>
      </w:r>
      <w:r w:rsidR="004D6D95" w:rsidRPr="002D69DA">
        <w:rPr>
          <w:rFonts w:ascii="Palatino Linotype" w:hAnsi="Palatino Linotype"/>
          <w:color w:val="000000" w:themeColor="text1"/>
        </w:rPr>
        <w:t xml:space="preserve"> de origen con fundamento en lo dispuesto por el artículo 185 </w:t>
      </w:r>
      <w:r w:rsidR="004D6D95" w:rsidRPr="002D69DA">
        <w:rPr>
          <w:rFonts w:ascii="Palatino Linotype" w:eastAsia="Calibri" w:hAnsi="Palatino Linotype" w:cs="Arial"/>
          <w:color w:val="000000" w:themeColor="text1"/>
        </w:rPr>
        <w:t>fracción</w:t>
      </w:r>
      <w:r w:rsidR="004D6D95" w:rsidRPr="002D69DA">
        <w:rPr>
          <w:rFonts w:ascii="Palatino Linotype" w:hAnsi="Palatino Linotype"/>
          <w:color w:val="000000" w:themeColor="text1"/>
        </w:rPr>
        <w:t xml:space="preserve"> II de la ley de la materia, a través de los </w:t>
      </w:r>
      <w:r w:rsidR="004D6D95" w:rsidRPr="002D69DA">
        <w:rPr>
          <w:rFonts w:ascii="Palatino Linotype" w:hAnsi="Palatino Linotype"/>
          <w:b/>
          <w:color w:val="000000" w:themeColor="text1"/>
        </w:rPr>
        <w:t xml:space="preserve">acuerdos de admisión </w:t>
      </w:r>
      <w:r w:rsidR="004D6D95" w:rsidRPr="002D69DA">
        <w:rPr>
          <w:rFonts w:ascii="Palatino Linotype" w:hAnsi="Palatino Linotype"/>
          <w:color w:val="000000" w:themeColor="text1"/>
        </w:rPr>
        <w:t>de fechas</w:t>
      </w:r>
      <w:r w:rsidR="004D6D95" w:rsidRPr="002D69DA">
        <w:rPr>
          <w:rFonts w:ascii="Palatino Linotype" w:hAnsi="Palatino Linotype"/>
          <w:b/>
          <w:color w:val="000000" w:themeColor="text1"/>
        </w:rPr>
        <w:t xml:space="preserve"> </w:t>
      </w:r>
      <w:r w:rsidR="00FA3160" w:rsidRPr="002D69DA">
        <w:rPr>
          <w:rFonts w:ascii="Palatino Linotype" w:hAnsi="Palatino Linotype"/>
          <w:b/>
          <w:color w:val="000000" w:themeColor="text1"/>
        </w:rPr>
        <w:t>treinta de abril, seis, siete, ocho, nueve, doce</w:t>
      </w:r>
      <w:r w:rsidR="00795E24" w:rsidRPr="002D69DA">
        <w:rPr>
          <w:rFonts w:ascii="Palatino Linotype" w:hAnsi="Palatino Linotype"/>
          <w:b/>
          <w:color w:val="000000" w:themeColor="text1"/>
        </w:rPr>
        <w:t xml:space="preserve">, quince, </w:t>
      </w:r>
      <w:r w:rsidR="00795E24" w:rsidRPr="002D69DA">
        <w:rPr>
          <w:rFonts w:ascii="Palatino Linotype" w:hAnsi="Palatino Linotype"/>
          <w:b/>
          <w:color w:val="000000" w:themeColor="text1"/>
        </w:rPr>
        <w:lastRenderedPageBreak/>
        <w:t xml:space="preserve">dieciséis,  diecinueve, veinte, </w:t>
      </w:r>
      <w:r w:rsidR="00FA3160" w:rsidRPr="002D69DA">
        <w:rPr>
          <w:rFonts w:ascii="Palatino Linotype" w:hAnsi="Palatino Linotype"/>
          <w:b/>
          <w:color w:val="000000" w:themeColor="text1"/>
        </w:rPr>
        <w:t xml:space="preserve"> de mayo </w:t>
      </w:r>
      <w:r w:rsidR="004D6D95" w:rsidRPr="002D69DA">
        <w:rPr>
          <w:rFonts w:ascii="Palatino Linotype" w:hAnsi="Palatino Linotype"/>
          <w:b/>
          <w:color w:val="000000" w:themeColor="text1"/>
        </w:rPr>
        <w:t>de dos mil veinticinco</w:t>
      </w:r>
      <w:r w:rsidR="004D6D95" w:rsidRPr="002D69DA">
        <w:rPr>
          <w:rFonts w:ascii="Palatino Linotype" w:hAnsi="Palatino Linotype"/>
          <w:color w:val="000000" w:themeColor="text1"/>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004D6D95" w:rsidRPr="002D69DA">
        <w:rPr>
          <w:rFonts w:ascii="Palatino Linotype" w:hAnsi="Palatino Linotype"/>
          <w:b/>
          <w:color w:val="000000" w:themeColor="text1"/>
        </w:rPr>
        <w:t xml:space="preserve">SUJETO OBLIGADO </w:t>
      </w:r>
      <w:r w:rsidR="004D6D95" w:rsidRPr="002D69DA">
        <w:rPr>
          <w:rFonts w:ascii="Palatino Linotype" w:hAnsi="Palatino Linotype"/>
          <w:color w:val="000000" w:themeColor="text1"/>
        </w:rPr>
        <w:t>presentara el Informe Justificado procedente.</w:t>
      </w:r>
    </w:p>
    <w:p w:rsidR="004D6D95" w:rsidRPr="002D69DA" w:rsidRDefault="004D6D95" w:rsidP="00E84339">
      <w:pPr>
        <w:pStyle w:val="Prrafodelista"/>
        <w:spacing w:line="360" w:lineRule="auto"/>
        <w:ind w:left="0"/>
        <w:jc w:val="both"/>
        <w:rPr>
          <w:rFonts w:ascii="Palatino Linotype" w:hAnsi="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hAnsi="Palatino Linotype"/>
          <w:color w:val="000000" w:themeColor="text1"/>
        </w:rPr>
        <w:t>Posteriormente el Pleno de este Órgano Autónomo, en la</w:t>
      </w:r>
      <w:r w:rsidRPr="002D69DA">
        <w:rPr>
          <w:rFonts w:ascii="Palatino Linotype" w:hAnsi="Palatino Linotype"/>
          <w:b/>
          <w:color w:val="000000" w:themeColor="text1"/>
        </w:rPr>
        <w:t xml:space="preserve"> Décima </w:t>
      </w:r>
      <w:r w:rsidR="00ED14E0" w:rsidRPr="002D69DA">
        <w:rPr>
          <w:rFonts w:ascii="Palatino Linotype" w:hAnsi="Palatino Linotype"/>
          <w:b/>
          <w:color w:val="000000" w:themeColor="text1"/>
        </w:rPr>
        <w:t>Séptima</w:t>
      </w:r>
      <w:r w:rsidRPr="002D69DA">
        <w:rPr>
          <w:rFonts w:ascii="Palatino Linotype" w:hAnsi="Palatino Linotype"/>
          <w:b/>
          <w:color w:val="000000" w:themeColor="text1"/>
        </w:rPr>
        <w:t xml:space="preserve"> Sesión Ordinaria </w:t>
      </w:r>
      <w:r w:rsidRPr="002D69DA">
        <w:rPr>
          <w:rFonts w:ascii="Palatino Linotype" w:hAnsi="Palatino Linotype"/>
          <w:color w:val="000000" w:themeColor="text1"/>
        </w:rPr>
        <w:t>de fecha</w:t>
      </w:r>
      <w:r w:rsidRPr="002D69DA">
        <w:rPr>
          <w:rFonts w:ascii="Palatino Linotype" w:hAnsi="Palatino Linotype"/>
          <w:b/>
          <w:color w:val="000000" w:themeColor="text1"/>
        </w:rPr>
        <w:t xml:space="preserve"> </w:t>
      </w:r>
      <w:r w:rsidR="0051774A" w:rsidRPr="002D69DA">
        <w:rPr>
          <w:rFonts w:ascii="Palatino Linotype" w:hAnsi="Palatino Linotype"/>
          <w:b/>
          <w:color w:val="000000" w:themeColor="text1"/>
        </w:rPr>
        <w:t xml:space="preserve">catorce de mayo </w:t>
      </w:r>
      <w:r w:rsidRPr="002D69DA">
        <w:rPr>
          <w:rFonts w:ascii="Palatino Linotype" w:hAnsi="Palatino Linotype"/>
          <w:b/>
          <w:color w:val="000000" w:themeColor="text1"/>
        </w:rPr>
        <w:t>de dos mil veinticinco</w:t>
      </w:r>
      <w:r w:rsidR="00607BAB" w:rsidRPr="002D69DA">
        <w:rPr>
          <w:rFonts w:ascii="Palatino Linotype" w:hAnsi="Palatino Linotype"/>
          <w:b/>
          <w:color w:val="000000" w:themeColor="text1"/>
        </w:rPr>
        <w:t xml:space="preserve">, </w:t>
      </w:r>
      <w:r w:rsidR="00607BAB" w:rsidRPr="002D69DA">
        <w:rPr>
          <w:rFonts w:ascii="Palatino Linotype" w:hAnsi="Palatino Linotype"/>
          <w:color w:val="000000" w:themeColor="text1"/>
        </w:rPr>
        <w:t xml:space="preserve">así como en la </w:t>
      </w:r>
      <w:r w:rsidR="00607BAB" w:rsidRPr="002D69DA">
        <w:rPr>
          <w:rFonts w:ascii="Palatino Linotype" w:hAnsi="Palatino Linotype"/>
          <w:b/>
          <w:color w:val="000000" w:themeColor="text1"/>
        </w:rPr>
        <w:t xml:space="preserve">Décima Novena </w:t>
      </w:r>
      <w:r w:rsidR="00696844" w:rsidRPr="002D69DA">
        <w:rPr>
          <w:rFonts w:ascii="Palatino Linotype" w:hAnsi="Palatino Linotype"/>
          <w:b/>
          <w:color w:val="000000" w:themeColor="text1"/>
        </w:rPr>
        <w:t xml:space="preserve">Sesión Ordinaria </w:t>
      </w:r>
      <w:r w:rsidR="00696844" w:rsidRPr="002D69DA">
        <w:rPr>
          <w:rFonts w:ascii="Palatino Linotype" w:hAnsi="Palatino Linotype"/>
          <w:color w:val="000000" w:themeColor="text1"/>
        </w:rPr>
        <w:t xml:space="preserve">de fecha </w:t>
      </w:r>
      <w:r w:rsidR="00696844" w:rsidRPr="002D69DA">
        <w:rPr>
          <w:rFonts w:ascii="Palatino Linotype" w:hAnsi="Palatino Linotype"/>
          <w:b/>
          <w:color w:val="000000" w:themeColor="text1"/>
        </w:rPr>
        <w:t>veintiocho de mayo de dos mil veinticinco</w:t>
      </w:r>
      <w:r w:rsidRPr="002D69DA">
        <w:rPr>
          <w:rFonts w:ascii="Palatino Linotype" w:hAnsi="Palatino Linotype"/>
          <w:color w:val="000000" w:themeColor="text1"/>
        </w:rPr>
        <w:t xml:space="preserve">; ordenó la acumulación de los recursos de revisión de mérito, a efecto de que la Ponencia de la </w:t>
      </w:r>
      <w:r w:rsidRPr="002D69DA">
        <w:rPr>
          <w:rFonts w:ascii="Palatino Linotype" w:hAnsi="Palatino Linotype"/>
          <w:b/>
          <w:color w:val="000000" w:themeColor="text1"/>
        </w:rPr>
        <w:t xml:space="preserve">Comisionada María del Rosario Mejía Ayala </w:t>
      </w:r>
      <w:r w:rsidRPr="002D69DA">
        <w:rPr>
          <w:rFonts w:ascii="Palatino Linotype" w:hAnsi="Palatino Linotype"/>
          <w:color w:val="000000" w:themeColor="text1"/>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2D69DA">
        <w:rPr>
          <w:rFonts w:ascii="Palatino Linotype" w:hAnsi="Palatino Linotype"/>
          <w:i/>
          <w:color w:val="000000" w:themeColor="text1"/>
          <w:vertAlign w:val="superscript"/>
        </w:rPr>
        <w:footnoteReference w:id="1"/>
      </w:r>
      <w:r w:rsidRPr="002D69DA">
        <w:rPr>
          <w:rFonts w:ascii="Palatino Linotype" w:hAnsi="Palatino Linotype"/>
          <w:color w:val="000000" w:themeColor="text1"/>
        </w:rPr>
        <w:t>, que señala:</w:t>
      </w:r>
    </w:p>
    <w:p w:rsidR="004D6D95" w:rsidRPr="002D69DA" w:rsidRDefault="004D6D95" w:rsidP="00E84339">
      <w:pPr>
        <w:pStyle w:val="Prrafodelista"/>
        <w:ind w:left="0"/>
        <w:jc w:val="both"/>
        <w:rPr>
          <w:rFonts w:ascii="Palatino Linotype" w:hAnsi="Palatino Linotype"/>
          <w:color w:val="000000" w:themeColor="text1"/>
        </w:rPr>
      </w:pPr>
    </w:p>
    <w:p w:rsidR="004D6D95" w:rsidRPr="002D69DA" w:rsidRDefault="004D6D95" w:rsidP="00E84339">
      <w:pPr>
        <w:pStyle w:val="Prrafodelista"/>
        <w:tabs>
          <w:tab w:val="left" w:pos="426"/>
        </w:tabs>
        <w:ind w:left="0"/>
        <w:jc w:val="both"/>
        <w:rPr>
          <w:rFonts w:ascii="Palatino Linotype" w:hAnsi="Palatino Linotype"/>
          <w:i/>
          <w:color w:val="000000" w:themeColor="text1"/>
        </w:rPr>
      </w:pPr>
      <w:r w:rsidRPr="002D69DA">
        <w:rPr>
          <w:rFonts w:ascii="Palatino Linotype" w:hAnsi="Palatino Linotype"/>
          <w:b/>
          <w:i/>
          <w:color w:val="000000" w:themeColor="text1"/>
        </w:rPr>
        <w:t>“ONCE.</w:t>
      </w:r>
      <w:r w:rsidRPr="002D69DA">
        <w:rPr>
          <w:rFonts w:ascii="Palatino Linotype" w:hAnsi="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rsidR="004D6D95" w:rsidRPr="002D69DA" w:rsidRDefault="004D6D95" w:rsidP="00E84339">
      <w:pPr>
        <w:pStyle w:val="Prrafodelista"/>
        <w:tabs>
          <w:tab w:val="left" w:pos="426"/>
        </w:tabs>
        <w:ind w:left="0"/>
        <w:jc w:val="both"/>
        <w:rPr>
          <w:rFonts w:ascii="Palatino Linotype" w:hAnsi="Palatino Linotype"/>
          <w:i/>
          <w:color w:val="000000" w:themeColor="text1"/>
        </w:rPr>
      </w:pPr>
      <w:r w:rsidRPr="002D69DA">
        <w:rPr>
          <w:rFonts w:ascii="Palatino Linotype" w:hAnsi="Palatino Linotype"/>
          <w:i/>
          <w:color w:val="000000" w:themeColor="text1"/>
        </w:rPr>
        <w:t>…</w:t>
      </w:r>
      <w:r w:rsidRPr="002D69DA">
        <w:rPr>
          <w:rFonts w:ascii="Palatino Linotype" w:hAnsi="Palatino Linotype"/>
          <w:i/>
          <w:color w:val="000000" w:themeColor="text1"/>
        </w:rPr>
        <w:tab/>
      </w:r>
    </w:p>
    <w:p w:rsidR="004D6D95" w:rsidRPr="002D69DA" w:rsidRDefault="004D6D95" w:rsidP="00E84339">
      <w:pPr>
        <w:pStyle w:val="Prrafodelista"/>
        <w:tabs>
          <w:tab w:val="left" w:pos="426"/>
        </w:tabs>
        <w:ind w:left="0"/>
        <w:jc w:val="both"/>
        <w:rPr>
          <w:rFonts w:ascii="Palatino Linotype" w:hAnsi="Palatino Linotype"/>
          <w:i/>
          <w:color w:val="000000" w:themeColor="text1"/>
        </w:rPr>
      </w:pPr>
      <w:r w:rsidRPr="002D69DA">
        <w:rPr>
          <w:rFonts w:ascii="Palatino Linotype" w:hAnsi="Palatino Linotype"/>
          <w:i/>
          <w:color w:val="000000" w:themeColor="text1"/>
        </w:rPr>
        <w:t>b) Las partes o los actos impugnados sean iguales</w:t>
      </w:r>
    </w:p>
    <w:p w:rsidR="004D6D95" w:rsidRPr="002D69DA" w:rsidRDefault="004D6D95" w:rsidP="00E84339">
      <w:pPr>
        <w:pStyle w:val="Prrafodelista"/>
        <w:tabs>
          <w:tab w:val="left" w:pos="426"/>
        </w:tabs>
        <w:ind w:left="0"/>
        <w:jc w:val="both"/>
        <w:rPr>
          <w:rFonts w:ascii="Palatino Linotype" w:hAnsi="Palatino Linotype"/>
          <w:i/>
          <w:color w:val="000000" w:themeColor="text1"/>
        </w:rPr>
      </w:pPr>
      <w:r w:rsidRPr="002D69DA">
        <w:rPr>
          <w:rFonts w:ascii="Palatino Linotype" w:hAnsi="Palatino Linotype"/>
          <w:i/>
          <w:color w:val="000000" w:themeColor="text1"/>
        </w:rPr>
        <w:t>c) Cuando se trate del mismo solicitante, el mismo SUJETO OBLIGADO, aunque se trate de solicitudes diversas;</w:t>
      </w:r>
    </w:p>
    <w:p w:rsidR="004D6D95" w:rsidRPr="002D69DA" w:rsidRDefault="004D6D95" w:rsidP="00E84339">
      <w:pPr>
        <w:pStyle w:val="Prrafodelista"/>
        <w:tabs>
          <w:tab w:val="left" w:pos="426"/>
        </w:tabs>
        <w:ind w:left="0"/>
        <w:jc w:val="both"/>
        <w:rPr>
          <w:rFonts w:ascii="Palatino Linotype" w:hAnsi="Palatino Linotype"/>
          <w:i/>
          <w:color w:val="000000" w:themeColor="text1"/>
        </w:rPr>
      </w:pPr>
      <w:r w:rsidRPr="002D69DA">
        <w:rPr>
          <w:rFonts w:ascii="Palatino Linotype" w:hAnsi="Palatino Linotype"/>
          <w:i/>
          <w:color w:val="000000" w:themeColor="text1"/>
        </w:rPr>
        <w:t>(…)”</w:t>
      </w:r>
    </w:p>
    <w:p w:rsidR="004D6D95" w:rsidRPr="002D69DA" w:rsidRDefault="004D6D95" w:rsidP="00E84339">
      <w:pPr>
        <w:pStyle w:val="Prrafodelista"/>
        <w:tabs>
          <w:tab w:val="left" w:pos="426"/>
        </w:tabs>
        <w:ind w:left="0"/>
        <w:jc w:val="both"/>
        <w:rPr>
          <w:rFonts w:ascii="Palatino Linotype" w:hAnsi="Palatino Linotype"/>
          <w:i/>
          <w:color w:val="000000" w:themeColor="text1"/>
        </w:rPr>
      </w:pPr>
      <w:r w:rsidRPr="002D69DA">
        <w:rPr>
          <w:rFonts w:ascii="Palatino Linotype" w:hAnsi="Palatino Linotype"/>
          <w:i/>
          <w:color w:val="000000" w:themeColor="text1"/>
        </w:rPr>
        <w:t>(Énfasis añadido)</w:t>
      </w:r>
    </w:p>
    <w:p w:rsidR="004D6D95" w:rsidRPr="002D69DA" w:rsidRDefault="004D6D95" w:rsidP="00E84339">
      <w:pPr>
        <w:pStyle w:val="Prrafodelista"/>
        <w:tabs>
          <w:tab w:val="left" w:pos="426"/>
        </w:tabs>
        <w:spacing w:line="360" w:lineRule="auto"/>
        <w:ind w:left="0"/>
        <w:jc w:val="both"/>
        <w:rPr>
          <w:rFonts w:ascii="Palatino Linotype" w:hAnsi="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hAnsi="Palatino Linotype"/>
          <w:color w:val="000000" w:themeColor="text1"/>
        </w:rPr>
        <w:t>Es así que,</w:t>
      </w:r>
      <w:r w:rsidRPr="002D69DA">
        <w:rPr>
          <w:rFonts w:ascii="Palatino Linotype" w:hAnsi="Palatino Linotype"/>
          <w:i/>
          <w:color w:val="000000" w:themeColor="text1"/>
        </w:rPr>
        <w:t xml:space="preserve"> </w:t>
      </w:r>
      <w:r w:rsidRPr="002D69DA">
        <w:rPr>
          <w:rFonts w:ascii="Palatino Linotype" w:hAnsi="Palatino Linotype"/>
          <w:color w:val="000000" w:themeColor="text1"/>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4D6D95" w:rsidRPr="002D69DA" w:rsidRDefault="004D6D95" w:rsidP="00E84339">
      <w:pPr>
        <w:pStyle w:val="Textoindependienteprimerasangra2"/>
        <w:ind w:left="0" w:firstLine="0"/>
        <w:jc w:val="both"/>
        <w:rPr>
          <w:rFonts w:ascii="Palatino Linotype" w:hAnsi="Palatino Linotype"/>
          <w:b/>
          <w:i/>
          <w:color w:val="000000" w:themeColor="text1"/>
        </w:rPr>
      </w:pPr>
      <w:r w:rsidRPr="002D69DA">
        <w:rPr>
          <w:rFonts w:ascii="Palatino Linotype" w:hAnsi="Palatino Linotype"/>
          <w:b/>
          <w:i/>
          <w:color w:val="000000" w:themeColor="text1"/>
        </w:rPr>
        <w:t>Código de Procedimientos Administrativos del Estado de México.</w:t>
      </w:r>
    </w:p>
    <w:p w:rsidR="004D6D95" w:rsidRPr="002D69DA" w:rsidRDefault="004D6D95" w:rsidP="00E84339">
      <w:pPr>
        <w:pStyle w:val="Textoindependienteprimerasangra2"/>
        <w:ind w:left="0" w:firstLine="0"/>
        <w:jc w:val="both"/>
        <w:rPr>
          <w:rFonts w:ascii="Palatino Linotype" w:hAnsi="Palatino Linotype"/>
          <w:i/>
          <w:color w:val="000000" w:themeColor="text1"/>
        </w:rPr>
      </w:pPr>
      <w:r w:rsidRPr="002D69DA">
        <w:rPr>
          <w:rFonts w:ascii="Palatino Linotype" w:hAnsi="Palatino Linotype"/>
          <w:b/>
          <w:i/>
          <w:color w:val="000000" w:themeColor="text1"/>
        </w:rPr>
        <w:t>“Artículo 18.-</w:t>
      </w:r>
      <w:r w:rsidRPr="002D69DA">
        <w:rPr>
          <w:rFonts w:ascii="Palatino Linotype" w:hAnsi="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4D6D95" w:rsidRPr="002D69DA" w:rsidRDefault="004D6D95" w:rsidP="00E84339">
      <w:pPr>
        <w:pStyle w:val="Textoindependienteprimerasangra2"/>
        <w:ind w:left="0" w:firstLine="0"/>
        <w:jc w:val="both"/>
        <w:rPr>
          <w:rFonts w:ascii="Palatino Linotype" w:hAnsi="Palatino Linotype"/>
          <w:b/>
          <w:i/>
          <w:color w:val="000000" w:themeColor="text1"/>
        </w:rPr>
      </w:pPr>
      <w:r w:rsidRPr="002D69DA">
        <w:rPr>
          <w:rFonts w:ascii="Palatino Linotype" w:hAnsi="Palatino Linotype"/>
          <w:b/>
          <w:i/>
          <w:color w:val="000000" w:themeColor="text1"/>
        </w:rPr>
        <w:t>Ley de Transparencia y Acceso a la Información Pública del Estado de México y Municipios</w:t>
      </w:r>
    </w:p>
    <w:p w:rsidR="004D6D95" w:rsidRPr="002D69DA" w:rsidRDefault="004D6D95" w:rsidP="00E84339">
      <w:pPr>
        <w:pStyle w:val="Textoindependienteprimerasangra2"/>
        <w:ind w:left="0" w:firstLine="0"/>
        <w:jc w:val="both"/>
        <w:rPr>
          <w:rFonts w:ascii="Palatino Linotype" w:hAnsi="Palatino Linotype"/>
          <w:i/>
          <w:color w:val="000000" w:themeColor="text1"/>
        </w:rPr>
      </w:pPr>
      <w:r w:rsidRPr="002D69DA">
        <w:rPr>
          <w:rFonts w:ascii="Palatino Linotype" w:hAnsi="Palatino Linotype"/>
          <w:b/>
          <w:i/>
          <w:color w:val="000000" w:themeColor="text1"/>
        </w:rPr>
        <w:t>“Artículo 195.</w:t>
      </w:r>
      <w:r w:rsidRPr="002D69DA">
        <w:rPr>
          <w:rFonts w:ascii="Palatino Linotype" w:hAnsi="Palatino Linotype"/>
          <w:i/>
          <w:color w:val="000000" w:themeColor="text1"/>
        </w:rPr>
        <w:t xml:space="preserve"> En la tramitación del recurso de revisión se aplicarán supletoriamente las disposiciones contenidas en el Código de Procedimientos Administrativos del Estado de México.”</w:t>
      </w:r>
    </w:p>
    <w:p w:rsidR="004D6D95" w:rsidRPr="002D69DA" w:rsidRDefault="004D6D95" w:rsidP="00E84339">
      <w:pPr>
        <w:pStyle w:val="Textoindependienteprimerasangra2"/>
        <w:ind w:left="0"/>
        <w:jc w:val="both"/>
        <w:rPr>
          <w:rFonts w:ascii="Palatino Linotype" w:hAnsi="Palatino Linotype"/>
          <w:i/>
          <w:color w:val="000000" w:themeColor="text1"/>
        </w:rPr>
      </w:pPr>
      <w:r w:rsidRPr="002D69DA">
        <w:rPr>
          <w:rFonts w:ascii="Palatino Linotype" w:hAnsi="Palatino Linotype"/>
          <w:i/>
          <w:color w:val="000000" w:themeColor="text1"/>
        </w:rPr>
        <w:t>(Énfasis añadido)</w:t>
      </w:r>
    </w:p>
    <w:p w:rsidR="004D6D95" w:rsidRPr="002D69DA" w:rsidRDefault="004D6D95" w:rsidP="00E84339">
      <w:pPr>
        <w:pStyle w:val="Textoindependienteprimerasangra2"/>
        <w:ind w:left="0"/>
        <w:rPr>
          <w:rFonts w:ascii="Palatino Linotype" w:hAnsi="Palatino Linotype"/>
          <w:i/>
          <w:color w:val="000000" w:themeColor="text1"/>
        </w:rPr>
      </w:pPr>
    </w:p>
    <w:p w:rsidR="004D6D95" w:rsidRPr="0040280F" w:rsidRDefault="004D6D95" w:rsidP="00E84339">
      <w:pPr>
        <w:pStyle w:val="Prrafodelista"/>
        <w:numPr>
          <w:ilvl w:val="0"/>
          <w:numId w:val="8"/>
        </w:numPr>
        <w:spacing w:line="360" w:lineRule="auto"/>
        <w:ind w:left="0" w:firstLine="0"/>
        <w:contextualSpacing w:val="0"/>
        <w:jc w:val="both"/>
        <w:rPr>
          <w:rFonts w:ascii="Palatino Linotype" w:hAnsi="Palatino Linotype"/>
          <w:b/>
          <w:color w:val="000000" w:themeColor="text1"/>
        </w:rPr>
      </w:pPr>
      <w:r w:rsidRPr="002D69DA">
        <w:rPr>
          <w:rFonts w:ascii="Palatino Linotype" w:hAnsi="Palatino Linotype"/>
          <w:color w:val="000000" w:themeColor="text1"/>
        </w:rPr>
        <w:t xml:space="preserve">De lo anterior, el </w:t>
      </w:r>
      <w:r w:rsidR="00E0043D" w:rsidRPr="002D69DA">
        <w:rPr>
          <w:rFonts w:ascii="Palatino Linotype" w:hAnsi="Palatino Linotype"/>
          <w:b/>
          <w:color w:val="000000" w:themeColor="text1"/>
        </w:rPr>
        <w:t xml:space="preserve">trece, quince, dieciséis, diecinueve, veinte, veintitrés, veintisiete, veintiocho y veintinueve de mayo </w:t>
      </w:r>
      <w:r w:rsidRPr="002D69DA">
        <w:rPr>
          <w:rFonts w:ascii="Palatino Linotype" w:hAnsi="Palatino Linotype"/>
          <w:b/>
          <w:color w:val="000000" w:themeColor="text1"/>
        </w:rPr>
        <w:t xml:space="preserve">de dos mil veinticinco </w:t>
      </w:r>
      <w:r w:rsidRPr="002D69DA">
        <w:rPr>
          <w:rFonts w:ascii="Palatino Linotype" w:hAnsi="Palatino Linotype"/>
          <w:color w:val="000000" w:themeColor="text1"/>
        </w:rPr>
        <w:t xml:space="preserve">el </w:t>
      </w:r>
      <w:r w:rsidRPr="002D69DA">
        <w:rPr>
          <w:rFonts w:ascii="Palatino Linotype" w:hAnsi="Palatino Linotype"/>
          <w:b/>
          <w:color w:val="000000" w:themeColor="text1"/>
        </w:rPr>
        <w:t xml:space="preserve">SUJETO OBLIGADO </w:t>
      </w:r>
      <w:r w:rsidRPr="002D69DA">
        <w:rPr>
          <w:rFonts w:ascii="Palatino Linotype" w:hAnsi="Palatino Linotype"/>
          <w:color w:val="000000" w:themeColor="text1"/>
        </w:rPr>
        <w:t>adjunto información para recurso de revisión, cuyo contenido versa en lo siguiente.</w:t>
      </w:r>
    </w:p>
    <w:p w:rsidR="0040280F" w:rsidRDefault="0040280F" w:rsidP="0040280F">
      <w:pPr>
        <w:pStyle w:val="Prrafodelista"/>
        <w:spacing w:line="360" w:lineRule="auto"/>
        <w:ind w:left="0"/>
        <w:contextualSpacing w:val="0"/>
        <w:jc w:val="both"/>
        <w:rPr>
          <w:rFonts w:ascii="Palatino Linotype" w:hAnsi="Palatino Linotype"/>
          <w:b/>
          <w:color w:val="000000" w:themeColor="text1"/>
        </w:rPr>
      </w:pPr>
    </w:p>
    <w:p w:rsidR="00A35104" w:rsidRDefault="00A35104" w:rsidP="0040280F">
      <w:pPr>
        <w:pStyle w:val="Prrafodelista"/>
        <w:spacing w:line="360" w:lineRule="auto"/>
        <w:ind w:left="0"/>
        <w:contextualSpacing w:val="0"/>
        <w:jc w:val="both"/>
        <w:rPr>
          <w:rFonts w:ascii="Palatino Linotype" w:hAnsi="Palatino Linotype"/>
          <w:b/>
          <w:color w:val="000000" w:themeColor="text1"/>
        </w:rPr>
      </w:pPr>
    </w:p>
    <w:p w:rsidR="00A35104" w:rsidRPr="002D69DA" w:rsidRDefault="00A35104" w:rsidP="0040280F">
      <w:pPr>
        <w:pStyle w:val="Prrafodelista"/>
        <w:spacing w:line="360" w:lineRule="auto"/>
        <w:ind w:left="0"/>
        <w:contextualSpacing w:val="0"/>
        <w:jc w:val="both"/>
        <w:rPr>
          <w:rFonts w:ascii="Palatino Linotype" w:hAnsi="Palatino Linotype"/>
          <w:b/>
          <w:color w:val="000000" w:themeColor="text1"/>
        </w:rPr>
      </w:pPr>
    </w:p>
    <w:tbl>
      <w:tblPr>
        <w:tblStyle w:val="Tablaconcuadrcula"/>
        <w:tblW w:w="0" w:type="auto"/>
        <w:jc w:val="center"/>
        <w:tblLook w:val="04A0" w:firstRow="1" w:lastRow="0" w:firstColumn="1" w:lastColumn="0" w:noHBand="0" w:noVBand="1"/>
      </w:tblPr>
      <w:tblGrid>
        <w:gridCol w:w="3397"/>
        <w:gridCol w:w="5103"/>
      </w:tblGrid>
      <w:tr w:rsidR="00E84339" w:rsidRPr="002D69DA" w:rsidTr="0040280F">
        <w:trPr>
          <w:jc w:val="center"/>
        </w:trPr>
        <w:tc>
          <w:tcPr>
            <w:tcW w:w="3397" w:type="dxa"/>
          </w:tcPr>
          <w:p w:rsidR="00D70DF7" w:rsidRPr="002D69DA" w:rsidRDefault="004D6D95" w:rsidP="00E84339">
            <w:pPr>
              <w:pStyle w:val="Prrafodelista"/>
              <w:ind w:left="0"/>
              <w:jc w:val="both"/>
              <w:rPr>
                <w:rFonts w:ascii="Palatino Linotype" w:hAnsi="Palatino Linotype" w:cs="Arial"/>
                <w:b/>
                <w:i/>
                <w:color w:val="000000" w:themeColor="text1"/>
              </w:rPr>
            </w:pPr>
            <w:r w:rsidRPr="002D69DA">
              <w:rPr>
                <w:rFonts w:ascii="Palatino Linotype" w:hAnsi="Palatino Linotype"/>
                <w:color w:val="000000" w:themeColor="text1"/>
              </w:rPr>
              <w:lastRenderedPageBreak/>
              <w:t xml:space="preserve"> </w:t>
            </w:r>
            <w:r w:rsidR="00D70DF7" w:rsidRPr="002D69DA">
              <w:rPr>
                <w:rFonts w:ascii="Palatino Linotype" w:hAnsi="Palatino Linotype" w:cs="Arial"/>
                <w:b/>
                <w:i/>
                <w:color w:val="000000" w:themeColor="text1"/>
              </w:rPr>
              <w:t>Recursos de Revisión</w:t>
            </w:r>
          </w:p>
        </w:tc>
        <w:tc>
          <w:tcPr>
            <w:tcW w:w="5103" w:type="dxa"/>
          </w:tcPr>
          <w:p w:rsidR="00D70DF7" w:rsidRPr="002D69DA" w:rsidRDefault="00C62A76" w:rsidP="00E84339">
            <w:pPr>
              <w:pStyle w:val="Prrafodelista"/>
              <w:ind w:left="0"/>
              <w:jc w:val="both"/>
              <w:rPr>
                <w:rFonts w:ascii="Palatino Linotype" w:hAnsi="Palatino Linotype" w:cs="Arial"/>
                <w:b/>
                <w:i/>
                <w:color w:val="000000" w:themeColor="text1"/>
              </w:rPr>
            </w:pPr>
            <w:r w:rsidRPr="002D69DA">
              <w:rPr>
                <w:rFonts w:ascii="Palatino Linotype" w:hAnsi="Palatino Linotype" w:cs="Arial"/>
                <w:b/>
                <w:i/>
                <w:color w:val="000000" w:themeColor="text1"/>
              </w:rPr>
              <w:t>Información remitida en manifestaciones</w:t>
            </w:r>
          </w:p>
        </w:tc>
      </w:tr>
      <w:tr w:rsidR="00E84339" w:rsidRPr="002D69DA" w:rsidTr="0040280F">
        <w:trPr>
          <w:trHeight w:val="332"/>
          <w:jc w:val="center"/>
        </w:trPr>
        <w:tc>
          <w:tcPr>
            <w:tcW w:w="3397" w:type="dxa"/>
          </w:tcPr>
          <w:p w:rsidR="00D70DF7" w:rsidRPr="002D69DA" w:rsidRDefault="00D70DF7" w:rsidP="00E84339">
            <w:pPr>
              <w:rPr>
                <w:rFonts w:ascii="Palatino Linotype" w:hAnsi="Palatino Linotype" w:cs="Arial"/>
                <w:bCs/>
                <w:i/>
                <w:color w:val="000000" w:themeColor="text1"/>
                <w:lang w:val="es-MX"/>
              </w:rPr>
            </w:pPr>
            <w:r w:rsidRPr="002D69DA">
              <w:rPr>
                <w:rFonts w:ascii="Palatino Linotype" w:hAnsi="Palatino Linotype" w:cs="Arial"/>
                <w:b/>
                <w:i/>
                <w:color w:val="000000" w:themeColor="text1"/>
              </w:rPr>
              <w:t>Recurso de Revisión 04923/INFOEM/IP/RR/2025</w:t>
            </w:r>
            <w:r w:rsidRPr="002D69DA">
              <w:rPr>
                <w:rFonts w:ascii="Palatino Linotype" w:hAnsi="Palatino Linotype" w:cs="Arial"/>
                <w:b/>
                <w:bCs/>
                <w:i/>
                <w:color w:val="000000" w:themeColor="text1"/>
                <w:lang w:val="es-MX"/>
              </w:rPr>
              <w:t xml:space="preserve">: </w:t>
            </w:r>
          </w:p>
        </w:tc>
        <w:tc>
          <w:tcPr>
            <w:tcW w:w="5103" w:type="dxa"/>
          </w:tcPr>
          <w:p w:rsidR="00D70DF7" w:rsidRPr="002D69DA" w:rsidRDefault="00C62A76"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4923.pdf: </w:t>
            </w:r>
            <w:r w:rsidRPr="002D69DA">
              <w:rPr>
                <w:rFonts w:ascii="Palatino Linotype" w:hAnsi="Palatino Linotype" w:cs="Arial"/>
                <w:i/>
                <w:color w:val="000000" w:themeColor="text1"/>
              </w:rPr>
              <w:t xml:space="preserve">oficios mediante los cuales la Dirección General de Administración, ratifica la respuesta inicial. </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Cs/>
                <w:i/>
                <w:color w:val="000000" w:themeColor="text1"/>
                <w:lang w:val="es-MX"/>
              </w:rPr>
            </w:pPr>
            <w:r w:rsidRPr="002D69DA">
              <w:rPr>
                <w:rFonts w:ascii="Palatino Linotype" w:hAnsi="Palatino Linotype" w:cs="Arial"/>
                <w:b/>
                <w:i/>
                <w:color w:val="000000" w:themeColor="text1"/>
              </w:rPr>
              <w:t>Recurso de Revisión 04924/INFOEM/IP/RR/2025</w:t>
            </w:r>
            <w:r w:rsidRPr="002D69DA">
              <w:rPr>
                <w:rFonts w:ascii="Palatino Linotype" w:hAnsi="Palatino Linotype" w:cs="Arial"/>
                <w:b/>
                <w:bCs/>
                <w:i/>
                <w:color w:val="000000" w:themeColor="text1"/>
                <w:lang w:val="es-MX"/>
              </w:rPr>
              <w:t xml:space="preserve">: </w:t>
            </w:r>
          </w:p>
          <w:p w:rsidR="00D70DF7" w:rsidRPr="002D69DA" w:rsidRDefault="00D70DF7" w:rsidP="00E84339">
            <w:pPr>
              <w:rPr>
                <w:rFonts w:ascii="Palatino Linotype" w:hAnsi="Palatino Linotype" w:cs="Arial"/>
                <w:i/>
                <w:color w:val="000000" w:themeColor="text1"/>
              </w:rPr>
            </w:pPr>
          </w:p>
        </w:tc>
        <w:tc>
          <w:tcPr>
            <w:tcW w:w="5103" w:type="dxa"/>
          </w:tcPr>
          <w:p w:rsidR="00D70DF7" w:rsidRPr="002D69DA" w:rsidRDefault="00C62A76"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4924.pdf: </w:t>
            </w:r>
            <w:r w:rsidRPr="002D69DA">
              <w:rPr>
                <w:rFonts w:ascii="Palatino Linotype" w:hAnsi="Palatino Linotype" w:cs="Arial"/>
                <w:i/>
                <w:color w:val="000000" w:themeColor="text1"/>
              </w:rPr>
              <w:t>oficios mediante los cuales la Dirección General de Administración, ratifica la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04932/INFOEM/IP/RR/2025</w:t>
            </w:r>
          </w:p>
        </w:tc>
        <w:tc>
          <w:tcPr>
            <w:tcW w:w="5103" w:type="dxa"/>
          </w:tcPr>
          <w:p w:rsidR="00D70DF7" w:rsidRPr="002D69DA" w:rsidRDefault="00C62A76"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2. Ratificación RR-4932-2025.pdf: </w:t>
            </w:r>
            <w:r w:rsidRPr="002D69DA">
              <w:rPr>
                <w:rFonts w:ascii="Palatino Linotype" w:hAnsi="Palatino Linotype" w:cs="Arial"/>
                <w:i/>
                <w:color w:val="000000" w:themeColor="text1"/>
              </w:rPr>
              <w:t xml:space="preserve">oficio del Titular de la Unidad de Transparencia, mediante el cual informa que la Dirección General de Administración ratifico su respuesta inicial. </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04969/INFOEM/IP/RR/2025</w:t>
            </w:r>
          </w:p>
        </w:tc>
        <w:tc>
          <w:tcPr>
            <w:tcW w:w="5103" w:type="dxa"/>
          </w:tcPr>
          <w:p w:rsidR="00D70DF7" w:rsidRPr="002D69DA" w:rsidRDefault="00C62A76"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4969.pdf: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04970/INFOEM/IP/RR/2025</w:t>
            </w:r>
          </w:p>
        </w:tc>
        <w:tc>
          <w:tcPr>
            <w:tcW w:w="5103" w:type="dxa"/>
          </w:tcPr>
          <w:p w:rsidR="00D70DF7" w:rsidRPr="002D69DA" w:rsidRDefault="00C62A76"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04970.pdf: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04971/INFOEM/IP/RR/2025</w:t>
            </w:r>
          </w:p>
        </w:tc>
        <w:tc>
          <w:tcPr>
            <w:tcW w:w="5103" w:type="dxa"/>
          </w:tcPr>
          <w:p w:rsidR="00D70DF7" w:rsidRPr="002D69DA" w:rsidRDefault="00873FF9"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04971.pdf: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05046/INFOEM/IP/RR/2025</w:t>
            </w:r>
          </w:p>
        </w:tc>
        <w:tc>
          <w:tcPr>
            <w:tcW w:w="5103" w:type="dxa"/>
          </w:tcPr>
          <w:p w:rsidR="00D70DF7" w:rsidRPr="002D69DA" w:rsidRDefault="00873FF9"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05046.pdf: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05047/INFOEM/IP/RR/2025</w:t>
            </w:r>
          </w:p>
        </w:tc>
        <w:tc>
          <w:tcPr>
            <w:tcW w:w="5103" w:type="dxa"/>
          </w:tcPr>
          <w:p w:rsidR="00D70DF7" w:rsidRPr="002D69DA" w:rsidRDefault="00873EFB"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2. Ratificación RR-5047-2025 DGA.pdf: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05048/INFOEM/IP/RR/2025</w:t>
            </w:r>
          </w:p>
        </w:tc>
        <w:tc>
          <w:tcPr>
            <w:tcW w:w="5103" w:type="dxa"/>
          </w:tcPr>
          <w:p w:rsidR="00D70DF7" w:rsidRPr="002D69DA" w:rsidRDefault="00873EFB"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 xml:space="preserve">No entrego información </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05049/INFOEM/IP/RR/2025</w:t>
            </w:r>
          </w:p>
        </w:tc>
        <w:tc>
          <w:tcPr>
            <w:tcW w:w="5103" w:type="dxa"/>
          </w:tcPr>
          <w:p w:rsidR="00D70DF7" w:rsidRPr="002D69DA" w:rsidRDefault="00873EFB"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Ratificación 05049.pdf:</w:t>
            </w:r>
            <w:r w:rsidRPr="002D69DA">
              <w:rPr>
                <w:rFonts w:ascii="Palatino Linotype" w:hAnsi="Palatino Linotype" w:cs="Arial"/>
                <w:i/>
                <w:color w:val="000000" w:themeColor="text1"/>
              </w:rPr>
              <w:t xml:space="preserve"> oficio del Titular de la Unidad de Transparencia, mediante el cual informa </w:t>
            </w:r>
            <w:r w:rsidRPr="002D69DA">
              <w:rPr>
                <w:rFonts w:ascii="Palatino Linotype" w:hAnsi="Palatino Linotype" w:cs="Arial"/>
                <w:i/>
                <w:color w:val="000000" w:themeColor="text1"/>
              </w:rPr>
              <w:lastRenderedPageBreak/>
              <w:t>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05050/INFOEM/IP/RR/2025</w:t>
            </w:r>
          </w:p>
        </w:tc>
        <w:tc>
          <w:tcPr>
            <w:tcW w:w="5103" w:type="dxa"/>
          </w:tcPr>
          <w:p w:rsidR="00D70DF7" w:rsidRPr="002D69DA" w:rsidRDefault="00873EFB"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05050.pdf: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05051/INFOEM/IP/RR/2025</w:t>
            </w:r>
          </w:p>
        </w:tc>
        <w:tc>
          <w:tcPr>
            <w:tcW w:w="5103" w:type="dxa"/>
          </w:tcPr>
          <w:p w:rsidR="00D70DF7" w:rsidRPr="002D69DA" w:rsidRDefault="00873EFB"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05051.pdf: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05541/INFOEM/IP/RR/2025</w:t>
            </w:r>
          </w:p>
        </w:tc>
        <w:tc>
          <w:tcPr>
            <w:tcW w:w="5103" w:type="dxa"/>
          </w:tcPr>
          <w:p w:rsidR="00D70DF7" w:rsidRPr="002D69DA" w:rsidRDefault="00AB6EF1" w:rsidP="00E84339">
            <w:pPr>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05541-2025.pdf: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05542/INFOEM/IP/RR/2025</w:t>
            </w:r>
          </w:p>
        </w:tc>
        <w:tc>
          <w:tcPr>
            <w:tcW w:w="5103" w:type="dxa"/>
          </w:tcPr>
          <w:p w:rsidR="00D70DF7" w:rsidRPr="002D69DA" w:rsidRDefault="00AB6EF1"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5542.pdf: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p w:rsidR="00AB6EF1" w:rsidRPr="002D69DA" w:rsidRDefault="00AB6EF1"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ANEXO RR 5542.pdf: </w:t>
            </w:r>
            <w:r w:rsidRPr="002D69DA">
              <w:rPr>
                <w:rFonts w:ascii="Palatino Linotype" w:hAnsi="Palatino Linotype" w:cs="Arial"/>
                <w:i/>
                <w:color w:val="000000" w:themeColor="text1"/>
              </w:rPr>
              <w:t xml:space="preserve">oficio de la Directora General de Administración, mediante el cual ratifica la respuesta inicial. </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05543/INFOEM/IP/RR/2025</w:t>
            </w:r>
          </w:p>
        </w:tc>
        <w:tc>
          <w:tcPr>
            <w:tcW w:w="5103" w:type="dxa"/>
          </w:tcPr>
          <w:p w:rsidR="00D70DF7" w:rsidRPr="002D69DA" w:rsidRDefault="007107EF"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05543.pdf: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p w:rsidR="007107EF" w:rsidRPr="002D69DA" w:rsidRDefault="007107EF"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ANEXOS 05543-2025.pdf: </w:t>
            </w:r>
            <w:r w:rsidRPr="002D69DA">
              <w:rPr>
                <w:rFonts w:ascii="Palatino Linotype" w:hAnsi="Palatino Linotype" w:cs="Arial"/>
                <w:i/>
                <w:color w:val="000000" w:themeColor="text1"/>
              </w:rPr>
              <w:t>oficio de la Directora General de Administración, mediante el cual ratifica la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05544/INFOEM/IP/RR/2025</w:t>
            </w:r>
          </w:p>
        </w:tc>
        <w:tc>
          <w:tcPr>
            <w:tcW w:w="5103" w:type="dxa"/>
          </w:tcPr>
          <w:p w:rsidR="00D70DF7" w:rsidRPr="002D69DA" w:rsidRDefault="00DC163C"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5544.pdf: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p w:rsidR="00DC163C" w:rsidRPr="002D69DA" w:rsidRDefault="00DC163C"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ANEXO RR 5544.pdf: </w:t>
            </w:r>
            <w:r w:rsidRPr="002D69DA">
              <w:rPr>
                <w:rFonts w:ascii="Palatino Linotype" w:hAnsi="Palatino Linotype" w:cs="Arial"/>
                <w:i/>
                <w:color w:val="000000" w:themeColor="text1"/>
              </w:rPr>
              <w:t>oficio de la Directora General de Administración, mediante el cual ratifica la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05545/INFOEM/IP/RR/2025</w:t>
            </w:r>
          </w:p>
        </w:tc>
        <w:tc>
          <w:tcPr>
            <w:tcW w:w="5103" w:type="dxa"/>
          </w:tcPr>
          <w:p w:rsidR="00D70DF7" w:rsidRPr="002D69DA" w:rsidRDefault="005C7227"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2. Ratificación RR-5545-2025.pdf: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05546/INFOEM/IP/RR/2025</w:t>
            </w:r>
          </w:p>
        </w:tc>
        <w:tc>
          <w:tcPr>
            <w:tcW w:w="5103" w:type="dxa"/>
          </w:tcPr>
          <w:p w:rsidR="00D70DF7" w:rsidRPr="002D69DA" w:rsidRDefault="005C7227"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05546-2025.pdf: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05547/INFOEM/IP/RR/2025</w:t>
            </w:r>
          </w:p>
        </w:tc>
        <w:tc>
          <w:tcPr>
            <w:tcW w:w="5103" w:type="dxa"/>
          </w:tcPr>
          <w:p w:rsidR="00D70DF7" w:rsidRPr="002D69DA" w:rsidRDefault="005C7227"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ANEXOS 05547-2025.pdf: </w:t>
            </w:r>
            <w:r w:rsidRPr="002D69DA">
              <w:rPr>
                <w:rFonts w:ascii="Palatino Linotype" w:hAnsi="Palatino Linotype" w:cs="Arial"/>
                <w:i/>
                <w:color w:val="000000" w:themeColor="text1"/>
              </w:rPr>
              <w:t>oficio de la Directora General de Administración, mediante el cual ratifica la respuesta inicial.</w:t>
            </w:r>
          </w:p>
          <w:p w:rsidR="005C7227" w:rsidRPr="002D69DA" w:rsidRDefault="005C7227"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05547.pdf: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05548/INFOEM/IP/RR/2025</w:t>
            </w:r>
          </w:p>
        </w:tc>
        <w:tc>
          <w:tcPr>
            <w:tcW w:w="5103" w:type="dxa"/>
          </w:tcPr>
          <w:p w:rsidR="00D70DF7" w:rsidRPr="002D69DA" w:rsidRDefault="005C7227"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05548.pdf: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p w:rsidR="005C7227" w:rsidRPr="002D69DA" w:rsidRDefault="005C7227"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ANEXOS 05548-2025.pdf: </w:t>
            </w:r>
            <w:r w:rsidRPr="002D69DA">
              <w:rPr>
                <w:rFonts w:ascii="Palatino Linotype" w:hAnsi="Palatino Linotype" w:cs="Arial"/>
                <w:i/>
                <w:color w:val="000000" w:themeColor="text1"/>
              </w:rPr>
              <w:t>oficio de la Directora General de Administración, mediante el cual ratifica la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05549/INFOEM/IP/RR/2025</w:t>
            </w:r>
          </w:p>
        </w:tc>
        <w:tc>
          <w:tcPr>
            <w:tcW w:w="5103" w:type="dxa"/>
          </w:tcPr>
          <w:p w:rsidR="00D70DF7" w:rsidRPr="002D69DA" w:rsidRDefault="000E55E1"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ANEXO RR 5549.pdf: </w:t>
            </w:r>
            <w:r w:rsidRPr="002D69DA">
              <w:rPr>
                <w:rFonts w:ascii="Palatino Linotype" w:hAnsi="Palatino Linotype" w:cs="Arial"/>
                <w:i/>
                <w:color w:val="000000" w:themeColor="text1"/>
              </w:rPr>
              <w:t>oficio de la Directora General de Administración, mediante el cual ratifica la respuesta inicial.</w:t>
            </w:r>
          </w:p>
          <w:p w:rsidR="000E55E1" w:rsidRPr="002D69DA" w:rsidRDefault="000E55E1"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5549.pdf: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05550/INFOEM/IP/RR/2025</w:t>
            </w:r>
          </w:p>
        </w:tc>
        <w:tc>
          <w:tcPr>
            <w:tcW w:w="5103" w:type="dxa"/>
          </w:tcPr>
          <w:p w:rsidR="00827FF8" w:rsidRPr="002D69DA" w:rsidRDefault="00827FF8"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ANEXO RR 5550.pdf: </w:t>
            </w:r>
            <w:r w:rsidRPr="002D69DA">
              <w:rPr>
                <w:rFonts w:ascii="Palatino Linotype" w:hAnsi="Palatino Linotype" w:cs="Arial"/>
                <w:i/>
                <w:color w:val="000000" w:themeColor="text1"/>
              </w:rPr>
              <w:t>oficio de la Directora General de Administración, mediante el cual ratifica la respuesta inicial.</w:t>
            </w:r>
          </w:p>
          <w:p w:rsidR="00D70DF7" w:rsidRPr="002D69DA" w:rsidRDefault="00827FF8"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5550.pdf: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E84339"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lastRenderedPageBreak/>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05551/INFOEM/IP/RR/2025</w:t>
            </w:r>
          </w:p>
        </w:tc>
        <w:tc>
          <w:tcPr>
            <w:tcW w:w="5103" w:type="dxa"/>
          </w:tcPr>
          <w:p w:rsidR="00D70DF7" w:rsidRPr="002D69DA" w:rsidRDefault="0045194D" w:rsidP="00E84339">
            <w:pPr>
              <w:jc w:val="both"/>
              <w:rPr>
                <w:rFonts w:ascii="Palatino Linotype" w:hAnsi="Palatino Linotype" w:cs="Arial"/>
                <w:i/>
                <w:color w:val="000000" w:themeColor="text1"/>
              </w:rPr>
            </w:pPr>
            <w:r w:rsidRPr="002D69DA">
              <w:rPr>
                <w:rFonts w:ascii="Palatino Linotype" w:hAnsi="Palatino Linotype" w:cs="Arial"/>
                <w:b/>
                <w:i/>
                <w:color w:val="000000" w:themeColor="text1"/>
              </w:rPr>
              <w:t xml:space="preserve">Ratificación 05551-2025.pdf: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r w:rsidR="00D70DF7" w:rsidRPr="002D69DA" w:rsidTr="0040280F">
        <w:trPr>
          <w:jc w:val="center"/>
        </w:trPr>
        <w:tc>
          <w:tcPr>
            <w:tcW w:w="3397" w:type="dxa"/>
          </w:tcPr>
          <w:p w:rsidR="00D70DF7" w:rsidRPr="002D69DA" w:rsidRDefault="00D70DF7" w:rsidP="00E84339">
            <w:pPr>
              <w:rPr>
                <w:rFonts w:ascii="Palatino Linotype" w:hAnsi="Palatino Linotype" w:cs="Arial"/>
                <w:b/>
                <w:i/>
                <w:color w:val="000000" w:themeColor="text1"/>
              </w:rPr>
            </w:pPr>
            <w:r w:rsidRPr="002D69DA">
              <w:rPr>
                <w:rFonts w:ascii="Palatino Linotype" w:hAnsi="Palatino Linotype" w:cs="Arial"/>
                <w:b/>
                <w:i/>
                <w:color w:val="000000" w:themeColor="text1"/>
              </w:rPr>
              <w:t>Recurso de Revisión</w:t>
            </w:r>
          </w:p>
          <w:p w:rsidR="00D70DF7" w:rsidRPr="002D69DA" w:rsidRDefault="00D70DF7" w:rsidP="00E84339">
            <w:pPr>
              <w:rPr>
                <w:rFonts w:ascii="Palatino Linotype" w:hAnsi="Palatino Linotype" w:cs="Arial"/>
                <w:i/>
                <w:color w:val="000000" w:themeColor="text1"/>
              </w:rPr>
            </w:pPr>
            <w:r w:rsidRPr="002D69DA">
              <w:rPr>
                <w:rFonts w:ascii="Palatino Linotype" w:hAnsi="Palatino Linotype" w:cs="Arial"/>
                <w:b/>
                <w:i/>
                <w:color w:val="000000" w:themeColor="text1"/>
                <w:lang w:val="es-MX"/>
              </w:rPr>
              <w:t>05552/INFOEM/IP/RR/2025</w:t>
            </w:r>
          </w:p>
        </w:tc>
        <w:tc>
          <w:tcPr>
            <w:tcW w:w="5103" w:type="dxa"/>
          </w:tcPr>
          <w:p w:rsidR="00D70DF7" w:rsidRPr="002D69DA" w:rsidRDefault="00B83B5D" w:rsidP="00E84339">
            <w:pPr>
              <w:rPr>
                <w:rFonts w:ascii="Palatino Linotype" w:hAnsi="Palatino Linotype" w:cs="Arial"/>
                <w:i/>
                <w:color w:val="000000" w:themeColor="text1"/>
              </w:rPr>
            </w:pPr>
            <w:r w:rsidRPr="002D69DA">
              <w:rPr>
                <w:rFonts w:ascii="Palatino Linotype" w:hAnsi="Palatino Linotype" w:cs="Arial"/>
                <w:b/>
                <w:i/>
                <w:color w:val="000000" w:themeColor="text1"/>
              </w:rPr>
              <w:t xml:space="preserve">2. Ratificación RR-5552-2025.pdf: </w:t>
            </w:r>
            <w:r w:rsidRPr="002D69DA">
              <w:rPr>
                <w:rFonts w:ascii="Palatino Linotype" w:hAnsi="Palatino Linotype" w:cs="Arial"/>
                <w:i/>
                <w:color w:val="000000" w:themeColor="text1"/>
              </w:rPr>
              <w:t>oficio del Titular de la Unidad de Transparencia, mediante el cual informa que la Dirección General de Administración ratifico su respuesta inicial.</w:t>
            </w:r>
          </w:p>
        </w:tc>
      </w:tr>
    </w:tbl>
    <w:p w:rsidR="004D6D95" w:rsidRPr="002D69DA" w:rsidRDefault="004D6D95" w:rsidP="00E84339">
      <w:pPr>
        <w:pStyle w:val="Prrafodelista"/>
        <w:spacing w:line="360" w:lineRule="auto"/>
        <w:ind w:left="0"/>
        <w:contextualSpacing w:val="0"/>
        <w:jc w:val="both"/>
        <w:rPr>
          <w:rFonts w:ascii="Palatino Linotype" w:hAnsi="Palatino Linotype"/>
          <w:b/>
          <w:color w:val="000000" w:themeColor="text1"/>
        </w:rPr>
      </w:pPr>
    </w:p>
    <w:p w:rsidR="00160591" w:rsidRPr="002D69DA" w:rsidRDefault="00160591"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eastAsia="Palatino Linotype" w:hAnsi="Palatino Linotype" w:cs="Palatino Linotype"/>
          <w:color w:val="000000" w:themeColor="text1"/>
        </w:rPr>
        <w:t xml:space="preserve">El </w:t>
      </w:r>
      <w:r w:rsidRPr="002D69DA">
        <w:rPr>
          <w:rFonts w:ascii="Palatino Linotype" w:eastAsia="Palatino Linotype" w:hAnsi="Palatino Linotype" w:cs="Palatino Linotype"/>
          <w:b/>
          <w:color w:val="000000" w:themeColor="text1"/>
        </w:rPr>
        <w:t>once de junio de dos mil veinticinco</w:t>
      </w:r>
      <w:r w:rsidRPr="002D69DA">
        <w:rPr>
          <w:rFonts w:ascii="Palatino Linotype" w:eastAsia="Palatino Linotype" w:hAnsi="Palatino Linotype" w:cs="Palatino Linotype"/>
          <w:color w:val="000000" w:themeColor="text1"/>
        </w:rPr>
        <w:t xml:space="preserve">, la Comisionada Ponente notificó el acuerdo de ampliación para emitir resolución, en términos del artículo 181 párrafo tercero de la Ley de Transparencia y Acceso a la Información Pública del Estado de México y Municipios, para los recursos de revisión </w:t>
      </w:r>
      <w:r w:rsidRPr="00A35104">
        <w:rPr>
          <w:rFonts w:ascii="Palatino Linotype" w:eastAsia="Calibri" w:hAnsi="Palatino Linotype" w:cs="Arial"/>
          <w:b/>
          <w:color w:val="000000" w:themeColor="text1"/>
          <w:sz w:val="22"/>
        </w:rPr>
        <w:t>04923/INFOEM/IP/RR/2025, 04924/INFOEM/IP/RR/2025, 04932/INFOEM/IP/RR/2025, 04969/INFOEM/IP/RR/2025, 04970/INFOEM/IP/RR/2025, 04971/INFOEM/IP/RR/2025, 05046/INFOEM/IP/RR/2025, 05047/INFOEM/IP/RR/2025, 05048/INFOEM/IP/RR/2025, 05049/INFOEM/IP/RR/2025, 05050/INFOEM/IP/RR/2025, 05051/INFOEM/IP/RR/2025</w:t>
      </w:r>
      <w:r w:rsidR="0040280F">
        <w:rPr>
          <w:rFonts w:ascii="Palatino Linotype" w:eastAsia="Calibri" w:hAnsi="Palatino Linotype" w:cs="Arial"/>
          <w:b/>
          <w:color w:val="000000" w:themeColor="text1"/>
        </w:rPr>
        <w:t xml:space="preserve">. </w:t>
      </w:r>
    </w:p>
    <w:p w:rsidR="00160591" w:rsidRPr="002D69DA" w:rsidRDefault="00160591" w:rsidP="00E84339">
      <w:pPr>
        <w:pBdr>
          <w:top w:val="nil"/>
          <w:left w:val="nil"/>
          <w:bottom w:val="nil"/>
          <w:right w:val="nil"/>
          <w:between w:val="nil"/>
        </w:pBdr>
        <w:spacing w:line="360" w:lineRule="auto"/>
        <w:jc w:val="both"/>
        <w:rPr>
          <w:rFonts w:ascii="Palatino Linotype" w:hAnsi="Palatino Linotype"/>
          <w:color w:val="000000" w:themeColor="text1"/>
        </w:rPr>
      </w:pPr>
    </w:p>
    <w:p w:rsidR="00160591" w:rsidRPr="002D69DA" w:rsidRDefault="00160591"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b/>
          <w:color w:val="000000" w:themeColor="text1"/>
        </w:rPr>
      </w:pPr>
      <w:r w:rsidRPr="002D69DA">
        <w:rPr>
          <w:rFonts w:ascii="Palatino Linotype" w:eastAsia="Palatino Linotype" w:hAnsi="Palatino Linotype" w:cs="Palatino Linotype"/>
          <w:color w:val="000000" w:themeColor="text1"/>
        </w:rPr>
        <w:t>Finalmente, la Comisionada Ponente mediante acuerdo de fecha</w:t>
      </w:r>
      <w:r w:rsidRPr="002D69DA">
        <w:rPr>
          <w:rFonts w:ascii="Palatino Linotype" w:eastAsia="Palatino Linotype" w:hAnsi="Palatino Linotype" w:cs="Palatino Linotype"/>
          <w:b/>
          <w:color w:val="000000" w:themeColor="text1"/>
        </w:rPr>
        <w:t xml:space="preserve"> dieciocho de junio de dos mil veinticinco</w:t>
      </w:r>
      <w:r w:rsidRPr="002D69DA">
        <w:rPr>
          <w:rFonts w:ascii="Palatino Linotype" w:eastAsia="Palatino Linotype" w:hAnsi="Palatino Linotype" w:cs="Palatino Linotype"/>
          <w:color w:val="000000" w:themeColor="text1"/>
        </w:rPr>
        <w:t>, decretó el cierre de instrucción de los expedientes, por lo que no habiendo más que hacer constar, y</w:t>
      </w:r>
    </w:p>
    <w:p w:rsidR="004D6D95" w:rsidRPr="002D69DA" w:rsidRDefault="004D6D95" w:rsidP="00E84339">
      <w:pPr>
        <w:pStyle w:val="Prrafodelista"/>
        <w:spacing w:line="360" w:lineRule="auto"/>
        <w:ind w:left="0"/>
        <w:contextualSpacing w:val="0"/>
        <w:jc w:val="both"/>
        <w:rPr>
          <w:rFonts w:ascii="Palatino Linotype" w:hAnsi="Palatino Linotype"/>
          <w:b/>
          <w:color w:val="000000" w:themeColor="text1"/>
        </w:rPr>
      </w:pPr>
    </w:p>
    <w:p w:rsidR="004D6D95" w:rsidRPr="002D69DA" w:rsidRDefault="004D6D95" w:rsidP="00E84339">
      <w:pPr>
        <w:pStyle w:val="Ttulo1"/>
        <w:tabs>
          <w:tab w:val="left" w:pos="567"/>
        </w:tabs>
        <w:spacing w:before="0" w:line="360" w:lineRule="auto"/>
        <w:jc w:val="center"/>
        <w:rPr>
          <w:szCs w:val="24"/>
        </w:rPr>
      </w:pPr>
      <w:bookmarkStart w:id="6" w:name="_Toc70526127"/>
      <w:r w:rsidRPr="002D69DA">
        <w:rPr>
          <w:szCs w:val="24"/>
        </w:rPr>
        <w:t>C</w:t>
      </w:r>
      <w:r w:rsidR="00E84339" w:rsidRPr="002D69DA">
        <w:rPr>
          <w:szCs w:val="24"/>
        </w:rPr>
        <w:t xml:space="preserve"> </w:t>
      </w:r>
      <w:r w:rsidRPr="002D69DA">
        <w:rPr>
          <w:szCs w:val="24"/>
        </w:rPr>
        <w:t>O</w:t>
      </w:r>
      <w:r w:rsidR="00E84339" w:rsidRPr="002D69DA">
        <w:rPr>
          <w:szCs w:val="24"/>
        </w:rPr>
        <w:t xml:space="preserve"> </w:t>
      </w:r>
      <w:r w:rsidRPr="002D69DA">
        <w:rPr>
          <w:szCs w:val="24"/>
        </w:rPr>
        <w:t>N</w:t>
      </w:r>
      <w:r w:rsidR="00E84339" w:rsidRPr="002D69DA">
        <w:rPr>
          <w:szCs w:val="24"/>
        </w:rPr>
        <w:t xml:space="preserve"> </w:t>
      </w:r>
      <w:r w:rsidRPr="002D69DA">
        <w:rPr>
          <w:szCs w:val="24"/>
        </w:rPr>
        <w:t>S</w:t>
      </w:r>
      <w:r w:rsidR="00E84339" w:rsidRPr="002D69DA">
        <w:rPr>
          <w:szCs w:val="24"/>
        </w:rPr>
        <w:t xml:space="preserve"> </w:t>
      </w:r>
      <w:r w:rsidRPr="002D69DA">
        <w:rPr>
          <w:szCs w:val="24"/>
        </w:rPr>
        <w:t>I</w:t>
      </w:r>
      <w:r w:rsidR="00E84339" w:rsidRPr="002D69DA">
        <w:rPr>
          <w:szCs w:val="24"/>
        </w:rPr>
        <w:t xml:space="preserve"> </w:t>
      </w:r>
      <w:r w:rsidRPr="002D69DA">
        <w:rPr>
          <w:szCs w:val="24"/>
        </w:rPr>
        <w:t>D</w:t>
      </w:r>
      <w:r w:rsidR="00E84339" w:rsidRPr="002D69DA">
        <w:rPr>
          <w:szCs w:val="24"/>
        </w:rPr>
        <w:t xml:space="preserve"> </w:t>
      </w:r>
      <w:r w:rsidRPr="002D69DA">
        <w:rPr>
          <w:szCs w:val="24"/>
        </w:rPr>
        <w:t>E</w:t>
      </w:r>
      <w:r w:rsidR="00E84339" w:rsidRPr="002D69DA">
        <w:rPr>
          <w:szCs w:val="24"/>
        </w:rPr>
        <w:t xml:space="preserve"> </w:t>
      </w:r>
      <w:r w:rsidRPr="002D69DA">
        <w:rPr>
          <w:szCs w:val="24"/>
        </w:rPr>
        <w:t>R</w:t>
      </w:r>
      <w:r w:rsidR="00E84339" w:rsidRPr="002D69DA">
        <w:rPr>
          <w:szCs w:val="24"/>
        </w:rPr>
        <w:t xml:space="preserve"> </w:t>
      </w:r>
      <w:r w:rsidRPr="002D69DA">
        <w:rPr>
          <w:szCs w:val="24"/>
        </w:rPr>
        <w:t>A</w:t>
      </w:r>
      <w:r w:rsidR="00E84339" w:rsidRPr="002D69DA">
        <w:rPr>
          <w:szCs w:val="24"/>
        </w:rPr>
        <w:t xml:space="preserve"> </w:t>
      </w:r>
      <w:r w:rsidRPr="002D69DA">
        <w:rPr>
          <w:szCs w:val="24"/>
        </w:rPr>
        <w:t>N</w:t>
      </w:r>
      <w:r w:rsidR="00E84339" w:rsidRPr="002D69DA">
        <w:rPr>
          <w:szCs w:val="24"/>
        </w:rPr>
        <w:t xml:space="preserve"> </w:t>
      </w:r>
      <w:r w:rsidRPr="002D69DA">
        <w:rPr>
          <w:szCs w:val="24"/>
        </w:rPr>
        <w:t>D</w:t>
      </w:r>
      <w:r w:rsidR="00E84339" w:rsidRPr="002D69DA">
        <w:rPr>
          <w:szCs w:val="24"/>
        </w:rPr>
        <w:t xml:space="preserve"> </w:t>
      </w:r>
      <w:r w:rsidRPr="002D69DA">
        <w:rPr>
          <w:szCs w:val="24"/>
        </w:rPr>
        <w:t>O</w:t>
      </w:r>
      <w:bookmarkEnd w:id="0"/>
      <w:bookmarkEnd w:id="6"/>
    </w:p>
    <w:p w:rsidR="004D6D95" w:rsidRPr="002D69DA" w:rsidRDefault="004D6D95" w:rsidP="00E84339">
      <w:pPr>
        <w:spacing w:line="360" w:lineRule="auto"/>
        <w:rPr>
          <w:rFonts w:ascii="Palatino Linotype" w:hAnsi="Palatino Linotype"/>
          <w:color w:val="000000" w:themeColor="text1"/>
          <w:lang w:val="es-MX" w:eastAsia="en-US"/>
        </w:rPr>
      </w:pPr>
    </w:p>
    <w:p w:rsidR="004D6D95" w:rsidRPr="002D69DA" w:rsidRDefault="004D6D95" w:rsidP="00E84339">
      <w:pPr>
        <w:pStyle w:val="Ttulo1"/>
        <w:tabs>
          <w:tab w:val="left" w:pos="567"/>
        </w:tabs>
        <w:spacing w:before="0" w:line="360" w:lineRule="auto"/>
        <w:rPr>
          <w:b w:val="0"/>
          <w:bCs/>
          <w:spacing w:val="60"/>
          <w:szCs w:val="24"/>
        </w:rPr>
      </w:pPr>
      <w:bookmarkStart w:id="7" w:name="_Toc48841665"/>
      <w:bookmarkStart w:id="8" w:name="_Toc70526128"/>
      <w:r w:rsidRPr="002D69DA">
        <w:rPr>
          <w:szCs w:val="24"/>
        </w:rPr>
        <w:t>PRIMERO. De la competencia</w:t>
      </w:r>
      <w:bookmarkEnd w:id="7"/>
      <w:bookmarkEnd w:id="8"/>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bookmarkStart w:id="9" w:name="_Toc66315411"/>
      <w:bookmarkStart w:id="10" w:name="_Toc70526129"/>
      <w:bookmarkEnd w:id="1"/>
      <w:bookmarkEnd w:id="2"/>
      <w:bookmarkEnd w:id="3"/>
      <w:r w:rsidRPr="002D69DA">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w:t>
      </w:r>
      <w:r w:rsidRPr="002D69DA">
        <w:rPr>
          <w:rFonts w:ascii="Palatino Linotype" w:eastAsia="Palatino Linotype" w:hAnsi="Palatino Linotype" w:cs="Palatino Linotype"/>
          <w:color w:val="000000" w:themeColor="text1"/>
        </w:rPr>
        <w:lastRenderedPageBreak/>
        <w:t>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4D6D95" w:rsidRPr="002D69DA" w:rsidRDefault="004D6D95" w:rsidP="00E84339">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4D6D95" w:rsidRPr="002D69DA" w:rsidRDefault="004D6D95" w:rsidP="00E84339">
      <w:pPr>
        <w:pStyle w:val="Ttulo2"/>
        <w:spacing w:before="0" w:line="360" w:lineRule="auto"/>
        <w:rPr>
          <w:b w:val="0"/>
          <w:szCs w:val="24"/>
        </w:rPr>
      </w:pPr>
      <w:r w:rsidRPr="002D69DA">
        <w:rPr>
          <w:szCs w:val="24"/>
        </w:rPr>
        <w:t>SEGUNDO. De la oportunidad y procedencia.</w:t>
      </w:r>
      <w:bookmarkEnd w:id="9"/>
      <w:bookmarkEnd w:id="10"/>
    </w:p>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eastAsia="Calibri" w:hAnsi="Palatino Linotype" w:cs="Arial"/>
          <w:color w:val="000000" w:themeColor="text1"/>
        </w:rPr>
        <w:t xml:space="preserve">El medio de impugnación fue presentado a través del </w:t>
      </w:r>
      <w:r w:rsidRPr="002D69DA">
        <w:rPr>
          <w:rFonts w:ascii="Palatino Linotype" w:eastAsia="Calibri" w:hAnsi="Palatino Linotype" w:cs="Arial"/>
          <w:b/>
          <w:color w:val="000000" w:themeColor="text1"/>
        </w:rPr>
        <w:t>SAIMEX,</w:t>
      </w:r>
      <w:r w:rsidRPr="002D69DA">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2D69DA">
        <w:rPr>
          <w:rFonts w:ascii="Palatino Linotype" w:eastAsia="Calibri" w:hAnsi="Palatino Linotype" w:cs="Arial"/>
          <w:b/>
          <w:color w:val="000000" w:themeColor="text1"/>
        </w:rPr>
        <w:t>SUJETO OBLIGADO</w:t>
      </w:r>
      <w:r w:rsidRPr="002D69DA">
        <w:rPr>
          <w:rFonts w:ascii="Palatino Linotype" w:eastAsia="Calibri" w:hAnsi="Palatino Linotype" w:cs="Arial"/>
          <w:color w:val="000000" w:themeColor="text1"/>
        </w:rPr>
        <w:t xml:space="preserve"> entregó su respuesta el </w:t>
      </w:r>
      <w:r w:rsidR="008C3827" w:rsidRPr="002D69DA">
        <w:rPr>
          <w:rFonts w:ascii="Palatino Linotype" w:eastAsia="Calibri" w:hAnsi="Palatino Linotype" w:cs="Arial"/>
          <w:b/>
          <w:color w:val="000000" w:themeColor="text1"/>
        </w:rPr>
        <w:t xml:space="preserve">diez y veintiuno de abril, así como el dos, doce y catorce de mayo </w:t>
      </w:r>
      <w:r w:rsidRPr="002D69DA">
        <w:rPr>
          <w:rFonts w:ascii="Palatino Linotype" w:eastAsia="Calibri" w:hAnsi="Palatino Linotype" w:cs="Arial"/>
          <w:b/>
          <w:color w:val="000000" w:themeColor="text1"/>
        </w:rPr>
        <w:t>de dos mil veinticinco</w:t>
      </w:r>
      <w:r w:rsidRPr="002D69DA">
        <w:rPr>
          <w:rFonts w:ascii="Palatino Linotype" w:eastAsia="Calibri" w:hAnsi="Palatino Linotype" w:cs="Arial"/>
          <w:color w:val="000000" w:themeColor="text1"/>
        </w:rPr>
        <w:t xml:space="preserve">, </w:t>
      </w:r>
      <w:r w:rsidRPr="002D69DA">
        <w:rPr>
          <w:rFonts w:ascii="Palatino Linotype" w:hAnsi="Palatino Linotype" w:cs="Arial"/>
          <w:color w:val="000000" w:themeColor="text1"/>
        </w:rPr>
        <w:t>de tal forma que el plazo para interponer el rec</w:t>
      </w:r>
      <w:r w:rsidR="00637F0E" w:rsidRPr="002D69DA">
        <w:rPr>
          <w:rFonts w:ascii="Palatino Linotype" w:hAnsi="Palatino Linotype" w:cs="Arial"/>
          <w:color w:val="000000" w:themeColor="text1"/>
        </w:rPr>
        <w:t>urso de revisión transcurrió</w:t>
      </w:r>
      <w:r w:rsidRPr="002D69DA">
        <w:rPr>
          <w:rFonts w:ascii="Palatino Linotype" w:hAnsi="Palatino Linotype" w:cs="Arial"/>
          <w:color w:val="000000" w:themeColor="text1"/>
        </w:rPr>
        <w:t xml:space="preserve"> </w:t>
      </w:r>
      <w:r w:rsidR="00637F0E" w:rsidRPr="002D69DA">
        <w:rPr>
          <w:rFonts w:ascii="Palatino Linotype" w:hAnsi="Palatino Linotype" w:cs="Arial"/>
          <w:b/>
          <w:color w:val="000000" w:themeColor="text1"/>
        </w:rPr>
        <w:t>del once de abril al doce de mayo, así como del veintidós de abril al catorce de mayo, del seis al veintiséis de mayo, del trece de mayo al dos de junio, del dieciséis de mayo al cuatro de junio de dos mil veinticinco</w:t>
      </w:r>
      <w:r w:rsidRPr="002D69DA">
        <w:rPr>
          <w:rFonts w:ascii="Palatino Linotype" w:hAnsi="Palatino Linotype" w:cs="Arial"/>
          <w:color w:val="000000" w:themeColor="text1"/>
        </w:rPr>
        <w:t xml:space="preserve">; en consecuencia, el ahora </w:t>
      </w:r>
      <w:r w:rsidRPr="002D69DA">
        <w:rPr>
          <w:rFonts w:ascii="Palatino Linotype" w:hAnsi="Palatino Linotype" w:cs="Arial"/>
          <w:b/>
          <w:color w:val="000000" w:themeColor="text1"/>
        </w:rPr>
        <w:t>RECURRENTE</w:t>
      </w:r>
      <w:r w:rsidRPr="002D69DA">
        <w:rPr>
          <w:rFonts w:ascii="Palatino Linotype" w:hAnsi="Palatino Linotype" w:cs="Arial"/>
          <w:color w:val="000000" w:themeColor="text1"/>
        </w:rPr>
        <w:t xml:space="preserve"> presentó sus inconformidades el </w:t>
      </w:r>
      <w:r w:rsidR="001C4C23" w:rsidRPr="002D69DA">
        <w:rPr>
          <w:rFonts w:ascii="Palatino Linotype" w:hAnsi="Palatino Linotype" w:cs="Arial"/>
          <w:b/>
          <w:color w:val="000000" w:themeColor="text1"/>
        </w:rPr>
        <w:t>veintinueve y treinta de abril, así como el cinco y quince de mayo</w:t>
      </w:r>
      <w:r w:rsidRPr="002D69DA">
        <w:rPr>
          <w:rFonts w:ascii="Palatino Linotype" w:hAnsi="Palatino Linotype" w:cs="Arial"/>
          <w:b/>
          <w:color w:val="000000" w:themeColor="text1"/>
        </w:rPr>
        <w:t xml:space="preserve"> de dos mil veinticinco</w:t>
      </w:r>
      <w:r w:rsidRPr="002D69DA">
        <w:rPr>
          <w:rFonts w:ascii="Palatino Linotype" w:hAnsi="Palatino Linotype" w:cs="Arial"/>
          <w:color w:val="000000" w:themeColor="text1"/>
        </w:rPr>
        <w:t>; por lo que se estima que la inconformidad se presentó dentro del lapso legalmente establecido para tal efecto.</w:t>
      </w:r>
    </w:p>
    <w:p w:rsidR="004D6D95" w:rsidRPr="002D69DA" w:rsidRDefault="004D6D95" w:rsidP="00E84339">
      <w:pPr>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Calibri" w:hAnsi="Palatino Linotype" w:cs="Arial"/>
          <w:color w:val="000000" w:themeColor="text1"/>
        </w:rPr>
        <w:t>Por</w:t>
      </w:r>
      <w:r w:rsidRPr="002D69DA">
        <w:rPr>
          <w:rFonts w:ascii="Palatino Linotype" w:eastAsia="Palatino Linotype" w:hAnsi="Palatino Linotype" w:cs="Palatino Linotype"/>
          <w:color w:val="000000" w:themeColor="text1"/>
        </w:rPr>
        <w:t xml:space="preserve"> otro lado, es de suma importancia señalar que la parte recurrente no proporciona un nombre o datos de identificación como se advierte en el detalle de seguimiento del SAIMEX, no obstante lo anterior, no proporcionar el nombre completo </w:t>
      </w:r>
      <w:r w:rsidRPr="002D69DA">
        <w:rPr>
          <w:rFonts w:ascii="Palatino Linotype" w:eastAsia="Palatino Linotype" w:hAnsi="Palatino Linotype" w:cs="Palatino Linotype"/>
          <w:color w:val="000000" w:themeColor="text1"/>
        </w:rPr>
        <w:lastRenderedPageBreak/>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r w:rsidRPr="002D69DA">
        <w:rPr>
          <w:rFonts w:ascii="Palatino Linotype" w:eastAsia="Palatino Linotype" w:hAnsi="Palatino Linotype" w:cs="Palatino Linotype"/>
          <w:b/>
          <w:i/>
          <w:color w:val="000000" w:themeColor="text1"/>
        </w:rPr>
        <w:t>Las solicitudes anónimas</w:t>
      </w:r>
      <w:r w:rsidRPr="002D69DA">
        <w:rPr>
          <w:rFonts w:ascii="Palatino Linotype" w:eastAsia="Palatino Linotype" w:hAnsi="Palatino Linotype" w:cs="Palatino Linotype"/>
          <w:i/>
          <w:color w:val="000000" w:themeColor="text1"/>
        </w:rPr>
        <w:t xml:space="preserve">, con nombre incompleto o seudónimo </w:t>
      </w:r>
      <w:r w:rsidRPr="002D69DA">
        <w:rPr>
          <w:rFonts w:ascii="Palatino Linotype" w:eastAsia="Palatino Linotype" w:hAnsi="Palatino Linotype" w:cs="Palatino Linotype"/>
          <w:b/>
          <w:i/>
          <w:color w:val="000000" w:themeColor="text1"/>
        </w:rPr>
        <w:t>serán procedentes para su trámite por parte del sujeto obligado ante quien se presente</w:t>
      </w:r>
      <w:r w:rsidRPr="002D69DA">
        <w:rPr>
          <w:rFonts w:ascii="Palatino Linotype" w:eastAsia="Palatino Linotype" w:hAnsi="Palatino Linotype" w:cs="Palatino Linotype"/>
          <w:i/>
          <w:color w:val="000000" w:themeColor="text1"/>
        </w:rPr>
        <w:t>. No podrá requerirse información adicional con motivo del nombre proporcionado por el solicitante."</w:t>
      </w:r>
    </w:p>
    <w:p w:rsidR="004D6D95" w:rsidRPr="002D69DA" w:rsidRDefault="004D6D95" w:rsidP="00E84339">
      <w:pPr>
        <w:spacing w:line="360" w:lineRule="auto"/>
        <w:jc w:val="right"/>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Calibri" w:hAnsi="Palatino Linotype" w:cs="Arial"/>
          <w:color w:val="000000" w:themeColor="text1"/>
        </w:rPr>
        <w:t>Robusteciendo</w:t>
      </w:r>
      <w:r w:rsidRPr="002D69DA">
        <w:rPr>
          <w:rFonts w:ascii="Palatino Linotype" w:eastAsia="Palatino Linotype" w:hAnsi="Palatino Linotype" w:cs="Palatino Linotype"/>
          <w:color w:val="000000" w:themeColor="text1"/>
        </w:rPr>
        <w:t xml:space="preserve"> lo anterior se encuentra lo dispuesto en el artículo 6, Apartado A, fracciones III de la Constitución Política de los Estados Unidos Mexicanos que establece:</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r w:rsidRPr="002D69DA">
        <w:rPr>
          <w:rFonts w:ascii="Palatino Linotype" w:eastAsia="Palatino Linotype" w:hAnsi="Palatino Linotype" w:cs="Palatino Linotype"/>
          <w:b/>
          <w:i/>
          <w:color w:val="000000" w:themeColor="text1"/>
        </w:rPr>
        <w:t>Artículo 6.-</w:t>
      </w:r>
      <w:r w:rsidRPr="002D69DA">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Para efectos de lo dispuesto en el presente artículo se observará lo siguiente:</w:t>
      </w:r>
    </w:p>
    <w:p w:rsidR="004D6D95" w:rsidRPr="002D69DA" w:rsidRDefault="004D6D95" w:rsidP="00E84339">
      <w:pPr>
        <w:ind w:firstLine="1134"/>
        <w:jc w:val="both"/>
        <w:rPr>
          <w:rFonts w:ascii="Palatino Linotype" w:eastAsia="Palatino Linotype" w:hAnsi="Palatino Linotype" w:cs="Palatino Linotype"/>
          <w:i/>
          <w:color w:val="000000" w:themeColor="text1"/>
        </w:rPr>
      </w:pP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4D6D95" w:rsidRPr="002D69DA" w:rsidRDefault="004D6D95" w:rsidP="00E84339">
      <w:pPr>
        <w:ind w:firstLine="1134"/>
        <w:jc w:val="both"/>
        <w:rPr>
          <w:rFonts w:ascii="Palatino Linotype" w:eastAsia="Palatino Linotype" w:hAnsi="Palatino Linotype" w:cs="Palatino Linotype"/>
          <w:i/>
          <w:color w:val="000000" w:themeColor="text1"/>
        </w:rPr>
      </w:pP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2D69DA">
        <w:rPr>
          <w:rFonts w:ascii="Palatino Linotype" w:eastAsia="Palatino Linotype" w:hAnsi="Palatino Linotype" w:cs="Palatino Linotype"/>
          <w:color w:val="000000" w:themeColor="text1"/>
        </w:rPr>
        <w:t>(Sic)</w:t>
      </w:r>
    </w:p>
    <w:p w:rsidR="004D6D95" w:rsidRPr="002D69DA" w:rsidRDefault="004D6D95" w:rsidP="00E84339">
      <w:pPr>
        <w:spacing w:line="360" w:lineRule="auto"/>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Calibri" w:hAnsi="Palatino Linotype" w:cs="Arial"/>
          <w:color w:val="000000" w:themeColor="text1"/>
        </w:rPr>
        <w:t>Así</w:t>
      </w:r>
      <w:r w:rsidRPr="002D69DA">
        <w:rPr>
          <w:rFonts w:ascii="Palatino Linotype" w:eastAsia="Palatino Linotype" w:hAnsi="Palatino Linotype" w:cs="Palatino Linotype"/>
          <w:color w:val="000000" w:themeColor="text1"/>
        </w:rPr>
        <w:t xml:space="preserve"> como el artículo 5 fracción III, párrafo vigésimo noveno, trigésimo y trigésimo primero, de la Constitución Política del Estado Libre y Soberano de México, que determina lo siguiente:</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r w:rsidRPr="002D69DA">
        <w:rPr>
          <w:rFonts w:ascii="Palatino Linotype" w:eastAsia="Palatino Linotype" w:hAnsi="Palatino Linotype" w:cs="Palatino Linotype"/>
          <w:b/>
          <w:i/>
          <w:color w:val="000000" w:themeColor="text1"/>
        </w:rPr>
        <w:t>Artículo 5.-</w:t>
      </w:r>
      <w:r w:rsidRPr="002D69DA">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w:t>
      </w:r>
      <w:r w:rsidRPr="002D69DA">
        <w:rPr>
          <w:rFonts w:ascii="Palatino Linotype" w:eastAsia="Palatino Linotype" w:hAnsi="Palatino Linotype" w:cs="Palatino Linotype"/>
          <w:i/>
          <w:color w:val="000000" w:themeColor="text1"/>
        </w:rPr>
        <w:lastRenderedPageBreak/>
        <w:t>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2D69DA">
        <w:rPr>
          <w:rFonts w:ascii="Palatino Linotype" w:eastAsia="Palatino Linotype" w:hAnsi="Palatino Linotype" w:cs="Palatino Linotype"/>
          <w:color w:val="000000" w:themeColor="text1"/>
        </w:rPr>
        <w:t>(Sic)</w:t>
      </w:r>
    </w:p>
    <w:p w:rsidR="004D6D95" w:rsidRPr="002D69DA" w:rsidRDefault="004D6D95" w:rsidP="00E84339">
      <w:pPr>
        <w:spacing w:line="360" w:lineRule="auto"/>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r w:rsidRPr="002D69DA">
        <w:rPr>
          <w:rFonts w:ascii="Palatino Linotype" w:eastAsia="Palatino Linotype" w:hAnsi="Palatino Linotype" w:cs="Palatino Linotype"/>
          <w:b/>
          <w:i/>
          <w:color w:val="000000" w:themeColor="text1"/>
        </w:rPr>
        <w:t>Artículo 1</w:t>
      </w:r>
      <w:r w:rsidRPr="002D69DA">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lastRenderedPageBreak/>
        <w:t>Las normas relativas a los derechos humanos se interpretarán de conformidad con esta Constitución y con los tratados internacionales de la materia favoreciendo en todo tiempo a las personas la protección más amplia.</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4D6D95" w:rsidRPr="002D69DA" w:rsidRDefault="004D6D95" w:rsidP="00E84339">
      <w:pPr>
        <w:spacing w:line="360" w:lineRule="auto"/>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2D69DA">
        <w:rPr>
          <w:rFonts w:ascii="Palatino Linotype" w:eastAsia="Palatino Linotype" w:hAnsi="Palatino Linotype" w:cs="Palatino Linotype"/>
          <w:i/>
          <w:color w:val="000000" w:themeColor="text1"/>
        </w:rPr>
        <w:t>derecho fundamental exime a quien lo ejerce</w:t>
      </w:r>
      <w:r w:rsidRPr="002D69DA">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En </w:t>
      </w:r>
      <w:r w:rsidRPr="002D69DA">
        <w:rPr>
          <w:rFonts w:ascii="Palatino Linotype" w:eastAsia="Calibri" w:hAnsi="Palatino Linotype" w:cs="Arial"/>
          <w:color w:val="000000" w:themeColor="text1"/>
        </w:rPr>
        <w:t>consecuencia</w:t>
      </w:r>
      <w:r w:rsidRPr="002D69DA">
        <w:rPr>
          <w:rFonts w:ascii="Palatino Linotype" w:eastAsia="Palatino Linotype" w:hAnsi="Palatino Linotype" w:cs="Palatino Linotype"/>
          <w:color w:val="000000" w:themeColor="text1"/>
        </w:rPr>
        <w:t xml:space="preserve">, dado lo expuesto y fundado con anterioridad, se estima que el requisito relativo al nombre del </w:t>
      </w:r>
      <w:r w:rsidRPr="002D69DA">
        <w:rPr>
          <w:rFonts w:ascii="Palatino Linotype" w:eastAsia="Palatino Linotype" w:hAnsi="Palatino Linotype" w:cs="Palatino Linotype"/>
          <w:b/>
          <w:color w:val="000000" w:themeColor="text1"/>
        </w:rPr>
        <w:t>RECURRENTE</w:t>
      </w:r>
      <w:r w:rsidRPr="002D69DA">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w:t>
      </w:r>
      <w:r w:rsidRPr="002D69DA">
        <w:rPr>
          <w:rFonts w:ascii="Palatino Linotype" w:eastAsia="Palatino Linotype" w:hAnsi="Palatino Linotype" w:cs="Palatino Linotype"/>
          <w:color w:val="000000" w:themeColor="text1"/>
        </w:rPr>
        <w:lastRenderedPageBreak/>
        <w:t>revisión, de las que se desprende que la parte recurrente, es la misma que realizó la solicitud de acceso a la información pública que ahora se impugna.</w:t>
      </w:r>
    </w:p>
    <w:p w:rsidR="004D6D95" w:rsidRPr="002D69DA" w:rsidRDefault="004D6D95" w:rsidP="00E84339">
      <w:pPr>
        <w:rPr>
          <w:rFonts w:ascii="Palatino Linotype" w:hAnsi="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Calibri" w:hAnsi="Palatino Linotype" w:cs="Arial"/>
          <w:color w:val="000000" w:themeColor="text1"/>
        </w:rPr>
        <w:t>Asimismo</w:t>
      </w:r>
      <w:r w:rsidRPr="002D69DA">
        <w:rPr>
          <w:rFonts w:ascii="Palatino Linotype" w:eastAsia="Palatino Linotype" w:hAnsi="Palatino Linotype" w:cs="Palatino Linotype"/>
          <w:color w:val="000000" w:themeColor="text1"/>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D6D95" w:rsidRPr="002D69DA" w:rsidRDefault="004D6D95" w:rsidP="00E84339">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4D6D95" w:rsidRPr="002D69DA" w:rsidRDefault="004D6D95" w:rsidP="00E84339">
      <w:pPr>
        <w:pStyle w:val="Ttulo2"/>
        <w:spacing w:before="0" w:line="360" w:lineRule="auto"/>
        <w:rPr>
          <w:b w:val="0"/>
          <w:szCs w:val="24"/>
        </w:rPr>
      </w:pPr>
      <w:bookmarkStart w:id="11" w:name="_Toc66998086"/>
      <w:bookmarkStart w:id="12" w:name="_Toc70526130"/>
      <w:bookmarkStart w:id="13" w:name="_Toc66315412"/>
      <w:r w:rsidRPr="002D69DA">
        <w:rPr>
          <w:szCs w:val="24"/>
        </w:rPr>
        <w:t xml:space="preserve">TERCERO. </w:t>
      </w:r>
      <w:bookmarkStart w:id="14" w:name="_Toc34246179"/>
      <w:bookmarkStart w:id="15" w:name="_Toc50033991"/>
      <w:bookmarkStart w:id="16" w:name="_Toc51259588"/>
      <w:bookmarkStart w:id="17" w:name="_Toc83128581"/>
      <w:bookmarkStart w:id="18" w:name="_Toc501021589"/>
      <w:bookmarkStart w:id="19" w:name="_Toc495427545"/>
      <w:bookmarkStart w:id="20" w:name="_Toc23414596"/>
      <w:bookmarkStart w:id="21" w:name="_Toc34819433"/>
      <w:bookmarkStart w:id="22" w:name="_Toc51259589"/>
      <w:bookmarkStart w:id="23" w:name="_Toc83128582"/>
      <w:bookmarkEnd w:id="11"/>
      <w:bookmarkEnd w:id="12"/>
      <w:bookmarkEnd w:id="13"/>
      <w:r w:rsidRPr="002D69DA">
        <w:rPr>
          <w:szCs w:val="24"/>
        </w:rPr>
        <w:t xml:space="preserve">Del planteamiento de la </w:t>
      </w:r>
      <w:r w:rsidRPr="002D69DA">
        <w:rPr>
          <w:i/>
          <w:szCs w:val="24"/>
        </w:rPr>
        <w:t>Litis</w:t>
      </w:r>
      <w:r w:rsidRPr="002D69DA">
        <w:rPr>
          <w:szCs w:val="24"/>
        </w:rPr>
        <w:t>.</w:t>
      </w:r>
      <w:bookmarkEnd w:id="14"/>
      <w:bookmarkEnd w:id="15"/>
      <w:bookmarkEnd w:id="16"/>
      <w:bookmarkEnd w:id="17"/>
      <w:bookmarkEnd w:id="18"/>
    </w:p>
    <w:p w:rsidR="004D6D95" w:rsidRDefault="004D6D95" w:rsidP="00E84339">
      <w:pPr>
        <w:pStyle w:val="Prrafodelista"/>
        <w:numPr>
          <w:ilvl w:val="0"/>
          <w:numId w:val="8"/>
        </w:numPr>
        <w:spacing w:line="360" w:lineRule="auto"/>
        <w:ind w:left="0" w:firstLine="0"/>
        <w:contextualSpacing w:val="0"/>
        <w:jc w:val="both"/>
        <w:rPr>
          <w:rFonts w:ascii="Palatino Linotype" w:hAnsi="Palatino Linotype" w:cs="Arial"/>
          <w:color w:val="000000" w:themeColor="text1"/>
        </w:rPr>
      </w:pPr>
      <w:r w:rsidRPr="002D69DA">
        <w:rPr>
          <w:rFonts w:ascii="Palatino Linotype" w:hAnsi="Palatino Linotype" w:cs="Arial"/>
          <w:color w:val="000000" w:themeColor="text1"/>
        </w:rPr>
        <w:t xml:space="preserve">Se </w:t>
      </w:r>
      <w:r w:rsidRPr="002D69DA">
        <w:rPr>
          <w:rFonts w:ascii="Palatino Linotype" w:eastAsia="Calibri" w:hAnsi="Palatino Linotype" w:cs="Arial"/>
          <w:color w:val="000000" w:themeColor="text1"/>
        </w:rPr>
        <w:t>solicitó</w:t>
      </w:r>
      <w:r w:rsidRPr="002D69DA">
        <w:rPr>
          <w:rFonts w:ascii="Palatino Linotype" w:hAnsi="Palatino Linotype" w:cs="Arial"/>
          <w:color w:val="000000" w:themeColor="text1"/>
        </w:rPr>
        <w:t xml:space="preserve"> tener acceso, a la información:</w:t>
      </w:r>
    </w:p>
    <w:p w:rsidR="0040280F" w:rsidRPr="002D69DA" w:rsidRDefault="0040280F" w:rsidP="0040280F">
      <w:pPr>
        <w:pStyle w:val="Prrafodelista"/>
        <w:spacing w:line="360" w:lineRule="auto"/>
        <w:ind w:left="0"/>
        <w:contextualSpacing w:val="0"/>
        <w:jc w:val="both"/>
        <w:rPr>
          <w:rFonts w:ascii="Palatino Linotype" w:hAnsi="Palatino Linotype" w:cs="Arial"/>
          <w:color w:val="000000" w:themeColor="text1"/>
        </w:rPr>
      </w:pPr>
    </w:p>
    <w:tbl>
      <w:tblPr>
        <w:tblStyle w:val="Tablaconcuadrcula"/>
        <w:tblW w:w="0" w:type="auto"/>
        <w:jc w:val="center"/>
        <w:tblLook w:val="04A0" w:firstRow="1" w:lastRow="0" w:firstColumn="1" w:lastColumn="0" w:noHBand="0" w:noVBand="1"/>
      </w:tblPr>
      <w:tblGrid>
        <w:gridCol w:w="8642"/>
      </w:tblGrid>
      <w:tr w:rsidR="00E84339" w:rsidRPr="002D69DA" w:rsidTr="00E84339">
        <w:trPr>
          <w:jc w:val="center"/>
        </w:trPr>
        <w:tc>
          <w:tcPr>
            <w:tcW w:w="8642" w:type="dxa"/>
          </w:tcPr>
          <w:p w:rsidR="0044683C" w:rsidRPr="002D69DA" w:rsidRDefault="00C914F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1.- </w:t>
            </w:r>
            <w:r w:rsidR="0044683C" w:rsidRPr="002D69DA">
              <w:rPr>
                <w:rFonts w:ascii="Palatino Linotype" w:eastAsia="Calibri" w:hAnsi="Palatino Linotype" w:cs="Arial"/>
                <w:i/>
                <w:color w:val="000000" w:themeColor="text1"/>
              </w:rPr>
              <w:t xml:space="preserve">Listado de la </w:t>
            </w:r>
            <w:r w:rsidRPr="002D69DA">
              <w:rPr>
                <w:rFonts w:ascii="Palatino Linotype" w:eastAsia="Calibri" w:hAnsi="Palatino Linotype" w:cs="Arial"/>
                <w:i/>
                <w:color w:val="000000" w:themeColor="text1"/>
              </w:rPr>
              <w:t>nómina en formato excel por e</w:t>
            </w:r>
            <w:r w:rsidR="0044683C" w:rsidRPr="002D69DA">
              <w:rPr>
                <w:rFonts w:ascii="Palatino Linotype" w:eastAsia="Calibri" w:hAnsi="Palatino Linotype" w:cs="Arial"/>
                <w:i/>
                <w:color w:val="000000" w:themeColor="text1"/>
              </w:rPr>
              <w:t xml:space="preserve">mpleado, con </w:t>
            </w:r>
            <w:r w:rsidRPr="002D69DA">
              <w:rPr>
                <w:rFonts w:ascii="Palatino Linotype" w:eastAsia="Calibri" w:hAnsi="Palatino Linotype" w:cs="Arial"/>
                <w:i/>
                <w:color w:val="000000" w:themeColor="text1"/>
              </w:rPr>
              <w:t>número de empleado, con n</w:t>
            </w:r>
            <w:r w:rsidR="0044683C" w:rsidRPr="002D69DA">
              <w:rPr>
                <w:rFonts w:ascii="Palatino Linotype" w:eastAsia="Calibri" w:hAnsi="Palatino Linotype" w:cs="Arial"/>
                <w:i/>
                <w:color w:val="000000" w:themeColor="text1"/>
              </w:rPr>
              <w:t>ombre comp</w:t>
            </w:r>
            <w:r w:rsidRPr="002D69DA">
              <w:rPr>
                <w:rFonts w:ascii="Palatino Linotype" w:eastAsia="Calibri" w:hAnsi="Palatino Linotype" w:cs="Arial"/>
                <w:i/>
                <w:color w:val="000000" w:themeColor="text1"/>
              </w:rPr>
              <w:t>leto RFC, Fecha alta, a</w:t>
            </w:r>
            <w:r w:rsidR="0044683C" w:rsidRPr="002D69DA">
              <w:rPr>
                <w:rFonts w:ascii="Palatino Linotype" w:eastAsia="Calibri" w:hAnsi="Palatino Linotype" w:cs="Arial"/>
                <w:i/>
                <w:color w:val="000000" w:themeColor="text1"/>
              </w:rPr>
              <w:t xml:space="preserve">ntigüedad, </w:t>
            </w:r>
            <w:r w:rsidRPr="002D69DA">
              <w:rPr>
                <w:rFonts w:ascii="Palatino Linotype" w:eastAsia="Calibri" w:hAnsi="Palatino Linotype" w:cs="Arial"/>
                <w:i/>
                <w:color w:val="000000" w:themeColor="text1"/>
              </w:rPr>
              <w:t>categoría, tipo de e</w:t>
            </w:r>
            <w:r w:rsidR="0044683C" w:rsidRPr="002D69DA">
              <w:rPr>
                <w:rFonts w:ascii="Palatino Linotype" w:eastAsia="Calibri" w:hAnsi="Palatino Linotype" w:cs="Arial"/>
                <w:i/>
                <w:color w:val="000000" w:themeColor="text1"/>
              </w:rPr>
              <w:t>mpleado confianza, sind</w:t>
            </w:r>
            <w:r w:rsidRPr="002D69DA">
              <w:rPr>
                <w:rFonts w:ascii="Palatino Linotype" w:eastAsia="Calibri" w:hAnsi="Palatino Linotype" w:cs="Arial"/>
                <w:i/>
                <w:color w:val="000000" w:themeColor="text1"/>
              </w:rPr>
              <w:t>icalizado, eventual, contrato, s</w:t>
            </w:r>
            <w:r w:rsidR="0044683C" w:rsidRPr="002D69DA">
              <w:rPr>
                <w:rFonts w:ascii="Palatino Linotype" w:eastAsia="Calibri" w:hAnsi="Palatino Linotype" w:cs="Arial"/>
                <w:i/>
                <w:color w:val="000000" w:themeColor="text1"/>
              </w:rPr>
              <w:t xml:space="preserve">ueldo bruto, </w:t>
            </w:r>
            <w:r w:rsidRPr="002D69DA">
              <w:rPr>
                <w:rFonts w:ascii="Palatino Linotype" w:eastAsia="Calibri" w:hAnsi="Palatino Linotype" w:cs="Arial"/>
                <w:i/>
                <w:color w:val="000000" w:themeColor="text1"/>
              </w:rPr>
              <w:t>compensación</w:t>
            </w:r>
            <w:r w:rsidR="0044683C" w:rsidRPr="002D69DA">
              <w:rPr>
                <w:rFonts w:ascii="Palatino Linotype" w:eastAsia="Calibri" w:hAnsi="Palatino Linotype" w:cs="Arial"/>
                <w:i/>
                <w:color w:val="000000" w:themeColor="text1"/>
              </w:rPr>
              <w:t xml:space="preserve"> bruta, </w:t>
            </w:r>
            <w:r w:rsidRPr="002D69DA">
              <w:rPr>
                <w:rFonts w:ascii="Palatino Linotype" w:eastAsia="Calibri" w:hAnsi="Palatino Linotype" w:cs="Arial"/>
                <w:i/>
                <w:color w:val="000000" w:themeColor="text1"/>
              </w:rPr>
              <w:t>gratificación bruta subsidio o impuesto, total p</w:t>
            </w:r>
            <w:r w:rsidR="0044683C" w:rsidRPr="002D69DA">
              <w:rPr>
                <w:rFonts w:ascii="Palatino Linotype" w:eastAsia="Calibri" w:hAnsi="Palatino Linotype" w:cs="Arial"/>
                <w:i/>
                <w:color w:val="000000" w:themeColor="text1"/>
              </w:rPr>
              <w:t>ercepciones brutas</w:t>
            </w:r>
            <w:r w:rsidRPr="002D69DA">
              <w:rPr>
                <w:rFonts w:ascii="Palatino Linotype" w:eastAsia="Calibri" w:hAnsi="Palatino Linotype" w:cs="Arial"/>
                <w:i/>
                <w:color w:val="000000" w:themeColor="text1"/>
              </w:rPr>
              <w:t xml:space="preserve"> Issemym desglosado, ISR total deducciones neto, n</w:t>
            </w:r>
            <w:r w:rsidR="0044683C" w:rsidRPr="002D69DA">
              <w:rPr>
                <w:rFonts w:ascii="Palatino Linotype" w:eastAsia="Calibri" w:hAnsi="Palatino Linotype" w:cs="Arial"/>
                <w:i/>
                <w:color w:val="000000" w:themeColor="text1"/>
              </w:rPr>
              <w:t>ombre del departamento</w:t>
            </w:r>
            <w:r w:rsidRPr="002D69DA">
              <w:rPr>
                <w:rFonts w:ascii="Palatino Linotype" w:eastAsia="Calibri" w:hAnsi="Palatino Linotype" w:cs="Arial"/>
                <w:i/>
                <w:color w:val="000000" w:themeColor="text1"/>
              </w:rPr>
              <w:t>,</w:t>
            </w:r>
            <w:r w:rsidR="0044683C" w:rsidRPr="002D69DA">
              <w:rPr>
                <w:rFonts w:ascii="Palatino Linotype" w:eastAsia="Calibri" w:hAnsi="Palatino Linotype" w:cs="Arial"/>
                <w:i/>
                <w:color w:val="000000" w:themeColor="text1"/>
              </w:rPr>
              <w:t xml:space="preserve"> nombre de la </w:t>
            </w:r>
            <w:r w:rsidRPr="002D69DA">
              <w:rPr>
                <w:rFonts w:ascii="Palatino Linotype" w:eastAsia="Calibri" w:hAnsi="Palatino Linotype" w:cs="Arial"/>
                <w:i/>
                <w:color w:val="000000" w:themeColor="text1"/>
              </w:rPr>
              <w:t>dirección,  c</w:t>
            </w:r>
            <w:r w:rsidR="0044683C" w:rsidRPr="002D69DA">
              <w:rPr>
                <w:rFonts w:ascii="Palatino Linotype" w:eastAsia="Calibri" w:hAnsi="Palatino Linotype" w:cs="Arial"/>
                <w:i/>
                <w:color w:val="000000" w:themeColor="text1"/>
              </w:rPr>
              <w:t>lave de Issemym del trabajador</w:t>
            </w:r>
            <w:r w:rsidRPr="002D69DA">
              <w:rPr>
                <w:rFonts w:ascii="Palatino Linotype" w:eastAsia="Calibri" w:hAnsi="Palatino Linotype" w:cs="Arial"/>
                <w:i/>
                <w:color w:val="000000" w:themeColor="text1"/>
              </w:rPr>
              <w:t xml:space="preserve">, </w:t>
            </w:r>
            <w:r w:rsidR="0044683C" w:rsidRPr="002D69DA">
              <w:rPr>
                <w:rFonts w:ascii="Palatino Linotype" w:eastAsia="Calibri" w:hAnsi="Palatino Linotype" w:cs="Arial"/>
                <w:i/>
                <w:color w:val="000000" w:themeColor="text1"/>
              </w:rPr>
              <w:t xml:space="preserve"> </w:t>
            </w:r>
            <w:r w:rsidRPr="002D69DA">
              <w:rPr>
                <w:rFonts w:ascii="Palatino Linotype" w:eastAsia="Calibri" w:hAnsi="Palatino Linotype" w:cs="Arial"/>
                <w:i/>
                <w:color w:val="000000" w:themeColor="text1"/>
              </w:rPr>
              <w:t>número</w:t>
            </w:r>
            <w:r w:rsidR="0044683C" w:rsidRPr="002D69DA">
              <w:rPr>
                <w:rFonts w:ascii="Palatino Linotype" w:eastAsia="Calibri" w:hAnsi="Palatino Linotype" w:cs="Arial"/>
                <w:i/>
                <w:color w:val="000000" w:themeColor="text1"/>
              </w:rPr>
              <w:t xml:space="preserve"> de Plaza</w:t>
            </w:r>
            <w:r w:rsidRPr="002D69DA">
              <w:rPr>
                <w:rFonts w:ascii="Palatino Linotype" w:eastAsia="Calibri" w:hAnsi="Palatino Linotype" w:cs="Arial"/>
                <w:i/>
                <w:color w:val="000000" w:themeColor="text1"/>
              </w:rPr>
              <w:t xml:space="preserve">, </w:t>
            </w:r>
            <w:r w:rsidR="0044683C" w:rsidRPr="002D69DA">
              <w:rPr>
                <w:rFonts w:ascii="Palatino Linotype" w:eastAsia="Calibri" w:hAnsi="Palatino Linotype" w:cs="Arial"/>
                <w:i/>
                <w:color w:val="000000" w:themeColor="text1"/>
              </w:rPr>
              <w:t xml:space="preserve"> Curp del trabajador quincena por quincena del mes de enero de</w:t>
            </w:r>
            <w:r w:rsidRPr="002D69DA">
              <w:rPr>
                <w:rFonts w:ascii="Palatino Linotype" w:eastAsia="Calibri" w:hAnsi="Palatino Linotype" w:cs="Arial"/>
                <w:i/>
                <w:color w:val="000000" w:themeColor="text1"/>
              </w:rPr>
              <w:t xml:space="preserve"> 2022, 2023 y </w:t>
            </w:r>
            <w:r w:rsidR="0044683C" w:rsidRPr="002D69DA">
              <w:rPr>
                <w:rFonts w:ascii="Palatino Linotype" w:eastAsia="Calibri" w:hAnsi="Palatino Linotype" w:cs="Arial"/>
                <w:i/>
                <w:color w:val="000000" w:themeColor="text1"/>
              </w:rPr>
              <w:t>2024</w:t>
            </w:r>
            <w:r w:rsidRPr="002D69DA">
              <w:rPr>
                <w:rFonts w:ascii="Palatino Linotype" w:eastAsia="Calibri" w:hAnsi="Palatino Linotype" w:cs="Arial"/>
                <w:i/>
                <w:color w:val="000000" w:themeColor="text1"/>
              </w:rPr>
              <w:t>, de la</w:t>
            </w:r>
            <w:r w:rsidR="0044683C" w:rsidRPr="002D69DA">
              <w:rPr>
                <w:rFonts w:ascii="Palatino Linotype" w:eastAsia="Calibri" w:hAnsi="Palatino Linotype" w:cs="Arial"/>
                <w:i/>
                <w:color w:val="000000" w:themeColor="text1"/>
              </w:rPr>
              <w:t xml:space="preserve"> primera y </w:t>
            </w:r>
            <w:r w:rsidRPr="002D69DA">
              <w:rPr>
                <w:rFonts w:ascii="Palatino Linotype" w:eastAsia="Calibri" w:hAnsi="Palatino Linotype" w:cs="Arial"/>
                <w:i/>
                <w:color w:val="000000" w:themeColor="text1"/>
              </w:rPr>
              <w:t>segunda</w:t>
            </w:r>
            <w:r w:rsidR="0044683C" w:rsidRPr="002D69DA">
              <w:rPr>
                <w:rFonts w:ascii="Palatino Linotype" w:eastAsia="Calibri" w:hAnsi="Palatino Linotype" w:cs="Arial"/>
                <w:i/>
                <w:color w:val="000000" w:themeColor="text1"/>
              </w:rPr>
              <w:t xml:space="preserve"> quincena, con </w:t>
            </w:r>
            <w:r w:rsidRPr="002D69DA">
              <w:rPr>
                <w:rFonts w:ascii="Palatino Linotype" w:eastAsia="Calibri" w:hAnsi="Palatino Linotype" w:cs="Arial"/>
                <w:i/>
                <w:color w:val="000000" w:themeColor="text1"/>
              </w:rPr>
              <w:t>nómina</w:t>
            </w:r>
            <w:r w:rsidR="0044683C" w:rsidRPr="002D69DA">
              <w:rPr>
                <w:rFonts w:ascii="Palatino Linotype" w:eastAsia="Calibri" w:hAnsi="Palatino Linotype" w:cs="Arial"/>
                <w:i/>
                <w:color w:val="000000" w:themeColor="text1"/>
              </w:rPr>
              <w:t xml:space="preserve"> de aguinaldo y prima vacacional</w:t>
            </w:r>
            <w:r w:rsidRPr="002D69DA">
              <w:rPr>
                <w:rFonts w:ascii="Palatino Linotype" w:eastAsia="Calibri" w:hAnsi="Palatino Linotype" w:cs="Arial"/>
                <w:i/>
                <w:color w:val="000000" w:themeColor="text1"/>
              </w:rPr>
              <w:t>.</w:t>
            </w:r>
          </w:p>
        </w:tc>
      </w:tr>
      <w:tr w:rsidR="00E84339" w:rsidRPr="002D69DA" w:rsidTr="00E84339">
        <w:trPr>
          <w:jc w:val="center"/>
        </w:trPr>
        <w:tc>
          <w:tcPr>
            <w:tcW w:w="8642" w:type="dxa"/>
          </w:tcPr>
          <w:p w:rsidR="00C914FC" w:rsidRPr="002D69DA" w:rsidRDefault="00C914F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2.-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percepciones brutas Issemym desglosado, ISR total deducciones neto, nombre del departamento, nombre de la dirección,  clave de Issemym del trabajador,  número de Plaza,  Curp del trabajador quincena por quincena del mes de diciembre de 2022, 2023 y 2024, de la primera y segunda quincena, con nómina de aguinaldo y prima vacacional.</w:t>
            </w:r>
          </w:p>
        </w:tc>
      </w:tr>
      <w:tr w:rsidR="00E84339" w:rsidRPr="002D69DA" w:rsidTr="00E84339">
        <w:trPr>
          <w:jc w:val="center"/>
        </w:trPr>
        <w:tc>
          <w:tcPr>
            <w:tcW w:w="8642" w:type="dxa"/>
          </w:tcPr>
          <w:p w:rsidR="00C914FC" w:rsidRPr="002D69DA" w:rsidRDefault="00C914FC"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3.-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percepciones brutas Issemym desglosado, ISR total </w:t>
            </w:r>
            <w:r w:rsidRPr="002D69DA">
              <w:rPr>
                <w:rFonts w:ascii="Palatino Linotype" w:eastAsia="Calibri" w:hAnsi="Palatino Linotype" w:cs="Arial"/>
                <w:i/>
                <w:color w:val="000000" w:themeColor="text1"/>
              </w:rPr>
              <w:lastRenderedPageBreak/>
              <w:t>deducciones neto, nombre del departamento, nombre de la dirección,  clave de Issemym del trabajador,  número de Plaza,  Curp del trabajador quincena por quincena del mes de febrero de 2022, 2023 y 2025, de la primera y segunda quincena, con nómina de aguinaldo y prima vacacional.</w:t>
            </w:r>
          </w:p>
        </w:tc>
      </w:tr>
      <w:tr w:rsidR="00E84339" w:rsidRPr="002D69DA" w:rsidTr="00E84339">
        <w:trPr>
          <w:jc w:val="center"/>
        </w:trPr>
        <w:tc>
          <w:tcPr>
            <w:tcW w:w="8642" w:type="dxa"/>
          </w:tcPr>
          <w:p w:rsidR="005B5A01" w:rsidRPr="002D69DA" w:rsidRDefault="005B5A01"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lastRenderedPageBreak/>
              <w:t>4.-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percepciones brutas Issemym desglosado, ISR total deducciones neto, nombre del departamento, nombre de la dirección,  clave de Issemym del trabajador,  número de Plaza,  Curp del trabajador quincena por quincena del mes de marzo de 2022, 2024 y 2025, de la primera y segunda quincena, con nómina de aguinaldo y prima vacacional.</w:t>
            </w:r>
          </w:p>
        </w:tc>
      </w:tr>
      <w:tr w:rsidR="00E84339" w:rsidRPr="002D69DA" w:rsidTr="00E84339">
        <w:trPr>
          <w:jc w:val="center"/>
        </w:trPr>
        <w:tc>
          <w:tcPr>
            <w:tcW w:w="8642" w:type="dxa"/>
          </w:tcPr>
          <w:p w:rsidR="005B5A01" w:rsidRPr="002D69DA" w:rsidRDefault="00ED0ED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5.-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enero</w:t>
            </w:r>
            <w:r w:rsidRPr="002D69DA">
              <w:rPr>
                <w:rFonts w:ascii="Palatino Linotype" w:eastAsia="Calibri" w:hAnsi="Palatino Linotype" w:cs="Arial"/>
                <w:i/>
                <w:color w:val="000000" w:themeColor="text1"/>
              </w:rPr>
              <w:t xml:space="preserve"> de 2025, de la primera y segunda quincena, con nómina de aguinaldo y prima vacacional, </w:t>
            </w:r>
            <w:r w:rsidRPr="002D69DA">
              <w:rPr>
                <w:rFonts w:ascii="Palatino Linotype" w:eastAsia="Calibri" w:hAnsi="Palatino Linotype" w:cs="Arial"/>
                <w:b/>
                <w:i/>
                <w:color w:val="000000" w:themeColor="text1"/>
              </w:rPr>
              <w:t xml:space="preserve">que causaron alta. </w:t>
            </w:r>
          </w:p>
        </w:tc>
      </w:tr>
      <w:tr w:rsidR="00E84339" w:rsidRPr="002D69DA" w:rsidTr="00E84339">
        <w:trPr>
          <w:jc w:val="center"/>
        </w:trPr>
        <w:tc>
          <w:tcPr>
            <w:tcW w:w="8642" w:type="dxa"/>
          </w:tcPr>
          <w:p w:rsidR="00ED0ED9" w:rsidRPr="002D69DA" w:rsidRDefault="00ED0ED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6.-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enero</w:t>
            </w:r>
            <w:r w:rsidRPr="002D69DA">
              <w:rPr>
                <w:rFonts w:ascii="Palatino Linotype" w:eastAsia="Calibri" w:hAnsi="Palatino Linotype" w:cs="Arial"/>
                <w:i/>
                <w:color w:val="000000" w:themeColor="text1"/>
              </w:rPr>
              <w:t xml:space="preserve"> de 2025, de la primera y segunda quincena, con nómina de aguinaldo y prima vacacional, </w:t>
            </w:r>
            <w:r w:rsidRPr="002D69DA">
              <w:rPr>
                <w:rFonts w:ascii="Palatino Linotype" w:eastAsia="Calibri" w:hAnsi="Palatino Linotype" w:cs="Arial"/>
                <w:b/>
                <w:i/>
                <w:color w:val="000000" w:themeColor="text1"/>
              </w:rPr>
              <w:t xml:space="preserve">que causaron baja. </w:t>
            </w:r>
          </w:p>
        </w:tc>
      </w:tr>
      <w:tr w:rsidR="00E84339" w:rsidRPr="002D69DA" w:rsidTr="00E84339">
        <w:trPr>
          <w:jc w:val="center"/>
        </w:trPr>
        <w:tc>
          <w:tcPr>
            <w:tcW w:w="8642" w:type="dxa"/>
          </w:tcPr>
          <w:p w:rsidR="00ED0ED9" w:rsidRPr="002D69DA" w:rsidRDefault="00ED0ED9"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7.-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febrero</w:t>
            </w:r>
            <w:r w:rsidRPr="002D69DA">
              <w:rPr>
                <w:rFonts w:ascii="Palatino Linotype" w:eastAsia="Calibri" w:hAnsi="Palatino Linotype" w:cs="Arial"/>
                <w:i/>
                <w:color w:val="000000" w:themeColor="text1"/>
              </w:rPr>
              <w:t xml:space="preserve"> de 2025, de la primera y segunda quincena, con nómina de aguinaldo y prima vacacional, </w:t>
            </w:r>
            <w:r w:rsidRPr="002D69DA">
              <w:rPr>
                <w:rFonts w:ascii="Palatino Linotype" w:eastAsia="Calibri" w:hAnsi="Palatino Linotype" w:cs="Arial"/>
                <w:b/>
                <w:i/>
                <w:color w:val="000000" w:themeColor="text1"/>
              </w:rPr>
              <w:t xml:space="preserve">que causaron </w:t>
            </w:r>
            <w:r w:rsidR="005857A1" w:rsidRPr="002D69DA">
              <w:rPr>
                <w:rFonts w:ascii="Palatino Linotype" w:eastAsia="Calibri" w:hAnsi="Palatino Linotype" w:cs="Arial"/>
                <w:b/>
                <w:i/>
                <w:color w:val="000000" w:themeColor="text1"/>
              </w:rPr>
              <w:t>alta</w:t>
            </w:r>
            <w:r w:rsidRPr="002D69DA">
              <w:rPr>
                <w:rFonts w:ascii="Palatino Linotype" w:eastAsia="Calibri" w:hAnsi="Palatino Linotype" w:cs="Arial"/>
                <w:b/>
                <w:i/>
                <w:color w:val="000000" w:themeColor="text1"/>
              </w:rPr>
              <w:t>.</w:t>
            </w:r>
          </w:p>
        </w:tc>
      </w:tr>
      <w:tr w:rsidR="00E84339" w:rsidRPr="002D69DA" w:rsidTr="00E84339">
        <w:trPr>
          <w:jc w:val="center"/>
        </w:trPr>
        <w:tc>
          <w:tcPr>
            <w:tcW w:w="8642" w:type="dxa"/>
          </w:tcPr>
          <w:p w:rsidR="005857A1" w:rsidRPr="002D69DA" w:rsidRDefault="005857A1"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lastRenderedPageBreak/>
              <w:t xml:space="preserve">8.-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febrero</w:t>
            </w:r>
            <w:r w:rsidRPr="002D69DA">
              <w:rPr>
                <w:rFonts w:ascii="Palatino Linotype" w:eastAsia="Calibri" w:hAnsi="Palatino Linotype" w:cs="Arial"/>
                <w:i/>
                <w:color w:val="000000" w:themeColor="text1"/>
              </w:rPr>
              <w:t xml:space="preserve"> de 2025, de la primera y segunda quincena, con nómina de aguinaldo y prima vacacional, </w:t>
            </w:r>
            <w:r w:rsidRPr="002D69DA">
              <w:rPr>
                <w:rFonts w:ascii="Palatino Linotype" w:eastAsia="Calibri" w:hAnsi="Palatino Linotype" w:cs="Arial"/>
                <w:b/>
                <w:i/>
                <w:color w:val="000000" w:themeColor="text1"/>
              </w:rPr>
              <w:t>que causaron baja.</w:t>
            </w:r>
          </w:p>
        </w:tc>
      </w:tr>
      <w:tr w:rsidR="00E84339" w:rsidRPr="002D69DA" w:rsidTr="00E84339">
        <w:trPr>
          <w:jc w:val="center"/>
        </w:trPr>
        <w:tc>
          <w:tcPr>
            <w:tcW w:w="8642" w:type="dxa"/>
          </w:tcPr>
          <w:p w:rsidR="007E7D41" w:rsidRPr="002D69DA" w:rsidRDefault="007E7D41"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9.-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 xml:space="preserve">marzo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que causaron alta.</w:t>
            </w:r>
          </w:p>
        </w:tc>
      </w:tr>
      <w:tr w:rsidR="00E84339" w:rsidRPr="002D69DA" w:rsidTr="00E84339">
        <w:trPr>
          <w:jc w:val="center"/>
        </w:trPr>
        <w:tc>
          <w:tcPr>
            <w:tcW w:w="8642" w:type="dxa"/>
          </w:tcPr>
          <w:p w:rsidR="007E7D41" w:rsidRPr="002D69DA" w:rsidRDefault="007E7D41"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10.-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marzo</w:t>
            </w:r>
            <w:r w:rsidR="00DC4F8A" w:rsidRPr="002D69DA">
              <w:rPr>
                <w:rFonts w:ascii="Palatino Linotype" w:eastAsia="Calibri" w:hAnsi="Palatino Linotype" w:cs="Arial"/>
                <w:b/>
                <w:i/>
                <w:color w:val="000000" w:themeColor="text1"/>
              </w:rPr>
              <w:t xml:space="preserve">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que causaron baja.</w:t>
            </w:r>
          </w:p>
        </w:tc>
      </w:tr>
      <w:tr w:rsidR="00E84339" w:rsidRPr="002D69DA" w:rsidTr="00E84339">
        <w:trPr>
          <w:jc w:val="center"/>
        </w:trPr>
        <w:tc>
          <w:tcPr>
            <w:tcW w:w="8642" w:type="dxa"/>
          </w:tcPr>
          <w:p w:rsidR="00DC4F8A" w:rsidRPr="002D69DA" w:rsidRDefault="00DC4F8A"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11.-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 xml:space="preserve">enero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que causaron modificación salarial, incremento o decremento.</w:t>
            </w:r>
          </w:p>
        </w:tc>
      </w:tr>
      <w:tr w:rsidR="00E84339" w:rsidRPr="002D69DA" w:rsidTr="00E84339">
        <w:trPr>
          <w:jc w:val="center"/>
        </w:trPr>
        <w:tc>
          <w:tcPr>
            <w:tcW w:w="8642" w:type="dxa"/>
          </w:tcPr>
          <w:p w:rsidR="00DC4F8A" w:rsidRPr="002D69DA" w:rsidRDefault="00DC4F8A"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12.-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w:t>
            </w:r>
            <w:r w:rsidRPr="002D69DA">
              <w:rPr>
                <w:rFonts w:ascii="Palatino Linotype" w:eastAsia="Calibri" w:hAnsi="Palatino Linotype" w:cs="Arial"/>
                <w:i/>
                <w:color w:val="000000" w:themeColor="text1"/>
              </w:rPr>
              <w:lastRenderedPageBreak/>
              <w:t xml:space="preserve">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febrero</w:t>
            </w:r>
            <w:r w:rsidR="008316D5" w:rsidRPr="002D69DA">
              <w:rPr>
                <w:rFonts w:ascii="Palatino Linotype" w:eastAsia="Calibri" w:hAnsi="Palatino Linotype" w:cs="Arial"/>
                <w:b/>
                <w:i/>
                <w:color w:val="000000" w:themeColor="text1"/>
              </w:rPr>
              <w:t xml:space="preserve">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que causaron modificación salarial, incremento o decremento.</w:t>
            </w:r>
          </w:p>
        </w:tc>
      </w:tr>
      <w:tr w:rsidR="00E84339" w:rsidRPr="002D69DA" w:rsidTr="00E84339">
        <w:trPr>
          <w:jc w:val="center"/>
        </w:trPr>
        <w:tc>
          <w:tcPr>
            <w:tcW w:w="8642" w:type="dxa"/>
          </w:tcPr>
          <w:p w:rsidR="008316D5" w:rsidRPr="002D69DA" w:rsidRDefault="008316D5"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lastRenderedPageBreak/>
              <w:t xml:space="preserve">13.-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 xml:space="preserve">marzo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que causaron modificación salarial, incremento o decremento.</w:t>
            </w:r>
          </w:p>
        </w:tc>
      </w:tr>
      <w:tr w:rsidR="00E84339" w:rsidRPr="002D69DA" w:rsidTr="00E84339">
        <w:trPr>
          <w:jc w:val="center"/>
        </w:trPr>
        <w:tc>
          <w:tcPr>
            <w:tcW w:w="8642" w:type="dxa"/>
          </w:tcPr>
          <w:p w:rsidR="0099452B" w:rsidRPr="002D69DA" w:rsidRDefault="0099452B"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14.-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 xml:space="preserve">abril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que causaron modificación salarial, incremento o decremento.</w:t>
            </w:r>
          </w:p>
        </w:tc>
      </w:tr>
      <w:tr w:rsidR="00E84339" w:rsidRPr="002D69DA" w:rsidTr="00E84339">
        <w:trPr>
          <w:jc w:val="center"/>
        </w:trPr>
        <w:tc>
          <w:tcPr>
            <w:tcW w:w="8642" w:type="dxa"/>
          </w:tcPr>
          <w:p w:rsidR="00B34387" w:rsidRPr="002D69DA" w:rsidRDefault="00B34387"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15.-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 xml:space="preserve">abril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 xml:space="preserve">que causaron alta. </w:t>
            </w:r>
          </w:p>
        </w:tc>
      </w:tr>
      <w:tr w:rsidR="00E84339" w:rsidRPr="002D69DA" w:rsidTr="00E84339">
        <w:trPr>
          <w:jc w:val="center"/>
        </w:trPr>
        <w:tc>
          <w:tcPr>
            <w:tcW w:w="8642" w:type="dxa"/>
          </w:tcPr>
          <w:p w:rsidR="00B34387" w:rsidRPr="002D69DA" w:rsidRDefault="00B34387" w:rsidP="00E84339">
            <w:pPr>
              <w:pStyle w:val="Prrafodelista"/>
              <w:ind w:left="0"/>
              <w:jc w:val="both"/>
              <w:rPr>
                <w:rFonts w:ascii="Palatino Linotype" w:eastAsia="Calibri" w:hAnsi="Palatino Linotype" w:cs="Arial"/>
                <w:i/>
                <w:color w:val="000000" w:themeColor="text1"/>
              </w:rPr>
            </w:pPr>
            <w:r w:rsidRPr="002D69DA">
              <w:rPr>
                <w:rFonts w:ascii="Palatino Linotype" w:eastAsia="Calibri" w:hAnsi="Palatino Linotype" w:cs="Arial"/>
                <w:i/>
                <w:color w:val="000000" w:themeColor="text1"/>
              </w:rPr>
              <w:t xml:space="preserve">16.- Listado de la nómina en formato excel por empleado, con número de empleado, con nombre completo RFC, Fecha alta, antigüedad, categoría, tipo de empleado confianza, sindicalizado, eventual, contrato, sueldo bruto, compensación bruta, gratificación bruta subsidio o impuesto, total percepcione6.- s brutas Issemym desglosado, ISR total deducciones neto, nombre del departamento, nombre de la dirección,  clave de Issemym del trabajador,  número de Plaza,  Curp del trabajador quincena por quincena del mes de </w:t>
            </w:r>
            <w:r w:rsidRPr="002D69DA">
              <w:rPr>
                <w:rFonts w:ascii="Palatino Linotype" w:eastAsia="Calibri" w:hAnsi="Palatino Linotype" w:cs="Arial"/>
                <w:b/>
                <w:i/>
                <w:color w:val="000000" w:themeColor="text1"/>
              </w:rPr>
              <w:t xml:space="preserve">abril </w:t>
            </w:r>
            <w:r w:rsidRPr="002D69DA">
              <w:rPr>
                <w:rFonts w:ascii="Palatino Linotype" w:eastAsia="Calibri" w:hAnsi="Palatino Linotype" w:cs="Arial"/>
                <w:i/>
                <w:color w:val="000000" w:themeColor="text1"/>
              </w:rPr>
              <w:t xml:space="preserve">de 2025, de la primera y segunda quincena, con nómina de aguinaldo y prima vacacional, </w:t>
            </w:r>
            <w:r w:rsidRPr="002D69DA">
              <w:rPr>
                <w:rFonts w:ascii="Palatino Linotype" w:eastAsia="Calibri" w:hAnsi="Palatino Linotype" w:cs="Arial"/>
                <w:b/>
                <w:i/>
                <w:color w:val="000000" w:themeColor="text1"/>
              </w:rPr>
              <w:t>que causaron baja.</w:t>
            </w:r>
          </w:p>
        </w:tc>
      </w:tr>
    </w:tbl>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cs="Arial"/>
          <w:i/>
          <w:color w:val="000000" w:themeColor="text1"/>
        </w:rPr>
      </w:pPr>
      <w:r w:rsidRPr="002D69DA">
        <w:rPr>
          <w:rFonts w:ascii="Palatino Linotype" w:hAnsi="Palatino Linotype" w:cs="Arial"/>
          <w:color w:val="000000" w:themeColor="text1"/>
        </w:rPr>
        <w:lastRenderedPageBreak/>
        <w:t xml:space="preserve">En respuesta, el </w:t>
      </w:r>
      <w:r w:rsidRPr="002D69DA">
        <w:rPr>
          <w:rFonts w:ascii="Palatino Linotype" w:hAnsi="Palatino Linotype" w:cs="Arial"/>
          <w:b/>
          <w:color w:val="000000" w:themeColor="text1"/>
        </w:rPr>
        <w:t xml:space="preserve">SUJETO OBLIGADO </w:t>
      </w:r>
      <w:r w:rsidR="00FD4291" w:rsidRPr="002D69DA">
        <w:rPr>
          <w:rFonts w:ascii="Palatino Linotype" w:hAnsi="Palatino Linotype" w:cs="Arial"/>
          <w:color w:val="000000" w:themeColor="text1"/>
        </w:rPr>
        <w:t xml:space="preserve">entrego la información que fue descrita en el párrafo tres de la presente resolución. </w:t>
      </w:r>
    </w:p>
    <w:p w:rsidR="004D6D95" w:rsidRPr="002D69DA" w:rsidRDefault="004D6D95" w:rsidP="00E84339">
      <w:pPr>
        <w:pStyle w:val="Prrafodelista"/>
        <w:spacing w:line="360" w:lineRule="auto"/>
        <w:ind w:left="0"/>
        <w:contextualSpacing w:val="0"/>
        <w:jc w:val="both"/>
        <w:rPr>
          <w:rFonts w:ascii="Palatino Linotype" w:hAnsi="Palatino Linotype" w:cs="Arial"/>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MS Mincho" w:hAnsi="Palatino Linotype" w:cs="Arial"/>
          <w:color w:val="000000" w:themeColor="text1"/>
        </w:rPr>
      </w:pPr>
      <w:r w:rsidRPr="002D69DA">
        <w:rPr>
          <w:rFonts w:ascii="Palatino Linotype" w:eastAsia="MS Mincho" w:hAnsi="Palatino Linotype" w:cs="Arial"/>
          <w:color w:val="000000" w:themeColor="text1"/>
        </w:rPr>
        <w:t xml:space="preserve">En </w:t>
      </w:r>
      <w:r w:rsidRPr="002D69DA">
        <w:rPr>
          <w:rFonts w:ascii="Palatino Linotype" w:hAnsi="Palatino Linotype" w:cs="Arial"/>
          <w:color w:val="000000" w:themeColor="text1"/>
          <w:lang w:eastAsia="es-MX"/>
        </w:rPr>
        <w:t>dichas</w:t>
      </w:r>
      <w:r w:rsidRPr="002D69DA">
        <w:rPr>
          <w:rFonts w:ascii="Palatino Linotype" w:eastAsia="Times New Roman" w:hAnsi="Palatino Linotype" w:cs="Arial"/>
          <w:color w:val="000000" w:themeColor="text1"/>
        </w:rPr>
        <w:t xml:space="preserve"> condiciones, la </w:t>
      </w:r>
      <w:r w:rsidRPr="002D69DA">
        <w:rPr>
          <w:rFonts w:ascii="Palatino Linotype" w:eastAsia="Times New Roman" w:hAnsi="Palatino Linotype" w:cs="Arial"/>
          <w:i/>
          <w:color w:val="000000" w:themeColor="text1"/>
        </w:rPr>
        <w:t>Litis</w:t>
      </w:r>
      <w:r w:rsidRPr="002D69DA">
        <w:rPr>
          <w:rFonts w:ascii="Palatino Linotype" w:eastAsia="Times New Roman" w:hAnsi="Palatino Linotype" w:cs="Arial"/>
          <w:color w:val="000000" w:themeColor="text1"/>
        </w:rPr>
        <w:t xml:space="preserve"> a resolver en este recurso se circunscribe a determinar si </w:t>
      </w:r>
      <w:r w:rsidRPr="002D69DA">
        <w:rPr>
          <w:rFonts w:ascii="Palatino Linotype" w:eastAsia="MS Mincho" w:hAnsi="Palatino Linotype" w:cs="Arial"/>
          <w:color w:val="000000" w:themeColor="text1"/>
        </w:rPr>
        <w:t xml:space="preserve">se actualiza la causal de procedencia prevista en el artículo 179, </w:t>
      </w:r>
      <w:r w:rsidRPr="002D69DA">
        <w:rPr>
          <w:rFonts w:ascii="Palatino Linotype" w:eastAsia="MS Mincho" w:hAnsi="Palatino Linotype" w:cs="Arial"/>
          <w:b/>
          <w:color w:val="000000" w:themeColor="text1"/>
        </w:rPr>
        <w:t xml:space="preserve">fracción I </w:t>
      </w:r>
      <w:r w:rsidRPr="002D69DA">
        <w:rPr>
          <w:rFonts w:ascii="Palatino Linotype" w:eastAsia="MS Mincho" w:hAnsi="Palatino Linotype" w:cs="Arial"/>
          <w:color w:val="000000" w:themeColor="text1"/>
        </w:rPr>
        <w:t xml:space="preserve">de la </w:t>
      </w:r>
      <w:r w:rsidRPr="002D69DA">
        <w:rPr>
          <w:rFonts w:ascii="Palatino Linotype" w:eastAsia="MS Mincho" w:hAnsi="Palatino Linotype" w:cs="Arial"/>
          <w:b/>
          <w:color w:val="000000" w:themeColor="text1"/>
        </w:rPr>
        <w:t>Ley de Transparencia y Acceso a la Información Pública del Estado de México y Municipios</w:t>
      </w:r>
      <w:r w:rsidRPr="002D69DA">
        <w:rPr>
          <w:rFonts w:ascii="Palatino Linotype" w:eastAsia="MS Mincho" w:hAnsi="Palatino Linotype" w:cs="Arial"/>
          <w:color w:val="000000" w:themeColor="text1"/>
        </w:rPr>
        <w:t xml:space="preserve">; </w:t>
      </w:r>
      <w:r w:rsidRPr="002D69DA">
        <w:rPr>
          <w:rFonts w:ascii="Palatino Linotype" w:eastAsia="Times New Roman" w:hAnsi="Palatino Linotype" w:cs="Arial"/>
          <w:color w:val="000000" w:themeColor="text1"/>
          <w:lang w:val="es-ES" w:eastAsia="es-MX"/>
        </w:rPr>
        <w:t xml:space="preserve">fracción que determina la  hipótesis jurídica relativa </w:t>
      </w:r>
      <w:r w:rsidRPr="002D69DA">
        <w:rPr>
          <w:rFonts w:ascii="Palatino Linotype" w:eastAsia="Times New Roman" w:hAnsi="Palatino Linotype" w:cs="Arial"/>
          <w:color w:val="000000" w:themeColor="text1"/>
          <w:lang w:eastAsia="es-MX"/>
        </w:rPr>
        <w:t>a la negativa de la información solicitada;</w:t>
      </w:r>
      <w:r w:rsidRPr="002D69DA">
        <w:rPr>
          <w:rFonts w:ascii="Palatino Linotype" w:eastAsia="Times New Roman" w:hAnsi="Palatino Linotype" w:cs="Arial"/>
          <w:color w:val="000000" w:themeColor="text1"/>
          <w:lang w:val="es-ES" w:eastAsia="es-MX"/>
        </w:rPr>
        <w:t xml:space="preserve"> </w:t>
      </w:r>
      <w:r w:rsidRPr="002D69DA">
        <w:rPr>
          <w:rFonts w:ascii="Palatino Linotype" w:eastAsia="MS Mincho" w:hAnsi="Palatino Linotype" w:cs="Arial"/>
          <w:color w:val="000000" w:themeColor="text1"/>
        </w:rPr>
        <w:t xml:space="preserve">contexto de los cuales se dolió </w:t>
      </w:r>
      <w:r w:rsidRPr="002D69DA">
        <w:rPr>
          <w:rFonts w:ascii="Palatino Linotype" w:eastAsia="MS Mincho" w:hAnsi="Palatino Linotype" w:cs="Arial"/>
          <w:b/>
          <w:color w:val="000000" w:themeColor="text1"/>
        </w:rPr>
        <w:t xml:space="preserve">EL RECURRENTE </w:t>
      </w:r>
      <w:r w:rsidRPr="002D69DA">
        <w:rPr>
          <w:rFonts w:ascii="Palatino Linotype" w:eastAsia="MS Mincho" w:hAnsi="Palatino Linotype" w:cs="Arial"/>
          <w:color w:val="000000" w:themeColor="text1"/>
        </w:rPr>
        <w:t>al momento de interponer su inconformidad.</w:t>
      </w:r>
      <w:r w:rsidRPr="002D69DA">
        <w:rPr>
          <w:rFonts w:ascii="Palatino Linotype" w:eastAsia="Times New Roman" w:hAnsi="Palatino Linotype" w:cs="Arial"/>
          <w:color w:val="000000" w:themeColor="text1"/>
          <w:lang w:val="es-ES" w:eastAsia="es-MX"/>
        </w:rPr>
        <w:t xml:space="preserve"> De modo tal </w:t>
      </w:r>
      <w:r w:rsidRPr="002D69DA">
        <w:rPr>
          <w:rFonts w:ascii="Palatino Linotype" w:hAnsi="Palatino Linotype" w:cs="Arial"/>
          <w:color w:val="000000" w:themeColor="text1"/>
        </w:rPr>
        <w:t xml:space="preserve">que los presentes recursos de revisión se abocaran en determinar si el </w:t>
      </w:r>
      <w:r w:rsidRPr="002D69DA">
        <w:rPr>
          <w:rFonts w:ascii="Palatino Linotype" w:hAnsi="Palatino Linotype" w:cs="Arial"/>
          <w:b/>
          <w:color w:val="000000" w:themeColor="text1"/>
        </w:rPr>
        <w:t>SUJETO</w:t>
      </w:r>
      <w:r w:rsidRPr="002D69DA">
        <w:rPr>
          <w:rFonts w:ascii="Palatino Linotype" w:hAnsi="Palatino Linotype" w:cs="Arial"/>
          <w:color w:val="000000" w:themeColor="text1"/>
        </w:rPr>
        <w:t xml:space="preserve"> </w:t>
      </w:r>
      <w:r w:rsidRPr="002D69DA">
        <w:rPr>
          <w:rFonts w:ascii="Palatino Linotype" w:hAnsi="Palatino Linotype" w:cs="Arial"/>
          <w:b/>
          <w:color w:val="000000" w:themeColor="text1"/>
        </w:rPr>
        <w:t>OBLIGADO</w:t>
      </w:r>
      <w:r w:rsidRPr="002D69DA">
        <w:rPr>
          <w:rFonts w:ascii="Palatino Linotype" w:hAnsi="Palatino Linotype" w:cs="Arial"/>
          <w:color w:val="000000" w:themeColor="text1"/>
        </w:rPr>
        <w:t xml:space="preserve"> con sus respuestas ciertamente </w:t>
      </w:r>
      <w:r w:rsidRPr="002D69DA">
        <w:rPr>
          <w:rFonts w:ascii="Palatino Linotype" w:eastAsia="Times New Roman" w:hAnsi="Palatino Linotype"/>
          <w:color w:val="000000" w:themeColor="text1"/>
        </w:rPr>
        <w:t>actualizan las causales de procedencia</w:t>
      </w:r>
      <w:r w:rsidRPr="002D69DA">
        <w:rPr>
          <w:rFonts w:ascii="Palatino Linotype" w:eastAsia="Times New Roman" w:hAnsi="Palatino Linotype"/>
          <w:b/>
          <w:color w:val="000000" w:themeColor="text1"/>
        </w:rPr>
        <w:t xml:space="preserve"> </w:t>
      </w:r>
      <w:r w:rsidRPr="002D69DA">
        <w:rPr>
          <w:rFonts w:ascii="Palatino Linotype" w:eastAsia="Times New Roman" w:hAnsi="Palatino Linotype" w:cs="Arial"/>
          <w:color w:val="000000" w:themeColor="text1"/>
          <w:lang w:eastAsia="es-MX"/>
        </w:rPr>
        <w:t xml:space="preserve">antes señaladas. </w:t>
      </w:r>
    </w:p>
    <w:p w:rsidR="004D6D95" w:rsidRPr="002D69DA" w:rsidRDefault="004D6D95" w:rsidP="00E84339">
      <w:pPr>
        <w:pStyle w:val="Prrafodelista"/>
        <w:tabs>
          <w:tab w:val="left" w:pos="426"/>
          <w:tab w:val="left" w:pos="567"/>
        </w:tabs>
        <w:spacing w:line="360" w:lineRule="auto"/>
        <w:ind w:left="0"/>
        <w:jc w:val="both"/>
        <w:rPr>
          <w:rFonts w:ascii="Palatino Linotype" w:eastAsia="Times New Roman" w:hAnsi="Palatino Linotype" w:cs="Arial"/>
          <w:color w:val="000000" w:themeColor="text1"/>
          <w:lang w:eastAsia="es-MX"/>
        </w:rPr>
      </w:pPr>
    </w:p>
    <w:bookmarkEnd w:id="19"/>
    <w:bookmarkEnd w:id="20"/>
    <w:bookmarkEnd w:id="21"/>
    <w:bookmarkEnd w:id="22"/>
    <w:bookmarkEnd w:id="23"/>
    <w:p w:rsidR="004D6D95" w:rsidRPr="002D69DA" w:rsidRDefault="004D6D95" w:rsidP="00E84339">
      <w:pPr>
        <w:pStyle w:val="Ttulo2"/>
        <w:spacing w:before="0" w:line="360" w:lineRule="auto"/>
        <w:rPr>
          <w:rFonts w:eastAsia="Palatino Linotype" w:cs="Palatino Linotype"/>
          <w:b w:val="0"/>
          <w:szCs w:val="24"/>
        </w:rPr>
      </w:pPr>
      <w:r w:rsidRPr="002D69DA">
        <w:rPr>
          <w:rFonts w:eastAsia="Palatino Linotype" w:cs="Palatino Linotype"/>
          <w:szCs w:val="24"/>
        </w:rPr>
        <w:t>CUARTO. Del estudio y resolución del asunto.</w:t>
      </w:r>
    </w:p>
    <w:p w:rsidR="004D6D95" w:rsidRPr="002D69DA" w:rsidRDefault="004D6D95" w:rsidP="00E84339">
      <w:pPr>
        <w:pStyle w:val="Ttulo1"/>
        <w:numPr>
          <w:ilvl w:val="0"/>
          <w:numId w:val="5"/>
        </w:numPr>
        <w:spacing w:before="0" w:after="240" w:line="360" w:lineRule="auto"/>
        <w:ind w:left="0" w:hanging="360"/>
        <w:rPr>
          <w:rFonts w:eastAsia="Palatino Linotype" w:cs="Palatino Linotype"/>
          <w:b w:val="0"/>
          <w:szCs w:val="24"/>
        </w:rPr>
      </w:pPr>
      <w:bookmarkStart w:id="24" w:name="_heading=h.4d34og8" w:colFirst="0" w:colLast="0"/>
      <w:bookmarkEnd w:id="24"/>
      <w:r w:rsidRPr="002D69DA">
        <w:rPr>
          <w:rFonts w:eastAsia="Palatino Linotype" w:cs="Palatino Linotype"/>
          <w:szCs w:val="24"/>
        </w:rPr>
        <w:t>Del derecho de acceso a la información.</w:t>
      </w: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4D6D95" w:rsidRPr="002D69DA" w:rsidRDefault="004D6D95" w:rsidP="00E84339">
      <w:pPr>
        <w:pBdr>
          <w:top w:val="nil"/>
          <w:left w:val="nil"/>
          <w:bottom w:val="nil"/>
          <w:right w:val="nil"/>
          <w:between w:val="nil"/>
        </w:pBdr>
        <w:spacing w:after="240"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Definiendo el Derecho de Acceso a la Información Pública como: </w:t>
      </w:r>
      <w:r w:rsidRPr="002D69DA">
        <w:rPr>
          <w:rFonts w:ascii="Palatino Linotype" w:eastAsia="Palatino Linotype" w:hAnsi="Palatino Linotype" w:cs="Palatino Linotype"/>
          <w:i/>
          <w:color w:val="000000" w:themeColor="text1"/>
        </w:rPr>
        <w:t>La igualdad de oportunidades para recibir, buscar e impartir información</w:t>
      </w:r>
      <w:r w:rsidRPr="002D69DA">
        <w:rPr>
          <w:rFonts w:ascii="Palatino Linotype" w:eastAsia="Palatino Linotype" w:hAnsi="Palatino Linotype" w:cs="Palatino Linotype"/>
          <w:i/>
          <w:color w:val="000000" w:themeColor="text1"/>
          <w:vertAlign w:val="superscript"/>
        </w:rPr>
        <w:footnoteReference w:id="2"/>
      </w:r>
      <w:r w:rsidRPr="002D69DA">
        <w:rPr>
          <w:rFonts w:ascii="Palatino Linotype" w:eastAsia="Palatino Linotype" w:hAnsi="Palatino Linotype" w:cs="Palatino Linotype"/>
          <w:i/>
          <w:color w:val="000000" w:themeColor="text1"/>
        </w:rPr>
        <w:t xml:space="preserve">en posesión de cualquier autoridad, </w:t>
      </w:r>
      <w:r w:rsidRPr="002D69DA">
        <w:rPr>
          <w:rFonts w:ascii="Palatino Linotype" w:eastAsia="Palatino Linotype" w:hAnsi="Palatino Linotype" w:cs="Palatino Linotype"/>
          <w:i/>
          <w:color w:val="000000" w:themeColor="text1"/>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D69DA">
        <w:rPr>
          <w:rFonts w:ascii="Palatino Linotype" w:eastAsia="Palatino Linotype" w:hAnsi="Palatino Linotype" w:cs="Palatino Linotype"/>
          <w:i/>
          <w:color w:val="000000" w:themeColor="text1"/>
          <w:vertAlign w:val="superscript"/>
        </w:rPr>
        <w:footnoteReference w:id="3"/>
      </w:r>
      <w:r w:rsidRPr="002D69DA">
        <w:rPr>
          <w:rFonts w:ascii="Palatino Linotype" w:eastAsia="Palatino Linotype" w:hAnsi="Palatino Linotype" w:cs="Palatino Linotype"/>
          <w:color w:val="000000" w:themeColor="text1"/>
        </w:rPr>
        <w:t>que se constituye como una herramienta fundamental para ejercer</w:t>
      </w:r>
      <w:r w:rsidRPr="002D69DA">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2D69DA">
        <w:rPr>
          <w:rFonts w:ascii="Palatino Linotype" w:eastAsia="Palatino Linotype" w:hAnsi="Palatino Linotype" w:cs="Palatino Linotype"/>
          <w:i/>
          <w:color w:val="000000" w:themeColor="text1"/>
          <w:vertAlign w:val="superscript"/>
        </w:rPr>
        <w:footnoteReference w:id="4"/>
      </w:r>
      <w:r w:rsidRPr="002D69DA">
        <w:rPr>
          <w:rFonts w:ascii="Palatino Linotype" w:eastAsia="Palatino Linotype" w:hAnsi="Palatino Linotype" w:cs="Palatino Linotype"/>
          <w:color w:val="000000" w:themeColor="text1"/>
        </w:rPr>
        <w:t>fomentando</w:t>
      </w:r>
      <w:r w:rsidRPr="002D69DA">
        <w:rPr>
          <w:rFonts w:ascii="Palatino Linotype" w:eastAsia="Palatino Linotype" w:hAnsi="Palatino Linotype" w:cs="Palatino Linotype"/>
          <w:i/>
          <w:color w:val="000000" w:themeColor="text1"/>
        </w:rPr>
        <w:t xml:space="preserve"> la transparencia de las actividades estatales y </w:t>
      </w:r>
      <w:r w:rsidRPr="002D69DA">
        <w:rPr>
          <w:rFonts w:ascii="Palatino Linotype" w:eastAsia="Palatino Linotype" w:hAnsi="Palatino Linotype" w:cs="Palatino Linotype"/>
          <w:color w:val="000000" w:themeColor="text1"/>
        </w:rPr>
        <w:t>promoviendo</w:t>
      </w:r>
      <w:r w:rsidRPr="002D69DA">
        <w:rPr>
          <w:rFonts w:ascii="Palatino Linotype" w:eastAsia="Palatino Linotype" w:hAnsi="Palatino Linotype" w:cs="Palatino Linotype"/>
          <w:i/>
          <w:color w:val="000000" w:themeColor="text1"/>
        </w:rPr>
        <w:t xml:space="preserve"> la responsabilidad de los funcionarios sobre su gestión pública,</w:t>
      </w:r>
      <w:r w:rsidRPr="002D69DA">
        <w:rPr>
          <w:rFonts w:ascii="Palatino Linotype" w:eastAsia="Palatino Linotype" w:hAnsi="Palatino Linotype" w:cs="Palatino Linotype"/>
          <w:i/>
          <w:color w:val="000000" w:themeColor="text1"/>
          <w:vertAlign w:val="superscript"/>
        </w:rPr>
        <w:footnoteReference w:id="5"/>
      </w:r>
      <w:r w:rsidRPr="002D69DA">
        <w:rPr>
          <w:rFonts w:ascii="Palatino Linotype" w:eastAsia="Palatino Linotype" w:hAnsi="Palatino Linotype" w:cs="Palatino Linotype"/>
          <w:color w:val="000000" w:themeColor="text1"/>
        </w:rPr>
        <w:t>que permite</w:t>
      </w:r>
      <w:r w:rsidRPr="002D69DA">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r w:rsidRPr="002D69DA">
        <w:rPr>
          <w:rFonts w:ascii="Palatino Linotype" w:eastAsia="Palatino Linotype" w:hAnsi="Palatino Linotype" w:cs="Palatino Linotype"/>
          <w:b/>
          <w:i/>
          <w:color w:val="000000" w:themeColor="text1"/>
        </w:rPr>
        <w:t>Artículo 1.-</w:t>
      </w:r>
      <w:r w:rsidRPr="002D69DA">
        <w:rPr>
          <w:rFonts w:ascii="Palatino Linotype" w:eastAsia="Palatino Linotype" w:hAnsi="Palatino Linotype" w:cs="Palatino Linotype"/>
          <w:i/>
          <w:color w:val="000000" w:themeColor="text1"/>
        </w:rPr>
        <w:t xml:space="preserve"> </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Todas las</w:t>
      </w:r>
      <w:r w:rsidRPr="002D69DA">
        <w:rPr>
          <w:rFonts w:ascii="Palatino Linotype" w:eastAsia="Palatino Linotype" w:hAnsi="Palatino Linotype" w:cs="Palatino Linotype"/>
          <w:color w:val="000000" w:themeColor="text1"/>
        </w:rPr>
        <w:t xml:space="preserve"> </w:t>
      </w:r>
      <w:r w:rsidRPr="002D69DA">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D6D95" w:rsidRPr="002D69DA" w:rsidRDefault="004D6D95" w:rsidP="00E84339">
      <w:pPr>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i/>
          <w:color w:val="000000" w:themeColor="text1"/>
        </w:rPr>
        <w:t>(…)</w:t>
      </w:r>
      <w:r w:rsidRPr="002D69DA">
        <w:rPr>
          <w:rFonts w:ascii="Palatino Linotype" w:eastAsia="Palatino Linotype" w:hAnsi="Palatino Linotype" w:cs="Palatino Linotype"/>
          <w:color w:val="000000" w:themeColor="text1"/>
        </w:rPr>
        <w:t>”.</w:t>
      </w:r>
    </w:p>
    <w:p w:rsidR="004D6D95" w:rsidRPr="002D69DA" w:rsidRDefault="004D6D95" w:rsidP="00E84339">
      <w:pPr>
        <w:jc w:val="both"/>
        <w:rPr>
          <w:rFonts w:ascii="Palatino Linotype" w:eastAsia="Palatino Linotype" w:hAnsi="Palatino Linotype" w:cs="Palatino Linotype"/>
          <w:b/>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spacing w:after="24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Constitución Política de los Estados Unidos Mexicanos</w:t>
      </w:r>
    </w:p>
    <w:p w:rsidR="004D6D95" w:rsidRPr="002D69DA" w:rsidRDefault="004D6D95" w:rsidP="00E84339">
      <w:pPr>
        <w:spacing w:before="240" w:after="24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“Artículo 6.</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Para efectos de lo dispuesto en el presente artículo se observará lo siguiente:</w:t>
      </w:r>
    </w:p>
    <w:p w:rsidR="004D6D95" w:rsidRPr="002D69DA" w:rsidRDefault="004D6D95" w:rsidP="00E84339">
      <w:pPr>
        <w:spacing w:before="240" w:after="24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A</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Para el ejercicio del derecho de acceso a la información</w:t>
      </w:r>
      <w:r w:rsidRPr="002D69DA">
        <w:rPr>
          <w:rFonts w:ascii="Palatino Linotype" w:eastAsia="Palatino Linotype" w:hAnsi="Palatino Linotype" w:cs="Palatino Linotype"/>
          <w:i/>
          <w:color w:val="000000" w:themeColor="text1"/>
        </w:rPr>
        <w:t xml:space="preserve">, la Federación y </w:t>
      </w:r>
      <w:r w:rsidRPr="002D69DA">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 xml:space="preserve">I. </w:t>
      </w:r>
      <w:r w:rsidRPr="002D69DA">
        <w:rPr>
          <w:rFonts w:ascii="Palatino Linotype" w:eastAsia="Palatino Linotype" w:hAnsi="Palatino Linotype" w:cs="Palatino Linotype"/>
          <w:b/>
          <w:i/>
          <w:color w:val="000000" w:themeColor="text1"/>
        </w:rPr>
        <w:tab/>
        <w:t>Toda la información en posesión de cualquier</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autoridad</w:t>
      </w:r>
      <w:r w:rsidRPr="002D69DA">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D69DA">
        <w:rPr>
          <w:rFonts w:ascii="Palatino Linotype" w:eastAsia="Palatino Linotype" w:hAnsi="Palatino Linotype" w:cs="Palatino Linotype"/>
          <w:b/>
          <w:i/>
          <w:color w:val="000000" w:themeColor="text1"/>
        </w:rPr>
        <w:t>municipal</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es pública</w:t>
      </w:r>
      <w:r w:rsidRPr="002D69DA">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2D69DA">
        <w:rPr>
          <w:rFonts w:ascii="Palatino Linotype" w:eastAsia="Palatino Linotype" w:hAnsi="Palatino Linotype" w:cs="Palatino Linotype"/>
          <w:b/>
          <w:i/>
          <w:color w:val="000000" w:themeColor="text1"/>
        </w:rPr>
        <w:t xml:space="preserve">En la interpretación de este derecho deberá prevalecer el principio de máxima publicidad. Los sujetos obligados deberán </w:t>
      </w:r>
      <w:r w:rsidRPr="002D69DA">
        <w:rPr>
          <w:rFonts w:ascii="Palatino Linotype" w:eastAsia="Palatino Linotype" w:hAnsi="Palatino Linotype" w:cs="Palatino Linotype"/>
          <w:b/>
          <w:i/>
          <w:color w:val="000000" w:themeColor="text1"/>
        </w:rPr>
        <w:lastRenderedPageBreak/>
        <w:t>documentar todo acto que derive del ejercicio de sus facultades, competencias o funciones</w:t>
      </w:r>
      <w:r w:rsidRPr="002D69DA">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4D6D95" w:rsidRPr="002D69DA" w:rsidRDefault="004D6D95" w:rsidP="00E84339">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rPr>
      </w:pPr>
    </w:p>
    <w:p w:rsidR="004D6D95" w:rsidRPr="002D69DA" w:rsidRDefault="004D6D95" w:rsidP="00E84339">
      <w:pPr>
        <w:spacing w:before="240" w:after="24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Constitución Política del Estado Libre y Soberano de México</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“Artículo 5</w:t>
      </w:r>
      <w:r w:rsidRPr="002D69DA">
        <w:rPr>
          <w:rFonts w:ascii="Palatino Linotype" w:eastAsia="Palatino Linotype" w:hAnsi="Palatino Linotype" w:cs="Palatino Linotype"/>
          <w:i/>
          <w:color w:val="000000" w:themeColor="text1"/>
        </w:rPr>
        <w:t xml:space="preserve">.- </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2D69DA">
        <w:rPr>
          <w:rFonts w:ascii="Palatino Linotype" w:eastAsia="Palatino Linotype" w:hAnsi="Palatino Linotype" w:cs="Palatino Linotype"/>
          <w:i/>
          <w:color w:val="000000" w:themeColor="text1"/>
        </w:rPr>
        <w:t>.</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Este derecho se regirá por los principios y bases siguientes</w:t>
      </w:r>
      <w:r w:rsidRPr="002D69DA">
        <w:rPr>
          <w:rFonts w:ascii="Palatino Linotype" w:eastAsia="Palatino Linotype" w:hAnsi="Palatino Linotype" w:cs="Palatino Linotype"/>
          <w:i/>
          <w:color w:val="000000" w:themeColor="text1"/>
        </w:rPr>
        <w:t>:</w:t>
      </w:r>
    </w:p>
    <w:p w:rsidR="004D6D95" w:rsidRPr="002D69DA" w:rsidRDefault="004D6D95" w:rsidP="00E84339">
      <w:pPr>
        <w:spacing w:before="240" w:after="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I. Toda la información en posesión de cualquier autoridad, entidad, órgano y organismos de los</w:t>
      </w:r>
      <w:r w:rsidRPr="002D69DA">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2D69DA">
        <w:rPr>
          <w:rFonts w:ascii="Palatino Linotype" w:eastAsia="Palatino Linotype" w:hAnsi="Palatino Linotype" w:cs="Palatino Linotype"/>
          <w:b/>
          <w:i/>
          <w:color w:val="000000" w:themeColor="text1"/>
        </w:rPr>
        <w:t>municipales</w:t>
      </w:r>
      <w:r w:rsidRPr="002D69DA">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D69DA">
        <w:rPr>
          <w:rFonts w:ascii="Palatino Linotype" w:eastAsia="Palatino Linotype" w:hAnsi="Palatino Linotype" w:cs="Palatino Linotype"/>
          <w:b/>
          <w:i/>
          <w:color w:val="000000" w:themeColor="text1"/>
        </w:rPr>
        <w:t>es pública</w:t>
      </w:r>
      <w:r w:rsidRPr="002D69DA">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2D69DA">
        <w:rPr>
          <w:rFonts w:ascii="Palatino Linotype" w:eastAsia="Palatino Linotype" w:hAnsi="Palatino Linotype" w:cs="Palatino Linotype"/>
          <w:b/>
          <w:i/>
          <w:color w:val="000000" w:themeColor="text1"/>
        </w:rPr>
        <w:t>En la interpretación de este derecho deberá prevalecer el principio de máxima publicidad</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2D69DA">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w:t>
      </w:r>
      <w:r w:rsidRPr="002D69DA">
        <w:rPr>
          <w:rFonts w:ascii="Palatino Linotype" w:eastAsia="Palatino Linotype" w:hAnsi="Palatino Linotype" w:cs="Palatino Linotype"/>
          <w:color w:val="000000" w:themeColor="text1"/>
        </w:rPr>
        <w:lastRenderedPageBreak/>
        <w:t xml:space="preserve">regirá </w:t>
      </w:r>
      <w:r w:rsidRPr="002D69DA">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2D69DA">
        <w:rPr>
          <w:rFonts w:ascii="Palatino Linotype" w:eastAsia="Palatino Linotype" w:hAnsi="Palatino Linotype" w:cs="Palatino Linotype"/>
          <w:color w:val="000000" w:themeColor="text1"/>
        </w:rPr>
        <w:t>, contemplando el derecho de las personas con discapacidad y hablantes de lengua indígena.</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2D69DA">
        <w:rPr>
          <w:rFonts w:ascii="Palatino Linotype" w:eastAsia="Palatino Linotype" w:hAnsi="Palatino Linotype" w:cs="Palatino Linotype"/>
          <w:i/>
          <w:color w:val="000000" w:themeColor="text1"/>
        </w:rPr>
        <w:t>solicitudes de acceso a la información</w:t>
      </w:r>
      <w:r w:rsidRPr="002D69DA">
        <w:rPr>
          <w:rFonts w:ascii="Palatino Linotype" w:eastAsia="Palatino Linotype" w:hAnsi="Palatino Linotype" w:cs="Palatino Linotype"/>
          <w:color w:val="000000" w:themeColor="text1"/>
        </w:rPr>
        <w:t>.</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bookmarkStart w:id="25" w:name="_heading=h.2s8eyo1" w:colFirst="0" w:colLast="0"/>
      <w:bookmarkEnd w:id="25"/>
      <w:r w:rsidRPr="002D69DA">
        <w:rPr>
          <w:rFonts w:ascii="Palatino Linotype" w:eastAsia="Palatino Linotype" w:hAnsi="Palatino Linotype" w:cs="Palatino Linotype"/>
          <w:color w:val="000000" w:themeColor="text1"/>
        </w:rPr>
        <w:t xml:space="preserve">Así entonces, se procede analizar, en primer lugar, si el </w:t>
      </w:r>
      <w:r w:rsidRPr="002D69DA">
        <w:rPr>
          <w:rFonts w:ascii="Palatino Linotype" w:eastAsia="Palatino Linotype" w:hAnsi="Palatino Linotype" w:cs="Palatino Linotype"/>
          <w:b/>
          <w:color w:val="000000" w:themeColor="text1"/>
        </w:rPr>
        <w:t>SUJETO OBLIGADO</w:t>
      </w:r>
      <w:r w:rsidRPr="002D69DA">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A35104" w:rsidRPr="00A35104" w:rsidRDefault="00A35104" w:rsidP="00A35104">
      <w:pPr>
        <w:pStyle w:val="Prrafodelista"/>
        <w:rPr>
          <w:rFonts w:ascii="Palatino Linotype" w:eastAsia="Palatino Linotype" w:hAnsi="Palatino Linotype" w:cs="Palatino Linotype"/>
          <w:color w:val="000000" w:themeColor="text1"/>
        </w:rPr>
      </w:pPr>
    </w:p>
    <w:p w:rsidR="00A35104" w:rsidRPr="002D69DA" w:rsidRDefault="00A35104" w:rsidP="00A35104">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4D6D95" w:rsidRPr="002D69DA" w:rsidRDefault="004D6D95" w:rsidP="00E84339">
      <w:pPr>
        <w:pStyle w:val="Ttulo1"/>
        <w:spacing w:before="0" w:after="240" w:line="360" w:lineRule="auto"/>
        <w:rPr>
          <w:rFonts w:eastAsia="Palatino Linotype" w:cs="Palatino Linotype"/>
          <w:b w:val="0"/>
          <w:szCs w:val="24"/>
        </w:rPr>
      </w:pPr>
      <w:bookmarkStart w:id="26" w:name="_heading=h.17dp8vu" w:colFirst="0" w:colLast="0"/>
      <w:bookmarkEnd w:id="26"/>
      <w:r w:rsidRPr="002D69DA">
        <w:rPr>
          <w:rFonts w:eastAsia="Palatino Linotype" w:cs="Palatino Linotype"/>
          <w:szCs w:val="24"/>
        </w:rPr>
        <w:t>II. De la información solicitada y la respuesta del SUJETO OBLIGADO</w:t>
      </w:r>
    </w:p>
    <w:p w:rsidR="004D6D95" w:rsidRPr="002D69DA" w:rsidRDefault="004D6D95" w:rsidP="00E84339">
      <w:pPr>
        <w:pStyle w:val="Prrafodelista"/>
        <w:numPr>
          <w:ilvl w:val="0"/>
          <w:numId w:val="8"/>
        </w:numPr>
        <w:spacing w:line="360" w:lineRule="auto"/>
        <w:ind w:left="0" w:firstLine="0"/>
        <w:jc w:val="both"/>
        <w:rPr>
          <w:rFonts w:ascii="Palatino Linotype" w:hAnsi="Palatino Linotype"/>
          <w:color w:val="000000" w:themeColor="text1"/>
        </w:rPr>
      </w:pPr>
      <w:r w:rsidRPr="002D69DA">
        <w:rPr>
          <w:rFonts w:ascii="Palatino Linotype" w:eastAsia="MS Mincho" w:hAnsi="Palatino Linotype" w:cs="Arial"/>
          <w:color w:val="000000" w:themeColor="text1"/>
        </w:rPr>
        <w:t>Acotada</w:t>
      </w:r>
      <w:r w:rsidRPr="002D69DA">
        <w:rPr>
          <w:rFonts w:ascii="Palatino Linotype" w:hAnsi="Palatino Linotype"/>
          <w:color w:val="000000" w:themeColor="text1"/>
        </w:rPr>
        <w:t xml:space="preserve"> la </w:t>
      </w:r>
      <w:r w:rsidRPr="002D69DA">
        <w:rPr>
          <w:rFonts w:ascii="Palatino Linotype" w:hAnsi="Palatino Linotype"/>
          <w:i/>
          <w:color w:val="000000" w:themeColor="text1"/>
        </w:rPr>
        <w:t>Litis</w:t>
      </w:r>
      <w:r w:rsidRPr="002D69DA">
        <w:rPr>
          <w:rFonts w:ascii="Palatino Linotype" w:hAnsi="Palatino Linotype"/>
          <w:color w:val="000000" w:themeColor="text1"/>
        </w:rPr>
        <w:t xml:space="preserve"> del presente asunto, es </w:t>
      </w:r>
      <w:r w:rsidR="00960538" w:rsidRPr="002D69DA">
        <w:rPr>
          <w:rFonts w:ascii="Palatino Linotype" w:hAnsi="Palatino Linotype"/>
          <w:color w:val="000000" w:themeColor="text1"/>
        </w:rPr>
        <w:t xml:space="preserve">necesario precisar que las solicitudes de información versan en obtener un listado de nómina, situación por la cual se hace el siguiente el </w:t>
      </w:r>
      <w:r w:rsidR="00E84339" w:rsidRPr="002D69DA">
        <w:rPr>
          <w:rFonts w:ascii="Palatino Linotype" w:hAnsi="Palatino Linotype"/>
          <w:color w:val="000000" w:themeColor="text1"/>
        </w:rPr>
        <w:t>análisis</w:t>
      </w:r>
      <w:r w:rsidR="00960538" w:rsidRPr="002D69DA">
        <w:rPr>
          <w:rFonts w:ascii="Palatino Linotype" w:hAnsi="Palatino Linotype"/>
          <w:color w:val="000000" w:themeColor="text1"/>
        </w:rPr>
        <w:t xml:space="preserve">. </w:t>
      </w:r>
      <w:r w:rsidRPr="002D69DA">
        <w:rPr>
          <w:rFonts w:ascii="Palatino Linotype" w:hAnsi="Palatino Linotype"/>
          <w:color w:val="000000" w:themeColor="text1"/>
        </w:rPr>
        <w:t xml:space="preserve"> </w:t>
      </w:r>
    </w:p>
    <w:p w:rsidR="00960538" w:rsidRPr="002D69DA" w:rsidRDefault="00960538" w:rsidP="00E84339">
      <w:pPr>
        <w:pStyle w:val="Prrafodelista"/>
        <w:spacing w:line="360" w:lineRule="auto"/>
        <w:ind w:left="0"/>
        <w:jc w:val="both"/>
        <w:rPr>
          <w:rFonts w:ascii="Palatino Linotype" w:hAnsi="Palatino Linotype"/>
          <w:color w:val="000000" w:themeColor="text1"/>
        </w:rPr>
      </w:pPr>
    </w:p>
    <w:p w:rsidR="004D6D95" w:rsidRPr="002D69DA" w:rsidRDefault="00DD0620"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hAnsi="Palatino Linotype"/>
          <w:color w:val="000000" w:themeColor="text1"/>
        </w:rPr>
        <w:t xml:space="preserve">De lo anterior, se debe de referir que en todas las solicitudes de información se pronunció la Dirección General de Administración, en las que respondió que no contaba con el documento que diera cuenta de lo solicitado, además de referir que </w:t>
      </w:r>
      <w:r w:rsidR="009C6960" w:rsidRPr="002D69DA">
        <w:rPr>
          <w:rFonts w:ascii="Palatino Linotype" w:hAnsi="Palatino Linotype"/>
          <w:color w:val="000000" w:themeColor="text1"/>
        </w:rPr>
        <w:t xml:space="preserve">lo solicitado no podía ser atendido toda vez que se trataba de manifestaciones subjetivas. </w:t>
      </w:r>
    </w:p>
    <w:p w:rsidR="00C155BF" w:rsidRPr="002D69DA" w:rsidRDefault="00C155BF"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hAnsi="Palatino Linotype"/>
          <w:color w:val="000000" w:themeColor="text1"/>
        </w:rPr>
        <w:lastRenderedPageBreak/>
        <w:t xml:space="preserve">En esa línea, se debe de analizar si la solicitud de información fue turnada al área habilitada del </w:t>
      </w:r>
      <w:r w:rsidRPr="002D69DA">
        <w:rPr>
          <w:rFonts w:ascii="Palatino Linotype" w:hAnsi="Palatino Linotype"/>
          <w:b/>
          <w:color w:val="000000" w:themeColor="text1"/>
        </w:rPr>
        <w:t>SUJETO OBLIGADO.</w:t>
      </w:r>
    </w:p>
    <w:p w:rsidR="004D6D95" w:rsidRPr="002D69DA" w:rsidRDefault="004D6D95" w:rsidP="00E84339">
      <w:pPr>
        <w:pStyle w:val="Prrafodelista"/>
        <w:ind w:left="0"/>
        <w:rPr>
          <w:rFonts w:ascii="Palatino Linotype" w:eastAsia="Palatino Linotype" w:hAnsi="Palatino Linotype" w:cs="Palatino Linotype"/>
          <w:color w:val="000000" w:themeColor="text1"/>
        </w:rPr>
      </w:pPr>
    </w:p>
    <w:p w:rsidR="004D6D95" w:rsidRPr="002D69DA" w:rsidRDefault="001E1840"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Seguidamente, de </w:t>
      </w:r>
      <w:r w:rsidR="004D6D95" w:rsidRPr="002D69DA">
        <w:rPr>
          <w:rFonts w:ascii="Palatino Linotype" w:eastAsia="Palatino Linotype" w:hAnsi="Palatino Linotype" w:cs="Palatino Linotype"/>
          <w:color w:val="000000" w:themeColor="text1"/>
        </w:rPr>
        <w:t xml:space="preserve">conformidad con el artículo 90 del Bando Municipal el Ayuntamiento de Toluca se integra por las siguientes dependencias.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Artículo 90.</w:t>
      </w:r>
      <w:r w:rsidRPr="002D69DA">
        <w:rPr>
          <w:rFonts w:ascii="Palatino Linotype" w:eastAsia="Palatino Linotype" w:hAnsi="Palatino Linotype" w:cs="Palatino Linotype"/>
          <w:i/>
          <w:color w:val="000000" w:themeColor="text1"/>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I. DEPENDENCIAS:</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 1. Secretaría del Ayuntamiento;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 Tesorería Municipal;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3.Órgano Interno de Control;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4. Dirección General de Gobierno;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5. Dirección General de Seguridad y Protección; </w:t>
      </w:r>
    </w:p>
    <w:p w:rsidR="004D6D95" w:rsidRPr="002D69DA" w:rsidRDefault="004D6D95" w:rsidP="00E84339">
      <w:pPr>
        <w:pStyle w:val="Prrafodelista"/>
        <w:ind w:left="0"/>
        <w:contextualSpacing w:val="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 xml:space="preserve">6. Dirección General de Administración;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7. Dirección General de Medio Ambiente;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8. Dirección General de Servicios Públicos;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9. Dirección General de Innovación, Planeación y Gestión Urbana;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10. Dirección General de Obras Públicas;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11. Dirección General de Desarrollo Económico;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12. Dirección General de Bienestar; y 13.Dirección General de Educación, Cultura y Turismo.</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 De lo anterior, se colige que el Ayuntamiento de Toluca se integra por la Dirección de Administración quien de acuerdo con el Manual de General de Organización del Sector Central del Ayuntamiento de Toluca, cuenta con las siguientes funciones.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Objetivo </w:t>
      </w:r>
    </w:p>
    <w:p w:rsidR="004D6D95" w:rsidRPr="002D69DA" w:rsidRDefault="004D6D95" w:rsidP="00E84339">
      <w:pPr>
        <w:pStyle w:val="Prrafodelista"/>
        <w:ind w:left="0"/>
        <w:contextualSpacing w:val="0"/>
        <w:jc w:val="both"/>
        <w:rPr>
          <w:rFonts w:ascii="Palatino Linotype" w:hAnsi="Palatino Linotype"/>
          <w:i/>
          <w:color w:val="000000" w:themeColor="text1"/>
        </w:rPr>
      </w:pPr>
      <w:r w:rsidRPr="002D69DA">
        <w:rPr>
          <w:rFonts w:ascii="Palatino Linotype" w:eastAsia="Palatino Linotype" w:hAnsi="Palatino Linotype" w:cs="Palatino Linotype"/>
          <w:i/>
          <w:color w:val="000000" w:themeColor="text1"/>
        </w:rPr>
        <w:t xml:space="preserve">Definir, establecer, difundir y aplicar la normatividad para la administración de personal, adquisición, uso y mantenimiento de bienes, contratación y prestación de servicios, de la tecnología de la información y comunicaciones que requieran las diferentes dependencias y </w:t>
      </w:r>
      <w:r w:rsidRPr="002D69DA">
        <w:rPr>
          <w:rFonts w:ascii="Palatino Linotype" w:eastAsia="Palatino Linotype" w:hAnsi="Palatino Linotype" w:cs="Palatino Linotype"/>
          <w:i/>
          <w:color w:val="000000" w:themeColor="text1"/>
        </w:rPr>
        <w:lastRenderedPageBreak/>
        <w:t>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r w:rsidRPr="002D69DA">
        <w:rPr>
          <w:rFonts w:ascii="Palatino Linotype" w:hAnsi="Palatino Linotype"/>
          <w:i/>
          <w:color w:val="000000" w:themeColor="text1"/>
        </w:rPr>
        <w:t xml:space="preserve">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Funciones: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 Definir mecanismos respecto a los procesos de reclutamiento y selección, contratación, inducción y control del personal, a efecto de que desarrollen de manera óptima eficaz y eficiente las tareas asignadas dentro de la administración pública municipal;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 Instruir el cumplimiento de disposiciones relacionadas con seguridad e higiene laboral, además de las relativas a los derechos y obligaciones del personal establecidas en el Código Reglamentario Municipal de Toluca;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3. Aprobar y controlar los movimientos administrativos y licencias del personal, a fin de ser remitidos en tiempo y forma al área competente para su correcta aplicación; </w:t>
      </w:r>
    </w:p>
    <w:p w:rsidR="004D6D95" w:rsidRPr="002D69DA" w:rsidRDefault="004D6D95" w:rsidP="00E84339">
      <w:pPr>
        <w:pStyle w:val="Prrafodelista"/>
        <w:ind w:left="0"/>
        <w:contextualSpacing w:val="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 xml:space="preserve">4. Validar la elaboración y distribución de la nómina del personal que labora en la administración pública municipal con la finalidad de que devenguen el sueldo correspondiente, lo anterior conforme a la normatividad aplicable y el presupuesto autorizado;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5. Establecer y coordinar políticas y lineamientos en materia de capacitación y adiestramiento del personal que coadyuven al mejoramiento de conocimientos, habilidades, aptitudes y actitudes para cubrir las necesidades institucionales;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6. Conducir y vigilar las relaciones laborales de la administración pública municipal, así como el cumplimiento de los convenios sindicales, con la finalidad de fortalecer las relaciones entre las instituciones;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7. Organizar y autorizar procedimientos de adquisiciones y contratación de servicios, arrendamiento de inmuebles, así como enajenación y subasta de bienes de una manera eficiente y transparente, apegados a la normatividad correspondiente;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8. Autorizar y coordinar el programa anual de adquisiciones de bienes y servicios de uso general, así como los procesos adquisitivos para la compra y entrega oportuna a las unidades administrativas; </w:t>
      </w:r>
    </w:p>
    <w:p w:rsidR="004D6D95" w:rsidRPr="002D69DA" w:rsidRDefault="004D6D95" w:rsidP="00E84339">
      <w:pPr>
        <w:pStyle w:val="Prrafodelista"/>
        <w:ind w:left="0"/>
        <w:contextualSpacing w:val="0"/>
        <w:jc w:val="both"/>
        <w:rPr>
          <w:rFonts w:ascii="Palatino Linotype" w:hAnsi="Palatino Linotype"/>
          <w:i/>
          <w:color w:val="000000" w:themeColor="text1"/>
        </w:rPr>
      </w:pPr>
      <w:r w:rsidRPr="002D69DA">
        <w:rPr>
          <w:rFonts w:ascii="Palatino Linotype" w:eastAsia="Palatino Linotype" w:hAnsi="Palatino Linotype" w:cs="Palatino Linotype"/>
          <w:i/>
          <w:color w:val="000000" w:themeColor="text1"/>
        </w:rPr>
        <w:t>9. Vigilar y aprobar la integración y actualización del catálogo de bienes y servicios; así como del catálogo de proveedores y prestadores de servicios para su utilización en las operaciones de adquisición de bienes y/o contratación de servicios por las diferentes dependencias;</w:t>
      </w:r>
      <w:r w:rsidRPr="002D69DA">
        <w:rPr>
          <w:rFonts w:ascii="Palatino Linotype" w:hAnsi="Palatino Linotype"/>
          <w:i/>
          <w:color w:val="000000" w:themeColor="text1"/>
        </w:rPr>
        <w:t xml:space="preserve">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10. Coordinar la adquisición de bienes y contratación de servicios mediante los procedimientos establecidos en la normatividad aplicable, procurando obtener el mejor precio de mercado sin renunciar a la calidad de los mismos, para cubrir las necesidades de las diferentes áreas que integran la administración pública municipal;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lastRenderedPageBreak/>
        <w:t xml:space="preserve">11. Vigilar la implementación de mecanismos técnicos y tecnológicos necesarios y suficientes que permitan realizar investigación y estudios de mercado;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12. Aprobar y formalizar los contratos para la adquisición de bienes y contratación de servicios, que deriven de cualquiera de los procedimientos establecidos en la normatividad vigente y aplicable;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13. Instruir la aplicación de sanciones a las y los proveedores debido al incumplimiento en los contratos celebrados con el Ayuntamiento;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14. Establecer y presidir los comités de adquisiciones y servicios, de arrendamientos y adquisición de inmuebles y enajenación de bienes, con la finalidad de proveer a las unidades administrativas los recursos e insumos necesarios para el desarrollo de sus funciones conforme a las normas y procedimientos aplicables;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15. Establecer y controlar los mecanismos de entrada, resguardo y salida de materiales que se reciben en los almacenes y sub-almacenes, para su distribución a las diferentes dependencias que integran la administración pública municipal;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16. Controlar los bienes inmuebles arrendados o en arrendamiento, con la finalidad de dar cumplimiento a las relaciones contractuales, procurando su óptimo funcionamiento;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17. Establecer y coordinar programas y acciones de mantenimiento, aseo y limpieza a los inmuebles del gobierno municipal ocupados para fines administrativos que permiten el correcto y adecuado desarrollo de las actividades de las y los servidores públicos;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18. Vigilar los lineamientos y procedimientos para la distribución de combustibles, requeridos por el parque vehicular, de acuerdo al presupuesto y necesidades propias de cada dependencia;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19. Establecer las medidas necesarias para el mantenimiento preventivo y correctivo del parque vehicular de la administración pública municipal, para el funcionamiento y el desempeño de las actividades que realizan las dependencias y órganos;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20. Gestionar ante la Secretaría de Finanzas del Gobierno del Estado de México el alta y baja de placas, tarjeta de circulación, pago anual del impuesto de tenencia y uso de vehículos y/o exención de éste (vehículos que presten un servicio público), de las unidades vehiculares propiedad y en arrendamiento de la administración pública municipal;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21. Coadyuvar con las diversas áreas que integran la administración pública municipal en la organización de actos y eventos oficiales;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22. Establecer y controlar los servicios de tecnologías de la información y comunicaciones en las áreas de gobierno municipal, facilitando el intercambio de información entre el personal, la ciudadanía y representantes de las empresas e instituciones públicas y/o privadas;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23. Autorizar, el uso de los servicios de internet a las unidades administrativas para el desarrollo de sus actividades, que permita el acceso óptimo y seguro a la información en línea;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24. Administrar, mantener y alojar de manera eficiente, las plataformas Web del Ayuntamiento;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lastRenderedPageBreak/>
        <w:t xml:space="preserve">25. Planear, organizar, coordinar, tramitar y controlar las acciones en cuanto a recursos humanos, financieros, materiales, servicios generales y tecnologías de la información para el eficiente y eficaz funcionamiento de las unidades administrativas de la Dirección General de Administración;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26. Organizar, programar y dar seguimiento a la agenda de trabajo y asuntos propios de la Dirección General de Administración para el logro de los objetivos institucionales;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27. Planear, organizar, coordinar y controlar los procedimientos técnicos para la identificación, registro, actualización y asignación de los bienes muebles patrimoniales, propiedad de la administración pública municipal;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28. Proponer, establecer y difundir las normas y políticas en materia de tecnologías de la información y comunicaciones;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29. Planear, proponer e impulsar campañas de fomento para la utilización adecuada de los recursos de Gobierno Electrónico y de mantenimiento de infraestructura de tecnologías de la información y comunicaciones;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30. Definir, determinar y aplicar las acciones en materia de transparencia, planeación y mejora regulatoria aplicables a la normatividad; y </w:t>
      </w:r>
    </w:p>
    <w:p w:rsidR="004D6D95" w:rsidRPr="002D69DA" w:rsidRDefault="004D6D95"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31. Realizar todas aquellas actividades que sean inherentes y aplicables al área de su competencia y las demás que le sean encomendadas por instrucción de la o el C. Presidente Municipal.</w:t>
      </w: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Del artículo en cita, se colige que la Dirección de Administración es el área habilitada del </w:t>
      </w:r>
      <w:r w:rsidRPr="002D69DA">
        <w:rPr>
          <w:rFonts w:ascii="Palatino Linotype" w:eastAsia="Palatino Linotype" w:hAnsi="Palatino Linotype" w:cs="Palatino Linotype"/>
          <w:b/>
          <w:color w:val="000000" w:themeColor="text1"/>
        </w:rPr>
        <w:t xml:space="preserve">SUJETO OBLIGADO </w:t>
      </w:r>
      <w:r w:rsidRPr="002D69DA">
        <w:rPr>
          <w:rFonts w:ascii="Palatino Linotype" w:eastAsia="Palatino Linotype" w:hAnsi="Palatino Linotype" w:cs="Palatino Linotype"/>
          <w:color w:val="000000" w:themeColor="text1"/>
        </w:rPr>
        <w:t xml:space="preserve">para atender la solicitud de información, toda vez que es la encargada validar la elaboración y distribución de la nómina del personal que labora en la administración pública municipal con la finalidad de que devenguen el sueldo correspondiente, lo anterior conforme a la normatividad aplicable y el presupuesto autorizado. </w:t>
      </w:r>
    </w:p>
    <w:p w:rsidR="004D6D95" w:rsidRPr="002D69DA" w:rsidRDefault="004D6D95" w:rsidP="00E84339">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F7000A" w:rsidRPr="002D69DA" w:rsidRDefault="00F7000A" w:rsidP="00E84339">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lang w:val="es-MX"/>
        </w:rPr>
      </w:pPr>
      <w:r w:rsidRPr="002D69DA">
        <w:rPr>
          <w:rFonts w:ascii="Palatino Linotype" w:eastAsia="Palatino Linotype" w:hAnsi="Palatino Linotype" w:cs="Palatino Linotype"/>
          <w:color w:val="000000" w:themeColor="text1"/>
        </w:rPr>
        <w:t xml:space="preserve">Ahora bien, se debe  de establecer que 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en todas las solicitudes de información, requiere un listado de nómina en formato excel por servidor público que contenga, </w:t>
      </w:r>
      <w:r w:rsidRPr="002D69DA">
        <w:rPr>
          <w:rFonts w:ascii="Palatino Linotype" w:eastAsia="Palatino Linotype" w:hAnsi="Palatino Linotype" w:cs="Palatino Linotype"/>
          <w:color w:val="000000" w:themeColor="text1"/>
          <w:lang w:val="es-MX"/>
        </w:rPr>
        <w:t xml:space="preserve">número de empleado, con nombre completo RFC, Fecha alta, antigüedad, categoría, tipo de empleado confianza, sindicalizado, eventual, contrato, sueldo bruto, compensación bruta, gratificación bruta subsidio o impuesto, total </w:t>
      </w:r>
      <w:r w:rsidRPr="002D69DA">
        <w:rPr>
          <w:rFonts w:ascii="Palatino Linotype" w:eastAsia="Palatino Linotype" w:hAnsi="Palatino Linotype" w:cs="Palatino Linotype"/>
          <w:color w:val="000000" w:themeColor="text1"/>
          <w:lang w:val="es-MX"/>
        </w:rPr>
        <w:lastRenderedPageBreak/>
        <w:t>percepcione</w:t>
      </w:r>
      <w:r w:rsidR="00930D35" w:rsidRPr="002D69DA">
        <w:rPr>
          <w:rFonts w:ascii="Palatino Linotype" w:eastAsia="Palatino Linotype" w:hAnsi="Palatino Linotype" w:cs="Palatino Linotype"/>
          <w:color w:val="000000" w:themeColor="text1"/>
          <w:lang w:val="es-MX"/>
        </w:rPr>
        <w:t>s</w:t>
      </w:r>
      <w:r w:rsidRPr="002D69DA">
        <w:rPr>
          <w:rFonts w:ascii="Palatino Linotype" w:eastAsia="Palatino Linotype" w:hAnsi="Palatino Linotype" w:cs="Palatino Linotype"/>
          <w:color w:val="000000" w:themeColor="text1"/>
          <w:lang w:val="es-MX"/>
        </w:rPr>
        <w:t xml:space="preserve"> brutas Issemym desglosado, ISR total deducciones neto, nombre del departamento, nombre de la dirección,  clave de Isse</w:t>
      </w:r>
      <w:r w:rsidR="00930D35" w:rsidRPr="002D69DA">
        <w:rPr>
          <w:rFonts w:ascii="Palatino Linotype" w:eastAsia="Palatino Linotype" w:hAnsi="Palatino Linotype" w:cs="Palatino Linotype"/>
          <w:color w:val="000000" w:themeColor="text1"/>
          <w:lang w:val="es-MX"/>
        </w:rPr>
        <w:t>mym del trabajador,  número de p</w:t>
      </w:r>
      <w:r w:rsidRPr="002D69DA">
        <w:rPr>
          <w:rFonts w:ascii="Palatino Linotype" w:eastAsia="Palatino Linotype" w:hAnsi="Palatino Linotype" w:cs="Palatino Linotype"/>
          <w:color w:val="000000" w:themeColor="text1"/>
          <w:lang w:val="es-MX"/>
        </w:rPr>
        <w:t>laza,  CURP  del trabajador</w:t>
      </w:r>
      <w:r w:rsidR="00930D35" w:rsidRPr="002D69DA">
        <w:rPr>
          <w:rFonts w:ascii="Palatino Linotype" w:eastAsia="Palatino Linotype" w:hAnsi="Palatino Linotype" w:cs="Palatino Linotype"/>
          <w:color w:val="000000" w:themeColor="text1"/>
          <w:lang w:val="es-MX"/>
        </w:rPr>
        <w:t xml:space="preserve">, situación por la cual se debe de establecer que lo solicitado se puede encontrar de manera enunciativa más limitativa en la </w:t>
      </w:r>
      <w:r w:rsidR="00930D35" w:rsidRPr="002D69DA">
        <w:rPr>
          <w:rFonts w:ascii="Palatino Linotype" w:eastAsia="Palatino Linotype" w:hAnsi="Palatino Linotype" w:cs="Palatino Linotype"/>
          <w:b/>
          <w:color w:val="000000" w:themeColor="text1"/>
          <w:lang w:val="es-MX"/>
        </w:rPr>
        <w:t xml:space="preserve">conciliación de nómina, </w:t>
      </w:r>
      <w:r w:rsidR="00930D35" w:rsidRPr="002D69DA">
        <w:rPr>
          <w:rFonts w:ascii="Palatino Linotype" w:eastAsia="Palatino Linotype" w:hAnsi="Palatino Linotype" w:cs="Palatino Linotype"/>
          <w:color w:val="000000" w:themeColor="text1"/>
          <w:lang w:val="es-MX"/>
        </w:rPr>
        <w:t xml:space="preserve">situación por la cual se hace el siguiente </w:t>
      </w:r>
      <w:r w:rsidR="00E84339" w:rsidRPr="002D69DA">
        <w:rPr>
          <w:rFonts w:ascii="Palatino Linotype" w:eastAsia="Palatino Linotype" w:hAnsi="Palatino Linotype" w:cs="Palatino Linotype"/>
          <w:color w:val="000000" w:themeColor="text1"/>
          <w:lang w:val="es-MX"/>
        </w:rPr>
        <w:t>análisis</w:t>
      </w:r>
      <w:r w:rsidR="00930D35" w:rsidRPr="002D69DA">
        <w:rPr>
          <w:rFonts w:ascii="Palatino Linotype" w:eastAsia="Palatino Linotype" w:hAnsi="Palatino Linotype" w:cs="Palatino Linotype"/>
          <w:color w:val="000000" w:themeColor="text1"/>
          <w:lang w:val="es-MX"/>
        </w:rPr>
        <w:t xml:space="preserve">. </w:t>
      </w:r>
    </w:p>
    <w:p w:rsidR="00F7000A" w:rsidRPr="002D69DA" w:rsidRDefault="00F7000A" w:rsidP="00E84339">
      <w:pPr>
        <w:pStyle w:val="Prrafodelista"/>
        <w:ind w:left="0"/>
        <w:rPr>
          <w:rFonts w:ascii="Palatino Linotype" w:eastAsia="Palatino Linotype" w:hAnsi="Palatino Linotype" w:cs="Palatino Linotype"/>
          <w:color w:val="000000" w:themeColor="text1"/>
        </w:rPr>
      </w:pPr>
    </w:p>
    <w:p w:rsidR="004D6D95" w:rsidRPr="002D69DA" w:rsidRDefault="00B50B20"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color w:val="000000" w:themeColor="text1"/>
        </w:rPr>
        <w:t xml:space="preserve">Respecto a la </w:t>
      </w:r>
      <w:r w:rsidR="004D6D95" w:rsidRPr="002D69DA">
        <w:rPr>
          <w:rFonts w:ascii="Palatino Linotype" w:eastAsia="Palatino Linotype" w:hAnsi="Palatino Linotype" w:cs="Palatino Linotype"/>
          <w:b/>
          <w:color w:val="000000" w:themeColor="text1"/>
        </w:rPr>
        <w:t>conciliación de nómina</w:t>
      </w:r>
      <w:r w:rsidR="004D6D95" w:rsidRPr="002D69DA">
        <w:rPr>
          <w:rFonts w:ascii="Palatino Linotype" w:eastAsia="Palatino Linotype" w:hAnsi="Palatino Linotype" w:cs="Palatino Linotype"/>
          <w:color w:val="000000" w:themeColor="text1"/>
        </w:rPr>
        <w:t xml:space="preserve">, </w:t>
      </w:r>
      <w:r w:rsidRPr="002D69DA">
        <w:rPr>
          <w:rFonts w:ascii="Palatino Linotype" w:eastAsia="Palatino Linotype" w:hAnsi="Palatino Linotype" w:cs="Palatino Linotype"/>
          <w:color w:val="000000" w:themeColor="text1"/>
        </w:rPr>
        <w:t xml:space="preserve">se debe de fijar que es </w:t>
      </w:r>
      <w:r w:rsidR="004D6D95" w:rsidRPr="002D69DA">
        <w:rPr>
          <w:rFonts w:ascii="Palatino Linotype" w:eastAsia="Palatino Linotype" w:hAnsi="Palatino Linotype" w:cs="Palatino Linotype"/>
          <w:color w:val="000000" w:themeColor="text1"/>
        </w:rPr>
        <w:t xml:space="preserve">información que se encuentra dentro de las atribuciones de la Tesorería Municipal, quien de acuerdo con la Ley Orgánica Municipal del Estado de México, tiene las siguientes funciones.  </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 xml:space="preserve">Artículo 95.- </w:t>
      </w:r>
      <w:r w:rsidRPr="002D69DA">
        <w:rPr>
          <w:rFonts w:ascii="Palatino Linotype" w:eastAsia="Palatino Linotype" w:hAnsi="Palatino Linotype" w:cs="Palatino Linotype"/>
          <w:i/>
          <w:color w:val="000000" w:themeColor="text1"/>
        </w:rPr>
        <w:t xml:space="preserve">Son atribuciones del tesorero municipal: </w:t>
      </w:r>
    </w:p>
    <w:p w:rsidR="004D6D95" w:rsidRPr="002D69DA" w:rsidRDefault="004D6D95" w:rsidP="00E84339">
      <w:pPr>
        <w:numPr>
          <w:ilvl w:val="1"/>
          <w:numId w:val="16"/>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2D69DA">
        <w:rPr>
          <w:rFonts w:ascii="Palatino Linotype" w:eastAsia="Calibri" w:hAnsi="Palatino Linotype"/>
          <w:color w:val="000000" w:themeColor="text1"/>
        </w:rPr>
        <w:t xml:space="preserve">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VI. Presentar anualmente al ayuntamiento un informe de la situación contable financiera de la Tesorería Municipal;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VII. Diseñar y aprobar las formas oficiales de manifestaciones, avisos y declaraciones y demás documentos requeridos;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IX. Proponer al ayuntamiento la cancelación de cuentas incobrables;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X. Custodiar y ejercer las garantías que se otorguen en favor de la hacienda municipal;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lastRenderedPageBreak/>
        <w:t xml:space="preserve">XI. Proponer la política de ingresos de la tesorería municipal;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XII. Intervenir en la elaboración del programa financiero municipal;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XIII. Elaborar y mantener actualizado el Padrón de Contribuyentes;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 xml:space="preserve">XIV. Ministrar a su inmediato antecesor todos los datos oficiales que le solicitare, para contestar los pliegos de observaciones y alcances que formule y deduzca el Órgano Superior de Fiscalización del Estado de México;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XVI. Glosar oportunamente las cuentas del ayuntamiento;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2D69DA">
        <w:rPr>
          <w:rFonts w:ascii="Palatino Linotype" w:eastAsia="Palatino Linotype" w:hAnsi="Palatino Linotype" w:cs="Palatino Linotype"/>
          <w:i/>
          <w:color w:val="000000" w:themeColor="text1"/>
        </w:rPr>
        <w:t xml:space="preserve">;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XX. Dar cumplimiento a las leyes, convenios de coordinación fiscal y demás que en materia hacendaria celebre el Ayuntamiento con el Estado;</w:t>
      </w:r>
      <w:r w:rsidRPr="002D69DA">
        <w:rPr>
          <w:rFonts w:ascii="Palatino Linotype" w:eastAsia="Calibri" w:hAnsi="Palatino Linotype"/>
          <w:color w:val="000000" w:themeColor="text1"/>
        </w:rPr>
        <w:t xml:space="preserve">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XXII. Las que les señalen las demás disposiciones legales y el ayuntamiento.</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que le requiera el Órgano Superior de Fiscalización del Estado de México al Municipio y así </w:t>
      </w:r>
      <w:r w:rsidRPr="002D69DA">
        <w:rPr>
          <w:rFonts w:ascii="Palatino Linotype" w:eastAsia="Palatino Linotype" w:hAnsi="Palatino Linotype" w:cs="Palatino Linotype"/>
          <w:color w:val="000000" w:themeColor="text1"/>
        </w:rPr>
        <w:lastRenderedPageBreak/>
        <w:t xml:space="preserve">como la entrega oportuna al Síndico Municipal del informe mensual que se remite al Órgano Superior de Fiscalización del Estado de México. </w:t>
      </w:r>
    </w:p>
    <w:p w:rsidR="004D6D95" w:rsidRPr="002D69DA" w:rsidRDefault="004D6D95" w:rsidP="00E84339">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En esa línea de estudio, se debe de señalar que la información solicitada por parte del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Artículo 92.</w:t>
      </w:r>
      <w:r w:rsidRPr="002D69DA">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D6D95" w:rsidRPr="002D69DA" w:rsidRDefault="004D6D95" w:rsidP="00E84339">
      <w:pPr>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4D6D95" w:rsidRPr="002D69DA" w:rsidRDefault="004D6D95" w:rsidP="00E84339">
      <w:pPr>
        <w:jc w:val="both"/>
        <w:rPr>
          <w:rFonts w:ascii="Palatino Linotype" w:eastAsia="Palatino Linotype" w:hAnsi="Palatino Linotype" w:cs="Palatino Linotype"/>
          <w:b/>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2D69DA">
        <w:rPr>
          <w:rFonts w:ascii="Palatino Linotype" w:eastAsia="Palatino Linotype" w:hAnsi="Palatino Linotype" w:cs="Palatino Linotype"/>
          <w:i/>
          <w:color w:val="000000" w:themeColor="text1"/>
        </w:rPr>
        <w:t xml:space="preserve">en el ámbito de sus atribuciones, de promover, respetar, proteger y </w:t>
      </w:r>
      <w:r w:rsidRPr="002D69DA">
        <w:rPr>
          <w:rFonts w:ascii="Palatino Linotype" w:eastAsia="Palatino Linotype" w:hAnsi="Palatino Linotype" w:cs="Palatino Linotype"/>
          <w:b/>
          <w:i/>
          <w:color w:val="000000" w:themeColor="text1"/>
        </w:rPr>
        <w:t>garantizar</w:t>
      </w:r>
      <w:r w:rsidRPr="002D69DA">
        <w:rPr>
          <w:rFonts w:ascii="Palatino Linotype" w:eastAsia="Palatino Linotype" w:hAnsi="Palatino Linotype" w:cs="Palatino Linotype"/>
          <w:i/>
          <w:color w:val="000000" w:themeColor="text1"/>
        </w:rPr>
        <w:t xml:space="preserve"> los derechos humanos. </w:t>
      </w:r>
      <w:r w:rsidRPr="002D69DA">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2D69DA">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2D69DA">
        <w:rPr>
          <w:rFonts w:ascii="Palatino Linotype" w:hAnsi="Palatino Linotype"/>
          <w:i/>
          <w:color w:val="000000" w:themeColor="text1"/>
          <w:vertAlign w:val="superscript"/>
        </w:rPr>
        <w:footnoteReference w:id="6"/>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color w:val="000000" w:themeColor="text1"/>
        </w:rPr>
        <w:t>asimismo establece</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i/>
          <w:color w:val="000000" w:themeColor="text1"/>
        </w:rPr>
        <w:lastRenderedPageBreak/>
        <w:t>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 xml:space="preserve">“NÓMINA </w:t>
      </w:r>
      <w:r w:rsidRPr="002D69DA">
        <w:rPr>
          <w:rFonts w:ascii="Palatino Linotype" w:eastAsia="Palatino Linotype" w:hAnsi="Palatino Linotype" w:cs="Palatino Linotype"/>
          <w:i/>
          <w:color w:val="000000" w:themeColor="text1"/>
        </w:rPr>
        <w:t>Listado general de los trabajadores de una institución, en</w:t>
      </w:r>
      <w:r w:rsidRPr="002D69DA">
        <w:rPr>
          <w:rFonts w:ascii="Palatino Linotype" w:eastAsia="Palatino Linotype" w:hAnsi="Palatino Linotype" w:cs="Palatino Linotype"/>
          <w:b/>
          <w:i/>
          <w:color w:val="000000" w:themeColor="text1"/>
        </w:rPr>
        <w:t xml:space="preserve"> </w:t>
      </w:r>
      <w:r w:rsidRPr="002D69DA">
        <w:rPr>
          <w:rFonts w:ascii="Palatino Linotype" w:eastAsia="Palatino Linotype" w:hAnsi="Palatino Linotype" w:cs="Palatino Linotype"/>
          <w:i/>
          <w:color w:val="000000" w:themeColor="text1"/>
        </w:rPr>
        <w:t>el cual se asientan las percepciones brutas, deducciones y</w:t>
      </w:r>
      <w:r w:rsidRPr="002D69DA">
        <w:rPr>
          <w:rFonts w:ascii="Palatino Linotype" w:eastAsia="Palatino Linotype" w:hAnsi="Palatino Linotype" w:cs="Palatino Linotype"/>
          <w:b/>
          <w:i/>
          <w:color w:val="000000" w:themeColor="text1"/>
        </w:rPr>
        <w:t xml:space="preserve"> </w:t>
      </w:r>
      <w:r w:rsidRPr="002D69DA">
        <w:rPr>
          <w:rFonts w:ascii="Palatino Linotype" w:eastAsia="Palatino Linotype" w:hAnsi="Palatino Linotype" w:cs="Palatino Linotype"/>
          <w:i/>
          <w:color w:val="000000" w:themeColor="text1"/>
        </w:rPr>
        <w:t>alcance neto de las mismas; la nómina es utilizada para</w:t>
      </w:r>
      <w:r w:rsidRPr="002D69DA">
        <w:rPr>
          <w:rFonts w:ascii="Palatino Linotype" w:eastAsia="Palatino Linotype" w:hAnsi="Palatino Linotype" w:cs="Palatino Linotype"/>
          <w:b/>
          <w:i/>
          <w:color w:val="000000" w:themeColor="text1"/>
        </w:rPr>
        <w:t xml:space="preserve"> </w:t>
      </w:r>
      <w:r w:rsidRPr="002D69DA">
        <w:rPr>
          <w:rFonts w:ascii="Palatino Linotype" w:eastAsia="Palatino Linotype" w:hAnsi="Palatino Linotype" w:cs="Palatino Linotype"/>
          <w:i/>
          <w:color w:val="000000" w:themeColor="text1"/>
        </w:rPr>
        <w:t>efectuar los pagos periódicos (semanales, quincenales o</w:t>
      </w:r>
      <w:r w:rsidRPr="002D69DA">
        <w:rPr>
          <w:rFonts w:ascii="Palatino Linotype" w:eastAsia="Palatino Linotype" w:hAnsi="Palatino Linotype" w:cs="Palatino Linotype"/>
          <w:b/>
          <w:i/>
          <w:color w:val="000000" w:themeColor="text1"/>
        </w:rPr>
        <w:t xml:space="preserve"> </w:t>
      </w:r>
      <w:r w:rsidRPr="002D69DA">
        <w:rPr>
          <w:rFonts w:ascii="Palatino Linotype" w:eastAsia="Palatino Linotype" w:hAnsi="Palatino Linotype" w:cs="Palatino Linotype"/>
          <w:i/>
          <w:color w:val="000000" w:themeColor="text1"/>
        </w:rPr>
        <w:t>mensuales) a los trabajadores por concepto de sueldos y</w:t>
      </w:r>
      <w:r w:rsidRPr="002D69DA">
        <w:rPr>
          <w:rFonts w:ascii="Palatino Linotype" w:eastAsia="Palatino Linotype" w:hAnsi="Palatino Linotype" w:cs="Palatino Linotype"/>
          <w:b/>
          <w:i/>
          <w:color w:val="000000" w:themeColor="text1"/>
        </w:rPr>
        <w:t xml:space="preserve"> </w:t>
      </w:r>
      <w:r w:rsidRPr="002D69DA">
        <w:rPr>
          <w:rFonts w:ascii="Palatino Linotype" w:eastAsia="Palatino Linotype" w:hAnsi="Palatino Linotype" w:cs="Palatino Linotype"/>
          <w:i/>
          <w:color w:val="000000" w:themeColor="text1"/>
        </w:rPr>
        <w:t>salarios.”(Sic)</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r w:rsidRPr="002D69DA">
        <w:rPr>
          <w:rFonts w:ascii="Palatino Linotype" w:eastAsia="Palatino Linotype" w:hAnsi="Palatino Linotype" w:cs="Palatino Linotype"/>
          <w:b/>
          <w:i/>
          <w:color w:val="000000" w:themeColor="text1"/>
        </w:rPr>
        <w:t>Artículo 804.-</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2D69DA">
        <w:rPr>
          <w:rFonts w:ascii="Palatino Linotype" w:eastAsia="Palatino Linotype" w:hAnsi="Palatino Linotype" w:cs="Palatino Linotype"/>
          <w:i/>
          <w:color w:val="000000" w:themeColor="text1"/>
        </w:rPr>
        <w:t>:</w:t>
      </w:r>
    </w:p>
    <w:p w:rsidR="004D6D95" w:rsidRPr="002D69DA" w:rsidRDefault="004D6D95" w:rsidP="00E84339">
      <w:pPr>
        <w:jc w:val="both"/>
        <w:rPr>
          <w:rFonts w:ascii="Palatino Linotype" w:eastAsia="Palatino Linotype" w:hAnsi="Palatino Linotype" w:cs="Palatino Linotype"/>
          <w:i/>
          <w:color w:val="000000" w:themeColor="text1"/>
        </w:rPr>
      </w:pPr>
    </w:p>
    <w:p w:rsidR="004D6D95" w:rsidRPr="002D69DA" w:rsidRDefault="004D6D95" w:rsidP="00E84339">
      <w:pPr>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lastRenderedPageBreak/>
        <w:t>II.</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Listas de raya o nómina de personal</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 xml:space="preserve">cuando se lleven en el centro de trabajo; o recibos de pagos de salarios; </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2D69DA">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2D69DA">
        <w:rPr>
          <w:rFonts w:ascii="Palatino Linotype" w:eastAsia="Palatino Linotype" w:hAnsi="Palatino Linotype" w:cs="Palatino Linotype"/>
          <w:i/>
          <w:color w:val="000000" w:themeColor="text1"/>
        </w:rPr>
        <w:t>; y los mencionados en la fracción V, conforme lo señalen las Leyes que los rijan.” (Sic)</w:t>
      </w:r>
    </w:p>
    <w:p w:rsidR="004D6D95" w:rsidRPr="002D69DA" w:rsidRDefault="004D6D95" w:rsidP="00E84339">
      <w:pPr>
        <w:jc w:val="both"/>
        <w:rPr>
          <w:rFonts w:ascii="Palatino Linotype" w:eastAsia="Palatino Linotype" w:hAnsi="Palatino Linotype" w:cs="Palatino Linotype"/>
          <w:i/>
          <w:color w:val="000000" w:themeColor="text1"/>
        </w:rPr>
      </w:pPr>
    </w:p>
    <w:p w:rsidR="004D6D95"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A35104" w:rsidRPr="002D69DA" w:rsidRDefault="00A35104" w:rsidP="00A35104">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4D6D95" w:rsidRPr="002D69DA" w:rsidRDefault="004D6D95" w:rsidP="00E84339">
      <w:pPr>
        <w:tabs>
          <w:tab w:val="left" w:pos="9072"/>
        </w:tabs>
        <w:spacing w:before="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“ARTÍCULO 220 K.-</w:t>
      </w:r>
      <w:r w:rsidRPr="002D69DA">
        <w:rPr>
          <w:rFonts w:ascii="Palatino Linotype" w:eastAsia="Palatino Linotype" w:hAnsi="Palatino Linotype" w:cs="Palatino Linotype"/>
          <w:i/>
          <w:color w:val="000000" w:themeColor="text1"/>
        </w:rPr>
        <w:t xml:space="preserve"> La </w:t>
      </w:r>
      <w:r w:rsidRPr="002D69DA">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se precisan</w:t>
      </w:r>
      <w:r w:rsidRPr="002D69DA">
        <w:rPr>
          <w:rFonts w:ascii="Palatino Linotype" w:eastAsia="Palatino Linotype" w:hAnsi="Palatino Linotype" w:cs="Palatino Linotype"/>
          <w:i/>
          <w:color w:val="000000" w:themeColor="text1"/>
        </w:rPr>
        <w:t>:</w:t>
      </w:r>
    </w:p>
    <w:p w:rsidR="004D6D95" w:rsidRPr="002D69DA" w:rsidRDefault="004D6D95" w:rsidP="00E84339">
      <w:pPr>
        <w:tabs>
          <w:tab w:val="left" w:pos="9072"/>
        </w:tabs>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tabs>
          <w:tab w:val="left" w:pos="9072"/>
        </w:tabs>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i/>
          <w:color w:val="000000" w:themeColor="text1"/>
        </w:rPr>
        <w:t xml:space="preserve">II. </w:t>
      </w:r>
      <w:r w:rsidRPr="002D69DA">
        <w:rPr>
          <w:rFonts w:ascii="Palatino Linotype" w:eastAsia="Palatino Linotype" w:hAnsi="Palatino Linotype" w:cs="Palatino Linotype"/>
          <w:b/>
          <w:i/>
          <w:color w:val="000000" w:themeColor="text1"/>
        </w:rPr>
        <w:t>Recibos de pagos de salarios o</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las constancias documentales del pago de salario</w:t>
      </w:r>
      <w:r w:rsidRPr="002D69DA">
        <w:rPr>
          <w:rFonts w:ascii="Palatino Linotype" w:eastAsia="Palatino Linotype" w:hAnsi="Palatino Linotype" w:cs="Palatino Linotype"/>
          <w:i/>
          <w:color w:val="000000" w:themeColor="text1"/>
        </w:rPr>
        <w:t xml:space="preserve"> </w:t>
      </w:r>
      <w:r w:rsidRPr="002D69DA">
        <w:rPr>
          <w:rFonts w:ascii="Palatino Linotype" w:eastAsia="Palatino Linotype" w:hAnsi="Palatino Linotype" w:cs="Palatino Linotype"/>
          <w:b/>
          <w:i/>
          <w:color w:val="000000" w:themeColor="text1"/>
        </w:rPr>
        <w:t xml:space="preserve">cuando </w:t>
      </w:r>
      <w:r w:rsidRPr="002D69DA">
        <w:rPr>
          <w:rFonts w:ascii="Palatino Linotype" w:eastAsia="Palatino Linotype" w:hAnsi="Palatino Linotype" w:cs="Palatino Linotype"/>
          <w:b/>
          <w:i/>
          <w:color w:val="000000" w:themeColor="text1"/>
          <w:u w:val="single"/>
        </w:rPr>
        <w:t>sea por depósito o mediante información electrónica</w:t>
      </w:r>
      <w:r w:rsidRPr="002D69DA">
        <w:rPr>
          <w:rFonts w:ascii="Palatino Linotype" w:eastAsia="Palatino Linotype" w:hAnsi="Palatino Linotype" w:cs="Palatino Linotype"/>
          <w:b/>
          <w:i/>
          <w:color w:val="000000" w:themeColor="text1"/>
        </w:rPr>
        <w:t>;</w:t>
      </w:r>
    </w:p>
    <w:p w:rsidR="004D6D95" w:rsidRPr="002D69DA" w:rsidRDefault="004D6D95" w:rsidP="00E84339">
      <w:pPr>
        <w:tabs>
          <w:tab w:val="left" w:pos="9072"/>
        </w:tabs>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w:t>
      </w:r>
    </w:p>
    <w:p w:rsidR="004D6D95" w:rsidRPr="002D69DA" w:rsidRDefault="004D6D95" w:rsidP="00E84339">
      <w:pPr>
        <w:tabs>
          <w:tab w:val="left" w:pos="9072"/>
        </w:tabs>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4D6D95" w:rsidRPr="002D69DA" w:rsidRDefault="004D6D95" w:rsidP="00E84339">
      <w:pPr>
        <w:tabs>
          <w:tab w:val="left" w:pos="9072"/>
        </w:tabs>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4D6D95" w:rsidRPr="002D69DA" w:rsidRDefault="004D6D95" w:rsidP="00E84339">
      <w:pPr>
        <w:tabs>
          <w:tab w:val="left" w:pos="9072"/>
        </w:tabs>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2D69DA">
        <w:rPr>
          <w:rFonts w:ascii="Palatino Linotype" w:eastAsia="Palatino Linotype" w:hAnsi="Palatino Linotype" w:cs="Palatino Linotype"/>
          <w:b/>
          <w:color w:val="000000" w:themeColor="text1"/>
        </w:rPr>
        <w:t>SUJETO OBLIGADO</w:t>
      </w:r>
      <w:r w:rsidRPr="002D69DA">
        <w:rPr>
          <w:rFonts w:ascii="Palatino Linotype" w:eastAsia="Palatino Linotype" w:hAnsi="Palatino Linotype" w:cs="Palatino Linotype"/>
          <w:color w:val="000000" w:themeColor="text1"/>
        </w:rPr>
        <w:t>,</w:t>
      </w:r>
      <w:r w:rsidRPr="002D69DA">
        <w:rPr>
          <w:rFonts w:ascii="Palatino Linotype" w:hAnsi="Palatino Linotype"/>
          <w:color w:val="000000" w:themeColor="text1"/>
        </w:rPr>
        <w:t xml:space="preserve"> </w:t>
      </w:r>
      <w:r w:rsidRPr="002D69DA">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4D6D95" w:rsidRPr="002D69DA" w:rsidRDefault="004D6D95" w:rsidP="00E84339">
      <w:pPr>
        <w:spacing w:before="24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Artículo 4.- Son sujetos de fiscalización:</w:t>
      </w:r>
    </w:p>
    <w:p w:rsidR="004D6D95" w:rsidRPr="002D69DA" w:rsidRDefault="004D6D95" w:rsidP="00E84339">
      <w:pPr>
        <w:numPr>
          <w:ilvl w:val="1"/>
          <w:numId w:val="16"/>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Los Poderes Públicos del Estado;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t xml:space="preserve">II. Los municipios del Estado de México;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III. Los organismos autónomos;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 xml:space="preserve">IV. Los organismos auxiliares;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2D69DA">
        <w:rPr>
          <w:rFonts w:ascii="Palatino Linotype" w:eastAsia="Calibri" w:hAnsi="Palatino Linotype"/>
          <w:color w:val="000000" w:themeColor="text1"/>
        </w:rPr>
        <w:t xml:space="preserve"> </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4D6D95" w:rsidRPr="002D69DA" w:rsidRDefault="004D6D95" w:rsidP="00E84339">
      <w:pPr>
        <w:pBdr>
          <w:top w:val="nil"/>
          <w:left w:val="nil"/>
          <w:bottom w:val="nil"/>
          <w:right w:val="nil"/>
          <w:between w:val="nil"/>
        </w:pBdr>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informes trimestrales, denominado “Políticas para la Integración del Informe </w:t>
      </w:r>
      <w:r w:rsidRPr="002D69DA">
        <w:rPr>
          <w:rFonts w:ascii="Palatino Linotype" w:eastAsia="Palatino Linotype" w:hAnsi="Palatino Linotype" w:cs="Palatino Linotype"/>
          <w:color w:val="000000" w:themeColor="text1"/>
        </w:rPr>
        <w:lastRenderedPageBreak/>
        <w:t>Trimestral de los Sujetos de Fiscalización Municipales”, cuyo objetivo es establecer las especificaciones necesarias para que las entidades fiscales elaboren y pr</w:t>
      </w:r>
      <w:r w:rsidR="00B50B20" w:rsidRPr="002D69DA">
        <w:rPr>
          <w:rFonts w:ascii="Palatino Linotype" w:eastAsia="Palatino Linotype" w:hAnsi="Palatino Linotype" w:cs="Palatino Linotype"/>
          <w:color w:val="000000" w:themeColor="text1"/>
        </w:rPr>
        <w:t xml:space="preserve">esentes los referidos informes. </w:t>
      </w:r>
    </w:p>
    <w:p w:rsidR="00B50B20" w:rsidRPr="002D69DA" w:rsidRDefault="00B50B20" w:rsidP="00E84339">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4D6D95" w:rsidRPr="002D69DA" w:rsidRDefault="004D6D95" w:rsidP="00E84339">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rsidR="004D6D95" w:rsidRPr="002D69DA" w:rsidRDefault="004D6D95" w:rsidP="00E84339">
      <w:pPr>
        <w:numPr>
          <w:ilvl w:val="1"/>
          <w:numId w:val="16"/>
        </w:numPr>
        <w:pBdr>
          <w:top w:val="nil"/>
          <w:left w:val="nil"/>
          <w:bottom w:val="nil"/>
          <w:right w:val="nil"/>
          <w:between w:val="nil"/>
        </w:pBdr>
        <w:tabs>
          <w:tab w:val="left" w:pos="426"/>
        </w:tabs>
        <w:spacing w:before="240" w:line="360" w:lineRule="auto"/>
        <w:ind w:left="0" w:hanging="36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Información impresa; e</w:t>
      </w:r>
    </w:p>
    <w:p w:rsidR="004D6D95" w:rsidRPr="002D69DA" w:rsidRDefault="004D6D95" w:rsidP="00E84339">
      <w:pPr>
        <w:numPr>
          <w:ilvl w:val="1"/>
          <w:numId w:val="16"/>
        </w:numPr>
        <w:pBdr>
          <w:top w:val="nil"/>
          <w:left w:val="nil"/>
          <w:bottom w:val="nil"/>
          <w:right w:val="nil"/>
          <w:between w:val="nil"/>
        </w:pBdr>
        <w:tabs>
          <w:tab w:val="left" w:pos="426"/>
        </w:tabs>
        <w:spacing w:line="360" w:lineRule="auto"/>
        <w:ind w:left="0" w:hanging="36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Información en medio de almacenamiento electrónico.</w:t>
      </w:r>
    </w:p>
    <w:p w:rsidR="004D6D95" w:rsidRPr="002D69DA" w:rsidRDefault="004D6D95" w:rsidP="00E8433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4D6D95" w:rsidRPr="002D69DA" w:rsidRDefault="004D6D95" w:rsidP="00E84339">
      <w:pPr>
        <w:numPr>
          <w:ilvl w:val="1"/>
          <w:numId w:val="16"/>
        </w:numPr>
        <w:pBdr>
          <w:top w:val="nil"/>
          <w:left w:val="nil"/>
          <w:bottom w:val="nil"/>
          <w:right w:val="nil"/>
          <w:between w:val="nil"/>
        </w:pBdr>
        <w:tabs>
          <w:tab w:val="left" w:pos="426"/>
        </w:tabs>
        <w:spacing w:before="240" w:line="360" w:lineRule="auto"/>
        <w:ind w:left="0" w:hanging="36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Módulo 1: Información contable y financiera;</w:t>
      </w:r>
    </w:p>
    <w:p w:rsidR="004D6D95" w:rsidRPr="002D69DA" w:rsidRDefault="004D6D95" w:rsidP="00E84339">
      <w:pPr>
        <w:numPr>
          <w:ilvl w:val="1"/>
          <w:numId w:val="16"/>
        </w:numPr>
        <w:pBdr>
          <w:top w:val="nil"/>
          <w:left w:val="nil"/>
          <w:bottom w:val="nil"/>
          <w:right w:val="nil"/>
          <w:between w:val="nil"/>
        </w:pBdr>
        <w:tabs>
          <w:tab w:val="left" w:pos="426"/>
        </w:tabs>
        <w:spacing w:line="360" w:lineRule="auto"/>
        <w:ind w:left="0" w:hanging="36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Módulo 2: Información presupuestaria;</w:t>
      </w:r>
    </w:p>
    <w:p w:rsidR="004D6D95" w:rsidRPr="002D69DA" w:rsidRDefault="004D6D95" w:rsidP="00E84339">
      <w:pPr>
        <w:numPr>
          <w:ilvl w:val="1"/>
          <w:numId w:val="16"/>
        </w:numPr>
        <w:pBdr>
          <w:top w:val="nil"/>
          <w:left w:val="nil"/>
          <w:bottom w:val="nil"/>
          <w:right w:val="nil"/>
          <w:between w:val="nil"/>
        </w:pBdr>
        <w:tabs>
          <w:tab w:val="left" w:pos="426"/>
        </w:tabs>
        <w:spacing w:line="360" w:lineRule="auto"/>
        <w:ind w:left="0" w:hanging="36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Módulo 3: Información programática; y</w:t>
      </w:r>
    </w:p>
    <w:p w:rsidR="004D6D95" w:rsidRPr="002D69DA" w:rsidRDefault="004D6D95" w:rsidP="00E84339">
      <w:pPr>
        <w:numPr>
          <w:ilvl w:val="1"/>
          <w:numId w:val="16"/>
        </w:numPr>
        <w:pBdr>
          <w:top w:val="nil"/>
          <w:left w:val="nil"/>
          <w:bottom w:val="nil"/>
          <w:right w:val="nil"/>
          <w:between w:val="nil"/>
        </w:pBdr>
        <w:tabs>
          <w:tab w:val="left" w:pos="426"/>
        </w:tabs>
        <w:spacing w:line="360" w:lineRule="auto"/>
        <w:ind w:left="0" w:hanging="36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i/>
          <w:color w:val="000000" w:themeColor="text1"/>
        </w:rPr>
        <w:t>Módulo 4: Información administrativa.</w:t>
      </w:r>
    </w:p>
    <w:p w:rsidR="004D6D95" w:rsidRPr="002D69DA" w:rsidRDefault="004D6D95" w:rsidP="00E8433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i/>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lastRenderedPageBreak/>
        <w:t xml:space="preserve">Siendo de especial interés, para el presente asunto, el contenido del Módulo 4, sobre ‘Información Administrativa’; que de acuerdo con las </w:t>
      </w:r>
      <w:r w:rsidRPr="002D69DA">
        <w:rPr>
          <w:rFonts w:ascii="Palatino Linotype" w:eastAsia="Palatino Linotype" w:hAnsi="Palatino Linotype" w:cs="Palatino Linotype"/>
          <w:b/>
          <w:color w:val="000000" w:themeColor="text1"/>
        </w:rPr>
        <w:t>“Políticas para la Integración del Informe Trimestral de los Sujetos de Fiscalización Municipales”</w:t>
      </w:r>
      <w:r w:rsidRPr="002D69DA">
        <w:rPr>
          <w:rFonts w:ascii="Palatino Linotype" w:eastAsia="Palatino Linotype" w:hAnsi="Palatino Linotype" w:cs="Palatino Linotype"/>
          <w:color w:val="000000" w:themeColor="text1"/>
        </w:rPr>
        <w:t>, se compondrá de los siguientes documentos:</w:t>
      </w:r>
    </w:p>
    <w:p w:rsidR="004D6D95" w:rsidRPr="002D69DA" w:rsidRDefault="004D6D95" w:rsidP="00E84339">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2D69DA">
        <w:rPr>
          <w:rFonts w:ascii="Palatino Linotype" w:eastAsia="Calibri" w:hAnsi="Palatino Linotype"/>
          <w:color w:val="000000" w:themeColor="text1"/>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12358841" r:id="rId9"/>
        </w:object>
      </w:r>
    </w:p>
    <w:p w:rsidR="004D6D95" w:rsidRPr="002D69DA" w:rsidRDefault="004D6D95" w:rsidP="00E8433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En lo que corresponde al Submódulo de </w:t>
      </w:r>
      <w:r w:rsidRPr="002D69DA">
        <w:rPr>
          <w:rFonts w:ascii="Palatino Linotype" w:eastAsia="Palatino Linotype" w:hAnsi="Palatino Linotype" w:cs="Palatino Linotype"/>
          <w:b/>
          <w:color w:val="000000" w:themeColor="text1"/>
        </w:rPr>
        <w:t>‘Nómina y Comprobantes Fiscales’,</w:t>
      </w:r>
      <w:r w:rsidRPr="002D69DA">
        <w:rPr>
          <w:rFonts w:ascii="Palatino Linotype" w:eastAsia="Palatino Linotype" w:hAnsi="Palatino Linotype" w:cs="Palatino Linotype"/>
          <w:color w:val="000000" w:themeColor="text1"/>
        </w:rPr>
        <w:t xml:space="preserve"> se advierte que el </w:t>
      </w:r>
      <w:r w:rsidRPr="002D69DA">
        <w:rPr>
          <w:rFonts w:ascii="Palatino Linotype" w:eastAsia="Palatino Linotype" w:hAnsi="Palatino Linotype" w:cs="Palatino Linotype"/>
          <w:b/>
          <w:color w:val="000000" w:themeColor="text1"/>
        </w:rPr>
        <w:t>SUJETO OBLIGADO,</w:t>
      </w:r>
      <w:r w:rsidRPr="002D69DA">
        <w:rPr>
          <w:rFonts w:ascii="Palatino Linotype" w:eastAsia="Palatino Linotype" w:hAnsi="Palatino Linotype" w:cs="Palatino Linotype"/>
          <w:color w:val="000000" w:themeColor="text1"/>
        </w:rPr>
        <w:t xml:space="preserve"> deberá integrar, en formato </w:t>
      </w:r>
      <w:r w:rsidRPr="002D69DA">
        <w:rPr>
          <w:rFonts w:ascii="Palatino Linotype" w:eastAsia="Palatino Linotype" w:hAnsi="Palatino Linotype" w:cs="Palatino Linotype"/>
          <w:i/>
          <w:color w:val="000000" w:themeColor="text1"/>
        </w:rPr>
        <w:t>.pdf</w:t>
      </w:r>
      <w:r w:rsidRPr="002D69DA">
        <w:rPr>
          <w:rFonts w:ascii="Palatino Linotype" w:eastAsia="Palatino Linotype" w:hAnsi="Palatino Linotype" w:cs="Palatino Linotype"/>
          <w:color w:val="000000" w:themeColor="text1"/>
        </w:rPr>
        <w:t xml:space="preserve">, y de forma quincenal, el documento titulado </w:t>
      </w:r>
      <w:r w:rsidRPr="002D69DA">
        <w:rPr>
          <w:rFonts w:ascii="Palatino Linotype" w:eastAsia="Palatino Linotype" w:hAnsi="Palatino Linotype" w:cs="Palatino Linotype"/>
          <w:b/>
          <w:color w:val="000000" w:themeColor="text1"/>
        </w:rPr>
        <w:t>Conciliación de Nómina Mensual</w:t>
      </w:r>
      <w:r w:rsidRPr="002D69DA">
        <w:rPr>
          <w:rFonts w:ascii="Palatino Linotype" w:eastAsia="Palatino Linotype" w:hAnsi="Palatino Linotype" w:cs="Palatino Linotype"/>
          <w:color w:val="000000" w:themeColor="text1"/>
        </w:rPr>
        <w:t>; tal como lo establece el mapa de integración del Submódulo en comento:</w:t>
      </w:r>
    </w:p>
    <w:p w:rsidR="004D6D95" w:rsidRPr="002D69DA" w:rsidRDefault="004D6D95" w:rsidP="00E84339">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4D6D95" w:rsidRPr="002D69DA" w:rsidRDefault="004D6D95" w:rsidP="00E84339">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2D69DA">
        <w:rPr>
          <w:rFonts w:ascii="Palatino Linotype" w:eastAsia="Calibri" w:hAnsi="Palatino Linotype"/>
          <w:color w:val="000000" w:themeColor="text1"/>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12358842" r:id="rId11"/>
        </w:object>
      </w:r>
      <w:r w:rsidRPr="002D69DA">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hidden="0" allowOverlap="1" wp14:anchorId="75AD8B83" wp14:editId="1DCE21EB">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40280F" w:rsidRDefault="0040280F" w:rsidP="004D6D95">
                            <w:pPr>
                              <w:textDirection w:val="btLr"/>
                            </w:pPr>
                          </w:p>
                        </w:txbxContent>
                      </wps:txbx>
                      <wps:bodyPr spcFirstLastPara="1" wrap="square" lIns="91425" tIns="91425" rIns="91425" bIns="91425" anchor="ctr" anchorCtr="0">
                        <a:noAutofit/>
                      </wps:bodyPr>
                    </wps:wsp>
                  </a:graphicData>
                </a:graphic>
              </wp:anchor>
            </w:drawing>
          </mc:Choice>
          <mc:Fallback>
            <w:pict>
              <v:rect w14:anchorId="75AD8B83" id="Rectángulo 56" o:spid="_x0000_s1026" style="position:absolute;left:0;text-align:left;margin-left:57pt;margin-top:39pt;width:350.5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rsidR="0040280F" w:rsidRDefault="0040280F" w:rsidP="004D6D95">
                      <w:pPr>
                        <w:textDirection w:val="btLr"/>
                      </w:pPr>
                    </w:p>
                  </w:txbxContent>
                </v:textbox>
              </v:rect>
            </w:pict>
          </mc:Fallback>
        </mc:AlternateContent>
      </w:r>
    </w:p>
    <w:p w:rsidR="004D6D95" w:rsidRPr="002D69DA" w:rsidRDefault="004D6D95" w:rsidP="00E8433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2D69DA">
        <w:rPr>
          <w:rFonts w:ascii="Palatino Linotype" w:eastAsia="Palatino Linotype" w:hAnsi="Palatino Linotype" w:cs="Palatino Linotype"/>
          <w:b/>
          <w:color w:val="000000" w:themeColor="text1"/>
        </w:rPr>
        <w:t>el nombre, puesto funcional, área de adscripción, categoría, así como todas las percepciones y deducciones que recibe cada servidor público que labora en la entidad</w:t>
      </w:r>
      <w:r w:rsidRPr="002D69DA">
        <w:rPr>
          <w:rFonts w:ascii="Palatino Linotype" w:hAnsi="Palatino Linotype"/>
          <w:b/>
          <w:color w:val="000000" w:themeColor="text1"/>
          <w:vertAlign w:val="superscript"/>
        </w:rPr>
        <w:footnoteReference w:id="7"/>
      </w:r>
      <w:r w:rsidRPr="002D69DA">
        <w:rPr>
          <w:rFonts w:ascii="Palatino Linotype" w:eastAsia="Palatino Linotype" w:hAnsi="Palatino Linotype" w:cs="Palatino Linotype"/>
          <w:color w:val="000000" w:themeColor="text1"/>
        </w:rPr>
        <w:t xml:space="preserve">. </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4D6D95" w:rsidRPr="002D69DA" w:rsidRDefault="004D6D95" w:rsidP="00E84339">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4D6D95" w:rsidRPr="002D69DA" w:rsidRDefault="004D6D95" w:rsidP="00E84339">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2D69DA">
        <w:rPr>
          <w:rFonts w:ascii="Palatino Linotype" w:eastAsia="Calibri" w:hAnsi="Palatino Linotype"/>
          <w:color w:val="000000" w:themeColor="text1"/>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12358843" r:id="rId13"/>
        </w:object>
      </w:r>
      <w:r w:rsidRPr="002D69DA">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hidden="0" allowOverlap="1" wp14:anchorId="07F7FBA2" wp14:editId="4F7D1F5C">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40280F" w:rsidRDefault="0040280F" w:rsidP="004D6D95">
                            <w:pPr>
                              <w:textDirection w:val="btLr"/>
                            </w:pPr>
                          </w:p>
                        </w:txbxContent>
                      </wps:txbx>
                      <wps:bodyPr spcFirstLastPara="1" wrap="square" lIns="91425" tIns="91425" rIns="91425" bIns="91425" anchor="ctr" anchorCtr="0">
                        <a:noAutofit/>
                      </wps:bodyPr>
                    </wps:wsp>
                  </a:graphicData>
                </a:graphic>
              </wp:anchor>
            </w:drawing>
          </mc:Choice>
          <mc:Fallback>
            <w:pict>
              <v:rect w14:anchorId="07F7FBA2" id="Rectángulo 50" o:spid="_x0000_s1027" style="position:absolute;left:0;text-align:left;margin-left:280pt;margin-top:38pt;width:39.35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rsidR="0040280F" w:rsidRDefault="0040280F" w:rsidP="004D6D95">
                      <w:pPr>
                        <w:textDirection w:val="btLr"/>
                      </w:pPr>
                    </w:p>
                  </w:txbxContent>
                </v:textbox>
              </v:rect>
            </w:pict>
          </mc:Fallback>
        </mc:AlternateContent>
      </w:r>
      <w:r w:rsidRPr="002D69DA">
        <w:rPr>
          <w:rFonts w:ascii="Palatino Linotype" w:hAnsi="Palatino Linotype"/>
          <w:noProof/>
          <w:color w:val="000000" w:themeColor="text1"/>
          <w:lang w:val="es-MX" w:eastAsia="es-MX"/>
        </w:rPr>
        <mc:AlternateContent>
          <mc:Choice Requires="wps">
            <w:drawing>
              <wp:anchor distT="0" distB="0" distL="114300" distR="114300" simplePos="0" relativeHeight="251662336" behindDoc="0" locked="0" layoutInCell="1" hidden="0" allowOverlap="1" wp14:anchorId="0E28FE64" wp14:editId="55B4005E">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40280F" w:rsidRDefault="0040280F" w:rsidP="004D6D95">
                            <w:pPr>
                              <w:textDirection w:val="btLr"/>
                            </w:pPr>
                          </w:p>
                        </w:txbxContent>
                      </wps:txbx>
                      <wps:bodyPr spcFirstLastPara="1" wrap="square" lIns="91425" tIns="91425" rIns="91425" bIns="91425" anchor="ctr" anchorCtr="0">
                        <a:noAutofit/>
                      </wps:bodyPr>
                    </wps:wsp>
                  </a:graphicData>
                </a:graphic>
              </wp:anchor>
            </w:drawing>
          </mc:Choice>
          <mc:Fallback>
            <w:pict>
              <v:rect w14:anchorId="0E28FE64" id="Rectángulo 59" o:spid="_x0000_s1028" style="position:absolute;left:0;text-align:left;margin-left:205pt;margin-top:36pt;width:29.9pt;height:1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40280F" w:rsidRDefault="0040280F" w:rsidP="004D6D95">
                      <w:pPr>
                        <w:textDirection w:val="btLr"/>
                      </w:pPr>
                    </w:p>
                  </w:txbxContent>
                </v:textbox>
              </v:rect>
            </w:pict>
          </mc:Fallback>
        </mc:AlternateContent>
      </w:r>
    </w:p>
    <w:p w:rsidR="004D6D95" w:rsidRPr="002D69DA" w:rsidRDefault="004D6D95" w:rsidP="00E84339">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2D69DA">
        <w:rPr>
          <w:rFonts w:ascii="Palatino Linotype" w:eastAsia="Calibri" w:hAnsi="Palatino Linotype"/>
          <w:color w:val="000000" w:themeColor="text1"/>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12358844" r:id="rId15"/>
        </w:object>
      </w:r>
    </w:p>
    <w:p w:rsidR="004D6D95" w:rsidRPr="002D69DA" w:rsidRDefault="004D6D95" w:rsidP="00E84339">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2D69DA">
        <w:rPr>
          <w:rFonts w:ascii="Palatino Linotype" w:eastAsia="Calibri" w:hAnsi="Palatino Linotype"/>
          <w:color w:val="000000" w:themeColor="text1"/>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12358845" r:id="rId17"/>
        </w:object>
      </w: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lastRenderedPageBreak/>
        <w:t xml:space="preserve">De las imágenes anteriores, podemos identificar a la </w:t>
      </w:r>
      <w:r w:rsidRPr="002D69DA">
        <w:rPr>
          <w:rFonts w:ascii="Palatino Linotype" w:eastAsia="Palatino Linotype" w:hAnsi="Palatino Linotype" w:cs="Palatino Linotype"/>
          <w:b/>
          <w:color w:val="000000" w:themeColor="text1"/>
        </w:rPr>
        <w:t xml:space="preserve">Conciliación de Nómina </w:t>
      </w:r>
      <w:r w:rsidRPr="002D69DA">
        <w:rPr>
          <w:rFonts w:ascii="Palatino Linotype" w:eastAsia="Palatino Linotype" w:hAnsi="Palatino Linotype" w:cs="Palatino Linotype"/>
          <w:color w:val="000000" w:themeColor="text1"/>
        </w:rPr>
        <w:t xml:space="preserve">como el documento </w:t>
      </w:r>
      <w:r w:rsidRPr="002D69DA">
        <w:rPr>
          <w:rFonts w:ascii="Palatino Linotype" w:eastAsia="Palatino Linotype" w:hAnsi="Palatino Linotype" w:cs="Palatino Linotype"/>
          <w:b/>
          <w:color w:val="000000" w:themeColor="text1"/>
        </w:rPr>
        <w:t>idóneo</w:t>
      </w:r>
      <w:r w:rsidRPr="002D69DA">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2D69DA">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2D69DA">
        <w:rPr>
          <w:rFonts w:ascii="Palatino Linotype" w:eastAsia="Palatino Linotype" w:hAnsi="Palatino Linotype" w:cs="Palatino Linotype"/>
          <w:color w:val="000000" w:themeColor="text1"/>
        </w:rPr>
        <w:t xml:space="preserve">, asimismo </w:t>
      </w:r>
      <w:r w:rsidRPr="002D69DA">
        <w:rPr>
          <w:rFonts w:ascii="Palatino Linotype" w:eastAsia="Palatino Linotype" w:hAnsi="Palatino Linotype" w:cs="Palatino Linotype"/>
          <w:b/>
          <w:color w:val="000000" w:themeColor="text1"/>
        </w:rPr>
        <w:t xml:space="preserve">contiene la </w:t>
      </w:r>
      <w:r w:rsidRPr="002D69DA">
        <w:rPr>
          <w:rFonts w:ascii="Palatino Linotype" w:eastAsia="Palatino Linotype" w:hAnsi="Palatino Linotype" w:cs="Palatino Linotype"/>
          <w:color w:val="000000" w:themeColor="text1"/>
        </w:rPr>
        <w:t>fecha de alta y fecha de baja de los servidores públicos;</w:t>
      </w:r>
      <w:r w:rsidRPr="002D69DA">
        <w:rPr>
          <w:rFonts w:ascii="Palatino Linotype" w:eastAsia="Palatino Linotype" w:hAnsi="Palatino Linotype" w:cs="Palatino Linotype"/>
          <w:b/>
          <w:color w:val="000000" w:themeColor="text1"/>
        </w:rPr>
        <w:t xml:space="preserve"> su nombre; puesto; área de adscripción </w:t>
      </w:r>
      <w:r w:rsidRPr="002D69DA">
        <w:rPr>
          <w:rFonts w:ascii="Palatino Linotype" w:eastAsia="Palatino Linotype" w:hAnsi="Palatino Linotype" w:cs="Palatino Linotype"/>
          <w:color w:val="000000" w:themeColor="text1"/>
        </w:rPr>
        <w:t>y</w:t>
      </w:r>
      <w:r w:rsidRPr="002D69DA">
        <w:rPr>
          <w:rFonts w:ascii="Palatino Linotype" w:eastAsia="Palatino Linotype" w:hAnsi="Palatino Linotype" w:cs="Palatino Linotype"/>
          <w:b/>
          <w:color w:val="000000" w:themeColor="text1"/>
        </w:rPr>
        <w:t xml:space="preserve"> categoría.</w:t>
      </w: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p>
    <w:p w:rsidR="00237B38" w:rsidRPr="002D69DA" w:rsidRDefault="00237B38"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De lo anteriormente analizado, se debe de referir que la </w:t>
      </w:r>
      <w:r w:rsidRPr="002D69DA">
        <w:rPr>
          <w:rFonts w:ascii="Palatino Linotype" w:eastAsia="Palatino Linotype" w:hAnsi="Palatino Linotype" w:cs="Palatino Linotype"/>
          <w:b/>
          <w:color w:val="000000" w:themeColor="text1"/>
        </w:rPr>
        <w:t xml:space="preserve">conciliación de nómina </w:t>
      </w:r>
      <w:r w:rsidRPr="002D69DA">
        <w:rPr>
          <w:rFonts w:ascii="Palatino Linotype" w:eastAsia="Palatino Linotype" w:hAnsi="Palatino Linotype" w:cs="Palatino Linotype"/>
          <w:color w:val="000000" w:themeColor="text1"/>
        </w:rPr>
        <w:t xml:space="preserve">es el documento idóneo para colmar el derecho de acceso a la información del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situación por la cual se establece que las respuestas que proporciono el </w:t>
      </w:r>
      <w:r w:rsidRPr="002D69DA">
        <w:rPr>
          <w:rFonts w:ascii="Palatino Linotype" w:eastAsia="Palatino Linotype" w:hAnsi="Palatino Linotype" w:cs="Palatino Linotype"/>
          <w:b/>
          <w:color w:val="000000" w:themeColor="text1"/>
        </w:rPr>
        <w:t xml:space="preserve">SUJETO OBLIGADO </w:t>
      </w:r>
      <w:r w:rsidRPr="002D69DA">
        <w:rPr>
          <w:rFonts w:ascii="Palatino Linotype" w:eastAsia="Palatino Linotype" w:hAnsi="Palatino Linotype" w:cs="Palatino Linotype"/>
          <w:color w:val="000000" w:themeColor="text1"/>
        </w:rPr>
        <w:t xml:space="preserve">para la solicitudes de información no colman el derecho de acceso a la información. </w:t>
      </w:r>
    </w:p>
    <w:p w:rsidR="00237B38" w:rsidRPr="002D69DA" w:rsidRDefault="00237B38" w:rsidP="00E84339">
      <w:pPr>
        <w:pStyle w:val="Prrafodelista"/>
        <w:ind w:left="0"/>
        <w:rPr>
          <w:rFonts w:ascii="Palatino Linotype" w:eastAsia="Palatino Linotype" w:hAnsi="Palatino Linotype" w:cs="Palatino Linotype"/>
          <w:color w:val="000000" w:themeColor="text1"/>
        </w:rPr>
      </w:pPr>
    </w:p>
    <w:p w:rsidR="005976D2" w:rsidRPr="002D69DA" w:rsidRDefault="00DB1B96"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Ahora bien, se debe de establecer que 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en todas las solicitudes de información requiere información </w:t>
      </w:r>
      <w:r w:rsidR="0023387D" w:rsidRPr="002D69DA">
        <w:rPr>
          <w:rFonts w:ascii="Palatino Linotype" w:eastAsia="Palatino Linotype" w:hAnsi="Palatino Linotype" w:cs="Palatino Linotype"/>
          <w:color w:val="000000" w:themeColor="text1"/>
        </w:rPr>
        <w:t xml:space="preserve">del aguinaldo y prima vacacional, sin embargo se debe de señalar que para el caso de los meses de enero, febrero, marzo del año dos mil veintidós y dos mil veinticinco,  no se puede entregar información, toda vez que las remuneraciones de aguinaldo y prima vacacional son cubiertas en el mes de diciembre </w:t>
      </w:r>
      <w:r w:rsidR="0022652B" w:rsidRPr="002D69DA">
        <w:rPr>
          <w:rFonts w:ascii="Palatino Linotype" w:eastAsia="Palatino Linotype" w:hAnsi="Palatino Linotype" w:cs="Palatino Linotype"/>
          <w:color w:val="000000" w:themeColor="text1"/>
        </w:rPr>
        <w:t xml:space="preserve">o noviembre </w:t>
      </w:r>
      <w:r w:rsidR="0023387D" w:rsidRPr="002D69DA">
        <w:rPr>
          <w:rFonts w:ascii="Palatino Linotype" w:eastAsia="Palatino Linotype" w:hAnsi="Palatino Linotype" w:cs="Palatino Linotype"/>
          <w:color w:val="000000" w:themeColor="text1"/>
        </w:rPr>
        <w:t>de cada ejercicio fiscal, así como del p</w:t>
      </w:r>
      <w:r w:rsidR="007A64F9" w:rsidRPr="002D69DA">
        <w:rPr>
          <w:rFonts w:ascii="Palatino Linotype" w:eastAsia="Palatino Linotype" w:hAnsi="Palatino Linotype" w:cs="Palatino Linotype"/>
          <w:color w:val="000000" w:themeColor="text1"/>
        </w:rPr>
        <w:t>rimer periodo vacacional de cada ejercicio fiscal, situación que para el mes de marzo del dos mil veintidós y del dos mil veinticinco</w:t>
      </w:r>
      <w:r w:rsidR="0035171C" w:rsidRPr="002D69DA">
        <w:rPr>
          <w:rFonts w:ascii="Palatino Linotype" w:eastAsia="Palatino Linotype" w:hAnsi="Palatino Linotype" w:cs="Palatino Linotype"/>
          <w:color w:val="000000" w:themeColor="text1"/>
        </w:rPr>
        <w:t xml:space="preserve"> no sucedió el pago de los veinte días de aguinaldo</w:t>
      </w:r>
      <w:r w:rsidR="000816EA" w:rsidRPr="002D69DA">
        <w:rPr>
          <w:rFonts w:ascii="Palatino Linotype" w:eastAsia="Palatino Linotype" w:hAnsi="Palatino Linotype" w:cs="Palatino Linotype"/>
          <w:color w:val="000000" w:themeColor="text1"/>
        </w:rPr>
        <w:t xml:space="preserve">, por lo que, no se puede entregar información </w:t>
      </w:r>
      <w:r w:rsidR="00021625" w:rsidRPr="002D69DA">
        <w:rPr>
          <w:rFonts w:ascii="Palatino Linotype" w:eastAsia="Palatino Linotype" w:hAnsi="Palatino Linotype" w:cs="Palatino Linotype"/>
          <w:color w:val="000000" w:themeColor="text1"/>
        </w:rPr>
        <w:t>de algo que</w:t>
      </w:r>
      <w:r w:rsidR="005976D2" w:rsidRPr="002D69DA">
        <w:rPr>
          <w:rFonts w:ascii="Palatino Linotype" w:eastAsia="Palatino Linotype" w:hAnsi="Palatino Linotype" w:cs="Palatino Linotype"/>
          <w:color w:val="000000" w:themeColor="text1"/>
        </w:rPr>
        <w:t xml:space="preserve"> no fue generado. </w:t>
      </w:r>
    </w:p>
    <w:p w:rsidR="005976D2" w:rsidRPr="002D69DA" w:rsidRDefault="005976D2" w:rsidP="00E84339">
      <w:pPr>
        <w:pStyle w:val="Prrafodelista"/>
        <w:ind w:left="0"/>
        <w:rPr>
          <w:rFonts w:ascii="Palatino Linotype" w:eastAsia="Palatino Linotype" w:hAnsi="Palatino Linotype" w:cs="Palatino Linotype"/>
          <w:color w:val="000000" w:themeColor="text1"/>
        </w:rPr>
      </w:pPr>
    </w:p>
    <w:p w:rsidR="00C07324" w:rsidRPr="002D69DA" w:rsidRDefault="00C07324"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Por cuanto hace a los meses </w:t>
      </w:r>
      <w:r w:rsidR="005976D2" w:rsidRPr="002D69DA">
        <w:rPr>
          <w:rFonts w:ascii="Palatino Linotype" w:eastAsia="Palatino Linotype" w:hAnsi="Palatino Linotype" w:cs="Palatino Linotype"/>
          <w:color w:val="000000" w:themeColor="text1"/>
        </w:rPr>
        <w:t>de diciembre de los años dos mil veintidós, dos mil veintitrés y dos mil veinticuatro,</w:t>
      </w:r>
      <w:r w:rsidRPr="002D69DA">
        <w:rPr>
          <w:rFonts w:ascii="Palatino Linotype" w:eastAsia="Palatino Linotype" w:hAnsi="Palatino Linotype" w:cs="Palatino Linotype"/>
          <w:color w:val="000000" w:themeColor="text1"/>
        </w:rPr>
        <w:t xml:space="preserve"> no se tiene la seguridad de que se hubiera emitido el </w:t>
      </w:r>
      <w:r w:rsidRPr="002D69DA">
        <w:rPr>
          <w:rFonts w:ascii="Palatino Linotype" w:eastAsia="Palatino Linotype" w:hAnsi="Palatino Linotype" w:cs="Palatino Linotype"/>
          <w:color w:val="000000" w:themeColor="text1"/>
        </w:rPr>
        <w:lastRenderedPageBreak/>
        <w:t xml:space="preserve">pago de aguinaldo en ese mes, situación por la cual de ser el caso que el pago del aguinaldo se hubiera efectuado en el mes de noviembre, el </w:t>
      </w:r>
      <w:r w:rsidRPr="002D69DA">
        <w:rPr>
          <w:rFonts w:ascii="Palatino Linotype" w:eastAsia="Palatino Linotype" w:hAnsi="Palatino Linotype" w:cs="Palatino Linotype"/>
          <w:b/>
          <w:color w:val="000000" w:themeColor="text1"/>
        </w:rPr>
        <w:t xml:space="preserve">SUJETO OBLIGADO </w:t>
      </w:r>
      <w:r w:rsidRPr="002D69DA">
        <w:rPr>
          <w:rFonts w:ascii="Palatino Linotype" w:eastAsia="Palatino Linotype" w:hAnsi="Palatino Linotype" w:cs="Palatino Linotype"/>
          <w:color w:val="000000" w:themeColor="text1"/>
        </w:rPr>
        <w:t xml:space="preserve">deberá hacerlo del conocimiento del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de conformidad con el artículo 19 párrafo segundo de la Ley de Transparencia y Acceso a la Información Púbica del Estado de México y Municipios, </w:t>
      </w:r>
    </w:p>
    <w:p w:rsidR="00C07324" w:rsidRPr="002D69DA" w:rsidRDefault="00C07324" w:rsidP="00E84339">
      <w:pPr>
        <w:pStyle w:val="Prrafodelista"/>
        <w:ind w:left="0"/>
        <w:rPr>
          <w:rFonts w:ascii="Palatino Linotype" w:eastAsia="Palatino Linotype" w:hAnsi="Palatino Linotype" w:cs="Palatino Linotype"/>
          <w:color w:val="000000" w:themeColor="text1"/>
        </w:rPr>
      </w:pPr>
    </w:p>
    <w:p w:rsidR="00C07324" w:rsidRPr="002D69DA" w:rsidRDefault="00C07324"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Así mismo, se debe de precisar que la Conciliación de Nómina que se entregue contendrá en su caso el monto de </w:t>
      </w:r>
      <w:r w:rsidR="00665D42" w:rsidRPr="002D69DA">
        <w:rPr>
          <w:rFonts w:ascii="Palatino Linotype" w:eastAsia="Palatino Linotype" w:hAnsi="Palatino Linotype" w:cs="Palatino Linotype"/>
          <w:color w:val="000000" w:themeColor="text1"/>
        </w:rPr>
        <w:t>aguinaldo</w:t>
      </w:r>
      <w:r w:rsidRPr="002D69DA">
        <w:rPr>
          <w:rFonts w:ascii="Palatino Linotype" w:eastAsia="Palatino Linotype" w:hAnsi="Palatino Linotype" w:cs="Palatino Linotype"/>
          <w:color w:val="000000" w:themeColor="text1"/>
        </w:rPr>
        <w:t xml:space="preserve"> (de ser el caso que se hubiera efectuado el pago en los meses de diciembre solicitados) y la prima vacacional, por lo que la entregar la conciliación de nómina dichos datos se encontraron en el mismo documento. </w:t>
      </w:r>
    </w:p>
    <w:p w:rsidR="00C07324" w:rsidRPr="002D69DA" w:rsidRDefault="00C07324" w:rsidP="00E84339">
      <w:pPr>
        <w:pStyle w:val="Prrafodelista"/>
        <w:ind w:left="0"/>
        <w:rPr>
          <w:rFonts w:ascii="Palatino Linotype" w:eastAsia="Palatino Linotype" w:hAnsi="Palatino Linotype" w:cs="Palatino Linotype"/>
          <w:color w:val="000000" w:themeColor="text1"/>
        </w:rPr>
      </w:pPr>
    </w:p>
    <w:p w:rsidR="0062000C" w:rsidRPr="002D69DA" w:rsidRDefault="005976D2"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 </w:t>
      </w:r>
      <w:r w:rsidR="00665D42" w:rsidRPr="002D69DA">
        <w:rPr>
          <w:rFonts w:ascii="Palatino Linotype" w:eastAsia="Palatino Linotype" w:hAnsi="Palatino Linotype" w:cs="Palatino Linotype"/>
          <w:color w:val="000000" w:themeColor="text1"/>
        </w:rPr>
        <w:t xml:space="preserve">En cuanto al </w:t>
      </w:r>
      <w:r w:rsidRPr="002D69DA">
        <w:rPr>
          <w:rFonts w:ascii="Palatino Linotype" w:eastAsia="Palatino Linotype" w:hAnsi="Palatino Linotype" w:cs="Palatino Linotype"/>
          <w:color w:val="000000" w:themeColor="text1"/>
        </w:rPr>
        <w:t xml:space="preserve">mes de marzo de dos mil veinticuatro y el mes de abril de dos mil veinticinco, si se realizó el pago de los primeros veinte días de aguinaldo, por lo que, el </w:t>
      </w:r>
      <w:r w:rsidRPr="002D69DA">
        <w:rPr>
          <w:rFonts w:ascii="Palatino Linotype" w:eastAsia="Palatino Linotype" w:hAnsi="Palatino Linotype" w:cs="Palatino Linotype"/>
          <w:b/>
          <w:color w:val="000000" w:themeColor="text1"/>
        </w:rPr>
        <w:t xml:space="preserve">SUJETO OBLIGADO </w:t>
      </w:r>
      <w:r w:rsidRPr="002D69DA">
        <w:rPr>
          <w:rFonts w:ascii="Palatino Linotype" w:eastAsia="Palatino Linotype" w:hAnsi="Palatino Linotype" w:cs="Palatino Linotype"/>
          <w:color w:val="000000" w:themeColor="text1"/>
        </w:rPr>
        <w:t>deberá de entregar la conciliación nómina de la quincena correspondiente en la cual se hubiera efectuado el pago de aguinaldo</w:t>
      </w:r>
      <w:r w:rsidR="00665D42" w:rsidRPr="002D69DA">
        <w:rPr>
          <w:rFonts w:ascii="Palatino Linotype" w:eastAsia="Palatino Linotype" w:hAnsi="Palatino Linotype" w:cs="Palatino Linotype"/>
          <w:color w:val="000000" w:themeColor="text1"/>
        </w:rPr>
        <w:t xml:space="preserve">. </w:t>
      </w:r>
    </w:p>
    <w:p w:rsidR="00665D42" w:rsidRPr="002D69DA" w:rsidRDefault="00665D42" w:rsidP="00E84339">
      <w:pPr>
        <w:pStyle w:val="Prrafodelista"/>
        <w:spacing w:line="360" w:lineRule="auto"/>
        <w:ind w:left="0"/>
        <w:contextualSpacing w:val="0"/>
        <w:jc w:val="both"/>
        <w:rPr>
          <w:rFonts w:ascii="Palatino Linotype" w:eastAsia="Palatino Linotype" w:hAnsi="Palatino Linotype" w:cs="Palatino Linotype"/>
          <w:color w:val="000000" w:themeColor="text1"/>
        </w:rPr>
      </w:pPr>
    </w:p>
    <w:p w:rsidR="00160901" w:rsidRPr="002D69DA" w:rsidRDefault="0062000C"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Ahora bien, en cuanto a las solicitudes de información, en las que se solicita las nóminas en las que hubo </w:t>
      </w:r>
      <w:r w:rsidRPr="002D69DA">
        <w:rPr>
          <w:rFonts w:ascii="Palatino Linotype" w:eastAsia="Palatino Linotype" w:hAnsi="Palatino Linotype" w:cs="Palatino Linotype"/>
          <w:color w:val="000000" w:themeColor="text1"/>
          <w:lang w:val="es-MX"/>
        </w:rPr>
        <w:t>modificación salarial, incremento o decremento</w:t>
      </w:r>
      <w:r w:rsidR="00603DEF" w:rsidRPr="002D69DA">
        <w:rPr>
          <w:rFonts w:ascii="Palatino Linotype" w:eastAsia="Palatino Linotype" w:hAnsi="Palatino Linotype" w:cs="Palatino Linotype"/>
          <w:color w:val="000000" w:themeColor="text1"/>
          <w:lang w:val="es-MX"/>
        </w:rPr>
        <w:t xml:space="preserve">, </w:t>
      </w:r>
      <w:r w:rsidR="0022652B" w:rsidRPr="002D69DA">
        <w:rPr>
          <w:rFonts w:ascii="Palatino Linotype" w:eastAsia="Palatino Linotype" w:hAnsi="Palatino Linotype" w:cs="Palatino Linotype"/>
          <w:color w:val="000000" w:themeColor="text1"/>
          <w:lang w:val="es-MX"/>
        </w:rPr>
        <w:t xml:space="preserve">así como </w:t>
      </w:r>
      <w:r w:rsidR="00160901" w:rsidRPr="002D69DA">
        <w:rPr>
          <w:rFonts w:ascii="Palatino Linotype" w:eastAsia="Palatino Linotype" w:hAnsi="Palatino Linotype" w:cs="Palatino Linotype"/>
          <w:color w:val="000000" w:themeColor="text1"/>
        </w:rPr>
        <w:t>las nóminas de las personas que fueron dadas de alta</w:t>
      </w:r>
      <w:r w:rsidR="007D01B3" w:rsidRPr="002D69DA">
        <w:rPr>
          <w:rFonts w:ascii="Palatino Linotype" w:eastAsia="Palatino Linotype" w:hAnsi="Palatino Linotype" w:cs="Palatino Linotype"/>
          <w:color w:val="000000" w:themeColor="text1"/>
        </w:rPr>
        <w:t xml:space="preserve"> baja, </w:t>
      </w:r>
      <w:r w:rsidR="00665D42" w:rsidRPr="002D69DA">
        <w:rPr>
          <w:rFonts w:ascii="Palatino Linotype" w:eastAsia="Palatino Linotype" w:hAnsi="Palatino Linotype" w:cs="Palatino Linotype"/>
          <w:color w:val="000000" w:themeColor="text1"/>
        </w:rPr>
        <w:t xml:space="preserve">se debe de precisar que lo solicitado significa un procesamiento de información para el </w:t>
      </w:r>
      <w:r w:rsidR="00665D42" w:rsidRPr="002D69DA">
        <w:rPr>
          <w:rFonts w:ascii="Palatino Linotype" w:eastAsia="Palatino Linotype" w:hAnsi="Palatino Linotype" w:cs="Palatino Linotype"/>
          <w:b/>
          <w:color w:val="000000" w:themeColor="text1"/>
        </w:rPr>
        <w:t xml:space="preserve">SUJETO, </w:t>
      </w:r>
      <w:r w:rsidR="00665D42" w:rsidRPr="002D69DA">
        <w:rPr>
          <w:rFonts w:ascii="Palatino Linotype" w:eastAsia="Palatino Linotype" w:hAnsi="Palatino Linotype" w:cs="Palatino Linotype"/>
          <w:color w:val="000000" w:themeColor="text1"/>
        </w:rPr>
        <w:t xml:space="preserve">situación </w:t>
      </w:r>
      <w:r w:rsidR="007D01B3" w:rsidRPr="002D69DA">
        <w:rPr>
          <w:rFonts w:ascii="Palatino Linotype" w:eastAsia="Palatino Linotype" w:hAnsi="Palatino Linotype" w:cs="Palatino Linotype"/>
          <w:color w:val="000000" w:themeColor="text1"/>
        </w:rPr>
        <w:t xml:space="preserve">por la cual sebe de mencionar que de acuerdo con el artículo 12 </w:t>
      </w:r>
      <w:r w:rsidR="00665D42" w:rsidRPr="002D69DA">
        <w:rPr>
          <w:rFonts w:ascii="Palatino Linotype" w:eastAsia="Palatino Linotype" w:hAnsi="Palatino Linotype" w:cs="Palatino Linotype"/>
          <w:color w:val="000000" w:themeColor="text1"/>
        </w:rPr>
        <w:t>de la Ley de Transparencia y Acceso a la Información  Pública del Estado de México</w:t>
      </w:r>
      <w:r w:rsidR="00574EC9" w:rsidRPr="002D69DA">
        <w:rPr>
          <w:rFonts w:ascii="Palatino Linotype" w:eastAsia="Palatino Linotype" w:hAnsi="Palatino Linotype" w:cs="Palatino Linotype"/>
          <w:color w:val="000000" w:themeColor="text1"/>
        </w:rPr>
        <w:t xml:space="preserve"> y Municipios. </w:t>
      </w:r>
    </w:p>
    <w:p w:rsidR="00574EC9" w:rsidRPr="002D69DA" w:rsidRDefault="00574EC9" w:rsidP="00E84339">
      <w:pPr>
        <w:pStyle w:val="Prrafodelista"/>
        <w:ind w:left="0"/>
        <w:contextualSpacing w:val="0"/>
        <w:jc w:val="both"/>
        <w:rPr>
          <w:rFonts w:ascii="Palatino Linotype" w:eastAsia="Palatino Linotype" w:hAnsi="Palatino Linotype" w:cs="Palatino Linotype"/>
          <w:i/>
          <w:color w:val="000000" w:themeColor="text1"/>
        </w:rPr>
      </w:pPr>
      <w:r w:rsidRPr="002D69DA">
        <w:rPr>
          <w:rFonts w:ascii="Palatino Linotype" w:eastAsia="Palatino Linotype" w:hAnsi="Palatino Linotype" w:cs="Palatino Linotype"/>
          <w:b/>
          <w:i/>
          <w:color w:val="000000" w:themeColor="text1"/>
        </w:rPr>
        <w:t>Artículo 12</w:t>
      </w:r>
      <w:r w:rsidRPr="002D69DA">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rsidR="00574EC9" w:rsidRPr="002D69DA" w:rsidRDefault="00574EC9" w:rsidP="00E84339">
      <w:pPr>
        <w:pStyle w:val="Prrafodelista"/>
        <w:ind w:left="0"/>
        <w:contextualSpacing w:val="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b/>
          <w:i/>
          <w:color w:val="000000" w:themeColor="text1"/>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5671D" w:rsidRPr="002D69DA" w:rsidRDefault="0035671D" w:rsidP="00E84339">
      <w:pPr>
        <w:pStyle w:val="Prrafodelista"/>
        <w:ind w:left="0"/>
        <w:rPr>
          <w:rFonts w:ascii="Palatino Linotype" w:eastAsia="Palatino Linotype" w:hAnsi="Palatino Linotype" w:cs="Palatino Linotype"/>
          <w:color w:val="000000" w:themeColor="text1"/>
        </w:rPr>
      </w:pPr>
    </w:p>
    <w:p w:rsidR="00574EC9" w:rsidRPr="002D69DA" w:rsidRDefault="00574EC9"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En ese sentido, al ordenar las conciliaciones de nómina como las requiere 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significa que el </w:t>
      </w:r>
      <w:r w:rsidRPr="002D69DA">
        <w:rPr>
          <w:rFonts w:ascii="Palatino Linotype" w:eastAsia="Palatino Linotype" w:hAnsi="Palatino Linotype" w:cs="Palatino Linotype"/>
          <w:b/>
          <w:color w:val="000000" w:themeColor="text1"/>
        </w:rPr>
        <w:t xml:space="preserve">SUJETO OBLIGADO </w:t>
      </w:r>
      <w:r w:rsidRPr="002D69DA">
        <w:rPr>
          <w:rFonts w:ascii="Palatino Linotype" w:eastAsia="Palatino Linotype" w:hAnsi="Palatino Linotype" w:cs="Palatino Linotype"/>
          <w:color w:val="000000" w:themeColor="text1"/>
        </w:rPr>
        <w:t xml:space="preserve">debe de procesar la información en la entrega de personal dado de alta, de baja, con incremento salarial y decremento salarial, situación por la cual, no se puede ordenar la entrega de la información como lo solicita 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toda vez que eso se traduce a procesamiento de información, por lo que, se ordenara el documento de la conciliación de nómina que se hubiera generado de los meses solicitados. </w:t>
      </w:r>
    </w:p>
    <w:p w:rsidR="00160901" w:rsidRPr="002D69DA" w:rsidRDefault="00160901" w:rsidP="00E84339">
      <w:pPr>
        <w:rPr>
          <w:rFonts w:ascii="Palatino Linotype" w:eastAsia="Palatino Linotype" w:hAnsi="Palatino Linotype" w:cs="Palatino Linotype"/>
          <w:color w:val="000000" w:themeColor="text1"/>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bookmarkStart w:id="27" w:name="_Toc504500693"/>
      <w:bookmarkStart w:id="28" w:name="_Toc534742545"/>
      <w:bookmarkStart w:id="29" w:name="_Toc2248738"/>
      <w:bookmarkStart w:id="30" w:name="_Toc34819440"/>
      <w:bookmarkStart w:id="31" w:name="_Toc51259595"/>
      <w:bookmarkStart w:id="32" w:name="_Toc83128595"/>
      <w:r w:rsidRPr="002D69DA">
        <w:rPr>
          <w:rFonts w:ascii="Palatino Linotype" w:eastAsia="Palatino Linotype" w:hAnsi="Palatino Linotype" w:cs="Palatino Linotype"/>
          <w:color w:val="000000" w:themeColor="text1"/>
          <w:lang w:eastAsia="es-MX"/>
        </w:rPr>
        <w:t xml:space="preserve">Ahora bien, toda vez que el </w:t>
      </w:r>
      <w:r w:rsidRPr="002D69DA">
        <w:rPr>
          <w:rFonts w:ascii="Palatino Linotype" w:eastAsia="Palatino Linotype" w:hAnsi="Palatino Linotype" w:cs="Palatino Linotype"/>
          <w:b/>
          <w:color w:val="000000" w:themeColor="text1"/>
          <w:lang w:eastAsia="es-MX"/>
        </w:rPr>
        <w:t xml:space="preserve">SUJETO OBLIGADO </w:t>
      </w:r>
      <w:r w:rsidRPr="002D69DA">
        <w:rPr>
          <w:rFonts w:ascii="Palatino Linotype" w:eastAsia="Palatino Linotype" w:hAnsi="Palatino Linotype" w:cs="Palatino Linotype"/>
          <w:color w:val="000000" w:themeColor="text1"/>
          <w:lang w:eastAsia="es-MX"/>
        </w:rPr>
        <w:t>para colmar el derecho de acceso a la información, deberá de remitir la conciliación de nómina de todos los servidores públicos,  es que se debe realizar el análisis de los datos que se deberán de clasificar como confidenciales y los datos que deben de tener formato abierto.</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De lo anterior, se debe de puntualizar </w:t>
      </w:r>
      <w:r w:rsidR="002741BE" w:rsidRPr="002D69DA">
        <w:rPr>
          <w:rFonts w:ascii="Palatino Linotype" w:eastAsia="Palatino Linotype" w:hAnsi="Palatino Linotype" w:cs="Palatino Linotype"/>
          <w:color w:val="000000" w:themeColor="text1"/>
          <w:lang w:eastAsia="es-MX"/>
        </w:rPr>
        <w:t xml:space="preserve">que </w:t>
      </w:r>
      <w:r w:rsidRPr="002D69DA">
        <w:rPr>
          <w:rFonts w:ascii="Palatino Linotype" w:eastAsia="Palatino Linotype" w:hAnsi="Palatino Linotype" w:cs="Palatino Linotype"/>
          <w:color w:val="000000" w:themeColor="text1"/>
          <w:lang w:eastAsia="es-MX"/>
        </w:rPr>
        <w:t xml:space="preserve">la conciliación de nómina contienen datos personales de los servidores públicos, que de hacerse públicos afectarían su </w:t>
      </w:r>
      <w:r w:rsidRPr="002D69DA">
        <w:rPr>
          <w:rFonts w:ascii="Palatino Linotype" w:hAnsi="Palatino Linotype"/>
          <w:color w:val="000000" w:themeColor="text1"/>
          <w:lang w:val="es-ES"/>
        </w:rPr>
        <w:t>intimidad</w:t>
      </w:r>
      <w:r w:rsidRPr="002D69DA">
        <w:rPr>
          <w:rFonts w:ascii="Palatino Linotype" w:eastAsia="Palatino Linotype" w:hAnsi="Palatino Linotype" w:cs="Palatino Linotype"/>
          <w:color w:val="000000" w:themeColor="text1"/>
          <w:lang w:eastAsia="es-MX"/>
        </w:rPr>
        <w:t xml:space="preserve">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w:t>
      </w:r>
      <w:r w:rsidRPr="002D69DA">
        <w:rPr>
          <w:rFonts w:ascii="Palatino Linotype" w:eastAsia="Palatino Linotype" w:hAnsi="Palatino Linotype" w:cs="Palatino Linotype"/>
          <w:color w:val="000000" w:themeColor="text1"/>
          <w:lang w:eastAsia="es-MX"/>
        </w:rPr>
        <w:lastRenderedPageBreak/>
        <w:t>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2741BE" w:rsidRPr="002D69DA" w:rsidRDefault="002741BE" w:rsidP="00E84339">
      <w:pPr>
        <w:pStyle w:val="Prrafodelista"/>
        <w:ind w:left="0"/>
        <w:rPr>
          <w:rFonts w:ascii="Palatino Linotype" w:eastAsia="Palatino Linotype" w:hAnsi="Palatino Linotype" w:cs="Palatino Linotype"/>
          <w:color w:val="000000" w:themeColor="text1"/>
          <w:lang w:eastAsia="es-MX"/>
        </w:rPr>
      </w:pPr>
    </w:p>
    <w:p w:rsidR="002741BE" w:rsidRPr="002D69DA" w:rsidRDefault="002741B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De lo anterior, se debe de referir que el </w:t>
      </w:r>
      <w:r w:rsidRPr="002D69DA">
        <w:rPr>
          <w:rFonts w:ascii="Palatino Linotype" w:eastAsia="Palatino Linotype" w:hAnsi="Palatino Linotype" w:cs="Palatino Linotype"/>
          <w:b/>
          <w:color w:val="000000" w:themeColor="text1"/>
          <w:lang w:eastAsia="es-MX"/>
        </w:rPr>
        <w:t xml:space="preserve">RECURRENTE </w:t>
      </w:r>
      <w:r w:rsidRPr="002D69DA">
        <w:rPr>
          <w:rFonts w:ascii="Palatino Linotype" w:eastAsia="Palatino Linotype" w:hAnsi="Palatino Linotype" w:cs="Palatino Linotype"/>
          <w:color w:val="000000" w:themeColor="text1"/>
          <w:lang w:eastAsia="es-MX"/>
        </w:rPr>
        <w:t xml:space="preserve">solicita que de la información a entregar contenga el </w:t>
      </w:r>
      <w:r w:rsidRPr="002D69DA">
        <w:rPr>
          <w:rFonts w:ascii="Palatino Linotype" w:eastAsia="Palatino Linotype" w:hAnsi="Palatino Linotype" w:cs="Palatino Linotype"/>
          <w:b/>
          <w:color w:val="000000" w:themeColor="text1"/>
          <w:lang w:eastAsia="es-MX"/>
        </w:rPr>
        <w:t xml:space="preserve">Registro Federal de Contribuyentes, la Clave Única de Registro de Población, </w:t>
      </w:r>
      <w:r w:rsidRPr="002D69DA">
        <w:rPr>
          <w:rFonts w:ascii="Palatino Linotype" w:eastAsia="Palatino Linotype" w:hAnsi="Palatino Linotype" w:cs="Palatino Linotype"/>
          <w:color w:val="000000" w:themeColor="text1"/>
          <w:lang w:eastAsia="es-MX"/>
        </w:rPr>
        <w:t xml:space="preserve">situación por la cual se analiza lo siguiente. </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2741B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Ahora bien, en cuanto </w:t>
      </w:r>
      <w:r w:rsidR="004D6D95" w:rsidRPr="002D69DA">
        <w:rPr>
          <w:rFonts w:ascii="Palatino Linotype" w:eastAsia="Palatino Linotype" w:hAnsi="Palatino Linotype" w:cs="Palatino Linotype"/>
          <w:color w:val="000000" w:themeColor="text1"/>
          <w:lang w:eastAsia="es-MX"/>
        </w:rPr>
        <w:t xml:space="preserve">Por cuanto hace al </w:t>
      </w:r>
      <w:r w:rsidR="004D6D95" w:rsidRPr="002D69DA">
        <w:rPr>
          <w:rFonts w:ascii="Palatino Linotype" w:eastAsia="Palatino Linotype" w:hAnsi="Palatino Linotype" w:cs="Palatino Linotype"/>
          <w:b/>
          <w:color w:val="000000" w:themeColor="text1"/>
          <w:lang w:eastAsia="es-MX"/>
        </w:rPr>
        <w:t>Registro Federal de Contribuyentes (RFC),</w:t>
      </w:r>
      <w:r w:rsidR="004D6D95" w:rsidRPr="002D69DA">
        <w:rPr>
          <w:rFonts w:ascii="Palatino Linotype" w:eastAsia="Palatino Linotype" w:hAnsi="Palatino Linotype" w:cs="Palatino Linotype"/>
          <w:color w:val="000000" w:themeColor="text1"/>
          <w:lang w:eastAsia="es-MX"/>
        </w:rPr>
        <w:t xml:space="preserve"> de las </w:t>
      </w:r>
      <w:r w:rsidR="004D6D95" w:rsidRPr="002D69DA">
        <w:rPr>
          <w:rFonts w:ascii="Palatino Linotype" w:hAnsi="Palatino Linotype"/>
          <w:color w:val="000000" w:themeColor="text1"/>
          <w:lang w:val="es-ES"/>
        </w:rPr>
        <w:t>personas</w:t>
      </w:r>
      <w:r w:rsidR="004D6D95" w:rsidRPr="002D69DA">
        <w:rPr>
          <w:rFonts w:ascii="Palatino Linotype" w:eastAsia="Palatino Linotype" w:hAnsi="Palatino Linotype" w:cs="Palatino Linotype"/>
          <w:color w:val="000000" w:themeColor="text1"/>
          <w:lang w:eastAsia="es-MX"/>
        </w:rPr>
        <w:t xml:space="preserve">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Lo anterior es compartido por el entonces Instituto Federal de Acceso a la Información Pública y Protección de Datos Personales (IFAI) a través del Criterio 19/17, el cual es del tenor literal siguiente:</w:t>
      </w:r>
    </w:p>
    <w:p w:rsidR="004D6D95" w:rsidRPr="002D69DA" w:rsidRDefault="004D6D95" w:rsidP="00E84339">
      <w:pPr>
        <w:jc w:val="both"/>
        <w:rPr>
          <w:rFonts w:ascii="Palatino Linotype" w:eastAsia="Palatino Linotype" w:hAnsi="Palatino Linotype" w:cs="Palatino Linotype"/>
          <w:i/>
          <w:color w:val="000000" w:themeColor="text1"/>
          <w:lang w:eastAsia="es-MX"/>
        </w:rPr>
      </w:pPr>
      <w:r w:rsidRPr="002D69DA">
        <w:rPr>
          <w:rFonts w:ascii="Palatino Linotype" w:eastAsia="Palatino Linotype" w:hAnsi="Palatino Linotype" w:cs="Palatino Linotype"/>
          <w:b/>
          <w:i/>
          <w:color w:val="000000" w:themeColor="text1"/>
          <w:lang w:eastAsia="es-MX"/>
        </w:rPr>
        <w:lastRenderedPageBreak/>
        <w:t>“Registro Federal de Contribuyentes (RFC) de personas físicas</w:t>
      </w:r>
      <w:r w:rsidRPr="002D69DA">
        <w:rPr>
          <w:rFonts w:ascii="Palatino Linotype" w:eastAsia="Palatino Linotype" w:hAnsi="Palatino Linotype" w:cs="Palatino Linotype"/>
          <w:i/>
          <w:color w:val="000000" w:themeColor="text1"/>
          <w:lang w:eastAsia="es-MX"/>
        </w:rPr>
        <w:t>. El RFC es una clave de carácter fiscal, única e irrepetible, que permite identificar al titular, su edad y fecha de nacimiento, por lo que es un dato personal de carácter confidencial.”</w:t>
      </w:r>
    </w:p>
    <w:p w:rsidR="004D6D95" w:rsidRPr="002D69DA" w:rsidRDefault="004D6D95" w:rsidP="00E84339">
      <w:pPr>
        <w:jc w:val="both"/>
        <w:rPr>
          <w:rFonts w:ascii="Palatino Linotype" w:eastAsia="Palatino Linotype" w:hAnsi="Palatino Linotype" w:cs="Palatino Linotype"/>
          <w:i/>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hAnsi="Palatino Linotype"/>
          <w:color w:val="000000" w:themeColor="text1"/>
          <w:lang w:val="es-ES"/>
        </w:rPr>
        <w:t>Así</w:t>
      </w:r>
      <w:r w:rsidRPr="002D69DA">
        <w:rPr>
          <w:rFonts w:ascii="Palatino Linotype" w:eastAsia="Palatino Linotype" w:hAnsi="Palatino Linotype" w:cs="Palatino Linotype"/>
          <w:color w:val="000000" w:themeColor="text1"/>
          <w:lang w:eastAsia="es-MX"/>
        </w:rPr>
        <w:t xml:space="preserve">, el </w:t>
      </w:r>
      <w:r w:rsidRPr="002D69DA">
        <w:rPr>
          <w:rFonts w:ascii="Palatino Linotype" w:eastAsia="Palatino Linotype" w:hAnsi="Palatino Linotype" w:cs="Palatino Linotype"/>
          <w:b/>
          <w:color w:val="000000" w:themeColor="text1"/>
          <w:lang w:eastAsia="es-MX"/>
        </w:rPr>
        <w:t>Registro Federal de Contribuyentes, RFC</w:t>
      </w:r>
      <w:r w:rsidRPr="002D69DA">
        <w:rPr>
          <w:rFonts w:ascii="Palatino Linotype" w:eastAsia="Palatino Linotype" w:hAnsi="Palatino Linotype" w:cs="Palatino Linotype"/>
          <w:color w:val="000000" w:themeColor="text1"/>
          <w:lang w:eastAsia="es-MX"/>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2741BE" w:rsidRPr="002D69DA" w:rsidRDefault="002741B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De lo anterior, se determina que el </w:t>
      </w:r>
      <w:r w:rsidRPr="002D69DA">
        <w:rPr>
          <w:rFonts w:ascii="Palatino Linotype" w:eastAsia="Palatino Linotype" w:hAnsi="Palatino Linotype" w:cs="Palatino Linotype"/>
          <w:b/>
          <w:color w:val="000000" w:themeColor="text1"/>
          <w:lang w:eastAsia="es-MX"/>
        </w:rPr>
        <w:t xml:space="preserve">REGISTRO FEDERAL DE CONTTIBUYENTES </w:t>
      </w:r>
      <w:r w:rsidRPr="002D69DA">
        <w:rPr>
          <w:rFonts w:ascii="Palatino Linotype" w:eastAsia="Palatino Linotype" w:hAnsi="Palatino Linotype" w:cs="Palatino Linotype"/>
          <w:color w:val="000000" w:themeColor="text1"/>
          <w:lang w:eastAsia="es-MX"/>
        </w:rPr>
        <w:t xml:space="preserve">que fue solicitado por el </w:t>
      </w:r>
      <w:r w:rsidRPr="002D69DA">
        <w:rPr>
          <w:rFonts w:ascii="Palatino Linotype" w:eastAsia="Palatino Linotype" w:hAnsi="Palatino Linotype" w:cs="Palatino Linotype"/>
          <w:b/>
          <w:color w:val="000000" w:themeColor="text1"/>
          <w:lang w:eastAsia="es-MX"/>
        </w:rPr>
        <w:t xml:space="preserve">RECURRENTE </w:t>
      </w:r>
      <w:r w:rsidRPr="002D69DA">
        <w:rPr>
          <w:rFonts w:ascii="Palatino Linotype" w:eastAsia="Palatino Linotype" w:hAnsi="Palatino Linotype" w:cs="Palatino Linotype"/>
          <w:color w:val="000000" w:themeColor="text1"/>
          <w:lang w:eastAsia="es-MX"/>
        </w:rPr>
        <w:t xml:space="preserve">no puede ser entregado, toda vez que contiene información que solo le pertenece a la persona titular de los datos, situación por la cual no puede dar acceso a esta información. </w:t>
      </w:r>
    </w:p>
    <w:p w:rsidR="002741BE" w:rsidRPr="002D69DA" w:rsidRDefault="002741BE" w:rsidP="00E84339">
      <w:pPr>
        <w:pStyle w:val="Prrafodelista"/>
        <w:ind w:left="0"/>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De igual manera la </w:t>
      </w:r>
      <w:r w:rsidRPr="002D69DA">
        <w:rPr>
          <w:rFonts w:ascii="Palatino Linotype" w:eastAsia="Palatino Linotype" w:hAnsi="Palatino Linotype" w:cs="Palatino Linotype"/>
          <w:b/>
          <w:color w:val="000000" w:themeColor="text1"/>
          <w:lang w:eastAsia="es-MX"/>
        </w:rPr>
        <w:t>Clave Única de Registro de Población (CURP),</w:t>
      </w:r>
      <w:r w:rsidRPr="002D69DA">
        <w:rPr>
          <w:rFonts w:ascii="Palatino Linotype" w:eastAsia="Palatino Linotype" w:hAnsi="Palatino Linotype" w:cs="Palatino Linotype"/>
          <w:color w:val="000000" w:themeColor="text1"/>
          <w:lang w:eastAsia="es-MX"/>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lastRenderedPageBreak/>
        <w:t xml:space="preserve">Argumento que es compartido por el Instituto Nacional de Transparencia, Acceso a la Información y Protección de Datos Personales, INAI, conforme al criterio 18/17, el cual refiere: </w:t>
      </w:r>
    </w:p>
    <w:p w:rsidR="004D6D95" w:rsidRPr="002D69DA" w:rsidRDefault="004D6D95" w:rsidP="00E84339">
      <w:pPr>
        <w:jc w:val="both"/>
        <w:rPr>
          <w:rFonts w:ascii="Palatino Linotype" w:eastAsia="Palatino Linotype" w:hAnsi="Palatino Linotype" w:cs="Palatino Linotype"/>
          <w:i/>
          <w:color w:val="000000" w:themeColor="text1"/>
          <w:lang w:eastAsia="es-MX"/>
        </w:rPr>
      </w:pPr>
      <w:r w:rsidRPr="002D69DA">
        <w:rPr>
          <w:rFonts w:ascii="Palatino Linotype" w:eastAsia="Palatino Linotype" w:hAnsi="Palatino Linotype" w:cs="Palatino Linotype"/>
          <w:b/>
          <w:i/>
          <w:color w:val="000000" w:themeColor="text1"/>
          <w:lang w:eastAsia="es-MX"/>
        </w:rPr>
        <w:t xml:space="preserve">“Clave Única de Registro de Población (CURP). </w:t>
      </w:r>
      <w:r w:rsidRPr="002D69DA">
        <w:rPr>
          <w:rFonts w:ascii="Palatino Linotype" w:eastAsia="Palatino Linotype" w:hAnsi="Palatino Linotype" w:cs="Palatino Linotype"/>
          <w:i/>
          <w:color w:val="000000" w:themeColor="text1"/>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D6D95" w:rsidRDefault="004D6D95" w:rsidP="00E84339">
      <w:pPr>
        <w:jc w:val="both"/>
        <w:rPr>
          <w:rFonts w:ascii="Palatino Linotype" w:eastAsia="Palatino Linotype" w:hAnsi="Palatino Linotype" w:cs="Palatino Linotype"/>
          <w:i/>
          <w:color w:val="000000" w:themeColor="text1"/>
          <w:lang w:eastAsia="es-MX"/>
        </w:rPr>
      </w:pPr>
    </w:p>
    <w:p w:rsidR="0040280F" w:rsidRPr="002D69DA" w:rsidRDefault="0040280F" w:rsidP="00E84339">
      <w:pPr>
        <w:jc w:val="both"/>
        <w:rPr>
          <w:rFonts w:ascii="Palatino Linotype" w:eastAsia="Palatino Linotype" w:hAnsi="Palatino Linotype" w:cs="Palatino Linotype"/>
          <w:i/>
          <w:color w:val="000000" w:themeColor="text1"/>
          <w:lang w:eastAsia="es-MX"/>
        </w:rPr>
      </w:pPr>
    </w:p>
    <w:p w:rsidR="002741BE" w:rsidRPr="002D69DA" w:rsidRDefault="002741B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De lo anterior, se determina que la </w:t>
      </w:r>
      <w:r w:rsidRPr="002D69DA">
        <w:rPr>
          <w:rFonts w:ascii="Palatino Linotype" w:eastAsia="Palatino Linotype" w:hAnsi="Palatino Linotype" w:cs="Palatino Linotype"/>
          <w:b/>
          <w:color w:val="000000" w:themeColor="text1"/>
          <w:lang w:eastAsia="es-MX"/>
        </w:rPr>
        <w:t xml:space="preserve">CLAVE ÚNICA DE REGISTRO DE POBLACIÓN,  </w:t>
      </w:r>
      <w:r w:rsidRPr="002D69DA">
        <w:rPr>
          <w:rFonts w:ascii="Palatino Linotype" w:eastAsia="Palatino Linotype" w:hAnsi="Palatino Linotype" w:cs="Palatino Linotype"/>
          <w:color w:val="000000" w:themeColor="text1"/>
          <w:lang w:eastAsia="es-MX"/>
        </w:rPr>
        <w:t xml:space="preserve">que fue solicitada por el </w:t>
      </w:r>
      <w:r w:rsidRPr="002D69DA">
        <w:rPr>
          <w:rFonts w:ascii="Palatino Linotype" w:eastAsia="Palatino Linotype" w:hAnsi="Palatino Linotype" w:cs="Palatino Linotype"/>
          <w:b/>
          <w:color w:val="000000" w:themeColor="text1"/>
          <w:lang w:eastAsia="es-MX"/>
        </w:rPr>
        <w:t xml:space="preserve">RECURRENTE </w:t>
      </w:r>
      <w:r w:rsidRPr="002D69DA">
        <w:rPr>
          <w:rFonts w:ascii="Palatino Linotype" w:eastAsia="Palatino Linotype" w:hAnsi="Palatino Linotype" w:cs="Palatino Linotype"/>
          <w:color w:val="000000" w:themeColor="text1"/>
          <w:lang w:eastAsia="es-MX"/>
        </w:rPr>
        <w:t xml:space="preserve">no puede ser entregado, toda vez que contiene información que solo le pertenece a la persona titular de los datos, situación por la cual no puede dar acceso a esta información. </w:t>
      </w:r>
    </w:p>
    <w:p w:rsidR="002741BE" w:rsidRPr="002D69DA" w:rsidRDefault="002741BE" w:rsidP="00E84339">
      <w:pPr>
        <w:pStyle w:val="Prrafodelista"/>
        <w:spacing w:line="360" w:lineRule="auto"/>
        <w:ind w:left="0"/>
        <w:contextualSpacing w:val="0"/>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Por cuanto hace a la </w:t>
      </w:r>
      <w:r w:rsidRPr="002D69DA">
        <w:rPr>
          <w:rFonts w:ascii="Palatino Linotype" w:eastAsia="Palatino Linotype" w:hAnsi="Palatino Linotype" w:cs="Palatino Linotype"/>
          <w:b/>
          <w:color w:val="000000" w:themeColor="text1"/>
          <w:lang w:eastAsia="es-MX"/>
        </w:rPr>
        <w:t>Clave de cualquier tipo de seguridad social (ISSEMyM, u otros</w:t>
      </w:r>
      <w:r w:rsidRPr="002D69DA">
        <w:rPr>
          <w:rFonts w:ascii="Palatino Linotype" w:eastAsia="Palatino Linotype" w:hAnsi="Palatino Linotype" w:cs="Palatino Linotype"/>
          <w:color w:val="000000" w:themeColor="text1"/>
          <w:lang w:eastAsia="es-MX"/>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lastRenderedPageBreak/>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hAnsi="Palatino Linotype"/>
          <w:color w:val="000000" w:themeColor="text1"/>
          <w:lang w:val="es-ES"/>
        </w:rPr>
        <w:t>Contar</w:t>
      </w:r>
      <w:r w:rsidRPr="002D69DA">
        <w:rPr>
          <w:rFonts w:ascii="Palatino Linotype" w:eastAsia="Palatino Linotype" w:hAnsi="Palatino Linotype" w:cs="Palatino Linotype"/>
          <w:color w:val="000000" w:themeColor="text1"/>
          <w:lang w:eastAsia="es-MX"/>
        </w:rPr>
        <w:t xml:space="preserve">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lastRenderedPageBreak/>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Por su parte, el artículo 84 de la Ley del Trabajo de los Servidores Públicos del Estado y Municipios, señala:</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i/>
          <w:color w:val="000000" w:themeColor="text1"/>
          <w:lang w:eastAsia="es-MX"/>
        </w:rPr>
        <w:t>“</w:t>
      </w:r>
      <w:r w:rsidRPr="002D69DA">
        <w:rPr>
          <w:rFonts w:ascii="Palatino Linotype" w:eastAsia="Palatino Linotype" w:hAnsi="Palatino Linotype" w:cs="Palatino Linotype"/>
          <w:b/>
          <w:i/>
          <w:color w:val="000000" w:themeColor="text1"/>
          <w:lang w:eastAsia="es-MX"/>
        </w:rPr>
        <w:t>ARTICULO 84. Sólo podrán hacerse retenciones, descuentos o deducciones al sueldo de los servidores públicos por concepto de:</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i/>
          <w:color w:val="000000" w:themeColor="text1"/>
          <w:lang w:eastAsia="es-MX"/>
        </w:rPr>
        <w:t>I. Gravámenes fiscales relacionados con el sueldo;</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b/>
          <w:i/>
          <w:color w:val="000000" w:themeColor="text1"/>
          <w:lang w:eastAsia="es-MX"/>
        </w:rPr>
        <w:t>II. Deudas contraídas con las instituciones públicas o dependencias</w:t>
      </w:r>
      <w:r w:rsidRPr="002D69DA">
        <w:rPr>
          <w:rFonts w:ascii="Palatino Linotype" w:eastAsia="Palatino Linotype" w:hAnsi="Palatino Linotype" w:cs="Palatino Linotype"/>
          <w:i/>
          <w:color w:val="000000" w:themeColor="text1"/>
          <w:lang w:eastAsia="es-MX"/>
        </w:rPr>
        <w:t xml:space="preserve"> por concepto de anticipos de sueldo, pagos hechos con exceso, errores o pérdidas debidamente comprobados;</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b/>
          <w:i/>
          <w:color w:val="000000" w:themeColor="text1"/>
          <w:lang w:eastAsia="es-MX"/>
        </w:rPr>
        <w:t>III. Cuotas sindicales</w:t>
      </w:r>
      <w:r w:rsidRPr="002D69DA">
        <w:rPr>
          <w:rFonts w:ascii="Palatino Linotype" w:eastAsia="Palatino Linotype" w:hAnsi="Palatino Linotype" w:cs="Palatino Linotype"/>
          <w:i/>
          <w:color w:val="000000" w:themeColor="text1"/>
          <w:lang w:eastAsia="es-MX"/>
        </w:rPr>
        <w:t>;</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i/>
          <w:color w:val="000000" w:themeColor="text1"/>
          <w:lang w:eastAsia="es-MX"/>
        </w:rPr>
        <w:t>IV. Cuotas de aportación a fondos para la constitución de cooperativas y de cajas de ahorro, siempre que el servidor público hubiese manifestado previamente, de manera expresa, su conformidad;</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i/>
          <w:color w:val="000000" w:themeColor="text1"/>
          <w:lang w:eastAsia="es-MX"/>
        </w:rPr>
        <w:t>V. Descuentos ordenados por el Instituto de Seguridad Social del Estado de México y Municipios, con motivo de cuotas y obligaciones contraídas con éste por los servidores públicos;</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b/>
          <w:i/>
          <w:color w:val="000000" w:themeColor="text1"/>
          <w:lang w:eastAsia="es-MX"/>
        </w:rPr>
        <w:t>VI. Obligaciones a cargo del servidor público con las que haya consentido</w:t>
      </w:r>
      <w:r w:rsidRPr="002D69DA">
        <w:rPr>
          <w:rFonts w:ascii="Palatino Linotype" w:eastAsia="Palatino Linotype" w:hAnsi="Palatino Linotype" w:cs="Palatino Linotype"/>
          <w:i/>
          <w:color w:val="000000" w:themeColor="text1"/>
          <w:lang w:eastAsia="es-MX"/>
        </w:rPr>
        <w:t>, derivadas de la adquisición o del uso de habitaciones consideradas como de interés social;</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i/>
          <w:color w:val="000000" w:themeColor="text1"/>
          <w:lang w:eastAsia="es-MX"/>
        </w:rPr>
        <w:t>VII. Faltas de puntualidad o de asistencia injustificadas;</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b/>
          <w:i/>
          <w:color w:val="000000" w:themeColor="text1"/>
          <w:lang w:eastAsia="es-MX"/>
        </w:rPr>
        <w:t>VIII. Pensiones alimenticias ordenadas por la autoridad judicial;</w:t>
      </w:r>
      <w:r w:rsidRPr="002D69DA">
        <w:rPr>
          <w:rFonts w:ascii="Palatino Linotype" w:eastAsia="Palatino Linotype" w:hAnsi="Palatino Linotype" w:cs="Palatino Linotype"/>
          <w:i/>
          <w:color w:val="000000" w:themeColor="text1"/>
          <w:lang w:eastAsia="es-MX"/>
        </w:rPr>
        <w:t xml:space="preserve"> o</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b/>
          <w:i/>
          <w:color w:val="000000" w:themeColor="text1"/>
          <w:lang w:eastAsia="es-MX"/>
        </w:rPr>
        <w:t>IX. Cualquier otro convenido con instituciones de servicios y aceptado por el servidor público.</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i/>
          <w:color w:val="000000" w:themeColor="text1"/>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4D6D95" w:rsidRPr="002D69DA" w:rsidRDefault="004D6D95" w:rsidP="00E84339">
      <w:pPr>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lastRenderedPageBreak/>
        <w:t>(Énfasis añadido)</w:t>
      </w:r>
    </w:p>
    <w:p w:rsidR="004D6D95" w:rsidRPr="002D69DA" w:rsidRDefault="004D6D95" w:rsidP="00E84339">
      <w:pPr>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hAnsi="Palatino Linotype"/>
          <w:color w:val="000000" w:themeColor="text1"/>
          <w:lang w:val="es-ES"/>
        </w:rPr>
        <w:t>Derivado</w:t>
      </w:r>
      <w:r w:rsidRPr="002D69DA">
        <w:rPr>
          <w:rFonts w:ascii="Palatino Linotype" w:eastAsia="Palatino Linotype" w:hAnsi="Palatino Linotype" w:cs="Palatino Linotype"/>
          <w:color w:val="000000" w:themeColor="text1"/>
          <w:lang w:eastAsia="es-MX"/>
        </w:rPr>
        <w:t xml:space="preserve"> de lo anterior, la ley establece claramente cuáles son esos descuentos o gravámenes que directamente se relacionan con las obligaciones adquiridas como servidores públicos y aquéllos que </w:t>
      </w:r>
      <w:r w:rsidRPr="002D69DA">
        <w:rPr>
          <w:rFonts w:ascii="Palatino Linotype" w:eastAsia="Palatino Linotype" w:hAnsi="Palatino Linotype" w:cs="Palatino Linotype"/>
          <w:b/>
          <w:color w:val="000000" w:themeColor="text1"/>
          <w:u w:val="single"/>
          <w:lang w:eastAsia="es-MX"/>
        </w:rPr>
        <w:t>únicamente inciden en su vida privada</w:t>
      </w:r>
      <w:r w:rsidRPr="002D69DA">
        <w:rPr>
          <w:rFonts w:ascii="Palatino Linotype" w:eastAsia="Palatino Linotype" w:hAnsi="Palatino Linotype" w:cs="Palatino Linotype"/>
          <w:color w:val="000000" w:themeColor="text1"/>
          <w:lang w:eastAsia="es-MX"/>
        </w:rPr>
        <w:t>. De este modo, descuentos por pensiones alimenticias o créditos adquiridos con instituciones privadas o públicas pero que fueron contraídas en forma individual, son información que debe clasificarse como confidencial.</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hAnsi="Palatino Linotype"/>
          <w:color w:val="000000" w:themeColor="text1"/>
          <w:lang w:val="es-ES"/>
        </w:rPr>
        <w:t>Sirven</w:t>
      </w:r>
      <w:r w:rsidRPr="002D69DA">
        <w:rPr>
          <w:rFonts w:ascii="Palatino Linotype" w:eastAsia="Palatino Linotype" w:hAnsi="Palatino Linotype" w:cs="Palatino Linotype"/>
          <w:color w:val="000000" w:themeColor="text1"/>
          <w:lang w:eastAsia="es-MX"/>
        </w:rPr>
        <w:t xml:space="preserve"> de sustento a lo anterior, las tesis jurisprudenciales P. LX/2000 y 2a. XLIII/2008 emitidas por el Peno y la Segunda Sala de la Suprema Corte de Justicia de la Nación, respectivamente, que son del tenor literal siguiente:</w:t>
      </w:r>
    </w:p>
    <w:p w:rsidR="004D6D95" w:rsidRPr="002D69DA" w:rsidRDefault="004D6D95" w:rsidP="00E84339">
      <w:pPr>
        <w:jc w:val="both"/>
        <w:rPr>
          <w:rFonts w:ascii="Palatino Linotype" w:eastAsia="Palatino Linotype" w:hAnsi="Palatino Linotype" w:cs="Palatino Linotype"/>
          <w:i/>
          <w:color w:val="000000" w:themeColor="text1"/>
          <w:lang w:eastAsia="es-MX"/>
        </w:rPr>
      </w:pPr>
      <w:r w:rsidRPr="002D69DA">
        <w:rPr>
          <w:rFonts w:ascii="Palatino Linotype" w:eastAsia="Palatino Linotype" w:hAnsi="Palatino Linotype" w:cs="Palatino Linotype"/>
          <w:b/>
          <w:i/>
          <w:color w:val="000000" w:themeColor="text1"/>
          <w:lang w:eastAsia="es-MX"/>
        </w:rPr>
        <w:t xml:space="preserve">“DERECHO A LA INFORMACIÓN. SU EJERCICIO SE ENCUENTRA LIMITADO TANTO POR LOS INTERESES NACIONALES Y DE LA SOCIEDAD, COMO POR LOS DERECHOS DE TERCEROS. </w:t>
      </w:r>
      <w:r w:rsidRPr="002D69DA">
        <w:rPr>
          <w:rFonts w:ascii="Palatino Linotype" w:eastAsia="Palatino Linotype" w:hAnsi="Palatino Linotype" w:cs="Palatino Linotype"/>
          <w:i/>
          <w:color w:val="000000" w:themeColor="text1"/>
          <w:lang w:eastAsia="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w:t>
      </w:r>
      <w:r w:rsidRPr="002D69DA">
        <w:rPr>
          <w:rFonts w:ascii="Palatino Linotype" w:eastAsia="Palatino Linotype" w:hAnsi="Palatino Linotype" w:cs="Palatino Linotype"/>
          <w:i/>
          <w:color w:val="000000" w:themeColor="text1"/>
          <w:lang w:eastAsia="es-MX"/>
        </w:rPr>
        <w:lastRenderedPageBreak/>
        <w:t xml:space="preserve">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2D69DA">
        <w:rPr>
          <w:rFonts w:ascii="Palatino Linotype" w:eastAsia="Palatino Linotype" w:hAnsi="Palatino Linotype" w:cs="Palatino Linotype"/>
          <w:b/>
          <w:i/>
          <w:color w:val="000000" w:themeColor="text1"/>
          <w:lang w:eastAsia="es-MX"/>
        </w:rPr>
        <w:t>restringen el acceso a la información en esta materia, en razón de que su conocimiento público puede generar daños a los intereses nacionales y, por el otro, sancionan la inobservancia de esa reserva</w:t>
      </w:r>
      <w:r w:rsidRPr="002D69DA">
        <w:rPr>
          <w:rFonts w:ascii="Palatino Linotype" w:eastAsia="Palatino Linotype" w:hAnsi="Palatino Linotype" w:cs="Palatino Linotype"/>
          <w:i/>
          <w:color w:val="000000" w:themeColor="text1"/>
          <w:lang w:eastAsia="es-MX"/>
        </w:rPr>
        <w:t xml:space="preserve">; por lo que hace al interés social, se cuenta con normas que tienden a proteger la averiguación de los delitos, la salud y la moral públicas, </w:t>
      </w:r>
      <w:r w:rsidRPr="002D69DA">
        <w:rPr>
          <w:rFonts w:ascii="Palatino Linotype" w:eastAsia="Palatino Linotype" w:hAnsi="Palatino Linotype" w:cs="Palatino Linotype"/>
          <w:b/>
          <w:i/>
          <w:color w:val="000000" w:themeColor="text1"/>
          <w:lang w:eastAsia="es-MX"/>
        </w:rPr>
        <w:t>mientras que por lo que respecta a la protección de la persona existen normas que protegen el derecho a la vida o a la privacidad de los gobernados</w:t>
      </w:r>
      <w:r w:rsidRPr="002D69DA">
        <w:rPr>
          <w:rFonts w:ascii="Palatino Linotype" w:eastAsia="Palatino Linotype" w:hAnsi="Palatino Linotype" w:cs="Palatino Linotype"/>
          <w:i/>
          <w:color w:val="000000" w:themeColor="text1"/>
          <w:lang w:eastAsia="es-MX"/>
        </w:rPr>
        <w:t>.”</w:t>
      </w:r>
    </w:p>
    <w:p w:rsidR="004D6D95" w:rsidRPr="002D69DA" w:rsidRDefault="004D6D95" w:rsidP="00E84339">
      <w:pPr>
        <w:jc w:val="both"/>
        <w:rPr>
          <w:rFonts w:ascii="Palatino Linotype" w:eastAsia="Palatino Linotype" w:hAnsi="Palatino Linotype" w:cs="Palatino Linotype"/>
          <w:i/>
          <w:color w:val="000000" w:themeColor="text1"/>
          <w:lang w:eastAsia="es-MX"/>
        </w:rPr>
      </w:pPr>
    </w:p>
    <w:p w:rsidR="004D6D95" w:rsidRPr="002D69DA" w:rsidRDefault="004D6D95" w:rsidP="00E84339">
      <w:pPr>
        <w:jc w:val="both"/>
        <w:rPr>
          <w:rFonts w:ascii="Palatino Linotype" w:eastAsia="Palatino Linotype" w:hAnsi="Palatino Linotype" w:cs="Palatino Linotype"/>
          <w:i/>
          <w:color w:val="000000" w:themeColor="text1"/>
          <w:lang w:eastAsia="es-MX"/>
        </w:rPr>
      </w:pPr>
      <w:r w:rsidRPr="002D69DA">
        <w:rPr>
          <w:rFonts w:ascii="Palatino Linotype" w:eastAsia="Palatino Linotype" w:hAnsi="Palatino Linotype" w:cs="Palatino Linotype"/>
          <w:b/>
          <w:i/>
          <w:color w:val="000000" w:themeColor="text1"/>
          <w:lang w:eastAsia="es-MX"/>
        </w:rPr>
        <w:t xml:space="preserve">“TRANSPARENCIA Y ACCESO A LA INFORMACIÓN PÚBLICA GUBERNAMENTAL. EL ARTÍCULO 14, FRACCIÓN I, DE LA LEY FEDERAL RELATIVA, NO VIOLA LA GARANTÍA DE ACCESO A LA INFORMACIÓN. </w:t>
      </w:r>
      <w:r w:rsidRPr="002D69DA">
        <w:rPr>
          <w:rFonts w:ascii="Palatino Linotype" w:eastAsia="Palatino Linotype" w:hAnsi="Palatino Linotype" w:cs="Palatino Linotype"/>
          <w:i/>
          <w:color w:val="000000" w:themeColor="text1"/>
          <w:lang w:eastAsia="es-MX"/>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2D69DA">
        <w:rPr>
          <w:rFonts w:ascii="Palatino Linotype" w:eastAsia="Palatino Linotype" w:hAnsi="Palatino Linotype" w:cs="Palatino Linotype"/>
          <w:b/>
          <w:i/>
          <w:color w:val="000000" w:themeColor="text1"/>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2D69DA">
        <w:rPr>
          <w:rFonts w:ascii="Palatino Linotype" w:eastAsia="Palatino Linotype" w:hAnsi="Palatino Linotype" w:cs="Palatino Linotype"/>
          <w:i/>
          <w:color w:val="000000" w:themeColor="text1"/>
          <w:lang w:eastAsia="es-MX"/>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4D6D95" w:rsidRPr="002D69DA" w:rsidRDefault="004D6D95" w:rsidP="00E84339">
      <w:pPr>
        <w:jc w:val="both"/>
        <w:rPr>
          <w:rFonts w:ascii="Palatino Linotype" w:eastAsia="Palatino Linotype" w:hAnsi="Palatino Linotype" w:cs="Palatino Linotype"/>
          <w:i/>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lastRenderedPageBreak/>
        <w:t>También, el número de cuenta bancario, en el Criterio 10/17 emitido por el Pleno del Instituto Nacional de Transparencia, Acceso a la Información y Protección de Datos Personales  se establece lo siguiente:</w:t>
      </w:r>
    </w:p>
    <w:p w:rsidR="004D6D95" w:rsidRPr="002D69DA" w:rsidRDefault="004D6D95" w:rsidP="00E84339">
      <w:pPr>
        <w:shd w:val="clear" w:color="auto" w:fill="FFFFFF"/>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w:t>
      </w:r>
      <w:r w:rsidRPr="002D69DA">
        <w:rPr>
          <w:rFonts w:ascii="Palatino Linotype" w:eastAsia="Palatino Linotype" w:hAnsi="Palatino Linotype" w:cs="Palatino Linotype"/>
          <w:b/>
          <w:i/>
          <w:color w:val="000000" w:themeColor="text1"/>
          <w:lang w:eastAsia="es-MX"/>
        </w:rPr>
        <w:t>Cuentas bancarias y/o CLABE interbancaria de personas físicas y morales privadas.</w:t>
      </w:r>
      <w:r w:rsidRPr="002D69DA">
        <w:rPr>
          <w:rFonts w:ascii="Palatino Linotype" w:eastAsia="Palatino Linotype" w:hAnsi="Palatino Linotype" w:cs="Palatino Linotype"/>
          <w:i/>
          <w:color w:val="000000" w:themeColor="text1"/>
          <w:lang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2D69DA">
        <w:rPr>
          <w:rFonts w:ascii="Palatino Linotype" w:eastAsia="Palatino Linotype" w:hAnsi="Palatino Linotype" w:cs="Palatino Linotype"/>
          <w:color w:val="000000" w:themeColor="text1"/>
          <w:lang w:eastAsia="es-MX"/>
        </w:rPr>
        <w:t>.”</w:t>
      </w:r>
    </w:p>
    <w:p w:rsidR="004D6D95" w:rsidRPr="002D69DA" w:rsidRDefault="004D6D95" w:rsidP="00E84339">
      <w:pPr>
        <w:jc w:val="both"/>
        <w:rPr>
          <w:rFonts w:ascii="Palatino Linotype" w:eastAsia="Palatino Linotype" w:hAnsi="Palatino Linotype" w:cs="Palatino Linotype"/>
          <w:color w:val="000000" w:themeColor="text1"/>
          <w:lang w:eastAsia="es-MX"/>
        </w:rPr>
      </w:pPr>
    </w:p>
    <w:p w:rsidR="004D6D95" w:rsidRPr="002D69DA" w:rsidRDefault="004D6D95"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lang w:eastAsia="es-MX"/>
        </w:rPr>
      </w:pPr>
      <w:r w:rsidRPr="002D69DA">
        <w:rPr>
          <w:rFonts w:ascii="Palatino Linotype" w:eastAsia="Palatino Linotype" w:hAnsi="Palatino Linotype" w:cs="Palatino Linotype"/>
          <w:color w:val="000000" w:themeColor="text1"/>
          <w:lang w:eastAsia="es-MX"/>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2B5A1E" w:rsidRPr="002D69DA" w:rsidRDefault="002B5A1E" w:rsidP="00E84339">
      <w:pPr>
        <w:rPr>
          <w:rFonts w:ascii="Palatino Linotype" w:eastAsia="Palatino Linotype" w:hAnsi="Palatino Linotype" w:cs="Palatino Linotype"/>
          <w:color w:val="000000" w:themeColor="text1"/>
          <w:lang w:eastAsia="es-MX"/>
        </w:rPr>
      </w:pPr>
    </w:p>
    <w:p w:rsidR="00566A3E" w:rsidRPr="002D69DA" w:rsidRDefault="00566A3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b/>
          <w:i/>
          <w:color w:val="000000" w:themeColor="text1"/>
        </w:rPr>
      </w:pPr>
      <w:r w:rsidRPr="002D69DA">
        <w:rPr>
          <w:rFonts w:ascii="Palatino Linotype" w:eastAsia="Palatino Linotype" w:hAnsi="Palatino Linotype" w:cs="Palatino Linotype"/>
          <w:color w:val="000000" w:themeColor="text1"/>
        </w:rPr>
        <w:t xml:space="preserve">Por otro lado se debe de establecer que de la información solicitada, el </w:t>
      </w:r>
      <w:r w:rsidRPr="002D69DA">
        <w:rPr>
          <w:rFonts w:ascii="Palatino Linotype" w:eastAsia="Palatino Linotype" w:hAnsi="Palatino Linotype" w:cs="Palatino Linotype"/>
          <w:b/>
          <w:color w:val="000000" w:themeColor="text1"/>
        </w:rPr>
        <w:t xml:space="preserve">SUJETO OBLIGADO </w:t>
      </w:r>
      <w:r w:rsidRPr="002D69DA">
        <w:rPr>
          <w:rFonts w:ascii="Palatino Linotype" w:eastAsia="Palatino Linotype" w:hAnsi="Palatino Linotype" w:cs="Palatino Linotype"/>
          <w:color w:val="000000" w:themeColor="text1"/>
        </w:rPr>
        <w:t xml:space="preserve">deberá de proceder a la clasificación del nombre del personal Operativo adscrito a la </w:t>
      </w:r>
      <w:r w:rsidRPr="002D69DA">
        <w:rPr>
          <w:rFonts w:ascii="Palatino Linotype" w:eastAsia="Palatino Linotype" w:hAnsi="Palatino Linotype" w:cs="Palatino Linotype"/>
          <w:b/>
          <w:color w:val="000000" w:themeColor="text1"/>
        </w:rPr>
        <w:t>Dirección de Seguridad y Protección</w:t>
      </w:r>
      <w:r w:rsidRPr="002D69DA">
        <w:rPr>
          <w:rFonts w:ascii="Palatino Linotype" w:eastAsia="Palatino Linotype" w:hAnsi="Palatino Linotype" w:cs="Palatino Linotype"/>
          <w:color w:val="000000" w:themeColor="text1"/>
        </w:rPr>
        <w:t xml:space="preserve">, de acuerdo con lo siguiente. </w:t>
      </w:r>
    </w:p>
    <w:p w:rsidR="00566A3E" w:rsidRPr="002D69DA" w:rsidRDefault="00566A3E" w:rsidP="00E84339">
      <w:pPr>
        <w:rPr>
          <w:rFonts w:ascii="Palatino Linotype" w:eastAsia="Palatino Linotype" w:hAnsi="Palatino Linotype" w:cs="Palatino Linotype"/>
          <w:b/>
          <w:i/>
          <w:color w:val="000000" w:themeColor="text1"/>
        </w:rPr>
      </w:pPr>
    </w:p>
    <w:p w:rsidR="00566A3E" w:rsidRPr="002D69DA" w:rsidRDefault="00566A3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En ese orden de ideas si bien por regla general los nombres de los trabajadores gubernamentales son información pública de oficio, existe una excepción relativa a </w:t>
      </w:r>
      <w:r w:rsidRPr="002D69DA">
        <w:rPr>
          <w:rFonts w:ascii="Palatino Linotype" w:eastAsia="Palatino Linotype" w:hAnsi="Palatino Linotype" w:cs="Palatino Linotype"/>
          <w:color w:val="000000" w:themeColor="text1"/>
        </w:rPr>
        <w:lastRenderedPageBreak/>
        <w:t xml:space="preserve">aquellos que realicen </w:t>
      </w:r>
      <w:r w:rsidRPr="002D69DA">
        <w:rPr>
          <w:rFonts w:ascii="Palatino Linotype" w:eastAsia="Palatino Linotype" w:hAnsi="Palatino Linotype" w:cs="Palatino Linotype"/>
          <w:b/>
          <w:color w:val="000000" w:themeColor="text1"/>
        </w:rPr>
        <w:t>actividades operativas en materia de seguridad</w:t>
      </w:r>
      <w:r w:rsidRPr="002D69DA">
        <w:rPr>
          <w:rFonts w:ascii="Palatino Linotype" w:eastAsia="Palatino Linotype" w:hAnsi="Palatino Linotype" w:cs="Palatino Linotype"/>
          <w:color w:val="000000" w:themeColor="text1"/>
        </w:rPr>
        <w:t>, como es el caso de los elementos operativos y la policía municipal.</w:t>
      </w:r>
    </w:p>
    <w:p w:rsidR="00566A3E" w:rsidRPr="002D69DA" w:rsidRDefault="00566A3E" w:rsidP="00E84339">
      <w:pPr>
        <w:pBdr>
          <w:top w:val="nil"/>
          <w:left w:val="nil"/>
          <w:bottom w:val="nil"/>
          <w:right w:val="nil"/>
          <w:between w:val="nil"/>
        </w:pBdr>
        <w:rPr>
          <w:rFonts w:ascii="Palatino Linotype" w:eastAsia="Palatino Linotype" w:hAnsi="Palatino Linotype" w:cs="Palatino Linotype"/>
          <w:color w:val="000000" w:themeColor="text1"/>
        </w:rPr>
      </w:pPr>
    </w:p>
    <w:p w:rsidR="00566A3E" w:rsidRPr="002D69DA" w:rsidRDefault="00566A3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566A3E" w:rsidRPr="002D69DA" w:rsidRDefault="00566A3E" w:rsidP="00E843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66A3E" w:rsidRPr="002D69DA" w:rsidRDefault="00566A3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566A3E" w:rsidRPr="002D69DA" w:rsidRDefault="00566A3E" w:rsidP="00E843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A1751" w:rsidRPr="002D69DA" w:rsidRDefault="00566A3E"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Por tales consideraciones, resulta procedente la reserva del </w:t>
      </w:r>
      <w:r w:rsidRPr="002D69DA">
        <w:rPr>
          <w:rFonts w:ascii="Palatino Linotype" w:eastAsia="Palatino Linotype" w:hAnsi="Palatino Linotype" w:cs="Palatino Linotype"/>
          <w:b/>
          <w:color w:val="000000" w:themeColor="text1"/>
        </w:rPr>
        <w:t>nombre de los elementos operativos</w:t>
      </w:r>
      <w:r w:rsidRPr="002D69DA">
        <w:rPr>
          <w:rFonts w:ascii="Palatino Linotype" w:eastAsia="Palatino Linotype" w:hAnsi="Palatino Linotype" w:cs="Palatino Linotype"/>
          <w:color w:val="000000" w:themeColor="text1"/>
        </w:rPr>
        <w:t xml:space="preserve"> de la Dirección de Seguridad Pública Municipal, en términos </w:t>
      </w:r>
      <w:r w:rsidRPr="002D69DA">
        <w:rPr>
          <w:rFonts w:ascii="Palatino Linotype" w:eastAsia="Palatino Linotype" w:hAnsi="Palatino Linotype" w:cs="Palatino Linotype"/>
          <w:color w:val="000000" w:themeColor="text1"/>
        </w:rPr>
        <w:lastRenderedPageBreak/>
        <w:t>del artículo 140, fracción IV, de la Ley de Transparencia y Acceso a la Información Pública del Estado de México y Municipios.</w:t>
      </w:r>
    </w:p>
    <w:p w:rsidR="00476098" w:rsidRPr="002D69DA" w:rsidRDefault="00476098" w:rsidP="00E84339">
      <w:pPr>
        <w:pStyle w:val="Prrafodelista"/>
        <w:ind w:left="0"/>
        <w:rPr>
          <w:rFonts w:ascii="Palatino Linotype" w:eastAsia="Palatino Linotype" w:hAnsi="Palatino Linotype" w:cs="Palatino Linotype"/>
          <w:color w:val="000000" w:themeColor="text1"/>
        </w:rPr>
      </w:pPr>
    </w:p>
    <w:p w:rsidR="00476098" w:rsidRPr="002D69DA" w:rsidRDefault="00476098" w:rsidP="00E84339">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2D69DA">
        <w:rPr>
          <w:rFonts w:ascii="Palatino Linotype" w:eastAsia="Palatino Linotype" w:hAnsi="Palatino Linotype" w:cs="Palatino Linotype"/>
          <w:color w:val="000000" w:themeColor="text1"/>
        </w:rPr>
        <w:t xml:space="preserve">Ahora bien, se debe de señalar que 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al momento de interponer sus recursos de revisión, señalo </w:t>
      </w:r>
      <w:r w:rsidRPr="002D69DA">
        <w:rPr>
          <w:rFonts w:ascii="Palatino Linotype" w:eastAsia="Palatino Linotype" w:hAnsi="Palatino Linotype" w:cs="Palatino Linotype"/>
          <w:b/>
          <w:color w:val="000000" w:themeColor="text1"/>
        </w:rPr>
        <w:t>“</w:t>
      </w:r>
      <w:r w:rsidRPr="002D69DA">
        <w:rPr>
          <w:rFonts w:ascii="Palatino Linotype" w:hAnsi="Palatino Linotype" w:cs="Arial"/>
          <w:b/>
          <w:i/>
          <w:color w:val="000000" w:themeColor="text1"/>
        </w:rPr>
        <w:t xml:space="preserve">se gire vista al Órgano Interno de Control Municipal, para que se determine la probable responsabilidad administrativa del servidor público firmante del oficio (Dr. Nahum Miguel Mendoza Morales)”, </w:t>
      </w:r>
      <w:r w:rsidRPr="002D69DA">
        <w:rPr>
          <w:rFonts w:ascii="Palatino Linotype" w:hAnsi="Palatino Linotype" w:cs="Arial"/>
          <w:color w:val="000000" w:themeColor="text1"/>
        </w:rPr>
        <w:t xml:space="preserve">de lo cual se debe de referir que este Órgano Garante, cuenta con facultades para determinar vistas al Órgano Interno de Control, cuando la solicitudes de información no cuenta con respuestas, sin embargo en las solicitudes de información analizadas el </w:t>
      </w:r>
      <w:r w:rsidRPr="002D69DA">
        <w:rPr>
          <w:rFonts w:ascii="Palatino Linotype" w:hAnsi="Palatino Linotype" w:cs="Arial"/>
          <w:b/>
          <w:color w:val="000000" w:themeColor="text1"/>
        </w:rPr>
        <w:t xml:space="preserve">SUJETO OBLIGADO </w:t>
      </w:r>
      <w:r w:rsidRPr="002D69DA">
        <w:rPr>
          <w:rFonts w:ascii="Palatino Linotype" w:hAnsi="Palatino Linotype" w:cs="Arial"/>
          <w:color w:val="000000" w:themeColor="text1"/>
        </w:rPr>
        <w:t xml:space="preserve">si entrego en respuestas en todas, por lo que, lo solicitado por el </w:t>
      </w:r>
      <w:r w:rsidRPr="002D69DA">
        <w:rPr>
          <w:rFonts w:ascii="Palatino Linotype" w:hAnsi="Palatino Linotype" w:cs="Arial"/>
          <w:b/>
          <w:color w:val="000000" w:themeColor="text1"/>
        </w:rPr>
        <w:t xml:space="preserve">RECURRENTE </w:t>
      </w:r>
      <w:r w:rsidRPr="002D69DA">
        <w:rPr>
          <w:rFonts w:ascii="Palatino Linotype" w:hAnsi="Palatino Linotype" w:cs="Arial"/>
          <w:color w:val="000000" w:themeColor="text1"/>
        </w:rPr>
        <w:t xml:space="preserve">no se encuentra dentro de las funciones de este Órgano Garante. </w:t>
      </w:r>
    </w:p>
    <w:p w:rsidR="00476098" w:rsidRPr="002D69DA" w:rsidRDefault="00476098" w:rsidP="00E84339">
      <w:pPr>
        <w:pStyle w:val="Prrafodelista"/>
        <w:ind w:left="0"/>
        <w:rPr>
          <w:rFonts w:ascii="Palatino Linotype" w:eastAsia="Palatino Linotype" w:hAnsi="Palatino Linotype" w:cs="Palatino Linotype"/>
          <w:color w:val="000000" w:themeColor="text1"/>
        </w:rPr>
      </w:pPr>
    </w:p>
    <w:p w:rsidR="002A1751" w:rsidRPr="002D69DA" w:rsidRDefault="002A1751" w:rsidP="00E84339">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themeColor="text1"/>
        </w:rPr>
      </w:pPr>
      <w:r w:rsidRPr="002D69DA">
        <w:rPr>
          <w:rFonts w:ascii="Palatino Linotype" w:eastAsia="Palatino Linotype" w:hAnsi="Palatino Linotype" w:cs="Palatino Linotype"/>
          <w:color w:val="000000" w:themeColor="text1"/>
        </w:rPr>
        <w:t xml:space="preserve">Por último, se debe de referir que el </w:t>
      </w:r>
      <w:r w:rsidRPr="002D69DA">
        <w:rPr>
          <w:rFonts w:ascii="Palatino Linotype" w:eastAsia="Palatino Linotype" w:hAnsi="Palatino Linotype" w:cs="Palatino Linotype"/>
          <w:b/>
          <w:color w:val="000000" w:themeColor="text1"/>
        </w:rPr>
        <w:t xml:space="preserve">RECURRENTE </w:t>
      </w:r>
      <w:r w:rsidRPr="002D69DA">
        <w:rPr>
          <w:rFonts w:ascii="Palatino Linotype" w:eastAsia="Palatino Linotype" w:hAnsi="Palatino Linotype" w:cs="Palatino Linotype"/>
          <w:color w:val="000000" w:themeColor="text1"/>
        </w:rPr>
        <w:t xml:space="preserve">solicita la información </w:t>
      </w:r>
      <w:r w:rsidR="00476098" w:rsidRPr="002D69DA">
        <w:rPr>
          <w:rFonts w:ascii="Palatino Linotype" w:eastAsia="Palatino Linotype" w:hAnsi="Palatino Linotype" w:cs="Palatino Linotype"/>
          <w:color w:val="000000" w:themeColor="text1"/>
        </w:rPr>
        <w:t xml:space="preserve">en formato </w:t>
      </w:r>
      <w:r w:rsidRPr="002D69DA">
        <w:rPr>
          <w:rFonts w:ascii="Palatino Linotype" w:eastAsia="Palatino Linotype" w:hAnsi="Palatino Linotype" w:cs="Palatino Linotype"/>
          <w:color w:val="000000" w:themeColor="text1"/>
        </w:rPr>
        <w:t xml:space="preserve">Excel, </w:t>
      </w:r>
      <w:r w:rsidR="00476098" w:rsidRPr="002D69DA">
        <w:rPr>
          <w:rFonts w:ascii="Palatino Linotype" w:eastAsia="Palatino Linotype" w:hAnsi="Palatino Linotype" w:cs="Palatino Linotype"/>
          <w:color w:val="000000" w:themeColor="text1"/>
        </w:rPr>
        <w:t xml:space="preserve">de  lo cual se debe de precisar que en el estudio se observa que la entrega de conciliación de nómina, se realiza por medio del formato xls, que es un formato de hojas de cálculo, que se traduce al formato Excel, situación por la cual se colige que la información solicitada, si es generada en hojas de cálculo, por lo que, la entrega de la información deberá de ser entregado en el formato solicitado. </w:t>
      </w:r>
    </w:p>
    <w:p w:rsidR="00566A3E" w:rsidRPr="002D69DA" w:rsidRDefault="00566A3E" w:rsidP="00E84339">
      <w:pPr>
        <w:pStyle w:val="Prrafodelista"/>
        <w:ind w:left="0"/>
        <w:rPr>
          <w:rFonts w:ascii="Palatino Linotype" w:eastAsia="Palatino Linotype" w:hAnsi="Palatino Linotype" w:cs="Palatino Linotype"/>
          <w:color w:val="000000" w:themeColor="text1"/>
          <w:lang w:eastAsia="es-MX"/>
        </w:rPr>
      </w:pPr>
    </w:p>
    <w:p w:rsidR="00AA3749" w:rsidRPr="0040280F" w:rsidRDefault="004D6D95" w:rsidP="00E84339">
      <w:pPr>
        <w:pStyle w:val="Prrafodelista"/>
        <w:numPr>
          <w:ilvl w:val="0"/>
          <w:numId w:val="8"/>
        </w:numPr>
        <w:spacing w:line="360" w:lineRule="auto"/>
        <w:ind w:left="0" w:firstLine="0"/>
        <w:contextualSpacing w:val="0"/>
        <w:jc w:val="both"/>
        <w:rPr>
          <w:rFonts w:ascii="Palatino Linotype" w:eastAsia="Calibri" w:hAnsi="Palatino Linotype" w:cs="Arial"/>
          <w:b/>
          <w:color w:val="000000" w:themeColor="text1"/>
          <w:sz w:val="22"/>
        </w:rPr>
      </w:pPr>
      <w:r w:rsidRPr="002D69DA">
        <w:rPr>
          <w:rFonts w:ascii="Palatino Linotype" w:eastAsia="Palatino Linotype" w:hAnsi="Palatino Linotype" w:cs="Palatino Linotype"/>
          <w:color w:val="000000" w:themeColor="text1"/>
          <w:lang w:eastAsia="es-MX"/>
        </w:rPr>
        <w:t xml:space="preserve">De lo anteriormente expuesto se determina </w:t>
      </w:r>
      <w:r w:rsidRPr="002D69DA">
        <w:rPr>
          <w:rFonts w:ascii="Palatino Linotype" w:eastAsia="Palatino Linotype" w:hAnsi="Palatino Linotype" w:cs="Palatino Linotype"/>
          <w:b/>
          <w:color w:val="000000" w:themeColor="text1"/>
          <w:lang w:eastAsia="es-MX"/>
        </w:rPr>
        <w:t xml:space="preserve">REVOCAR </w:t>
      </w:r>
      <w:r w:rsidR="00E2005E" w:rsidRPr="002D69DA">
        <w:rPr>
          <w:rFonts w:ascii="Palatino Linotype" w:eastAsia="Palatino Linotype" w:hAnsi="Palatino Linotype" w:cs="Palatino Linotype"/>
          <w:color w:val="000000" w:themeColor="text1"/>
          <w:lang w:eastAsia="es-MX"/>
        </w:rPr>
        <w:t xml:space="preserve">las </w:t>
      </w:r>
      <w:r w:rsidRPr="002D69DA">
        <w:rPr>
          <w:rFonts w:ascii="Palatino Linotype" w:eastAsia="Palatino Linotype" w:hAnsi="Palatino Linotype" w:cs="Palatino Linotype"/>
          <w:color w:val="000000" w:themeColor="text1"/>
          <w:lang w:eastAsia="es-MX"/>
        </w:rPr>
        <w:t>respuesta</w:t>
      </w:r>
      <w:r w:rsidR="00E2005E" w:rsidRPr="002D69DA">
        <w:rPr>
          <w:rFonts w:ascii="Palatino Linotype" w:eastAsia="Palatino Linotype" w:hAnsi="Palatino Linotype" w:cs="Palatino Linotype"/>
          <w:color w:val="000000" w:themeColor="text1"/>
          <w:lang w:eastAsia="es-MX"/>
        </w:rPr>
        <w:t>s</w:t>
      </w:r>
      <w:r w:rsidRPr="002D69DA">
        <w:rPr>
          <w:rFonts w:ascii="Palatino Linotype" w:eastAsia="Palatino Linotype" w:hAnsi="Palatino Linotype" w:cs="Palatino Linotype"/>
          <w:color w:val="000000" w:themeColor="text1"/>
          <w:lang w:eastAsia="es-MX"/>
        </w:rPr>
        <w:t xml:space="preserve"> del </w:t>
      </w:r>
      <w:r w:rsidRPr="002D69DA">
        <w:rPr>
          <w:rFonts w:ascii="Palatino Linotype" w:eastAsia="Palatino Linotype" w:hAnsi="Palatino Linotype" w:cs="Palatino Linotype"/>
          <w:b/>
          <w:color w:val="000000" w:themeColor="text1"/>
          <w:lang w:eastAsia="es-MX"/>
        </w:rPr>
        <w:t xml:space="preserve">SUJETO OBLIGADO </w:t>
      </w:r>
      <w:r w:rsidR="00E2005E" w:rsidRPr="002D69DA">
        <w:rPr>
          <w:rFonts w:ascii="Palatino Linotype" w:eastAsia="Palatino Linotype" w:hAnsi="Palatino Linotype" w:cs="Palatino Linotype"/>
          <w:color w:val="000000" w:themeColor="text1"/>
          <w:lang w:eastAsia="es-MX"/>
        </w:rPr>
        <w:t xml:space="preserve">en los </w:t>
      </w:r>
      <w:r w:rsidRPr="002D69DA">
        <w:rPr>
          <w:rFonts w:ascii="Palatino Linotype" w:eastAsia="Palatino Linotype" w:hAnsi="Palatino Linotype" w:cs="Palatino Linotype"/>
          <w:color w:val="000000" w:themeColor="text1"/>
          <w:lang w:eastAsia="es-MX"/>
        </w:rPr>
        <w:t>recurso</w:t>
      </w:r>
      <w:r w:rsidR="00E2005E" w:rsidRPr="002D69DA">
        <w:rPr>
          <w:rFonts w:ascii="Palatino Linotype" w:eastAsia="Palatino Linotype" w:hAnsi="Palatino Linotype" w:cs="Palatino Linotype"/>
          <w:color w:val="000000" w:themeColor="text1"/>
          <w:lang w:eastAsia="es-MX"/>
        </w:rPr>
        <w:t>s</w:t>
      </w:r>
      <w:r w:rsidRPr="002D69DA">
        <w:rPr>
          <w:rFonts w:ascii="Palatino Linotype" w:eastAsia="Palatino Linotype" w:hAnsi="Palatino Linotype" w:cs="Palatino Linotype"/>
          <w:color w:val="000000" w:themeColor="text1"/>
          <w:lang w:eastAsia="es-MX"/>
        </w:rPr>
        <w:t xml:space="preserve"> de revisión </w:t>
      </w:r>
      <w:r w:rsidR="00AA3749" w:rsidRPr="0040280F">
        <w:rPr>
          <w:rFonts w:ascii="Palatino Linotype" w:eastAsia="Calibri" w:hAnsi="Palatino Linotype" w:cs="Arial"/>
          <w:b/>
          <w:color w:val="000000" w:themeColor="text1"/>
          <w:sz w:val="22"/>
        </w:rPr>
        <w:t xml:space="preserve">04923/INFOEM/IP/RR/2025, 04924/INFOEM/IP/RR/2025, 04932/INFOEM/IP/RR/2025, 04969/INFOEM/IP/RR/2025, 04970/INFOEM/IP/RR/2025, 04971/INFOEM/IP/RR/2025, 05046/INFOEM/IP/RR/2025, 05047/INFOEM/IP/RR/2025, 05048/INFOEM/IP/RR/2025, 05049/INFOEM/IP/RR/2025, 05050/INFOEM/IP/RR/2025, 05051/INFOEM/IP/RR/2025, 05541/INFOEM/IP/RR/2025, </w:t>
      </w:r>
      <w:r w:rsidR="00AA3749" w:rsidRPr="0040280F">
        <w:rPr>
          <w:rFonts w:ascii="Palatino Linotype" w:eastAsia="Calibri" w:hAnsi="Palatino Linotype" w:cs="Arial"/>
          <w:b/>
          <w:color w:val="000000" w:themeColor="text1"/>
          <w:sz w:val="22"/>
        </w:rPr>
        <w:lastRenderedPageBreak/>
        <w:t>05542/INFOEM/IP/RR/2025, 05543/INFOEM/IP/RR/2025, 05544/INFOEM/IP/RR/2025, 05545/INFOEM/IP/RR/2025, 05546/INFOEM/IP/RR/2025, 05547/INFOEM/IP/RR/2025, 05548/INFOEM/IP/RR/2025, 05549/INFOEM/IP/RR/2025, 05550/INFOEM/IP/RR/2025, 05551/INFOEM/IP/RR/2025 y 05552/INFOEM/IP/RR/2025</w:t>
      </w:r>
      <w:r w:rsidR="00173FA7" w:rsidRPr="0040280F">
        <w:rPr>
          <w:rFonts w:ascii="Palatino Linotype" w:eastAsia="Calibri" w:hAnsi="Palatino Linotype" w:cs="Arial"/>
          <w:b/>
          <w:color w:val="000000" w:themeColor="text1"/>
          <w:sz w:val="22"/>
        </w:rPr>
        <w:t xml:space="preserve">. </w:t>
      </w:r>
    </w:p>
    <w:p w:rsidR="004D6D95" w:rsidRPr="002D69DA" w:rsidRDefault="004D6D95" w:rsidP="00E84339">
      <w:pPr>
        <w:pStyle w:val="Prrafodelista"/>
        <w:spacing w:line="360" w:lineRule="auto"/>
        <w:ind w:left="0"/>
        <w:contextualSpacing w:val="0"/>
        <w:jc w:val="both"/>
        <w:rPr>
          <w:rFonts w:ascii="Palatino Linotype" w:eastAsia="Palatino Linotype" w:hAnsi="Palatino Linotype" w:cs="Palatino Linotype"/>
          <w:color w:val="000000" w:themeColor="text1"/>
          <w:lang w:eastAsia="es-MX"/>
        </w:rPr>
      </w:pPr>
    </w:p>
    <w:p w:rsidR="004D6D95" w:rsidRPr="002D69DA" w:rsidRDefault="004D6D95" w:rsidP="00E84339">
      <w:pPr>
        <w:keepNext/>
        <w:keepLines/>
        <w:spacing w:after="160" w:line="360" w:lineRule="auto"/>
        <w:rPr>
          <w:rFonts w:ascii="Palatino Linotype" w:eastAsia="Palatino Linotype" w:hAnsi="Palatino Linotype" w:cs="Palatino Linotype"/>
          <w:b/>
          <w:color w:val="000000" w:themeColor="text1"/>
          <w:lang w:val="es-MX" w:eastAsia="es-MX"/>
        </w:rPr>
      </w:pPr>
      <w:r w:rsidRPr="002D69DA">
        <w:rPr>
          <w:rFonts w:ascii="Palatino Linotype" w:eastAsia="Palatino Linotype" w:hAnsi="Palatino Linotype" w:cs="Palatino Linotype"/>
          <w:b/>
          <w:color w:val="000000" w:themeColor="text1"/>
          <w:lang w:val="es-MX" w:eastAsia="es-MX"/>
        </w:rPr>
        <w:t>QUINTO. De la versión pública.</w:t>
      </w:r>
    </w:p>
    <w:p w:rsidR="004D6D95" w:rsidRPr="002D69DA" w:rsidRDefault="004D6D95" w:rsidP="00E84339">
      <w:pPr>
        <w:keepNext/>
        <w:keepLines/>
        <w:numPr>
          <w:ilvl w:val="0"/>
          <w:numId w:val="13"/>
        </w:numPr>
        <w:tabs>
          <w:tab w:val="left" w:pos="284"/>
        </w:tabs>
        <w:spacing w:after="160" w:line="360" w:lineRule="auto"/>
        <w:ind w:left="0"/>
        <w:rPr>
          <w:rFonts w:ascii="Palatino Linotype" w:eastAsia="Palatino Linotype" w:hAnsi="Palatino Linotype" w:cs="Palatino Linotype"/>
          <w:b/>
          <w:color w:val="000000" w:themeColor="text1"/>
          <w:lang w:val="es-MX" w:eastAsia="es-MX"/>
        </w:rPr>
      </w:pPr>
      <w:bookmarkStart w:id="33" w:name="_heading=h.lnxbz9" w:colFirst="0" w:colLast="0"/>
      <w:bookmarkEnd w:id="33"/>
      <w:r w:rsidRPr="002D69DA">
        <w:rPr>
          <w:rFonts w:ascii="Palatino Linotype" w:eastAsia="Palatino Linotype" w:hAnsi="Palatino Linotype" w:cs="Palatino Linotype"/>
          <w:b/>
          <w:color w:val="000000" w:themeColor="text1"/>
          <w:lang w:val="es-MX" w:eastAsia="es-MX"/>
        </w:rPr>
        <w:t xml:space="preserve">Nociones generales. </w:t>
      </w:r>
    </w:p>
    <w:p w:rsidR="004D6D95" w:rsidRPr="002D69DA" w:rsidRDefault="004D6D95" w:rsidP="00E84339">
      <w:pPr>
        <w:numPr>
          <w:ilvl w:val="0"/>
          <w:numId w:val="8"/>
        </w:numPr>
        <w:spacing w:line="360" w:lineRule="auto"/>
        <w:ind w:left="0" w:firstLine="0"/>
        <w:jc w:val="both"/>
        <w:rPr>
          <w:rFonts w:ascii="Palatino Linotype" w:eastAsia="Times New Roman" w:hAnsi="Palatino Linotype" w:cs="Times New Roman"/>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Debe destacarse, que debido a la información solicitada por el </w:t>
      </w:r>
      <w:r w:rsidRPr="002D69DA">
        <w:rPr>
          <w:rFonts w:ascii="Palatino Linotype" w:eastAsia="Palatino Linotype" w:hAnsi="Palatino Linotype" w:cs="Palatino Linotype"/>
          <w:b/>
          <w:color w:val="000000" w:themeColor="text1"/>
          <w:lang w:val="es-MX" w:eastAsia="es-MX"/>
        </w:rPr>
        <w:t xml:space="preserve">RECURRENTE, pueden obrar </w:t>
      </w:r>
      <w:r w:rsidRPr="002D69DA">
        <w:rPr>
          <w:rFonts w:ascii="Palatino Linotype" w:eastAsia="Palatino Linotype" w:hAnsi="Palatino Linotype" w:cs="Palatino Linotype"/>
          <w:color w:val="000000" w:themeColor="text1"/>
          <w:lang w:val="es-MX" w:eastAsia="es-MX"/>
        </w:rPr>
        <w:t xml:space="preserve">datos personales susceptibles de protegerse, así como información susceptible de clasificarse como confidenciales,  por lo que el </w:t>
      </w:r>
      <w:r w:rsidRPr="002D69DA">
        <w:rPr>
          <w:rFonts w:ascii="Palatino Linotype" w:eastAsia="Palatino Linotype" w:hAnsi="Palatino Linotype" w:cs="Palatino Linotype"/>
          <w:b/>
          <w:color w:val="000000" w:themeColor="text1"/>
          <w:lang w:val="es-MX" w:eastAsia="es-MX"/>
        </w:rPr>
        <w:t xml:space="preserve">SUJETO OBLIGADO </w:t>
      </w:r>
      <w:r w:rsidRPr="002D69DA">
        <w:rPr>
          <w:rFonts w:ascii="Palatino Linotype" w:eastAsia="Palatino Linotype" w:hAnsi="Palatino Linotype" w:cs="Palatino Linotype"/>
          <w:color w:val="000000" w:themeColor="text1"/>
          <w:lang w:val="es-MX" w:eastAsia="es-MX"/>
        </w:rPr>
        <w:t xml:space="preserve">deberá de hacer la adecuada versión pública, protegiendo los datos que no son susceptibles de ser proporcionados. </w:t>
      </w:r>
    </w:p>
    <w:p w:rsidR="004D6D95" w:rsidRPr="002D69DA" w:rsidRDefault="004D6D95" w:rsidP="00E84339">
      <w:pPr>
        <w:tabs>
          <w:tab w:val="left" w:pos="0"/>
          <w:tab w:val="left" w:pos="284"/>
        </w:tabs>
        <w:spacing w:line="360" w:lineRule="auto"/>
        <w:jc w:val="both"/>
        <w:rPr>
          <w:rFonts w:ascii="Palatino Linotype" w:eastAsia="Palatino Linotype" w:hAnsi="Palatino Linotype" w:cs="Palatino Linotype"/>
          <w:color w:val="000000" w:themeColor="text1"/>
          <w:lang w:val="es-MX" w:eastAsia="es-MX"/>
        </w:rPr>
      </w:pPr>
    </w:p>
    <w:p w:rsidR="004D6D95" w:rsidRPr="002D69DA" w:rsidRDefault="004D6D95" w:rsidP="00E84339">
      <w:pPr>
        <w:numPr>
          <w:ilvl w:val="0"/>
          <w:numId w:val="8"/>
        </w:numPr>
        <w:spacing w:line="360" w:lineRule="auto"/>
        <w:ind w:left="0" w:firstLine="0"/>
        <w:jc w:val="both"/>
        <w:rPr>
          <w:rFonts w:ascii="Palatino Linotype" w:eastAsia="Times New Roman" w:hAnsi="Palatino Linotype" w:cs="Times New Roman"/>
          <w:color w:val="000000" w:themeColor="text1"/>
          <w:lang w:val="es-MX" w:eastAsia="es-MX"/>
        </w:rPr>
      </w:pPr>
      <w:r w:rsidRPr="002D69DA">
        <w:rPr>
          <w:rFonts w:ascii="Palatino Linotype" w:eastAsia="Palatino Linotype" w:hAnsi="Palatino Linotype" w:cs="Palatino Linotype"/>
          <w:color w:val="000000" w:themeColor="text1"/>
          <w:lang w:val="es-MX" w:eastAsia="es-MX"/>
        </w:rPr>
        <w:t>No pasa desapercibido para este Órgano Garante que los sujetos obligados</w:t>
      </w:r>
      <w:r w:rsidRPr="002D69DA">
        <w:rPr>
          <w:rFonts w:ascii="Palatino Linotype" w:eastAsia="Palatino Linotype" w:hAnsi="Palatino Linotype" w:cs="Palatino Linotype"/>
          <w:b/>
          <w:color w:val="000000" w:themeColor="text1"/>
          <w:lang w:val="es-MX" w:eastAsia="es-MX"/>
        </w:rPr>
        <w:t xml:space="preserve"> </w:t>
      </w:r>
      <w:r w:rsidRPr="002D69DA">
        <w:rPr>
          <w:rFonts w:ascii="Palatino Linotype" w:eastAsia="Palatino Linotype" w:hAnsi="Palatino Linotype" w:cs="Palatino Linotype"/>
          <w:color w:val="000000" w:themeColor="text1"/>
          <w:lang w:val="es-MX" w:eastAsia="es-MX"/>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E84339" w:rsidRPr="002D69DA" w:rsidTr="004D6D95">
        <w:tc>
          <w:tcPr>
            <w:tcW w:w="2689" w:type="dxa"/>
          </w:tcPr>
          <w:p w:rsidR="004D6D95" w:rsidRPr="002D69DA" w:rsidRDefault="004D6D95" w:rsidP="00E84339">
            <w:pPr>
              <w:tabs>
                <w:tab w:val="left" w:pos="284"/>
              </w:tabs>
              <w:spacing w:line="360" w:lineRule="auto"/>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a) Requisitos previos.</w:t>
            </w:r>
          </w:p>
        </w:tc>
        <w:tc>
          <w:tcPr>
            <w:tcW w:w="6520" w:type="dxa"/>
          </w:tcPr>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w:t>
            </w:r>
            <w:r w:rsidRPr="002D69DA">
              <w:rPr>
                <w:rFonts w:ascii="Palatino Linotype" w:eastAsia="Palatino Linotype" w:hAnsi="Palatino Linotype" w:cs="Palatino Linotype"/>
                <w:color w:val="000000" w:themeColor="text1"/>
                <w:lang w:val="es-MX" w:eastAsia="es-MX"/>
              </w:rPr>
              <w:lastRenderedPageBreak/>
              <w:t xml:space="preserve">áreas proponer su clasificación y no del Comité de Transparencia. </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Al hacerlo tienen que precisar de qué información se trata, señalando el supuesto de </w:t>
            </w:r>
            <w:r w:rsidR="0004548E" w:rsidRPr="002D69DA">
              <w:rPr>
                <w:rFonts w:ascii="Palatino Linotype" w:eastAsia="Palatino Linotype" w:hAnsi="Palatino Linotype" w:cs="Palatino Linotype"/>
                <w:color w:val="000000" w:themeColor="text1"/>
                <w:lang w:val="es-MX" w:eastAsia="es-MX"/>
              </w:rPr>
              <w:t>clasificación</w:t>
            </w:r>
            <w:r w:rsidRPr="002D69DA">
              <w:rPr>
                <w:rFonts w:ascii="Palatino Linotype" w:eastAsia="Palatino Linotype" w:hAnsi="Palatino Linotype" w:cs="Palatino Linotype"/>
                <w:color w:val="000000" w:themeColor="text1"/>
                <w:lang w:val="es-MX" w:eastAsia="es-MX"/>
              </w:rPr>
              <w:t xml:space="preserve"> (confidencialidad o reserva).</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Además, se debe señalar el procedimiento, de los tres que establecen los artículos 132 y 106 de la Ley Estatal y General, respectivamente.</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El último de estos requisitos previos consiste en que no se pueden emitir acuerdos de carácter general ni particular, esto es, </w:t>
            </w:r>
            <w:r w:rsidRPr="002D69DA">
              <w:rPr>
                <w:rFonts w:ascii="Palatino Linotype" w:eastAsia="Palatino Linotype" w:hAnsi="Palatino Linotype" w:cs="Palatino Linotype"/>
                <w:color w:val="000000" w:themeColor="text1"/>
                <w:u w:val="single"/>
                <w:lang w:val="es-MX" w:eastAsia="es-MX"/>
              </w:rPr>
              <w:t>no se puede hacer un acuerdo para clasificar de manera general todos los documentos de un expediente o área, sin</w:t>
            </w:r>
            <w:r w:rsidRPr="002D69DA">
              <w:rPr>
                <w:rFonts w:ascii="Palatino Linotype" w:eastAsia="Palatino Linotype" w:hAnsi="Palatino Linotype" w:cs="Palatino Linotype"/>
                <w:color w:val="000000" w:themeColor="text1"/>
                <w:lang w:val="es-MX" w:eastAsia="es-MX"/>
              </w:rPr>
              <w:t xml:space="preserve"> individualizar su análisis y tampoco se puede hacer un acuerdo por cada dato que se vaya a clasificar dentro de un documento con diez datos, por ejemplo, susceptibles de ser clasificados.</w:t>
            </w:r>
          </w:p>
        </w:tc>
      </w:tr>
      <w:tr w:rsidR="00E84339" w:rsidRPr="002D69DA" w:rsidTr="004D6D95">
        <w:tc>
          <w:tcPr>
            <w:tcW w:w="2689" w:type="dxa"/>
          </w:tcPr>
          <w:p w:rsidR="004D6D95" w:rsidRPr="002D69DA" w:rsidRDefault="004D6D95" w:rsidP="00E84339">
            <w:pPr>
              <w:tabs>
                <w:tab w:val="left" w:pos="284"/>
              </w:tabs>
              <w:spacing w:line="360" w:lineRule="auto"/>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lastRenderedPageBreak/>
              <w:t>b) Supuestos de clasificación.</w:t>
            </w:r>
          </w:p>
        </w:tc>
        <w:tc>
          <w:tcPr>
            <w:tcW w:w="6520" w:type="dxa"/>
          </w:tcPr>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Las disposiciones constitucionales y legales en la materia establecen los dos supuestos generales para clasificar la información: por reserva y por confidencialidad.</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w:t>
            </w:r>
            <w:r w:rsidRPr="002D69DA">
              <w:rPr>
                <w:rFonts w:ascii="Palatino Linotype" w:eastAsia="Palatino Linotype" w:hAnsi="Palatino Linotype" w:cs="Palatino Linotype"/>
                <w:color w:val="000000" w:themeColor="text1"/>
                <w:lang w:val="es-MX" w:eastAsia="es-MX"/>
              </w:rPr>
              <w:lastRenderedPageBreak/>
              <w:t>estos supuestos debe realizarse de manera restrictiva y limitada, por lo que debe acreditarse que se cumple con esta condición y no se pueden ampliar las excepciones o supuestos de clasificación aduciendo analogía o mayoría de razón.</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El </w:t>
            </w:r>
            <w:r w:rsidRPr="002D69DA">
              <w:rPr>
                <w:rFonts w:ascii="Palatino Linotype" w:eastAsia="Palatino Linotype" w:hAnsi="Palatino Linotype" w:cs="Palatino Linotype"/>
                <w:b/>
                <w:color w:val="000000" w:themeColor="text1"/>
                <w:lang w:val="es-MX" w:eastAsia="es-MX"/>
              </w:rPr>
              <w:t>Sujeto Obligado</w:t>
            </w:r>
            <w:r w:rsidRPr="002D69DA">
              <w:rPr>
                <w:rFonts w:ascii="Palatino Linotype" w:eastAsia="Palatino Linotype" w:hAnsi="Palatino Linotype" w:cs="Palatino Linotype"/>
                <w:color w:val="000000" w:themeColor="text1"/>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84339" w:rsidRPr="002D69DA" w:rsidTr="004D6D95">
        <w:tc>
          <w:tcPr>
            <w:tcW w:w="2689" w:type="dxa"/>
          </w:tcPr>
          <w:p w:rsidR="004D6D95" w:rsidRPr="002D69DA" w:rsidRDefault="004D6D95" w:rsidP="00E84339">
            <w:pPr>
              <w:tabs>
                <w:tab w:val="left" w:pos="284"/>
              </w:tabs>
              <w:spacing w:line="360" w:lineRule="auto"/>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lastRenderedPageBreak/>
              <w:t>c) Formalidades para emitir el acuerdo de clasificación.</w:t>
            </w:r>
          </w:p>
        </w:tc>
        <w:tc>
          <w:tcPr>
            <w:tcW w:w="6520" w:type="dxa"/>
          </w:tcPr>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El Comité de Transparencia, según lo dispuesto en los artículos cuenta con las facultades para aprobar, modificar o revocar la clasificación de la información que haya propuesto. </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Es necesario que </w:t>
            </w:r>
            <w:r w:rsidRPr="002D69DA">
              <w:rPr>
                <w:rFonts w:ascii="Palatino Linotype" w:eastAsia="Palatino Linotype" w:hAnsi="Palatino Linotype" w:cs="Palatino Linotype"/>
                <w:b/>
                <w:color w:val="000000" w:themeColor="text1"/>
                <w:u w:val="single"/>
                <w:lang w:val="es-MX" w:eastAsia="es-MX"/>
              </w:rPr>
              <w:t>el acto reúna con los requisitos elementales</w:t>
            </w:r>
            <w:r w:rsidRPr="002D69DA">
              <w:rPr>
                <w:rFonts w:ascii="Palatino Linotype" w:eastAsia="Palatino Linotype" w:hAnsi="Palatino Linotype" w:cs="Palatino Linotype"/>
                <w:color w:val="000000" w:themeColor="text1"/>
                <w:lang w:val="es-MX" w:eastAsia="es-MX"/>
              </w:rPr>
              <w:t>, entre ellos, que la autoridad que va a emitir el acto de autoridad sea la legalmente facultada para ello.</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w:t>
            </w:r>
            <w:r w:rsidRPr="002D69DA">
              <w:rPr>
                <w:rFonts w:ascii="Palatino Linotype" w:eastAsia="Palatino Linotype" w:hAnsi="Palatino Linotype" w:cs="Palatino Linotype"/>
                <w:color w:val="000000" w:themeColor="text1"/>
                <w:lang w:val="es-MX" w:eastAsia="es-MX"/>
              </w:rPr>
              <w:lastRenderedPageBreak/>
              <w:t>a partir de las decisiones adoptadas previamente por los titulares de áreas y que son sujetas a control, en primera instancia, por el Comité de Transparencia.</w:t>
            </w:r>
          </w:p>
        </w:tc>
      </w:tr>
      <w:tr w:rsidR="00E84339" w:rsidRPr="002D69DA" w:rsidTr="004D6D95">
        <w:tc>
          <w:tcPr>
            <w:tcW w:w="2689" w:type="dxa"/>
          </w:tcPr>
          <w:p w:rsidR="004D6D95" w:rsidRPr="002D69DA" w:rsidRDefault="004D6D95" w:rsidP="00E84339">
            <w:pPr>
              <w:tabs>
                <w:tab w:val="left" w:pos="284"/>
              </w:tabs>
              <w:spacing w:line="360" w:lineRule="auto"/>
              <w:rPr>
                <w:rFonts w:ascii="Palatino Linotype" w:eastAsia="Palatino Linotype" w:hAnsi="Palatino Linotype" w:cs="Palatino Linotype"/>
                <w:color w:val="000000" w:themeColor="text1"/>
                <w:lang w:val="es-MX" w:eastAsia="es-MX"/>
              </w:rPr>
            </w:pP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d) Requisitos de fondo del acuerdo de clasificación. </w:t>
            </w:r>
          </w:p>
        </w:tc>
        <w:tc>
          <w:tcPr>
            <w:tcW w:w="6520" w:type="dxa"/>
          </w:tcPr>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D69DA">
              <w:rPr>
                <w:rFonts w:ascii="Palatino Linotype" w:eastAsia="Palatino Linotype" w:hAnsi="Palatino Linotype" w:cs="Palatino Linotype"/>
                <w:b/>
                <w:color w:val="000000" w:themeColor="text1"/>
                <w:lang w:val="es-MX" w:eastAsia="es-MX"/>
              </w:rPr>
              <w:t>Sujetos Obligados</w:t>
            </w:r>
            <w:r w:rsidRPr="002D69DA">
              <w:rPr>
                <w:rFonts w:ascii="Palatino Linotype" w:eastAsia="Palatino Linotype" w:hAnsi="Palatino Linotype" w:cs="Palatino Linotype"/>
                <w:color w:val="000000" w:themeColor="text1"/>
                <w:lang w:val="es-MX" w:eastAsia="es-MX"/>
              </w:rPr>
              <w:t xml:space="preserve">, por lo que deberán fundar y motivar debidamente la clasificación. </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De lo anterior, se desprende que para una correcta </w:t>
            </w:r>
            <w:r w:rsidRPr="002D69DA">
              <w:rPr>
                <w:rFonts w:ascii="Palatino Linotype" w:eastAsia="Palatino Linotype" w:hAnsi="Palatino Linotype" w:cs="Palatino Linotype"/>
                <w:b/>
                <w:color w:val="000000" w:themeColor="text1"/>
                <w:lang w:val="es-MX" w:eastAsia="es-MX"/>
              </w:rPr>
              <w:t>clasificación total o parcial</w:t>
            </w:r>
            <w:r w:rsidRPr="002D69DA">
              <w:rPr>
                <w:rFonts w:ascii="Palatino Linotype" w:eastAsia="Palatino Linotype" w:hAnsi="Palatino Linotype" w:cs="Palatino Linotype"/>
                <w:color w:val="000000" w:themeColor="text1"/>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2D69DA">
              <w:rPr>
                <w:rFonts w:ascii="Palatino Linotype" w:eastAsia="Palatino Linotype" w:hAnsi="Palatino Linotype" w:cs="Palatino Linotype"/>
                <w:color w:val="000000" w:themeColor="text1"/>
                <w:lang w:val="es-MX" w:eastAsia="es-MX"/>
              </w:rPr>
              <w:lastRenderedPageBreak/>
              <w:t>derecho. De este modo, la persona que se sienta afectada pueda impugnar la decisión, permitiéndole una real y auténtica defensa.</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En ese mismo sentido, el numeral trigésimo tercero fracción V de los Lineamientos Generales, precisa que para motivar la clasificación se deben acreditar las circunstancias de tiempo, modo y lugar.</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Ahora bien, </w:t>
            </w:r>
            <w:r w:rsidRPr="002D69DA">
              <w:rPr>
                <w:rFonts w:ascii="Palatino Linotype" w:eastAsia="Palatino Linotype" w:hAnsi="Palatino Linotype" w:cs="Palatino Linotype"/>
                <w:b/>
                <w:color w:val="000000" w:themeColor="text1"/>
                <w:u w:val="single"/>
                <w:lang w:val="es-MX" w:eastAsia="es-MX"/>
              </w:rPr>
              <w:t>para cada caso además de fundar y motivar</w:t>
            </w:r>
            <w:r w:rsidRPr="002D69DA">
              <w:rPr>
                <w:rFonts w:ascii="Palatino Linotype" w:eastAsia="Palatino Linotype" w:hAnsi="Palatino Linotype" w:cs="Palatino Linotype"/>
                <w:color w:val="000000" w:themeColor="text1"/>
                <w:lang w:val="es-MX" w:eastAsia="es-MX"/>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D6D95" w:rsidRPr="002D69DA" w:rsidTr="004D6D95">
        <w:tc>
          <w:tcPr>
            <w:tcW w:w="2689" w:type="dxa"/>
          </w:tcPr>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e) Condiciones especiales de la clasificación de la información como confidencial. </w:t>
            </w:r>
          </w:p>
        </w:tc>
        <w:tc>
          <w:tcPr>
            <w:tcW w:w="6520" w:type="dxa"/>
          </w:tcPr>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Los artículos 148 y 120 de la Ley Estatal y de la Ley General, respectivamente, establecen que aun tratándose de datos personales, se podrán proporcionar, incluso sin solicitar el consentimiento de su titular. </w:t>
            </w:r>
          </w:p>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w:t>
            </w:r>
            <w:r w:rsidRPr="002D69DA">
              <w:rPr>
                <w:rFonts w:ascii="Palatino Linotype" w:eastAsia="Palatino Linotype" w:hAnsi="Palatino Linotype" w:cs="Palatino Linotype"/>
                <w:color w:val="000000" w:themeColor="text1"/>
                <w:lang w:val="es-MX" w:eastAsia="es-MX"/>
              </w:rPr>
              <w:lastRenderedPageBreak/>
              <w:t xml:space="preserve">públicos nos encontramos sujetos a un régimen menor de protección. </w:t>
            </w:r>
          </w:p>
          <w:p w:rsidR="004D6D95" w:rsidRPr="002D69DA" w:rsidRDefault="004D6D95" w:rsidP="00E84339">
            <w:pPr>
              <w:tabs>
                <w:tab w:val="left" w:pos="284"/>
              </w:tabs>
              <w:spacing w:line="360" w:lineRule="auto"/>
              <w:rPr>
                <w:rFonts w:ascii="Palatino Linotype" w:eastAsia="Palatino Linotype" w:hAnsi="Palatino Linotype" w:cs="Palatino Linotype"/>
                <w:color w:val="000000" w:themeColor="text1"/>
                <w:lang w:val="es-MX" w:eastAsia="es-MX"/>
              </w:rPr>
            </w:pPr>
            <w:r w:rsidRPr="002D69DA">
              <w:rPr>
                <w:rFonts w:ascii="Palatino Linotype" w:eastAsia="Palatino Linotype" w:hAnsi="Palatino Linotype" w:cs="Palatino Linotype"/>
                <w:color w:val="000000" w:themeColor="text1"/>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D6D95" w:rsidRPr="002D69DA" w:rsidRDefault="004D6D95" w:rsidP="00E84339">
      <w:pPr>
        <w:tabs>
          <w:tab w:val="left" w:pos="284"/>
        </w:tabs>
        <w:spacing w:line="360" w:lineRule="auto"/>
        <w:jc w:val="both"/>
        <w:rPr>
          <w:rFonts w:ascii="Palatino Linotype" w:eastAsia="Palatino Linotype" w:hAnsi="Palatino Linotype" w:cs="Palatino Linotype"/>
          <w:color w:val="000000" w:themeColor="text1"/>
          <w:lang w:val="es-MX" w:eastAsia="es-MX"/>
        </w:rPr>
      </w:pPr>
    </w:p>
    <w:p w:rsidR="004D6D95" w:rsidRPr="002D69DA" w:rsidRDefault="004D6D95" w:rsidP="00E84339">
      <w:pPr>
        <w:numPr>
          <w:ilvl w:val="0"/>
          <w:numId w:val="8"/>
        </w:numPr>
        <w:spacing w:line="360" w:lineRule="auto"/>
        <w:ind w:left="0" w:firstLine="0"/>
        <w:jc w:val="both"/>
        <w:rPr>
          <w:rFonts w:ascii="Palatino Linotype" w:eastAsia="Times New Roman" w:hAnsi="Palatino Linotype" w:cs="Times New Roman"/>
          <w:color w:val="000000" w:themeColor="text1"/>
          <w:lang w:val="es-MX" w:eastAsia="es-MX"/>
        </w:rPr>
      </w:pPr>
      <w:r w:rsidRPr="002D69DA">
        <w:rPr>
          <w:rFonts w:ascii="Palatino Linotype" w:eastAsia="Palatino Linotype" w:hAnsi="Palatino Linotype" w:cs="Palatino Linotype"/>
          <w:color w:val="000000" w:themeColor="text1"/>
          <w:lang w:val="es-MX" w:eastAsia="es-MX"/>
        </w:rPr>
        <w:t>Si el servidor público incumple con estas formalidades y entrega la información sin proteger los datos personales incumple con lo que estipula las disposiciones legales establecidas.</w:t>
      </w:r>
    </w:p>
    <w:p w:rsidR="004D6D95" w:rsidRPr="002D69DA" w:rsidRDefault="004D6D95" w:rsidP="00E84339">
      <w:pPr>
        <w:spacing w:line="360" w:lineRule="auto"/>
        <w:jc w:val="both"/>
        <w:rPr>
          <w:rFonts w:ascii="Palatino Linotype" w:eastAsia="Palatino Linotype" w:hAnsi="Palatino Linotype" w:cs="Palatino Linotype"/>
          <w:color w:val="000000" w:themeColor="text1"/>
          <w:lang w:val="es-MX" w:eastAsia="es-MX"/>
        </w:rPr>
      </w:pPr>
    </w:p>
    <w:p w:rsidR="004D6D95" w:rsidRPr="00A35104" w:rsidRDefault="004D6D95" w:rsidP="00E84339">
      <w:pPr>
        <w:numPr>
          <w:ilvl w:val="0"/>
          <w:numId w:val="8"/>
        </w:numPr>
        <w:spacing w:line="360" w:lineRule="auto"/>
        <w:ind w:left="0" w:firstLine="0"/>
        <w:jc w:val="both"/>
        <w:rPr>
          <w:rFonts w:ascii="Palatino Linotype" w:eastAsia="Times New Roman" w:hAnsi="Palatino Linotype" w:cs="Times New Roman"/>
          <w:color w:val="000000" w:themeColor="text1"/>
          <w:lang w:val="es-MX" w:eastAsia="es-MX"/>
        </w:rPr>
      </w:pPr>
      <w:r w:rsidRPr="002D69DA">
        <w:rPr>
          <w:rFonts w:ascii="Palatino Linotype" w:eastAsia="Palatino Linotype" w:hAnsi="Palatino Linotype" w:cs="Palatino Linotype"/>
          <w:color w:val="000000" w:themeColor="text1"/>
          <w:lang w:val="es-MX" w:eastAsia="es-MX"/>
        </w:rPr>
        <w:t>Por lo anteriormente expuesto, este Órgano Garante considera fundadas las razones o motivos de inconformidad que plantea el</w:t>
      </w:r>
      <w:r w:rsidRPr="002D69DA">
        <w:rPr>
          <w:rFonts w:ascii="Palatino Linotype" w:eastAsia="Palatino Linotype" w:hAnsi="Palatino Linotype" w:cs="Palatino Linotype"/>
          <w:b/>
          <w:color w:val="000000" w:themeColor="text1"/>
          <w:lang w:val="es-MX" w:eastAsia="es-MX"/>
        </w:rPr>
        <w:t xml:space="preserve"> RECURRENTE</w:t>
      </w:r>
      <w:r w:rsidRPr="002D69DA">
        <w:rPr>
          <w:rFonts w:ascii="Palatino Linotype" w:eastAsia="Palatino Linotype" w:hAnsi="Palatino Linotype" w:cs="Palatino Linotype"/>
          <w:color w:val="000000" w:themeColor="text1"/>
          <w:lang w:val="es-MX" w:eastAsia="es-MX"/>
        </w:rPr>
        <w:t xml:space="preserve">, determinando </w:t>
      </w:r>
      <w:r w:rsidRPr="002D69DA">
        <w:rPr>
          <w:rFonts w:ascii="Palatino Linotype" w:eastAsia="Palatino Linotype" w:hAnsi="Palatino Linotype" w:cs="Palatino Linotype"/>
          <w:b/>
          <w:smallCaps/>
          <w:color w:val="000000" w:themeColor="text1"/>
          <w:lang w:val="es-MX" w:eastAsia="es-MX"/>
        </w:rPr>
        <w:t xml:space="preserve">REVOCAR </w:t>
      </w:r>
      <w:r w:rsidRPr="002D69DA">
        <w:rPr>
          <w:rFonts w:ascii="Palatino Linotype" w:eastAsia="Palatino Linotype" w:hAnsi="Palatino Linotype" w:cs="Palatino Linotype"/>
          <w:b/>
          <w:color w:val="000000" w:themeColor="text1"/>
          <w:lang w:val="es-MX" w:eastAsia="es-MX"/>
        </w:rPr>
        <w:t xml:space="preserve"> </w:t>
      </w:r>
      <w:r w:rsidRPr="002D69DA">
        <w:rPr>
          <w:rFonts w:ascii="Palatino Linotype" w:eastAsia="Palatino Linotype" w:hAnsi="Palatino Linotype" w:cs="Palatino Linotype"/>
          <w:color w:val="000000" w:themeColor="text1"/>
          <w:lang w:val="es-MX" w:eastAsia="es-MX"/>
        </w:rPr>
        <w:t xml:space="preserve">las respuestas del </w:t>
      </w:r>
      <w:r w:rsidRPr="002D69DA">
        <w:rPr>
          <w:rFonts w:ascii="Palatino Linotype" w:eastAsia="Palatino Linotype" w:hAnsi="Palatino Linotype" w:cs="Palatino Linotype"/>
          <w:b/>
          <w:color w:val="000000" w:themeColor="text1"/>
          <w:lang w:val="es-MX" w:eastAsia="es-MX"/>
        </w:rPr>
        <w:t>SUJETO OBLIGADO</w:t>
      </w:r>
      <w:r w:rsidRPr="002D69DA">
        <w:rPr>
          <w:rFonts w:ascii="Palatino Linotype" w:eastAsia="Palatino Linotype" w:hAnsi="Palatino Linotype" w:cs="Palatino Linotype"/>
          <w:color w:val="000000" w:themeColor="text1"/>
          <w:lang w:val="es-MX" w:eastAsia="es-MX"/>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2D69DA">
        <w:rPr>
          <w:rFonts w:ascii="Palatino Linotype" w:eastAsia="Palatino Linotype" w:hAnsi="Palatino Linotype" w:cs="Palatino Linotype"/>
          <w:b/>
          <w:color w:val="000000" w:themeColor="text1"/>
          <w:lang w:val="es-MX" w:eastAsia="es-MX"/>
        </w:rPr>
        <w:t>ÓRGANO GARANTE</w:t>
      </w:r>
      <w:r w:rsidRPr="002D69DA">
        <w:rPr>
          <w:rFonts w:ascii="Palatino Linotype" w:eastAsia="Palatino Linotype" w:hAnsi="Palatino Linotype" w:cs="Palatino Linotype"/>
          <w:color w:val="000000" w:themeColor="text1"/>
          <w:lang w:val="es-MX" w:eastAsia="es-MX"/>
        </w:rPr>
        <w:t xml:space="preserve"> emite los siguientes.</w:t>
      </w:r>
      <w:r w:rsidR="00A35104">
        <w:rPr>
          <w:rFonts w:ascii="Palatino Linotype" w:eastAsia="Palatino Linotype" w:hAnsi="Palatino Linotype" w:cs="Palatino Linotype"/>
          <w:color w:val="000000" w:themeColor="text1"/>
          <w:lang w:val="es-MX" w:eastAsia="es-MX"/>
        </w:rPr>
        <w:t>----------------------------------------------------------------------</w:t>
      </w:r>
    </w:p>
    <w:p w:rsidR="00A35104" w:rsidRDefault="00A35104" w:rsidP="00A35104">
      <w:pPr>
        <w:pStyle w:val="Prrafodelista"/>
        <w:rPr>
          <w:rFonts w:ascii="Palatino Linotype" w:eastAsia="Times New Roman" w:hAnsi="Palatino Linotype" w:cs="Times New Roman"/>
          <w:color w:val="000000" w:themeColor="text1"/>
          <w:lang w:val="es-MX" w:eastAsia="es-MX"/>
        </w:rPr>
      </w:pPr>
    </w:p>
    <w:p w:rsidR="00A35104" w:rsidRPr="002D69DA" w:rsidRDefault="00A35104" w:rsidP="00A35104">
      <w:pPr>
        <w:spacing w:line="360" w:lineRule="auto"/>
        <w:jc w:val="both"/>
        <w:rPr>
          <w:rFonts w:ascii="Palatino Linotype" w:eastAsia="Times New Roman" w:hAnsi="Palatino Linotype" w:cs="Times New Roman"/>
          <w:color w:val="000000" w:themeColor="text1"/>
          <w:lang w:val="es-MX" w:eastAsia="es-MX"/>
        </w:rPr>
      </w:pPr>
    </w:p>
    <w:p w:rsidR="004D6D95" w:rsidRPr="002D69DA" w:rsidRDefault="004D6D95" w:rsidP="00E84339">
      <w:pPr>
        <w:pStyle w:val="Prrafodelista"/>
        <w:ind w:left="0"/>
        <w:rPr>
          <w:rFonts w:ascii="Palatino Linotype" w:eastAsia="Times New Roman" w:hAnsi="Palatino Linotype" w:cs="Times New Roman"/>
          <w:color w:val="000000" w:themeColor="text1"/>
          <w:lang w:val="es-MX" w:eastAsia="es-MX"/>
        </w:rPr>
      </w:pPr>
    </w:p>
    <w:p w:rsidR="004D6D95" w:rsidRPr="002D69DA" w:rsidRDefault="004D6D95" w:rsidP="00E84339">
      <w:pPr>
        <w:spacing w:line="360" w:lineRule="auto"/>
        <w:jc w:val="both"/>
        <w:rPr>
          <w:rFonts w:ascii="Palatino Linotype" w:eastAsia="Times New Roman" w:hAnsi="Palatino Linotype" w:cs="Times New Roman"/>
          <w:color w:val="000000" w:themeColor="text1"/>
          <w:lang w:val="es-MX" w:eastAsia="es-MX"/>
        </w:rPr>
      </w:pPr>
    </w:p>
    <w:p w:rsidR="004D6D95" w:rsidRPr="002D69DA" w:rsidRDefault="004D6D95" w:rsidP="00E84339">
      <w:pPr>
        <w:pStyle w:val="Ttulo1"/>
        <w:spacing w:before="0" w:line="360" w:lineRule="auto"/>
        <w:jc w:val="center"/>
        <w:rPr>
          <w:rFonts w:eastAsia="Calibri"/>
          <w:szCs w:val="24"/>
          <w:lang w:val="es-ES"/>
        </w:rPr>
      </w:pPr>
      <w:r w:rsidRPr="002D69DA">
        <w:rPr>
          <w:rFonts w:eastAsia="Calibri"/>
          <w:szCs w:val="24"/>
          <w:lang w:val="es-ES"/>
        </w:rPr>
        <w:lastRenderedPageBreak/>
        <w:t>R E S O L U T I V O S</w:t>
      </w:r>
      <w:bookmarkEnd w:id="27"/>
      <w:bookmarkEnd w:id="28"/>
      <w:bookmarkEnd w:id="29"/>
      <w:bookmarkEnd w:id="30"/>
      <w:bookmarkEnd w:id="31"/>
      <w:bookmarkEnd w:id="32"/>
    </w:p>
    <w:p w:rsidR="008D634F" w:rsidRPr="002D69DA" w:rsidRDefault="008D634F" w:rsidP="008D634F">
      <w:pPr>
        <w:rPr>
          <w:lang w:val="es-ES" w:eastAsia="en-US"/>
        </w:rPr>
      </w:pPr>
    </w:p>
    <w:p w:rsidR="004D6D95" w:rsidRPr="002D69DA" w:rsidRDefault="004D6D95" w:rsidP="008D634F">
      <w:pPr>
        <w:pStyle w:val="Prrafodelista"/>
        <w:spacing w:line="360" w:lineRule="auto"/>
        <w:ind w:left="0"/>
        <w:contextualSpacing w:val="0"/>
        <w:jc w:val="both"/>
        <w:rPr>
          <w:rFonts w:ascii="Palatino Linotype" w:eastAsia="Times New Roman" w:hAnsi="Palatino Linotype" w:cs="Arial"/>
          <w:color w:val="000000" w:themeColor="text1"/>
          <w:lang w:val="es-ES"/>
        </w:rPr>
      </w:pPr>
      <w:r w:rsidRPr="002D69DA">
        <w:rPr>
          <w:rFonts w:ascii="Palatino Linotype" w:eastAsia="Times New Roman" w:hAnsi="Palatino Linotype" w:cs="Arial"/>
          <w:b/>
          <w:color w:val="000000" w:themeColor="text1"/>
        </w:rPr>
        <w:t>PRIMERO</w:t>
      </w:r>
      <w:r w:rsidRPr="002D69DA">
        <w:rPr>
          <w:rFonts w:ascii="Palatino Linotype" w:eastAsia="Times New Roman" w:hAnsi="Palatino Linotype" w:cs="Arial"/>
          <w:color w:val="000000" w:themeColor="text1"/>
          <w:lang w:val="es-ES"/>
        </w:rPr>
        <w:t xml:space="preserve">. Resultan fundadas las razones o motivos de inconformidad hechos valer en los Recursos de Revisión </w:t>
      </w:r>
      <w:r w:rsidR="00173FA7" w:rsidRPr="0040280F">
        <w:rPr>
          <w:rFonts w:ascii="Palatino Linotype" w:eastAsia="Calibri" w:hAnsi="Palatino Linotype" w:cs="Arial"/>
          <w:b/>
          <w:color w:val="000000" w:themeColor="text1"/>
          <w:sz w:val="22"/>
        </w:rPr>
        <w:t>04923/INFOEM/IP/RR/2025, 04924/INFOEM/IP/RR/2025, 04932/INFOEM/IP/RR/2025, 04969/INFOEM/IP/RR/2025, 04970/INFOEM/IP/RR/2025, 04971/INFOEM/IP/RR/2025, 05046/INFOEM/IP/RR/2025, 05047/INFOEM/IP/RR/2025, 05048/INFOEM/IP/RR/2025, 05049/INFOEM/IP/RR/2025, 05050/INFOEM/IP/RR/2025, 05051/INFOEM/IP/RR/2025, 05541/INFOEM/IP/RR/2025, 05542/INFOEM/IP/RR/2025, 05543/INFOEM/IP/RR/2025, 05544/INFOEM/IP/RR/2025, 05545/INFOEM/IP/RR/2025, 05546/INFOEM/IP/RR/2025, 05547/INFOEM/IP/RR/2025, 05548/INFOEM/IP/RR/2025, 05549/INFOEM/IP/RR/2025, 05550/INFOEM/IP/RR/2025, 05551/INFOEM/IP/RR/2025 y 05552/INFOEM/IP/RR/2025</w:t>
      </w:r>
      <w:r w:rsidRPr="0040280F">
        <w:rPr>
          <w:rFonts w:ascii="Palatino Linotype" w:hAnsi="Palatino Linotype"/>
          <w:color w:val="000000" w:themeColor="text1"/>
          <w:sz w:val="22"/>
        </w:rPr>
        <w:t>,</w:t>
      </w:r>
      <w:r w:rsidRPr="002D69DA">
        <w:rPr>
          <w:rFonts w:ascii="Palatino Linotype" w:eastAsia="Times New Roman" w:hAnsi="Palatino Linotype" w:cs="Arial"/>
          <w:b/>
          <w:color w:val="000000" w:themeColor="text1"/>
          <w:lang w:val="es-ES"/>
        </w:rPr>
        <w:t xml:space="preserve"> </w:t>
      </w:r>
      <w:r w:rsidRPr="002D69DA">
        <w:rPr>
          <w:rFonts w:ascii="Palatino Linotype" w:eastAsia="Times New Roman" w:hAnsi="Palatino Linotype" w:cs="Arial"/>
          <w:color w:val="000000" w:themeColor="text1"/>
          <w:lang w:val="es-ES"/>
        </w:rPr>
        <w:t xml:space="preserve">en términos de los Considerandos </w:t>
      </w:r>
      <w:r w:rsidRPr="002D69DA">
        <w:rPr>
          <w:rFonts w:ascii="Palatino Linotype" w:eastAsia="Times New Roman" w:hAnsi="Palatino Linotype" w:cs="Arial"/>
          <w:b/>
          <w:color w:val="000000" w:themeColor="text1"/>
          <w:lang w:val="es-ES"/>
        </w:rPr>
        <w:t xml:space="preserve">Cuarto y Quinto </w:t>
      </w:r>
      <w:r w:rsidRPr="002D69DA">
        <w:rPr>
          <w:rFonts w:ascii="Palatino Linotype" w:eastAsia="Times New Roman" w:hAnsi="Palatino Linotype" w:cs="Arial"/>
          <w:color w:val="000000" w:themeColor="text1"/>
          <w:lang w:val="es-ES"/>
        </w:rPr>
        <w:t xml:space="preserve">de la presente resolución. </w:t>
      </w:r>
    </w:p>
    <w:p w:rsidR="004D6D95" w:rsidRPr="002D69DA" w:rsidRDefault="004D6D95" w:rsidP="00E84339">
      <w:pPr>
        <w:spacing w:line="360" w:lineRule="auto"/>
        <w:jc w:val="both"/>
        <w:rPr>
          <w:rFonts w:ascii="Palatino Linotype" w:eastAsia="Times New Roman" w:hAnsi="Palatino Linotype" w:cs="Arial"/>
          <w:color w:val="000000" w:themeColor="text1"/>
          <w:lang w:val="es-ES"/>
        </w:rPr>
      </w:pPr>
    </w:p>
    <w:p w:rsidR="004D6D95" w:rsidRPr="002D69DA" w:rsidRDefault="004D6D95" w:rsidP="00E84339">
      <w:pPr>
        <w:spacing w:line="360" w:lineRule="auto"/>
        <w:jc w:val="both"/>
        <w:rPr>
          <w:rFonts w:ascii="Palatino Linotype" w:hAnsi="Palatino Linotype" w:cs="Arial"/>
          <w:b/>
          <w:color w:val="000000" w:themeColor="text1"/>
        </w:rPr>
      </w:pPr>
      <w:bookmarkStart w:id="34" w:name="_Toc503891607"/>
      <w:bookmarkStart w:id="35" w:name="_Toc511647757"/>
      <w:bookmarkStart w:id="36" w:name="_Toc511647818"/>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2D69DA">
        <w:rPr>
          <w:rFonts w:ascii="Palatino Linotype" w:eastAsia="Times New Roman" w:hAnsi="Palatino Linotype" w:cs="Times New Roman"/>
          <w:b/>
          <w:color w:val="000000" w:themeColor="text1"/>
        </w:rPr>
        <w:t>SEGUNDO.</w:t>
      </w:r>
      <w:bookmarkEnd w:id="34"/>
      <w:bookmarkEnd w:id="35"/>
      <w:bookmarkEnd w:id="36"/>
      <w:r w:rsidRPr="002D69DA">
        <w:rPr>
          <w:rFonts w:ascii="Palatino Linotype" w:eastAsia="Times New Roman" w:hAnsi="Palatino Linotype" w:cs="Times New Roman"/>
          <w:b/>
          <w:color w:val="000000" w:themeColor="text1"/>
        </w:rPr>
        <w:t xml:space="preserve"> </w:t>
      </w:r>
      <w:bookmarkEnd w:id="37"/>
      <w:bookmarkEnd w:id="38"/>
      <w:bookmarkEnd w:id="39"/>
      <w:bookmarkEnd w:id="40"/>
      <w:bookmarkEnd w:id="41"/>
      <w:bookmarkEnd w:id="42"/>
      <w:bookmarkEnd w:id="43"/>
      <w:r w:rsidRPr="002D69DA">
        <w:rPr>
          <w:rFonts w:ascii="Palatino Linotype" w:eastAsia="MS Mincho" w:hAnsi="Palatino Linotype" w:cs="Times New Roman"/>
          <w:color w:val="000000" w:themeColor="text1"/>
        </w:rPr>
        <w:t xml:space="preserve">Se </w:t>
      </w:r>
      <w:r w:rsidRPr="002D69DA">
        <w:rPr>
          <w:rFonts w:ascii="Palatino Linotype" w:eastAsia="MS Mincho" w:hAnsi="Palatino Linotype" w:cs="Times New Roman"/>
          <w:b/>
          <w:color w:val="000000" w:themeColor="text1"/>
        </w:rPr>
        <w:t xml:space="preserve">REVOCAN </w:t>
      </w:r>
      <w:r w:rsidRPr="002D69DA">
        <w:rPr>
          <w:rFonts w:ascii="Palatino Linotype" w:eastAsia="MS Mincho" w:hAnsi="Palatino Linotype" w:cs="Times New Roman"/>
          <w:color w:val="000000" w:themeColor="text1"/>
        </w:rPr>
        <w:t xml:space="preserve">las respuestas emitidas por el </w:t>
      </w:r>
      <w:r w:rsidRPr="002D69DA">
        <w:rPr>
          <w:rFonts w:ascii="Palatino Linotype" w:eastAsia="MS Mincho" w:hAnsi="Palatino Linotype" w:cs="Times New Roman"/>
          <w:b/>
          <w:color w:val="000000" w:themeColor="text1"/>
        </w:rPr>
        <w:t xml:space="preserve">Ayuntamiento de Toluca </w:t>
      </w:r>
      <w:r w:rsidRPr="002D69DA">
        <w:rPr>
          <w:rFonts w:ascii="Palatino Linotype" w:eastAsia="MS Mincho" w:hAnsi="Palatino Linotype" w:cs="Times New Roman"/>
          <w:color w:val="000000" w:themeColor="text1"/>
        </w:rPr>
        <w:t xml:space="preserve">y se </w:t>
      </w:r>
      <w:r w:rsidRPr="002D69DA">
        <w:rPr>
          <w:rFonts w:ascii="Palatino Linotype" w:eastAsia="MS Mincho" w:hAnsi="Palatino Linotype" w:cs="Times New Roman"/>
          <w:b/>
          <w:color w:val="000000" w:themeColor="text1"/>
        </w:rPr>
        <w:t>ORDENA</w:t>
      </w:r>
      <w:r w:rsidRPr="002D69DA">
        <w:rPr>
          <w:rFonts w:ascii="Palatino Linotype" w:eastAsia="MS Mincho" w:hAnsi="Palatino Linotype" w:cs="Times New Roman"/>
          <w:color w:val="000000" w:themeColor="text1"/>
        </w:rPr>
        <w:t xml:space="preserve"> entregar vía Sistema de Acceso a la Información Mexiquense </w:t>
      </w:r>
      <w:r w:rsidRPr="002D69DA">
        <w:rPr>
          <w:rFonts w:ascii="Palatino Linotype" w:eastAsia="MS Mincho" w:hAnsi="Palatino Linotype" w:cs="Times New Roman"/>
          <w:b/>
          <w:color w:val="000000" w:themeColor="text1"/>
        </w:rPr>
        <w:t>(SAIMEX)</w:t>
      </w:r>
      <w:r w:rsidRPr="002D69DA">
        <w:rPr>
          <w:rFonts w:ascii="Palatino Linotype" w:eastAsia="MS Mincho" w:hAnsi="Palatino Linotype" w:cs="Times New Roman"/>
          <w:color w:val="000000" w:themeColor="text1"/>
        </w:rPr>
        <w:t>, en versión pública, la siguiente información</w:t>
      </w:r>
      <w:bookmarkStart w:id="44" w:name="_Toc503891610"/>
      <w:bookmarkStart w:id="45" w:name="_Toc453696503"/>
      <w:bookmarkStart w:id="46" w:name="_Toc454301156"/>
      <w:bookmarkStart w:id="47" w:name="_Toc462653938"/>
      <w:bookmarkStart w:id="48" w:name="_Toc477891769"/>
      <w:bookmarkStart w:id="49" w:name="_Toc477891859"/>
      <w:bookmarkStart w:id="50" w:name="_Toc481576260"/>
      <w:bookmarkStart w:id="51" w:name="_Toc492590392"/>
      <w:r w:rsidR="00C20822" w:rsidRPr="002D69DA">
        <w:rPr>
          <w:rFonts w:ascii="Palatino Linotype" w:eastAsia="MS Mincho" w:hAnsi="Palatino Linotype" w:cs="Times New Roman"/>
          <w:color w:val="000000" w:themeColor="text1"/>
        </w:rPr>
        <w:t xml:space="preserve"> en formato </w:t>
      </w:r>
      <w:r w:rsidR="0022652B" w:rsidRPr="002D69DA">
        <w:rPr>
          <w:rFonts w:ascii="Palatino Linotype" w:eastAsia="MS Mincho" w:hAnsi="Palatino Linotype" w:cs="Times New Roman"/>
          <w:color w:val="000000" w:themeColor="text1"/>
        </w:rPr>
        <w:t>Excel</w:t>
      </w:r>
      <w:r w:rsidRPr="002D69DA">
        <w:rPr>
          <w:rFonts w:ascii="Palatino Linotype" w:eastAsia="MS Mincho" w:hAnsi="Palatino Linotype" w:cs="Times New Roman"/>
          <w:color w:val="000000" w:themeColor="text1"/>
        </w:rPr>
        <w:t xml:space="preserve">. </w:t>
      </w:r>
    </w:p>
    <w:p w:rsidR="004D6D95" w:rsidRPr="002D69DA" w:rsidRDefault="004D6D95" w:rsidP="00E84339">
      <w:pPr>
        <w:pStyle w:val="Prrafodelista"/>
        <w:spacing w:line="360" w:lineRule="auto"/>
        <w:ind w:left="0"/>
        <w:jc w:val="both"/>
        <w:rPr>
          <w:rFonts w:ascii="Palatino Linotype" w:hAnsi="Palatino Linotype" w:cs="Arial"/>
          <w:b/>
          <w:color w:val="000000" w:themeColor="text1"/>
        </w:rPr>
      </w:pPr>
    </w:p>
    <w:p w:rsidR="00641F06" w:rsidRPr="002D69DA" w:rsidRDefault="0040280F" w:rsidP="00E84339">
      <w:pPr>
        <w:pStyle w:val="Prrafodelista"/>
        <w:spacing w:line="360" w:lineRule="auto"/>
        <w:ind w:left="0"/>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1.</w:t>
      </w:r>
      <w:r w:rsidR="00641F06" w:rsidRPr="002D69DA">
        <w:rPr>
          <w:rFonts w:ascii="Palatino Linotype" w:hAnsi="Palatino Linotype" w:cs="Arial"/>
          <w:b/>
          <w:i/>
          <w:color w:val="000000" w:themeColor="text1"/>
          <w:lang w:val="es-MX"/>
        </w:rPr>
        <w:t xml:space="preserve"> </w:t>
      </w:r>
      <w:r w:rsidR="00476098" w:rsidRPr="002D69DA">
        <w:rPr>
          <w:rFonts w:ascii="Palatino Linotype" w:hAnsi="Palatino Linotype" w:cs="Arial"/>
          <w:b/>
          <w:i/>
          <w:color w:val="000000" w:themeColor="text1"/>
          <w:lang w:val="es-MX"/>
        </w:rPr>
        <w:t>Conciliación de N</w:t>
      </w:r>
      <w:r w:rsidR="00641F06" w:rsidRPr="002D69DA">
        <w:rPr>
          <w:rFonts w:ascii="Palatino Linotype" w:hAnsi="Palatino Linotype" w:cs="Arial"/>
          <w:b/>
          <w:i/>
          <w:color w:val="000000" w:themeColor="text1"/>
          <w:lang w:val="es-MX"/>
        </w:rPr>
        <w:t>ómina del mes</w:t>
      </w:r>
      <w:r w:rsidR="00E94A96" w:rsidRPr="002D69DA">
        <w:rPr>
          <w:rFonts w:ascii="Palatino Linotype" w:hAnsi="Palatino Linotype" w:cs="Arial"/>
          <w:b/>
          <w:i/>
          <w:color w:val="000000" w:themeColor="text1"/>
          <w:lang w:val="es-MX"/>
        </w:rPr>
        <w:t xml:space="preserve"> de enero de 2022, 2023 y 2024; </w:t>
      </w:r>
    </w:p>
    <w:p w:rsidR="00641F06" w:rsidRPr="002D69DA" w:rsidRDefault="0040280F" w:rsidP="00E84339">
      <w:pPr>
        <w:pStyle w:val="Prrafodelista"/>
        <w:spacing w:line="360" w:lineRule="auto"/>
        <w:ind w:left="0"/>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2.</w:t>
      </w:r>
      <w:r w:rsidR="00641F06" w:rsidRPr="002D69DA">
        <w:rPr>
          <w:rFonts w:ascii="Palatino Linotype" w:hAnsi="Palatino Linotype" w:cs="Arial"/>
          <w:b/>
          <w:i/>
          <w:color w:val="000000" w:themeColor="text1"/>
          <w:lang w:val="es-MX"/>
        </w:rPr>
        <w:t xml:space="preserve"> </w:t>
      </w:r>
      <w:r w:rsidR="00476098" w:rsidRPr="002D69DA">
        <w:rPr>
          <w:rFonts w:ascii="Palatino Linotype" w:hAnsi="Palatino Linotype" w:cs="Arial"/>
          <w:b/>
          <w:i/>
          <w:color w:val="000000" w:themeColor="text1"/>
          <w:lang w:val="es-MX"/>
        </w:rPr>
        <w:t xml:space="preserve">Conciliación de Nómina </w:t>
      </w:r>
      <w:r w:rsidR="00641F06" w:rsidRPr="002D69DA">
        <w:rPr>
          <w:rFonts w:ascii="Palatino Linotype" w:hAnsi="Palatino Linotype" w:cs="Arial"/>
          <w:b/>
          <w:i/>
          <w:color w:val="000000" w:themeColor="text1"/>
          <w:lang w:val="es-MX"/>
        </w:rPr>
        <w:t>del mes de diciembre</w:t>
      </w:r>
      <w:r w:rsidR="00E94A96" w:rsidRPr="002D69DA">
        <w:rPr>
          <w:rFonts w:ascii="Palatino Linotype" w:hAnsi="Palatino Linotype" w:cs="Arial"/>
          <w:b/>
          <w:i/>
          <w:color w:val="000000" w:themeColor="text1"/>
          <w:lang w:val="es-MX"/>
        </w:rPr>
        <w:t xml:space="preserve"> de 2022, 2023 y 2024; </w:t>
      </w:r>
    </w:p>
    <w:p w:rsidR="00641F06" w:rsidRPr="002D69DA" w:rsidRDefault="0040280F" w:rsidP="00E84339">
      <w:pPr>
        <w:pStyle w:val="Prrafodelista"/>
        <w:spacing w:line="360" w:lineRule="auto"/>
        <w:ind w:left="0"/>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3.</w:t>
      </w:r>
      <w:r w:rsidR="00476098" w:rsidRPr="002D69DA">
        <w:rPr>
          <w:rFonts w:ascii="Palatino Linotype" w:hAnsi="Palatino Linotype" w:cs="Arial"/>
          <w:b/>
          <w:i/>
          <w:color w:val="000000" w:themeColor="text1"/>
          <w:lang w:val="es-MX"/>
        </w:rPr>
        <w:t xml:space="preserve"> Conciliación de Nómina </w:t>
      </w:r>
      <w:r w:rsidR="00641F06" w:rsidRPr="002D69DA">
        <w:rPr>
          <w:rFonts w:ascii="Palatino Linotype" w:hAnsi="Palatino Linotype" w:cs="Arial"/>
          <w:b/>
          <w:i/>
          <w:color w:val="000000" w:themeColor="text1"/>
          <w:lang w:val="es-MX"/>
        </w:rPr>
        <w:t>del mes de febrero de 2022, 2023</w:t>
      </w:r>
      <w:r w:rsidR="00E94A96" w:rsidRPr="002D69DA">
        <w:rPr>
          <w:rFonts w:ascii="Palatino Linotype" w:hAnsi="Palatino Linotype" w:cs="Arial"/>
          <w:b/>
          <w:i/>
          <w:color w:val="000000" w:themeColor="text1"/>
          <w:lang w:val="es-MX"/>
        </w:rPr>
        <w:t xml:space="preserve"> y 2025; </w:t>
      </w:r>
    </w:p>
    <w:p w:rsidR="008F1FB2" w:rsidRDefault="0040280F" w:rsidP="00E84339">
      <w:pPr>
        <w:pStyle w:val="Prrafodelista"/>
        <w:spacing w:line="360" w:lineRule="auto"/>
        <w:ind w:left="0"/>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4.</w:t>
      </w:r>
      <w:r w:rsidR="00641F06" w:rsidRPr="002D69DA">
        <w:rPr>
          <w:rFonts w:ascii="Palatino Linotype" w:hAnsi="Palatino Linotype" w:cs="Arial"/>
          <w:b/>
          <w:i/>
          <w:color w:val="000000" w:themeColor="text1"/>
          <w:lang w:val="es-MX"/>
        </w:rPr>
        <w:t xml:space="preserve"> </w:t>
      </w:r>
      <w:r w:rsidR="00476098" w:rsidRPr="002D69DA">
        <w:rPr>
          <w:rFonts w:ascii="Palatino Linotype" w:hAnsi="Palatino Linotype" w:cs="Arial"/>
          <w:b/>
          <w:i/>
          <w:color w:val="000000" w:themeColor="text1"/>
          <w:lang w:val="es-MX"/>
        </w:rPr>
        <w:t xml:space="preserve">Conciliación de Nómina </w:t>
      </w:r>
      <w:r w:rsidR="00641F06" w:rsidRPr="002D69DA">
        <w:rPr>
          <w:rFonts w:ascii="Palatino Linotype" w:hAnsi="Palatino Linotype" w:cs="Arial"/>
          <w:b/>
          <w:i/>
          <w:color w:val="000000" w:themeColor="text1"/>
          <w:lang w:val="es-MX"/>
        </w:rPr>
        <w:t>d</w:t>
      </w:r>
      <w:r w:rsidR="008F1FB2" w:rsidRPr="002D69DA">
        <w:rPr>
          <w:rFonts w:ascii="Palatino Linotype" w:hAnsi="Palatino Linotype" w:cs="Arial"/>
          <w:b/>
          <w:i/>
          <w:color w:val="000000" w:themeColor="text1"/>
          <w:lang w:val="es-MX"/>
        </w:rPr>
        <w:t xml:space="preserve">el mes de marzo de 2022,  y 2025; </w:t>
      </w:r>
    </w:p>
    <w:p w:rsidR="00641F06" w:rsidRPr="002D69DA" w:rsidRDefault="0040280F" w:rsidP="00E84339">
      <w:pPr>
        <w:pStyle w:val="Prrafodelista"/>
        <w:spacing w:line="360" w:lineRule="auto"/>
        <w:ind w:left="0"/>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5</w:t>
      </w:r>
      <w:r w:rsidR="00641F06" w:rsidRPr="002D69DA">
        <w:rPr>
          <w:rFonts w:ascii="Palatino Linotype" w:hAnsi="Palatino Linotype" w:cs="Arial"/>
          <w:b/>
          <w:i/>
          <w:color w:val="000000" w:themeColor="text1"/>
          <w:lang w:val="es-MX"/>
        </w:rPr>
        <w:t xml:space="preserve">. </w:t>
      </w:r>
      <w:r w:rsidR="00476098" w:rsidRPr="002D69DA">
        <w:rPr>
          <w:rFonts w:ascii="Palatino Linotype" w:hAnsi="Palatino Linotype" w:cs="Arial"/>
          <w:b/>
          <w:i/>
          <w:color w:val="000000" w:themeColor="text1"/>
          <w:lang w:val="es-MX"/>
        </w:rPr>
        <w:t xml:space="preserve">Conciliación de Nómina </w:t>
      </w:r>
      <w:r w:rsidR="00641F06" w:rsidRPr="002D69DA">
        <w:rPr>
          <w:rFonts w:ascii="Palatino Linotype" w:hAnsi="Palatino Linotype" w:cs="Arial"/>
          <w:b/>
          <w:i/>
          <w:color w:val="000000" w:themeColor="text1"/>
          <w:lang w:val="es-MX"/>
        </w:rPr>
        <w:t>del mes de enero</w:t>
      </w:r>
      <w:r w:rsidR="007F2E6C" w:rsidRPr="002D69DA">
        <w:rPr>
          <w:rFonts w:ascii="Palatino Linotype" w:hAnsi="Palatino Linotype" w:cs="Arial"/>
          <w:b/>
          <w:i/>
          <w:color w:val="000000" w:themeColor="text1"/>
          <w:lang w:val="es-MX"/>
        </w:rPr>
        <w:t>, febrero, marzo y abril</w:t>
      </w:r>
      <w:r w:rsidR="00641F06" w:rsidRPr="002D69DA">
        <w:rPr>
          <w:rFonts w:ascii="Palatino Linotype" w:hAnsi="Palatino Linotype" w:cs="Arial"/>
          <w:b/>
          <w:i/>
          <w:color w:val="000000" w:themeColor="text1"/>
          <w:lang w:val="es-MX"/>
        </w:rPr>
        <w:t xml:space="preserve"> de 2025</w:t>
      </w:r>
    </w:p>
    <w:p w:rsidR="004D6D95" w:rsidRPr="002D69DA" w:rsidRDefault="004D6D95" w:rsidP="00E84339">
      <w:pPr>
        <w:spacing w:line="360" w:lineRule="auto"/>
        <w:jc w:val="both"/>
        <w:rPr>
          <w:rFonts w:ascii="Palatino Linotype" w:eastAsia="Calibri" w:hAnsi="Palatino Linotype" w:cs="Arial"/>
          <w:color w:val="000000" w:themeColor="text1"/>
        </w:rPr>
      </w:pPr>
    </w:p>
    <w:p w:rsidR="004D6D95" w:rsidRPr="002D69DA" w:rsidRDefault="004D6D95" w:rsidP="00E84339">
      <w:pPr>
        <w:spacing w:line="360" w:lineRule="auto"/>
        <w:jc w:val="both"/>
        <w:rPr>
          <w:rFonts w:ascii="Palatino Linotype" w:eastAsia="Calibri" w:hAnsi="Palatino Linotype" w:cs="Arial"/>
          <w:b/>
          <w:color w:val="000000" w:themeColor="text1"/>
        </w:rPr>
      </w:pPr>
      <w:r w:rsidRPr="002D69DA">
        <w:rPr>
          <w:rFonts w:ascii="Palatino Linotype" w:eastAsia="Calibri" w:hAnsi="Palatino Linotype" w:cs="Arial"/>
          <w:color w:val="000000" w:themeColor="text1"/>
        </w:rPr>
        <w:lastRenderedPageBreak/>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2D69DA">
        <w:rPr>
          <w:rFonts w:ascii="Palatino Linotype" w:eastAsia="Calibri" w:hAnsi="Palatino Linotype" w:cs="Arial"/>
          <w:b/>
          <w:color w:val="000000" w:themeColor="text1"/>
        </w:rPr>
        <w:t>RECURRENTE.</w:t>
      </w:r>
    </w:p>
    <w:p w:rsidR="00142FBA" w:rsidRPr="002D69DA" w:rsidRDefault="00142FBA" w:rsidP="00E84339">
      <w:pPr>
        <w:spacing w:line="360" w:lineRule="auto"/>
        <w:jc w:val="both"/>
        <w:rPr>
          <w:rFonts w:ascii="Palatino Linotype" w:eastAsia="Calibri" w:hAnsi="Palatino Linotype" w:cs="Arial"/>
          <w:b/>
          <w:color w:val="000000" w:themeColor="text1"/>
        </w:rPr>
      </w:pPr>
    </w:p>
    <w:p w:rsidR="004D6D95" w:rsidRPr="002D69DA" w:rsidRDefault="004D6D95" w:rsidP="00E84339">
      <w:pPr>
        <w:spacing w:line="360" w:lineRule="auto"/>
        <w:jc w:val="both"/>
        <w:rPr>
          <w:rFonts w:ascii="Palatino Linotype" w:eastAsia="Palatino Linotype" w:hAnsi="Palatino Linotype" w:cs="Palatino Linotype"/>
          <w:color w:val="000000" w:themeColor="text1"/>
        </w:rPr>
      </w:pPr>
      <w:bookmarkStart w:id="52" w:name="_Toc511647758"/>
      <w:bookmarkStart w:id="53" w:name="_Toc511647819"/>
      <w:r w:rsidRPr="002D69DA">
        <w:rPr>
          <w:rFonts w:ascii="Palatino Linotype" w:eastAsia="Times New Roman" w:hAnsi="Palatino Linotype" w:cs="Times New Roman"/>
          <w:b/>
          <w:color w:val="000000" w:themeColor="text1"/>
        </w:rPr>
        <w:t>TERCERO.</w:t>
      </w:r>
      <w:bookmarkEnd w:id="44"/>
      <w:bookmarkEnd w:id="52"/>
      <w:bookmarkEnd w:id="53"/>
      <w:r w:rsidRPr="002D69DA">
        <w:rPr>
          <w:rFonts w:ascii="Palatino Linotype" w:eastAsia="Times New Roman" w:hAnsi="Palatino Linotype" w:cs="Times New Roman"/>
          <w:b/>
          <w:color w:val="000000" w:themeColor="text1"/>
        </w:rPr>
        <w:t xml:space="preserve"> </w:t>
      </w:r>
      <w:bookmarkEnd w:id="45"/>
      <w:bookmarkEnd w:id="46"/>
      <w:bookmarkEnd w:id="47"/>
      <w:bookmarkEnd w:id="48"/>
      <w:bookmarkEnd w:id="49"/>
      <w:bookmarkEnd w:id="50"/>
      <w:bookmarkEnd w:id="51"/>
      <w:r w:rsidRPr="002D69DA">
        <w:rPr>
          <w:rFonts w:ascii="Palatino Linotype" w:eastAsia="Palatino Linotype" w:hAnsi="Palatino Linotype" w:cs="Palatino Linotype"/>
          <w:b/>
          <w:color w:val="000000" w:themeColor="text1"/>
        </w:rPr>
        <w:t xml:space="preserve">NOTIFÍQUESE </w:t>
      </w:r>
      <w:r w:rsidRPr="002D69DA">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D69DA">
        <w:rPr>
          <w:rFonts w:ascii="Palatino Linotype" w:eastAsia="Palatino Linotype" w:hAnsi="Palatino Linotype" w:cs="Palatino Linotype"/>
          <w:b/>
          <w:color w:val="000000" w:themeColor="text1"/>
        </w:rPr>
        <w:t>dé cumplimiento a lo ordenado dentro del plazo de diez días hábiles</w:t>
      </w:r>
      <w:r w:rsidRPr="002D69DA">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D6D95" w:rsidRPr="002D69DA" w:rsidRDefault="004D6D95" w:rsidP="00E84339">
      <w:pPr>
        <w:tabs>
          <w:tab w:val="left" w:pos="8080"/>
        </w:tabs>
        <w:spacing w:line="360" w:lineRule="auto"/>
        <w:jc w:val="both"/>
        <w:rPr>
          <w:rFonts w:ascii="Palatino Linotype" w:eastAsia="Times New Roman" w:hAnsi="Palatino Linotype" w:cs="Times New Roman"/>
          <w:color w:val="000000" w:themeColor="text1"/>
          <w:shd w:val="clear" w:color="auto" w:fill="FFFFFF"/>
        </w:rPr>
      </w:pPr>
    </w:p>
    <w:p w:rsidR="004D6D95" w:rsidRPr="002D69DA" w:rsidRDefault="004D6D95" w:rsidP="00E84339">
      <w:pPr>
        <w:spacing w:line="360" w:lineRule="auto"/>
        <w:jc w:val="both"/>
        <w:rPr>
          <w:rFonts w:ascii="Palatino Linotype" w:eastAsia="Calibri" w:hAnsi="Palatino Linotype" w:cs="Arial"/>
          <w:bCs/>
          <w:color w:val="000000" w:themeColor="text1"/>
        </w:rPr>
      </w:pPr>
      <w:r w:rsidRPr="002D69DA">
        <w:rPr>
          <w:rFonts w:ascii="Palatino Linotype" w:hAnsi="Palatino Linotype" w:cs="Arial"/>
          <w:b/>
          <w:color w:val="000000" w:themeColor="text1"/>
        </w:rPr>
        <w:t xml:space="preserve">CUARTO. </w:t>
      </w:r>
      <w:r w:rsidRPr="002D69DA">
        <w:rPr>
          <w:rFonts w:ascii="Palatino Linotype" w:eastAsia="Calibri" w:hAnsi="Palatino Linotype" w:cs="Arial"/>
          <w:bCs/>
          <w:color w:val="000000" w:themeColor="text1"/>
        </w:rPr>
        <w:t xml:space="preserve">De conformidad con el artículo 198 de la Ley de Transparencia y Acceso a la Información Pública del Estado de México y Municipios, de considerarlo procedente, el </w:t>
      </w:r>
      <w:r w:rsidRPr="002D69DA">
        <w:rPr>
          <w:rFonts w:ascii="Palatino Linotype" w:eastAsia="Calibri" w:hAnsi="Palatino Linotype" w:cs="Arial"/>
          <w:b/>
          <w:bCs/>
          <w:color w:val="000000" w:themeColor="text1"/>
        </w:rPr>
        <w:t>SUJETO OBLIGADO</w:t>
      </w:r>
      <w:r w:rsidRPr="002D69DA">
        <w:rPr>
          <w:rFonts w:ascii="Palatino Linotype" w:eastAsia="Calibri" w:hAnsi="Palatino Linotype" w:cs="Arial"/>
          <w:bCs/>
          <w:color w:val="000000" w:themeColor="text1"/>
        </w:rPr>
        <w:t xml:space="preserve"> de manera fundada y motivada, podrá solicitar una ampliación de plazo para el cumplimiento de la presente resolución.</w:t>
      </w:r>
    </w:p>
    <w:p w:rsidR="004D6D95" w:rsidRPr="002D69DA" w:rsidRDefault="004D6D95" w:rsidP="00E84339">
      <w:pPr>
        <w:spacing w:line="360" w:lineRule="auto"/>
        <w:jc w:val="both"/>
        <w:rPr>
          <w:rFonts w:ascii="Palatino Linotype" w:eastAsia="Calibri" w:hAnsi="Palatino Linotype" w:cs="Arial"/>
          <w:bCs/>
          <w:color w:val="000000" w:themeColor="text1"/>
        </w:rPr>
      </w:pPr>
    </w:p>
    <w:p w:rsidR="004D6D95" w:rsidRPr="002D69DA" w:rsidRDefault="004D6D95" w:rsidP="00E84339">
      <w:pPr>
        <w:tabs>
          <w:tab w:val="left" w:pos="8080"/>
        </w:tabs>
        <w:spacing w:line="360" w:lineRule="auto"/>
        <w:jc w:val="both"/>
        <w:rPr>
          <w:rFonts w:ascii="Palatino Linotype" w:eastAsia="Times New Roman" w:hAnsi="Palatino Linotype" w:cs="Times New Roman"/>
          <w:color w:val="000000" w:themeColor="text1"/>
          <w:lang w:val="es-ES" w:eastAsia="es-MX"/>
        </w:rPr>
      </w:pPr>
      <w:bookmarkStart w:id="54" w:name="_Toc492590393"/>
      <w:bookmarkStart w:id="55" w:name="_Toc503891611"/>
      <w:bookmarkStart w:id="56" w:name="_Toc511647759"/>
      <w:bookmarkStart w:id="57" w:name="_Toc511647820"/>
      <w:r w:rsidRPr="002D69DA">
        <w:rPr>
          <w:rFonts w:ascii="Palatino Linotype" w:eastAsia="Times New Roman" w:hAnsi="Palatino Linotype" w:cs="Times New Roman"/>
          <w:b/>
          <w:color w:val="000000" w:themeColor="text1"/>
        </w:rPr>
        <w:t xml:space="preserve">QUINTO. </w:t>
      </w:r>
      <w:r w:rsidRPr="002D69DA">
        <w:rPr>
          <w:rFonts w:ascii="Palatino Linotype" w:eastAsia="Times New Roman" w:hAnsi="Palatino Linotype" w:cs="Times New Roman"/>
          <w:color w:val="000000" w:themeColor="text1"/>
        </w:rPr>
        <w:t>Notifíquese</w:t>
      </w:r>
      <w:bookmarkEnd w:id="54"/>
      <w:bookmarkEnd w:id="55"/>
      <w:bookmarkEnd w:id="56"/>
      <w:bookmarkEnd w:id="57"/>
      <w:r w:rsidRPr="002D69DA">
        <w:rPr>
          <w:rFonts w:ascii="Palatino Linotype" w:eastAsia="Times New Roman" w:hAnsi="Palatino Linotype" w:cs="Times New Roman"/>
          <w:color w:val="000000" w:themeColor="text1"/>
        </w:rPr>
        <w:t xml:space="preserve"> a </w:t>
      </w:r>
      <w:r w:rsidRPr="002D69DA">
        <w:rPr>
          <w:rFonts w:ascii="Palatino Linotype" w:eastAsia="Times New Roman" w:hAnsi="Palatino Linotype" w:cs="Times New Roman"/>
          <w:b/>
          <w:color w:val="000000" w:themeColor="text1"/>
        </w:rPr>
        <w:t>EL RECURRENTE</w:t>
      </w:r>
      <w:r w:rsidRPr="002D69DA">
        <w:rPr>
          <w:rFonts w:ascii="Palatino Linotype" w:eastAsia="Times New Roman" w:hAnsi="Palatino Linotype" w:cs="Times New Roman"/>
          <w:color w:val="000000" w:themeColor="text1"/>
        </w:rPr>
        <w:t xml:space="preserve"> la presente</w:t>
      </w:r>
      <w:r w:rsidRPr="002D69DA">
        <w:rPr>
          <w:rFonts w:ascii="Palatino Linotype" w:eastAsia="Times New Roman" w:hAnsi="Palatino Linotype" w:cs="Times New Roman"/>
          <w:color w:val="000000" w:themeColor="text1"/>
          <w:lang w:val="es-ES" w:eastAsia="es-MX"/>
        </w:rPr>
        <w:t xml:space="preserve"> resolución, vía SAIMEX.</w:t>
      </w:r>
    </w:p>
    <w:p w:rsidR="004D6D95" w:rsidRPr="002D69DA" w:rsidRDefault="004D6D95" w:rsidP="00E84339">
      <w:pPr>
        <w:tabs>
          <w:tab w:val="left" w:pos="8080"/>
        </w:tabs>
        <w:spacing w:line="360" w:lineRule="auto"/>
        <w:jc w:val="both"/>
        <w:rPr>
          <w:rFonts w:ascii="Palatino Linotype" w:eastAsia="Times New Roman" w:hAnsi="Palatino Linotype" w:cs="Times New Roman"/>
          <w:color w:val="000000" w:themeColor="text1"/>
          <w:lang w:val="es-ES" w:eastAsia="es-MX"/>
        </w:rPr>
      </w:pPr>
    </w:p>
    <w:p w:rsidR="004D6D95" w:rsidRPr="002D69DA" w:rsidRDefault="004D6D95" w:rsidP="00E84339">
      <w:pPr>
        <w:shd w:val="clear" w:color="auto" w:fill="FFFFFF"/>
        <w:spacing w:line="360" w:lineRule="auto"/>
        <w:jc w:val="both"/>
        <w:rPr>
          <w:rFonts w:ascii="Palatino Linotype" w:eastAsia="Times New Roman" w:hAnsi="Palatino Linotype" w:cs="Times New Roman"/>
          <w:color w:val="000000" w:themeColor="text1"/>
          <w:lang w:val="es-ES" w:eastAsia="es-MX"/>
        </w:rPr>
      </w:pPr>
      <w:r w:rsidRPr="002D69DA">
        <w:rPr>
          <w:rFonts w:ascii="Palatino Linotype" w:eastAsia="Calibri" w:hAnsi="Palatino Linotype" w:cs="Times New Roman"/>
          <w:b/>
          <w:color w:val="000000" w:themeColor="text1"/>
          <w:lang w:val="es-MX" w:eastAsia="en-US"/>
        </w:rPr>
        <w:t>SEXTO.</w:t>
      </w:r>
      <w:r w:rsidRPr="002D69DA">
        <w:rPr>
          <w:rFonts w:ascii="Palatino Linotype" w:eastAsia="Calibri" w:hAnsi="Palatino Linotype" w:cs="Times New Roman"/>
          <w:color w:val="000000" w:themeColor="text1"/>
          <w:lang w:val="es-MX" w:eastAsia="en-US"/>
        </w:rPr>
        <w:t xml:space="preserve"> </w:t>
      </w:r>
      <w:r w:rsidRPr="002D69DA">
        <w:rPr>
          <w:rFonts w:ascii="Palatino Linotype" w:eastAsia="Times New Roman" w:hAnsi="Palatino Linotype" w:cs="Times New Roman"/>
          <w:color w:val="000000" w:themeColor="text1"/>
          <w:lang w:val="es-ES" w:eastAsia="es-MX"/>
        </w:rPr>
        <w:t xml:space="preserve">Se hace del conocimiento de </w:t>
      </w:r>
      <w:r w:rsidRPr="002D69DA">
        <w:rPr>
          <w:rFonts w:ascii="Palatino Linotype" w:eastAsia="Times New Roman" w:hAnsi="Palatino Linotype" w:cs="Times New Roman"/>
          <w:b/>
          <w:color w:val="000000" w:themeColor="text1"/>
          <w:lang w:val="es-ES" w:eastAsia="es-MX"/>
        </w:rPr>
        <w:t>EL RECURRENTE</w:t>
      </w:r>
      <w:r w:rsidRPr="002D69DA">
        <w:rPr>
          <w:rFonts w:ascii="Palatino Linotype" w:eastAsia="Times New Roman" w:hAnsi="Palatino Linotype" w:cs="Times New Roman"/>
          <w:color w:val="000000" w:themeColor="text1"/>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D69DA">
        <w:rPr>
          <w:rFonts w:ascii="Palatino Linotype" w:eastAsia="Times New Roman" w:hAnsi="Palatino Linotype" w:cs="Times New Roman"/>
          <w:bCs/>
          <w:color w:val="000000" w:themeColor="text1"/>
          <w:lang w:val="es-ES" w:eastAsia="es-MX"/>
        </w:rPr>
        <w:t>vía juicio de amparo</w:t>
      </w:r>
      <w:r w:rsidRPr="002D69DA">
        <w:rPr>
          <w:rFonts w:ascii="Palatino Linotype" w:eastAsia="Times New Roman" w:hAnsi="Palatino Linotype" w:cs="Times New Roman"/>
          <w:color w:val="000000" w:themeColor="text1"/>
          <w:lang w:val="es-ES" w:eastAsia="es-MX"/>
        </w:rPr>
        <w:t> en los términos de las leyes aplicables.</w:t>
      </w:r>
    </w:p>
    <w:p w:rsidR="008D634F" w:rsidRPr="002D69DA" w:rsidRDefault="008D634F" w:rsidP="00E84339">
      <w:pPr>
        <w:shd w:val="clear" w:color="auto" w:fill="FFFFFF"/>
        <w:spacing w:line="360" w:lineRule="auto"/>
        <w:jc w:val="both"/>
        <w:rPr>
          <w:rFonts w:ascii="Palatino Linotype" w:eastAsia="Times New Roman" w:hAnsi="Palatino Linotype" w:cs="Times New Roman"/>
          <w:color w:val="000000" w:themeColor="text1"/>
          <w:lang w:val="es-ES" w:eastAsia="es-MX"/>
        </w:rPr>
      </w:pPr>
    </w:p>
    <w:p w:rsidR="004D6D95" w:rsidRPr="00E84339" w:rsidRDefault="008D634F" w:rsidP="00E84339">
      <w:pPr>
        <w:spacing w:line="360" w:lineRule="auto"/>
        <w:jc w:val="both"/>
        <w:rPr>
          <w:rFonts w:ascii="Palatino Linotype" w:hAnsi="Palatino Linotype"/>
          <w:color w:val="000000" w:themeColor="text1"/>
        </w:rPr>
      </w:pPr>
      <w:r w:rsidRPr="002D69DA">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B9361F" w:rsidRPr="002D69DA">
        <w:rPr>
          <w:rFonts w:ascii="Palatino Linotype" w:hAnsi="Palatino Linotype"/>
          <w:color w:val="000000" w:themeColor="text1"/>
        </w:rPr>
        <w:t xml:space="preserve">EMITIENDO VOTO PARTICULAR </w:t>
      </w:r>
      <w:r w:rsidRPr="002D69DA">
        <w:rPr>
          <w:rFonts w:ascii="Palatino Linotype" w:hAnsi="Palatino Linotype"/>
          <w:color w:val="000000" w:themeColor="text1"/>
        </w:rPr>
        <w:t>Y GUADALUPE RAMÍREZ PEÑA</w:t>
      </w:r>
      <w:r w:rsidR="00B9361F" w:rsidRPr="002D69DA">
        <w:rPr>
          <w:rFonts w:ascii="Palatino Linotype" w:hAnsi="Palatino Linotype"/>
          <w:color w:val="000000" w:themeColor="text1"/>
        </w:rPr>
        <w:t xml:space="preserve"> EMITIENDO VOTO PARTICULAR</w:t>
      </w:r>
      <w:r w:rsidRPr="002D69DA">
        <w:rPr>
          <w:rFonts w:ascii="Palatino Linotype" w:hAnsi="Palatino Linotype"/>
          <w:color w:val="000000" w:themeColor="text1"/>
        </w:rPr>
        <w:t>; EN LA VIGÉSIMA SEGUNDA SESIÓN ORDINARIA, CELEBRADA EL DIECIOCHO (18) DE JUNIO DE DOS MIL VEINTICINCO, ANTE EL SECRETARIO TÉCNICO DEL PLENO ALEXIS TAPIA RAMÍREZ.</w:t>
      </w:r>
    </w:p>
    <w:p w:rsidR="004D6D95" w:rsidRPr="00E84339" w:rsidRDefault="004D6D95" w:rsidP="00E84339">
      <w:pPr>
        <w:spacing w:line="360" w:lineRule="auto"/>
        <w:jc w:val="both"/>
        <w:rPr>
          <w:rFonts w:ascii="Palatino Linotype" w:hAnsi="Palatino Linotype"/>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r w:rsidRPr="00E84339">
        <w:rPr>
          <w:rFonts w:ascii="Palatino Linotype" w:hAnsi="Palatino Linotype" w:cs="Arial"/>
          <w:color w:val="000000" w:themeColor="text1"/>
        </w:rPr>
        <w:t xml:space="preserve">  </w:t>
      </w: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shd w:val="clear" w:color="auto" w:fill="FFFFFF"/>
        <w:spacing w:line="360" w:lineRule="auto"/>
        <w:jc w:val="both"/>
        <w:rPr>
          <w:rFonts w:ascii="Palatino Linotype" w:hAnsi="Palatino Linotype" w:cs="Arial"/>
          <w:color w:val="000000" w:themeColor="text1"/>
        </w:rPr>
      </w:pPr>
    </w:p>
    <w:p w:rsidR="004D6D95" w:rsidRPr="00E84339" w:rsidRDefault="004D6D95" w:rsidP="00E84339">
      <w:pPr>
        <w:rPr>
          <w:rFonts w:ascii="Palatino Linotype" w:hAnsi="Palatino Linotype"/>
          <w:color w:val="000000" w:themeColor="text1"/>
        </w:rPr>
      </w:pPr>
    </w:p>
    <w:p w:rsidR="004D6D95" w:rsidRPr="00E84339" w:rsidRDefault="004D6D95" w:rsidP="00E84339">
      <w:pPr>
        <w:rPr>
          <w:rFonts w:ascii="Palatino Linotype" w:hAnsi="Palatino Linotype"/>
          <w:color w:val="000000" w:themeColor="text1"/>
        </w:rPr>
      </w:pPr>
    </w:p>
    <w:p w:rsidR="004D6D95" w:rsidRPr="00E84339" w:rsidRDefault="004D6D95" w:rsidP="00E84339">
      <w:pPr>
        <w:rPr>
          <w:rFonts w:ascii="Palatino Linotype" w:hAnsi="Palatino Linotype"/>
          <w:color w:val="000000" w:themeColor="text1"/>
        </w:rPr>
      </w:pPr>
    </w:p>
    <w:p w:rsidR="00880F1B" w:rsidRPr="00E84339" w:rsidRDefault="00880F1B" w:rsidP="00E84339">
      <w:pPr>
        <w:rPr>
          <w:rFonts w:ascii="Palatino Linotype" w:hAnsi="Palatino Linotype"/>
          <w:color w:val="000000" w:themeColor="text1"/>
        </w:rPr>
      </w:pPr>
    </w:p>
    <w:sectPr w:rsidR="00880F1B" w:rsidRPr="00E84339" w:rsidSect="00E84339">
      <w:headerReference w:type="default" r:id="rId18"/>
      <w:footerReference w:type="default" r:id="rId19"/>
      <w:headerReference w:type="first" r:id="rId20"/>
      <w:footerReference w:type="first" r:id="rId21"/>
      <w:pgSz w:w="12240" w:h="15840"/>
      <w:pgMar w:top="1691" w:right="1467"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C58" w:rsidRDefault="00A84C58" w:rsidP="004D6D95">
      <w:r>
        <w:separator/>
      </w:r>
    </w:p>
  </w:endnote>
  <w:endnote w:type="continuationSeparator" w:id="0">
    <w:p w:rsidR="00A84C58" w:rsidRDefault="00A84C58" w:rsidP="004D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Page Numbers (Bottom of Page)"/>
        <w:docPartUnique/>
      </w:docPartObj>
    </w:sdtPr>
    <w:sdtContent>
      <w:sdt>
        <w:sdtPr>
          <w:rPr>
            <w:rFonts w:ascii="Palatino Linotype" w:hAnsi="Palatino Linotype"/>
            <w:sz w:val="28"/>
          </w:rPr>
          <w:id w:val="-985478480"/>
          <w:docPartObj>
            <w:docPartGallery w:val="Page Numbers (Top of Page)"/>
            <w:docPartUnique/>
          </w:docPartObj>
        </w:sdtPr>
        <w:sdtContent>
          <w:p w:rsidR="0040280F" w:rsidRDefault="0040280F" w:rsidP="004D6D95">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35104">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35104">
              <w:rPr>
                <w:rFonts w:ascii="Palatino Linotype" w:hAnsi="Palatino Linotype"/>
                <w:b/>
                <w:bCs/>
                <w:noProof/>
                <w:sz w:val="22"/>
                <w:szCs w:val="20"/>
              </w:rPr>
              <w:t>141</w:t>
            </w:r>
            <w:r w:rsidRPr="00883450">
              <w:rPr>
                <w:rFonts w:ascii="Palatino Linotype" w:hAnsi="Palatino Linotype"/>
                <w:b/>
                <w:bCs/>
                <w:sz w:val="22"/>
                <w:szCs w:val="20"/>
              </w:rPr>
              <w:fldChar w:fldCharType="end"/>
            </w:r>
          </w:p>
          <w:p w:rsidR="0040280F" w:rsidRDefault="0040280F" w:rsidP="004D6D95">
            <w:pPr>
              <w:pStyle w:val="Piedepgina"/>
              <w:rPr>
                <w:rFonts w:ascii="Palatino Linotype" w:hAnsi="Palatino Linotype"/>
                <w:sz w:val="28"/>
              </w:rPr>
            </w:pPr>
          </w:p>
        </w:sdtContent>
      </w:sdt>
    </w:sdtContent>
  </w:sdt>
  <w:p w:rsidR="0040280F" w:rsidRDefault="004028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0F" w:rsidRPr="00883450" w:rsidRDefault="0040280F" w:rsidP="004D6D9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35104" w:rsidRPr="00A3510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35104" w:rsidRPr="00A35104">
      <w:rPr>
        <w:rFonts w:ascii="Palatino Linotype" w:hAnsi="Palatino Linotype"/>
        <w:noProof/>
        <w:sz w:val="22"/>
        <w:szCs w:val="22"/>
        <w:lang w:val="es-ES"/>
      </w:rPr>
      <w:t>141</w:t>
    </w:r>
    <w:r w:rsidRPr="00883450">
      <w:rPr>
        <w:rFonts w:ascii="Palatino Linotype" w:hAnsi="Palatino Linotype"/>
        <w:sz w:val="22"/>
        <w:szCs w:val="22"/>
      </w:rPr>
      <w:fldChar w:fldCharType="end"/>
    </w:r>
  </w:p>
  <w:p w:rsidR="0040280F" w:rsidRPr="00883450" w:rsidRDefault="0040280F">
    <w:pPr>
      <w:pStyle w:val="Piedepgina"/>
      <w:rPr>
        <w:rFonts w:ascii="Palatino Linotype" w:hAnsi="Palatino Linotype"/>
        <w:sz w:val="22"/>
        <w:szCs w:val="22"/>
      </w:rPr>
    </w:pPr>
  </w:p>
  <w:p w:rsidR="0040280F" w:rsidRDefault="004028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C58" w:rsidRDefault="00A84C58" w:rsidP="004D6D95">
      <w:r>
        <w:separator/>
      </w:r>
    </w:p>
  </w:footnote>
  <w:footnote w:type="continuationSeparator" w:id="0">
    <w:p w:rsidR="00A84C58" w:rsidRDefault="00A84C58" w:rsidP="004D6D95">
      <w:r>
        <w:continuationSeparator/>
      </w:r>
    </w:p>
  </w:footnote>
  <w:footnote w:id="1">
    <w:p w:rsidR="0040280F" w:rsidRPr="00F75272" w:rsidRDefault="0040280F" w:rsidP="004D6D95">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40280F" w:rsidRDefault="0040280F" w:rsidP="004D6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rsidR="0040280F" w:rsidRDefault="0040280F" w:rsidP="004D6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rsidR="0040280F" w:rsidRDefault="0040280F" w:rsidP="004D6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rsidR="0040280F" w:rsidRDefault="0040280F" w:rsidP="004D6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6">
    <w:p w:rsidR="0040280F" w:rsidRDefault="0040280F" w:rsidP="004D6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40280F" w:rsidRDefault="0040280F" w:rsidP="004D6D95">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7">
    <w:p w:rsidR="0040280F" w:rsidRDefault="0040280F" w:rsidP="004D6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412"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718"/>
    </w:tblGrid>
    <w:tr w:rsidR="0040280F" w:rsidRPr="00E84339" w:rsidTr="00E84339">
      <w:trPr>
        <w:trHeight w:val="138"/>
      </w:trPr>
      <w:tc>
        <w:tcPr>
          <w:tcW w:w="2694" w:type="dxa"/>
          <w:vAlign w:val="center"/>
        </w:tcPr>
        <w:p w:rsidR="0040280F" w:rsidRPr="00E84339" w:rsidRDefault="0040280F" w:rsidP="00E84339">
          <w:pPr>
            <w:jc w:val="right"/>
            <w:rPr>
              <w:rFonts w:ascii="Palatino Linotype" w:hAnsi="Palatino Linotype"/>
              <w:b/>
            </w:rPr>
          </w:pPr>
          <w:r w:rsidRPr="00E84339">
            <w:rPr>
              <w:rFonts w:ascii="Palatino Linotype" w:hAnsi="Palatino Linotype"/>
              <w:b/>
            </w:rPr>
            <w:t>Recurso de Revisión:</w:t>
          </w:r>
        </w:p>
      </w:tc>
      <w:tc>
        <w:tcPr>
          <w:tcW w:w="4718" w:type="dxa"/>
          <w:vAlign w:val="center"/>
        </w:tcPr>
        <w:p w:rsidR="0040280F" w:rsidRPr="00E84339" w:rsidRDefault="0040280F" w:rsidP="00E84339">
          <w:pPr>
            <w:pStyle w:val="Encabezado"/>
            <w:ind w:left="-108"/>
            <w:jc w:val="both"/>
            <w:rPr>
              <w:rFonts w:ascii="Palatino Linotype" w:hAnsi="Palatino Linotype"/>
            </w:rPr>
          </w:pPr>
          <w:r w:rsidRPr="00E84339">
            <w:rPr>
              <w:rFonts w:ascii="Palatino Linotype" w:hAnsi="Palatino Linotype" w:cs="Arial"/>
              <w:bCs/>
              <w:lang w:eastAsia="es-MX"/>
            </w:rPr>
            <w:t>04923/INFOEM/IP/RR/2025 y acumulados</w:t>
          </w:r>
        </w:p>
      </w:tc>
    </w:tr>
    <w:tr w:rsidR="0040280F" w:rsidRPr="00E84339" w:rsidTr="00E84339">
      <w:trPr>
        <w:trHeight w:val="321"/>
      </w:trPr>
      <w:tc>
        <w:tcPr>
          <w:tcW w:w="2694" w:type="dxa"/>
          <w:vAlign w:val="center"/>
        </w:tcPr>
        <w:p w:rsidR="0040280F" w:rsidRPr="00E84339" w:rsidRDefault="0040280F" w:rsidP="00E84339">
          <w:pPr>
            <w:jc w:val="right"/>
            <w:rPr>
              <w:rFonts w:ascii="Palatino Linotype" w:hAnsi="Palatino Linotype"/>
              <w:b/>
            </w:rPr>
          </w:pPr>
          <w:r w:rsidRPr="00E84339">
            <w:rPr>
              <w:rFonts w:ascii="Palatino Linotype" w:hAnsi="Palatino Linotype"/>
              <w:b/>
            </w:rPr>
            <w:t>Sujeto Obligado:</w:t>
          </w:r>
        </w:p>
      </w:tc>
      <w:tc>
        <w:tcPr>
          <w:tcW w:w="4718" w:type="dxa"/>
          <w:vAlign w:val="center"/>
        </w:tcPr>
        <w:p w:rsidR="0040280F" w:rsidRPr="00E84339" w:rsidRDefault="0040280F" w:rsidP="00E84339">
          <w:pPr>
            <w:ind w:left="-108"/>
            <w:jc w:val="both"/>
            <w:rPr>
              <w:rFonts w:ascii="Palatino Linotype" w:hAnsi="Palatino Linotype"/>
            </w:rPr>
          </w:pPr>
          <w:r w:rsidRPr="00E84339">
            <w:rPr>
              <w:rFonts w:ascii="Palatino Linotype" w:hAnsi="Palatino Linotype"/>
              <w:bCs/>
            </w:rPr>
            <w:t>Ayuntamiento de Toluca</w:t>
          </w:r>
        </w:p>
      </w:tc>
    </w:tr>
    <w:tr w:rsidR="0040280F" w:rsidRPr="00E84339" w:rsidTr="00E84339">
      <w:trPr>
        <w:trHeight w:val="321"/>
      </w:trPr>
      <w:tc>
        <w:tcPr>
          <w:tcW w:w="2694" w:type="dxa"/>
          <w:vAlign w:val="center"/>
        </w:tcPr>
        <w:p w:rsidR="0040280F" w:rsidRPr="00E84339" w:rsidRDefault="0040280F" w:rsidP="00E84339">
          <w:pPr>
            <w:jc w:val="right"/>
            <w:rPr>
              <w:rFonts w:ascii="Palatino Linotype" w:hAnsi="Palatino Linotype"/>
              <w:b/>
            </w:rPr>
          </w:pPr>
          <w:r w:rsidRPr="00E84339">
            <w:rPr>
              <w:rFonts w:ascii="Palatino Linotype" w:hAnsi="Palatino Linotype"/>
              <w:b/>
            </w:rPr>
            <w:t>Comisionada Ponente:</w:t>
          </w:r>
        </w:p>
      </w:tc>
      <w:tc>
        <w:tcPr>
          <w:tcW w:w="4718" w:type="dxa"/>
          <w:vAlign w:val="center"/>
        </w:tcPr>
        <w:p w:rsidR="0040280F" w:rsidRPr="00E84339" w:rsidRDefault="0040280F" w:rsidP="00E84339">
          <w:pPr>
            <w:pStyle w:val="Encabezado"/>
            <w:ind w:left="-108"/>
            <w:jc w:val="both"/>
            <w:rPr>
              <w:rFonts w:ascii="Palatino Linotype" w:hAnsi="Palatino Linotype"/>
            </w:rPr>
          </w:pPr>
          <w:r w:rsidRPr="00E84339">
            <w:rPr>
              <w:rFonts w:ascii="Palatino Linotype" w:hAnsi="Palatino Linotype"/>
            </w:rPr>
            <w:t>María del Rosario Mejía Ayala</w:t>
          </w:r>
        </w:p>
      </w:tc>
    </w:tr>
  </w:tbl>
  <w:p w:rsidR="0040280F" w:rsidRDefault="0040280F" w:rsidP="004D6D95">
    <w:pPr>
      <w:pStyle w:val="Encabezado"/>
    </w:pPr>
    <w:r>
      <w:rPr>
        <w:rFonts w:ascii="Palatino Linotype" w:hAnsi="Palatino Linotype"/>
        <w:noProof/>
        <w:lang w:val="es-MX" w:eastAsia="es-MX"/>
      </w:rPr>
      <w:drawing>
        <wp:anchor distT="0" distB="0" distL="114300" distR="114300" simplePos="0" relativeHeight="251660288" behindDoc="1" locked="0" layoutInCell="1" allowOverlap="1" wp14:anchorId="5685D5F3" wp14:editId="676DAE7B">
          <wp:simplePos x="0" y="0"/>
          <wp:positionH relativeFrom="margin">
            <wp:align>center</wp:align>
          </wp:positionH>
          <wp:positionV relativeFrom="paragraph">
            <wp:posOffset>-1063469</wp:posOffset>
          </wp:positionV>
          <wp:extent cx="7809876" cy="10165823"/>
          <wp:effectExtent l="0" t="0" r="63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p w:rsidR="0040280F" w:rsidRDefault="004028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544"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4819"/>
    </w:tblGrid>
    <w:tr w:rsidR="0040280F" w:rsidRPr="00E84339" w:rsidTr="00E84339">
      <w:trPr>
        <w:trHeight w:val="138"/>
      </w:trPr>
      <w:tc>
        <w:tcPr>
          <w:tcW w:w="2725" w:type="dxa"/>
          <w:vAlign w:val="center"/>
        </w:tcPr>
        <w:p w:rsidR="0040280F" w:rsidRPr="00E84339" w:rsidRDefault="0040280F" w:rsidP="00E84339">
          <w:pPr>
            <w:ind w:right="-108"/>
            <w:jc w:val="right"/>
            <w:rPr>
              <w:rFonts w:ascii="Palatino Linotype" w:hAnsi="Palatino Linotype"/>
              <w:b/>
            </w:rPr>
          </w:pPr>
          <w:r w:rsidRPr="00E84339">
            <w:rPr>
              <w:rFonts w:ascii="Palatino Linotype" w:hAnsi="Palatino Linotype"/>
              <w:b/>
            </w:rPr>
            <w:t>Recurso de Revisión:</w:t>
          </w:r>
        </w:p>
      </w:tc>
      <w:tc>
        <w:tcPr>
          <w:tcW w:w="4819" w:type="dxa"/>
          <w:vAlign w:val="center"/>
        </w:tcPr>
        <w:p w:rsidR="0040280F" w:rsidRPr="00E84339" w:rsidRDefault="0040280F" w:rsidP="00E84339">
          <w:pPr>
            <w:pStyle w:val="Encabezado"/>
            <w:rPr>
              <w:rFonts w:ascii="Palatino Linotype" w:hAnsi="Palatino Linotype"/>
            </w:rPr>
          </w:pPr>
          <w:r w:rsidRPr="00E84339">
            <w:rPr>
              <w:rFonts w:ascii="Palatino Linotype" w:hAnsi="Palatino Linotype" w:cs="Arial"/>
              <w:bCs/>
              <w:lang w:eastAsia="es-MX"/>
            </w:rPr>
            <w:t>04923/INFOEM/IP/RR/2025 y acumulados</w:t>
          </w:r>
        </w:p>
      </w:tc>
    </w:tr>
    <w:tr w:rsidR="0040280F" w:rsidRPr="00E84339" w:rsidTr="00E84339">
      <w:trPr>
        <w:trHeight w:val="227"/>
      </w:trPr>
      <w:tc>
        <w:tcPr>
          <w:tcW w:w="2725" w:type="dxa"/>
          <w:vAlign w:val="center"/>
        </w:tcPr>
        <w:p w:rsidR="0040280F" w:rsidRPr="00E84339" w:rsidRDefault="0040280F" w:rsidP="00E84339">
          <w:pPr>
            <w:ind w:right="-108"/>
            <w:jc w:val="right"/>
            <w:rPr>
              <w:rFonts w:ascii="Palatino Linotype" w:hAnsi="Palatino Linotype"/>
              <w:b/>
            </w:rPr>
          </w:pPr>
          <w:r w:rsidRPr="00E84339">
            <w:rPr>
              <w:rFonts w:ascii="Palatino Linotype" w:hAnsi="Palatino Linotype"/>
              <w:b/>
            </w:rPr>
            <w:t>Recurrente:</w:t>
          </w:r>
        </w:p>
      </w:tc>
      <w:tc>
        <w:tcPr>
          <w:tcW w:w="4819" w:type="dxa"/>
          <w:vAlign w:val="center"/>
        </w:tcPr>
        <w:p w:rsidR="0040280F" w:rsidRPr="00E84339" w:rsidRDefault="0040280F" w:rsidP="00E84339">
          <w:pPr>
            <w:pStyle w:val="Encabezado"/>
            <w:rPr>
              <w:rFonts w:ascii="Palatino Linotype" w:hAnsi="Palatino Linotype"/>
            </w:rPr>
          </w:pPr>
          <w:r>
            <w:rPr>
              <w:rFonts w:ascii="Palatino Linotype" w:eastAsia="Times New Roman" w:hAnsi="Palatino Linotype" w:cs="Times New Roman"/>
              <w:bCs/>
              <w:color w:val="000000" w:themeColor="text1"/>
            </w:rPr>
            <w:t>XXXX</w:t>
          </w:r>
        </w:p>
      </w:tc>
    </w:tr>
    <w:tr w:rsidR="0040280F" w:rsidRPr="00E84339" w:rsidTr="00E84339">
      <w:trPr>
        <w:trHeight w:val="232"/>
      </w:trPr>
      <w:tc>
        <w:tcPr>
          <w:tcW w:w="2725" w:type="dxa"/>
          <w:vAlign w:val="center"/>
        </w:tcPr>
        <w:p w:rsidR="0040280F" w:rsidRPr="00E84339" w:rsidRDefault="0040280F" w:rsidP="00E84339">
          <w:pPr>
            <w:ind w:right="-108"/>
            <w:jc w:val="right"/>
            <w:rPr>
              <w:rFonts w:ascii="Palatino Linotype" w:hAnsi="Palatino Linotype"/>
              <w:b/>
            </w:rPr>
          </w:pPr>
          <w:r w:rsidRPr="00E84339">
            <w:rPr>
              <w:rFonts w:ascii="Palatino Linotype" w:hAnsi="Palatino Linotype"/>
              <w:b/>
            </w:rPr>
            <w:t>Sujeto Obligado:</w:t>
          </w:r>
        </w:p>
      </w:tc>
      <w:tc>
        <w:tcPr>
          <w:tcW w:w="4819" w:type="dxa"/>
          <w:vAlign w:val="center"/>
        </w:tcPr>
        <w:p w:rsidR="0040280F" w:rsidRPr="00E84339" w:rsidRDefault="0040280F" w:rsidP="00E84339">
          <w:r w:rsidRPr="00E84339">
            <w:rPr>
              <w:rFonts w:ascii="Palatino Linotype" w:hAnsi="Palatino Linotype"/>
              <w:bCs/>
            </w:rPr>
            <w:t>Ayuntamiento de Toluca</w:t>
          </w:r>
        </w:p>
      </w:tc>
    </w:tr>
    <w:tr w:rsidR="0040280F" w:rsidRPr="00E84339" w:rsidTr="00E84339">
      <w:trPr>
        <w:trHeight w:val="320"/>
      </w:trPr>
      <w:tc>
        <w:tcPr>
          <w:tcW w:w="2725" w:type="dxa"/>
          <w:vAlign w:val="center"/>
        </w:tcPr>
        <w:p w:rsidR="0040280F" w:rsidRPr="00E84339" w:rsidRDefault="0040280F" w:rsidP="00E84339">
          <w:pPr>
            <w:ind w:right="-108"/>
            <w:jc w:val="right"/>
            <w:rPr>
              <w:rFonts w:ascii="Palatino Linotype" w:hAnsi="Palatino Linotype"/>
              <w:b/>
            </w:rPr>
          </w:pPr>
          <w:r w:rsidRPr="00E84339">
            <w:rPr>
              <w:rFonts w:ascii="Palatino Linotype" w:hAnsi="Palatino Linotype"/>
              <w:b/>
            </w:rPr>
            <w:t>Comisionada Ponente:</w:t>
          </w:r>
        </w:p>
      </w:tc>
      <w:tc>
        <w:tcPr>
          <w:tcW w:w="4819" w:type="dxa"/>
          <w:vAlign w:val="center"/>
        </w:tcPr>
        <w:p w:rsidR="0040280F" w:rsidRPr="00E84339" w:rsidRDefault="0040280F" w:rsidP="00E84339">
          <w:pPr>
            <w:pStyle w:val="Encabezado"/>
            <w:rPr>
              <w:rFonts w:ascii="Palatino Linotype" w:hAnsi="Palatino Linotype"/>
            </w:rPr>
          </w:pPr>
          <w:r w:rsidRPr="00E84339">
            <w:rPr>
              <w:rFonts w:ascii="Palatino Linotype" w:hAnsi="Palatino Linotype"/>
            </w:rPr>
            <w:t>María del Rosario Mejía Ayala</w:t>
          </w:r>
        </w:p>
      </w:tc>
    </w:tr>
  </w:tbl>
  <w:p w:rsidR="0040280F" w:rsidRDefault="0040280F" w:rsidP="0040280F">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75CB9167" wp14:editId="1D960BC4">
          <wp:simplePos x="0" y="0"/>
          <wp:positionH relativeFrom="page">
            <wp:posOffset>76859</wp:posOffset>
          </wp:positionH>
          <wp:positionV relativeFrom="paragraph">
            <wp:posOffset>-1301283</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C3D"/>
    <w:multiLevelType w:val="hybridMultilevel"/>
    <w:tmpl w:val="CDDE5F2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C8C04C6"/>
    <w:multiLevelType w:val="hybridMultilevel"/>
    <w:tmpl w:val="941A3DC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12D81D23"/>
    <w:multiLevelType w:val="multilevel"/>
    <w:tmpl w:val="E70A0CA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927E11"/>
    <w:multiLevelType w:val="multilevel"/>
    <w:tmpl w:val="70748E70"/>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FB31AF"/>
    <w:multiLevelType w:val="multilevel"/>
    <w:tmpl w:val="8CCAC25C"/>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A133F8"/>
    <w:multiLevelType w:val="multilevel"/>
    <w:tmpl w:val="C400CEB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910C55"/>
    <w:multiLevelType w:val="multilevel"/>
    <w:tmpl w:val="B77CB3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0839D1"/>
    <w:multiLevelType w:val="hybridMultilevel"/>
    <w:tmpl w:val="571AE574"/>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616099"/>
    <w:multiLevelType w:val="hybridMultilevel"/>
    <w:tmpl w:val="E12AB2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15:restartNumberingAfterBreak="0">
    <w:nsid w:val="75785DDD"/>
    <w:multiLevelType w:val="hybridMultilevel"/>
    <w:tmpl w:val="6A3CF6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0136A0"/>
    <w:multiLevelType w:val="hybridMultilevel"/>
    <w:tmpl w:val="E8964A2C"/>
    <w:lvl w:ilvl="0" w:tplc="0F74318E">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8" w15:restartNumberingAfterBreak="0">
    <w:nsid w:val="7DAC0697"/>
    <w:multiLevelType w:val="hybridMultilevel"/>
    <w:tmpl w:val="78745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CB5368"/>
    <w:multiLevelType w:val="hybridMultilevel"/>
    <w:tmpl w:val="E2EADFB2"/>
    <w:lvl w:ilvl="0" w:tplc="5A1A0B60">
      <w:start w:val="1"/>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num w:numId="1">
    <w:abstractNumId w:val="16"/>
  </w:num>
  <w:num w:numId="2">
    <w:abstractNumId w:val="6"/>
  </w:num>
  <w:num w:numId="3">
    <w:abstractNumId w:val="17"/>
  </w:num>
  <w:num w:numId="4">
    <w:abstractNumId w:val="0"/>
  </w:num>
  <w:num w:numId="5">
    <w:abstractNumId w:val="12"/>
  </w:num>
  <w:num w:numId="6">
    <w:abstractNumId w:val="15"/>
  </w:num>
  <w:num w:numId="7">
    <w:abstractNumId w:val="14"/>
  </w:num>
  <w:num w:numId="8">
    <w:abstractNumId w:val="13"/>
  </w:num>
  <w:num w:numId="9">
    <w:abstractNumId w:val="18"/>
  </w:num>
  <w:num w:numId="10">
    <w:abstractNumId w:val="19"/>
  </w:num>
  <w:num w:numId="11">
    <w:abstractNumId w:val="11"/>
  </w:num>
  <w:num w:numId="12">
    <w:abstractNumId w:val="5"/>
  </w:num>
  <w:num w:numId="13">
    <w:abstractNumId w:val="3"/>
  </w:num>
  <w:num w:numId="14">
    <w:abstractNumId w:val="7"/>
  </w:num>
  <w:num w:numId="15">
    <w:abstractNumId w:val="4"/>
  </w:num>
  <w:num w:numId="16">
    <w:abstractNumId w:val="10"/>
  </w:num>
  <w:num w:numId="17">
    <w:abstractNumId w:val="2"/>
  </w:num>
  <w:num w:numId="18">
    <w:abstractNumId w:val="1"/>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D95"/>
    <w:rsid w:val="00021625"/>
    <w:rsid w:val="00040A38"/>
    <w:rsid w:val="0004548E"/>
    <w:rsid w:val="000816EA"/>
    <w:rsid w:val="000E55E1"/>
    <w:rsid w:val="00142FBA"/>
    <w:rsid w:val="00160591"/>
    <w:rsid w:val="00160901"/>
    <w:rsid w:val="00170886"/>
    <w:rsid w:val="00173FA7"/>
    <w:rsid w:val="00180A16"/>
    <w:rsid w:val="001C3D5B"/>
    <w:rsid w:val="001C4C23"/>
    <w:rsid w:val="001C7B22"/>
    <w:rsid w:val="001E1840"/>
    <w:rsid w:val="0022652B"/>
    <w:rsid w:val="0023387D"/>
    <w:rsid w:val="00237B38"/>
    <w:rsid w:val="002508A9"/>
    <w:rsid w:val="002741BE"/>
    <w:rsid w:val="002A1751"/>
    <w:rsid w:val="002B5A1E"/>
    <w:rsid w:val="002C7383"/>
    <w:rsid w:val="002D69DA"/>
    <w:rsid w:val="002E4E12"/>
    <w:rsid w:val="002E6AE5"/>
    <w:rsid w:val="0035171C"/>
    <w:rsid w:val="0035671D"/>
    <w:rsid w:val="00362AFE"/>
    <w:rsid w:val="003B701B"/>
    <w:rsid w:val="003D6CAC"/>
    <w:rsid w:val="003F4E7B"/>
    <w:rsid w:val="0040280F"/>
    <w:rsid w:val="004052F6"/>
    <w:rsid w:val="00415864"/>
    <w:rsid w:val="00421045"/>
    <w:rsid w:val="0044683C"/>
    <w:rsid w:val="0045194D"/>
    <w:rsid w:val="00476098"/>
    <w:rsid w:val="004D6D95"/>
    <w:rsid w:val="0051341F"/>
    <w:rsid w:val="0051774A"/>
    <w:rsid w:val="0053256E"/>
    <w:rsid w:val="00566A3E"/>
    <w:rsid w:val="00566EB3"/>
    <w:rsid w:val="00572D14"/>
    <w:rsid w:val="00574EC9"/>
    <w:rsid w:val="005857A1"/>
    <w:rsid w:val="005976D2"/>
    <w:rsid w:val="005B5A01"/>
    <w:rsid w:val="005C7085"/>
    <w:rsid w:val="005C7227"/>
    <w:rsid w:val="005F39CE"/>
    <w:rsid w:val="00603DEF"/>
    <w:rsid w:val="00607BAB"/>
    <w:rsid w:val="0062000C"/>
    <w:rsid w:val="00637F0E"/>
    <w:rsid w:val="00641F06"/>
    <w:rsid w:val="00662A46"/>
    <w:rsid w:val="006659CA"/>
    <w:rsid w:val="00665D42"/>
    <w:rsid w:val="00687A50"/>
    <w:rsid w:val="00696844"/>
    <w:rsid w:val="006D1DE7"/>
    <w:rsid w:val="006E5895"/>
    <w:rsid w:val="00702968"/>
    <w:rsid w:val="00707483"/>
    <w:rsid w:val="007107EF"/>
    <w:rsid w:val="0075071A"/>
    <w:rsid w:val="007619B1"/>
    <w:rsid w:val="00767AA6"/>
    <w:rsid w:val="007759C3"/>
    <w:rsid w:val="007763EF"/>
    <w:rsid w:val="00795E24"/>
    <w:rsid w:val="007A64F9"/>
    <w:rsid w:val="007C4D95"/>
    <w:rsid w:val="007D01B3"/>
    <w:rsid w:val="007D257A"/>
    <w:rsid w:val="007E7D41"/>
    <w:rsid w:val="007F2E6C"/>
    <w:rsid w:val="00800DE2"/>
    <w:rsid w:val="00815AC7"/>
    <w:rsid w:val="00827FF8"/>
    <w:rsid w:val="008316D5"/>
    <w:rsid w:val="008665E3"/>
    <w:rsid w:val="00873EFB"/>
    <w:rsid w:val="00873FF9"/>
    <w:rsid w:val="00880F1B"/>
    <w:rsid w:val="008C3827"/>
    <w:rsid w:val="008D2AB7"/>
    <w:rsid w:val="008D634F"/>
    <w:rsid w:val="008E3225"/>
    <w:rsid w:val="008E3CEB"/>
    <w:rsid w:val="008E45F8"/>
    <w:rsid w:val="008E5735"/>
    <w:rsid w:val="008F1FB2"/>
    <w:rsid w:val="00914A7F"/>
    <w:rsid w:val="00922267"/>
    <w:rsid w:val="009262C7"/>
    <w:rsid w:val="00930D35"/>
    <w:rsid w:val="00951976"/>
    <w:rsid w:val="00960538"/>
    <w:rsid w:val="0099452B"/>
    <w:rsid w:val="00997AFE"/>
    <w:rsid w:val="009C6960"/>
    <w:rsid w:val="009C73E4"/>
    <w:rsid w:val="009D61B3"/>
    <w:rsid w:val="00A152DE"/>
    <w:rsid w:val="00A26932"/>
    <w:rsid w:val="00A35104"/>
    <w:rsid w:val="00A638F9"/>
    <w:rsid w:val="00A84C58"/>
    <w:rsid w:val="00AA3749"/>
    <w:rsid w:val="00AA39E9"/>
    <w:rsid w:val="00AB4DD0"/>
    <w:rsid w:val="00AB613A"/>
    <w:rsid w:val="00AB6EF1"/>
    <w:rsid w:val="00AD163E"/>
    <w:rsid w:val="00AE5ECD"/>
    <w:rsid w:val="00B07815"/>
    <w:rsid w:val="00B17C2C"/>
    <w:rsid w:val="00B24DED"/>
    <w:rsid w:val="00B34387"/>
    <w:rsid w:val="00B50B20"/>
    <w:rsid w:val="00B73146"/>
    <w:rsid w:val="00B74103"/>
    <w:rsid w:val="00B83B5D"/>
    <w:rsid w:val="00B86CED"/>
    <w:rsid w:val="00B9361F"/>
    <w:rsid w:val="00BC5EE6"/>
    <w:rsid w:val="00C00B51"/>
    <w:rsid w:val="00C058FC"/>
    <w:rsid w:val="00C07324"/>
    <w:rsid w:val="00C155BF"/>
    <w:rsid w:val="00C1639C"/>
    <w:rsid w:val="00C20822"/>
    <w:rsid w:val="00C2796F"/>
    <w:rsid w:val="00C351A8"/>
    <w:rsid w:val="00C436A8"/>
    <w:rsid w:val="00C57935"/>
    <w:rsid w:val="00C62A76"/>
    <w:rsid w:val="00C77582"/>
    <w:rsid w:val="00C914FC"/>
    <w:rsid w:val="00C9240B"/>
    <w:rsid w:val="00CA0AAC"/>
    <w:rsid w:val="00CB1328"/>
    <w:rsid w:val="00CB19FE"/>
    <w:rsid w:val="00CB1D91"/>
    <w:rsid w:val="00CE223E"/>
    <w:rsid w:val="00CF24C3"/>
    <w:rsid w:val="00CF2F09"/>
    <w:rsid w:val="00D037C9"/>
    <w:rsid w:val="00D3384E"/>
    <w:rsid w:val="00D47917"/>
    <w:rsid w:val="00D70DF7"/>
    <w:rsid w:val="00DB1B96"/>
    <w:rsid w:val="00DB46E2"/>
    <w:rsid w:val="00DC10E3"/>
    <w:rsid w:val="00DC163C"/>
    <w:rsid w:val="00DC4F8A"/>
    <w:rsid w:val="00DC5C70"/>
    <w:rsid w:val="00DD0620"/>
    <w:rsid w:val="00DD5836"/>
    <w:rsid w:val="00E0043D"/>
    <w:rsid w:val="00E11616"/>
    <w:rsid w:val="00E2005E"/>
    <w:rsid w:val="00E26BFF"/>
    <w:rsid w:val="00E35D83"/>
    <w:rsid w:val="00E3610F"/>
    <w:rsid w:val="00E43F2D"/>
    <w:rsid w:val="00E4430F"/>
    <w:rsid w:val="00E72F67"/>
    <w:rsid w:val="00E74A4B"/>
    <w:rsid w:val="00E84339"/>
    <w:rsid w:val="00E84DA0"/>
    <w:rsid w:val="00E939D6"/>
    <w:rsid w:val="00E94A96"/>
    <w:rsid w:val="00EC5115"/>
    <w:rsid w:val="00ED0ED9"/>
    <w:rsid w:val="00ED14E0"/>
    <w:rsid w:val="00EE2FF4"/>
    <w:rsid w:val="00EF3D59"/>
    <w:rsid w:val="00F15D65"/>
    <w:rsid w:val="00F7000A"/>
    <w:rsid w:val="00F9326F"/>
    <w:rsid w:val="00F97C68"/>
    <w:rsid w:val="00FA3160"/>
    <w:rsid w:val="00FD2B03"/>
    <w:rsid w:val="00FD4291"/>
    <w:rsid w:val="00FE23AF"/>
    <w:rsid w:val="00FE4DEC"/>
    <w:rsid w:val="00FF71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EBBA75-5DD6-412A-BC0F-B88FC48C1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D9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4D6D9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4D6D95"/>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6D95"/>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sid w:val="004D6D95"/>
    <w:rPr>
      <w:rFonts w:ascii="Palatino Linotype" w:eastAsiaTheme="majorEastAsia" w:hAnsi="Palatino Linotype" w:cstheme="majorBidi"/>
      <w:b/>
      <w:color w:val="000000" w:themeColor="text1"/>
      <w:sz w:val="24"/>
      <w:szCs w:val="26"/>
    </w:rPr>
  </w:style>
  <w:style w:type="paragraph" w:styleId="Encabezado">
    <w:name w:val="header"/>
    <w:basedOn w:val="Normal"/>
    <w:link w:val="EncabezadoCar"/>
    <w:uiPriority w:val="99"/>
    <w:unhideWhenUsed/>
    <w:rsid w:val="004D6D95"/>
    <w:pPr>
      <w:tabs>
        <w:tab w:val="center" w:pos="4252"/>
        <w:tab w:val="right" w:pos="8504"/>
      </w:tabs>
    </w:pPr>
  </w:style>
  <w:style w:type="character" w:customStyle="1" w:styleId="EncabezadoCar">
    <w:name w:val="Encabezado Car"/>
    <w:basedOn w:val="Fuentedeprrafopredeter"/>
    <w:link w:val="Encabezado"/>
    <w:uiPriority w:val="99"/>
    <w:rsid w:val="004D6D95"/>
    <w:rPr>
      <w:rFonts w:eastAsiaTheme="minorEastAsia"/>
      <w:sz w:val="24"/>
      <w:szCs w:val="24"/>
      <w:lang w:val="es-ES_tradnl" w:eastAsia="es-ES"/>
    </w:rPr>
  </w:style>
  <w:style w:type="paragraph" w:styleId="Piedepgina">
    <w:name w:val="footer"/>
    <w:basedOn w:val="Normal"/>
    <w:link w:val="PiedepginaCar"/>
    <w:uiPriority w:val="99"/>
    <w:unhideWhenUsed/>
    <w:rsid w:val="004D6D95"/>
    <w:pPr>
      <w:tabs>
        <w:tab w:val="center" w:pos="4252"/>
        <w:tab w:val="right" w:pos="8504"/>
      </w:tabs>
    </w:pPr>
  </w:style>
  <w:style w:type="character" w:customStyle="1" w:styleId="PiedepginaCar">
    <w:name w:val="Pie de página Car"/>
    <w:basedOn w:val="Fuentedeprrafopredeter"/>
    <w:link w:val="Piedepgina"/>
    <w:uiPriority w:val="99"/>
    <w:rsid w:val="004D6D95"/>
    <w:rPr>
      <w:rFonts w:eastAsiaTheme="minorEastAsia"/>
      <w:sz w:val="24"/>
      <w:szCs w:val="24"/>
      <w:lang w:val="es-ES_tradnl" w:eastAsia="es-ES"/>
    </w:rPr>
  </w:style>
  <w:style w:type="table" w:styleId="Tablaconcuadrcula">
    <w:name w:val="Table Grid"/>
    <w:basedOn w:val="Tablanormal"/>
    <w:uiPriority w:val="59"/>
    <w:rsid w:val="004D6D9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D6D9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D6D95"/>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D6D95"/>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D6D9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D6D95"/>
    <w:rPr>
      <w:vertAlign w:val="superscript"/>
    </w:rPr>
  </w:style>
  <w:style w:type="paragraph" w:styleId="Sangradetextonormal">
    <w:name w:val="Body Text Indent"/>
    <w:basedOn w:val="Normal"/>
    <w:link w:val="SangradetextonormalCar"/>
    <w:uiPriority w:val="99"/>
    <w:semiHidden/>
    <w:unhideWhenUsed/>
    <w:rsid w:val="004D6D95"/>
    <w:pPr>
      <w:spacing w:after="120"/>
      <w:ind w:left="283"/>
    </w:pPr>
  </w:style>
  <w:style w:type="character" w:customStyle="1" w:styleId="SangradetextonormalCar">
    <w:name w:val="Sangría de texto normal Car"/>
    <w:basedOn w:val="Fuentedeprrafopredeter"/>
    <w:link w:val="Sangradetextonormal"/>
    <w:uiPriority w:val="99"/>
    <w:semiHidden/>
    <w:rsid w:val="004D6D95"/>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4D6D95"/>
    <w:pPr>
      <w:spacing w:after="0"/>
      <w:ind w:left="360" w:firstLine="360"/>
    </w:pPr>
    <w:rPr>
      <w:rFonts w:ascii="Times New Roman" w:eastAsia="Times New Roman" w:hAnsi="Times New Roman" w:cs="Times New Roman"/>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4D6D95"/>
    <w:rPr>
      <w:rFonts w:ascii="Times New Roman" w:eastAsia="Times New Roman" w:hAnsi="Times New Roman" w:cs="Times New Roman"/>
      <w:sz w:val="24"/>
      <w:szCs w:val="24"/>
      <w:lang w:val="es-ES_tradnl" w:eastAsia="es-MX"/>
    </w:rPr>
  </w:style>
  <w:style w:type="character" w:styleId="Hipervnculo">
    <w:name w:val="Hyperlink"/>
    <w:basedOn w:val="Fuentedeprrafopredeter"/>
    <w:uiPriority w:val="99"/>
    <w:unhideWhenUsed/>
    <w:rsid w:val="004D6D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98246">
      <w:bodyDiv w:val="1"/>
      <w:marLeft w:val="0"/>
      <w:marRight w:val="0"/>
      <w:marTop w:val="0"/>
      <w:marBottom w:val="0"/>
      <w:divBdr>
        <w:top w:val="none" w:sz="0" w:space="0" w:color="auto"/>
        <w:left w:val="none" w:sz="0" w:space="0" w:color="auto"/>
        <w:bottom w:val="none" w:sz="0" w:space="0" w:color="auto"/>
        <w:right w:val="none" w:sz="0" w:space="0" w:color="auto"/>
      </w:divBdr>
    </w:div>
    <w:div w:id="596907103">
      <w:bodyDiv w:val="1"/>
      <w:marLeft w:val="0"/>
      <w:marRight w:val="0"/>
      <w:marTop w:val="0"/>
      <w:marBottom w:val="0"/>
      <w:divBdr>
        <w:top w:val="none" w:sz="0" w:space="0" w:color="auto"/>
        <w:left w:val="none" w:sz="0" w:space="0" w:color="auto"/>
        <w:bottom w:val="none" w:sz="0" w:space="0" w:color="auto"/>
        <w:right w:val="none" w:sz="0" w:space="0" w:color="auto"/>
      </w:divBdr>
    </w:div>
    <w:div w:id="688797869">
      <w:bodyDiv w:val="1"/>
      <w:marLeft w:val="0"/>
      <w:marRight w:val="0"/>
      <w:marTop w:val="0"/>
      <w:marBottom w:val="0"/>
      <w:divBdr>
        <w:top w:val="none" w:sz="0" w:space="0" w:color="auto"/>
        <w:left w:val="none" w:sz="0" w:space="0" w:color="auto"/>
        <w:bottom w:val="none" w:sz="0" w:space="0" w:color="auto"/>
        <w:right w:val="none" w:sz="0" w:space="0" w:color="auto"/>
      </w:divBdr>
    </w:div>
    <w:div w:id="874469360">
      <w:bodyDiv w:val="1"/>
      <w:marLeft w:val="0"/>
      <w:marRight w:val="0"/>
      <w:marTop w:val="0"/>
      <w:marBottom w:val="0"/>
      <w:divBdr>
        <w:top w:val="none" w:sz="0" w:space="0" w:color="auto"/>
        <w:left w:val="none" w:sz="0" w:space="0" w:color="auto"/>
        <w:bottom w:val="none" w:sz="0" w:space="0" w:color="auto"/>
        <w:right w:val="none" w:sz="0" w:space="0" w:color="auto"/>
      </w:divBdr>
    </w:div>
    <w:div w:id="968635158">
      <w:bodyDiv w:val="1"/>
      <w:marLeft w:val="0"/>
      <w:marRight w:val="0"/>
      <w:marTop w:val="0"/>
      <w:marBottom w:val="0"/>
      <w:divBdr>
        <w:top w:val="none" w:sz="0" w:space="0" w:color="auto"/>
        <w:left w:val="none" w:sz="0" w:space="0" w:color="auto"/>
        <w:bottom w:val="none" w:sz="0" w:space="0" w:color="auto"/>
        <w:right w:val="none" w:sz="0" w:space="0" w:color="auto"/>
      </w:divBdr>
    </w:div>
    <w:div w:id="974916615">
      <w:bodyDiv w:val="1"/>
      <w:marLeft w:val="0"/>
      <w:marRight w:val="0"/>
      <w:marTop w:val="0"/>
      <w:marBottom w:val="0"/>
      <w:divBdr>
        <w:top w:val="none" w:sz="0" w:space="0" w:color="auto"/>
        <w:left w:val="none" w:sz="0" w:space="0" w:color="auto"/>
        <w:bottom w:val="none" w:sz="0" w:space="0" w:color="auto"/>
        <w:right w:val="none" w:sz="0" w:space="0" w:color="auto"/>
      </w:divBdr>
    </w:div>
    <w:div w:id="1096287754">
      <w:bodyDiv w:val="1"/>
      <w:marLeft w:val="0"/>
      <w:marRight w:val="0"/>
      <w:marTop w:val="0"/>
      <w:marBottom w:val="0"/>
      <w:divBdr>
        <w:top w:val="none" w:sz="0" w:space="0" w:color="auto"/>
        <w:left w:val="none" w:sz="0" w:space="0" w:color="auto"/>
        <w:bottom w:val="none" w:sz="0" w:space="0" w:color="auto"/>
        <w:right w:val="none" w:sz="0" w:space="0" w:color="auto"/>
      </w:divBdr>
    </w:div>
    <w:div w:id="1192256794">
      <w:bodyDiv w:val="1"/>
      <w:marLeft w:val="0"/>
      <w:marRight w:val="0"/>
      <w:marTop w:val="0"/>
      <w:marBottom w:val="0"/>
      <w:divBdr>
        <w:top w:val="none" w:sz="0" w:space="0" w:color="auto"/>
        <w:left w:val="none" w:sz="0" w:space="0" w:color="auto"/>
        <w:bottom w:val="none" w:sz="0" w:space="0" w:color="auto"/>
        <w:right w:val="none" w:sz="0" w:space="0" w:color="auto"/>
      </w:divBdr>
    </w:div>
    <w:div w:id="1199855280">
      <w:bodyDiv w:val="1"/>
      <w:marLeft w:val="0"/>
      <w:marRight w:val="0"/>
      <w:marTop w:val="0"/>
      <w:marBottom w:val="0"/>
      <w:divBdr>
        <w:top w:val="none" w:sz="0" w:space="0" w:color="auto"/>
        <w:left w:val="none" w:sz="0" w:space="0" w:color="auto"/>
        <w:bottom w:val="none" w:sz="0" w:space="0" w:color="auto"/>
        <w:right w:val="none" w:sz="0" w:space="0" w:color="auto"/>
      </w:divBdr>
    </w:div>
    <w:div w:id="1212225623">
      <w:bodyDiv w:val="1"/>
      <w:marLeft w:val="0"/>
      <w:marRight w:val="0"/>
      <w:marTop w:val="0"/>
      <w:marBottom w:val="0"/>
      <w:divBdr>
        <w:top w:val="none" w:sz="0" w:space="0" w:color="auto"/>
        <w:left w:val="none" w:sz="0" w:space="0" w:color="auto"/>
        <w:bottom w:val="none" w:sz="0" w:space="0" w:color="auto"/>
        <w:right w:val="none" w:sz="0" w:space="0" w:color="auto"/>
      </w:divBdr>
    </w:div>
    <w:div w:id="1269584404">
      <w:bodyDiv w:val="1"/>
      <w:marLeft w:val="0"/>
      <w:marRight w:val="0"/>
      <w:marTop w:val="0"/>
      <w:marBottom w:val="0"/>
      <w:divBdr>
        <w:top w:val="none" w:sz="0" w:space="0" w:color="auto"/>
        <w:left w:val="none" w:sz="0" w:space="0" w:color="auto"/>
        <w:bottom w:val="none" w:sz="0" w:space="0" w:color="auto"/>
        <w:right w:val="none" w:sz="0" w:space="0" w:color="auto"/>
      </w:divBdr>
    </w:div>
    <w:div w:id="1368292963">
      <w:bodyDiv w:val="1"/>
      <w:marLeft w:val="0"/>
      <w:marRight w:val="0"/>
      <w:marTop w:val="0"/>
      <w:marBottom w:val="0"/>
      <w:divBdr>
        <w:top w:val="none" w:sz="0" w:space="0" w:color="auto"/>
        <w:left w:val="none" w:sz="0" w:space="0" w:color="auto"/>
        <w:bottom w:val="none" w:sz="0" w:space="0" w:color="auto"/>
        <w:right w:val="none" w:sz="0" w:space="0" w:color="auto"/>
      </w:divBdr>
    </w:div>
    <w:div w:id="1482237956">
      <w:bodyDiv w:val="1"/>
      <w:marLeft w:val="0"/>
      <w:marRight w:val="0"/>
      <w:marTop w:val="0"/>
      <w:marBottom w:val="0"/>
      <w:divBdr>
        <w:top w:val="none" w:sz="0" w:space="0" w:color="auto"/>
        <w:left w:val="none" w:sz="0" w:space="0" w:color="auto"/>
        <w:bottom w:val="none" w:sz="0" w:space="0" w:color="auto"/>
        <w:right w:val="none" w:sz="0" w:space="0" w:color="auto"/>
      </w:divBdr>
    </w:div>
    <w:div w:id="1497112704">
      <w:bodyDiv w:val="1"/>
      <w:marLeft w:val="0"/>
      <w:marRight w:val="0"/>
      <w:marTop w:val="0"/>
      <w:marBottom w:val="0"/>
      <w:divBdr>
        <w:top w:val="none" w:sz="0" w:space="0" w:color="auto"/>
        <w:left w:val="none" w:sz="0" w:space="0" w:color="auto"/>
        <w:bottom w:val="none" w:sz="0" w:space="0" w:color="auto"/>
        <w:right w:val="none" w:sz="0" w:space="0" w:color="auto"/>
      </w:divBdr>
    </w:div>
    <w:div w:id="1643080435">
      <w:bodyDiv w:val="1"/>
      <w:marLeft w:val="0"/>
      <w:marRight w:val="0"/>
      <w:marTop w:val="0"/>
      <w:marBottom w:val="0"/>
      <w:divBdr>
        <w:top w:val="none" w:sz="0" w:space="0" w:color="auto"/>
        <w:left w:val="none" w:sz="0" w:space="0" w:color="auto"/>
        <w:bottom w:val="none" w:sz="0" w:space="0" w:color="auto"/>
        <w:right w:val="none" w:sz="0" w:space="0" w:color="auto"/>
      </w:divBdr>
    </w:div>
    <w:div w:id="1766801327">
      <w:bodyDiv w:val="1"/>
      <w:marLeft w:val="0"/>
      <w:marRight w:val="0"/>
      <w:marTop w:val="0"/>
      <w:marBottom w:val="0"/>
      <w:divBdr>
        <w:top w:val="none" w:sz="0" w:space="0" w:color="auto"/>
        <w:left w:val="none" w:sz="0" w:space="0" w:color="auto"/>
        <w:bottom w:val="none" w:sz="0" w:space="0" w:color="auto"/>
        <w:right w:val="none" w:sz="0" w:space="0" w:color="auto"/>
      </w:divBdr>
    </w:div>
    <w:div w:id="1782844852">
      <w:bodyDiv w:val="1"/>
      <w:marLeft w:val="0"/>
      <w:marRight w:val="0"/>
      <w:marTop w:val="0"/>
      <w:marBottom w:val="0"/>
      <w:divBdr>
        <w:top w:val="none" w:sz="0" w:space="0" w:color="auto"/>
        <w:left w:val="none" w:sz="0" w:space="0" w:color="auto"/>
        <w:bottom w:val="none" w:sz="0" w:space="0" w:color="auto"/>
        <w:right w:val="none" w:sz="0" w:space="0" w:color="auto"/>
      </w:divBdr>
    </w:div>
    <w:div w:id="1809594341">
      <w:bodyDiv w:val="1"/>
      <w:marLeft w:val="0"/>
      <w:marRight w:val="0"/>
      <w:marTop w:val="0"/>
      <w:marBottom w:val="0"/>
      <w:divBdr>
        <w:top w:val="none" w:sz="0" w:space="0" w:color="auto"/>
        <w:left w:val="none" w:sz="0" w:space="0" w:color="auto"/>
        <w:bottom w:val="none" w:sz="0" w:space="0" w:color="auto"/>
        <w:right w:val="none" w:sz="0" w:space="0" w:color="auto"/>
      </w:divBdr>
    </w:div>
    <w:div w:id="1935242713">
      <w:bodyDiv w:val="1"/>
      <w:marLeft w:val="0"/>
      <w:marRight w:val="0"/>
      <w:marTop w:val="0"/>
      <w:marBottom w:val="0"/>
      <w:divBdr>
        <w:top w:val="none" w:sz="0" w:space="0" w:color="auto"/>
        <w:left w:val="none" w:sz="0" w:space="0" w:color="auto"/>
        <w:bottom w:val="none" w:sz="0" w:space="0" w:color="auto"/>
        <w:right w:val="none" w:sz="0" w:space="0" w:color="auto"/>
      </w:divBdr>
    </w:div>
    <w:div w:id="2020766574">
      <w:bodyDiv w:val="1"/>
      <w:marLeft w:val="0"/>
      <w:marRight w:val="0"/>
      <w:marTop w:val="0"/>
      <w:marBottom w:val="0"/>
      <w:divBdr>
        <w:top w:val="none" w:sz="0" w:space="0" w:color="auto"/>
        <w:left w:val="none" w:sz="0" w:space="0" w:color="auto"/>
        <w:bottom w:val="none" w:sz="0" w:space="0" w:color="auto"/>
        <w:right w:val="none" w:sz="0" w:space="0" w:color="auto"/>
      </w:divBdr>
    </w:div>
    <w:div w:id="206845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AB25F-2D45-4638-941F-2BA3AED0C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141</Pages>
  <Words>36482</Words>
  <Characters>200655</Characters>
  <Application>Microsoft Office Word</Application>
  <DocSecurity>0</DocSecurity>
  <Lines>1672</Lines>
  <Paragraphs>473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2025-06-20T17:13:00Z</cp:lastPrinted>
  <dcterms:created xsi:type="dcterms:W3CDTF">2025-06-16T20:15:00Z</dcterms:created>
  <dcterms:modified xsi:type="dcterms:W3CDTF">2025-06-25T18:14:00Z</dcterms:modified>
</cp:coreProperties>
</file>