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06DA81" w14:textId="05DD98DB" w:rsidR="00D747E4" w:rsidRPr="00113B3E" w:rsidRDefault="00210776">
      <w:pP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07349" w:rsidRPr="00113B3E">
        <w:rPr>
          <w:rFonts w:ascii="Palatino Linotype" w:eastAsia="Palatino Linotype" w:hAnsi="Palatino Linotype" w:cs="Palatino Linotype"/>
          <w:b/>
        </w:rPr>
        <w:t>cinco de noviembre</w:t>
      </w:r>
      <w:r w:rsidR="00CC7302" w:rsidRPr="00113B3E">
        <w:rPr>
          <w:rFonts w:ascii="Palatino Linotype" w:eastAsia="Palatino Linotype" w:hAnsi="Palatino Linotype" w:cs="Palatino Linotype"/>
          <w:b/>
        </w:rPr>
        <w:t xml:space="preserve"> </w:t>
      </w:r>
      <w:r w:rsidR="00AE23E6" w:rsidRPr="00113B3E">
        <w:rPr>
          <w:rFonts w:ascii="Palatino Linotype" w:eastAsia="Palatino Linotype" w:hAnsi="Palatino Linotype" w:cs="Palatino Linotype"/>
          <w:b/>
        </w:rPr>
        <w:t>de dos mil veinticinco</w:t>
      </w:r>
      <w:r w:rsidRPr="00113B3E">
        <w:rPr>
          <w:rFonts w:ascii="Palatino Linotype" w:eastAsia="Palatino Linotype" w:hAnsi="Palatino Linotype" w:cs="Palatino Linotype"/>
        </w:rPr>
        <w:t>.</w:t>
      </w:r>
    </w:p>
    <w:p w14:paraId="2EF97742" w14:textId="77777777" w:rsidR="00D747E4" w:rsidRPr="00113B3E" w:rsidRDefault="00D747E4">
      <w:pPr>
        <w:spacing w:after="0" w:line="360" w:lineRule="auto"/>
        <w:jc w:val="both"/>
        <w:rPr>
          <w:rFonts w:ascii="Palatino Linotype" w:eastAsia="Palatino Linotype" w:hAnsi="Palatino Linotype" w:cs="Palatino Linotype"/>
        </w:rPr>
      </w:pPr>
    </w:p>
    <w:p w14:paraId="3360E423" w14:textId="3D42EDB6" w:rsidR="00D747E4" w:rsidRPr="00113B3E" w:rsidRDefault="00210776">
      <w:pPr>
        <w:spacing w:after="0" w:line="360" w:lineRule="auto"/>
        <w:ind w:right="-112"/>
        <w:jc w:val="both"/>
        <w:rPr>
          <w:rFonts w:ascii="Palatino Linotype" w:eastAsia="Palatino Linotype" w:hAnsi="Palatino Linotype" w:cs="Palatino Linotype"/>
        </w:rPr>
      </w:pPr>
      <w:bookmarkStart w:id="0" w:name="_heading=h.30j0zll" w:colFirst="0" w:colLast="0"/>
      <w:bookmarkEnd w:id="0"/>
      <w:r w:rsidRPr="00113B3E">
        <w:rPr>
          <w:rFonts w:ascii="Palatino Linotype" w:eastAsia="Palatino Linotype" w:hAnsi="Palatino Linotype" w:cs="Palatino Linotype"/>
          <w:b/>
        </w:rPr>
        <w:t xml:space="preserve">VISTOS </w:t>
      </w:r>
      <w:r w:rsidRPr="00113B3E">
        <w:rPr>
          <w:rFonts w:ascii="Palatino Linotype" w:eastAsia="Palatino Linotype" w:hAnsi="Palatino Linotype" w:cs="Palatino Linotype"/>
        </w:rPr>
        <w:t xml:space="preserve">los expedientes relativos a los recursos de revisión </w:t>
      </w:r>
      <w:r w:rsidR="00707349" w:rsidRPr="00113B3E">
        <w:rPr>
          <w:rFonts w:ascii="Palatino Linotype" w:eastAsia="Palatino Linotype" w:hAnsi="Palatino Linotype" w:cs="Palatino Linotype"/>
          <w:b/>
        </w:rPr>
        <w:t>11359</w:t>
      </w:r>
      <w:r w:rsidRPr="00113B3E">
        <w:rPr>
          <w:rFonts w:ascii="Palatino Linotype" w:eastAsia="Palatino Linotype" w:hAnsi="Palatino Linotype" w:cs="Palatino Linotype"/>
          <w:b/>
        </w:rPr>
        <w:t>/INFOEM/IP/RR/2025</w:t>
      </w:r>
      <w:r w:rsidR="002953C6" w:rsidRPr="00113B3E">
        <w:rPr>
          <w:rFonts w:ascii="Palatino Linotype" w:eastAsia="Palatino Linotype" w:hAnsi="Palatino Linotype" w:cs="Palatino Linotype"/>
          <w:b/>
        </w:rPr>
        <w:t xml:space="preserve"> </w:t>
      </w:r>
      <w:r w:rsidR="000D09B4" w:rsidRPr="00113B3E">
        <w:rPr>
          <w:rFonts w:ascii="Palatino Linotype" w:eastAsia="Palatino Linotype" w:hAnsi="Palatino Linotype" w:cs="Palatino Linotype"/>
          <w:b/>
        </w:rPr>
        <w:t>y</w:t>
      </w:r>
      <w:r w:rsidR="00112292" w:rsidRPr="00113B3E">
        <w:rPr>
          <w:rFonts w:ascii="Palatino Linotype" w:eastAsia="Palatino Linotype" w:hAnsi="Palatino Linotype" w:cs="Palatino Linotype"/>
          <w:b/>
        </w:rPr>
        <w:t xml:space="preserve"> </w:t>
      </w:r>
      <w:r w:rsidR="00707349" w:rsidRPr="00113B3E">
        <w:rPr>
          <w:rFonts w:ascii="Palatino Linotype" w:eastAsia="Palatino Linotype" w:hAnsi="Palatino Linotype" w:cs="Palatino Linotype"/>
          <w:b/>
        </w:rPr>
        <w:t>11360</w:t>
      </w:r>
      <w:r w:rsidR="000D09B4" w:rsidRPr="00113B3E">
        <w:rPr>
          <w:rFonts w:ascii="Palatino Linotype" w:eastAsia="Palatino Linotype" w:hAnsi="Palatino Linotype" w:cs="Palatino Linotype"/>
          <w:b/>
        </w:rPr>
        <w:t>/INFOEM/IP/RR/2025</w:t>
      </w:r>
      <w:r w:rsidR="00112292" w:rsidRPr="00113B3E">
        <w:rPr>
          <w:rFonts w:ascii="Palatino Linotype" w:eastAsia="Palatino Linotype" w:hAnsi="Palatino Linotype" w:cs="Palatino Linotype"/>
          <w:b/>
        </w:rPr>
        <w:t xml:space="preserve"> </w:t>
      </w:r>
      <w:r w:rsidRPr="00113B3E">
        <w:rPr>
          <w:rFonts w:ascii="Palatino Linotype" w:eastAsia="Palatino Linotype" w:hAnsi="Palatino Linotype" w:cs="Palatino Linotype"/>
          <w:b/>
        </w:rPr>
        <w:t>acumulado</w:t>
      </w:r>
      <w:r w:rsidR="00E8750E" w:rsidRPr="00113B3E">
        <w:rPr>
          <w:rFonts w:ascii="Palatino Linotype" w:eastAsia="Palatino Linotype" w:hAnsi="Palatino Linotype" w:cs="Palatino Linotype"/>
          <w:b/>
        </w:rPr>
        <w:t>s</w:t>
      </w:r>
      <w:r w:rsidRPr="00113B3E">
        <w:rPr>
          <w:rFonts w:ascii="Palatino Linotype" w:eastAsia="Palatino Linotype" w:hAnsi="Palatino Linotype" w:cs="Palatino Linotype"/>
          <w:b/>
        </w:rPr>
        <w:t>,</w:t>
      </w:r>
      <w:r w:rsidRPr="00113B3E">
        <w:rPr>
          <w:rFonts w:ascii="Palatino Linotype" w:eastAsia="Palatino Linotype" w:hAnsi="Palatino Linotype" w:cs="Palatino Linotype"/>
        </w:rPr>
        <w:t xml:space="preserve"> interpuestos por</w:t>
      </w:r>
      <w:r w:rsidRPr="00113B3E">
        <w:rPr>
          <w:rFonts w:ascii="Palatino Linotype" w:eastAsia="Palatino Linotype" w:hAnsi="Palatino Linotype" w:cs="Palatino Linotype"/>
          <w:b/>
        </w:rPr>
        <w:t xml:space="preserve"> </w:t>
      </w:r>
      <w:r w:rsidR="008D5523" w:rsidRPr="008D5523">
        <w:rPr>
          <w:rFonts w:ascii="Palatino Linotype" w:eastAsia="Palatino Linotype" w:hAnsi="Palatino Linotype" w:cs="Palatino Linotype"/>
          <w:b/>
        </w:rPr>
        <w:t>XXXXXXX XXXXXX</w:t>
      </w:r>
      <w:r w:rsidRPr="008D5523">
        <w:rPr>
          <w:rFonts w:ascii="Palatino Linotype" w:eastAsia="Palatino Linotype" w:hAnsi="Palatino Linotype" w:cs="Palatino Linotype"/>
          <w:b/>
        </w:rPr>
        <w:t>,</w:t>
      </w:r>
      <w:bookmarkStart w:id="1" w:name="_GoBack"/>
      <w:bookmarkEnd w:id="1"/>
      <w:r w:rsidRPr="00113B3E">
        <w:rPr>
          <w:rFonts w:ascii="Palatino Linotype" w:eastAsia="Palatino Linotype" w:hAnsi="Palatino Linotype" w:cs="Palatino Linotype"/>
          <w:b/>
        </w:rPr>
        <w:t xml:space="preserve"> </w:t>
      </w:r>
      <w:r w:rsidRPr="00113B3E">
        <w:rPr>
          <w:rFonts w:ascii="Palatino Linotype" w:eastAsia="Palatino Linotype" w:hAnsi="Palatino Linotype" w:cs="Palatino Linotype"/>
        </w:rPr>
        <w:t xml:space="preserve">en lo sucesivo la parte </w:t>
      </w:r>
      <w:r w:rsidRPr="00113B3E">
        <w:rPr>
          <w:rFonts w:ascii="Palatino Linotype" w:eastAsia="Palatino Linotype" w:hAnsi="Palatino Linotype" w:cs="Palatino Linotype"/>
          <w:b/>
        </w:rPr>
        <w:t>Recurrente</w:t>
      </w:r>
      <w:r w:rsidRPr="00113B3E">
        <w:rPr>
          <w:rFonts w:ascii="Palatino Linotype" w:eastAsia="Palatino Linotype" w:hAnsi="Palatino Linotype" w:cs="Palatino Linotype"/>
        </w:rPr>
        <w:t>, en contra de las respuesta</w:t>
      </w:r>
      <w:r w:rsidR="00D74242" w:rsidRPr="00113B3E">
        <w:rPr>
          <w:rFonts w:ascii="Palatino Linotype" w:eastAsia="Palatino Linotype" w:hAnsi="Palatino Linotype" w:cs="Palatino Linotype"/>
        </w:rPr>
        <w:t>s</w:t>
      </w:r>
      <w:r w:rsidRPr="00113B3E">
        <w:rPr>
          <w:rFonts w:ascii="Palatino Linotype" w:eastAsia="Palatino Linotype" w:hAnsi="Palatino Linotype" w:cs="Palatino Linotype"/>
        </w:rPr>
        <w:t xml:space="preserve"> a sus solicitudes de información, por parte del</w:t>
      </w:r>
      <w:r w:rsidRPr="00113B3E">
        <w:t xml:space="preserve"> </w:t>
      </w:r>
      <w:r w:rsidR="00707349" w:rsidRPr="00113B3E">
        <w:rPr>
          <w:rFonts w:ascii="Palatino Linotype" w:eastAsia="Palatino Linotype" w:hAnsi="Palatino Linotype" w:cs="Palatino Linotype"/>
          <w:b/>
          <w:color w:val="000000"/>
        </w:rPr>
        <w:t>Ayuntamiento de Toluca</w:t>
      </w:r>
      <w:r w:rsidRPr="00113B3E">
        <w:rPr>
          <w:rFonts w:ascii="Palatino Linotype" w:eastAsia="Palatino Linotype" w:hAnsi="Palatino Linotype" w:cs="Palatino Linotype"/>
          <w:b/>
        </w:rPr>
        <w:t xml:space="preserve">, </w:t>
      </w:r>
      <w:r w:rsidRPr="00113B3E">
        <w:rPr>
          <w:rFonts w:ascii="Palatino Linotype" w:eastAsia="Palatino Linotype" w:hAnsi="Palatino Linotype" w:cs="Palatino Linotype"/>
        </w:rPr>
        <w:t xml:space="preserve">en lo sucesivo el </w:t>
      </w:r>
      <w:r w:rsidRPr="00113B3E">
        <w:rPr>
          <w:rFonts w:ascii="Palatino Linotype" w:eastAsia="Palatino Linotype" w:hAnsi="Palatino Linotype" w:cs="Palatino Linotype"/>
          <w:b/>
        </w:rPr>
        <w:t xml:space="preserve">Sujeto Obligado; </w:t>
      </w:r>
      <w:r w:rsidRPr="00113B3E">
        <w:rPr>
          <w:rFonts w:ascii="Palatino Linotype" w:eastAsia="Palatino Linotype" w:hAnsi="Palatino Linotype" w:cs="Palatino Linotype"/>
        </w:rPr>
        <w:t xml:space="preserve">se procede a dictar la presente resolución, con base en lo siguiente. </w:t>
      </w:r>
    </w:p>
    <w:p w14:paraId="271CDF4B" w14:textId="77777777" w:rsidR="00D747E4" w:rsidRPr="00113B3E" w:rsidRDefault="00D747E4">
      <w:pPr>
        <w:spacing w:after="0" w:line="360" w:lineRule="auto"/>
        <w:ind w:right="-112"/>
        <w:jc w:val="both"/>
        <w:rPr>
          <w:rFonts w:ascii="Palatino Linotype" w:eastAsia="Palatino Linotype" w:hAnsi="Palatino Linotype" w:cs="Palatino Linotype"/>
        </w:rPr>
      </w:pPr>
    </w:p>
    <w:p w14:paraId="19AF0C27" w14:textId="77777777" w:rsidR="00D747E4" w:rsidRPr="00113B3E" w:rsidRDefault="00210776">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113B3E">
        <w:rPr>
          <w:rFonts w:ascii="Palatino Linotype" w:eastAsia="Palatino Linotype" w:hAnsi="Palatino Linotype" w:cs="Palatino Linotype"/>
          <w:b/>
        </w:rPr>
        <w:t>I. A N T E C E D E N T E S:</w:t>
      </w:r>
    </w:p>
    <w:p w14:paraId="6B71E7B7" w14:textId="77777777" w:rsidR="00D747E4" w:rsidRPr="00113B3E" w:rsidRDefault="00D747E4">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0BD3567D" w14:textId="5E4167B7" w:rsidR="00D747E4" w:rsidRPr="00113B3E" w:rsidRDefault="00210776" w:rsidP="00CC7302">
      <w:pPr>
        <w:numPr>
          <w:ilvl w:val="0"/>
          <w:numId w:val="2"/>
        </w:numPr>
        <w:pBdr>
          <w:top w:val="nil"/>
          <w:left w:val="nil"/>
          <w:bottom w:val="nil"/>
          <w:right w:val="nil"/>
          <w:between w:val="nil"/>
        </w:pBdr>
        <w:tabs>
          <w:tab w:val="left" w:pos="284"/>
          <w:tab w:val="left" w:pos="567"/>
        </w:tabs>
        <w:spacing w:after="0" w:line="360" w:lineRule="auto"/>
        <w:ind w:left="0" w:firstLine="0"/>
        <w:jc w:val="both"/>
        <w:rPr>
          <w:rFonts w:ascii="Palatino Linotype" w:eastAsia="Palatino Linotype" w:hAnsi="Palatino Linotype" w:cs="Palatino Linotype"/>
        </w:rPr>
      </w:pPr>
      <w:r w:rsidRPr="00113B3E">
        <w:rPr>
          <w:rFonts w:ascii="Palatino Linotype" w:eastAsia="Palatino Linotype" w:hAnsi="Palatino Linotype" w:cs="Palatino Linotype"/>
          <w:b/>
        </w:rPr>
        <w:t>Solicitudes de acceso a la información.</w:t>
      </w:r>
      <w:r w:rsidRPr="00113B3E">
        <w:rPr>
          <w:rFonts w:ascii="Palatino Linotype" w:eastAsia="Palatino Linotype" w:hAnsi="Palatino Linotype" w:cs="Palatino Linotype"/>
        </w:rPr>
        <w:t xml:space="preserve"> Con fecha </w:t>
      </w:r>
      <w:r w:rsidR="00707349" w:rsidRPr="00113B3E">
        <w:rPr>
          <w:rFonts w:ascii="Palatino Linotype" w:eastAsia="Palatino Linotype" w:hAnsi="Palatino Linotype" w:cs="Palatino Linotype"/>
          <w:b/>
        </w:rPr>
        <w:t>diez de septiembre</w:t>
      </w:r>
      <w:r w:rsidR="002953C6" w:rsidRPr="00113B3E">
        <w:rPr>
          <w:rFonts w:ascii="Palatino Linotype" w:eastAsia="Palatino Linotype" w:hAnsi="Palatino Linotype" w:cs="Palatino Linotype"/>
          <w:b/>
        </w:rPr>
        <w:t xml:space="preserve"> </w:t>
      </w:r>
      <w:r w:rsidRPr="00113B3E">
        <w:rPr>
          <w:rFonts w:ascii="Palatino Linotype" w:eastAsia="Palatino Linotype" w:hAnsi="Palatino Linotype" w:cs="Palatino Linotype"/>
          <w:b/>
        </w:rPr>
        <w:t xml:space="preserve">de dos mil veinticinco, </w:t>
      </w:r>
      <w:r w:rsidRPr="00113B3E">
        <w:rPr>
          <w:rFonts w:ascii="Palatino Linotype" w:eastAsia="Palatino Linotype" w:hAnsi="Palatino Linotype" w:cs="Palatino Linotype"/>
        </w:rPr>
        <w:t>la persona solicitante</w:t>
      </w:r>
      <w:r w:rsidRPr="00113B3E">
        <w:rPr>
          <w:rFonts w:ascii="Palatino Linotype" w:eastAsia="Palatino Linotype" w:hAnsi="Palatino Linotype" w:cs="Palatino Linotype"/>
          <w:b/>
        </w:rPr>
        <w:t xml:space="preserve"> </w:t>
      </w:r>
      <w:r w:rsidRPr="00113B3E">
        <w:rPr>
          <w:rFonts w:ascii="Palatino Linotype" w:eastAsia="Palatino Linotype" w:hAnsi="Palatino Linotype" w:cs="Palatino Linotype"/>
        </w:rPr>
        <w:t xml:space="preserve">presentó, a través del Sistema de Acceso a la Información Mexiquense, en lo subsecuente </w:t>
      </w:r>
      <w:r w:rsidRPr="00113B3E">
        <w:rPr>
          <w:rFonts w:ascii="Palatino Linotype" w:eastAsia="Palatino Linotype" w:hAnsi="Palatino Linotype" w:cs="Palatino Linotype"/>
          <w:b/>
        </w:rPr>
        <w:t xml:space="preserve">SAIMEX, </w:t>
      </w:r>
      <w:r w:rsidRPr="00113B3E">
        <w:rPr>
          <w:rFonts w:ascii="Palatino Linotype" w:eastAsia="Palatino Linotype" w:hAnsi="Palatino Linotype" w:cs="Palatino Linotype"/>
        </w:rPr>
        <w:t xml:space="preserve">ante el </w:t>
      </w:r>
      <w:r w:rsidRPr="00113B3E">
        <w:rPr>
          <w:rFonts w:ascii="Palatino Linotype" w:eastAsia="Palatino Linotype" w:hAnsi="Palatino Linotype" w:cs="Palatino Linotype"/>
          <w:b/>
        </w:rPr>
        <w:t>Sujeto Obligado</w:t>
      </w:r>
      <w:r w:rsidRPr="00113B3E">
        <w:rPr>
          <w:rFonts w:ascii="Palatino Linotype" w:eastAsia="Palatino Linotype" w:hAnsi="Palatino Linotype" w:cs="Palatino Linotype"/>
        </w:rPr>
        <w:t>, las solicitudes de acceso a la información pública, mediante las cuales requirió la información siguiente:</w:t>
      </w:r>
    </w:p>
    <w:p w14:paraId="45A9A864" w14:textId="77777777" w:rsidR="00D747E4" w:rsidRPr="00113B3E" w:rsidRDefault="00D747E4">
      <w:pPr>
        <w:spacing w:after="0" w:line="360" w:lineRule="auto"/>
        <w:jc w:val="both"/>
        <w:rPr>
          <w:rFonts w:ascii="Palatino Linotype" w:eastAsia="Palatino Linotype" w:hAnsi="Palatino Linotype" w:cs="Palatino Linotype"/>
        </w:rPr>
      </w:pPr>
    </w:p>
    <w:tbl>
      <w:tblPr>
        <w:tblStyle w:val="af0"/>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0"/>
        <w:gridCol w:w="4438"/>
      </w:tblGrid>
      <w:tr w:rsidR="007B298B" w:rsidRPr="00113B3E" w14:paraId="1EC527DF" w14:textId="77777777" w:rsidTr="00AB4457">
        <w:trPr>
          <w:jc w:val="center"/>
        </w:trPr>
        <w:tc>
          <w:tcPr>
            <w:tcW w:w="4390" w:type="dxa"/>
            <w:shd w:val="clear" w:color="auto" w:fill="A6A6A6"/>
          </w:tcPr>
          <w:p w14:paraId="18ADD9E6" w14:textId="380B620E" w:rsidR="00D747E4" w:rsidRPr="00113B3E" w:rsidRDefault="00AA15DA">
            <w:pPr>
              <w:spacing w:after="0" w:line="240" w:lineRule="auto"/>
              <w:jc w:val="center"/>
              <w:rPr>
                <w:rFonts w:ascii="Palatino Linotype" w:eastAsia="Palatino Linotype" w:hAnsi="Palatino Linotype" w:cs="Palatino Linotype"/>
                <w:b/>
                <w:sz w:val="20"/>
                <w:szCs w:val="20"/>
              </w:rPr>
            </w:pPr>
            <w:r w:rsidRPr="00113B3E">
              <w:rPr>
                <w:rFonts w:ascii="Palatino Linotype" w:eastAsia="Palatino Linotype" w:hAnsi="Palatino Linotype" w:cs="Palatino Linotype"/>
                <w:b/>
                <w:sz w:val="20"/>
                <w:szCs w:val="20"/>
              </w:rPr>
              <w:t>Solicitud</w:t>
            </w:r>
          </w:p>
        </w:tc>
        <w:tc>
          <w:tcPr>
            <w:tcW w:w="4438" w:type="dxa"/>
            <w:shd w:val="clear" w:color="auto" w:fill="A6A6A6"/>
          </w:tcPr>
          <w:p w14:paraId="608D10AA" w14:textId="77777777" w:rsidR="00D747E4" w:rsidRPr="00113B3E" w:rsidRDefault="00210776">
            <w:pPr>
              <w:spacing w:after="0" w:line="240" w:lineRule="auto"/>
              <w:jc w:val="center"/>
              <w:rPr>
                <w:rFonts w:ascii="Palatino Linotype" w:eastAsia="Palatino Linotype" w:hAnsi="Palatino Linotype" w:cs="Palatino Linotype"/>
                <w:b/>
                <w:sz w:val="20"/>
                <w:szCs w:val="20"/>
              </w:rPr>
            </w:pPr>
            <w:r w:rsidRPr="00113B3E">
              <w:rPr>
                <w:rFonts w:ascii="Palatino Linotype" w:eastAsia="Palatino Linotype" w:hAnsi="Palatino Linotype" w:cs="Palatino Linotype"/>
                <w:b/>
                <w:sz w:val="20"/>
                <w:szCs w:val="20"/>
              </w:rPr>
              <w:t>Información solicitada</w:t>
            </w:r>
          </w:p>
        </w:tc>
      </w:tr>
      <w:tr w:rsidR="007B298B" w:rsidRPr="00113B3E" w14:paraId="32EF5126" w14:textId="77777777" w:rsidTr="00AB4457">
        <w:trPr>
          <w:jc w:val="center"/>
        </w:trPr>
        <w:tc>
          <w:tcPr>
            <w:tcW w:w="4390" w:type="dxa"/>
            <w:vAlign w:val="center"/>
          </w:tcPr>
          <w:p w14:paraId="6697363D" w14:textId="77777777" w:rsidR="00707349" w:rsidRPr="00113B3E" w:rsidRDefault="00707349" w:rsidP="002953C6">
            <w:pPr>
              <w:spacing w:after="0" w:line="240" w:lineRule="auto"/>
              <w:jc w:val="center"/>
              <w:rPr>
                <w:rFonts w:ascii="Palatino Linotype" w:eastAsia="Palatino Linotype" w:hAnsi="Palatino Linotype" w:cs="Palatino Linotype"/>
                <w:b/>
                <w:bCs/>
                <w:sz w:val="20"/>
                <w:szCs w:val="20"/>
              </w:rPr>
            </w:pPr>
            <w:r w:rsidRPr="00113B3E">
              <w:rPr>
                <w:rFonts w:ascii="Palatino Linotype" w:eastAsia="Palatino Linotype" w:hAnsi="Palatino Linotype" w:cs="Palatino Linotype"/>
                <w:b/>
                <w:bCs/>
                <w:sz w:val="20"/>
                <w:szCs w:val="20"/>
              </w:rPr>
              <w:t>04573/TOLUCA/IP/2025</w:t>
            </w:r>
          </w:p>
          <w:p w14:paraId="7292C1EE" w14:textId="2AE54C8F" w:rsidR="00AB4457" w:rsidRPr="00113B3E" w:rsidRDefault="00AB4457" w:rsidP="002953C6">
            <w:pPr>
              <w:spacing w:after="0" w:line="240" w:lineRule="auto"/>
              <w:jc w:val="center"/>
              <w:rPr>
                <w:rFonts w:ascii="Palatino Linotype" w:eastAsia="Palatino Linotype" w:hAnsi="Palatino Linotype" w:cs="Palatino Linotype"/>
                <w:b/>
                <w:sz w:val="19"/>
                <w:szCs w:val="19"/>
              </w:rPr>
            </w:pPr>
            <w:r w:rsidRPr="00113B3E">
              <w:rPr>
                <w:rFonts w:ascii="Palatino Linotype" w:eastAsia="Palatino Linotype" w:hAnsi="Palatino Linotype" w:cs="Palatino Linotype"/>
                <w:b/>
                <w:sz w:val="19"/>
                <w:szCs w:val="19"/>
              </w:rPr>
              <w:t xml:space="preserve">Recurso de revision </w:t>
            </w:r>
            <w:r w:rsidR="00707349" w:rsidRPr="00113B3E">
              <w:rPr>
                <w:rFonts w:ascii="Palatino Linotype" w:eastAsia="Palatino Linotype" w:hAnsi="Palatino Linotype" w:cs="Palatino Linotype"/>
                <w:b/>
                <w:sz w:val="19"/>
                <w:szCs w:val="19"/>
              </w:rPr>
              <w:t>11359</w:t>
            </w:r>
            <w:r w:rsidRPr="00113B3E">
              <w:rPr>
                <w:rFonts w:ascii="Palatino Linotype" w:eastAsia="Palatino Linotype" w:hAnsi="Palatino Linotype" w:cs="Palatino Linotype"/>
                <w:b/>
                <w:sz w:val="19"/>
                <w:szCs w:val="19"/>
              </w:rPr>
              <w:t>/INFOEM/IP/RR/2025</w:t>
            </w:r>
          </w:p>
          <w:p w14:paraId="7FA4AF34" w14:textId="77777777" w:rsidR="00AB4457" w:rsidRPr="00113B3E" w:rsidRDefault="00AB4457" w:rsidP="002953C6">
            <w:pPr>
              <w:spacing w:after="0" w:line="240" w:lineRule="auto"/>
              <w:jc w:val="center"/>
              <w:rPr>
                <w:rFonts w:ascii="Palatino Linotype" w:eastAsia="Palatino Linotype" w:hAnsi="Palatino Linotype" w:cs="Palatino Linotype"/>
                <w:b/>
                <w:sz w:val="20"/>
                <w:szCs w:val="20"/>
              </w:rPr>
            </w:pPr>
          </w:p>
          <w:p w14:paraId="0C974EE3" w14:textId="4CD7B57C" w:rsidR="00AB4457" w:rsidRPr="00113B3E" w:rsidRDefault="00AB4457" w:rsidP="002953C6">
            <w:pPr>
              <w:spacing w:after="0" w:line="240" w:lineRule="auto"/>
              <w:jc w:val="center"/>
              <w:rPr>
                <w:rFonts w:ascii="Palatino Linotype" w:eastAsia="Palatino Linotype" w:hAnsi="Palatino Linotype" w:cs="Palatino Linotype"/>
                <w:b/>
                <w:sz w:val="20"/>
                <w:szCs w:val="20"/>
              </w:rPr>
            </w:pPr>
          </w:p>
        </w:tc>
        <w:tc>
          <w:tcPr>
            <w:tcW w:w="4438" w:type="dxa"/>
          </w:tcPr>
          <w:p w14:paraId="23BA08C6" w14:textId="7B3AF338" w:rsidR="00D747E4" w:rsidRPr="00113B3E" w:rsidRDefault="00210776" w:rsidP="00707349">
            <w:pPr>
              <w:spacing w:after="0" w:line="240" w:lineRule="auto"/>
              <w:jc w:val="both"/>
              <w:rPr>
                <w:rFonts w:ascii="Palatino Linotype" w:eastAsia="Palatino Linotype" w:hAnsi="Palatino Linotype" w:cs="Palatino Linotype"/>
                <w:i/>
                <w:sz w:val="20"/>
                <w:szCs w:val="20"/>
              </w:rPr>
            </w:pPr>
            <w:r w:rsidRPr="00113B3E">
              <w:rPr>
                <w:rFonts w:ascii="Palatino Linotype" w:eastAsia="Palatino Linotype" w:hAnsi="Palatino Linotype" w:cs="Palatino Linotype"/>
                <w:i/>
                <w:sz w:val="20"/>
                <w:szCs w:val="20"/>
              </w:rPr>
              <w:t>“</w:t>
            </w:r>
            <w:r w:rsidR="00707349" w:rsidRPr="00113B3E">
              <w:rPr>
                <w:rFonts w:ascii="Palatino Linotype" w:eastAsia="Palatino Linotype" w:hAnsi="Palatino Linotype" w:cs="Palatino Linotype"/>
                <w:i/>
                <w:sz w:val="20"/>
                <w:szCs w:val="20"/>
              </w:rPr>
              <w:t>Solicito conocer copia del contrato o contratos, en su versión pública, que celebró este sujeto obligado por la presentación de Gloria Trevi, Amanda Miguel y Los Tucanes de Tijuana y el resto de los artistas que se presentarán en la Feria y Festival Cultural del Alfeñique 2025.</w:t>
            </w:r>
            <w:r w:rsidRPr="00113B3E">
              <w:rPr>
                <w:rFonts w:ascii="Palatino Linotype" w:eastAsia="Palatino Linotype" w:hAnsi="Palatino Linotype" w:cs="Palatino Linotype"/>
                <w:i/>
                <w:sz w:val="20"/>
                <w:szCs w:val="20"/>
              </w:rPr>
              <w:t>” (sic)</w:t>
            </w:r>
          </w:p>
        </w:tc>
      </w:tr>
      <w:tr w:rsidR="00D747E4" w:rsidRPr="00113B3E" w14:paraId="3A15D093" w14:textId="77777777" w:rsidTr="00AB4457">
        <w:trPr>
          <w:jc w:val="center"/>
        </w:trPr>
        <w:tc>
          <w:tcPr>
            <w:tcW w:w="4390" w:type="dxa"/>
            <w:vAlign w:val="center"/>
          </w:tcPr>
          <w:p w14:paraId="574B5FB4" w14:textId="77777777" w:rsidR="00707349" w:rsidRPr="00113B3E" w:rsidRDefault="00707349" w:rsidP="00707349">
            <w:pPr>
              <w:spacing w:after="0" w:line="240" w:lineRule="auto"/>
              <w:jc w:val="center"/>
              <w:rPr>
                <w:rFonts w:ascii="Palatino Linotype" w:eastAsia="Palatino Linotype" w:hAnsi="Palatino Linotype" w:cs="Palatino Linotype"/>
                <w:b/>
                <w:bCs/>
                <w:sz w:val="20"/>
                <w:szCs w:val="20"/>
              </w:rPr>
            </w:pPr>
            <w:r w:rsidRPr="00113B3E">
              <w:rPr>
                <w:rFonts w:ascii="Palatino Linotype" w:eastAsia="Palatino Linotype" w:hAnsi="Palatino Linotype" w:cs="Palatino Linotype"/>
                <w:b/>
                <w:bCs/>
                <w:sz w:val="20"/>
                <w:szCs w:val="20"/>
              </w:rPr>
              <w:t>04573/TOLUCA/IP/2025</w:t>
            </w:r>
          </w:p>
          <w:p w14:paraId="01A3704F" w14:textId="1FA1C23C" w:rsidR="00707349" w:rsidRPr="00113B3E" w:rsidRDefault="00707349" w:rsidP="00707349">
            <w:pPr>
              <w:spacing w:after="0" w:line="240" w:lineRule="auto"/>
              <w:jc w:val="center"/>
              <w:rPr>
                <w:rFonts w:ascii="Palatino Linotype" w:eastAsia="Palatino Linotype" w:hAnsi="Palatino Linotype" w:cs="Palatino Linotype"/>
                <w:b/>
                <w:sz w:val="19"/>
                <w:szCs w:val="19"/>
              </w:rPr>
            </w:pPr>
            <w:r w:rsidRPr="00113B3E">
              <w:rPr>
                <w:rFonts w:ascii="Palatino Linotype" w:eastAsia="Palatino Linotype" w:hAnsi="Palatino Linotype" w:cs="Palatino Linotype"/>
                <w:b/>
                <w:sz w:val="19"/>
                <w:szCs w:val="19"/>
              </w:rPr>
              <w:t>Recurso de revision 11360/INFOEM/IP/RR/2025</w:t>
            </w:r>
          </w:p>
          <w:p w14:paraId="49C52B51" w14:textId="1660A71D" w:rsidR="00AB4457" w:rsidRPr="00113B3E" w:rsidRDefault="00AB4457" w:rsidP="00A028BB">
            <w:pPr>
              <w:spacing w:after="0" w:line="240" w:lineRule="auto"/>
              <w:jc w:val="center"/>
              <w:rPr>
                <w:rFonts w:ascii="Palatino Linotype" w:eastAsia="Palatino Linotype" w:hAnsi="Palatino Linotype" w:cs="Palatino Linotype"/>
                <w:b/>
                <w:iCs/>
                <w:sz w:val="20"/>
                <w:szCs w:val="20"/>
              </w:rPr>
            </w:pPr>
          </w:p>
        </w:tc>
        <w:tc>
          <w:tcPr>
            <w:tcW w:w="4438" w:type="dxa"/>
          </w:tcPr>
          <w:p w14:paraId="2C1B9AFE" w14:textId="4D3C8636" w:rsidR="00D747E4" w:rsidRPr="00113B3E" w:rsidRDefault="00210776" w:rsidP="00707349">
            <w:pPr>
              <w:spacing w:after="0" w:line="240" w:lineRule="auto"/>
              <w:jc w:val="both"/>
              <w:rPr>
                <w:rFonts w:ascii="Palatino Linotype" w:eastAsia="Palatino Linotype" w:hAnsi="Palatino Linotype" w:cs="Palatino Linotype"/>
                <w:i/>
                <w:sz w:val="20"/>
                <w:szCs w:val="20"/>
              </w:rPr>
            </w:pPr>
            <w:r w:rsidRPr="00113B3E">
              <w:rPr>
                <w:rFonts w:ascii="Palatino Linotype" w:eastAsia="Palatino Linotype" w:hAnsi="Palatino Linotype" w:cs="Palatino Linotype"/>
                <w:i/>
                <w:sz w:val="20"/>
                <w:szCs w:val="20"/>
              </w:rPr>
              <w:t>“</w:t>
            </w:r>
            <w:r w:rsidR="00707349" w:rsidRPr="00113B3E">
              <w:rPr>
                <w:rFonts w:ascii="Palatino Linotype" w:eastAsia="Palatino Linotype" w:hAnsi="Palatino Linotype" w:cs="Palatino Linotype"/>
                <w:i/>
                <w:sz w:val="20"/>
                <w:szCs w:val="20"/>
              </w:rPr>
              <w:t>Solicito conocer copia del contrato (s) o convenio (s), en su versión pública, celebrado entre este sujeto obligado y la agencia o empresas encargadas de llevar a los artistas o agrupaciones musicales que se presentarán en la Feria y Festival Cultural del Alfeñique 2025.</w:t>
            </w:r>
            <w:r w:rsidRPr="00113B3E">
              <w:rPr>
                <w:rFonts w:ascii="Palatino Linotype" w:eastAsia="Palatino Linotype" w:hAnsi="Palatino Linotype" w:cs="Palatino Linotype"/>
                <w:i/>
                <w:sz w:val="20"/>
                <w:szCs w:val="20"/>
              </w:rPr>
              <w:t xml:space="preserve">” </w:t>
            </w:r>
            <w:r w:rsidR="007C3034" w:rsidRPr="00113B3E">
              <w:rPr>
                <w:rFonts w:ascii="Palatino Linotype" w:eastAsia="Palatino Linotype" w:hAnsi="Palatino Linotype" w:cs="Palatino Linotype"/>
                <w:i/>
                <w:sz w:val="20"/>
                <w:szCs w:val="20"/>
              </w:rPr>
              <w:t>(sic)</w:t>
            </w:r>
          </w:p>
        </w:tc>
      </w:tr>
    </w:tbl>
    <w:p w14:paraId="71EF6A1F" w14:textId="5FDAA2A7" w:rsidR="00D747E4" w:rsidRPr="00113B3E" w:rsidRDefault="0025369C">
      <w:pPr>
        <w:spacing w:after="0" w:line="360" w:lineRule="auto"/>
        <w:jc w:val="both"/>
        <w:rPr>
          <w:rFonts w:ascii="Palatino Linotype" w:eastAsia="Palatino Linotype" w:hAnsi="Palatino Linotype" w:cs="Palatino Linotype"/>
          <w:b/>
        </w:rPr>
      </w:pPr>
      <w:bookmarkStart w:id="2" w:name="_heading=h.2et92p0" w:colFirst="0" w:colLast="0"/>
      <w:bookmarkEnd w:id="2"/>
      <w:r w:rsidRPr="00113B3E">
        <w:rPr>
          <w:rFonts w:ascii="Palatino Linotype" w:eastAsia="Palatino Linotype" w:hAnsi="Palatino Linotype" w:cs="Palatino Linotype"/>
          <w:b/>
        </w:rPr>
        <w:lastRenderedPageBreak/>
        <w:t xml:space="preserve">    </w:t>
      </w:r>
    </w:p>
    <w:p w14:paraId="460E5102" w14:textId="77777777" w:rsidR="00A028BB" w:rsidRPr="00113B3E" w:rsidRDefault="00A028BB" w:rsidP="00A028BB">
      <w:pPr>
        <w:spacing w:after="0" w:line="360" w:lineRule="auto"/>
        <w:ind w:right="49"/>
        <w:jc w:val="both"/>
        <w:rPr>
          <w:rFonts w:ascii="Palatino Linotype" w:eastAsia="Palatino Linotype" w:hAnsi="Palatino Linotype" w:cs="Palatino Linotype"/>
        </w:rPr>
      </w:pPr>
      <w:r w:rsidRPr="00113B3E">
        <w:rPr>
          <w:rFonts w:ascii="Palatino Linotype" w:eastAsia="Palatino Linotype" w:hAnsi="Palatino Linotype" w:cs="Palatino Linotype"/>
          <w:b/>
        </w:rPr>
        <w:t>Modalidad elegida para la entrega de la información:</w:t>
      </w:r>
      <w:r w:rsidRPr="00113B3E">
        <w:rPr>
          <w:rFonts w:ascii="Palatino Linotype" w:eastAsia="Palatino Linotype" w:hAnsi="Palatino Linotype" w:cs="Palatino Linotype"/>
        </w:rPr>
        <w:t xml:space="preserve"> a través del Sistema de Acceso a la Información Mexiquense (SAIMEX). </w:t>
      </w:r>
    </w:p>
    <w:p w14:paraId="5423369F" w14:textId="77777777" w:rsidR="00A028BB" w:rsidRPr="00113B3E" w:rsidRDefault="00A028BB">
      <w:pPr>
        <w:spacing w:after="0" w:line="360" w:lineRule="auto"/>
        <w:jc w:val="both"/>
        <w:rPr>
          <w:noProof/>
        </w:rPr>
      </w:pPr>
    </w:p>
    <w:p w14:paraId="0AAECF7F" w14:textId="4EC6D382" w:rsidR="00D747E4" w:rsidRPr="00113B3E" w:rsidRDefault="007578FB" w:rsidP="00707349">
      <w:pP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b/>
        </w:rPr>
        <w:t xml:space="preserve">2. </w:t>
      </w:r>
      <w:r w:rsidR="00210776" w:rsidRPr="00113B3E">
        <w:rPr>
          <w:rFonts w:ascii="Palatino Linotype" w:eastAsia="Palatino Linotype" w:hAnsi="Palatino Linotype" w:cs="Palatino Linotype"/>
          <w:b/>
        </w:rPr>
        <w:t xml:space="preserve">Respuestas. </w:t>
      </w:r>
      <w:r w:rsidR="00210776" w:rsidRPr="00113B3E">
        <w:rPr>
          <w:rFonts w:ascii="Palatino Linotype" w:eastAsia="Palatino Linotype" w:hAnsi="Palatino Linotype" w:cs="Palatino Linotype"/>
        </w:rPr>
        <w:t>Con fecha</w:t>
      </w:r>
      <w:r w:rsidR="00D707A3" w:rsidRPr="00113B3E">
        <w:rPr>
          <w:rFonts w:ascii="Palatino Linotype" w:eastAsia="Palatino Linotype" w:hAnsi="Palatino Linotype" w:cs="Palatino Linotype"/>
        </w:rPr>
        <w:t xml:space="preserve">s </w:t>
      </w:r>
      <w:r w:rsidR="00D707A3" w:rsidRPr="00113B3E">
        <w:rPr>
          <w:rFonts w:ascii="Palatino Linotype" w:eastAsia="Palatino Linotype" w:hAnsi="Palatino Linotype" w:cs="Palatino Linotype"/>
          <w:b/>
        </w:rPr>
        <w:t>primero y</w:t>
      </w:r>
      <w:r w:rsidR="00210776" w:rsidRPr="00113B3E">
        <w:rPr>
          <w:rFonts w:ascii="Palatino Linotype" w:eastAsia="Palatino Linotype" w:hAnsi="Palatino Linotype" w:cs="Palatino Linotype"/>
        </w:rPr>
        <w:t xml:space="preserve"> </w:t>
      </w:r>
      <w:r w:rsidR="00707349" w:rsidRPr="00113B3E">
        <w:rPr>
          <w:rFonts w:ascii="Palatino Linotype" w:eastAsia="Palatino Linotype" w:hAnsi="Palatino Linotype" w:cs="Palatino Linotype"/>
          <w:b/>
          <w:bCs/>
        </w:rPr>
        <w:t>dos de octubre</w:t>
      </w:r>
      <w:r w:rsidR="00210776" w:rsidRPr="00113B3E">
        <w:rPr>
          <w:rFonts w:ascii="Palatino Linotype" w:eastAsia="Palatino Linotype" w:hAnsi="Palatino Linotype" w:cs="Palatino Linotype"/>
          <w:b/>
        </w:rPr>
        <w:t xml:space="preserve"> de dos mil veinticinco</w:t>
      </w:r>
      <w:r w:rsidR="00210776" w:rsidRPr="00113B3E">
        <w:rPr>
          <w:rFonts w:ascii="Palatino Linotype" w:eastAsia="Palatino Linotype" w:hAnsi="Palatino Linotype" w:cs="Palatino Linotype"/>
        </w:rPr>
        <w:t xml:space="preserve">, el </w:t>
      </w:r>
      <w:r w:rsidR="00210776" w:rsidRPr="00113B3E">
        <w:rPr>
          <w:rFonts w:ascii="Palatino Linotype" w:eastAsia="Palatino Linotype" w:hAnsi="Palatino Linotype" w:cs="Palatino Linotype"/>
          <w:b/>
        </w:rPr>
        <w:t xml:space="preserve">Sujeto Obligado </w:t>
      </w:r>
      <w:r w:rsidR="00210776" w:rsidRPr="00113B3E">
        <w:rPr>
          <w:rFonts w:ascii="Palatino Linotype" w:eastAsia="Palatino Linotype" w:hAnsi="Palatino Linotype" w:cs="Palatino Linotype"/>
        </w:rPr>
        <w:t>envió sus respuestas a las solicitudes de acceso a la información a través de SAIMEX, sustancialmente en los términos siguientes:</w:t>
      </w:r>
    </w:p>
    <w:tbl>
      <w:tblPr>
        <w:tblStyle w:val="af1"/>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7B298B" w:rsidRPr="00113B3E" w14:paraId="11F3FB74" w14:textId="77777777" w:rsidTr="00DA506F">
        <w:trPr>
          <w:jc w:val="center"/>
        </w:trPr>
        <w:tc>
          <w:tcPr>
            <w:tcW w:w="2972" w:type="dxa"/>
            <w:shd w:val="clear" w:color="auto" w:fill="A6A6A6"/>
          </w:tcPr>
          <w:p w14:paraId="111BB0B5" w14:textId="77777777" w:rsidR="00D747E4" w:rsidRPr="00113B3E" w:rsidRDefault="00210776">
            <w:pPr>
              <w:spacing w:after="0" w:line="240" w:lineRule="auto"/>
              <w:jc w:val="center"/>
              <w:rPr>
                <w:rFonts w:ascii="Palatino Linotype" w:eastAsia="Palatino Linotype" w:hAnsi="Palatino Linotype" w:cs="Palatino Linotype"/>
                <w:b/>
                <w:sz w:val="20"/>
                <w:szCs w:val="20"/>
              </w:rPr>
            </w:pPr>
            <w:r w:rsidRPr="00113B3E">
              <w:rPr>
                <w:rFonts w:ascii="Palatino Linotype" w:eastAsia="Palatino Linotype" w:hAnsi="Palatino Linotype" w:cs="Palatino Linotype"/>
                <w:b/>
                <w:sz w:val="20"/>
                <w:szCs w:val="20"/>
              </w:rPr>
              <w:t>Solicitud</w:t>
            </w:r>
          </w:p>
        </w:tc>
        <w:tc>
          <w:tcPr>
            <w:tcW w:w="5856" w:type="dxa"/>
            <w:shd w:val="clear" w:color="auto" w:fill="A6A6A6"/>
          </w:tcPr>
          <w:p w14:paraId="6E56C5ED" w14:textId="77777777" w:rsidR="00D747E4" w:rsidRPr="00113B3E" w:rsidRDefault="00210776">
            <w:pPr>
              <w:spacing w:after="0" w:line="240" w:lineRule="auto"/>
              <w:jc w:val="center"/>
              <w:rPr>
                <w:rFonts w:ascii="Palatino Linotype" w:eastAsia="Palatino Linotype" w:hAnsi="Palatino Linotype" w:cs="Palatino Linotype"/>
                <w:b/>
                <w:sz w:val="20"/>
                <w:szCs w:val="20"/>
              </w:rPr>
            </w:pPr>
            <w:r w:rsidRPr="00113B3E">
              <w:rPr>
                <w:rFonts w:ascii="Palatino Linotype" w:eastAsia="Palatino Linotype" w:hAnsi="Palatino Linotype" w:cs="Palatino Linotype"/>
                <w:b/>
                <w:sz w:val="20"/>
                <w:szCs w:val="20"/>
              </w:rPr>
              <w:t>Respuesta</w:t>
            </w:r>
          </w:p>
        </w:tc>
      </w:tr>
      <w:tr w:rsidR="00707349" w:rsidRPr="00113B3E" w14:paraId="3EC29D40" w14:textId="77777777" w:rsidTr="00DA506F">
        <w:trPr>
          <w:jc w:val="center"/>
        </w:trPr>
        <w:tc>
          <w:tcPr>
            <w:tcW w:w="2972" w:type="dxa"/>
            <w:vAlign w:val="center"/>
          </w:tcPr>
          <w:p w14:paraId="3EDA5EB4" w14:textId="77777777" w:rsidR="00707349" w:rsidRPr="00113B3E" w:rsidRDefault="00707349" w:rsidP="00707349">
            <w:pPr>
              <w:spacing w:after="0" w:line="240" w:lineRule="auto"/>
              <w:jc w:val="center"/>
              <w:rPr>
                <w:rFonts w:ascii="Palatino Linotype" w:eastAsia="Palatino Linotype" w:hAnsi="Palatino Linotype" w:cs="Palatino Linotype"/>
                <w:b/>
                <w:bCs/>
                <w:sz w:val="20"/>
                <w:szCs w:val="20"/>
              </w:rPr>
            </w:pPr>
            <w:r w:rsidRPr="00113B3E">
              <w:rPr>
                <w:rFonts w:ascii="Palatino Linotype" w:eastAsia="Palatino Linotype" w:hAnsi="Palatino Linotype" w:cs="Palatino Linotype"/>
                <w:b/>
                <w:bCs/>
                <w:sz w:val="20"/>
                <w:szCs w:val="20"/>
              </w:rPr>
              <w:t>04573/TOLUCA/IP/2025</w:t>
            </w:r>
          </w:p>
          <w:p w14:paraId="5A700631" w14:textId="77777777" w:rsidR="00707349" w:rsidRPr="00113B3E" w:rsidRDefault="00707349" w:rsidP="00707349">
            <w:pPr>
              <w:spacing w:after="0" w:line="240" w:lineRule="auto"/>
              <w:jc w:val="center"/>
              <w:rPr>
                <w:rFonts w:ascii="Palatino Linotype" w:eastAsia="Palatino Linotype" w:hAnsi="Palatino Linotype" w:cs="Palatino Linotype"/>
                <w:b/>
                <w:sz w:val="19"/>
                <w:szCs w:val="19"/>
              </w:rPr>
            </w:pPr>
            <w:r w:rsidRPr="00113B3E">
              <w:rPr>
                <w:rFonts w:ascii="Palatino Linotype" w:eastAsia="Palatino Linotype" w:hAnsi="Palatino Linotype" w:cs="Palatino Linotype"/>
                <w:b/>
                <w:sz w:val="19"/>
                <w:szCs w:val="19"/>
              </w:rPr>
              <w:t>Recurso de revision 11359/INFOEM/IP/RR/2025</w:t>
            </w:r>
          </w:p>
          <w:p w14:paraId="16AA67BC" w14:textId="77777777" w:rsidR="00707349" w:rsidRPr="00113B3E" w:rsidRDefault="00707349" w:rsidP="00707349">
            <w:pPr>
              <w:spacing w:after="0" w:line="240" w:lineRule="auto"/>
              <w:jc w:val="center"/>
              <w:rPr>
                <w:rFonts w:ascii="Palatino Linotype" w:eastAsia="Palatino Linotype" w:hAnsi="Palatino Linotype" w:cs="Palatino Linotype"/>
                <w:b/>
                <w:sz w:val="20"/>
                <w:szCs w:val="20"/>
              </w:rPr>
            </w:pPr>
          </w:p>
          <w:p w14:paraId="58024969" w14:textId="28303748" w:rsidR="00707349" w:rsidRPr="00113B3E" w:rsidRDefault="00707349" w:rsidP="00707349">
            <w:pPr>
              <w:spacing w:after="0" w:line="240" w:lineRule="auto"/>
              <w:jc w:val="center"/>
              <w:rPr>
                <w:rFonts w:ascii="Palatino Linotype" w:eastAsia="Palatino Linotype" w:hAnsi="Palatino Linotype" w:cs="Palatino Linotype"/>
                <w:b/>
                <w:sz w:val="20"/>
                <w:szCs w:val="20"/>
              </w:rPr>
            </w:pPr>
          </w:p>
        </w:tc>
        <w:tc>
          <w:tcPr>
            <w:tcW w:w="5856" w:type="dxa"/>
          </w:tcPr>
          <w:p w14:paraId="4F45F204" w14:textId="77777777" w:rsidR="00707349" w:rsidRPr="00113B3E" w:rsidRDefault="00707349" w:rsidP="00707349">
            <w:pPr>
              <w:pStyle w:val="Prrafodelista"/>
              <w:numPr>
                <w:ilvl w:val="0"/>
                <w:numId w:val="29"/>
              </w:numPr>
              <w:pBdr>
                <w:top w:val="nil"/>
                <w:left w:val="nil"/>
                <w:bottom w:val="nil"/>
                <w:right w:val="nil"/>
                <w:between w:val="nil"/>
              </w:pBdr>
              <w:spacing w:after="0" w:line="240" w:lineRule="auto"/>
              <w:jc w:val="both"/>
              <w:rPr>
                <w:rFonts w:ascii="Palatino Linotype" w:eastAsia="Palatino Linotype" w:hAnsi="Palatino Linotype" w:cs="Palatino Linotype"/>
                <w:iCs/>
                <w:color w:val="000000" w:themeColor="text1"/>
                <w:sz w:val="20"/>
                <w:szCs w:val="20"/>
              </w:rPr>
            </w:pPr>
            <w:r w:rsidRPr="00113B3E">
              <w:rPr>
                <w:rFonts w:ascii="Palatino Linotype" w:eastAsia="Palatino Linotype" w:hAnsi="Palatino Linotype" w:cs="Palatino Linotype"/>
                <w:iCs/>
                <w:color w:val="000000" w:themeColor="text1"/>
                <w:sz w:val="20"/>
                <w:szCs w:val="20"/>
              </w:rPr>
              <w:t>Oficio del 17 de septiembre de 2025, a través del cual la Directora de Cultura y Turismo informó que lo requerido le compete a la Dirección de Administración y la Tesorería.</w:t>
            </w:r>
          </w:p>
          <w:p w14:paraId="3316802A" w14:textId="77777777" w:rsidR="001966E6" w:rsidRPr="00113B3E" w:rsidRDefault="001966E6" w:rsidP="001966E6">
            <w:pPr>
              <w:pStyle w:val="Prrafodelista"/>
              <w:pBdr>
                <w:top w:val="nil"/>
                <w:left w:val="nil"/>
                <w:bottom w:val="nil"/>
                <w:right w:val="nil"/>
                <w:between w:val="nil"/>
              </w:pBdr>
              <w:spacing w:after="0" w:line="240" w:lineRule="auto"/>
              <w:ind w:left="360"/>
              <w:jc w:val="both"/>
              <w:rPr>
                <w:rFonts w:ascii="Palatino Linotype" w:eastAsia="Palatino Linotype" w:hAnsi="Palatino Linotype" w:cs="Palatino Linotype"/>
                <w:iCs/>
                <w:color w:val="000000" w:themeColor="text1"/>
                <w:sz w:val="20"/>
                <w:szCs w:val="20"/>
              </w:rPr>
            </w:pPr>
          </w:p>
          <w:p w14:paraId="3A95A3E8" w14:textId="363F245C" w:rsidR="001966E6" w:rsidRPr="00113B3E" w:rsidRDefault="001966E6" w:rsidP="001966E6">
            <w:pPr>
              <w:pStyle w:val="Prrafodelista"/>
              <w:numPr>
                <w:ilvl w:val="0"/>
                <w:numId w:val="29"/>
              </w:numPr>
              <w:pBdr>
                <w:top w:val="nil"/>
                <w:left w:val="nil"/>
                <w:bottom w:val="nil"/>
                <w:right w:val="nil"/>
                <w:between w:val="nil"/>
              </w:pBdr>
              <w:spacing w:after="0" w:line="240" w:lineRule="auto"/>
              <w:jc w:val="both"/>
              <w:rPr>
                <w:rFonts w:ascii="Palatino Linotype" w:eastAsia="Palatino Linotype" w:hAnsi="Palatino Linotype" w:cs="Palatino Linotype"/>
                <w:iCs/>
                <w:color w:val="000000" w:themeColor="text1"/>
                <w:sz w:val="20"/>
                <w:szCs w:val="20"/>
              </w:rPr>
            </w:pPr>
            <w:r w:rsidRPr="00113B3E">
              <w:rPr>
                <w:rFonts w:ascii="Palatino Linotype" w:eastAsia="Palatino Linotype" w:hAnsi="Palatino Linotype" w:cs="Palatino Linotype"/>
                <w:iCs/>
                <w:color w:val="000000" w:themeColor="text1"/>
                <w:sz w:val="20"/>
                <w:szCs w:val="20"/>
              </w:rPr>
              <w:t>Oficio del 22 de septiembre de 2025, a través del cual la Directora de Recursos Materiales indicó que la información requerida se puede consultar en el IPOMEX en el artículo 92 fracción XXIX relativo a los resultados de procedimientos de adjudicación directa, licitación pública e invitación restringida, adjuntando un link en formato cerrado.</w:t>
            </w:r>
          </w:p>
          <w:p w14:paraId="75128591" w14:textId="77777777" w:rsidR="001966E6" w:rsidRPr="00113B3E" w:rsidRDefault="001966E6" w:rsidP="001966E6">
            <w:pPr>
              <w:pStyle w:val="Prrafodelista"/>
              <w:rPr>
                <w:rFonts w:ascii="Palatino Linotype" w:eastAsia="Palatino Linotype" w:hAnsi="Palatino Linotype" w:cs="Palatino Linotype"/>
                <w:iCs/>
                <w:color w:val="000000" w:themeColor="text1"/>
                <w:sz w:val="20"/>
                <w:szCs w:val="20"/>
              </w:rPr>
            </w:pPr>
          </w:p>
          <w:p w14:paraId="2F629C4A" w14:textId="1A4A3A1E" w:rsidR="001966E6" w:rsidRPr="00113B3E" w:rsidRDefault="001966E6" w:rsidP="001966E6">
            <w:pPr>
              <w:pStyle w:val="Prrafodelista"/>
              <w:pBdr>
                <w:top w:val="nil"/>
                <w:left w:val="nil"/>
                <w:bottom w:val="nil"/>
                <w:right w:val="nil"/>
                <w:between w:val="nil"/>
              </w:pBdr>
              <w:spacing w:after="0" w:line="240" w:lineRule="auto"/>
              <w:ind w:left="360"/>
              <w:jc w:val="both"/>
              <w:rPr>
                <w:rFonts w:ascii="Palatino Linotype" w:eastAsia="Palatino Linotype" w:hAnsi="Palatino Linotype" w:cs="Palatino Linotype"/>
                <w:iCs/>
                <w:color w:val="000000" w:themeColor="text1"/>
                <w:sz w:val="20"/>
                <w:szCs w:val="20"/>
              </w:rPr>
            </w:pPr>
            <w:r w:rsidRPr="00113B3E">
              <w:rPr>
                <w:rFonts w:ascii="Palatino Linotype" w:eastAsia="Palatino Linotype" w:hAnsi="Palatino Linotype" w:cs="Palatino Linotype"/>
                <w:iCs/>
                <w:noProof/>
                <w:color w:val="000000" w:themeColor="text1"/>
                <w:sz w:val="20"/>
                <w:szCs w:val="20"/>
              </w:rPr>
              <w:drawing>
                <wp:inline distT="0" distB="0" distL="0" distR="0" wp14:anchorId="2CA45DED" wp14:editId="7378BDFD">
                  <wp:extent cx="3295650" cy="28765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95650" cy="287655"/>
                          </a:xfrm>
                          <a:prstGeom prst="rect">
                            <a:avLst/>
                          </a:prstGeom>
                        </pic:spPr>
                      </pic:pic>
                    </a:graphicData>
                  </a:graphic>
                </wp:inline>
              </w:drawing>
            </w:r>
          </w:p>
          <w:p w14:paraId="26BD8047" w14:textId="77777777" w:rsidR="00D707A3" w:rsidRPr="00113B3E" w:rsidRDefault="00D707A3" w:rsidP="00D707A3">
            <w:pPr>
              <w:pStyle w:val="Prrafodelista"/>
              <w:pBdr>
                <w:top w:val="nil"/>
                <w:left w:val="nil"/>
                <w:bottom w:val="nil"/>
                <w:right w:val="nil"/>
                <w:between w:val="nil"/>
              </w:pBdr>
              <w:spacing w:after="0" w:line="240" w:lineRule="auto"/>
              <w:ind w:left="360"/>
              <w:jc w:val="both"/>
              <w:rPr>
                <w:rFonts w:ascii="Palatino Linotype" w:eastAsia="Palatino Linotype" w:hAnsi="Palatino Linotype" w:cs="Palatino Linotype"/>
                <w:iCs/>
                <w:color w:val="000000" w:themeColor="text1"/>
                <w:sz w:val="20"/>
                <w:szCs w:val="20"/>
              </w:rPr>
            </w:pPr>
          </w:p>
          <w:p w14:paraId="318F1039" w14:textId="70A5A2AD" w:rsidR="001966E6" w:rsidRPr="00113B3E" w:rsidRDefault="001966E6" w:rsidP="001966E6">
            <w:pPr>
              <w:pStyle w:val="Prrafodelista"/>
              <w:numPr>
                <w:ilvl w:val="0"/>
                <w:numId w:val="29"/>
              </w:numPr>
              <w:pBdr>
                <w:top w:val="nil"/>
                <w:left w:val="nil"/>
                <w:bottom w:val="nil"/>
                <w:right w:val="nil"/>
                <w:between w:val="nil"/>
              </w:pBdr>
              <w:spacing w:after="0" w:line="240" w:lineRule="auto"/>
              <w:jc w:val="both"/>
              <w:rPr>
                <w:rFonts w:ascii="Palatino Linotype" w:eastAsia="Palatino Linotype" w:hAnsi="Palatino Linotype" w:cs="Palatino Linotype"/>
                <w:iCs/>
                <w:color w:val="000000" w:themeColor="text1"/>
                <w:sz w:val="20"/>
                <w:szCs w:val="20"/>
              </w:rPr>
            </w:pPr>
            <w:r w:rsidRPr="00113B3E">
              <w:rPr>
                <w:rFonts w:ascii="Palatino Linotype" w:eastAsia="Palatino Linotype" w:hAnsi="Palatino Linotype" w:cs="Palatino Linotype"/>
                <w:iCs/>
                <w:color w:val="000000" w:themeColor="text1"/>
                <w:sz w:val="20"/>
                <w:szCs w:val="20"/>
              </w:rPr>
              <w:t>Oficio del 10 de septiembre de 2025, a través del cual la Consejería Jurídica refirió que no cuenta con la información solicitada, toda vez que dentro de sus atribuciones no está de contratos o convenios con empresas o agencias encargadas de llevar a cabo artistas o agrupaciones musicales.</w:t>
            </w:r>
          </w:p>
          <w:p w14:paraId="1D220FBE" w14:textId="7B50B1AE" w:rsidR="001966E6" w:rsidRPr="00113B3E" w:rsidRDefault="001966E6" w:rsidP="001966E6">
            <w:pPr>
              <w:pStyle w:val="Prrafodelista"/>
              <w:pBdr>
                <w:top w:val="nil"/>
                <w:left w:val="nil"/>
                <w:bottom w:val="nil"/>
                <w:right w:val="nil"/>
                <w:between w:val="nil"/>
              </w:pBdr>
              <w:spacing w:after="0" w:line="240" w:lineRule="auto"/>
              <w:ind w:left="360"/>
              <w:jc w:val="both"/>
              <w:rPr>
                <w:rFonts w:ascii="Palatino Linotype" w:eastAsia="Palatino Linotype" w:hAnsi="Palatino Linotype" w:cs="Palatino Linotype"/>
                <w:iCs/>
                <w:color w:val="000000" w:themeColor="text1"/>
                <w:sz w:val="20"/>
                <w:szCs w:val="20"/>
              </w:rPr>
            </w:pPr>
          </w:p>
        </w:tc>
      </w:tr>
      <w:tr w:rsidR="00707349" w:rsidRPr="00113B3E" w14:paraId="03497F37" w14:textId="77777777" w:rsidTr="00DA506F">
        <w:trPr>
          <w:jc w:val="center"/>
        </w:trPr>
        <w:tc>
          <w:tcPr>
            <w:tcW w:w="2972" w:type="dxa"/>
            <w:vAlign w:val="center"/>
          </w:tcPr>
          <w:p w14:paraId="225A5A49" w14:textId="77777777" w:rsidR="00707349" w:rsidRPr="00113B3E" w:rsidRDefault="00707349" w:rsidP="00707349">
            <w:pPr>
              <w:spacing w:after="0" w:line="240" w:lineRule="auto"/>
              <w:jc w:val="center"/>
              <w:rPr>
                <w:rFonts w:ascii="Palatino Linotype" w:eastAsia="Palatino Linotype" w:hAnsi="Palatino Linotype" w:cs="Palatino Linotype"/>
                <w:b/>
                <w:bCs/>
                <w:sz w:val="20"/>
                <w:szCs w:val="20"/>
              </w:rPr>
            </w:pPr>
            <w:r w:rsidRPr="00113B3E">
              <w:rPr>
                <w:rFonts w:ascii="Palatino Linotype" w:eastAsia="Palatino Linotype" w:hAnsi="Palatino Linotype" w:cs="Palatino Linotype"/>
                <w:b/>
                <w:bCs/>
                <w:sz w:val="20"/>
                <w:szCs w:val="20"/>
              </w:rPr>
              <w:t>04573/TOLUCA/IP/2025</w:t>
            </w:r>
          </w:p>
          <w:p w14:paraId="7F4664D4" w14:textId="77777777" w:rsidR="00707349" w:rsidRPr="00113B3E" w:rsidRDefault="00707349" w:rsidP="00707349">
            <w:pPr>
              <w:spacing w:after="0" w:line="240" w:lineRule="auto"/>
              <w:jc w:val="center"/>
              <w:rPr>
                <w:rFonts w:ascii="Palatino Linotype" w:eastAsia="Palatino Linotype" w:hAnsi="Palatino Linotype" w:cs="Palatino Linotype"/>
                <w:b/>
                <w:sz w:val="19"/>
                <w:szCs w:val="19"/>
              </w:rPr>
            </w:pPr>
            <w:r w:rsidRPr="00113B3E">
              <w:rPr>
                <w:rFonts w:ascii="Palatino Linotype" w:eastAsia="Palatino Linotype" w:hAnsi="Palatino Linotype" w:cs="Palatino Linotype"/>
                <w:b/>
                <w:sz w:val="19"/>
                <w:szCs w:val="19"/>
              </w:rPr>
              <w:t>Recurso de revision 11360/INFOEM/IP/RR/2025</w:t>
            </w:r>
          </w:p>
          <w:p w14:paraId="60A4DFA7" w14:textId="17CEF553" w:rsidR="00707349" w:rsidRPr="00113B3E" w:rsidRDefault="00707349" w:rsidP="00707349">
            <w:pPr>
              <w:spacing w:after="0" w:line="240" w:lineRule="auto"/>
              <w:jc w:val="center"/>
              <w:rPr>
                <w:rFonts w:ascii="Palatino Linotype" w:eastAsia="Palatino Linotype" w:hAnsi="Palatino Linotype" w:cs="Palatino Linotype"/>
                <w:b/>
                <w:iCs/>
                <w:sz w:val="20"/>
                <w:szCs w:val="20"/>
              </w:rPr>
            </w:pPr>
          </w:p>
        </w:tc>
        <w:tc>
          <w:tcPr>
            <w:tcW w:w="5856" w:type="dxa"/>
          </w:tcPr>
          <w:p w14:paraId="769FC1C0" w14:textId="77777777" w:rsidR="00D707A3" w:rsidRPr="00113B3E" w:rsidRDefault="00D707A3" w:rsidP="00D707A3">
            <w:pPr>
              <w:pStyle w:val="Prrafodelista"/>
              <w:numPr>
                <w:ilvl w:val="0"/>
                <w:numId w:val="29"/>
              </w:numPr>
              <w:pBdr>
                <w:top w:val="nil"/>
                <w:left w:val="nil"/>
                <w:bottom w:val="nil"/>
                <w:right w:val="nil"/>
                <w:between w:val="nil"/>
              </w:pBdr>
              <w:spacing w:after="0" w:line="240" w:lineRule="auto"/>
              <w:jc w:val="both"/>
              <w:rPr>
                <w:rFonts w:ascii="Palatino Linotype" w:eastAsia="Palatino Linotype" w:hAnsi="Palatino Linotype" w:cs="Palatino Linotype"/>
                <w:iCs/>
                <w:color w:val="000000" w:themeColor="text1"/>
                <w:sz w:val="20"/>
                <w:szCs w:val="20"/>
              </w:rPr>
            </w:pPr>
            <w:r w:rsidRPr="00113B3E">
              <w:rPr>
                <w:rFonts w:ascii="Palatino Linotype" w:eastAsia="Palatino Linotype" w:hAnsi="Palatino Linotype" w:cs="Palatino Linotype"/>
                <w:iCs/>
                <w:color w:val="000000" w:themeColor="text1"/>
                <w:sz w:val="20"/>
                <w:szCs w:val="20"/>
              </w:rPr>
              <w:t>Oficio del 17 de septiembre de 2025, a través del cual la Directora de Cultura y Turismo informó que lo requerido le compete a la Dirección de Administración y la Tesorería.</w:t>
            </w:r>
          </w:p>
          <w:p w14:paraId="69D8E8CB" w14:textId="77777777" w:rsidR="00D707A3" w:rsidRPr="00113B3E" w:rsidRDefault="00D707A3" w:rsidP="00D707A3">
            <w:pPr>
              <w:pStyle w:val="Prrafodelista"/>
              <w:pBdr>
                <w:top w:val="nil"/>
                <w:left w:val="nil"/>
                <w:bottom w:val="nil"/>
                <w:right w:val="nil"/>
                <w:between w:val="nil"/>
              </w:pBdr>
              <w:spacing w:after="0" w:line="240" w:lineRule="auto"/>
              <w:ind w:left="360"/>
              <w:jc w:val="both"/>
              <w:rPr>
                <w:rFonts w:ascii="Palatino Linotype" w:eastAsia="Palatino Linotype" w:hAnsi="Palatino Linotype" w:cs="Palatino Linotype"/>
                <w:iCs/>
                <w:color w:val="000000" w:themeColor="text1"/>
                <w:sz w:val="20"/>
                <w:szCs w:val="20"/>
              </w:rPr>
            </w:pPr>
          </w:p>
          <w:p w14:paraId="4167B24D" w14:textId="77777777" w:rsidR="00D707A3" w:rsidRPr="00113B3E" w:rsidRDefault="00D707A3" w:rsidP="00D707A3">
            <w:pPr>
              <w:pStyle w:val="Prrafodelista"/>
              <w:numPr>
                <w:ilvl w:val="0"/>
                <w:numId w:val="29"/>
              </w:numPr>
              <w:pBdr>
                <w:top w:val="nil"/>
                <w:left w:val="nil"/>
                <w:bottom w:val="nil"/>
                <w:right w:val="nil"/>
                <w:between w:val="nil"/>
              </w:pBdr>
              <w:spacing w:after="0" w:line="240" w:lineRule="auto"/>
              <w:jc w:val="both"/>
              <w:rPr>
                <w:rFonts w:ascii="Palatino Linotype" w:eastAsia="Palatino Linotype" w:hAnsi="Palatino Linotype" w:cs="Palatino Linotype"/>
                <w:iCs/>
                <w:color w:val="000000" w:themeColor="text1"/>
                <w:sz w:val="20"/>
                <w:szCs w:val="20"/>
              </w:rPr>
            </w:pPr>
            <w:r w:rsidRPr="00113B3E">
              <w:rPr>
                <w:rFonts w:ascii="Palatino Linotype" w:eastAsia="Palatino Linotype" w:hAnsi="Palatino Linotype" w:cs="Palatino Linotype"/>
                <w:iCs/>
                <w:color w:val="000000" w:themeColor="text1"/>
                <w:sz w:val="20"/>
                <w:szCs w:val="20"/>
              </w:rPr>
              <w:t xml:space="preserve">Oficio del 22 de septiembre de 2025, a través del cual la Directora de Recursos Materiales indicó que la información requerida se puede consultar en el IPOMEX en el artículo 92 fracción XXIX relativo a los resultados de procedimientos de </w:t>
            </w:r>
            <w:r w:rsidRPr="00113B3E">
              <w:rPr>
                <w:rFonts w:ascii="Palatino Linotype" w:eastAsia="Palatino Linotype" w:hAnsi="Palatino Linotype" w:cs="Palatino Linotype"/>
                <w:iCs/>
                <w:color w:val="000000" w:themeColor="text1"/>
                <w:sz w:val="20"/>
                <w:szCs w:val="20"/>
              </w:rPr>
              <w:lastRenderedPageBreak/>
              <w:t>adjudicación directa, licitación pública e invitación restringida, adjuntando un link en formato cerrado.</w:t>
            </w:r>
          </w:p>
          <w:p w14:paraId="423005CB" w14:textId="77777777" w:rsidR="00D707A3" w:rsidRPr="00113B3E" w:rsidRDefault="00D707A3" w:rsidP="00D707A3">
            <w:pPr>
              <w:pStyle w:val="Prrafodelista"/>
              <w:rPr>
                <w:rFonts w:ascii="Palatino Linotype" w:eastAsia="Palatino Linotype" w:hAnsi="Palatino Linotype" w:cs="Palatino Linotype"/>
                <w:iCs/>
                <w:color w:val="000000" w:themeColor="text1"/>
                <w:sz w:val="20"/>
                <w:szCs w:val="20"/>
              </w:rPr>
            </w:pPr>
          </w:p>
          <w:p w14:paraId="475B2412" w14:textId="77777777" w:rsidR="00D707A3" w:rsidRPr="00113B3E" w:rsidRDefault="00D707A3" w:rsidP="00D707A3">
            <w:pPr>
              <w:pStyle w:val="Prrafodelista"/>
              <w:pBdr>
                <w:top w:val="nil"/>
                <w:left w:val="nil"/>
                <w:bottom w:val="nil"/>
                <w:right w:val="nil"/>
                <w:between w:val="nil"/>
              </w:pBdr>
              <w:spacing w:after="0" w:line="240" w:lineRule="auto"/>
              <w:ind w:left="360"/>
              <w:jc w:val="both"/>
              <w:rPr>
                <w:rFonts w:ascii="Palatino Linotype" w:eastAsia="Palatino Linotype" w:hAnsi="Palatino Linotype" w:cs="Palatino Linotype"/>
                <w:iCs/>
                <w:color w:val="000000" w:themeColor="text1"/>
                <w:sz w:val="20"/>
                <w:szCs w:val="20"/>
              </w:rPr>
            </w:pPr>
            <w:r w:rsidRPr="00113B3E">
              <w:rPr>
                <w:rFonts w:ascii="Palatino Linotype" w:eastAsia="Palatino Linotype" w:hAnsi="Palatino Linotype" w:cs="Palatino Linotype"/>
                <w:iCs/>
                <w:noProof/>
                <w:color w:val="000000" w:themeColor="text1"/>
                <w:sz w:val="20"/>
                <w:szCs w:val="20"/>
              </w:rPr>
              <w:drawing>
                <wp:inline distT="0" distB="0" distL="0" distR="0" wp14:anchorId="5BE44107" wp14:editId="5E9F8794">
                  <wp:extent cx="3295650" cy="28765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95650" cy="287655"/>
                          </a:xfrm>
                          <a:prstGeom prst="rect">
                            <a:avLst/>
                          </a:prstGeom>
                        </pic:spPr>
                      </pic:pic>
                    </a:graphicData>
                  </a:graphic>
                </wp:inline>
              </w:drawing>
            </w:r>
          </w:p>
          <w:p w14:paraId="0E83B2E4" w14:textId="77777777" w:rsidR="00D707A3" w:rsidRPr="00113B3E" w:rsidRDefault="00D707A3" w:rsidP="00D707A3">
            <w:pPr>
              <w:pStyle w:val="Prrafodelista"/>
              <w:pBdr>
                <w:top w:val="nil"/>
                <w:left w:val="nil"/>
                <w:bottom w:val="nil"/>
                <w:right w:val="nil"/>
                <w:between w:val="nil"/>
              </w:pBdr>
              <w:spacing w:after="0" w:line="240" w:lineRule="auto"/>
              <w:ind w:left="360"/>
              <w:jc w:val="both"/>
              <w:rPr>
                <w:rFonts w:ascii="Palatino Linotype" w:eastAsia="Palatino Linotype" w:hAnsi="Palatino Linotype" w:cs="Palatino Linotype"/>
                <w:iCs/>
                <w:color w:val="000000" w:themeColor="text1"/>
                <w:sz w:val="20"/>
                <w:szCs w:val="20"/>
              </w:rPr>
            </w:pPr>
          </w:p>
          <w:p w14:paraId="6D727AF7" w14:textId="77777777" w:rsidR="00D707A3" w:rsidRPr="00113B3E" w:rsidRDefault="00D707A3" w:rsidP="00D707A3">
            <w:pPr>
              <w:pStyle w:val="Prrafodelista"/>
              <w:numPr>
                <w:ilvl w:val="0"/>
                <w:numId w:val="29"/>
              </w:numPr>
              <w:pBdr>
                <w:top w:val="nil"/>
                <w:left w:val="nil"/>
                <w:bottom w:val="nil"/>
                <w:right w:val="nil"/>
                <w:between w:val="nil"/>
              </w:pBdr>
              <w:spacing w:after="0" w:line="240" w:lineRule="auto"/>
              <w:jc w:val="both"/>
              <w:rPr>
                <w:rFonts w:ascii="Palatino Linotype" w:eastAsia="Palatino Linotype" w:hAnsi="Palatino Linotype" w:cs="Palatino Linotype"/>
                <w:iCs/>
                <w:color w:val="000000" w:themeColor="text1"/>
                <w:sz w:val="20"/>
                <w:szCs w:val="20"/>
              </w:rPr>
            </w:pPr>
            <w:r w:rsidRPr="00113B3E">
              <w:rPr>
                <w:rFonts w:ascii="Palatino Linotype" w:eastAsia="Palatino Linotype" w:hAnsi="Palatino Linotype" w:cs="Palatino Linotype"/>
                <w:iCs/>
                <w:color w:val="000000" w:themeColor="text1"/>
                <w:sz w:val="20"/>
                <w:szCs w:val="20"/>
              </w:rPr>
              <w:t>Oficio del 10 de septiembre de 2025, a través del cual la Consejería Jurídica refirió que no cuenta con la información solicitada, toda vez que dentro de sus atribuciones no está de contratos o convenios con empresas o agencias encargadas de llevar a cabo artistas o agrupaciones musicales.</w:t>
            </w:r>
          </w:p>
          <w:p w14:paraId="5F7E171C" w14:textId="1700457D" w:rsidR="00707349" w:rsidRPr="00113B3E" w:rsidRDefault="00707349" w:rsidP="00707349">
            <w:pPr>
              <w:pBdr>
                <w:top w:val="nil"/>
                <w:left w:val="nil"/>
                <w:bottom w:val="nil"/>
                <w:right w:val="nil"/>
                <w:between w:val="nil"/>
              </w:pBdr>
              <w:spacing w:after="0" w:line="240" w:lineRule="auto"/>
              <w:jc w:val="both"/>
              <w:rPr>
                <w:rFonts w:ascii="Palatino Linotype" w:eastAsia="Palatino Linotype" w:hAnsi="Palatino Linotype" w:cs="Palatino Linotype"/>
                <w:iCs/>
                <w:sz w:val="20"/>
                <w:szCs w:val="20"/>
              </w:rPr>
            </w:pPr>
          </w:p>
        </w:tc>
      </w:tr>
    </w:tbl>
    <w:p w14:paraId="35A225FE" w14:textId="77777777" w:rsidR="00D747E4" w:rsidRPr="00113B3E" w:rsidRDefault="00D747E4">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0456D70D" w14:textId="614F51DF" w:rsidR="00823596" w:rsidRPr="00113B3E" w:rsidRDefault="00D707A3" w:rsidP="00C51A28">
      <w:pPr>
        <w:pStyle w:val="Listaconvietas3"/>
        <w:numPr>
          <w:ilvl w:val="0"/>
          <w:numId w:val="0"/>
        </w:numPr>
        <w:pBdr>
          <w:top w:val="nil"/>
          <w:left w:val="nil"/>
          <w:bottom w:val="nil"/>
          <w:right w:val="nil"/>
          <w:between w:val="nil"/>
        </w:pBdr>
        <w:tabs>
          <w:tab w:val="left" w:pos="284"/>
        </w:tabs>
        <w:spacing w:line="360" w:lineRule="auto"/>
        <w:contextualSpacing w:val="0"/>
        <w:jc w:val="both"/>
        <w:rPr>
          <w:rFonts w:ascii="Palatino Linotype" w:eastAsia="Palatino Linotype" w:hAnsi="Palatino Linotype" w:cs="Palatino Linotype"/>
          <w:sz w:val="22"/>
          <w:szCs w:val="22"/>
        </w:rPr>
      </w:pPr>
      <w:bookmarkStart w:id="3" w:name="_heading=h.gjdgxs" w:colFirst="0" w:colLast="0"/>
      <w:bookmarkEnd w:id="3"/>
      <w:r w:rsidRPr="00113B3E">
        <w:rPr>
          <w:rFonts w:ascii="Palatino Linotype" w:eastAsia="Palatino Linotype" w:hAnsi="Palatino Linotype" w:cs="Palatino Linotype"/>
          <w:b/>
          <w:sz w:val="22"/>
          <w:szCs w:val="22"/>
        </w:rPr>
        <w:t>3</w:t>
      </w:r>
      <w:r w:rsidR="000554F1" w:rsidRPr="00113B3E">
        <w:rPr>
          <w:rFonts w:ascii="Palatino Linotype" w:eastAsia="Palatino Linotype" w:hAnsi="Palatino Linotype" w:cs="Palatino Linotype"/>
          <w:b/>
          <w:sz w:val="22"/>
          <w:szCs w:val="22"/>
        </w:rPr>
        <w:t xml:space="preserve">. </w:t>
      </w:r>
      <w:r w:rsidR="00210776" w:rsidRPr="00113B3E">
        <w:rPr>
          <w:rFonts w:ascii="Palatino Linotype" w:eastAsia="Palatino Linotype" w:hAnsi="Palatino Linotype" w:cs="Palatino Linotype"/>
          <w:b/>
          <w:sz w:val="22"/>
          <w:szCs w:val="22"/>
        </w:rPr>
        <w:t xml:space="preserve">Interposición de los recursos de revisión. </w:t>
      </w:r>
      <w:r w:rsidR="00210776" w:rsidRPr="00113B3E">
        <w:rPr>
          <w:rFonts w:ascii="Palatino Linotype" w:eastAsia="Palatino Linotype" w:hAnsi="Palatino Linotype" w:cs="Palatino Linotype"/>
          <w:sz w:val="22"/>
          <w:szCs w:val="22"/>
        </w:rPr>
        <w:t xml:space="preserve">Inconforme la persona solicitante con las respuestas emitidas por el </w:t>
      </w:r>
      <w:r w:rsidR="00210776" w:rsidRPr="00113B3E">
        <w:rPr>
          <w:rFonts w:ascii="Palatino Linotype" w:eastAsia="Palatino Linotype" w:hAnsi="Palatino Linotype" w:cs="Palatino Linotype"/>
          <w:b/>
          <w:sz w:val="22"/>
          <w:szCs w:val="22"/>
        </w:rPr>
        <w:t xml:space="preserve">Sujeto Obligado </w:t>
      </w:r>
      <w:r w:rsidR="00210776" w:rsidRPr="00113B3E">
        <w:rPr>
          <w:rFonts w:ascii="Palatino Linotype" w:eastAsia="Palatino Linotype" w:hAnsi="Palatino Linotype" w:cs="Palatino Linotype"/>
          <w:sz w:val="22"/>
          <w:szCs w:val="22"/>
        </w:rPr>
        <w:t xml:space="preserve">a sus solicitudes, en fecha </w:t>
      </w:r>
      <w:r w:rsidRPr="00113B3E">
        <w:rPr>
          <w:rFonts w:ascii="Palatino Linotype" w:eastAsia="Palatino Linotype" w:hAnsi="Palatino Linotype" w:cs="Palatino Linotype"/>
          <w:b/>
          <w:sz w:val="22"/>
          <w:szCs w:val="22"/>
        </w:rPr>
        <w:t>dos de octubre</w:t>
      </w:r>
      <w:r w:rsidR="00EF5420" w:rsidRPr="00113B3E">
        <w:rPr>
          <w:rFonts w:ascii="Palatino Linotype" w:eastAsia="Palatino Linotype" w:hAnsi="Palatino Linotype" w:cs="Palatino Linotype"/>
          <w:b/>
          <w:sz w:val="22"/>
          <w:szCs w:val="22"/>
        </w:rPr>
        <w:t xml:space="preserve"> </w:t>
      </w:r>
      <w:r w:rsidR="00210776" w:rsidRPr="00113B3E">
        <w:rPr>
          <w:rFonts w:ascii="Palatino Linotype" w:eastAsia="Palatino Linotype" w:hAnsi="Palatino Linotype" w:cs="Palatino Linotype"/>
          <w:b/>
          <w:sz w:val="22"/>
          <w:szCs w:val="22"/>
        </w:rPr>
        <w:t>de</w:t>
      </w:r>
      <w:r w:rsidR="00210776" w:rsidRPr="00113B3E">
        <w:rPr>
          <w:rFonts w:ascii="Palatino Linotype" w:eastAsia="Palatino Linotype" w:hAnsi="Palatino Linotype" w:cs="Palatino Linotype"/>
          <w:b/>
        </w:rPr>
        <w:t xml:space="preserve"> </w:t>
      </w:r>
      <w:r w:rsidR="00210776" w:rsidRPr="00113B3E">
        <w:rPr>
          <w:rFonts w:ascii="Palatino Linotype" w:eastAsia="Palatino Linotype" w:hAnsi="Palatino Linotype" w:cs="Palatino Linotype"/>
          <w:b/>
          <w:sz w:val="22"/>
          <w:szCs w:val="22"/>
        </w:rPr>
        <w:t>dos mil veinticinco</w:t>
      </w:r>
      <w:r w:rsidR="00210776" w:rsidRPr="00113B3E">
        <w:rPr>
          <w:rFonts w:ascii="Palatino Linotype" w:eastAsia="Palatino Linotype" w:hAnsi="Palatino Linotype" w:cs="Palatino Linotype"/>
          <w:sz w:val="22"/>
          <w:szCs w:val="22"/>
        </w:rPr>
        <w:t xml:space="preserve">, interpuso los recursos </w:t>
      </w:r>
      <w:r w:rsidR="002B3272" w:rsidRPr="00113B3E">
        <w:rPr>
          <w:rFonts w:ascii="Palatino Linotype" w:eastAsia="Palatino Linotype" w:hAnsi="Palatino Linotype" w:cs="Palatino Linotype"/>
          <w:sz w:val="22"/>
          <w:szCs w:val="22"/>
        </w:rPr>
        <w:t>de revisión a través del SAIMEX</w:t>
      </w:r>
      <w:r w:rsidR="00A854C3" w:rsidRPr="00113B3E">
        <w:rPr>
          <w:rFonts w:ascii="Palatino Linotype" w:eastAsia="Palatino Linotype" w:hAnsi="Palatino Linotype" w:cs="Palatino Linotype"/>
          <w:b/>
          <w:sz w:val="22"/>
          <w:szCs w:val="22"/>
        </w:rPr>
        <w:t>;</w:t>
      </w:r>
      <w:r w:rsidR="00210776" w:rsidRPr="00113B3E">
        <w:rPr>
          <w:rFonts w:ascii="Palatino Linotype" w:eastAsia="Palatino Linotype" w:hAnsi="Palatino Linotype" w:cs="Palatino Linotype"/>
          <w:sz w:val="22"/>
          <w:szCs w:val="22"/>
        </w:rPr>
        <w:t xml:space="preserve"> expresando lo siguiente en todos los casos:</w:t>
      </w:r>
    </w:p>
    <w:p w14:paraId="5CC4EB80" w14:textId="77777777" w:rsidR="001906AE" w:rsidRPr="00113B3E" w:rsidRDefault="001906AE" w:rsidP="00823596">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2929"/>
        <w:gridCol w:w="3149"/>
        <w:gridCol w:w="2977"/>
      </w:tblGrid>
      <w:tr w:rsidR="002479D3" w:rsidRPr="00113B3E" w14:paraId="618A7BB1" w14:textId="77777777" w:rsidTr="00A854C3">
        <w:tc>
          <w:tcPr>
            <w:tcW w:w="2929" w:type="dxa"/>
            <w:shd w:val="clear" w:color="auto" w:fill="D9D9D9" w:themeFill="background1" w:themeFillShade="D9"/>
          </w:tcPr>
          <w:p w14:paraId="0586F3CD" w14:textId="5F91BBD8" w:rsidR="002479D3" w:rsidRPr="00113B3E" w:rsidRDefault="002479D3" w:rsidP="002479D3">
            <w:pPr>
              <w:tabs>
                <w:tab w:val="left" w:pos="284"/>
              </w:tabs>
              <w:spacing w:line="360" w:lineRule="auto"/>
              <w:jc w:val="center"/>
              <w:rPr>
                <w:rFonts w:ascii="Palatino Linotype" w:eastAsia="Palatino Linotype" w:hAnsi="Palatino Linotype" w:cs="Palatino Linotype"/>
                <w:b/>
                <w:bCs/>
              </w:rPr>
            </w:pPr>
            <w:r w:rsidRPr="00113B3E">
              <w:rPr>
                <w:rFonts w:ascii="Palatino Linotype" w:eastAsia="Palatino Linotype" w:hAnsi="Palatino Linotype" w:cs="Palatino Linotype"/>
                <w:b/>
                <w:bCs/>
              </w:rPr>
              <w:t>Recurso de Revisión</w:t>
            </w:r>
          </w:p>
        </w:tc>
        <w:tc>
          <w:tcPr>
            <w:tcW w:w="3149" w:type="dxa"/>
            <w:shd w:val="clear" w:color="auto" w:fill="D9D9D9" w:themeFill="background1" w:themeFillShade="D9"/>
          </w:tcPr>
          <w:p w14:paraId="2543A5EA" w14:textId="42806186" w:rsidR="002479D3" w:rsidRPr="00113B3E" w:rsidRDefault="002479D3" w:rsidP="002479D3">
            <w:pPr>
              <w:tabs>
                <w:tab w:val="left" w:pos="284"/>
              </w:tabs>
              <w:spacing w:line="360" w:lineRule="auto"/>
              <w:jc w:val="center"/>
              <w:rPr>
                <w:rFonts w:ascii="Palatino Linotype" w:eastAsia="Palatino Linotype" w:hAnsi="Palatino Linotype" w:cs="Palatino Linotype"/>
                <w:b/>
                <w:bCs/>
              </w:rPr>
            </w:pPr>
            <w:r w:rsidRPr="00113B3E">
              <w:rPr>
                <w:rFonts w:ascii="Palatino Linotype" w:eastAsia="Palatino Linotype" w:hAnsi="Palatino Linotype" w:cs="Palatino Linotype"/>
                <w:b/>
                <w:bCs/>
              </w:rPr>
              <w:t>Acto Impugnado</w:t>
            </w:r>
          </w:p>
        </w:tc>
        <w:tc>
          <w:tcPr>
            <w:tcW w:w="2977" w:type="dxa"/>
            <w:shd w:val="clear" w:color="auto" w:fill="D9D9D9" w:themeFill="background1" w:themeFillShade="D9"/>
          </w:tcPr>
          <w:p w14:paraId="2F40BC74" w14:textId="579245DE" w:rsidR="002479D3" w:rsidRPr="00113B3E" w:rsidRDefault="002479D3" w:rsidP="002479D3">
            <w:pPr>
              <w:tabs>
                <w:tab w:val="left" w:pos="284"/>
              </w:tabs>
              <w:spacing w:line="360" w:lineRule="auto"/>
              <w:jc w:val="center"/>
              <w:rPr>
                <w:rFonts w:ascii="Palatino Linotype" w:eastAsia="Palatino Linotype" w:hAnsi="Palatino Linotype" w:cs="Palatino Linotype"/>
                <w:b/>
                <w:bCs/>
              </w:rPr>
            </w:pPr>
            <w:r w:rsidRPr="00113B3E">
              <w:rPr>
                <w:rFonts w:ascii="Palatino Linotype" w:eastAsia="Palatino Linotype" w:hAnsi="Palatino Linotype" w:cs="Palatino Linotype"/>
                <w:b/>
                <w:bCs/>
              </w:rPr>
              <w:t>Motivos de Inconformidad</w:t>
            </w:r>
          </w:p>
        </w:tc>
      </w:tr>
      <w:tr w:rsidR="002479D3" w:rsidRPr="00113B3E" w14:paraId="44F9571A" w14:textId="77777777" w:rsidTr="0073181D">
        <w:tc>
          <w:tcPr>
            <w:tcW w:w="2929" w:type="dxa"/>
          </w:tcPr>
          <w:p w14:paraId="18B80F11" w14:textId="79D103CC" w:rsidR="002479D3" w:rsidRPr="00113B3E" w:rsidRDefault="00D707A3" w:rsidP="002B3272">
            <w:pPr>
              <w:tabs>
                <w:tab w:val="left" w:pos="284"/>
              </w:tabs>
              <w:spacing w:line="360" w:lineRule="auto"/>
              <w:jc w:val="both"/>
              <w:rPr>
                <w:rFonts w:ascii="Palatino Linotype" w:eastAsia="Palatino Linotype" w:hAnsi="Palatino Linotype" w:cs="Palatino Linotype"/>
                <w:b/>
                <w:bCs/>
              </w:rPr>
            </w:pPr>
            <w:r w:rsidRPr="00113B3E">
              <w:rPr>
                <w:rFonts w:ascii="Palatino Linotype" w:eastAsia="Palatino Linotype" w:hAnsi="Palatino Linotype" w:cs="Palatino Linotype"/>
                <w:b/>
                <w:bCs/>
              </w:rPr>
              <w:t>11359</w:t>
            </w:r>
            <w:r w:rsidR="002479D3" w:rsidRPr="00113B3E">
              <w:rPr>
                <w:rFonts w:ascii="Palatino Linotype" w:eastAsia="Palatino Linotype" w:hAnsi="Palatino Linotype" w:cs="Palatino Linotype"/>
                <w:b/>
                <w:bCs/>
              </w:rPr>
              <w:t>/INFOEM/IP/RR/2025</w:t>
            </w:r>
          </w:p>
        </w:tc>
        <w:tc>
          <w:tcPr>
            <w:tcW w:w="3149" w:type="dxa"/>
          </w:tcPr>
          <w:p w14:paraId="6826C9E1" w14:textId="5B2F33FA" w:rsidR="002479D3" w:rsidRPr="00113B3E" w:rsidRDefault="00D707A3" w:rsidP="00C52A1B">
            <w:pPr>
              <w:tabs>
                <w:tab w:val="left" w:pos="284"/>
              </w:tabs>
              <w:jc w:val="both"/>
              <w:rPr>
                <w:rFonts w:ascii="Palatino Linotype" w:eastAsia="Palatino Linotype" w:hAnsi="Palatino Linotype" w:cs="Palatino Linotype"/>
                <w:i/>
                <w:iCs/>
              </w:rPr>
            </w:pPr>
            <w:r w:rsidRPr="00113B3E">
              <w:rPr>
                <w:rFonts w:ascii="Palatino Linotype" w:eastAsia="Palatino Linotype" w:hAnsi="Palatino Linotype" w:cs="Palatino Linotype"/>
                <w:i/>
                <w:iCs/>
              </w:rPr>
              <w:t>respuesta a la solicitud</w:t>
            </w:r>
          </w:p>
        </w:tc>
        <w:tc>
          <w:tcPr>
            <w:tcW w:w="2977" w:type="dxa"/>
          </w:tcPr>
          <w:p w14:paraId="331B9A40" w14:textId="53F6EDF5" w:rsidR="002479D3" w:rsidRPr="00113B3E" w:rsidRDefault="00D707A3" w:rsidP="00C52A1B">
            <w:pPr>
              <w:tabs>
                <w:tab w:val="left" w:pos="284"/>
              </w:tabs>
              <w:jc w:val="both"/>
              <w:rPr>
                <w:rFonts w:ascii="Palatino Linotype" w:eastAsia="Palatino Linotype" w:hAnsi="Palatino Linotype" w:cs="Palatino Linotype"/>
                <w:i/>
                <w:iCs/>
              </w:rPr>
            </w:pPr>
            <w:r w:rsidRPr="00113B3E">
              <w:rPr>
                <w:rFonts w:ascii="Palatino Linotype" w:eastAsia="Palatino Linotype" w:hAnsi="Palatino Linotype" w:cs="Palatino Linotype"/>
                <w:i/>
                <w:iCs/>
              </w:rPr>
              <w:t>El sujeto obligado me canalizó a la plataforma de IPOMEX para consultar la información solicitada (en este caso, la copia de un contrato) pero en la plataforma de IPOMEX tampoco está la información que pedí, por lo que no existe respuesta a mi solicitud de información. En</w:t>
            </w:r>
          </w:p>
        </w:tc>
      </w:tr>
      <w:tr w:rsidR="002479D3" w:rsidRPr="00113B3E" w14:paraId="38A5DA70" w14:textId="77777777" w:rsidTr="0073181D">
        <w:tc>
          <w:tcPr>
            <w:tcW w:w="2929" w:type="dxa"/>
          </w:tcPr>
          <w:p w14:paraId="2C8F4FB9" w14:textId="0282CA58" w:rsidR="002479D3" w:rsidRPr="00113B3E" w:rsidRDefault="00D707A3" w:rsidP="002B3272">
            <w:pPr>
              <w:tabs>
                <w:tab w:val="left" w:pos="284"/>
              </w:tabs>
              <w:spacing w:line="360" w:lineRule="auto"/>
              <w:jc w:val="both"/>
              <w:rPr>
                <w:rFonts w:ascii="Palatino Linotype" w:eastAsia="Palatino Linotype" w:hAnsi="Palatino Linotype" w:cs="Palatino Linotype"/>
                <w:b/>
                <w:bCs/>
              </w:rPr>
            </w:pPr>
            <w:r w:rsidRPr="00113B3E">
              <w:rPr>
                <w:rFonts w:ascii="Palatino Linotype" w:eastAsia="Palatino Linotype" w:hAnsi="Palatino Linotype" w:cs="Palatino Linotype"/>
                <w:b/>
                <w:bCs/>
              </w:rPr>
              <w:t>11360</w:t>
            </w:r>
            <w:r w:rsidR="00B165FA" w:rsidRPr="00113B3E">
              <w:rPr>
                <w:rFonts w:ascii="Palatino Linotype" w:eastAsia="Palatino Linotype" w:hAnsi="Palatino Linotype" w:cs="Palatino Linotype"/>
                <w:b/>
                <w:bCs/>
              </w:rPr>
              <w:t>/INFOEM/IP/RR/2025</w:t>
            </w:r>
          </w:p>
        </w:tc>
        <w:tc>
          <w:tcPr>
            <w:tcW w:w="3149" w:type="dxa"/>
          </w:tcPr>
          <w:p w14:paraId="10F2266E" w14:textId="1475DB4C" w:rsidR="002479D3" w:rsidRPr="00113B3E" w:rsidRDefault="00D707A3" w:rsidP="00C52A1B">
            <w:pPr>
              <w:tabs>
                <w:tab w:val="left" w:pos="284"/>
              </w:tabs>
              <w:jc w:val="both"/>
              <w:rPr>
                <w:rFonts w:ascii="Palatino Linotype" w:eastAsia="Palatino Linotype" w:hAnsi="Palatino Linotype" w:cs="Palatino Linotype"/>
                <w:i/>
                <w:iCs/>
              </w:rPr>
            </w:pPr>
            <w:r w:rsidRPr="00113B3E">
              <w:rPr>
                <w:rFonts w:ascii="Palatino Linotype" w:eastAsia="Palatino Linotype" w:hAnsi="Palatino Linotype" w:cs="Palatino Linotype"/>
                <w:i/>
                <w:iCs/>
              </w:rPr>
              <w:t>Respuesta de solicitud 04571/TOLUCA/IP/2025.</w:t>
            </w:r>
          </w:p>
        </w:tc>
        <w:tc>
          <w:tcPr>
            <w:tcW w:w="2977" w:type="dxa"/>
          </w:tcPr>
          <w:p w14:paraId="34B9029C" w14:textId="7F6F26D9" w:rsidR="002479D3" w:rsidRPr="00113B3E" w:rsidRDefault="00D707A3" w:rsidP="00C52A1B">
            <w:pPr>
              <w:tabs>
                <w:tab w:val="left" w:pos="284"/>
              </w:tabs>
              <w:jc w:val="both"/>
              <w:rPr>
                <w:rFonts w:ascii="Palatino Linotype" w:eastAsia="Palatino Linotype" w:hAnsi="Palatino Linotype" w:cs="Palatino Linotype"/>
                <w:i/>
                <w:iCs/>
              </w:rPr>
            </w:pPr>
            <w:r w:rsidRPr="00113B3E">
              <w:rPr>
                <w:rFonts w:ascii="Palatino Linotype" w:eastAsia="Palatino Linotype" w:hAnsi="Palatino Linotype" w:cs="Palatino Linotype"/>
                <w:i/>
                <w:iCs/>
              </w:rPr>
              <w:t>El sujeto obligado me canalizó a través de una liga, a la plataforma de IPOMEX, donde supuestamente estaría disponible el contrato que solicité, pero al revisar la plataforma, la información (el contrato) no existe. Envío notifiación en documentos adjuntos</w:t>
            </w:r>
          </w:p>
        </w:tc>
      </w:tr>
    </w:tbl>
    <w:p w14:paraId="1DCCFFB0" w14:textId="77777777" w:rsidR="004E0C56" w:rsidRPr="00113B3E" w:rsidRDefault="004E0C56">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i/>
          <w:iCs/>
        </w:rPr>
      </w:pPr>
    </w:p>
    <w:p w14:paraId="253AE99D" w14:textId="51D7185D" w:rsidR="00D747E4" w:rsidRPr="00113B3E" w:rsidRDefault="00734E5B" w:rsidP="004C2FE9">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b/>
        </w:rPr>
        <w:t>5</w:t>
      </w:r>
      <w:r w:rsidR="004C2FE9" w:rsidRPr="00113B3E">
        <w:rPr>
          <w:rFonts w:ascii="Palatino Linotype" w:eastAsia="Palatino Linotype" w:hAnsi="Palatino Linotype" w:cs="Palatino Linotype"/>
          <w:b/>
        </w:rPr>
        <w:t xml:space="preserve">. </w:t>
      </w:r>
      <w:r w:rsidR="00210776" w:rsidRPr="00113B3E">
        <w:rPr>
          <w:rFonts w:ascii="Palatino Linotype" w:eastAsia="Palatino Linotype" w:hAnsi="Palatino Linotype" w:cs="Palatino Linotype"/>
          <w:b/>
        </w:rPr>
        <w:t>Turno.</w:t>
      </w:r>
      <w:r w:rsidR="00210776" w:rsidRPr="00113B3E">
        <w:rPr>
          <w:rFonts w:ascii="Palatino Linotype" w:eastAsia="Palatino Linotype" w:hAnsi="Palatino Linotype" w:cs="Palatino Linotype"/>
        </w:rPr>
        <w:t xml:space="preserve"> De conformidad con el artículo 185 fracción I de la Ley Transparencia y Acceso a la Información Pública, </w:t>
      </w:r>
      <w:r w:rsidR="001F2C15" w:rsidRPr="00113B3E">
        <w:rPr>
          <w:rFonts w:ascii="Palatino Linotype" w:eastAsia="Palatino Linotype" w:hAnsi="Palatino Linotype" w:cs="Palatino Linotype"/>
        </w:rPr>
        <w:t>los</w:t>
      </w:r>
      <w:r w:rsidR="00210776" w:rsidRPr="00113B3E">
        <w:rPr>
          <w:rFonts w:ascii="Palatino Linotype" w:eastAsia="Palatino Linotype" w:hAnsi="Palatino Linotype" w:cs="Palatino Linotype"/>
        </w:rPr>
        <w:t xml:space="preserve"> Recurso</w:t>
      </w:r>
      <w:r w:rsidR="001F2C15" w:rsidRPr="00113B3E">
        <w:rPr>
          <w:rFonts w:ascii="Palatino Linotype" w:eastAsia="Palatino Linotype" w:hAnsi="Palatino Linotype" w:cs="Palatino Linotype"/>
        </w:rPr>
        <w:t>s</w:t>
      </w:r>
      <w:r w:rsidR="00210776" w:rsidRPr="00113B3E">
        <w:rPr>
          <w:rFonts w:ascii="Palatino Linotype" w:eastAsia="Palatino Linotype" w:hAnsi="Palatino Linotype" w:cs="Palatino Linotype"/>
        </w:rPr>
        <w:t xml:space="preserve"> de Revisión </w:t>
      </w:r>
      <w:r w:rsidR="00D707A3" w:rsidRPr="00113B3E">
        <w:rPr>
          <w:rFonts w:ascii="Palatino Linotype" w:eastAsia="Palatino Linotype" w:hAnsi="Palatino Linotype" w:cs="Palatino Linotype"/>
          <w:b/>
        </w:rPr>
        <w:t>11359</w:t>
      </w:r>
      <w:r w:rsidR="00210776" w:rsidRPr="00113B3E">
        <w:rPr>
          <w:rFonts w:ascii="Palatino Linotype" w:eastAsia="Palatino Linotype" w:hAnsi="Palatino Linotype" w:cs="Palatino Linotype"/>
          <w:b/>
        </w:rPr>
        <w:t>/INFOEM/IP/RR/2025</w:t>
      </w:r>
      <w:r w:rsidR="001F2C15" w:rsidRPr="00113B3E">
        <w:rPr>
          <w:rFonts w:ascii="Palatino Linotype" w:eastAsia="Palatino Linotype" w:hAnsi="Palatino Linotype" w:cs="Palatino Linotype"/>
          <w:b/>
        </w:rPr>
        <w:t xml:space="preserve"> y </w:t>
      </w:r>
      <w:r w:rsidR="00D707A3" w:rsidRPr="00113B3E">
        <w:rPr>
          <w:rFonts w:ascii="Palatino Linotype" w:eastAsia="Palatino Linotype" w:hAnsi="Palatino Linotype" w:cs="Palatino Linotype"/>
          <w:b/>
        </w:rPr>
        <w:t>11360</w:t>
      </w:r>
      <w:r w:rsidR="001F2C15" w:rsidRPr="00113B3E">
        <w:rPr>
          <w:rFonts w:ascii="Palatino Linotype" w:eastAsia="Palatino Linotype" w:hAnsi="Palatino Linotype" w:cs="Palatino Linotype"/>
          <w:b/>
        </w:rPr>
        <w:t>/INFOEM/IP/RR/2025</w:t>
      </w:r>
      <w:r w:rsidR="00931F08" w:rsidRPr="00113B3E">
        <w:rPr>
          <w:rFonts w:ascii="Palatino Linotype" w:eastAsia="Palatino Linotype" w:hAnsi="Palatino Linotype" w:cs="Palatino Linotype"/>
          <w:b/>
        </w:rPr>
        <w:t xml:space="preserve">, </w:t>
      </w:r>
      <w:r w:rsidR="00210776" w:rsidRPr="00113B3E">
        <w:rPr>
          <w:rFonts w:ascii="Palatino Linotype" w:eastAsia="Palatino Linotype" w:hAnsi="Palatino Linotype" w:cs="Palatino Linotype"/>
        </w:rPr>
        <w:t>fue</w:t>
      </w:r>
      <w:r w:rsidR="00A16810" w:rsidRPr="00113B3E">
        <w:rPr>
          <w:rFonts w:ascii="Palatino Linotype" w:eastAsia="Palatino Linotype" w:hAnsi="Palatino Linotype" w:cs="Palatino Linotype"/>
        </w:rPr>
        <w:t>ron</w:t>
      </w:r>
      <w:r w:rsidR="00210776" w:rsidRPr="00113B3E">
        <w:rPr>
          <w:rFonts w:ascii="Palatino Linotype" w:eastAsia="Palatino Linotype" w:hAnsi="Palatino Linotype" w:cs="Palatino Linotype"/>
        </w:rPr>
        <w:t xml:space="preserve"> turnado</w:t>
      </w:r>
      <w:r w:rsidR="00A16810" w:rsidRPr="00113B3E">
        <w:rPr>
          <w:rFonts w:ascii="Palatino Linotype" w:eastAsia="Palatino Linotype" w:hAnsi="Palatino Linotype" w:cs="Palatino Linotype"/>
        </w:rPr>
        <w:t>s</w:t>
      </w:r>
      <w:r w:rsidR="00210776" w:rsidRPr="00113B3E">
        <w:rPr>
          <w:rFonts w:ascii="Palatino Linotype" w:eastAsia="Palatino Linotype" w:hAnsi="Palatino Linotype" w:cs="Palatino Linotype"/>
        </w:rPr>
        <w:t xml:space="preserve"> a la Comi</w:t>
      </w:r>
      <w:r w:rsidR="001F2C15" w:rsidRPr="00113B3E">
        <w:rPr>
          <w:rFonts w:ascii="Palatino Linotype" w:eastAsia="Palatino Linotype" w:hAnsi="Palatino Linotype" w:cs="Palatino Linotype"/>
        </w:rPr>
        <w:t xml:space="preserve">sionada Guadalupe Ramírez Peña y </w:t>
      </w:r>
      <w:r w:rsidR="00EE68EA" w:rsidRPr="00113B3E">
        <w:rPr>
          <w:rFonts w:ascii="Palatino Linotype" w:eastAsia="Palatino Linotype" w:hAnsi="Palatino Linotype" w:cs="Palatino Linotype"/>
        </w:rPr>
        <w:t>al</w:t>
      </w:r>
      <w:r w:rsidR="00464B3F" w:rsidRPr="00113B3E">
        <w:rPr>
          <w:rFonts w:ascii="Palatino Linotype" w:eastAsia="Palatino Linotype" w:hAnsi="Palatino Linotype" w:cs="Palatino Linotype"/>
        </w:rPr>
        <w:t xml:space="preserve"> </w:t>
      </w:r>
      <w:r w:rsidR="00EE68EA" w:rsidRPr="00113B3E">
        <w:rPr>
          <w:rFonts w:ascii="Palatino Linotype" w:eastAsia="Palatino Linotype" w:hAnsi="Palatino Linotype" w:cs="Palatino Linotype"/>
        </w:rPr>
        <w:t>Comisionad</w:t>
      </w:r>
      <w:r w:rsidR="00464B3F" w:rsidRPr="00113B3E">
        <w:rPr>
          <w:rFonts w:ascii="Palatino Linotype" w:eastAsia="Palatino Linotype" w:hAnsi="Palatino Linotype" w:cs="Palatino Linotype"/>
        </w:rPr>
        <w:t>o Presidente José Martínez Vilchis</w:t>
      </w:r>
      <w:r w:rsidR="00532C22" w:rsidRPr="00113B3E">
        <w:rPr>
          <w:rFonts w:ascii="Palatino Linotype" w:eastAsia="Palatino Linotype" w:hAnsi="Palatino Linotype" w:cs="Palatino Linotype"/>
        </w:rPr>
        <w:t xml:space="preserve">, </w:t>
      </w:r>
      <w:r w:rsidR="00A16810" w:rsidRPr="00113B3E">
        <w:rPr>
          <w:rFonts w:ascii="Palatino Linotype" w:eastAsia="Palatino Linotype" w:hAnsi="Palatino Linotype" w:cs="Palatino Linotype"/>
        </w:rPr>
        <w:t>respectivamente.</w:t>
      </w:r>
      <w:r w:rsidR="00210776" w:rsidRPr="00113B3E">
        <w:rPr>
          <w:rFonts w:ascii="Palatino Linotype" w:eastAsia="Palatino Linotype" w:hAnsi="Palatino Linotype" w:cs="Palatino Linotype"/>
        </w:rPr>
        <w:t xml:space="preserve"> </w:t>
      </w:r>
    </w:p>
    <w:p w14:paraId="6020EF8B" w14:textId="77777777" w:rsidR="00D747E4" w:rsidRPr="00113B3E" w:rsidRDefault="00D747E4">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15414656" w14:textId="174F5C12" w:rsidR="00D747E4" w:rsidRPr="00113B3E" w:rsidRDefault="00734E5B" w:rsidP="00CC23F2">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b/>
        </w:rPr>
        <w:t>6</w:t>
      </w:r>
      <w:r w:rsidR="00CC23F2" w:rsidRPr="00113B3E">
        <w:rPr>
          <w:rFonts w:ascii="Palatino Linotype" w:eastAsia="Palatino Linotype" w:hAnsi="Palatino Linotype" w:cs="Palatino Linotype"/>
          <w:b/>
        </w:rPr>
        <w:t>.</w:t>
      </w:r>
      <w:r w:rsidR="00210776" w:rsidRPr="00113B3E">
        <w:rPr>
          <w:rFonts w:ascii="Palatino Linotype" w:eastAsia="Palatino Linotype" w:hAnsi="Palatino Linotype" w:cs="Palatino Linotype"/>
          <w:b/>
        </w:rPr>
        <w:t xml:space="preserve"> Admisión de los Recursos de Revisión. </w:t>
      </w:r>
      <w:r w:rsidR="00D707A3" w:rsidRPr="00113B3E">
        <w:rPr>
          <w:rFonts w:ascii="Palatino Linotype" w:eastAsia="Palatino Linotype" w:hAnsi="Palatino Linotype" w:cs="Palatino Linotype"/>
        </w:rPr>
        <w:t xml:space="preserve">En fechas </w:t>
      </w:r>
      <w:r w:rsidR="00D707A3" w:rsidRPr="00113B3E">
        <w:rPr>
          <w:rFonts w:ascii="Palatino Linotype" w:eastAsia="Palatino Linotype" w:hAnsi="Palatino Linotype" w:cs="Palatino Linotype"/>
          <w:b/>
        </w:rPr>
        <w:t>siete y ocho de octubre</w:t>
      </w:r>
      <w:r w:rsidR="00A16810" w:rsidRPr="00113B3E">
        <w:rPr>
          <w:rFonts w:ascii="Palatino Linotype" w:eastAsia="Palatino Linotype" w:hAnsi="Palatino Linotype" w:cs="Palatino Linotype"/>
          <w:b/>
        </w:rPr>
        <w:t xml:space="preserve"> de dos mil veinticinco</w:t>
      </w:r>
      <w:r w:rsidR="00A854C3" w:rsidRPr="00113B3E">
        <w:rPr>
          <w:rFonts w:ascii="Palatino Linotype" w:eastAsia="Palatino Linotype" w:hAnsi="Palatino Linotype" w:cs="Palatino Linotype"/>
          <w:b/>
        </w:rPr>
        <w:t xml:space="preserve">, </w:t>
      </w:r>
      <w:r w:rsidR="00210776" w:rsidRPr="00113B3E">
        <w:rPr>
          <w:rFonts w:ascii="Palatino Linotype" w:eastAsia="Palatino Linotype" w:hAnsi="Palatino Linotype" w:cs="Palatino Linotype"/>
        </w:rPr>
        <w:t>en términos de lo dispuesto en el artículo 185 fracciones I, II y IV de la Ley de Transparencia y Acceso a la Información Pública del Estado de México y Municipios, se admitieron a trámite los recursos de revisión</w:t>
      </w:r>
      <w:r w:rsidR="00B31F7A" w:rsidRPr="00113B3E">
        <w:rPr>
          <w:rFonts w:ascii="Palatino Linotype" w:eastAsia="Palatino Linotype" w:hAnsi="Palatino Linotype" w:cs="Palatino Linotype"/>
        </w:rPr>
        <w:t>.</w:t>
      </w:r>
    </w:p>
    <w:p w14:paraId="4AF3244E" w14:textId="77777777" w:rsidR="00B31F7A" w:rsidRPr="00113B3E" w:rsidRDefault="00B31F7A" w:rsidP="00B31F7A">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238B38ED" w14:textId="5A28A533" w:rsidR="006B5E29" w:rsidRPr="00113B3E" w:rsidRDefault="00734E5B" w:rsidP="005A61D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b/>
        </w:rPr>
        <w:t>7</w:t>
      </w:r>
      <w:r w:rsidR="005A61D3" w:rsidRPr="00113B3E">
        <w:rPr>
          <w:rFonts w:ascii="Palatino Linotype" w:eastAsia="Palatino Linotype" w:hAnsi="Palatino Linotype" w:cs="Palatino Linotype"/>
          <w:b/>
        </w:rPr>
        <w:t>.</w:t>
      </w:r>
      <w:r w:rsidR="00210776" w:rsidRPr="00113B3E">
        <w:rPr>
          <w:rFonts w:ascii="Palatino Linotype" w:eastAsia="Palatino Linotype" w:hAnsi="Palatino Linotype" w:cs="Palatino Linotype"/>
          <w:b/>
        </w:rPr>
        <w:t xml:space="preserve"> Manifestaciones. </w:t>
      </w:r>
      <w:r w:rsidR="00E273C0" w:rsidRPr="00113B3E">
        <w:rPr>
          <w:rFonts w:ascii="Palatino Linotype" w:eastAsia="Palatino Linotype" w:hAnsi="Palatino Linotype" w:cs="Palatino Linotype"/>
        </w:rPr>
        <w:t xml:space="preserve">De las constancias que obran en los expedientes electrónicos en que se actúan, se advierte que </w:t>
      </w:r>
      <w:r w:rsidR="00B1431F" w:rsidRPr="00113B3E">
        <w:rPr>
          <w:rFonts w:ascii="Palatino Linotype" w:eastAsia="Palatino Linotype" w:hAnsi="Palatino Linotype" w:cs="Palatino Linotype"/>
        </w:rPr>
        <w:t xml:space="preserve">en fechas dieciséis y diecisiete de octubre de dos mil veinticinco el </w:t>
      </w:r>
      <w:r w:rsidR="00B1431F" w:rsidRPr="00113B3E">
        <w:rPr>
          <w:rFonts w:ascii="Palatino Linotype" w:eastAsia="Palatino Linotype" w:hAnsi="Palatino Linotype" w:cs="Palatino Linotype"/>
          <w:b/>
        </w:rPr>
        <w:t xml:space="preserve">Sujeto Obligado </w:t>
      </w:r>
      <w:r w:rsidR="00B1431F" w:rsidRPr="00113B3E">
        <w:rPr>
          <w:rFonts w:ascii="Palatino Linotype" w:eastAsia="Palatino Linotype" w:hAnsi="Palatino Linotype" w:cs="Palatino Linotype"/>
        </w:rPr>
        <w:t>rindió sus informes justificados</w:t>
      </w:r>
      <w:r w:rsidR="00E273C0" w:rsidRPr="00113B3E">
        <w:rPr>
          <w:rFonts w:ascii="Palatino Linotype" w:eastAsia="Palatino Linotype" w:hAnsi="Palatino Linotype" w:cs="Palatino Linotype"/>
        </w:rPr>
        <w:t xml:space="preserve">, </w:t>
      </w:r>
      <w:r w:rsidR="006B5E29" w:rsidRPr="00113B3E">
        <w:rPr>
          <w:rFonts w:ascii="Palatino Linotype" w:eastAsia="Palatino Linotype" w:hAnsi="Palatino Linotype" w:cs="Palatino Linotype"/>
        </w:rPr>
        <w:t>como se advierte a continuación</w:t>
      </w:r>
      <w:r w:rsidR="00DB5C17" w:rsidRPr="00113B3E">
        <w:rPr>
          <w:rFonts w:ascii="Palatino Linotype" w:eastAsia="Palatino Linotype" w:hAnsi="Palatino Linotype" w:cs="Palatino Linotype"/>
        </w:rPr>
        <w:t>:</w:t>
      </w:r>
    </w:p>
    <w:p w14:paraId="74EB7132" w14:textId="77777777" w:rsidR="00015B31" w:rsidRPr="00113B3E" w:rsidRDefault="00015B31" w:rsidP="00015B31">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Tablaconcuadrcula"/>
        <w:tblW w:w="0" w:type="auto"/>
        <w:tblLook w:val="04A0" w:firstRow="1" w:lastRow="0" w:firstColumn="1" w:lastColumn="0" w:noHBand="0" w:noVBand="1"/>
      </w:tblPr>
      <w:tblGrid>
        <w:gridCol w:w="3256"/>
        <w:gridCol w:w="5799"/>
      </w:tblGrid>
      <w:tr w:rsidR="00E273C0" w:rsidRPr="00113B3E" w14:paraId="2DC86F2D" w14:textId="77777777" w:rsidTr="00601158">
        <w:tc>
          <w:tcPr>
            <w:tcW w:w="3256" w:type="dxa"/>
            <w:shd w:val="clear" w:color="auto" w:fill="D9D9D9" w:themeFill="background1" w:themeFillShade="D9"/>
          </w:tcPr>
          <w:p w14:paraId="72D44420" w14:textId="7A4A13E8" w:rsidR="006B5E29" w:rsidRPr="00113B3E" w:rsidRDefault="0093450A" w:rsidP="0093450A">
            <w:pPr>
              <w:tabs>
                <w:tab w:val="left" w:pos="284"/>
              </w:tabs>
              <w:spacing w:line="360" w:lineRule="auto"/>
              <w:jc w:val="center"/>
              <w:rPr>
                <w:rFonts w:ascii="Palatino Linotype" w:eastAsia="Palatino Linotype" w:hAnsi="Palatino Linotype" w:cs="Palatino Linotype"/>
                <w:b/>
                <w:bCs/>
              </w:rPr>
            </w:pPr>
            <w:r w:rsidRPr="00113B3E">
              <w:rPr>
                <w:rFonts w:ascii="Palatino Linotype" w:eastAsia="Palatino Linotype" w:hAnsi="Palatino Linotype" w:cs="Palatino Linotype"/>
                <w:b/>
                <w:bCs/>
              </w:rPr>
              <w:t>Recurso de Revisión</w:t>
            </w:r>
          </w:p>
        </w:tc>
        <w:tc>
          <w:tcPr>
            <w:tcW w:w="5799" w:type="dxa"/>
            <w:shd w:val="clear" w:color="auto" w:fill="D9D9D9" w:themeFill="background1" w:themeFillShade="D9"/>
          </w:tcPr>
          <w:p w14:paraId="54467377" w14:textId="59966914" w:rsidR="006B5E29" w:rsidRPr="00113B3E" w:rsidRDefault="0093450A" w:rsidP="0093450A">
            <w:pPr>
              <w:tabs>
                <w:tab w:val="left" w:pos="284"/>
              </w:tabs>
              <w:spacing w:line="360" w:lineRule="auto"/>
              <w:jc w:val="center"/>
              <w:rPr>
                <w:rFonts w:ascii="Palatino Linotype" w:eastAsia="Palatino Linotype" w:hAnsi="Palatino Linotype" w:cs="Palatino Linotype"/>
                <w:b/>
                <w:bCs/>
              </w:rPr>
            </w:pPr>
            <w:r w:rsidRPr="00113B3E">
              <w:rPr>
                <w:rFonts w:ascii="Palatino Linotype" w:eastAsia="Palatino Linotype" w:hAnsi="Palatino Linotype" w:cs="Palatino Linotype"/>
                <w:b/>
                <w:bCs/>
              </w:rPr>
              <w:t>Informe Justificado</w:t>
            </w:r>
          </w:p>
        </w:tc>
      </w:tr>
      <w:tr w:rsidR="00E273C0" w:rsidRPr="00113B3E" w14:paraId="50BEC75F" w14:textId="77777777" w:rsidTr="00015B31">
        <w:tc>
          <w:tcPr>
            <w:tcW w:w="3256" w:type="dxa"/>
          </w:tcPr>
          <w:p w14:paraId="7D5DEE1B" w14:textId="3E2532AE" w:rsidR="006B5E29" w:rsidRPr="00113B3E" w:rsidRDefault="00D707A3" w:rsidP="00E273C0">
            <w:pPr>
              <w:tabs>
                <w:tab w:val="left" w:pos="284"/>
              </w:tabs>
              <w:spacing w:line="360" w:lineRule="auto"/>
              <w:jc w:val="both"/>
              <w:rPr>
                <w:rFonts w:ascii="Palatino Linotype" w:eastAsia="Palatino Linotype" w:hAnsi="Palatino Linotype" w:cs="Palatino Linotype"/>
                <w:b/>
                <w:bCs/>
              </w:rPr>
            </w:pPr>
            <w:r w:rsidRPr="00113B3E">
              <w:rPr>
                <w:rFonts w:ascii="Palatino Linotype" w:eastAsia="Palatino Linotype" w:hAnsi="Palatino Linotype" w:cs="Palatino Linotype"/>
                <w:b/>
                <w:bCs/>
              </w:rPr>
              <w:t>11359</w:t>
            </w:r>
            <w:r w:rsidR="0093450A" w:rsidRPr="00113B3E">
              <w:rPr>
                <w:rFonts w:ascii="Palatino Linotype" w:eastAsia="Palatino Linotype" w:hAnsi="Palatino Linotype" w:cs="Palatino Linotype"/>
                <w:b/>
                <w:bCs/>
              </w:rPr>
              <w:t>/INFOEM/IP/RR/2025</w:t>
            </w:r>
          </w:p>
        </w:tc>
        <w:tc>
          <w:tcPr>
            <w:tcW w:w="5799" w:type="dxa"/>
          </w:tcPr>
          <w:p w14:paraId="17847D12" w14:textId="424AA697" w:rsidR="00DE6F6F" w:rsidRPr="00113B3E" w:rsidRDefault="00D707A3" w:rsidP="0089670E">
            <w:pPr>
              <w:tabs>
                <w:tab w:val="left" w:pos="284"/>
              </w:tabs>
              <w:jc w:val="both"/>
              <w:rPr>
                <w:rFonts w:ascii="Palatino Linotype" w:eastAsia="Palatino Linotype" w:hAnsi="Palatino Linotype" w:cs="Palatino Linotype"/>
              </w:rPr>
            </w:pPr>
            <w:r w:rsidRPr="00113B3E">
              <w:rPr>
                <w:rFonts w:ascii="Palatino Linotype" w:eastAsia="Palatino Linotype" w:hAnsi="Palatino Linotype" w:cs="Palatino Linotype"/>
                <w:noProof/>
              </w:rPr>
              <w:t>Se entregaron los archivos denominados “</w:t>
            </w:r>
            <w:r w:rsidRPr="00113B3E">
              <w:rPr>
                <w:rFonts w:ascii="Palatino Linotype" w:eastAsia="Palatino Linotype" w:hAnsi="Palatino Linotype" w:cs="Palatino Linotype"/>
                <w:b/>
                <w:i/>
                <w:noProof/>
              </w:rPr>
              <w:t>Ratificación 11359.pdf</w:t>
            </w:r>
            <w:r w:rsidRPr="00113B3E">
              <w:rPr>
                <w:rFonts w:ascii="Palatino Linotype" w:eastAsia="Palatino Linotype" w:hAnsi="Palatino Linotype" w:cs="Palatino Linotype"/>
                <w:noProof/>
              </w:rPr>
              <w:t>” y “</w:t>
            </w:r>
            <w:r w:rsidRPr="00113B3E">
              <w:rPr>
                <w:rFonts w:ascii="Palatino Linotype" w:eastAsia="Palatino Linotype" w:hAnsi="Palatino Linotype" w:cs="Palatino Linotype"/>
                <w:b/>
                <w:i/>
                <w:noProof/>
              </w:rPr>
              <w:t>ANEXOS 11359-2025.pdf</w:t>
            </w:r>
            <w:r w:rsidRPr="00113B3E">
              <w:rPr>
                <w:rFonts w:ascii="Palatino Linotype" w:eastAsia="Palatino Linotype" w:hAnsi="Palatino Linotype" w:cs="Palatino Linotype"/>
                <w:noProof/>
              </w:rPr>
              <w:t xml:space="preserve">” a través de los </w:t>
            </w:r>
            <w:r w:rsidR="00AF47AD" w:rsidRPr="00113B3E">
              <w:rPr>
                <w:rFonts w:ascii="Palatino Linotype" w:eastAsia="Palatino Linotype" w:hAnsi="Palatino Linotype" w:cs="Palatino Linotype"/>
                <w:noProof/>
              </w:rPr>
              <w:t>cuales se ratifica la respuesta.</w:t>
            </w:r>
          </w:p>
        </w:tc>
      </w:tr>
      <w:tr w:rsidR="00E273C0" w:rsidRPr="00113B3E" w14:paraId="7B8671FE" w14:textId="77777777" w:rsidTr="00015B31">
        <w:tc>
          <w:tcPr>
            <w:tcW w:w="3256" w:type="dxa"/>
          </w:tcPr>
          <w:p w14:paraId="41F36B51" w14:textId="1456FA2C" w:rsidR="006B5E29" w:rsidRPr="00113B3E" w:rsidRDefault="00AF47AD" w:rsidP="00A16810">
            <w:pPr>
              <w:tabs>
                <w:tab w:val="left" w:pos="284"/>
              </w:tabs>
              <w:spacing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b/>
              </w:rPr>
              <w:t>11360</w:t>
            </w:r>
            <w:r w:rsidR="00015B31" w:rsidRPr="00113B3E">
              <w:rPr>
                <w:rFonts w:ascii="Palatino Linotype" w:eastAsia="Palatino Linotype" w:hAnsi="Palatino Linotype" w:cs="Palatino Linotype"/>
                <w:b/>
              </w:rPr>
              <w:t>/INFOEM/IP/RR/2025</w:t>
            </w:r>
          </w:p>
        </w:tc>
        <w:tc>
          <w:tcPr>
            <w:tcW w:w="5799" w:type="dxa"/>
          </w:tcPr>
          <w:p w14:paraId="3268DA2B" w14:textId="284F94E8" w:rsidR="00EC67BE" w:rsidRPr="00113B3E" w:rsidRDefault="00B1431F" w:rsidP="00B1431F">
            <w:pPr>
              <w:tabs>
                <w:tab w:val="left" w:pos="284"/>
              </w:tabs>
              <w:jc w:val="both"/>
              <w:rPr>
                <w:rFonts w:ascii="Palatino Linotype" w:eastAsia="Palatino Linotype" w:hAnsi="Palatino Linotype" w:cs="Palatino Linotype"/>
                <w:b/>
                <w:bCs/>
              </w:rPr>
            </w:pPr>
            <w:r w:rsidRPr="00113B3E">
              <w:rPr>
                <w:rFonts w:ascii="Palatino Linotype" w:eastAsia="Palatino Linotype" w:hAnsi="Palatino Linotype" w:cs="Palatino Linotype"/>
                <w:noProof/>
              </w:rPr>
              <w:t>Se entregaron los archivos denominados “</w:t>
            </w:r>
            <w:r w:rsidRPr="00113B3E">
              <w:rPr>
                <w:rFonts w:ascii="Palatino Linotype" w:eastAsia="Palatino Linotype" w:hAnsi="Palatino Linotype" w:cs="Palatino Linotype"/>
                <w:b/>
                <w:i/>
                <w:noProof/>
              </w:rPr>
              <w:t>Ratificación 11360.pdf</w:t>
            </w:r>
            <w:r w:rsidRPr="00113B3E">
              <w:rPr>
                <w:rFonts w:ascii="Palatino Linotype" w:eastAsia="Palatino Linotype" w:hAnsi="Palatino Linotype" w:cs="Palatino Linotype"/>
                <w:noProof/>
              </w:rPr>
              <w:t>” y “</w:t>
            </w:r>
            <w:r w:rsidRPr="00113B3E">
              <w:rPr>
                <w:rFonts w:ascii="Palatino Linotype" w:eastAsia="Palatino Linotype" w:hAnsi="Palatino Linotype" w:cs="Palatino Linotype"/>
                <w:b/>
                <w:i/>
                <w:noProof/>
              </w:rPr>
              <w:t>ANEXOS 11360-2025.pdf</w:t>
            </w:r>
            <w:r w:rsidRPr="00113B3E">
              <w:rPr>
                <w:rFonts w:ascii="Palatino Linotype" w:eastAsia="Palatino Linotype" w:hAnsi="Palatino Linotype" w:cs="Palatino Linotype"/>
                <w:noProof/>
              </w:rPr>
              <w:t>” a través de los cuales se ratifica la respuesta.</w:t>
            </w:r>
          </w:p>
        </w:tc>
      </w:tr>
    </w:tbl>
    <w:p w14:paraId="49D96F31" w14:textId="77777777" w:rsidR="000E62D6" w:rsidRPr="00113B3E" w:rsidRDefault="000E62D6">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59AF7807" w14:textId="2F6838B2" w:rsidR="008032B6" w:rsidRPr="00113B3E" w:rsidRDefault="008032B6">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Documentos los anteriores que fueron hechos del conocimiento</w:t>
      </w:r>
      <w:r w:rsidR="00C602EC" w:rsidRPr="00113B3E">
        <w:rPr>
          <w:rFonts w:ascii="Palatino Linotype" w:eastAsia="Palatino Linotype" w:hAnsi="Palatino Linotype" w:cs="Palatino Linotype"/>
        </w:rPr>
        <w:t xml:space="preserve"> de la parte </w:t>
      </w:r>
      <w:r w:rsidR="00C602EC" w:rsidRPr="00113B3E">
        <w:rPr>
          <w:rFonts w:ascii="Palatino Linotype" w:eastAsia="Palatino Linotype" w:hAnsi="Palatino Linotype" w:cs="Palatino Linotype"/>
          <w:b/>
        </w:rPr>
        <w:t xml:space="preserve">Recurrente, </w:t>
      </w:r>
      <w:r w:rsidR="0068329D" w:rsidRPr="00113B3E">
        <w:rPr>
          <w:rFonts w:ascii="Palatino Linotype" w:eastAsia="Palatino Linotype" w:hAnsi="Palatino Linotype" w:cs="Palatino Linotype"/>
        </w:rPr>
        <w:t>a fin de que hiciera valer manifestaciones o rindiera alegatos; no obstante fue omisa en ejercer dicha prerrogativa.</w:t>
      </w:r>
    </w:p>
    <w:p w14:paraId="3B9C7CE2" w14:textId="77777777" w:rsidR="008032B6" w:rsidRPr="00113B3E" w:rsidRDefault="008032B6">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D6FC9DB" w14:textId="7D1673F5" w:rsidR="008032B6" w:rsidRPr="00113B3E" w:rsidRDefault="00AF47AD">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 xml:space="preserve">Por su lado, la parte </w:t>
      </w:r>
      <w:r w:rsidRPr="00113B3E">
        <w:rPr>
          <w:rFonts w:ascii="Palatino Linotype" w:eastAsia="Palatino Linotype" w:hAnsi="Palatino Linotype" w:cs="Palatino Linotype"/>
          <w:b/>
        </w:rPr>
        <w:t xml:space="preserve">Recurrente </w:t>
      </w:r>
      <w:r w:rsidRPr="00113B3E">
        <w:rPr>
          <w:rFonts w:ascii="Palatino Linotype" w:eastAsia="Palatino Linotype" w:hAnsi="Palatino Linotype" w:cs="Palatino Linotype"/>
        </w:rPr>
        <w:t xml:space="preserve">en </w:t>
      </w:r>
      <w:r w:rsidR="00B1431F" w:rsidRPr="00113B3E">
        <w:rPr>
          <w:rFonts w:ascii="Palatino Linotype" w:eastAsia="Palatino Linotype" w:hAnsi="Palatino Linotype" w:cs="Palatino Linotype"/>
        </w:rPr>
        <w:t xml:space="preserve">el recurso de revisión </w:t>
      </w:r>
      <w:r w:rsidR="00B1431F" w:rsidRPr="00113B3E">
        <w:rPr>
          <w:rFonts w:ascii="Palatino Linotype" w:eastAsia="Palatino Linotype" w:hAnsi="Palatino Linotype" w:cs="Palatino Linotype"/>
          <w:b/>
        </w:rPr>
        <w:t xml:space="preserve">11359/INFOEM/IP/RR/2025 </w:t>
      </w:r>
      <w:r w:rsidRPr="00113B3E">
        <w:rPr>
          <w:rFonts w:ascii="Palatino Linotype" w:eastAsia="Palatino Linotype" w:hAnsi="Palatino Linotype" w:cs="Palatino Linotype"/>
        </w:rPr>
        <w:t>hizo entrega de lo siguiente:</w:t>
      </w:r>
    </w:p>
    <w:p w14:paraId="65454F64" w14:textId="77777777" w:rsidR="00AF47AD" w:rsidRPr="00113B3E" w:rsidRDefault="00AF47A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0CE08AB" w14:textId="59288088" w:rsidR="00AF47AD" w:rsidRPr="00113B3E" w:rsidRDefault="00AF47AD">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-En formato Excel los archivos denominados “</w:t>
      </w:r>
      <w:r w:rsidRPr="00113B3E">
        <w:rPr>
          <w:rFonts w:ascii="Palatino Linotype" w:eastAsia="Palatino Linotype" w:hAnsi="Palatino Linotype" w:cs="Palatino Linotype"/>
          <w:b/>
          <w:i/>
        </w:rPr>
        <w:t>Articulo92FXXIX (4).xlsx</w:t>
      </w:r>
      <w:r w:rsidRPr="00113B3E">
        <w:rPr>
          <w:rFonts w:ascii="Palatino Linotype" w:eastAsia="Palatino Linotype" w:hAnsi="Palatino Linotype" w:cs="Palatino Linotype"/>
        </w:rPr>
        <w:t>” y “</w:t>
      </w:r>
      <w:r w:rsidRPr="00113B3E">
        <w:rPr>
          <w:rFonts w:ascii="Palatino Linotype" w:eastAsia="Palatino Linotype" w:hAnsi="Palatino Linotype" w:cs="Palatino Linotype"/>
          <w:b/>
          <w:i/>
        </w:rPr>
        <w:t>Articulo92FXXIX (5).xlsx</w:t>
      </w:r>
      <w:r w:rsidRPr="00113B3E">
        <w:rPr>
          <w:rFonts w:ascii="Palatino Linotype" w:eastAsia="Palatino Linotype" w:hAnsi="Palatino Linotype" w:cs="Palatino Linotype"/>
        </w:rPr>
        <w:t>”</w:t>
      </w:r>
      <w:r w:rsidR="00715429" w:rsidRPr="00113B3E">
        <w:rPr>
          <w:rFonts w:ascii="Palatino Linotype" w:eastAsia="Palatino Linotype" w:hAnsi="Palatino Linotype" w:cs="Palatino Linotype"/>
        </w:rPr>
        <w:t xml:space="preserve"> que corresponde a la información contenida en el artículo 92 fracción XXIX de la Ley de Transparencia publicada en el IPOMEX, relativa a los procedimientos de adjudicación directa, invitación restringida y licitación de cualquier naturaleza; respecto de los cuales indica el particular que no contiene lo requerido.</w:t>
      </w:r>
    </w:p>
    <w:p w14:paraId="30FD26F0" w14:textId="77777777" w:rsidR="00715429" w:rsidRPr="00113B3E" w:rsidRDefault="00715429">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ACBA518" w14:textId="3C73AA15" w:rsidR="00715429" w:rsidRPr="00113B3E" w:rsidRDefault="00715429">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w:t>
      </w:r>
      <w:r w:rsidR="00243107" w:rsidRPr="00113B3E">
        <w:rPr>
          <w:rFonts w:ascii="Palatino Linotype" w:eastAsia="Palatino Linotype" w:hAnsi="Palatino Linotype" w:cs="Palatino Linotype"/>
        </w:rPr>
        <w:t>Archivo denominado “</w:t>
      </w:r>
      <w:r w:rsidR="00243107" w:rsidRPr="00113B3E">
        <w:rPr>
          <w:rFonts w:ascii="Palatino Linotype" w:eastAsia="Palatino Linotype" w:hAnsi="Palatino Linotype" w:cs="Palatino Linotype"/>
          <w:b/>
        </w:rPr>
        <w:t>sin datos del contrato.jpg</w:t>
      </w:r>
      <w:r w:rsidR="00243107" w:rsidRPr="00113B3E">
        <w:rPr>
          <w:rFonts w:ascii="Palatino Linotype" w:eastAsia="Palatino Linotype" w:hAnsi="Palatino Linotype" w:cs="Palatino Linotype"/>
        </w:rPr>
        <w:t xml:space="preserve">” donde se advierte de la </w:t>
      </w:r>
      <w:r w:rsidR="00FE44BB" w:rsidRPr="00113B3E">
        <w:rPr>
          <w:rFonts w:ascii="Palatino Linotype" w:eastAsia="Palatino Linotype" w:hAnsi="Palatino Linotype" w:cs="Palatino Linotype"/>
        </w:rPr>
        <w:t xml:space="preserve">captura de pantalla de la </w:t>
      </w:r>
      <w:r w:rsidR="00243107" w:rsidRPr="00113B3E">
        <w:rPr>
          <w:rFonts w:ascii="Palatino Linotype" w:eastAsia="Palatino Linotype" w:hAnsi="Palatino Linotype" w:cs="Palatino Linotype"/>
        </w:rPr>
        <w:t>consulta al Ipomex en la fracción indicada, donde a dicho del particular no arroja datos del contrato requerido.</w:t>
      </w:r>
    </w:p>
    <w:p w14:paraId="388F0751" w14:textId="77777777" w:rsidR="00AF47AD" w:rsidRPr="00113B3E" w:rsidRDefault="00AF47AD">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66C8F66" w14:textId="544CABD0" w:rsidR="00D747E4" w:rsidRPr="00113B3E" w:rsidRDefault="00734E5B" w:rsidP="00601158">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b/>
        </w:rPr>
        <w:t>8</w:t>
      </w:r>
      <w:r w:rsidR="00054DBB" w:rsidRPr="00113B3E">
        <w:rPr>
          <w:rFonts w:ascii="Palatino Linotype" w:eastAsia="Palatino Linotype" w:hAnsi="Palatino Linotype" w:cs="Palatino Linotype"/>
          <w:b/>
        </w:rPr>
        <w:t xml:space="preserve">. </w:t>
      </w:r>
      <w:r w:rsidR="00210776" w:rsidRPr="00113B3E">
        <w:rPr>
          <w:rFonts w:ascii="Palatino Linotype" w:eastAsia="Palatino Linotype" w:hAnsi="Palatino Linotype" w:cs="Palatino Linotype"/>
          <w:b/>
        </w:rPr>
        <w:t xml:space="preserve">Acumulación de los recursos de revisión. </w:t>
      </w:r>
      <w:r w:rsidR="00210776" w:rsidRPr="00113B3E">
        <w:rPr>
          <w:rFonts w:ascii="Palatino Linotype" w:eastAsia="Palatino Linotype" w:hAnsi="Palatino Linotype" w:cs="Palatino Linotype"/>
        </w:rPr>
        <w:t xml:space="preserve">Al respecto cabe señalar, que el Pleno de este Instituto, </w:t>
      </w:r>
      <w:r w:rsidR="00601158" w:rsidRPr="00113B3E">
        <w:rPr>
          <w:rFonts w:ascii="Palatino Linotype" w:eastAsia="Palatino Linotype" w:hAnsi="Palatino Linotype" w:cs="Palatino Linotype"/>
          <w:b/>
        </w:rPr>
        <w:t xml:space="preserve">mediante acuerdo aprobado en fecha </w:t>
      </w:r>
      <w:r w:rsidR="00B1431F" w:rsidRPr="00113B3E">
        <w:rPr>
          <w:rFonts w:ascii="Palatino Linotype" w:eastAsia="Palatino Linotype" w:hAnsi="Palatino Linotype" w:cs="Palatino Linotype"/>
          <w:b/>
        </w:rPr>
        <w:t>quince de octubre</w:t>
      </w:r>
      <w:r w:rsidR="004F3378" w:rsidRPr="00113B3E">
        <w:rPr>
          <w:rFonts w:ascii="Palatino Linotype" w:eastAsia="Palatino Linotype" w:hAnsi="Palatino Linotype" w:cs="Palatino Linotype"/>
          <w:b/>
        </w:rPr>
        <w:t xml:space="preserve"> </w:t>
      </w:r>
      <w:r w:rsidR="00601158" w:rsidRPr="00113B3E">
        <w:rPr>
          <w:rFonts w:ascii="Palatino Linotype" w:eastAsia="Palatino Linotype" w:hAnsi="Palatino Linotype" w:cs="Palatino Linotype"/>
          <w:b/>
        </w:rPr>
        <w:t>de dos mil veinticinco</w:t>
      </w:r>
      <w:r w:rsidR="00601158" w:rsidRPr="00113B3E">
        <w:rPr>
          <w:rFonts w:ascii="Palatino Linotype" w:eastAsia="Palatino Linotype" w:hAnsi="Palatino Linotype" w:cs="Palatino Linotype"/>
        </w:rPr>
        <w:t>,</w:t>
      </w:r>
      <w:r w:rsidR="00210776" w:rsidRPr="00113B3E">
        <w:rPr>
          <w:rFonts w:ascii="Palatino Linotype" w:eastAsia="Palatino Linotype" w:hAnsi="Palatino Linotype" w:cs="Palatino Linotype"/>
        </w:rPr>
        <w:t xml:space="preserve"> ordenó la acumulación de los expedientes citados, a efecto de que la </w:t>
      </w:r>
      <w:r w:rsidR="00210776" w:rsidRPr="00113B3E">
        <w:rPr>
          <w:rFonts w:ascii="Palatino Linotype" w:eastAsia="Palatino Linotype" w:hAnsi="Palatino Linotype" w:cs="Palatino Linotype"/>
          <w:b/>
        </w:rPr>
        <w:t xml:space="preserve">Comisionada Guadalupe Ramírez Peña </w:t>
      </w:r>
      <w:r w:rsidR="00210776" w:rsidRPr="00113B3E">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3DC62DCC" w14:textId="77777777" w:rsidR="00D747E4" w:rsidRPr="00113B3E" w:rsidRDefault="00D747E4">
      <w:pPr>
        <w:spacing w:after="0" w:line="360" w:lineRule="auto"/>
        <w:jc w:val="both"/>
      </w:pPr>
    </w:p>
    <w:p w14:paraId="76D7BAC1" w14:textId="77777777" w:rsidR="00D747E4" w:rsidRPr="00113B3E"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113B3E">
        <w:rPr>
          <w:rFonts w:ascii="Palatino Linotype" w:eastAsia="Palatino Linotype" w:hAnsi="Palatino Linotype" w:cs="Palatino Linotype"/>
          <w:b/>
          <w:i/>
        </w:rPr>
        <w:t>Código de Procedimientos Administrativos del Estado de México</w:t>
      </w:r>
    </w:p>
    <w:p w14:paraId="4D248189" w14:textId="77777777" w:rsidR="00D747E4" w:rsidRPr="00113B3E"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113B3E">
        <w:rPr>
          <w:rFonts w:ascii="Palatino Linotype" w:eastAsia="Palatino Linotype" w:hAnsi="Palatino Linotype" w:cs="Palatino Linotype"/>
          <w:b/>
          <w:i/>
        </w:rPr>
        <w:t>“Artículo 18.-</w:t>
      </w:r>
      <w:r w:rsidRPr="00113B3E">
        <w:rPr>
          <w:rFonts w:ascii="Palatino Linotype" w:eastAsia="Palatino Linotype" w:hAnsi="Palatino Linotype" w:cs="Palatino Linotype"/>
          <w:i/>
        </w:rPr>
        <w:t xml:space="preserve"> </w:t>
      </w:r>
      <w:r w:rsidRPr="00113B3E">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113B3E">
        <w:rPr>
          <w:rFonts w:ascii="Palatino Linotype" w:eastAsia="Palatino Linotype" w:hAnsi="Palatino Linotype" w:cs="Palatino Linotype"/>
          <w:i/>
        </w:rPr>
        <w:t xml:space="preserve"> o a petición de parte, </w:t>
      </w:r>
      <w:r w:rsidRPr="00113B3E">
        <w:rPr>
          <w:rFonts w:ascii="Palatino Linotype" w:eastAsia="Palatino Linotype" w:hAnsi="Palatino Linotype" w:cs="Palatino Linotype"/>
          <w:b/>
          <w:i/>
        </w:rPr>
        <w:t>cuando las partes</w:t>
      </w:r>
      <w:r w:rsidRPr="00113B3E">
        <w:rPr>
          <w:rFonts w:ascii="Palatino Linotype" w:eastAsia="Palatino Linotype" w:hAnsi="Palatino Linotype" w:cs="Palatino Linotype"/>
          <w:i/>
        </w:rPr>
        <w:t xml:space="preserve"> o los actos administrativos sean iguales, se trate de actos conexos o </w:t>
      </w:r>
      <w:r w:rsidRPr="00113B3E">
        <w:rPr>
          <w:rFonts w:ascii="Palatino Linotype" w:eastAsia="Palatino Linotype" w:hAnsi="Palatino Linotype" w:cs="Palatino Linotype"/>
          <w:b/>
          <w:i/>
        </w:rPr>
        <w:t>resulte conveniente el trámite unificado de los asuntos, para evitar la emisión de resoluciones contradictorias</w:t>
      </w:r>
      <w:r w:rsidRPr="00113B3E">
        <w:rPr>
          <w:rFonts w:ascii="Palatino Linotype" w:eastAsia="Palatino Linotype" w:hAnsi="Palatino Linotype" w:cs="Palatino Linotype"/>
          <w:i/>
        </w:rPr>
        <w:t>. La misma regla se aplicará, en lo conducente, para la separación de los expedientes.”</w:t>
      </w:r>
    </w:p>
    <w:p w14:paraId="0C8A55B1" w14:textId="77777777" w:rsidR="00D747E4" w:rsidRPr="00113B3E"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113B3E">
        <w:rPr>
          <w:rFonts w:ascii="Palatino Linotype" w:eastAsia="Palatino Linotype" w:hAnsi="Palatino Linotype" w:cs="Palatino Linotype"/>
          <w:b/>
          <w:i/>
        </w:rPr>
        <w:t>Ley de Transparencia y Acceso a la Información Pública del Estado de México y Municipios</w:t>
      </w:r>
    </w:p>
    <w:p w14:paraId="32061083" w14:textId="77777777" w:rsidR="00D747E4" w:rsidRPr="00113B3E" w:rsidRDefault="00210776">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113B3E">
        <w:rPr>
          <w:rFonts w:ascii="Palatino Linotype" w:eastAsia="Palatino Linotype" w:hAnsi="Palatino Linotype" w:cs="Palatino Linotype"/>
          <w:b/>
          <w:i/>
        </w:rPr>
        <w:t>“Artículo 195.-</w:t>
      </w:r>
      <w:r w:rsidRPr="00113B3E">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2DB447AF" w14:textId="77777777" w:rsidR="00D747E4" w:rsidRPr="00113B3E" w:rsidRDefault="00D747E4">
      <w:pPr>
        <w:spacing w:after="0" w:line="360" w:lineRule="auto"/>
        <w:ind w:right="49"/>
        <w:jc w:val="both"/>
        <w:rPr>
          <w:rFonts w:ascii="Palatino Linotype" w:eastAsia="Palatino Linotype" w:hAnsi="Palatino Linotype" w:cs="Palatino Linotype"/>
        </w:rPr>
      </w:pPr>
    </w:p>
    <w:p w14:paraId="782ED319" w14:textId="77777777" w:rsidR="00D747E4" w:rsidRPr="00113B3E" w:rsidRDefault="00210776">
      <w:pPr>
        <w:spacing w:after="0" w:line="360" w:lineRule="auto"/>
        <w:ind w:right="49"/>
        <w:jc w:val="both"/>
        <w:rPr>
          <w:rFonts w:ascii="Palatino Linotype" w:eastAsia="Palatino Linotype" w:hAnsi="Palatino Linotype" w:cs="Palatino Linotype"/>
        </w:rPr>
      </w:pPr>
      <w:r w:rsidRPr="00113B3E">
        <w:rPr>
          <w:rFonts w:ascii="Palatino Linotype" w:eastAsia="Palatino Linotype" w:hAnsi="Palatino Linotype" w:cs="Palatino Linotype"/>
        </w:rPr>
        <w:t xml:space="preserve">Durante la sustanciación de los medios de impugnación citados se advirtió que los mismos fueron interpuestos por la misma parte </w:t>
      </w:r>
      <w:r w:rsidRPr="00113B3E">
        <w:rPr>
          <w:rFonts w:ascii="Palatino Linotype" w:eastAsia="Palatino Linotype" w:hAnsi="Palatino Linotype" w:cs="Palatino Linotype"/>
          <w:b/>
        </w:rPr>
        <w:t>Recurrente</w:t>
      </w:r>
      <w:r w:rsidRPr="00113B3E">
        <w:rPr>
          <w:rFonts w:ascii="Palatino Linotype" w:eastAsia="Palatino Linotype" w:hAnsi="Palatino Linotype" w:cs="Palatino Linotype"/>
        </w:rPr>
        <w:t xml:space="preserve"> ante el mismo </w:t>
      </w:r>
      <w:r w:rsidRPr="00113B3E">
        <w:rPr>
          <w:rFonts w:ascii="Palatino Linotype" w:eastAsia="Palatino Linotype" w:hAnsi="Palatino Linotype" w:cs="Palatino Linotype"/>
          <w:b/>
        </w:rPr>
        <w:t>Sujeto Obligado</w:t>
      </w:r>
      <w:r w:rsidRPr="00113B3E">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37654DB5" w14:textId="77777777" w:rsidR="00D747E4" w:rsidRPr="00113B3E" w:rsidRDefault="00D747E4">
      <w:pPr>
        <w:spacing w:after="0" w:line="360" w:lineRule="auto"/>
        <w:ind w:right="49"/>
        <w:jc w:val="both"/>
        <w:rPr>
          <w:rFonts w:ascii="Palatino Linotype" w:eastAsia="Palatino Linotype" w:hAnsi="Palatino Linotype" w:cs="Palatino Linotype"/>
        </w:rPr>
      </w:pPr>
    </w:p>
    <w:p w14:paraId="5E09B9E1" w14:textId="4115542F" w:rsidR="000E62D6" w:rsidRPr="00113B3E" w:rsidRDefault="00734E5B" w:rsidP="00B1431F">
      <w:pP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b/>
        </w:rPr>
        <w:t>9</w:t>
      </w:r>
      <w:r w:rsidR="000E62D6" w:rsidRPr="00113B3E">
        <w:rPr>
          <w:rFonts w:ascii="Palatino Linotype" w:eastAsia="Palatino Linotype" w:hAnsi="Palatino Linotype" w:cs="Palatino Linotype"/>
          <w:b/>
        </w:rPr>
        <w:t>.</w:t>
      </w:r>
      <w:r w:rsidR="000E62D6" w:rsidRPr="00113B3E">
        <w:rPr>
          <w:rFonts w:ascii="Palatino Linotype" w:eastAsia="Palatino Linotype" w:hAnsi="Palatino Linotype" w:cs="Palatino Linotype"/>
        </w:rPr>
        <w:t xml:space="preserve"> </w:t>
      </w:r>
      <w:r w:rsidR="000E62D6" w:rsidRPr="00113B3E">
        <w:rPr>
          <w:rFonts w:ascii="Palatino Linotype" w:eastAsia="Palatino Linotype" w:hAnsi="Palatino Linotype" w:cs="Palatino Linotype"/>
          <w:b/>
          <w:color w:val="000000"/>
        </w:rPr>
        <w:t xml:space="preserve">Cierre de Instrucción. </w:t>
      </w:r>
      <w:r w:rsidR="000E62D6" w:rsidRPr="00113B3E">
        <w:rPr>
          <w:rFonts w:ascii="Palatino Linotype" w:eastAsia="Palatino Linotype" w:hAnsi="Palatino Linotype" w:cs="Palatino Linotype"/>
          <w:color w:val="000000"/>
        </w:rPr>
        <w:t xml:space="preserve">En </w:t>
      </w:r>
      <w:r w:rsidR="000E62D6" w:rsidRPr="00113B3E">
        <w:rPr>
          <w:rFonts w:ascii="Palatino Linotype" w:eastAsia="Palatino Linotype" w:hAnsi="Palatino Linotype" w:cs="Palatino Linotype"/>
        </w:rPr>
        <w:t xml:space="preserve">fecha </w:t>
      </w:r>
      <w:r w:rsidR="00B1431F" w:rsidRPr="00113B3E">
        <w:rPr>
          <w:rFonts w:ascii="Palatino Linotype" w:eastAsia="Palatino Linotype" w:hAnsi="Palatino Linotype" w:cs="Palatino Linotype"/>
          <w:b/>
        </w:rPr>
        <w:t>cinco de noviembre</w:t>
      </w:r>
      <w:r w:rsidRPr="00113B3E">
        <w:rPr>
          <w:rFonts w:ascii="Palatino Linotype" w:eastAsia="Palatino Linotype" w:hAnsi="Palatino Linotype" w:cs="Palatino Linotype"/>
          <w:b/>
        </w:rPr>
        <w:t xml:space="preserve"> de dos mil veinticinco</w:t>
      </w:r>
      <w:r w:rsidR="000E62D6" w:rsidRPr="00113B3E">
        <w:rPr>
          <w:rFonts w:ascii="Palatino Linotype" w:eastAsia="Palatino Linotype" w:hAnsi="Palatino Linotype" w:cs="Palatino Linotype"/>
          <w:b/>
        </w:rPr>
        <w:t xml:space="preserve">, </w:t>
      </w:r>
      <w:r w:rsidR="000E62D6" w:rsidRPr="00113B3E">
        <w:rPr>
          <w:rFonts w:ascii="Palatino Linotype" w:eastAsia="Palatino Linotype" w:hAnsi="Palatino Linotype" w:cs="Palatino Linotype"/>
        </w:rPr>
        <w:t>con fundamento en lo establecido en el artículo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5D74D87B" w14:textId="160222DB" w:rsidR="00A2550F" w:rsidRPr="00113B3E" w:rsidRDefault="00A2550F" w:rsidP="00A2550F">
      <w:pPr>
        <w:spacing w:after="0" w:line="276" w:lineRule="auto"/>
        <w:ind w:left="566" w:right="1137"/>
        <w:jc w:val="both"/>
        <w:rPr>
          <w:rFonts w:ascii="Palatino Linotype" w:eastAsia="Palatino Linotype" w:hAnsi="Palatino Linotype" w:cs="Palatino Linotype"/>
          <w:i/>
        </w:rPr>
      </w:pPr>
    </w:p>
    <w:p w14:paraId="11CEC906" w14:textId="77777777" w:rsidR="00EC4913" w:rsidRPr="00113B3E" w:rsidRDefault="00EC4913" w:rsidP="00EC4913">
      <w:pPr>
        <w:spacing w:after="0" w:line="360" w:lineRule="auto"/>
        <w:jc w:val="both"/>
        <w:rPr>
          <w:rFonts w:ascii="Palatino Linotype" w:eastAsia="Palatino Linotype" w:hAnsi="Palatino Linotype" w:cs="Palatino Linotype"/>
          <w:lang w:eastAsia="en-US"/>
        </w:rPr>
      </w:pPr>
      <w:r w:rsidRPr="00113B3E">
        <w:rPr>
          <w:rFonts w:ascii="Palatino Linotype" w:eastAsia="Palatino Linotype" w:hAnsi="Palatino Linotype" w:cs="Palatino Linotype"/>
          <w:lang w:eastAsia="en-US"/>
        </w:rPr>
        <w:t xml:space="preserve">En razón de que fueron debidamente sustanciados los expedientes electrónicos y no existe diligencia pendiente de desahogo, se emite la Resolución que conforme a Derecho proceda, de acuerdo con los siguientes: </w:t>
      </w:r>
    </w:p>
    <w:p w14:paraId="4502A699" w14:textId="77777777" w:rsidR="00EC4913" w:rsidRPr="00113B3E" w:rsidRDefault="00EC4913" w:rsidP="00EC4913">
      <w:pPr>
        <w:widowControl w:val="0"/>
        <w:spacing w:after="200" w:line="360" w:lineRule="auto"/>
        <w:jc w:val="center"/>
        <w:rPr>
          <w:rFonts w:ascii="Palatino Linotype" w:eastAsia="Palatino Linotype" w:hAnsi="Palatino Linotype" w:cs="Palatino Linotype"/>
          <w:b/>
          <w:lang w:eastAsia="en-US"/>
        </w:rPr>
      </w:pPr>
      <w:r w:rsidRPr="00113B3E">
        <w:rPr>
          <w:rFonts w:ascii="Palatino Linotype" w:eastAsia="Palatino Linotype" w:hAnsi="Palatino Linotype" w:cs="Palatino Linotype"/>
          <w:b/>
          <w:lang w:eastAsia="en-US"/>
        </w:rPr>
        <w:t>II. C O N S I D E R A N D O S</w:t>
      </w:r>
    </w:p>
    <w:p w14:paraId="11BE16FF" w14:textId="1935930B" w:rsidR="00EC4913" w:rsidRPr="00113B3E" w:rsidRDefault="00EC4913" w:rsidP="00EC4913">
      <w:pPr>
        <w:spacing w:after="0" w:line="360" w:lineRule="auto"/>
        <w:jc w:val="both"/>
        <w:rPr>
          <w:rFonts w:ascii="Palatino Linotype" w:eastAsia="Palatino Linotype" w:hAnsi="Palatino Linotype" w:cs="Palatino Linotype"/>
          <w:lang w:eastAsia="en-US"/>
        </w:rPr>
      </w:pPr>
      <w:r w:rsidRPr="00113B3E">
        <w:rPr>
          <w:rFonts w:ascii="Palatino Linotype" w:eastAsia="Palatino Linotype" w:hAnsi="Palatino Linotype" w:cs="Palatino Linotype"/>
          <w:b/>
          <w:lang w:eastAsia="en-US"/>
        </w:rPr>
        <w:t>Primero. Competencia.</w:t>
      </w:r>
      <w:r w:rsidRPr="00113B3E">
        <w:rPr>
          <w:rFonts w:ascii="Palatino Linotype" w:eastAsia="Palatino Linotype" w:hAnsi="Palatino Linotype" w:cs="Palatino Linotype"/>
          <w:lang w:eastAsia="en-US"/>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w:t>
      </w:r>
      <w:r w:rsidR="0035261A" w:rsidRPr="00113B3E">
        <w:rPr>
          <w:rFonts w:ascii="Palatino Linotype" w:eastAsia="Palatino Linotype" w:hAnsi="Palatino Linotype" w:cs="Palatino Linotype"/>
          <w:lang w:eastAsia="en-US"/>
        </w:rPr>
        <w:t>5 párrafos cuadragésimo cuarto, cuadragésimo quinto y cuadragésimo sexto, fracciones IV y V de la Constitución Política del Estado Libre y Soberano de México; transitorio Cuarto del Decreto número 198 de la “LXII” Legislatura del Estado de México</w:t>
      </w:r>
      <w:r w:rsidRPr="00113B3E">
        <w:rPr>
          <w:rFonts w:ascii="Palatino Linotype" w:eastAsia="Palatino Linotype" w:hAnsi="Palatino Linotype" w:cs="Palatino Linotype"/>
          <w:lang w:eastAsia="en-US"/>
        </w:rPr>
        <w:t xml:space="preserve">; 1, 2, fracción II; 13,  29, 36, fracciones I y II; 176, 178, 179, 181 párrafo tercero y 185 de la Ley Transparencia y Acceso a la Información Pública del Estado de México y Municipios; </w:t>
      </w:r>
      <w:r w:rsidRPr="00113B3E">
        <w:rPr>
          <w:rFonts w:ascii="Palatino Linotype" w:eastAsia="Palatino Linotype" w:hAnsi="Palatino Linotype" w:cs="Palatino Linotype"/>
          <w:color w:val="000000"/>
          <w:lang w:eastAsia="en-US"/>
        </w:rPr>
        <w:t>9, fracciones I, XXIII y XXIV</w:t>
      </w:r>
      <w:r w:rsidRPr="00113B3E">
        <w:rPr>
          <w:rFonts w:ascii="Palatino Linotype" w:eastAsia="Palatino Linotype" w:hAnsi="Palatino Linotype" w:cs="Palatino Linotype"/>
          <w:lang w:eastAsia="en-US"/>
        </w:rPr>
        <w:t xml:space="preserve"> y 11 del Reglamento Interior del Instituto de Transparencia, Acceso a la Información Pública y Protección de Datos Personales del Estado de México y Municipios.</w:t>
      </w:r>
    </w:p>
    <w:p w14:paraId="4484FF31" w14:textId="77777777" w:rsidR="00EC4913" w:rsidRPr="00113B3E" w:rsidRDefault="00EC4913" w:rsidP="00EC4913">
      <w:pPr>
        <w:spacing w:after="0" w:line="360" w:lineRule="auto"/>
        <w:jc w:val="both"/>
        <w:rPr>
          <w:rFonts w:ascii="Palatino Linotype" w:eastAsia="Palatino Linotype" w:hAnsi="Palatino Linotype" w:cs="Palatino Linotype"/>
          <w:lang w:eastAsia="en-US"/>
        </w:rPr>
      </w:pPr>
    </w:p>
    <w:p w14:paraId="3D3ECA60" w14:textId="77777777" w:rsidR="00EC4913" w:rsidRPr="00113B3E" w:rsidRDefault="00EC4913" w:rsidP="00EC4913">
      <w:pPr>
        <w:spacing w:after="0" w:line="360" w:lineRule="auto"/>
        <w:jc w:val="both"/>
        <w:rPr>
          <w:rFonts w:ascii="Palatino Linotype" w:eastAsia="Palatino Linotype" w:hAnsi="Palatino Linotype" w:cs="Palatino Linotype"/>
          <w:lang w:eastAsia="en-US"/>
        </w:rPr>
      </w:pPr>
      <w:bookmarkStart w:id="4" w:name="_heading=h.q9a5pqst6so" w:colFirst="0" w:colLast="0"/>
      <w:bookmarkEnd w:id="4"/>
      <w:r w:rsidRPr="00113B3E">
        <w:rPr>
          <w:rFonts w:ascii="Palatino Linotype" w:eastAsia="Palatino Linotype" w:hAnsi="Palatino Linotype" w:cs="Palatino Linotype"/>
          <w:b/>
          <w:lang w:eastAsia="en-US"/>
        </w:rPr>
        <w:t>Segundo. Oportunidad y Procedibilidad de los Recursos de Revisión</w:t>
      </w:r>
      <w:r w:rsidRPr="00113B3E">
        <w:rPr>
          <w:rFonts w:ascii="Palatino Linotype" w:eastAsia="Palatino Linotype" w:hAnsi="Palatino Linotype" w:cs="Palatino Linotype"/>
          <w:lang w:eastAsia="en-US"/>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E69AF8" w14:textId="77777777" w:rsidR="00EC4913" w:rsidRPr="00113B3E" w:rsidRDefault="00EC4913" w:rsidP="00EC4913">
      <w:pPr>
        <w:spacing w:after="0" w:line="360" w:lineRule="auto"/>
        <w:jc w:val="both"/>
        <w:rPr>
          <w:rFonts w:ascii="Palatino Linotype" w:eastAsia="Palatino Linotype" w:hAnsi="Palatino Linotype" w:cs="Palatino Linotype"/>
          <w:lang w:eastAsia="en-US"/>
        </w:rPr>
      </w:pPr>
    </w:p>
    <w:p w14:paraId="25D3EA9F" w14:textId="65A51384" w:rsidR="00EC4913" w:rsidRPr="00113B3E" w:rsidRDefault="00EC4913" w:rsidP="00EC4913">
      <w:pPr>
        <w:spacing w:after="0" w:line="360" w:lineRule="auto"/>
        <w:jc w:val="both"/>
        <w:rPr>
          <w:rFonts w:ascii="Palatino Linotype" w:eastAsia="Palatino Linotype" w:hAnsi="Palatino Linotype" w:cs="Palatino Linotype"/>
          <w:lang w:eastAsia="en-US"/>
        </w:rPr>
      </w:pPr>
      <w:r w:rsidRPr="00113B3E">
        <w:rPr>
          <w:rFonts w:ascii="Palatino Linotype" w:eastAsia="Palatino Linotype" w:hAnsi="Palatino Linotype" w:cs="Palatino Linotype"/>
          <w:color w:val="000000"/>
          <w:lang w:eastAsia="en-US"/>
        </w:rPr>
        <w:t xml:space="preserve">Los recursos de revisión fueron </w:t>
      </w:r>
      <w:r w:rsidRPr="00113B3E">
        <w:rPr>
          <w:rFonts w:ascii="Palatino Linotype" w:eastAsia="Palatino Linotype" w:hAnsi="Palatino Linotype" w:cs="Palatino Linotype"/>
          <w:lang w:eastAsia="en-US"/>
        </w:rPr>
        <w:t xml:space="preserve">interpuestos dentro del plazo de quince días hábiles, previsto en el artículo 178 de la Ley de Transparencia y Acceso a la Información Pública del Estado de México y Municipios, toda vez que el </w:t>
      </w:r>
      <w:r w:rsidRPr="00113B3E">
        <w:rPr>
          <w:rFonts w:ascii="Palatino Linotype" w:eastAsia="Palatino Linotype" w:hAnsi="Palatino Linotype" w:cs="Palatino Linotype"/>
          <w:b/>
          <w:lang w:eastAsia="en-US"/>
        </w:rPr>
        <w:t xml:space="preserve">Sujeto Obligado </w:t>
      </w:r>
      <w:r w:rsidRPr="00113B3E">
        <w:rPr>
          <w:rFonts w:ascii="Palatino Linotype" w:eastAsia="Palatino Linotype" w:hAnsi="Palatino Linotype" w:cs="Palatino Linotype"/>
          <w:lang w:eastAsia="en-US"/>
        </w:rPr>
        <w:t>remitió las respuestas a la solicitudes de información en</w:t>
      </w:r>
      <w:r w:rsidR="00B1431F" w:rsidRPr="00113B3E">
        <w:rPr>
          <w:rFonts w:ascii="Palatino Linotype" w:eastAsia="Palatino Linotype" w:hAnsi="Palatino Linotype" w:cs="Palatino Linotype"/>
          <w:lang w:eastAsia="en-US"/>
        </w:rPr>
        <w:t xml:space="preserve"> fechas</w:t>
      </w:r>
      <w:r w:rsidRPr="00113B3E">
        <w:rPr>
          <w:rFonts w:ascii="Palatino Linotype" w:eastAsia="Palatino Linotype" w:hAnsi="Palatino Linotype" w:cs="Palatino Linotype"/>
          <w:lang w:eastAsia="en-US"/>
        </w:rPr>
        <w:t xml:space="preserve"> </w:t>
      </w:r>
      <w:r w:rsidR="00B1431F" w:rsidRPr="00113B3E">
        <w:rPr>
          <w:rFonts w:ascii="Palatino Linotype" w:eastAsia="Palatino Linotype" w:hAnsi="Palatino Linotype" w:cs="Palatino Linotype"/>
          <w:b/>
        </w:rPr>
        <w:t>primero y</w:t>
      </w:r>
      <w:r w:rsidR="00B1431F" w:rsidRPr="00113B3E">
        <w:rPr>
          <w:rFonts w:ascii="Palatino Linotype" w:eastAsia="Palatino Linotype" w:hAnsi="Palatino Linotype" w:cs="Palatino Linotype"/>
        </w:rPr>
        <w:t xml:space="preserve"> </w:t>
      </w:r>
      <w:r w:rsidR="00B1431F" w:rsidRPr="00113B3E">
        <w:rPr>
          <w:rFonts w:ascii="Palatino Linotype" w:eastAsia="Palatino Linotype" w:hAnsi="Palatino Linotype" w:cs="Palatino Linotype"/>
          <w:b/>
          <w:bCs/>
        </w:rPr>
        <w:t>dos de octubre</w:t>
      </w:r>
      <w:r w:rsidR="00B1431F" w:rsidRPr="00113B3E">
        <w:rPr>
          <w:rFonts w:ascii="Palatino Linotype" w:eastAsia="Palatino Linotype" w:hAnsi="Palatino Linotype" w:cs="Palatino Linotype"/>
          <w:b/>
        </w:rPr>
        <w:t xml:space="preserve"> de dos mil veinticinco</w:t>
      </w:r>
      <w:r w:rsidRPr="00113B3E">
        <w:rPr>
          <w:rFonts w:ascii="Palatino Linotype" w:eastAsia="Palatino Linotype" w:hAnsi="Palatino Linotype" w:cs="Palatino Linotype"/>
          <w:b/>
          <w:lang w:eastAsia="en-US"/>
        </w:rPr>
        <w:t xml:space="preserve">, </w:t>
      </w:r>
      <w:r w:rsidRPr="00113B3E">
        <w:rPr>
          <w:rFonts w:ascii="Palatino Linotype" w:eastAsia="Palatino Linotype" w:hAnsi="Palatino Linotype" w:cs="Palatino Linotype"/>
          <w:lang w:eastAsia="en-US"/>
        </w:rPr>
        <w:t xml:space="preserve">mientras que los </w:t>
      </w:r>
      <w:r w:rsidRPr="00113B3E">
        <w:rPr>
          <w:rFonts w:ascii="Palatino Linotype" w:eastAsia="Palatino Linotype" w:hAnsi="Palatino Linotype" w:cs="Palatino Linotype"/>
          <w:color w:val="000000"/>
          <w:lang w:eastAsia="en-US"/>
        </w:rPr>
        <w:t xml:space="preserve">recursos de revisión </w:t>
      </w:r>
      <w:r w:rsidRPr="00113B3E">
        <w:rPr>
          <w:rFonts w:ascii="Palatino Linotype" w:eastAsia="Palatino Linotype" w:hAnsi="Palatino Linotype" w:cs="Palatino Linotype"/>
          <w:lang w:eastAsia="en-US"/>
        </w:rPr>
        <w:t xml:space="preserve">interpuestos por la parte </w:t>
      </w:r>
      <w:r w:rsidRPr="00113B3E">
        <w:rPr>
          <w:rFonts w:ascii="Palatino Linotype" w:eastAsia="Palatino Linotype" w:hAnsi="Palatino Linotype" w:cs="Palatino Linotype"/>
          <w:b/>
          <w:lang w:eastAsia="en-US"/>
        </w:rPr>
        <w:t>Recurrente</w:t>
      </w:r>
      <w:r w:rsidRPr="00113B3E">
        <w:rPr>
          <w:rFonts w:ascii="Palatino Linotype" w:eastAsia="Palatino Linotype" w:hAnsi="Palatino Linotype" w:cs="Palatino Linotype"/>
          <w:lang w:eastAsia="en-US"/>
        </w:rPr>
        <w:t xml:space="preserve">, se tuvieron por presentados en fecha </w:t>
      </w:r>
      <w:r w:rsidR="001A2697" w:rsidRPr="00113B3E">
        <w:rPr>
          <w:rFonts w:ascii="Palatino Linotype" w:eastAsia="Palatino Linotype" w:hAnsi="Palatino Linotype" w:cs="Palatino Linotype"/>
          <w:b/>
          <w:bCs/>
        </w:rPr>
        <w:t>dos de octubre</w:t>
      </w:r>
      <w:r w:rsidR="001A2697" w:rsidRPr="00113B3E">
        <w:rPr>
          <w:rFonts w:ascii="Palatino Linotype" w:eastAsia="Palatino Linotype" w:hAnsi="Palatino Linotype" w:cs="Palatino Linotype"/>
          <w:b/>
        </w:rPr>
        <w:t xml:space="preserve"> de dos mil veinticinco</w:t>
      </w:r>
      <w:r w:rsidRPr="00113B3E">
        <w:rPr>
          <w:rFonts w:ascii="Palatino Linotype" w:eastAsia="Palatino Linotype" w:hAnsi="Palatino Linotype" w:cs="Palatino Linotype"/>
          <w:lang w:eastAsia="en-US"/>
        </w:rPr>
        <w:t xml:space="preserve">, esto es, </w:t>
      </w:r>
      <w:r w:rsidR="001A2697" w:rsidRPr="00113B3E">
        <w:rPr>
          <w:rFonts w:ascii="Palatino Linotype" w:eastAsia="Palatino Linotype" w:hAnsi="Palatino Linotype" w:cs="Palatino Linotype"/>
          <w:b/>
          <w:lang w:eastAsia="en-US"/>
        </w:rPr>
        <w:t xml:space="preserve">el mismo día y el primer día hábil siguiente a aquel en que se tuvo </w:t>
      </w:r>
      <w:r w:rsidRPr="00113B3E">
        <w:rPr>
          <w:rFonts w:ascii="Palatino Linotype" w:eastAsia="Palatino Linotype" w:hAnsi="Palatino Linotype" w:cs="Palatino Linotype"/>
          <w:lang w:eastAsia="en-US"/>
        </w:rPr>
        <w:t xml:space="preserve">conocimiento de las respuestas impugnadas. </w:t>
      </w:r>
    </w:p>
    <w:p w14:paraId="4DDC9706" w14:textId="77777777" w:rsidR="00EC4913" w:rsidRPr="00113B3E" w:rsidRDefault="00EC4913" w:rsidP="00EC4913">
      <w:pPr>
        <w:spacing w:after="0" w:line="360" w:lineRule="auto"/>
        <w:jc w:val="both"/>
        <w:rPr>
          <w:rFonts w:ascii="Palatino Linotype" w:eastAsia="Palatino Linotype" w:hAnsi="Palatino Linotype" w:cs="Palatino Linotype"/>
          <w:lang w:eastAsia="en-US"/>
        </w:rPr>
      </w:pPr>
    </w:p>
    <w:p w14:paraId="229AA30A" w14:textId="77777777" w:rsidR="00EC4913" w:rsidRPr="00113B3E" w:rsidRDefault="00EC4913" w:rsidP="00EC4913">
      <w:pPr>
        <w:spacing w:after="0" w:line="360" w:lineRule="auto"/>
        <w:jc w:val="both"/>
        <w:rPr>
          <w:rFonts w:ascii="Palatino Linotype" w:eastAsia="Palatino Linotype" w:hAnsi="Palatino Linotype" w:cs="Palatino Linotype"/>
          <w:lang w:eastAsia="en-US"/>
        </w:rPr>
      </w:pPr>
      <w:r w:rsidRPr="00113B3E">
        <w:rPr>
          <w:rFonts w:ascii="Palatino Linotype" w:eastAsia="Palatino Linotype" w:hAnsi="Palatino Linotype" w:cs="Palatino Linotype"/>
          <w:lang w:eastAsia="en-US"/>
        </w:rPr>
        <w:t>En este sentido, se concluye que los presentes recursos de revisión se encuentran dentro de los márgenes temporales previstos en las disposiciones legales referidas.</w:t>
      </w:r>
    </w:p>
    <w:p w14:paraId="56D80109" w14:textId="77777777" w:rsidR="0068329D" w:rsidRPr="00113B3E" w:rsidRDefault="0068329D" w:rsidP="00EC4913">
      <w:pPr>
        <w:spacing w:after="0" w:line="360" w:lineRule="auto"/>
        <w:jc w:val="both"/>
        <w:rPr>
          <w:rFonts w:ascii="Palatino Linotype" w:eastAsia="Palatino Linotype" w:hAnsi="Palatino Linotype" w:cs="Palatino Linotype"/>
          <w:lang w:eastAsia="en-US"/>
        </w:rPr>
      </w:pPr>
    </w:p>
    <w:p w14:paraId="3BC5E98C" w14:textId="77777777" w:rsidR="0068329D" w:rsidRPr="00113B3E" w:rsidRDefault="0068329D" w:rsidP="0068329D">
      <w:pPr>
        <w:spacing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5D4465DB" w14:textId="77777777" w:rsidR="0068329D" w:rsidRPr="00113B3E" w:rsidRDefault="0068329D" w:rsidP="0068329D">
      <w:pPr>
        <w:spacing w:line="276" w:lineRule="auto"/>
        <w:ind w:left="567" w:right="616"/>
        <w:jc w:val="both"/>
        <w:rPr>
          <w:rFonts w:ascii="Palatino Linotype" w:eastAsia="Palatino Linotype" w:hAnsi="Palatino Linotype" w:cs="Palatino Linotype"/>
        </w:rPr>
      </w:pPr>
      <w:r w:rsidRPr="00113B3E">
        <w:rPr>
          <w:rFonts w:ascii="Palatino Linotype" w:eastAsia="Palatino Linotype" w:hAnsi="Palatino Linotype" w:cs="Palatino Linotype"/>
          <w:b/>
          <w:i/>
        </w:rPr>
        <w:t>“RECURSO DE RECLAMACIÓN. SU INTERPOSICIÓN NO ES EXTEMPORÁNEA SI SE REALIZA ANTES DE QUE INICIE EL PLAZO PARA HACERLO</w:t>
      </w:r>
      <w:r w:rsidRPr="00113B3E">
        <w:rPr>
          <w:rFonts w:ascii="Palatino Linotype" w:eastAsia="Palatino Linotype" w:hAnsi="Palatino Linotype" w:cs="Palatino Linotype"/>
          <w:i/>
        </w:rPr>
        <w:t>.</w:t>
      </w:r>
    </w:p>
    <w:p w14:paraId="24045FB2" w14:textId="77777777" w:rsidR="0068329D" w:rsidRPr="00113B3E" w:rsidRDefault="0068329D" w:rsidP="0068329D">
      <w:pPr>
        <w:spacing w:line="276" w:lineRule="auto"/>
        <w:ind w:left="567" w:right="616"/>
        <w:jc w:val="both"/>
        <w:rPr>
          <w:rFonts w:ascii="Palatino Linotype" w:eastAsia="Palatino Linotype" w:hAnsi="Palatino Linotype" w:cs="Palatino Linotype"/>
        </w:rPr>
      </w:pPr>
      <w:r w:rsidRPr="00113B3E">
        <w:rPr>
          <w:rFonts w:ascii="Palatino Linotype" w:eastAsia="Palatino Linotype" w:hAnsi="Palatino Linotype" w:cs="Palatino Linotype"/>
          <w:i/>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16D72A7" w14:textId="77777777" w:rsidR="00EC4913" w:rsidRPr="00113B3E" w:rsidRDefault="00EC4913" w:rsidP="00EC4913">
      <w:pPr>
        <w:spacing w:after="0" w:line="360" w:lineRule="auto"/>
        <w:jc w:val="both"/>
        <w:rPr>
          <w:rFonts w:ascii="Palatino Linotype" w:eastAsia="Palatino Linotype" w:hAnsi="Palatino Linotype" w:cs="Palatino Linotype"/>
          <w:lang w:eastAsia="en-US"/>
        </w:rPr>
      </w:pPr>
    </w:p>
    <w:p w14:paraId="7ED43719" w14:textId="77777777" w:rsidR="00EC4913" w:rsidRPr="00113B3E" w:rsidRDefault="00EC4913" w:rsidP="00EC4913">
      <w:pPr>
        <w:spacing w:after="0" w:line="360" w:lineRule="auto"/>
        <w:jc w:val="both"/>
        <w:rPr>
          <w:rFonts w:ascii="Palatino Linotype" w:eastAsia="Palatino Linotype" w:hAnsi="Palatino Linotype" w:cs="Palatino Linotype"/>
          <w:lang w:eastAsia="en-US"/>
        </w:rPr>
      </w:pPr>
      <w:r w:rsidRPr="00113B3E">
        <w:rPr>
          <w:rFonts w:ascii="Palatino Linotype" w:eastAsia="Palatino Linotype" w:hAnsi="Palatino Linotype" w:cs="Palatino Linotype"/>
          <w:lang w:eastAsia="en-US"/>
        </w:rPr>
        <w:t>Al mismo tiempo, por cuanto hace a la procedibilidad de los recursos de revisión, una vez realizado el análisis de los formatos de interposición de los recursos, se concluye la acreditación plena de los elementos formales precisados por el artículo 180 de la Ley de Transparencia y Acceso a la Información Pública del Estado de México y Municipios, en atención a que fueron presentados mediante el formato visible en el SAIMEX.</w:t>
      </w:r>
    </w:p>
    <w:p w14:paraId="2E52B065" w14:textId="77777777" w:rsidR="00EC4913" w:rsidRPr="00113B3E" w:rsidRDefault="00EC4913" w:rsidP="00EC4913">
      <w:pPr>
        <w:spacing w:after="0" w:line="360" w:lineRule="auto"/>
        <w:jc w:val="both"/>
        <w:rPr>
          <w:rFonts w:ascii="Palatino Linotype" w:eastAsia="Palatino Linotype" w:hAnsi="Palatino Linotype" w:cs="Palatino Linotype"/>
          <w:lang w:eastAsia="en-US"/>
        </w:rPr>
      </w:pPr>
    </w:p>
    <w:p w14:paraId="3545E557" w14:textId="6595CE18" w:rsidR="00EC4913" w:rsidRPr="00113B3E" w:rsidRDefault="00EC4913" w:rsidP="00EC4913">
      <w:pPr>
        <w:spacing w:after="0" w:line="360" w:lineRule="auto"/>
        <w:jc w:val="both"/>
        <w:rPr>
          <w:rFonts w:ascii="Palatino Linotype" w:eastAsia="Palatino Linotype" w:hAnsi="Palatino Linotype" w:cs="Palatino Linotype"/>
          <w:lang w:eastAsia="en-US"/>
        </w:rPr>
      </w:pPr>
      <w:r w:rsidRPr="00113B3E">
        <w:rPr>
          <w:rFonts w:ascii="Palatino Linotype" w:eastAsia="Palatino Linotype" w:hAnsi="Palatino Linotype" w:cs="Palatino Linotype"/>
          <w:lang w:eastAsia="en-US"/>
        </w:rPr>
        <w:t xml:space="preserve">A efecto de sustentar lo anterior, es de suma importancia mencionar que si bien la persona solicitante </w:t>
      </w:r>
      <w:r w:rsidR="003E5482" w:rsidRPr="00113B3E">
        <w:rPr>
          <w:rFonts w:ascii="Palatino Linotype" w:eastAsia="Palatino Linotype" w:hAnsi="Palatino Linotype" w:cs="Palatino Linotype"/>
          <w:b/>
          <w:lang w:eastAsia="en-US"/>
        </w:rPr>
        <w:t xml:space="preserve">no proporcionó </w:t>
      </w:r>
      <w:r w:rsidRPr="00113B3E">
        <w:rPr>
          <w:rFonts w:ascii="Palatino Linotype" w:eastAsia="Palatino Linotype" w:hAnsi="Palatino Linotype" w:cs="Palatino Linotype"/>
          <w:b/>
          <w:lang w:eastAsia="en-US"/>
        </w:rPr>
        <w:t>nombre</w:t>
      </w:r>
      <w:r w:rsidR="003E5482" w:rsidRPr="00113B3E">
        <w:rPr>
          <w:rFonts w:ascii="Palatino Linotype" w:eastAsia="Palatino Linotype" w:hAnsi="Palatino Linotype" w:cs="Palatino Linotype"/>
          <w:b/>
          <w:lang w:eastAsia="en-US"/>
        </w:rPr>
        <w:t xml:space="preserve"> completo</w:t>
      </w:r>
      <w:r w:rsidRPr="00113B3E">
        <w:rPr>
          <w:rFonts w:ascii="Palatino Linotype" w:eastAsia="Palatino Linotype" w:hAnsi="Palatino Linotype" w:cs="Palatino Linotype"/>
          <w:b/>
          <w:lang w:eastAsia="en-US"/>
        </w:rPr>
        <w:t xml:space="preserve">, </w:t>
      </w:r>
      <w:r w:rsidRPr="00113B3E">
        <w:rPr>
          <w:rFonts w:ascii="Palatino Linotype" w:eastAsia="Palatino Linotype" w:hAnsi="Palatino Linotype" w:cs="Palatino Linotype"/>
          <w:lang w:eastAsia="en-US"/>
        </w:rPr>
        <w:t xml:space="preserve">como se advierte en el detalle de seguimiento del SAIMEX; sin embargo, el no proporcionar </w:t>
      </w:r>
      <w:r w:rsidRPr="00113B3E">
        <w:rPr>
          <w:rFonts w:ascii="Palatino Linotype" w:eastAsia="Palatino Linotype" w:hAnsi="Palatino Linotype" w:cs="Palatino Linotype"/>
          <w:color w:val="000000" w:themeColor="text1"/>
          <w:lang w:eastAsia="en-US"/>
        </w:rPr>
        <w:t xml:space="preserve">un nombre completo </w:t>
      </w:r>
      <w:r w:rsidRPr="00113B3E">
        <w:rPr>
          <w:rFonts w:ascii="Palatino Linotype" w:eastAsia="Palatino Linotype" w:hAnsi="Palatino Linotype" w:cs="Palatino Linotype"/>
          <w:lang w:eastAsia="en-US"/>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57BFB7E" w14:textId="77777777" w:rsidR="00EC4913" w:rsidRPr="00113B3E" w:rsidRDefault="00EC4913" w:rsidP="00EC4913">
      <w:pPr>
        <w:spacing w:after="0" w:line="360" w:lineRule="auto"/>
        <w:jc w:val="both"/>
        <w:rPr>
          <w:rFonts w:ascii="Palatino Linotype" w:eastAsia="Palatino Linotype" w:hAnsi="Palatino Linotype" w:cs="Palatino Linotype"/>
          <w:lang w:eastAsia="en-US"/>
        </w:rPr>
      </w:pPr>
    </w:p>
    <w:p w14:paraId="106BF628" w14:textId="77777777" w:rsidR="00EC4913" w:rsidRPr="00113B3E" w:rsidRDefault="00EC4913" w:rsidP="00EC4913">
      <w:pPr>
        <w:spacing w:after="0" w:line="276" w:lineRule="auto"/>
        <w:ind w:left="851" w:right="902"/>
        <w:jc w:val="both"/>
        <w:rPr>
          <w:rFonts w:ascii="Palatino Linotype" w:eastAsia="Palatino Linotype" w:hAnsi="Palatino Linotype" w:cs="Palatino Linotype"/>
          <w:i/>
          <w:lang w:eastAsia="en-US"/>
        </w:rPr>
      </w:pPr>
      <w:r w:rsidRPr="00113B3E">
        <w:rPr>
          <w:rFonts w:ascii="Palatino Linotype" w:eastAsia="Palatino Linotype" w:hAnsi="Palatino Linotype" w:cs="Palatino Linotype"/>
          <w:i/>
          <w:lang w:eastAsia="en-US"/>
        </w:rPr>
        <w:t>"</w:t>
      </w:r>
      <w:r w:rsidRPr="00113B3E">
        <w:rPr>
          <w:rFonts w:ascii="Palatino Linotype" w:eastAsia="Palatino Linotype" w:hAnsi="Palatino Linotype" w:cs="Palatino Linotype"/>
          <w:b/>
          <w:i/>
          <w:lang w:eastAsia="en-US"/>
        </w:rPr>
        <w:t xml:space="preserve">Las solicitudes </w:t>
      </w:r>
      <w:r w:rsidRPr="00113B3E">
        <w:rPr>
          <w:rFonts w:ascii="Palatino Linotype" w:eastAsia="Palatino Linotype" w:hAnsi="Palatino Linotype" w:cs="Palatino Linotype"/>
          <w:i/>
          <w:lang w:eastAsia="en-US"/>
        </w:rPr>
        <w:t xml:space="preserve">anónimas, </w:t>
      </w:r>
      <w:r w:rsidRPr="00113B3E">
        <w:rPr>
          <w:rFonts w:ascii="Palatino Linotype" w:eastAsia="Palatino Linotype" w:hAnsi="Palatino Linotype" w:cs="Palatino Linotype"/>
          <w:b/>
          <w:i/>
          <w:lang w:eastAsia="en-US"/>
        </w:rPr>
        <w:t>con nombre incompleto</w:t>
      </w:r>
      <w:r w:rsidRPr="00113B3E">
        <w:rPr>
          <w:rFonts w:ascii="Palatino Linotype" w:eastAsia="Palatino Linotype" w:hAnsi="Palatino Linotype" w:cs="Palatino Linotype"/>
          <w:i/>
          <w:lang w:eastAsia="en-US"/>
        </w:rPr>
        <w:t xml:space="preserve"> o seudónimo</w:t>
      </w:r>
      <w:r w:rsidRPr="00113B3E">
        <w:rPr>
          <w:rFonts w:ascii="Palatino Linotype" w:eastAsia="Palatino Linotype" w:hAnsi="Palatino Linotype" w:cs="Palatino Linotype"/>
          <w:b/>
          <w:i/>
          <w:lang w:eastAsia="en-US"/>
        </w:rPr>
        <w:t xml:space="preserve"> serán procedentes para su trámite por parte del sujeto obligado ante quien se presente</w:t>
      </w:r>
      <w:r w:rsidRPr="00113B3E">
        <w:rPr>
          <w:rFonts w:ascii="Palatino Linotype" w:eastAsia="Palatino Linotype" w:hAnsi="Palatino Linotype" w:cs="Palatino Linotype"/>
          <w:i/>
          <w:lang w:eastAsia="en-US"/>
        </w:rPr>
        <w:t>. No podrá requerirse información adicional con motivo del nombre proporcionado por el solicitante."</w:t>
      </w:r>
    </w:p>
    <w:p w14:paraId="18CF06CB" w14:textId="77777777" w:rsidR="00EC4913" w:rsidRPr="00113B3E" w:rsidRDefault="00EC4913" w:rsidP="00EC4913">
      <w:pPr>
        <w:spacing w:after="0" w:line="276" w:lineRule="auto"/>
        <w:ind w:left="851" w:right="902"/>
        <w:jc w:val="both"/>
        <w:rPr>
          <w:rFonts w:ascii="Palatino Linotype" w:eastAsia="Palatino Linotype" w:hAnsi="Palatino Linotype" w:cs="Palatino Linotype"/>
          <w:lang w:eastAsia="en-US"/>
        </w:rPr>
      </w:pPr>
    </w:p>
    <w:p w14:paraId="59445E4E" w14:textId="591523E6" w:rsidR="00EC4913" w:rsidRPr="00113B3E" w:rsidRDefault="00EC4913" w:rsidP="00EC4913">
      <w:pPr>
        <w:spacing w:after="0" w:line="360" w:lineRule="auto"/>
        <w:jc w:val="both"/>
        <w:rPr>
          <w:rFonts w:ascii="Palatino Linotype" w:eastAsia="Palatino Linotype" w:hAnsi="Palatino Linotype" w:cs="Palatino Linotype"/>
          <w:lang w:eastAsia="en-US"/>
        </w:rPr>
      </w:pPr>
      <w:r w:rsidRPr="00113B3E">
        <w:rPr>
          <w:rFonts w:ascii="Palatino Linotype" w:eastAsia="Palatino Linotype" w:hAnsi="Palatino Linotype" w:cs="Palatino Linotype"/>
          <w:lang w:eastAsia="en-US"/>
        </w:rPr>
        <w:t xml:space="preserve">Finalmente, se advierte que resulta procedente la interposición de los recursos, según lo manifestado por la parte </w:t>
      </w:r>
      <w:r w:rsidRPr="00113B3E">
        <w:rPr>
          <w:rFonts w:ascii="Palatino Linotype" w:eastAsia="Palatino Linotype" w:hAnsi="Palatino Linotype" w:cs="Palatino Linotype"/>
          <w:b/>
          <w:lang w:eastAsia="en-US"/>
        </w:rPr>
        <w:t>Recurrente</w:t>
      </w:r>
      <w:r w:rsidRPr="00113B3E">
        <w:rPr>
          <w:rFonts w:ascii="Palatino Linotype" w:eastAsia="Palatino Linotype" w:hAnsi="Palatino Linotype" w:cs="Palatino Linotype"/>
          <w:lang w:eastAsia="en-US"/>
        </w:rPr>
        <w:t xml:space="preserve"> en sus motivos de inconformidad, de acuerdo con el artículo 179, </w:t>
      </w:r>
      <w:r w:rsidR="009F4AF0" w:rsidRPr="00113B3E">
        <w:rPr>
          <w:rFonts w:ascii="Palatino Linotype" w:eastAsia="Palatino Linotype" w:hAnsi="Palatino Linotype" w:cs="Palatino Linotype"/>
          <w:lang w:eastAsia="en-US"/>
        </w:rPr>
        <w:t>fracción I</w:t>
      </w:r>
      <w:r w:rsidR="004104F8" w:rsidRPr="00113B3E">
        <w:rPr>
          <w:rFonts w:ascii="Palatino Linotype" w:eastAsia="Palatino Linotype" w:hAnsi="Palatino Linotype" w:cs="Palatino Linotype"/>
          <w:lang w:eastAsia="en-US"/>
        </w:rPr>
        <w:t xml:space="preserve"> </w:t>
      </w:r>
      <w:r w:rsidRPr="00113B3E">
        <w:rPr>
          <w:rFonts w:ascii="Palatino Linotype" w:eastAsia="Palatino Linotype" w:hAnsi="Palatino Linotype" w:cs="Palatino Linotype"/>
          <w:lang w:eastAsia="en-US"/>
        </w:rPr>
        <w:t>del ordenamiento legal citado, que a la letra dice: </w:t>
      </w:r>
    </w:p>
    <w:p w14:paraId="2EE2B7E5" w14:textId="77777777" w:rsidR="00EC4913" w:rsidRPr="00113B3E" w:rsidRDefault="00EC4913" w:rsidP="00EC4913">
      <w:pPr>
        <w:spacing w:after="0" w:line="360" w:lineRule="auto"/>
        <w:jc w:val="both"/>
        <w:rPr>
          <w:rFonts w:ascii="Palatino Linotype" w:eastAsia="Palatino Linotype" w:hAnsi="Palatino Linotype" w:cs="Palatino Linotype"/>
          <w:lang w:eastAsia="en-US"/>
        </w:rPr>
      </w:pPr>
    </w:p>
    <w:p w14:paraId="4AB592B3" w14:textId="77777777" w:rsidR="00EC4913" w:rsidRPr="00113B3E" w:rsidRDefault="00EC4913" w:rsidP="00EC4913">
      <w:pPr>
        <w:spacing w:after="0" w:line="276" w:lineRule="auto"/>
        <w:ind w:left="567" w:right="902"/>
        <w:jc w:val="both"/>
        <w:rPr>
          <w:rFonts w:ascii="Palatino Linotype" w:eastAsia="Palatino Linotype" w:hAnsi="Palatino Linotype" w:cs="Palatino Linotype"/>
          <w:i/>
          <w:lang w:eastAsia="en-US"/>
        </w:rPr>
      </w:pPr>
      <w:r w:rsidRPr="00113B3E">
        <w:rPr>
          <w:rFonts w:ascii="Palatino Linotype" w:eastAsia="Palatino Linotype" w:hAnsi="Palatino Linotype" w:cs="Palatino Linotype"/>
          <w:i/>
          <w:lang w:eastAsia="en-US"/>
        </w:rPr>
        <w:t>“</w:t>
      </w:r>
      <w:r w:rsidRPr="00113B3E">
        <w:rPr>
          <w:rFonts w:ascii="Palatino Linotype" w:eastAsia="Palatino Linotype" w:hAnsi="Palatino Linotype" w:cs="Palatino Linotype"/>
          <w:b/>
          <w:i/>
          <w:lang w:eastAsia="en-US"/>
        </w:rPr>
        <w:t>Artículo 179.</w:t>
      </w:r>
      <w:r w:rsidRPr="00113B3E">
        <w:rPr>
          <w:rFonts w:ascii="Palatino Linotype" w:eastAsia="Palatino Linotype" w:hAnsi="Palatino Linotype" w:cs="Palatino Linotype"/>
          <w:i/>
          <w:lang w:eastAsia="en-US"/>
        </w:rPr>
        <w:t xml:space="preserve"> El recurso de revisión es un medio de protección que la Ley otorga a los particulares, para hacer valer su derecho de acceso a la información pública, y procederá en contra de las siguientes causas:</w:t>
      </w:r>
    </w:p>
    <w:p w14:paraId="19E0861B" w14:textId="0E3CD366" w:rsidR="004104F8" w:rsidRPr="00113B3E" w:rsidRDefault="003E5482" w:rsidP="00EC4913">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b/>
          <w:i/>
          <w:lang w:eastAsia="en-US"/>
        </w:rPr>
      </w:pPr>
      <w:r w:rsidRPr="00113B3E">
        <w:rPr>
          <w:rFonts w:ascii="Palatino Linotype" w:eastAsia="Palatino Linotype" w:hAnsi="Palatino Linotype" w:cs="Palatino Linotype"/>
          <w:b/>
          <w:i/>
          <w:lang w:eastAsia="en-US"/>
        </w:rPr>
        <w:t>I. La negativa a la información solicitada;</w:t>
      </w:r>
    </w:p>
    <w:p w14:paraId="7F09195C" w14:textId="1A4666C0" w:rsidR="00EC4913" w:rsidRPr="00113B3E" w:rsidRDefault="004104F8" w:rsidP="00EC4913">
      <w:pPr>
        <w:pBdr>
          <w:top w:val="nil"/>
          <w:left w:val="nil"/>
          <w:bottom w:val="nil"/>
          <w:right w:val="nil"/>
          <w:between w:val="nil"/>
        </w:pBdr>
        <w:spacing w:after="0" w:line="276" w:lineRule="auto"/>
        <w:ind w:left="567" w:right="902"/>
        <w:jc w:val="both"/>
        <w:rPr>
          <w:rFonts w:ascii="Palatino Linotype" w:eastAsia="Palatino Linotype" w:hAnsi="Palatino Linotype" w:cs="Palatino Linotype"/>
          <w:i/>
          <w:lang w:eastAsia="en-US"/>
        </w:rPr>
      </w:pPr>
      <w:r w:rsidRPr="00113B3E">
        <w:rPr>
          <w:rFonts w:ascii="Palatino Linotype" w:eastAsia="Palatino Linotype" w:hAnsi="Palatino Linotype" w:cs="Palatino Linotype"/>
          <w:i/>
          <w:lang w:eastAsia="en-US"/>
        </w:rPr>
        <w:t xml:space="preserve"> </w:t>
      </w:r>
      <w:r w:rsidR="00EC4913" w:rsidRPr="00113B3E">
        <w:rPr>
          <w:rFonts w:ascii="Palatino Linotype" w:eastAsia="Palatino Linotype" w:hAnsi="Palatino Linotype" w:cs="Palatino Linotype"/>
          <w:i/>
          <w:lang w:eastAsia="en-US"/>
        </w:rPr>
        <w:t>[…]”</w:t>
      </w:r>
    </w:p>
    <w:p w14:paraId="5C6E26EE" w14:textId="768E51E1" w:rsidR="009F4AF0" w:rsidRPr="00113B3E" w:rsidRDefault="009F4AF0" w:rsidP="009F4AF0">
      <w:pPr>
        <w:pBdr>
          <w:top w:val="nil"/>
          <w:left w:val="nil"/>
          <w:bottom w:val="nil"/>
          <w:right w:val="nil"/>
          <w:between w:val="nil"/>
        </w:pBdr>
        <w:spacing w:after="0" w:line="276" w:lineRule="auto"/>
        <w:ind w:left="567" w:right="902"/>
        <w:jc w:val="right"/>
        <w:rPr>
          <w:rFonts w:ascii="Palatino Linotype" w:eastAsia="Palatino Linotype" w:hAnsi="Palatino Linotype" w:cs="Palatino Linotype"/>
          <w:i/>
          <w:lang w:eastAsia="en-US"/>
        </w:rPr>
      </w:pPr>
      <w:r w:rsidRPr="00113B3E">
        <w:rPr>
          <w:rFonts w:ascii="Palatino Linotype" w:eastAsia="Palatino Linotype" w:hAnsi="Palatino Linotype" w:cs="Palatino Linotype"/>
          <w:i/>
          <w:lang w:eastAsia="en-US"/>
        </w:rPr>
        <w:t>(Énfasis añadido)</w:t>
      </w:r>
    </w:p>
    <w:p w14:paraId="1E53D008" w14:textId="77777777" w:rsidR="00D747E4" w:rsidRPr="00113B3E" w:rsidRDefault="00D747E4">
      <w:pPr>
        <w:spacing w:after="0" w:line="360" w:lineRule="auto"/>
        <w:jc w:val="both"/>
        <w:rPr>
          <w:rFonts w:ascii="Palatino Linotype" w:eastAsia="Palatino Linotype" w:hAnsi="Palatino Linotype" w:cs="Palatino Linotype"/>
        </w:rPr>
      </w:pPr>
    </w:p>
    <w:p w14:paraId="59B8C15A" w14:textId="3E95B730" w:rsidR="00EC4913" w:rsidRPr="00113B3E"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113B3E">
        <w:rPr>
          <w:rFonts w:ascii="Palatino Linotype" w:eastAsia="Palatino Linotype" w:hAnsi="Palatino Linotype" w:cs="Palatino Linotype"/>
          <w:b/>
        </w:rPr>
        <w:t>Tercero. Materia de la revisión.</w:t>
      </w:r>
      <w:r w:rsidRPr="00113B3E">
        <w:rPr>
          <w:rFonts w:ascii="Palatino Linotype" w:eastAsia="Palatino Linotype" w:hAnsi="Palatino Linotype" w:cs="Palatino Linotype"/>
        </w:rPr>
        <w:t xml:space="preserve"> De la revisión a las constancias y documentos que obran en los expedientes electrónicos se advierte que, el tema sobre el que este Organismo Garante de Transparencia y Acceso a la Información se pronunciará será; </w:t>
      </w:r>
      <w:r w:rsidRPr="00113B3E">
        <w:rPr>
          <w:rFonts w:ascii="Palatino Linotype" w:eastAsia="Palatino Linotype" w:hAnsi="Palatino Linotype" w:cs="Palatino Linotype"/>
          <w:b/>
        </w:rPr>
        <w:t xml:space="preserve">verificar si </w:t>
      </w:r>
      <w:r w:rsidR="003964E2" w:rsidRPr="00113B3E">
        <w:rPr>
          <w:rFonts w:ascii="Palatino Linotype" w:eastAsia="Palatino Linotype" w:hAnsi="Palatino Linotype" w:cs="Palatino Linotype"/>
          <w:b/>
        </w:rPr>
        <w:t>la información otorgada</w:t>
      </w:r>
      <w:r w:rsidRPr="00113B3E">
        <w:rPr>
          <w:rFonts w:ascii="Palatino Linotype" w:eastAsia="Palatino Linotype" w:hAnsi="Palatino Linotype" w:cs="Palatino Linotype"/>
          <w:b/>
        </w:rPr>
        <w:t xml:space="preserve"> por el Sujeto Obligado, </w:t>
      </w:r>
      <w:r w:rsidR="003964E2" w:rsidRPr="00113B3E">
        <w:rPr>
          <w:rFonts w:ascii="Palatino Linotype" w:eastAsia="Palatino Linotype" w:hAnsi="Palatino Linotype" w:cs="Palatino Linotype"/>
          <w:b/>
        </w:rPr>
        <w:t>es adecuada y suficiente</w:t>
      </w:r>
      <w:r w:rsidRPr="00113B3E">
        <w:rPr>
          <w:rFonts w:ascii="Palatino Linotype" w:eastAsia="Palatino Linotype" w:hAnsi="Palatino Linotype" w:cs="Palatino Linotype"/>
          <w:b/>
        </w:rPr>
        <w:t xml:space="preserve"> para satisfacer el derecho de acceso a la información pública de la parte Recurrente, o en su defecto, en caso de ser procedente, ordenar la entrega de información oportuna.</w:t>
      </w:r>
    </w:p>
    <w:p w14:paraId="1FDE8B37" w14:textId="77777777" w:rsidR="00EC4913" w:rsidRPr="00113B3E"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p>
    <w:p w14:paraId="378F7793" w14:textId="77777777" w:rsidR="00EC4913" w:rsidRPr="00113B3E"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b/>
          <w:color w:val="000000"/>
        </w:rPr>
        <w:t xml:space="preserve">Cuarto. Estudio de los recursos de revisión. </w:t>
      </w:r>
      <w:r w:rsidRPr="00113B3E">
        <w:rPr>
          <w:rFonts w:ascii="Palatino Linotype" w:eastAsia="Palatino Linotype" w:hAnsi="Palatino Linotype" w:cs="Palatino Linotype"/>
          <w:color w:val="000000"/>
        </w:rPr>
        <w:t xml:space="preserve">Antes de entrar al análisis de los pronunciamientos del </w:t>
      </w:r>
      <w:r w:rsidRPr="00113B3E">
        <w:rPr>
          <w:rFonts w:ascii="Palatino Linotype" w:eastAsia="Palatino Linotype" w:hAnsi="Palatino Linotype" w:cs="Palatino Linotype"/>
          <w:b/>
          <w:color w:val="000000"/>
        </w:rPr>
        <w:t>Sujeto Obligado</w:t>
      </w:r>
      <w:r w:rsidRPr="00113B3E">
        <w:rPr>
          <w:rFonts w:ascii="Palatino Linotype" w:eastAsia="Palatino Linotype" w:hAnsi="Palatino Linotype" w:cs="Palatino Linotype"/>
          <w:color w:val="000000"/>
        </w:rPr>
        <w:t xml:space="preserve"> en las respuestas proporcionadas,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15EB1DE5" w14:textId="77777777" w:rsidR="00EC4913" w:rsidRPr="00113B3E" w:rsidRDefault="00EC4913" w:rsidP="00EC4913">
      <w:pPr>
        <w:pBdr>
          <w:top w:val="nil"/>
          <w:left w:val="nil"/>
          <w:bottom w:val="nil"/>
          <w:right w:val="nil"/>
          <w:between w:val="nil"/>
        </w:pBdr>
        <w:spacing w:after="0" w:line="360" w:lineRule="auto"/>
        <w:jc w:val="both"/>
        <w:rPr>
          <w:color w:val="000000"/>
        </w:rPr>
      </w:pPr>
    </w:p>
    <w:p w14:paraId="77E68559" w14:textId="77777777" w:rsidR="00EC4913" w:rsidRPr="00113B3E" w:rsidRDefault="00EC4913" w:rsidP="00EC4913">
      <w:pPr>
        <w:spacing w:after="0" w:line="276" w:lineRule="auto"/>
        <w:ind w:left="851" w:right="8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b/>
          <w:i/>
          <w:color w:val="000000"/>
          <w:u w:val="single"/>
        </w:rPr>
        <w:t>“Artículo 1o. En los Estados Unidos Mexicanos todas las personas gozarán de los derechos humanos reconocidos en esta Constitución y en los tratados internacionales de los que el Estado Mexicano sea parte</w:t>
      </w:r>
      <w:r w:rsidRPr="00113B3E">
        <w:rPr>
          <w:rFonts w:ascii="Palatino Linotype" w:eastAsia="Palatino Linotype" w:hAnsi="Palatino Linotype" w:cs="Palatino Linotype"/>
          <w:i/>
          <w:color w:val="000000"/>
        </w:rPr>
        <w:t>, así como de las garantías para su protección, cuyo ejercicio no podrá restringirse ni suspenderse, salvo en los casos y bajo las condiciones que esta Constitución establece.</w:t>
      </w:r>
    </w:p>
    <w:p w14:paraId="61969925" w14:textId="77777777" w:rsidR="00EC4913" w:rsidRPr="00113B3E" w:rsidRDefault="00EC4913" w:rsidP="00EC4913">
      <w:pPr>
        <w:spacing w:after="0" w:line="276" w:lineRule="auto"/>
        <w:ind w:left="851" w:right="8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b/>
          <w:i/>
          <w:color w:val="000000"/>
        </w:rPr>
        <w:t>Las normas relativas a los derechos humanos se interpretarán de conformidad con esta Constitución y con los tratados internacionales de la materia favoreciendo en todo tiempo a las personas la protección más amplia.</w:t>
      </w:r>
    </w:p>
    <w:p w14:paraId="697E1D58" w14:textId="77777777" w:rsidR="00EC4913" w:rsidRPr="00113B3E" w:rsidRDefault="00EC4913" w:rsidP="00EC4913">
      <w:pPr>
        <w:spacing w:after="0" w:line="276" w:lineRule="auto"/>
        <w:ind w:left="851" w:right="8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b/>
          <w:i/>
          <w:color w:val="000000"/>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13B3E">
        <w:rPr>
          <w:rFonts w:ascii="Palatino Linotype" w:eastAsia="Palatino Linotype" w:hAnsi="Palatino Linotype" w:cs="Palatino Linotype"/>
          <w:i/>
          <w:color w:val="000000"/>
        </w:rPr>
        <w:t xml:space="preserve"> En consecuencia, el Estado deberá prevenir, investigar, sancionar y reparar las violaciones a los derechos humanos, en los términos que establezca la ley</w:t>
      </w:r>
    </w:p>
    <w:p w14:paraId="2638B14E" w14:textId="77777777" w:rsidR="00EC4913" w:rsidRPr="00113B3E" w:rsidRDefault="00EC4913" w:rsidP="00EC4913">
      <w:pPr>
        <w:spacing w:after="0" w:line="276" w:lineRule="auto"/>
        <w:ind w:left="851" w:right="8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i/>
          <w:color w:val="000000"/>
        </w:rPr>
        <w:t>[…]</w:t>
      </w:r>
    </w:p>
    <w:p w14:paraId="67F6CC3C" w14:textId="77777777" w:rsidR="00EC4913" w:rsidRPr="00113B3E" w:rsidRDefault="00EC4913" w:rsidP="00EC4913">
      <w:pPr>
        <w:spacing w:after="0" w:line="276" w:lineRule="auto"/>
        <w:ind w:left="851" w:right="901"/>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b/>
          <w:i/>
          <w:color w:val="000000"/>
        </w:rPr>
        <w:t>“Artículo 6o.</w:t>
      </w:r>
    </w:p>
    <w:p w14:paraId="0205FDE8" w14:textId="77777777" w:rsidR="00EC4913" w:rsidRPr="00113B3E" w:rsidRDefault="00EC4913" w:rsidP="00EC4913">
      <w:pPr>
        <w:spacing w:after="0" w:line="276" w:lineRule="auto"/>
        <w:ind w:left="851" w:right="901"/>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i/>
          <w:color w:val="000000"/>
        </w:rPr>
        <w:t>[...]</w:t>
      </w:r>
    </w:p>
    <w:p w14:paraId="3AEA542B" w14:textId="77777777" w:rsidR="00EC4913" w:rsidRPr="00113B3E" w:rsidRDefault="00EC4913" w:rsidP="00EC4913">
      <w:pPr>
        <w:spacing w:after="0" w:line="276" w:lineRule="auto"/>
        <w:ind w:left="851" w:right="851"/>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b/>
          <w:i/>
          <w:color w:val="000000"/>
        </w:rPr>
        <w:t xml:space="preserve">A. Para el ejercicio del derecho de acceso a la información, la Federación y </w:t>
      </w:r>
      <w:r w:rsidRPr="00113B3E">
        <w:rPr>
          <w:rFonts w:ascii="Palatino Linotype" w:eastAsia="Palatino Linotype" w:hAnsi="Palatino Linotype" w:cs="Palatino Linotype"/>
          <w:b/>
          <w:i/>
          <w:color w:val="000000"/>
          <w:u w:val="single"/>
        </w:rPr>
        <w:t>las entidades federativas</w:t>
      </w:r>
      <w:r w:rsidRPr="00113B3E">
        <w:rPr>
          <w:rFonts w:ascii="Palatino Linotype" w:eastAsia="Palatino Linotype" w:hAnsi="Palatino Linotype" w:cs="Palatino Linotype"/>
          <w:b/>
          <w:i/>
          <w:color w:val="000000"/>
        </w:rPr>
        <w:t>,</w:t>
      </w:r>
      <w:r w:rsidRPr="00113B3E">
        <w:rPr>
          <w:rFonts w:ascii="Palatino Linotype" w:eastAsia="Palatino Linotype" w:hAnsi="Palatino Linotype" w:cs="Palatino Linotype"/>
          <w:i/>
          <w:color w:val="000000"/>
        </w:rPr>
        <w:t xml:space="preserve"> en el ámbito de sus respectivas competencias, se regirán por los siguientes principios y bases:</w:t>
      </w:r>
    </w:p>
    <w:p w14:paraId="4AABD9E1" w14:textId="77777777" w:rsidR="00EC4913" w:rsidRPr="00113B3E" w:rsidRDefault="00EC4913" w:rsidP="00EC4913">
      <w:pPr>
        <w:spacing w:after="0" w:line="276" w:lineRule="auto"/>
        <w:ind w:left="851" w:right="851"/>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i/>
          <w:color w:val="000000"/>
        </w:rPr>
        <w:t> </w:t>
      </w:r>
      <w:r w:rsidRPr="00113B3E">
        <w:rPr>
          <w:rFonts w:ascii="Palatino Linotype" w:eastAsia="Palatino Linotype" w:hAnsi="Palatino Linotype" w:cs="Palatino Linotype"/>
          <w:b/>
          <w:i/>
          <w:color w:val="000000"/>
        </w:rPr>
        <w:t xml:space="preserve">I. </w:t>
      </w:r>
      <w:r w:rsidRPr="00113B3E">
        <w:rPr>
          <w:rFonts w:ascii="Palatino Linotype" w:eastAsia="Palatino Linotype" w:hAnsi="Palatino Linotype" w:cs="Palatino Linotype"/>
          <w:b/>
          <w:i/>
          <w:color w:val="000000"/>
          <w:u w:val="single"/>
        </w:rPr>
        <w:t xml:space="preserve">Toda la información en posesión de cualquier autoridad, entidad, órgano y organismo de los Poderes Ejecutivo, Legislativo y Judicial, órganos autónomos, </w:t>
      </w:r>
      <w:r w:rsidRPr="00113B3E">
        <w:rPr>
          <w:rFonts w:ascii="Palatino Linotype" w:eastAsia="Palatino Linotype" w:hAnsi="Palatino Linotype" w:cs="Palatino Linotype"/>
          <w:i/>
          <w:color w:val="000000"/>
        </w:rPr>
        <w:t xml:space="preserve">partidos políticos, fideicomisos y fondos públicos, así como de cualquier persona física, moral o sindicato que reciba y ejerza recursos públicos o realice actos de autoridad en el ámbito federal, estatal y municipal, </w:t>
      </w:r>
      <w:r w:rsidRPr="00113B3E">
        <w:rPr>
          <w:rFonts w:ascii="Palatino Linotype" w:eastAsia="Palatino Linotype" w:hAnsi="Palatino Linotype" w:cs="Palatino Linotype"/>
          <w:b/>
          <w:i/>
          <w:color w:val="000000"/>
        </w:rPr>
        <w:t>es pública y sólo podrá ser reservada temporalmente por razones de interés público y seguridad nacional,</w:t>
      </w:r>
      <w:r w:rsidRPr="00113B3E">
        <w:rPr>
          <w:rFonts w:ascii="Palatino Linotype" w:eastAsia="Palatino Linotype" w:hAnsi="Palatino Linotype" w:cs="Palatino Linotype"/>
          <w:i/>
          <w:color w:val="000000"/>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DD25891" w14:textId="77777777" w:rsidR="00EC4913" w:rsidRPr="00113B3E" w:rsidRDefault="00EC4913" w:rsidP="00EC4913">
      <w:pPr>
        <w:spacing w:after="0" w:line="276" w:lineRule="auto"/>
        <w:ind w:left="851" w:right="851"/>
        <w:jc w:val="both"/>
        <w:rPr>
          <w:rFonts w:ascii="Palatino Linotype" w:eastAsia="Palatino Linotype" w:hAnsi="Palatino Linotype" w:cs="Palatino Linotype"/>
          <w:i/>
        </w:rPr>
      </w:pPr>
      <w:r w:rsidRPr="00113B3E">
        <w:rPr>
          <w:rFonts w:ascii="Palatino Linotype" w:eastAsia="Palatino Linotype" w:hAnsi="Palatino Linotype" w:cs="Palatino Linotype"/>
          <w:b/>
          <w:i/>
          <w:color w:val="000000"/>
        </w:rPr>
        <w:t xml:space="preserve">II. La información que se refiere a la vida privada y los datos personales será protegida en los términos y con las excepciones que fijen las leyes. </w:t>
      </w:r>
      <w:r w:rsidRPr="00113B3E">
        <w:rPr>
          <w:rFonts w:ascii="Palatino Linotype" w:eastAsia="Palatino Linotype" w:hAnsi="Palatino Linotype" w:cs="Palatino Linotype"/>
          <w:b/>
          <w:i/>
        </w:rPr>
        <w:t>Para tal efecto, los sujetos obligados contarán con las facultades suficientes para su atención.</w:t>
      </w:r>
    </w:p>
    <w:p w14:paraId="499C859F" w14:textId="77777777" w:rsidR="00EC4913" w:rsidRPr="00113B3E" w:rsidRDefault="00EC4913" w:rsidP="00EC4913">
      <w:pPr>
        <w:spacing w:after="0" w:line="276" w:lineRule="auto"/>
        <w:ind w:left="851" w:right="851"/>
        <w:jc w:val="both"/>
        <w:rPr>
          <w:rFonts w:ascii="Palatino Linotype" w:eastAsia="Palatino Linotype" w:hAnsi="Palatino Linotype" w:cs="Palatino Linotype"/>
          <w:i/>
        </w:rPr>
      </w:pPr>
      <w:r w:rsidRPr="00113B3E">
        <w:rPr>
          <w:rFonts w:ascii="Palatino Linotype" w:eastAsia="Palatino Linotype" w:hAnsi="Palatino Linotype" w:cs="Palatino Linotype"/>
          <w:i/>
        </w:rPr>
        <w:t>[]</w:t>
      </w:r>
    </w:p>
    <w:p w14:paraId="14BF0187" w14:textId="77777777" w:rsidR="00EC4913" w:rsidRPr="00113B3E" w:rsidRDefault="00EC4913" w:rsidP="00EC4913">
      <w:pPr>
        <w:spacing w:after="0" w:line="276" w:lineRule="auto"/>
        <w:ind w:left="851" w:right="851"/>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b/>
          <w:i/>
          <w:color w:val="000000"/>
        </w:rPr>
        <w:t xml:space="preserve">III. </w:t>
      </w:r>
      <w:r w:rsidRPr="00113B3E">
        <w:rPr>
          <w:rFonts w:ascii="Palatino Linotype" w:eastAsia="Palatino Linotype" w:hAnsi="Palatino Linotype" w:cs="Palatino Linotype"/>
          <w:b/>
          <w:i/>
          <w:color w:val="000000"/>
          <w:u w:val="single"/>
        </w:rPr>
        <w:t>Toda persona, sin necesidad de acreditar interés alguno o justificar su utilización, tendrá acceso gratuito a la información pública,</w:t>
      </w:r>
      <w:r w:rsidRPr="00113B3E">
        <w:rPr>
          <w:rFonts w:ascii="Palatino Linotype" w:eastAsia="Palatino Linotype" w:hAnsi="Palatino Linotype" w:cs="Palatino Linotype"/>
          <w:i/>
          <w:color w:val="000000"/>
        </w:rPr>
        <w:t xml:space="preserve"> a sus datos personales o a la rectificación de éstos.</w:t>
      </w:r>
    </w:p>
    <w:p w14:paraId="7EAA4692" w14:textId="77777777" w:rsidR="00EC4913" w:rsidRPr="00113B3E" w:rsidRDefault="00EC4913" w:rsidP="00EC4913">
      <w:pPr>
        <w:spacing w:after="0" w:line="276" w:lineRule="auto"/>
        <w:ind w:left="851" w:right="851"/>
        <w:jc w:val="both"/>
        <w:rPr>
          <w:rFonts w:ascii="Palatino Linotype" w:eastAsia="Palatino Linotype" w:hAnsi="Palatino Linotype" w:cs="Palatino Linotype"/>
          <w:b/>
          <w:color w:val="000000"/>
        </w:rPr>
      </w:pPr>
      <w:r w:rsidRPr="00113B3E">
        <w:rPr>
          <w:rFonts w:ascii="Palatino Linotype" w:eastAsia="Palatino Linotype" w:hAnsi="Palatino Linotype" w:cs="Palatino Linotype"/>
          <w:b/>
          <w:i/>
          <w:color w:val="000000"/>
        </w:rPr>
        <w:t>IV. Se establecerán mecanismos de acceso a la información y procedimientos de revisión expeditos que se sustanciarán ante las instancias competentes en los términos que fija esta Constitución y las leyes.</w:t>
      </w:r>
    </w:p>
    <w:p w14:paraId="65624786" w14:textId="77777777" w:rsidR="00EC4913" w:rsidRPr="00113B3E" w:rsidRDefault="00EC4913" w:rsidP="00EC4913">
      <w:pPr>
        <w:spacing w:after="0" w:line="276" w:lineRule="auto"/>
        <w:ind w:left="851" w:right="851"/>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b/>
          <w:i/>
          <w:color w:val="000000"/>
        </w:rPr>
        <w:t xml:space="preserve">V. </w:t>
      </w:r>
      <w:r w:rsidRPr="00113B3E">
        <w:rPr>
          <w:rFonts w:ascii="Palatino Linotype" w:eastAsia="Palatino Linotype" w:hAnsi="Palatino Linotype" w:cs="Palatino Linotype"/>
          <w:i/>
          <w:color w:val="000000"/>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65EBC85" w14:textId="77777777" w:rsidR="00EC4913" w:rsidRPr="00113B3E" w:rsidRDefault="00EC4913" w:rsidP="00EC4913">
      <w:pPr>
        <w:spacing w:after="0" w:line="276" w:lineRule="auto"/>
        <w:ind w:left="851" w:right="851"/>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i/>
          <w:color w:val="000000"/>
        </w:rPr>
        <w:t> </w:t>
      </w:r>
      <w:r w:rsidRPr="00113B3E">
        <w:rPr>
          <w:rFonts w:ascii="Palatino Linotype" w:eastAsia="Palatino Linotype" w:hAnsi="Palatino Linotype" w:cs="Palatino Linotype"/>
          <w:b/>
          <w:i/>
          <w:color w:val="000000"/>
        </w:rPr>
        <w:t xml:space="preserve">VI. </w:t>
      </w:r>
      <w:r w:rsidRPr="00113B3E">
        <w:rPr>
          <w:rFonts w:ascii="Palatino Linotype" w:eastAsia="Palatino Linotype" w:hAnsi="Palatino Linotype" w:cs="Palatino Linotype"/>
          <w:i/>
          <w:color w:val="000000"/>
        </w:rPr>
        <w:t>Las leyes determinarán la manera en que los sujetos obligados deberán hacer pública la información relativa a los recursos públicos que entreguen a personas físicas o morales.</w:t>
      </w:r>
    </w:p>
    <w:p w14:paraId="7B72EFD0" w14:textId="77777777" w:rsidR="00EC4913" w:rsidRPr="00113B3E" w:rsidRDefault="00EC4913" w:rsidP="00EC4913">
      <w:pPr>
        <w:pBdr>
          <w:top w:val="nil"/>
          <w:left w:val="nil"/>
          <w:bottom w:val="nil"/>
          <w:right w:val="nil"/>
          <w:between w:val="nil"/>
        </w:pBdr>
        <w:spacing w:after="0" w:line="276" w:lineRule="auto"/>
        <w:ind w:left="851" w:right="851"/>
        <w:jc w:val="both"/>
        <w:rPr>
          <w:color w:val="000000"/>
        </w:rPr>
      </w:pPr>
      <w:r w:rsidRPr="00113B3E">
        <w:rPr>
          <w:rFonts w:ascii="Palatino Linotype" w:eastAsia="Palatino Linotype" w:hAnsi="Palatino Linotype" w:cs="Palatino Linotype"/>
          <w:i/>
          <w:color w:val="000000"/>
        </w:rPr>
        <w:t> </w:t>
      </w:r>
      <w:r w:rsidRPr="00113B3E">
        <w:rPr>
          <w:rFonts w:ascii="Palatino Linotype" w:eastAsia="Palatino Linotype" w:hAnsi="Palatino Linotype" w:cs="Palatino Linotype"/>
          <w:b/>
          <w:i/>
          <w:color w:val="000000"/>
        </w:rPr>
        <w:t xml:space="preserve">VII. </w:t>
      </w:r>
      <w:r w:rsidRPr="00113B3E">
        <w:rPr>
          <w:rFonts w:ascii="Palatino Linotype" w:eastAsia="Palatino Linotype" w:hAnsi="Palatino Linotype" w:cs="Palatino Linotype"/>
          <w:i/>
          <w:color w:val="000000"/>
        </w:rPr>
        <w:t>La inobservancia a las disposiciones en materia de acceso a la información pública será sancionada en los términos que dispongan las leyes. [...]”</w:t>
      </w:r>
    </w:p>
    <w:p w14:paraId="0366F2EE" w14:textId="77777777" w:rsidR="00EC4913" w:rsidRPr="00113B3E"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14:paraId="1F824B63" w14:textId="77777777" w:rsidR="00EC4913" w:rsidRPr="00113B3E" w:rsidRDefault="00EC4913" w:rsidP="00EC4913">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492CDE9" w14:textId="77777777" w:rsidR="00EC4913" w:rsidRPr="00113B3E" w:rsidRDefault="00EC4913" w:rsidP="00EC4913">
      <w:pPr>
        <w:pBdr>
          <w:top w:val="nil"/>
          <w:left w:val="nil"/>
          <w:bottom w:val="nil"/>
          <w:right w:val="nil"/>
          <w:between w:val="nil"/>
        </w:pBdr>
        <w:spacing w:after="0" w:line="360" w:lineRule="auto"/>
        <w:jc w:val="both"/>
        <w:rPr>
          <w:color w:val="000000"/>
        </w:rPr>
      </w:pPr>
    </w:p>
    <w:p w14:paraId="6EF23F47"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i/>
        </w:rPr>
      </w:pPr>
      <w:r w:rsidRPr="00113B3E">
        <w:rPr>
          <w:rFonts w:ascii="Palatino Linotype" w:eastAsia="Palatino Linotype" w:hAnsi="Palatino Linotype" w:cs="Palatino Linotype"/>
          <w:i/>
        </w:rPr>
        <w:t>“</w:t>
      </w:r>
      <w:r w:rsidRPr="00113B3E">
        <w:rPr>
          <w:rFonts w:ascii="Palatino Linotype" w:eastAsia="Palatino Linotype" w:hAnsi="Palatino Linotype" w:cs="Palatino Linotype"/>
          <w:b/>
          <w:i/>
        </w:rPr>
        <w:t>Artículo 4</w:t>
      </w:r>
      <w:r w:rsidRPr="00113B3E">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E728C9D"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i/>
        </w:rPr>
      </w:pPr>
    </w:p>
    <w:p w14:paraId="6B894CC2"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i/>
        </w:rPr>
      </w:pPr>
      <w:r w:rsidRPr="00113B3E">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113B3E">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D5293A2"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i/>
        </w:rPr>
      </w:pPr>
    </w:p>
    <w:p w14:paraId="33F669B8"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i/>
        </w:rPr>
      </w:pPr>
      <w:r w:rsidRPr="00113B3E">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113B3E">
        <w:rPr>
          <w:rFonts w:ascii="Palatino Linotype" w:eastAsia="Palatino Linotype" w:hAnsi="Palatino Linotype" w:cs="Palatino Linotype"/>
          <w:i/>
        </w:rPr>
        <w:t>.”</w:t>
      </w:r>
    </w:p>
    <w:p w14:paraId="0F4296B5" w14:textId="77777777" w:rsidR="00EC4913" w:rsidRPr="00113B3E" w:rsidRDefault="00EC4913" w:rsidP="00EC4913">
      <w:pPr>
        <w:spacing w:after="0" w:line="360" w:lineRule="auto"/>
        <w:jc w:val="both"/>
        <w:rPr>
          <w:rFonts w:ascii="Palatino Linotype" w:eastAsia="Palatino Linotype" w:hAnsi="Palatino Linotype" w:cs="Palatino Linotype"/>
        </w:rPr>
      </w:pPr>
    </w:p>
    <w:p w14:paraId="089C4F96" w14:textId="77777777" w:rsidR="00EC4913" w:rsidRPr="00113B3E" w:rsidRDefault="00EC4913" w:rsidP="00EC4913">
      <w:pP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FA5D8F3" w14:textId="77777777" w:rsidR="00EC4913" w:rsidRPr="00113B3E" w:rsidRDefault="00EC4913" w:rsidP="00EC4913">
      <w:pPr>
        <w:spacing w:after="0" w:line="360" w:lineRule="auto"/>
        <w:jc w:val="both"/>
        <w:rPr>
          <w:rFonts w:ascii="Palatino Linotype" w:eastAsia="Palatino Linotype" w:hAnsi="Palatino Linotype" w:cs="Palatino Linotype"/>
        </w:rPr>
      </w:pPr>
    </w:p>
    <w:p w14:paraId="4880C99A"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i/>
        </w:rPr>
      </w:pPr>
      <w:r w:rsidRPr="00113B3E">
        <w:rPr>
          <w:rFonts w:ascii="Palatino Linotype" w:eastAsia="Palatino Linotype" w:hAnsi="Palatino Linotype" w:cs="Palatino Linotype"/>
          <w:b/>
          <w:i/>
        </w:rPr>
        <w:t>“Artículo 12.-</w:t>
      </w:r>
      <w:r w:rsidRPr="00113B3E">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FC3055F"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i/>
        </w:rPr>
      </w:pPr>
    </w:p>
    <w:p w14:paraId="47B1BA9E"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b/>
          <w:i/>
        </w:rPr>
      </w:pPr>
      <w:r w:rsidRPr="00113B3E">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113B3E">
        <w:rPr>
          <w:rFonts w:ascii="Palatino Linotype" w:eastAsia="Palatino Linotype" w:hAnsi="Palatino Linotype" w:cs="Palatino Linotype"/>
          <w:i/>
        </w:rPr>
        <w:t xml:space="preserve">. </w:t>
      </w:r>
      <w:r w:rsidRPr="00113B3E">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08512694" w14:textId="77777777" w:rsidR="00EC4913" w:rsidRPr="00113B3E" w:rsidRDefault="00EC4913" w:rsidP="00EC4913">
      <w:pPr>
        <w:spacing w:after="0" w:line="360" w:lineRule="auto"/>
        <w:ind w:left="567" w:right="616"/>
        <w:jc w:val="both"/>
        <w:rPr>
          <w:rFonts w:ascii="Palatino Linotype" w:eastAsia="Palatino Linotype" w:hAnsi="Palatino Linotype" w:cs="Palatino Linotype"/>
          <w:i/>
        </w:rPr>
      </w:pPr>
    </w:p>
    <w:p w14:paraId="2C41B3D0" w14:textId="77777777" w:rsidR="00EC4913" w:rsidRPr="00113B3E" w:rsidRDefault="00EC4913" w:rsidP="00EC4913">
      <w:pPr>
        <w:spacing w:after="0" w:line="360" w:lineRule="auto"/>
        <w:ind w:right="-93"/>
        <w:jc w:val="both"/>
        <w:rPr>
          <w:rFonts w:ascii="Palatino Linotype" w:eastAsia="Palatino Linotype" w:hAnsi="Palatino Linotype" w:cs="Palatino Linotype"/>
        </w:rPr>
      </w:pPr>
      <w:r w:rsidRPr="00113B3E">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6F9C074E" w14:textId="77777777" w:rsidR="00EC4913" w:rsidRPr="00113B3E" w:rsidRDefault="00EC4913" w:rsidP="00EC4913">
      <w:pPr>
        <w:spacing w:after="0" w:line="360" w:lineRule="auto"/>
        <w:ind w:right="-93"/>
        <w:jc w:val="both"/>
        <w:rPr>
          <w:rFonts w:ascii="Palatino Linotype" w:eastAsia="Palatino Linotype" w:hAnsi="Palatino Linotype" w:cs="Palatino Linotype"/>
        </w:rPr>
      </w:pPr>
    </w:p>
    <w:p w14:paraId="4FD125E2" w14:textId="77777777" w:rsidR="00EC4913" w:rsidRPr="00113B3E" w:rsidRDefault="00EC4913" w:rsidP="00EC4913">
      <w:pPr>
        <w:spacing w:after="0" w:line="360" w:lineRule="auto"/>
        <w:jc w:val="both"/>
        <w:rPr>
          <w:rFonts w:ascii="Palatino Linotype" w:eastAsia="Palatino Linotype" w:hAnsi="Palatino Linotype" w:cs="Palatino Linotype"/>
          <w:b/>
        </w:rPr>
      </w:pPr>
      <w:r w:rsidRPr="00113B3E">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113B3E">
        <w:rPr>
          <w:rFonts w:ascii="Palatino Linotype" w:eastAsia="Palatino Linotype" w:hAnsi="Palatino Linotype" w:cs="Palatino Linotype"/>
          <w:b/>
        </w:rPr>
        <w:t xml:space="preserve"> </w:t>
      </w:r>
    </w:p>
    <w:p w14:paraId="25A73455" w14:textId="77777777" w:rsidR="00EC4913" w:rsidRPr="00113B3E" w:rsidRDefault="00EC4913" w:rsidP="00EC4913">
      <w:pPr>
        <w:spacing w:after="0" w:line="360" w:lineRule="auto"/>
        <w:jc w:val="both"/>
        <w:rPr>
          <w:rFonts w:ascii="Palatino Linotype" w:eastAsia="Palatino Linotype" w:hAnsi="Palatino Linotype" w:cs="Palatino Linotype"/>
          <w:b/>
        </w:rPr>
      </w:pPr>
    </w:p>
    <w:p w14:paraId="1A8F6391"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i/>
        </w:rPr>
      </w:pPr>
      <w:r w:rsidRPr="00113B3E">
        <w:rPr>
          <w:rFonts w:ascii="Palatino Linotype" w:eastAsia="Palatino Linotype" w:hAnsi="Palatino Linotype" w:cs="Palatino Linotype"/>
          <w:i/>
        </w:rPr>
        <w:t>“</w:t>
      </w:r>
      <w:r w:rsidRPr="00113B3E">
        <w:rPr>
          <w:rFonts w:ascii="Palatino Linotype" w:eastAsia="Palatino Linotype" w:hAnsi="Palatino Linotype" w:cs="Palatino Linotype"/>
          <w:b/>
          <w:i/>
        </w:rPr>
        <w:t>No existe obligación de elaborar documentos ad hoc para atender las solicitudes de acceso a la información.</w:t>
      </w:r>
      <w:r w:rsidRPr="00113B3E">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09EB7E7B" w14:textId="77777777" w:rsidR="00EC4913" w:rsidRPr="00113B3E" w:rsidRDefault="00EC4913" w:rsidP="00EC4913">
      <w:pPr>
        <w:spacing w:after="0" w:line="360" w:lineRule="auto"/>
        <w:ind w:right="-93"/>
        <w:jc w:val="both"/>
        <w:rPr>
          <w:rFonts w:ascii="Palatino Linotype" w:eastAsia="Palatino Linotype" w:hAnsi="Palatino Linotype" w:cs="Palatino Linotype"/>
        </w:rPr>
      </w:pPr>
    </w:p>
    <w:p w14:paraId="2A5FEF21" w14:textId="77777777" w:rsidR="00EC4913" w:rsidRPr="00113B3E" w:rsidRDefault="00EC4913" w:rsidP="00EC4913">
      <w:pP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D65928A" w14:textId="77777777" w:rsidR="00EC4913" w:rsidRPr="00113B3E" w:rsidRDefault="00EC4913" w:rsidP="00EC4913">
      <w:pPr>
        <w:spacing w:after="0" w:line="360" w:lineRule="auto"/>
        <w:jc w:val="both"/>
        <w:rPr>
          <w:rFonts w:ascii="Palatino Linotype" w:eastAsia="Palatino Linotype" w:hAnsi="Palatino Linotype" w:cs="Palatino Linotype"/>
        </w:rPr>
      </w:pPr>
    </w:p>
    <w:p w14:paraId="7CB391E5" w14:textId="77777777" w:rsidR="00EC4913" w:rsidRPr="00113B3E" w:rsidRDefault="00EC4913" w:rsidP="00EC4913">
      <w:pPr>
        <w:spacing w:after="0" w:line="360" w:lineRule="auto"/>
        <w:ind w:right="49"/>
        <w:jc w:val="both"/>
        <w:rPr>
          <w:rFonts w:ascii="Palatino Linotype" w:eastAsia="Palatino Linotype" w:hAnsi="Palatino Linotype" w:cs="Palatino Linotype"/>
        </w:rPr>
      </w:pPr>
      <w:r w:rsidRPr="00113B3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0EF43" w14:textId="77777777" w:rsidR="00EC4913" w:rsidRPr="00113B3E" w:rsidRDefault="00EC4913" w:rsidP="00EC4913">
      <w:pPr>
        <w:spacing w:after="0" w:line="360" w:lineRule="auto"/>
        <w:ind w:right="49"/>
        <w:jc w:val="both"/>
        <w:rPr>
          <w:rFonts w:ascii="Palatino Linotype" w:eastAsia="Palatino Linotype" w:hAnsi="Palatino Linotype" w:cs="Palatino Linotype"/>
        </w:rPr>
      </w:pPr>
    </w:p>
    <w:p w14:paraId="29179490" w14:textId="77777777" w:rsidR="00EC4913" w:rsidRPr="00113B3E" w:rsidRDefault="00EC4913" w:rsidP="00EC4913">
      <w:pP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8AB2D23" w14:textId="77777777" w:rsidR="00EC4913" w:rsidRPr="00113B3E" w:rsidRDefault="00EC4913" w:rsidP="00EC4913">
      <w:pPr>
        <w:spacing w:after="0" w:line="360" w:lineRule="auto"/>
        <w:jc w:val="both"/>
        <w:rPr>
          <w:rFonts w:ascii="Palatino Linotype" w:eastAsia="Palatino Linotype" w:hAnsi="Palatino Linotype" w:cs="Palatino Linotype"/>
        </w:rPr>
      </w:pPr>
    </w:p>
    <w:p w14:paraId="29EF3C82"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b/>
          <w:i/>
        </w:rPr>
      </w:pPr>
      <w:r w:rsidRPr="00113B3E">
        <w:rPr>
          <w:rFonts w:ascii="Palatino Linotype" w:eastAsia="Palatino Linotype" w:hAnsi="Palatino Linotype" w:cs="Palatino Linotype"/>
          <w:b/>
        </w:rPr>
        <w:t>“</w:t>
      </w:r>
      <w:r w:rsidRPr="00113B3E">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113B3E">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9F101D2"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i/>
        </w:rPr>
      </w:pPr>
      <w:r w:rsidRPr="00113B3E">
        <w:rPr>
          <w:rFonts w:ascii="Palatino Linotype" w:eastAsia="Palatino Linotype" w:hAnsi="Palatino Linotype" w:cs="Palatino Linotype"/>
          <w:i/>
        </w:rPr>
        <w:t>En consecuencia el acceso a la información se refiere a que se cumplan cualquiera de los siguientes tres supuestos:</w:t>
      </w:r>
    </w:p>
    <w:p w14:paraId="0DDFB0C8"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i/>
        </w:rPr>
      </w:pPr>
      <w:r w:rsidRPr="00113B3E">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598D93D0"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b/>
          <w:i/>
        </w:rPr>
      </w:pPr>
      <w:r w:rsidRPr="00113B3E">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76C8461" w14:textId="77777777" w:rsidR="00EC4913" w:rsidRPr="00113B3E" w:rsidRDefault="00EC4913" w:rsidP="00EC4913">
      <w:pPr>
        <w:spacing w:after="0" w:line="276" w:lineRule="auto"/>
        <w:ind w:left="567" w:right="616"/>
        <w:jc w:val="both"/>
        <w:rPr>
          <w:rFonts w:ascii="Palatino Linotype" w:eastAsia="Palatino Linotype" w:hAnsi="Palatino Linotype" w:cs="Palatino Linotype"/>
          <w:b/>
          <w:i/>
        </w:rPr>
      </w:pPr>
      <w:r w:rsidRPr="00113B3E">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091F53B6" w14:textId="77777777" w:rsidR="00EC4913" w:rsidRPr="00113B3E" w:rsidRDefault="00EC4913" w:rsidP="00EC4913">
      <w:pPr>
        <w:spacing w:after="0" w:line="360" w:lineRule="auto"/>
        <w:jc w:val="both"/>
        <w:rPr>
          <w:rFonts w:ascii="Palatino Linotype" w:eastAsia="Palatino Linotype" w:hAnsi="Palatino Linotype" w:cs="Palatino Linotype"/>
        </w:rPr>
      </w:pPr>
    </w:p>
    <w:p w14:paraId="11DB11C3" w14:textId="77777777" w:rsidR="00EC4913" w:rsidRPr="00113B3E" w:rsidRDefault="00EC4913" w:rsidP="00EC4913">
      <w:pP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 xml:space="preserve">De ahí que el </w:t>
      </w:r>
      <w:r w:rsidRPr="00113B3E">
        <w:rPr>
          <w:rFonts w:ascii="Palatino Linotype" w:eastAsia="Palatino Linotype" w:hAnsi="Palatino Linotype" w:cs="Palatino Linotype"/>
          <w:b/>
        </w:rPr>
        <w:t>Sujeto Obligado</w:t>
      </w:r>
      <w:r w:rsidRPr="00113B3E">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113B3E">
        <w:rPr>
          <w:rFonts w:ascii="Palatino Linotype" w:eastAsia="Palatino Linotype" w:hAnsi="Palatino Linotype" w:cs="Palatino Linotype"/>
          <w:vertAlign w:val="superscript"/>
        </w:rPr>
        <w:footnoteReference w:id="1"/>
      </w:r>
      <w:r w:rsidRPr="00113B3E">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113B3E">
        <w:rPr>
          <w:rFonts w:ascii="Palatino Linotype" w:eastAsia="Palatino Linotype" w:hAnsi="Palatino Linotype" w:cs="Palatino Linotype"/>
          <w:vertAlign w:val="superscript"/>
        </w:rPr>
        <w:footnoteReference w:id="2"/>
      </w:r>
      <w:r w:rsidRPr="00113B3E">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1C451280" w14:textId="77777777" w:rsidR="00EC4913" w:rsidRPr="00113B3E" w:rsidRDefault="00EC4913" w:rsidP="00EC4913">
      <w:pPr>
        <w:pBdr>
          <w:top w:val="nil"/>
          <w:left w:val="nil"/>
          <w:bottom w:val="nil"/>
          <w:right w:val="nil"/>
          <w:between w:val="nil"/>
        </w:pBdr>
        <w:spacing w:after="0" w:line="360" w:lineRule="auto"/>
        <w:ind w:right="-7"/>
        <w:jc w:val="both"/>
        <w:rPr>
          <w:rFonts w:ascii="Palatino Linotype" w:eastAsia="Palatino Linotype" w:hAnsi="Palatino Linotype" w:cs="Palatino Linotype"/>
        </w:rPr>
      </w:pPr>
    </w:p>
    <w:p w14:paraId="7BA6B4A5" w14:textId="73DA0272" w:rsidR="00D747E4" w:rsidRPr="00113B3E" w:rsidRDefault="00EC4913" w:rsidP="00EC4913">
      <w:pP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 xml:space="preserve">Conviene iniciar el presente estudio señalando </w:t>
      </w:r>
      <w:r w:rsidR="00173671" w:rsidRPr="00113B3E">
        <w:rPr>
          <w:rFonts w:ascii="Palatino Linotype" w:eastAsia="Palatino Linotype" w:hAnsi="Palatino Linotype" w:cs="Palatino Linotype"/>
        </w:rPr>
        <w:t>que,</w:t>
      </w:r>
      <w:r w:rsidRPr="00113B3E">
        <w:rPr>
          <w:rFonts w:ascii="Palatino Linotype" w:eastAsia="Palatino Linotype" w:hAnsi="Palatino Linotype" w:cs="Palatino Linotype"/>
        </w:rPr>
        <w:t xml:space="preserve"> del análisis a las solicitudes de información, se advierte que la persona solicitante requirió</w:t>
      </w:r>
      <w:r w:rsidR="003964E2" w:rsidRPr="00113B3E">
        <w:rPr>
          <w:rFonts w:ascii="Palatino Linotype" w:eastAsia="Palatino Linotype" w:hAnsi="Palatino Linotype" w:cs="Palatino Linotype"/>
        </w:rPr>
        <w:t xml:space="preserve">, con fundamento en el artículo 47 de la Ley del Trabajo de los Servidores Públicos del Estado y Municipios requirió </w:t>
      </w:r>
    </w:p>
    <w:p w14:paraId="0F1B79D8" w14:textId="77777777" w:rsidR="0068329D" w:rsidRPr="00113B3E" w:rsidRDefault="0068329D" w:rsidP="00EC4913">
      <w:pPr>
        <w:spacing w:after="0" w:line="360" w:lineRule="auto"/>
        <w:jc w:val="both"/>
        <w:rPr>
          <w:rFonts w:ascii="Palatino Linotype" w:eastAsia="Palatino Linotype" w:hAnsi="Palatino Linotype" w:cs="Palatino Linotype"/>
        </w:rPr>
      </w:pPr>
    </w:p>
    <w:p w14:paraId="5170F142" w14:textId="318C8959" w:rsidR="0068329D" w:rsidRPr="00113B3E" w:rsidRDefault="0068329D" w:rsidP="0068329D">
      <w:pPr>
        <w:pStyle w:val="Prrafodelista"/>
        <w:numPr>
          <w:ilvl w:val="0"/>
          <w:numId w:val="29"/>
        </w:numPr>
        <w:spacing w:after="0" w:line="360" w:lineRule="auto"/>
        <w:jc w:val="both"/>
        <w:rPr>
          <w:rFonts w:ascii="Palatino Linotype" w:eastAsia="Palatino Linotype" w:hAnsi="Palatino Linotype" w:cs="Palatino Linotype"/>
          <w:b/>
        </w:rPr>
      </w:pPr>
      <w:r w:rsidRPr="00113B3E">
        <w:rPr>
          <w:rFonts w:ascii="Palatino Linotype" w:eastAsia="Palatino Linotype" w:hAnsi="Palatino Linotype" w:cs="Palatino Linotype"/>
          <w:b/>
        </w:rPr>
        <w:t>Copia del contrato o contratos celebrados por las presentaciones de artistas en la Feria y Festival Cultural del Alfeñique 2025 como: Gloria Trevi, Amanda Miguel, Los Tucanes de Tijuana, entre otros.</w:t>
      </w:r>
    </w:p>
    <w:p w14:paraId="54A24DF4" w14:textId="77777777" w:rsidR="005C3943" w:rsidRPr="00113B3E" w:rsidRDefault="005C3943" w:rsidP="00EC4913">
      <w:pPr>
        <w:spacing w:after="0" w:line="360" w:lineRule="auto"/>
        <w:jc w:val="both"/>
        <w:rPr>
          <w:rFonts w:ascii="Palatino Linotype" w:eastAsia="Palatino Linotype" w:hAnsi="Palatino Linotype" w:cs="Palatino Linotype"/>
        </w:rPr>
      </w:pPr>
    </w:p>
    <w:p w14:paraId="56F03221" w14:textId="226C9540" w:rsidR="009B2DBF" w:rsidRPr="00113B3E" w:rsidRDefault="00052DEF" w:rsidP="003439B1">
      <w:pPr>
        <w:spacing w:after="0" w:line="360" w:lineRule="auto"/>
        <w:ind w:right="49"/>
        <w:jc w:val="both"/>
        <w:rPr>
          <w:rFonts w:ascii="Palatino Linotype" w:eastAsia="Palatino Linotype" w:hAnsi="Palatino Linotype" w:cs="Palatino Linotype"/>
        </w:rPr>
      </w:pPr>
      <w:r w:rsidRPr="00113B3E">
        <w:rPr>
          <w:rFonts w:ascii="Palatino Linotype" w:eastAsia="Palatino Linotype" w:hAnsi="Palatino Linotype" w:cs="Palatino Linotype"/>
        </w:rPr>
        <w:t xml:space="preserve">En respuesta, el </w:t>
      </w:r>
      <w:r w:rsidRPr="00113B3E">
        <w:rPr>
          <w:rFonts w:ascii="Palatino Linotype" w:eastAsia="Palatino Linotype" w:hAnsi="Palatino Linotype" w:cs="Palatino Linotype"/>
          <w:b/>
        </w:rPr>
        <w:t xml:space="preserve">Sujeto Obligado </w:t>
      </w:r>
      <w:r w:rsidR="009B2DBF" w:rsidRPr="00113B3E">
        <w:rPr>
          <w:rFonts w:ascii="Palatino Linotype" w:eastAsia="Palatino Linotype" w:hAnsi="Palatino Linotype" w:cs="Palatino Linotype"/>
        </w:rPr>
        <w:t>se pronunció por conducto de la directora de Cultura y Turismo, la Consejería Jurídica, y la Dirección de Recursos Materiales; las dos primeras, señalando en términos generales que no tenían atribuciones para contar con la información; y, la tercera, señaló que la información requerida se puede consultar en el IPOMEX en el artículo 92 fracción XXIX relativo a los resultados de procedimientos de adjudicación directa, licitación pública e invitación restringida, adjuntando un link en formato cerrado.</w:t>
      </w:r>
    </w:p>
    <w:p w14:paraId="792164E0" w14:textId="77777777" w:rsidR="009B2DBF" w:rsidRPr="00113B3E" w:rsidRDefault="009B2DBF" w:rsidP="003439B1">
      <w:pPr>
        <w:spacing w:after="0" w:line="360" w:lineRule="auto"/>
        <w:ind w:right="49"/>
        <w:jc w:val="both"/>
        <w:rPr>
          <w:rFonts w:ascii="Palatino Linotype" w:eastAsia="Palatino Linotype" w:hAnsi="Palatino Linotype" w:cs="Palatino Linotype"/>
        </w:rPr>
      </w:pPr>
    </w:p>
    <w:p w14:paraId="50B68EE3" w14:textId="764E38A0" w:rsidR="0078525C" w:rsidRPr="00113B3E" w:rsidRDefault="0078525C" w:rsidP="003439B1">
      <w:pPr>
        <w:spacing w:after="0" w:line="360" w:lineRule="auto"/>
        <w:ind w:right="49"/>
        <w:jc w:val="both"/>
        <w:rPr>
          <w:rFonts w:ascii="Palatino Linotype" w:eastAsia="Palatino Linotype" w:hAnsi="Palatino Linotype" w:cs="Palatino Linotype"/>
        </w:rPr>
      </w:pPr>
      <w:r w:rsidRPr="00113B3E">
        <w:rPr>
          <w:rFonts w:ascii="Palatino Linotype" w:eastAsia="Palatino Linotype" w:hAnsi="Palatino Linotype" w:cs="Palatino Linotype"/>
        </w:rPr>
        <w:t xml:space="preserve">Inconforme con las respuestas, la parte </w:t>
      </w:r>
      <w:r w:rsidRPr="00113B3E">
        <w:rPr>
          <w:rFonts w:ascii="Palatino Linotype" w:eastAsia="Palatino Linotype" w:hAnsi="Palatino Linotype" w:cs="Palatino Linotype"/>
          <w:b/>
        </w:rPr>
        <w:t xml:space="preserve">Recurrente </w:t>
      </w:r>
      <w:r w:rsidRPr="00113B3E">
        <w:rPr>
          <w:rFonts w:ascii="Palatino Linotype" w:eastAsia="Palatino Linotype" w:hAnsi="Palatino Linotype" w:cs="Palatino Linotype"/>
        </w:rPr>
        <w:t xml:space="preserve">promovió los presentes recursos de revisión en los que a manera de motivos de inconformidad </w:t>
      </w:r>
      <w:r w:rsidRPr="00113B3E">
        <w:rPr>
          <w:rFonts w:ascii="Palatino Linotype" w:eastAsia="Palatino Linotype" w:hAnsi="Palatino Linotype" w:cs="Palatino Linotype"/>
          <w:b/>
        </w:rPr>
        <w:t xml:space="preserve">se adolece medularmente de la </w:t>
      </w:r>
      <w:r w:rsidR="009B2DBF" w:rsidRPr="00113B3E">
        <w:rPr>
          <w:rFonts w:ascii="Palatino Linotype" w:eastAsia="Palatino Linotype" w:hAnsi="Palatino Linotype" w:cs="Palatino Linotype"/>
          <w:b/>
        </w:rPr>
        <w:t>negativa a la entrega de la información, en razón de que el link proporcionado en respuesta no remite a lo requerido</w:t>
      </w:r>
      <w:r w:rsidR="00C12E72" w:rsidRPr="00113B3E">
        <w:rPr>
          <w:rFonts w:ascii="Palatino Linotype" w:eastAsia="Palatino Linotype" w:hAnsi="Palatino Linotype" w:cs="Palatino Linotype"/>
          <w:b/>
        </w:rPr>
        <w:t>.</w:t>
      </w:r>
      <w:r w:rsidR="009F4AF0" w:rsidRPr="00113B3E">
        <w:rPr>
          <w:rFonts w:ascii="Palatino Linotype" w:eastAsia="Palatino Linotype" w:hAnsi="Palatino Linotype" w:cs="Palatino Linotype"/>
          <w:b/>
        </w:rPr>
        <w:t xml:space="preserve"> </w:t>
      </w:r>
    </w:p>
    <w:p w14:paraId="069474AF" w14:textId="77777777" w:rsidR="0078525C" w:rsidRPr="00113B3E" w:rsidRDefault="0078525C" w:rsidP="003439B1">
      <w:pPr>
        <w:spacing w:after="0" w:line="360" w:lineRule="auto"/>
        <w:ind w:right="49"/>
        <w:jc w:val="both"/>
        <w:rPr>
          <w:rFonts w:ascii="Palatino Linotype" w:eastAsia="Palatino Linotype" w:hAnsi="Palatino Linotype" w:cs="Palatino Linotype"/>
        </w:rPr>
      </w:pPr>
    </w:p>
    <w:p w14:paraId="084D055D" w14:textId="77777777" w:rsidR="0078525C" w:rsidRPr="00113B3E" w:rsidRDefault="0078525C" w:rsidP="003439B1">
      <w:pPr>
        <w:spacing w:after="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Admitidos los medios de impugnación que nos ocupa, en términos del artículo 185 fracción II</w:t>
      </w:r>
      <w:r w:rsidRPr="00113B3E">
        <w:rPr>
          <w:rFonts w:ascii="Palatino Linotype" w:eastAsia="Palatino Linotype" w:hAnsi="Palatino Linotype" w:cs="Palatino Linotype"/>
          <w:color w:val="000000"/>
          <w:vertAlign w:val="superscript"/>
        </w:rPr>
        <w:footnoteReference w:id="3"/>
      </w:r>
      <w:r w:rsidRPr="00113B3E">
        <w:rPr>
          <w:rFonts w:ascii="Palatino Linotype" w:eastAsia="Palatino Linotype" w:hAnsi="Palatino Linotype" w:cs="Palatino Linotype"/>
          <w:color w:val="000000"/>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DD38593" w14:textId="77777777" w:rsidR="0078525C" w:rsidRPr="00113B3E" w:rsidRDefault="0078525C" w:rsidP="003439B1">
      <w:pPr>
        <w:spacing w:after="0" w:line="360" w:lineRule="auto"/>
        <w:jc w:val="both"/>
        <w:rPr>
          <w:rFonts w:ascii="Palatino Linotype" w:eastAsia="Palatino Linotype" w:hAnsi="Palatino Linotype" w:cs="Palatino Linotype"/>
          <w:color w:val="000000"/>
        </w:rPr>
      </w:pPr>
    </w:p>
    <w:p w14:paraId="06B80224" w14:textId="08E2FC5D" w:rsidR="0078525C" w:rsidRPr="00113B3E" w:rsidRDefault="009B2DBF" w:rsidP="00DC16C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D</w:t>
      </w:r>
      <w:r w:rsidR="00DC16C2" w:rsidRPr="00113B3E">
        <w:rPr>
          <w:rFonts w:ascii="Palatino Linotype" w:eastAsia="Palatino Linotype" w:hAnsi="Palatino Linotype" w:cs="Palatino Linotype"/>
          <w:color w:val="000000"/>
        </w:rPr>
        <w:t xml:space="preserve">e las constancias que obran en los expedientes electrónicos en que se actúa, se advierte que </w:t>
      </w:r>
      <w:r w:rsidRPr="00113B3E">
        <w:rPr>
          <w:rFonts w:ascii="Palatino Linotype" w:eastAsia="Palatino Linotype" w:hAnsi="Palatino Linotype" w:cs="Palatino Linotype"/>
          <w:color w:val="000000"/>
        </w:rPr>
        <w:t xml:space="preserve">el </w:t>
      </w:r>
      <w:r w:rsidRPr="00113B3E">
        <w:rPr>
          <w:rFonts w:ascii="Palatino Linotype" w:eastAsia="Palatino Linotype" w:hAnsi="Palatino Linotype" w:cs="Palatino Linotype"/>
          <w:b/>
          <w:color w:val="000000"/>
        </w:rPr>
        <w:t xml:space="preserve">Sujeto Obligado </w:t>
      </w:r>
      <w:r w:rsidRPr="00113B3E">
        <w:rPr>
          <w:rFonts w:ascii="Palatino Linotype" w:eastAsia="Palatino Linotype" w:hAnsi="Palatino Linotype" w:cs="Palatino Linotype"/>
          <w:color w:val="000000"/>
        </w:rPr>
        <w:t>rindió sus informes justificados, en los que medularmente ratificó su respuesta inicial.</w:t>
      </w:r>
    </w:p>
    <w:p w14:paraId="06F82AB2" w14:textId="77777777" w:rsidR="009B2DBF" w:rsidRPr="00113B3E" w:rsidRDefault="009B2DBF" w:rsidP="00DC16C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rPr>
      </w:pPr>
    </w:p>
    <w:p w14:paraId="4A77513E" w14:textId="1510C389" w:rsidR="00FE44BB" w:rsidRPr="00113B3E" w:rsidRDefault="009B2DBF" w:rsidP="00FE44BB">
      <w:pPr>
        <w:pBdr>
          <w:top w:val="nil"/>
          <w:left w:val="nil"/>
          <w:bottom w:val="nil"/>
          <w:right w:val="nil"/>
          <w:between w:val="nil"/>
        </w:pBd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color w:val="000000"/>
        </w:rPr>
        <w:t xml:space="preserve">Por su lado, la parte </w:t>
      </w:r>
      <w:r w:rsidRPr="00113B3E">
        <w:rPr>
          <w:rFonts w:ascii="Palatino Linotype" w:eastAsia="Palatino Linotype" w:hAnsi="Palatino Linotype" w:cs="Palatino Linotype"/>
          <w:b/>
          <w:color w:val="000000"/>
        </w:rPr>
        <w:t xml:space="preserve">Recurrente </w:t>
      </w:r>
      <w:r w:rsidRPr="00113B3E">
        <w:rPr>
          <w:rFonts w:ascii="Palatino Linotype" w:eastAsia="Palatino Linotype" w:hAnsi="Palatino Linotype" w:cs="Palatino Linotype"/>
          <w:color w:val="000000"/>
        </w:rPr>
        <w:t xml:space="preserve">realizó manifestaciones en el recurso de revisión </w:t>
      </w:r>
      <w:r w:rsidRPr="00113B3E">
        <w:rPr>
          <w:rFonts w:ascii="Palatino Linotype" w:eastAsia="Palatino Linotype" w:hAnsi="Palatino Linotype" w:cs="Palatino Linotype"/>
          <w:b/>
          <w:color w:val="000000"/>
        </w:rPr>
        <w:t>11359/INFOEM/IP/RR/2025</w:t>
      </w:r>
      <w:r w:rsidRPr="00113B3E">
        <w:rPr>
          <w:rFonts w:ascii="Palatino Linotype" w:eastAsia="Palatino Linotype" w:hAnsi="Palatino Linotype" w:cs="Palatino Linotype"/>
          <w:color w:val="000000"/>
        </w:rPr>
        <w:t xml:space="preserve">, </w:t>
      </w:r>
      <w:r w:rsidR="00FE44BB" w:rsidRPr="00113B3E">
        <w:rPr>
          <w:rFonts w:ascii="Palatino Linotype" w:eastAsia="Palatino Linotype" w:hAnsi="Palatino Linotype" w:cs="Palatino Linotype"/>
          <w:color w:val="000000"/>
        </w:rPr>
        <w:t xml:space="preserve">proporcionando </w:t>
      </w:r>
      <w:r w:rsidR="00FE44BB" w:rsidRPr="00113B3E">
        <w:rPr>
          <w:rFonts w:ascii="Palatino Linotype" w:eastAsia="Palatino Linotype" w:hAnsi="Palatino Linotype" w:cs="Palatino Linotype"/>
        </w:rPr>
        <w:t>los archivos denominados “</w:t>
      </w:r>
      <w:r w:rsidR="00FE44BB" w:rsidRPr="00113B3E">
        <w:rPr>
          <w:rFonts w:ascii="Palatino Linotype" w:eastAsia="Palatino Linotype" w:hAnsi="Palatino Linotype" w:cs="Palatino Linotype"/>
          <w:b/>
          <w:i/>
        </w:rPr>
        <w:t>Articulo92FXXIX (4).xlsx</w:t>
      </w:r>
      <w:r w:rsidR="00FE44BB" w:rsidRPr="00113B3E">
        <w:rPr>
          <w:rFonts w:ascii="Palatino Linotype" w:eastAsia="Palatino Linotype" w:hAnsi="Palatino Linotype" w:cs="Palatino Linotype"/>
        </w:rPr>
        <w:t>” y “</w:t>
      </w:r>
      <w:r w:rsidR="00FE44BB" w:rsidRPr="00113B3E">
        <w:rPr>
          <w:rFonts w:ascii="Palatino Linotype" w:eastAsia="Palatino Linotype" w:hAnsi="Palatino Linotype" w:cs="Palatino Linotype"/>
          <w:b/>
          <w:i/>
        </w:rPr>
        <w:t>Articulo92FXXIX (5).xlsx</w:t>
      </w:r>
      <w:r w:rsidR="00FE44BB" w:rsidRPr="00113B3E">
        <w:rPr>
          <w:rFonts w:ascii="Palatino Linotype" w:eastAsia="Palatino Linotype" w:hAnsi="Palatino Linotype" w:cs="Palatino Linotype"/>
        </w:rPr>
        <w:t>” que corresponde a la información contenida en el artículo 92 fracción XXIX de la Ley de Transparencia publicada en el IPOMEX, relativa a los procedimientos de adjudicación directa, invitación restringida y licitación de cualquier naturaleza; respecto de los cuales indica el particular que no contiene lo requerido.</w:t>
      </w:r>
    </w:p>
    <w:p w14:paraId="798A96E6" w14:textId="6AFB6C51" w:rsidR="009B2DBF" w:rsidRPr="00113B3E" w:rsidRDefault="009B2DBF" w:rsidP="00DC16C2">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329BB2D" w14:textId="436ACBEB" w:rsidR="0078525C" w:rsidRPr="00113B3E" w:rsidRDefault="00FE44BB" w:rsidP="003439B1">
      <w:pPr>
        <w:spacing w:after="0" w:line="360" w:lineRule="auto"/>
        <w:ind w:right="49"/>
        <w:jc w:val="both"/>
        <w:rPr>
          <w:rFonts w:ascii="Palatino Linotype" w:eastAsia="Palatino Linotype" w:hAnsi="Palatino Linotype" w:cs="Palatino Linotype"/>
        </w:rPr>
      </w:pPr>
      <w:r w:rsidRPr="00113B3E">
        <w:rPr>
          <w:rFonts w:ascii="Palatino Linotype" w:eastAsia="Palatino Linotype" w:hAnsi="Palatino Linotype" w:cs="Palatino Linotype"/>
        </w:rPr>
        <w:t>Asimismo, adjuntó captura de pantalla de la consulta al Ipomex en la fracción indicada, donde a dicho del particular no arroja datos del contrato requerido.</w:t>
      </w:r>
    </w:p>
    <w:p w14:paraId="731DCC03" w14:textId="77777777" w:rsidR="00FE44BB" w:rsidRPr="00113B3E" w:rsidRDefault="00FE44BB" w:rsidP="003439B1">
      <w:pPr>
        <w:spacing w:after="0" w:line="360" w:lineRule="auto"/>
        <w:ind w:right="49"/>
        <w:jc w:val="both"/>
        <w:rPr>
          <w:rFonts w:ascii="Palatino Linotype" w:eastAsia="Palatino Linotype" w:hAnsi="Palatino Linotype" w:cs="Palatino Linotype"/>
        </w:rPr>
      </w:pPr>
    </w:p>
    <w:p w14:paraId="5A2730B4" w14:textId="77777777" w:rsidR="001356F8" w:rsidRPr="00113B3E" w:rsidRDefault="001356F8" w:rsidP="001356F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rPr>
      </w:pPr>
      <w:r w:rsidRPr="00113B3E">
        <w:rPr>
          <w:rFonts w:ascii="Palatino Linotype" w:eastAsia="Palatino Linotype" w:hAnsi="Palatino Linotype" w:cs="Palatino Linotype"/>
        </w:rPr>
        <w:t xml:space="preserve">Expuesto lo anterior, se procede al análisis de la naturaleza de la información requerida, y para ello, es de mencionar que de conformidad con el artículo 92, fracción XXIX de la Ley de Transparencia y Acceso a la Información Pública del Estado de México y Municipios, los Sujetos Obligados se encuentran constreñidos a poner a disposición del público, de manera permanente y actualizada en los respectivos medios electrónicos, información sobre los procesos y resultados sobre procedimientos de adjudicación directa, invitación restringida y licitación de cualquier naturaleza, </w:t>
      </w:r>
      <w:r w:rsidRPr="00113B3E">
        <w:rPr>
          <w:rFonts w:ascii="Palatino Linotype" w:eastAsia="Palatino Linotype" w:hAnsi="Palatino Linotype" w:cs="Palatino Linotype"/>
          <w:b/>
        </w:rPr>
        <w:t>incluyendo la versión pública</w:t>
      </w:r>
      <w:r w:rsidRPr="00113B3E">
        <w:rPr>
          <w:rFonts w:ascii="Palatino Linotype" w:eastAsia="Palatino Linotype" w:hAnsi="Palatino Linotype" w:cs="Palatino Linotype"/>
        </w:rPr>
        <w:t xml:space="preserve"> </w:t>
      </w:r>
      <w:r w:rsidRPr="00113B3E">
        <w:rPr>
          <w:rFonts w:ascii="Palatino Linotype" w:eastAsia="Palatino Linotype" w:hAnsi="Palatino Linotype" w:cs="Palatino Linotype"/>
          <w:b/>
        </w:rPr>
        <w:t>del expediente respectivo</w:t>
      </w:r>
      <w:r w:rsidRPr="00113B3E">
        <w:rPr>
          <w:rFonts w:ascii="Palatino Linotype" w:eastAsia="Palatino Linotype" w:hAnsi="Palatino Linotype" w:cs="Palatino Linotype"/>
        </w:rPr>
        <w:t xml:space="preserve"> y </w:t>
      </w:r>
      <w:r w:rsidRPr="00113B3E">
        <w:rPr>
          <w:rFonts w:ascii="Palatino Linotype" w:eastAsia="Palatino Linotype" w:hAnsi="Palatino Linotype" w:cs="Palatino Linotype"/>
          <w:b/>
          <w:u w:val="single"/>
        </w:rPr>
        <w:t>de los contratos celebrados;</w:t>
      </w:r>
      <w:r w:rsidRPr="00113B3E">
        <w:rPr>
          <w:rFonts w:ascii="Palatino Linotype" w:eastAsia="Palatino Linotype" w:hAnsi="Palatino Linotype" w:cs="Palatino Linotype"/>
        </w:rPr>
        <w:t xml:space="preserve"> a saber:</w:t>
      </w:r>
    </w:p>
    <w:p w14:paraId="2C8459A2" w14:textId="77777777" w:rsidR="001356F8" w:rsidRPr="00113B3E" w:rsidRDefault="001356F8" w:rsidP="001356F8">
      <w:pPr>
        <w:spacing w:before="120" w:after="120" w:line="240" w:lineRule="auto"/>
        <w:ind w:left="851" w:right="902"/>
        <w:jc w:val="both"/>
        <w:rPr>
          <w:rFonts w:ascii="Palatino Linotype" w:eastAsia="Palatino Linotype" w:hAnsi="Palatino Linotype" w:cs="Palatino Linotype"/>
          <w:i/>
        </w:rPr>
      </w:pPr>
      <w:r w:rsidRPr="00113B3E">
        <w:rPr>
          <w:rFonts w:ascii="Palatino Linotype" w:eastAsia="Palatino Linotype" w:hAnsi="Palatino Linotype" w:cs="Palatino Linotype"/>
          <w:i/>
        </w:rPr>
        <w:t>“</w:t>
      </w:r>
      <w:r w:rsidRPr="00113B3E">
        <w:rPr>
          <w:rFonts w:ascii="Palatino Linotype" w:eastAsia="Palatino Linotype" w:hAnsi="Palatino Linotype" w:cs="Palatino Linotype"/>
          <w:b/>
          <w:i/>
        </w:rPr>
        <w:t>Artículo 92</w:t>
      </w:r>
      <w:r w:rsidRPr="00113B3E">
        <w:rPr>
          <w:rFonts w:ascii="Palatino Linotype" w:eastAsia="Palatino Linotype" w:hAnsi="Palatino Linotype" w:cs="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C6F796F" w14:textId="77777777" w:rsidR="001356F8" w:rsidRPr="00113B3E" w:rsidRDefault="001356F8" w:rsidP="001356F8">
      <w:pPr>
        <w:tabs>
          <w:tab w:val="left" w:pos="426"/>
          <w:tab w:val="left" w:pos="2145"/>
        </w:tabs>
        <w:spacing w:before="120" w:after="120" w:line="240" w:lineRule="auto"/>
        <w:ind w:left="1134" w:right="902"/>
        <w:jc w:val="both"/>
        <w:rPr>
          <w:rFonts w:ascii="Palatino Linotype" w:eastAsia="Palatino Linotype" w:hAnsi="Palatino Linotype" w:cs="Palatino Linotype"/>
          <w:i/>
        </w:rPr>
      </w:pPr>
      <w:r w:rsidRPr="00113B3E">
        <w:rPr>
          <w:rFonts w:ascii="Palatino Linotype" w:eastAsia="Palatino Linotype" w:hAnsi="Palatino Linotype" w:cs="Palatino Linotype"/>
          <w:i/>
        </w:rPr>
        <w:t>(…)</w:t>
      </w:r>
      <w:r w:rsidRPr="00113B3E">
        <w:rPr>
          <w:rFonts w:ascii="Palatino Linotype" w:eastAsia="Palatino Linotype" w:hAnsi="Palatino Linotype" w:cs="Palatino Linotype"/>
          <w:i/>
        </w:rPr>
        <w:tab/>
      </w:r>
    </w:p>
    <w:p w14:paraId="0B929283" w14:textId="77777777" w:rsidR="001356F8" w:rsidRPr="00113B3E" w:rsidRDefault="001356F8" w:rsidP="001356F8">
      <w:pPr>
        <w:tabs>
          <w:tab w:val="left" w:pos="426"/>
        </w:tabs>
        <w:spacing w:before="120" w:after="120" w:line="240" w:lineRule="auto"/>
        <w:ind w:left="1134" w:right="902"/>
        <w:jc w:val="both"/>
        <w:rPr>
          <w:rFonts w:ascii="Palatino Linotype" w:eastAsia="Palatino Linotype" w:hAnsi="Palatino Linotype" w:cs="Palatino Linotype"/>
          <w:i/>
        </w:rPr>
      </w:pPr>
      <w:r w:rsidRPr="00113B3E">
        <w:rPr>
          <w:rFonts w:ascii="Palatino Linotype" w:eastAsia="Palatino Linotype" w:hAnsi="Palatino Linotype" w:cs="Palatino Linotype"/>
          <w:b/>
          <w:i/>
        </w:rPr>
        <w:t>XXIX.</w:t>
      </w:r>
      <w:r w:rsidRPr="00113B3E">
        <w:rPr>
          <w:rFonts w:ascii="Palatino Linotype" w:eastAsia="Palatino Linotype" w:hAnsi="Palatino Linotype" w:cs="Palatino Linotype"/>
          <w:i/>
        </w:rPr>
        <w:t xml:space="preserve"> La </w:t>
      </w:r>
      <w:r w:rsidRPr="00113B3E">
        <w:rPr>
          <w:rFonts w:ascii="Palatino Linotype" w:eastAsia="Palatino Linotype" w:hAnsi="Palatino Linotype" w:cs="Palatino Linotype"/>
          <w:b/>
          <w:i/>
        </w:rPr>
        <w:t xml:space="preserve">información sobre los procesos y resultados </w:t>
      </w:r>
      <w:r w:rsidRPr="00113B3E">
        <w:rPr>
          <w:rFonts w:ascii="Palatino Linotype" w:eastAsia="Palatino Linotype" w:hAnsi="Palatino Linotype" w:cs="Palatino Linotype"/>
          <w:b/>
          <w:i/>
          <w:u w:val="single"/>
        </w:rPr>
        <w:t>sobre procedimientos de adjudicación directa, invitación restringida y licitación de cualquier naturaleza</w:t>
      </w:r>
      <w:r w:rsidRPr="00113B3E">
        <w:rPr>
          <w:rFonts w:ascii="Palatino Linotype" w:eastAsia="Palatino Linotype" w:hAnsi="Palatino Linotype" w:cs="Palatino Linotype"/>
          <w:i/>
          <w:u w:val="single"/>
        </w:rPr>
        <w:t xml:space="preserve">, </w:t>
      </w:r>
      <w:r w:rsidRPr="00113B3E">
        <w:rPr>
          <w:rFonts w:ascii="Palatino Linotype" w:eastAsia="Palatino Linotype" w:hAnsi="Palatino Linotype" w:cs="Palatino Linotype"/>
          <w:b/>
          <w:i/>
        </w:rPr>
        <w:t>incluyendo la versión pública</w:t>
      </w:r>
      <w:r w:rsidRPr="00113B3E">
        <w:rPr>
          <w:rFonts w:ascii="Palatino Linotype" w:eastAsia="Palatino Linotype" w:hAnsi="Palatino Linotype" w:cs="Palatino Linotype"/>
          <w:i/>
        </w:rPr>
        <w:t xml:space="preserve"> del expediente respectivo y </w:t>
      </w:r>
      <w:r w:rsidRPr="00113B3E">
        <w:rPr>
          <w:rFonts w:ascii="Palatino Linotype" w:eastAsia="Palatino Linotype" w:hAnsi="Palatino Linotype" w:cs="Palatino Linotype"/>
          <w:b/>
          <w:i/>
        </w:rPr>
        <w:t>de los contratos celebrados</w:t>
      </w:r>
      <w:r w:rsidRPr="00113B3E">
        <w:rPr>
          <w:rFonts w:ascii="Palatino Linotype" w:eastAsia="Palatino Linotype" w:hAnsi="Palatino Linotype" w:cs="Palatino Linotype"/>
          <w:i/>
        </w:rPr>
        <w:t>, que deberán contener, por los menos, lo siguiente:</w:t>
      </w:r>
    </w:p>
    <w:p w14:paraId="110B5062" w14:textId="77777777" w:rsidR="001356F8" w:rsidRPr="00113B3E" w:rsidRDefault="001356F8" w:rsidP="001356F8">
      <w:pPr>
        <w:tabs>
          <w:tab w:val="left" w:pos="426"/>
        </w:tabs>
        <w:spacing w:before="120" w:after="120" w:line="240" w:lineRule="auto"/>
        <w:ind w:left="1418" w:right="902"/>
        <w:jc w:val="both"/>
        <w:rPr>
          <w:rFonts w:ascii="Palatino Linotype" w:eastAsia="Palatino Linotype" w:hAnsi="Palatino Linotype" w:cs="Palatino Linotype"/>
          <w:b/>
          <w:i/>
        </w:rPr>
      </w:pPr>
      <w:r w:rsidRPr="00113B3E">
        <w:rPr>
          <w:rFonts w:ascii="Palatino Linotype" w:eastAsia="Palatino Linotype" w:hAnsi="Palatino Linotype" w:cs="Palatino Linotype"/>
          <w:b/>
          <w:i/>
        </w:rPr>
        <w:t>a) De licitaciones públicas o procedimientos de invitación restringida:</w:t>
      </w:r>
    </w:p>
    <w:p w14:paraId="7A177A31" w14:textId="77777777" w:rsidR="001356F8" w:rsidRPr="00113B3E" w:rsidRDefault="001356F8" w:rsidP="001356F8">
      <w:pPr>
        <w:tabs>
          <w:tab w:val="left" w:pos="426"/>
        </w:tabs>
        <w:spacing w:before="120" w:after="120" w:line="240" w:lineRule="auto"/>
        <w:ind w:left="1701" w:right="902"/>
        <w:jc w:val="both"/>
        <w:rPr>
          <w:rFonts w:ascii="Palatino Linotype" w:eastAsia="Palatino Linotype" w:hAnsi="Palatino Linotype" w:cs="Palatino Linotype"/>
          <w:b/>
          <w:i/>
        </w:rPr>
      </w:pPr>
      <w:r w:rsidRPr="00113B3E">
        <w:rPr>
          <w:rFonts w:ascii="Palatino Linotype" w:eastAsia="Palatino Linotype" w:hAnsi="Palatino Linotype" w:cs="Palatino Linotype"/>
          <w:b/>
          <w:i/>
        </w:rPr>
        <w:t>...</w:t>
      </w:r>
    </w:p>
    <w:p w14:paraId="71B7ABA6" w14:textId="77777777" w:rsidR="001356F8" w:rsidRPr="00113B3E" w:rsidRDefault="001356F8" w:rsidP="001356F8">
      <w:pPr>
        <w:tabs>
          <w:tab w:val="left" w:pos="426"/>
        </w:tabs>
        <w:spacing w:before="120" w:after="120" w:line="240" w:lineRule="auto"/>
        <w:ind w:left="1701" w:right="902"/>
        <w:jc w:val="both"/>
        <w:rPr>
          <w:rFonts w:ascii="Palatino Linotype" w:eastAsia="Palatino Linotype" w:hAnsi="Palatino Linotype" w:cs="Palatino Linotype"/>
          <w:i/>
        </w:rPr>
      </w:pPr>
      <w:r w:rsidRPr="00113B3E">
        <w:rPr>
          <w:rFonts w:ascii="Palatino Linotype" w:eastAsia="Palatino Linotype" w:hAnsi="Palatino Linotype" w:cs="Palatino Linotype"/>
          <w:b/>
          <w:i/>
        </w:rPr>
        <w:t xml:space="preserve">7) </w:t>
      </w:r>
      <w:r w:rsidRPr="00113B3E">
        <w:rPr>
          <w:rFonts w:ascii="Palatino Linotype" w:eastAsia="Palatino Linotype" w:hAnsi="Palatino Linotype" w:cs="Palatino Linotype"/>
          <w:i/>
        </w:rPr>
        <w:t xml:space="preserve">El contrato y, en su caso, sus anexos; </w:t>
      </w:r>
    </w:p>
    <w:p w14:paraId="2E40F744" w14:textId="77777777" w:rsidR="001356F8" w:rsidRPr="00113B3E" w:rsidRDefault="001356F8" w:rsidP="001356F8">
      <w:pPr>
        <w:tabs>
          <w:tab w:val="left" w:pos="426"/>
        </w:tabs>
        <w:spacing w:before="120" w:after="120" w:line="240" w:lineRule="auto"/>
        <w:ind w:left="1418" w:right="902"/>
        <w:jc w:val="both"/>
        <w:rPr>
          <w:rFonts w:ascii="Palatino Linotype" w:eastAsia="Palatino Linotype" w:hAnsi="Palatino Linotype" w:cs="Palatino Linotype"/>
          <w:b/>
          <w:i/>
        </w:rPr>
      </w:pPr>
      <w:r w:rsidRPr="00113B3E">
        <w:rPr>
          <w:rFonts w:ascii="Palatino Linotype" w:eastAsia="Palatino Linotype" w:hAnsi="Palatino Linotype" w:cs="Palatino Linotype"/>
          <w:b/>
          <w:i/>
        </w:rPr>
        <w:t>...</w:t>
      </w:r>
    </w:p>
    <w:p w14:paraId="0D5ABE34" w14:textId="77777777" w:rsidR="001356F8" w:rsidRPr="00113B3E" w:rsidRDefault="001356F8" w:rsidP="001356F8">
      <w:pPr>
        <w:tabs>
          <w:tab w:val="left" w:pos="426"/>
        </w:tabs>
        <w:spacing w:before="120" w:after="120" w:line="240" w:lineRule="auto"/>
        <w:ind w:left="1418" w:right="902"/>
        <w:jc w:val="both"/>
        <w:rPr>
          <w:rFonts w:ascii="Palatino Linotype" w:eastAsia="Palatino Linotype" w:hAnsi="Palatino Linotype" w:cs="Palatino Linotype"/>
          <w:b/>
          <w:i/>
        </w:rPr>
      </w:pPr>
      <w:r w:rsidRPr="00113B3E">
        <w:rPr>
          <w:rFonts w:ascii="Palatino Linotype" w:eastAsia="Palatino Linotype" w:hAnsi="Palatino Linotype" w:cs="Palatino Linotype"/>
          <w:b/>
          <w:i/>
        </w:rPr>
        <w:t xml:space="preserve">b) De las adjudicaciones directas: </w:t>
      </w:r>
    </w:p>
    <w:p w14:paraId="6D3F83D7" w14:textId="77777777" w:rsidR="001356F8" w:rsidRPr="00113B3E" w:rsidRDefault="001356F8" w:rsidP="001356F8">
      <w:pPr>
        <w:tabs>
          <w:tab w:val="left" w:pos="426"/>
        </w:tabs>
        <w:spacing w:before="120" w:after="120" w:line="240" w:lineRule="auto"/>
        <w:ind w:left="1701" w:right="902"/>
        <w:jc w:val="both"/>
        <w:rPr>
          <w:rFonts w:ascii="Palatino Linotype" w:eastAsia="Palatino Linotype" w:hAnsi="Palatino Linotype" w:cs="Palatino Linotype"/>
          <w:i/>
        </w:rPr>
      </w:pPr>
      <w:r w:rsidRPr="00113B3E">
        <w:rPr>
          <w:rFonts w:ascii="Palatino Linotype" w:eastAsia="Palatino Linotype" w:hAnsi="Palatino Linotype" w:cs="Palatino Linotype"/>
          <w:b/>
          <w:i/>
        </w:rPr>
        <w:t>...</w:t>
      </w:r>
      <w:r w:rsidRPr="00113B3E">
        <w:rPr>
          <w:rFonts w:ascii="Palatino Linotype" w:eastAsia="Palatino Linotype" w:hAnsi="Palatino Linotype" w:cs="Palatino Linotype"/>
          <w:i/>
        </w:rPr>
        <w:t xml:space="preserve"> </w:t>
      </w:r>
    </w:p>
    <w:p w14:paraId="38B1BCBA" w14:textId="77777777" w:rsidR="001356F8" w:rsidRPr="00113B3E" w:rsidRDefault="001356F8" w:rsidP="001356F8">
      <w:pPr>
        <w:tabs>
          <w:tab w:val="left" w:pos="426"/>
        </w:tabs>
        <w:spacing w:before="120" w:after="120" w:line="240" w:lineRule="auto"/>
        <w:ind w:left="1701" w:right="902"/>
        <w:jc w:val="both"/>
        <w:rPr>
          <w:rFonts w:ascii="Palatino Linotype" w:eastAsia="Palatino Linotype" w:hAnsi="Palatino Linotype" w:cs="Palatino Linotype"/>
          <w:i/>
        </w:rPr>
      </w:pPr>
      <w:r w:rsidRPr="00113B3E">
        <w:rPr>
          <w:rFonts w:ascii="Palatino Linotype" w:eastAsia="Palatino Linotype" w:hAnsi="Palatino Linotype" w:cs="Palatino Linotype"/>
          <w:b/>
          <w:i/>
        </w:rPr>
        <w:t xml:space="preserve">7) </w:t>
      </w:r>
      <w:r w:rsidRPr="00113B3E">
        <w:rPr>
          <w:rFonts w:ascii="Palatino Linotype" w:eastAsia="Palatino Linotype" w:hAnsi="Palatino Linotype" w:cs="Palatino Linotype"/>
          <w:i/>
        </w:rPr>
        <w:t>El número, fecha, el monto del contrato y el plazo de entrega o de ejecución de los servicios u obra;”</w:t>
      </w:r>
    </w:p>
    <w:p w14:paraId="15A1FB86" w14:textId="77777777" w:rsidR="001356F8" w:rsidRPr="00113B3E" w:rsidRDefault="001356F8" w:rsidP="001356F8">
      <w:pPr>
        <w:spacing w:before="240" w:after="24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5F0DF7CC" w14:textId="77777777" w:rsidR="00322650" w:rsidRPr="00113B3E" w:rsidRDefault="00322650" w:rsidP="00322650">
      <w:pPr>
        <w:spacing w:before="240" w:after="240" w:line="360" w:lineRule="auto"/>
        <w:ind w:left="426"/>
        <w:jc w:val="both"/>
        <w:rPr>
          <w:rFonts w:ascii="Palatino Linotype" w:eastAsia="Palatino Linotype" w:hAnsi="Palatino Linotype" w:cs="Palatino Linotype"/>
          <w:color w:val="000000" w:themeColor="text1"/>
        </w:rPr>
      </w:pPr>
      <w:r w:rsidRPr="00113B3E">
        <w:rPr>
          <w:rFonts w:ascii="Palatino Linotype" w:eastAsia="Palatino Linotype" w:hAnsi="Palatino Linotype" w:cs="Palatino Linotype"/>
          <w:color w:val="000000" w:themeColor="text1"/>
        </w:rPr>
        <w:t>●</w:t>
      </w:r>
      <w:r w:rsidRPr="00113B3E">
        <w:rPr>
          <w:rFonts w:ascii="Palatino Linotype" w:eastAsia="Palatino Linotype" w:hAnsi="Palatino Linotype" w:cs="Palatino Linotype"/>
          <w:color w:val="000000" w:themeColor="text1"/>
          <w:sz w:val="16"/>
          <w:szCs w:val="16"/>
        </w:rPr>
        <w:t xml:space="preserve">        </w:t>
      </w:r>
      <w:r w:rsidRPr="00113B3E">
        <w:rPr>
          <w:rFonts w:ascii="Palatino Linotype" w:eastAsia="Palatino Linotype" w:hAnsi="Palatino Linotype" w:cs="Palatino Linotype"/>
          <w:b/>
          <w:color w:val="000000" w:themeColor="text1"/>
        </w:rPr>
        <w:t xml:space="preserve">Licitaciones públicas o Invitación restringida: </w:t>
      </w:r>
      <w:r w:rsidRPr="00113B3E">
        <w:rPr>
          <w:rFonts w:ascii="Palatino Linotype" w:eastAsia="Palatino Linotype" w:hAnsi="Palatino Linotype" w:cs="Palatino Linotype"/>
          <w:color w:val="000000" w:themeColor="text1"/>
        </w:rPr>
        <w:t xml:space="preserve">convocatoria o invitación emitida y fundamentos legales aplicables para llevarla a cabo, nombre de los participantes o invitados, nombre del ganador y razones que lo justifican, área solicitante y responsable de su ejecución, convocatorias e invitaciones emitidas, dictámenes y fallo de adjudicación, </w:t>
      </w:r>
      <w:r w:rsidRPr="00113B3E">
        <w:rPr>
          <w:rFonts w:ascii="Palatino Linotype" w:eastAsia="Palatino Linotype" w:hAnsi="Palatino Linotype" w:cs="Palatino Linotype"/>
          <w:b/>
          <w:color w:val="000000" w:themeColor="text1"/>
        </w:rPr>
        <w:t>contrato y anexos</w:t>
      </w:r>
      <w:r w:rsidRPr="00113B3E">
        <w:rPr>
          <w:rFonts w:ascii="Palatino Linotype" w:eastAsia="Palatino Linotype" w:hAnsi="Palatino Linotype" w:cs="Palatino Linotype"/>
          <w:color w:val="000000" w:themeColor="text1"/>
        </w:rPr>
        <w:t xml:space="preserve">,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w:t>
      </w:r>
      <w:r w:rsidRPr="00113B3E">
        <w:rPr>
          <w:rFonts w:ascii="Palatino Linotype" w:eastAsia="Palatino Linotype" w:hAnsi="Palatino Linotype" w:cs="Palatino Linotype"/>
          <w:b/>
          <w:color w:val="000000" w:themeColor="text1"/>
        </w:rPr>
        <w:t xml:space="preserve">informes de avances, </w:t>
      </w:r>
      <w:r w:rsidRPr="00113B3E">
        <w:rPr>
          <w:rFonts w:ascii="Palatino Linotype" w:eastAsia="Palatino Linotype" w:hAnsi="Palatino Linotype" w:cs="Palatino Linotype"/>
          <w:color w:val="000000" w:themeColor="text1"/>
        </w:rPr>
        <w:t>convenio de terminación y finiquito.</w:t>
      </w:r>
    </w:p>
    <w:p w14:paraId="35E84585" w14:textId="77777777" w:rsidR="00322650" w:rsidRPr="00113B3E" w:rsidRDefault="00322650" w:rsidP="00322650">
      <w:pPr>
        <w:spacing w:before="240" w:after="240" w:line="360" w:lineRule="auto"/>
        <w:ind w:left="426"/>
        <w:jc w:val="both"/>
        <w:rPr>
          <w:rFonts w:ascii="Palatino Linotype" w:eastAsia="Palatino Linotype" w:hAnsi="Palatino Linotype" w:cs="Palatino Linotype"/>
          <w:color w:val="000000" w:themeColor="text1"/>
        </w:rPr>
      </w:pPr>
      <w:r w:rsidRPr="00113B3E">
        <w:rPr>
          <w:rFonts w:ascii="Palatino Linotype" w:eastAsia="Palatino Linotype" w:hAnsi="Palatino Linotype" w:cs="Palatino Linotype"/>
          <w:color w:val="000000" w:themeColor="text1"/>
        </w:rPr>
        <w:t>●</w:t>
      </w:r>
      <w:r w:rsidRPr="00113B3E">
        <w:rPr>
          <w:rFonts w:ascii="Palatino Linotype" w:eastAsia="Palatino Linotype" w:hAnsi="Palatino Linotype" w:cs="Palatino Linotype"/>
          <w:color w:val="000000" w:themeColor="text1"/>
          <w:sz w:val="16"/>
          <w:szCs w:val="16"/>
        </w:rPr>
        <w:t xml:space="preserve">        </w:t>
      </w:r>
      <w:r w:rsidRPr="00113B3E">
        <w:rPr>
          <w:rFonts w:ascii="Palatino Linotype" w:eastAsia="Palatino Linotype" w:hAnsi="Palatino Linotype" w:cs="Palatino Linotype"/>
          <w:b/>
          <w:color w:val="000000" w:themeColor="text1"/>
        </w:rPr>
        <w:t xml:space="preserve">Adjudicaciones directas: </w:t>
      </w:r>
      <w:r w:rsidRPr="00113B3E">
        <w:rPr>
          <w:rFonts w:ascii="Palatino Linotype" w:eastAsia="Palatino Linotype" w:hAnsi="Palatino Linotype" w:cs="Palatino Linotype"/>
          <w:color w:val="000000" w:themeColor="text1"/>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52F6BF19" w14:textId="77777777" w:rsidR="00322650" w:rsidRPr="00113B3E" w:rsidRDefault="00322650" w:rsidP="001356F8">
      <w:pPr>
        <w:spacing w:after="0" w:line="360" w:lineRule="auto"/>
        <w:ind w:right="51"/>
        <w:jc w:val="both"/>
        <w:rPr>
          <w:rFonts w:ascii="Palatino Linotype" w:eastAsia="Palatino Linotype" w:hAnsi="Palatino Linotype" w:cs="Palatino Linotype"/>
        </w:rPr>
      </w:pPr>
    </w:p>
    <w:p w14:paraId="04C303E4" w14:textId="77777777" w:rsidR="001356F8" w:rsidRPr="00113B3E" w:rsidRDefault="001356F8" w:rsidP="001356F8">
      <w:pPr>
        <w:spacing w:after="0" w:line="360" w:lineRule="auto"/>
        <w:ind w:right="51"/>
        <w:jc w:val="both"/>
        <w:rPr>
          <w:rFonts w:ascii="Palatino Linotype" w:eastAsia="Palatino Linotype" w:hAnsi="Palatino Linotype" w:cs="Palatino Linotype"/>
        </w:rPr>
      </w:pPr>
      <w:r w:rsidRPr="00113B3E">
        <w:rPr>
          <w:rFonts w:ascii="Palatino Linotype" w:eastAsia="Palatino Linotype" w:hAnsi="Palatino Linotype" w:cs="Palatino Linotype"/>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para el cumplimiento de la obligación de transparencia señalada, los sujetos obligados deben publicar información sobre los actos, </w:t>
      </w:r>
      <w:r w:rsidRPr="00113B3E">
        <w:rPr>
          <w:rFonts w:ascii="Palatino Linotype" w:eastAsia="Palatino Linotype" w:hAnsi="Palatino Linotype" w:cs="Palatino Linotype"/>
          <w:b/>
          <w:u w:val="single"/>
        </w:rPr>
        <w:t>contratos</w:t>
      </w:r>
      <w:r w:rsidRPr="00113B3E">
        <w:rPr>
          <w:rFonts w:ascii="Palatino Linotype" w:eastAsia="Palatino Linotype" w:hAnsi="Palatino Linotype" w:cs="Palatino Linotype"/>
        </w:rPr>
        <w:t xml:space="preserve"> y convenios celebrados, misma que </w:t>
      </w:r>
      <w:r w:rsidRPr="00113B3E">
        <w:rPr>
          <w:rFonts w:ascii="Palatino Linotype" w:eastAsia="Palatino Linotype" w:hAnsi="Palatino Linotype" w:cs="Palatino Linotype"/>
          <w:b/>
        </w:rPr>
        <w:t>debe presentarse en una base de datos en la que cada registro se hará por tipo de procedimiento, ya sea licitación pública, invitación restringida o adjudicación directa,</w:t>
      </w:r>
      <w:r w:rsidRPr="00113B3E">
        <w:rPr>
          <w:rFonts w:ascii="Palatino Linotype" w:eastAsia="Palatino Linotype" w:hAnsi="Palatino Linotype" w:cs="Palatino Linotype"/>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487902B7" w14:textId="77777777" w:rsidR="001356F8" w:rsidRPr="00113B3E" w:rsidRDefault="001356F8" w:rsidP="001356F8">
      <w:pPr>
        <w:spacing w:after="0" w:line="360" w:lineRule="auto"/>
        <w:ind w:right="51"/>
        <w:jc w:val="both"/>
        <w:rPr>
          <w:rFonts w:ascii="Palatino Linotype" w:eastAsia="Palatino Linotype" w:hAnsi="Palatino Linotype" w:cs="Palatino Linotype"/>
        </w:rPr>
      </w:pPr>
    </w:p>
    <w:p w14:paraId="656A0BDB" w14:textId="77777777" w:rsidR="001356F8" w:rsidRPr="00113B3E" w:rsidRDefault="001356F8" w:rsidP="001356F8">
      <w:pPr>
        <w:spacing w:after="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 xml:space="preserve">En este sentido, se colige que la información requerida por la persona solicitante versa sobre una obligación de transparencia, y que por tal motivo el </w:t>
      </w:r>
      <w:r w:rsidRPr="00113B3E">
        <w:rPr>
          <w:rFonts w:ascii="Palatino Linotype" w:eastAsia="Palatino Linotype" w:hAnsi="Palatino Linotype" w:cs="Palatino Linotype"/>
          <w:b/>
        </w:rPr>
        <w:t>Sujeto Obligado</w:t>
      </w:r>
      <w:r w:rsidRPr="00113B3E">
        <w:rPr>
          <w:rFonts w:ascii="Palatino Linotype" w:eastAsia="Palatino Linotype" w:hAnsi="Palatino Linotype" w:cs="Palatino Linotype"/>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3055C78C" w14:textId="77777777" w:rsidR="001356F8" w:rsidRPr="00113B3E" w:rsidRDefault="001356F8" w:rsidP="001356F8">
      <w:pPr>
        <w:spacing w:before="120" w:after="120" w:line="240" w:lineRule="auto"/>
        <w:ind w:left="851" w:right="902"/>
        <w:jc w:val="both"/>
        <w:rPr>
          <w:rFonts w:ascii="Palatino Linotype" w:eastAsia="Palatino Linotype" w:hAnsi="Palatino Linotype" w:cs="Palatino Linotype"/>
          <w:i/>
        </w:rPr>
      </w:pPr>
      <w:r w:rsidRPr="00113B3E">
        <w:rPr>
          <w:rFonts w:ascii="Palatino Linotype" w:eastAsia="Palatino Linotype" w:hAnsi="Palatino Linotype" w:cs="Palatino Linotype"/>
          <w:i/>
        </w:rPr>
        <w:t>“</w:t>
      </w:r>
      <w:r w:rsidRPr="00113B3E">
        <w:rPr>
          <w:rFonts w:ascii="Palatino Linotype" w:eastAsia="Palatino Linotype" w:hAnsi="Palatino Linotype" w:cs="Palatino Linotype"/>
          <w:b/>
          <w:i/>
        </w:rPr>
        <w:t>Artículo 18.</w:t>
      </w:r>
      <w:r w:rsidRPr="00113B3E">
        <w:rPr>
          <w:rFonts w:ascii="Palatino Linotype" w:eastAsia="Palatino Linotype" w:hAnsi="Palatino Linotype" w:cs="Palatino Linotype"/>
          <w:i/>
        </w:rPr>
        <w:t xml:space="preserve"> Los sujetos obligados </w:t>
      </w:r>
      <w:r w:rsidRPr="00113B3E">
        <w:rPr>
          <w:rFonts w:ascii="Palatino Linotype" w:eastAsia="Palatino Linotype" w:hAnsi="Palatino Linotype" w:cs="Palatino Linotype"/>
          <w:b/>
          <w:i/>
        </w:rPr>
        <w:t>deberán documentar todo acto</w:t>
      </w:r>
      <w:r w:rsidRPr="00113B3E">
        <w:rPr>
          <w:rFonts w:ascii="Palatino Linotype" w:eastAsia="Palatino Linotype" w:hAnsi="Palatino Linotype" w:cs="Palatino Linotype"/>
          <w:i/>
        </w:rPr>
        <w:t xml:space="preserve"> </w:t>
      </w:r>
      <w:r w:rsidRPr="00113B3E">
        <w:rPr>
          <w:rFonts w:ascii="Palatino Linotype" w:eastAsia="Palatino Linotype" w:hAnsi="Palatino Linotype" w:cs="Palatino Linotype"/>
          <w:b/>
          <w:i/>
        </w:rPr>
        <w:t>que derive del ejercicio de sus facultades, competencias o funciones</w:t>
      </w:r>
      <w:r w:rsidRPr="00113B3E">
        <w:rPr>
          <w:rFonts w:ascii="Palatino Linotype" w:eastAsia="Palatino Linotype" w:hAnsi="Palatino Linotype" w:cs="Palatino Linotype"/>
          <w:i/>
        </w:rPr>
        <w:t>, considerando desde su origen la eventual publicidad y reutilización de la información que generen.</w:t>
      </w:r>
    </w:p>
    <w:p w14:paraId="65D50A6B" w14:textId="77777777" w:rsidR="001356F8" w:rsidRPr="00113B3E" w:rsidRDefault="001356F8" w:rsidP="001356F8">
      <w:pPr>
        <w:spacing w:before="120" w:after="120" w:line="240" w:lineRule="auto"/>
        <w:ind w:left="851" w:right="902"/>
        <w:jc w:val="both"/>
        <w:rPr>
          <w:rFonts w:ascii="Palatino Linotype" w:eastAsia="Palatino Linotype" w:hAnsi="Palatino Linotype" w:cs="Palatino Linotype"/>
          <w:i/>
        </w:rPr>
      </w:pPr>
      <w:r w:rsidRPr="00113B3E">
        <w:rPr>
          <w:rFonts w:ascii="Palatino Linotype" w:eastAsia="Palatino Linotype" w:hAnsi="Palatino Linotype" w:cs="Palatino Linotype"/>
          <w:i/>
        </w:rPr>
        <w:t>…</w:t>
      </w:r>
    </w:p>
    <w:p w14:paraId="38FD8C6E" w14:textId="77777777" w:rsidR="001356F8" w:rsidRPr="00113B3E" w:rsidRDefault="001356F8" w:rsidP="001356F8">
      <w:pPr>
        <w:spacing w:before="120" w:after="120" w:line="240" w:lineRule="auto"/>
        <w:ind w:left="851" w:right="902"/>
        <w:jc w:val="both"/>
        <w:rPr>
          <w:rFonts w:ascii="Palatino Linotype" w:eastAsia="Palatino Linotype" w:hAnsi="Palatino Linotype" w:cs="Palatino Linotype"/>
          <w:i/>
        </w:rPr>
      </w:pPr>
      <w:r w:rsidRPr="00113B3E">
        <w:rPr>
          <w:rFonts w:ascii="Palatino Linotype" w:eastAsia="Palatino Linotype" w:hAnsi="Palatino Linotype" w:cs="Palatino Linotype"/>
          <w:b/>
          <w:i/>
        </w:rPr>
        <w:t>Artículo 24.</w:t>
      </w:r>
      <w:r w:rsidRPr="00113B3E">
        <w:rPr>
          <w:rFonts w:ascii="Palatino Linotype" w:eastAsia="Palatino Linotype" w:hAnsi="Palatino Linotype" w:cs="Palatino Linotype"/>
          <w:i/>
        </w:rPr>
        <w:t xml:space="preserve"> Para el cumplimiento de los objetivos de esta Ley</w:t>
      </w:r>
      <w:r w:rsidRPr="00113B3E">
        <w:rPr>
          <w:rFonts w:ascii="Palatino Linotype" w:eastAsia="Palatino Linotype" w:hAnsi="Palatino Linotype" w:cs="Palatino Linotype"/>
          <w:b/>
          <w:i/>
        </w:rPr>
        <w:t>, los sujetos obligados deberán cumplir con las siguientes obligaciones</w:t>
      </w:r>
      <w:r w:rsidRPr="00113B3E">
        <w:rPr>
          <w:rFonts w:ascii="Palatino Linotype" w:eastAsia="Palatino Linotype" w:hAnsi="Palatino Linotype" w:cs="Palatino Linotype"/>
          <w:i/>
        </w:rPr>
        <w:t>, según corresponda, de acuerdo a su naturaleza:</w:t>
      </w:r>
    </w:p>
    <w:p w14:paraId="72011E77" w14:textId="77777777" w:rsidR="001356F8" w:rsidRPr="00113B3E" w:rsidRDefault="001356F8" w:rsidP="001356F8">
      <w:pPr>
        <w:spacing w:before="120" w:after="120" w:line="240" w:lineRule="auto"/>
        <w:ind w:left="1134" w:right="902"/>
        <w:jc w:val="both"/>
        <w:rPr>
          <w:rFonts w:ascii="Palatino Linotype" w:eastAsia="Palatino Linotype" w:hAnsi="Palatino Linotype" w:cs="Palatino Linotype"/>
          <w:i/>
        </w:rPr>
      </w:pPr>
      <w:r w:rsidRPr="00113B3E">
        <w:rPr>
          <w:rFonts w:ascii="Palatino Linotype" w:eastAsia="Palatino Linotype" w:hAnsi="Palatino Linotype" w:cs="Palatino Linotype"/>
          <w:i/>
        </w:rPr>
        <w:t>…</w:t>
      </w:r>
    </w:p>
    <w:p w14:paraId="2FFAB883" w14:textId="77777777" w:rsidR="001356F8" w:rsidRPr="00113B3E" w:rsidRDefault="001356F8" w:rsidP="001356F8">
      <w:pPr>
        <w:spacing w:before="120" w:after="120" w:line="240" w:lineRule="auto"/>
        <w:ind w:left="1134" w:right="902"/>
        <w:jc w:val="both"/>
        <w:rPr>
          <w:rFonts w:ascii="Palatino Linotype" w:eastAsia="Palatino Linotype" w:hAnsi="Palatino Linotype" w:cs="Palatino Linotype"/>
          <w:i/>
        </w:rPr>
      </w:pPr>
      <w:r w:rsidRPr="00113B3E">
        <w:rPr>
          <w:rFonts w:ascii="Palatino Linotype" w:eastAsia="Palatino Linotype" w:hAnsi="Palatino Linotype" w:cs="Palatino Linotype"/>
          <w:b/>
          <w:i/>
        </w:rPr>
        <w:t>XXII.</w:t>
      </w:r>
      <w:r w:rsidRPr="00113B3E">
        <w:rPr>
          <w:rFonts w:ascii="Palatino Linotype" w:eastAsia="Palatino Linotype" w:hAnsi="Palatino Linotype" w:cs="Palatino Linotype"/>
          <w:i/>
        </w:rPr>
        <w:t xml:space="preserve"> </w:t>
      </w:r>
      <w:r w:rsidRPr="00113B3E">
        <w:rPr>
          <w:rFonts w:ascii="Palatino Linotype" w:eastAsia="Palatino Linotype" w:hAnsi="Palatino Linotype" w:cs="Palatino Linotype"/>
          <w:b/>
          <w:i/>
        </w:rPr>
        <w:t>Documentar todo acto que derive del ejercicio de sus facultades, competencias o funciones</w:t>
      </w:r>
      <w:r w:rsidRPr="00113B3E">
        <w:rPr>
          <w:rFonts w:ascii="Palatino Linotype" w:eastAsia="Palatino Linotype" w:hAnsi="Palatino Linotype" w:cs="Palatino Linotype"/>
          <w:i/>
        </w:rPr>
        <w:t xml:space="preserve"> y abstenerse de destruirlos u ocultarlos, dentro de los que destacan los procesos deliberativos y de decisión definitiva;”</w:t>
      </w:r>
    </w:p>
    <w:p w14:paraId="766D1CAF" w14:textId="4E69B540" w:rsidR="00662C47" w:rsidRPr="00113B3E" w:rsidRDefault="00662C47" w:rsidP="00322650">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5028AD4" w14:textId="026F035E" w:rsidR="00322650" w:rsidRPr="00113B3E" w:rsidRDefault="00322650" w:rsidP="0032265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rPr>
      </w:pPr>
      <w:r w:rsidRPr="00113B3E">
        <w:rPr>
          <w:rFonts w:ascii="Palatino Linotype" w:eastAsia="Palatino Linotype" w:hAnsi="Palatino Linotype" w:cs="Palatino Linotype"/>
          <w:color w:val="000000" w:themeColor="text1"/>
        </w:rPr>
        <w:t xml:space="preserve">Ahora, en cuanto al ámbito competencial del ente obligado, conforme el marco legal que lo regula se advierte que cuenta con una </w:t>
      </w:r>
      <w:r w:rsidRPr="00113B3E">
        <w:rPr>
          <w:rFonts w:ascii="Palatino Linotype" w:eastAsia="Palatino Linotype" w:hAnsi="Palatino Linotype" w:cs="Palatino Linotype"/>
          <w:b/>
          <w:color w:val="000000" w:themeColor="text1"/>
        </w:rPr>
        <w:t>Dirección de Recursos Materiales</w:t>
      </w:r>
      <w:r w:rsidRPr="00113B3E">
        <w:rPr>
          <w:rFonts w:ascii="Palatino Linotype" w:eastAsia="Palatino Linotype" w:hAnsi="Palatino Linotype" w:cs="Palatino Linotype"/>
          <w:color w:val="000000" w:themeColor="text1"/>
        </w:rPr>
        <w:t>, la cual se presume competente para conocer de lo requerido, en razón de que es el área responsable de gestionar y coordinar todo lo relacionado las adquisiciones de bienes y servicios del Ayuntamiento.</w:t>
      </w:r>
    </w:p>
    <w:p w14:paraId="128DF1E0" w14:textId="77777777" w:rsidR="008A1696" w:rsidRPr="00113B3E" w:rsidRDefault="008A1696" w:rsidP="0032265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rPr>
      </w:pPr>
    </w:p>
    <w:p w14:paraId="069493B9" w14:textId="77777777" w:rsidR="008A1696" w:rsidRPr="00113B3E" w:rsidRDefault="008A1696" w:rsidP="008A1696">
      <w:pPr>
        <w:spacing w:after="0" w:line="360" w:lineRule="auto"/>
        <w:ind w:right="49"/>
        <w:jc w:val="both"/>
        <w:rPr>
          <w:rFonts w:ascii="Palatino Linotype" w:eastAsia="Palatino Linotype" w:hAnsi="Palatino Linotype" w:cs="Palatino Linotype"/>
        </w:rPr>
      </w:pPr>
      <w:r w:rsidRPr="00113B3E">
        <w:rPr>
          <w:rFonts w:ascii="Palatino Linotype" w:eastAsia="Palatino Linotype" w:hAnsi="Palatino Linotype" w:cs="Palatino Linotype"/>
        </w:rPr>
        <w:t>En ese sentido, se tiene por cumplido con el procedimiento establecido por el artículo 162 de la Ley de Transparencia y Acceso a la Información Pública del Estado de México y Municipios, ya que se pronunció el área que puede conocer de la información requerida de conformidad con la fracción XXXIX del artículo tercero de la legislación local vigente en materia de transparencia: </w:t>
      </w:r>
    </w:p>
    <w:p w14:paraId="0CF3C9F2" w14:textId="77777777" w:rsidR="008A1696" w:rsidRPr="00113B3E" w:rsidRDefault="008A1696" w:rsidP="008A1696">
      <w:pPr>
        <w:spacing w:after="0" w:line="240" w:lineRule="auto"/>
        <w:rPr>
          <w:rFonts w:ascii="Times New Roman" w:eastAsia="Times New Roman" w:hAnsi="Times New Roman" w:cs="Times New Roman"/>
        </w:rPr>
      </w:pPr>
    </w:p>
    <w:p w14:paraId="7F97030E" w14:textId="77777777" w:rsidR="008A1696" w:rsidRPr="00113B3E" w:rsidRDefault="008A1696" w:rsidP="008A1696">
      <w:pPr>
        <w:pBdr>
          <w:top w:val="nil"/>
          <w:left w:val="nil"/>
          <w:bottom w:val="nil"/>
          <w:right w:val="nil"/>
          <w:between w:val="nil"/>
        </w:pBdr>
        <w:spacing w:after="0" w:line="240" w:lineRule="auto"/>
        <w:ind w:left="864" w:right="864"/>
        <w:jc w:val="both"/>
        <w:rPr>
          <w:rFonts w:ascii="Times New Roman" w:eastAsia="Times New Roman" w:hAnsi="Times New Roman" w:cs="Times New Roman"/>
        </w:rPr>
      </w:pPr>
      <w:r w:rsidRPr="00113B3E">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5F5D2E7D" w14:textId="77777777" w:rsidR="008A1696" w:rsidRPr="00113B3E" w:rsidRDefault="008A1696" w:rsidP="008A1696">
      <w:pPr>
        <w:spacing w:after="0" w:line="240" w:lineRule="auto"/>
        <w:rPr>
          <w:rFonts w:ascii="Times New Roman" w:eastAsia="Times New Roman" w:hAnsi="Times New Roman" w:cs="Times New Roman"/>
        </w:rPr>
      </w:pPr>
    </w:p>
    <w:p w14:paraId="14CD5BBD" w14:textId="3E6F0A86" w:rsidR="008A1696" w:rsidRPr="00113B3E" w:rsidRDefault="008A1696" w:rsidP="008A1696">
      <w:pPr>
        <w:pBdr>
          <w:top w:val="nil"/>
          <w:left w:val="nil"/>
          <w:bottom w:val="nil"/>
          <w:right w:val="nil"/>
          <w:between w:val="nil"/>
        </w:pBdr>
        <w:shd w:val="clear" w:color="auto" w:fill="FFFFFF"/>
        <w:spacing w:after="0" w:line="360" w:lineRule="auto"/>
        <w:jc w:val="both"/>
        <w:rPr>
          <w:rFonts w:ascii="Times New Roman" w:eastAsia="Times New Roman" w:hAnsi="Times New Roman" w:cs="Times New Roman"/>
        </w:rPr>
      </w:pPr>
      <w:r w:rsidRPr="00113B3E">
        <w:rPr>
          <w:rFonts w:ascii="Palatino Linotype" w:eastAsia="Palatino Linotype" w:hAnsi="Palatino Linotype" w:cs="Palatino Linotype"/>
        </w:rPr>
        <w:t>En este orden de ideas, se advierte que la Unidad de Transparencia cumplió con lo expresado en el artículo 162 de la Ley de Transparencia y Acceso a la Información Pública del Estado de México y Municipios, el cual menciona lo siguiente:</w:t>
      </w:r>
    </w:p>
    <w:p w14:paraId="25450B79" w14:textId="77777777" w:rsidR="008A1696" w:rsidRPr="00113B3E" w:rsidRDefault="008A1696" w:rsidP="008A1696">
      <w:pPr>
        <w:spacing w:after="0" w:line="240" w:lineRule="auto"/>
        <w:rPr>
          <w:rFonts w:ascii="Times New Roman" w:eastAsia="Times New Roman" w:hAnsi="Times New Roman" w:cs="Times New Roman"/>
        </w:rPr>
      </w:pPr>
    </w:p>
    <w:p w14:paraId="64D5E211" w14:textId="77777777" w:rsidR="008A1696" w:rsidRPr="00113B3E" w:rsidRDefault="008A1696" w:rsidP="008A1696">
      <w:pPr>
        <w:pBdr>
          <w:top w:val="nil"/>
          <w:left w:val="nil"/>
          <w:bottom w:val="nil"/>
          <w:right w:val="nil"/>
          <w:between w:val="nil"/>
        </w:pBdr>
        <w:spacing w:after="0" w:line="240" w:lineRule="auto"/>
        <w:ind w:left="864" w:right="864"/>
        <w:jc w:val="both"/>
        <w:rPr>
          <w:rFonts w:ascii="Times New Roman" w:eastAsia="Times New Roman" w:hAnsi="Times New Roman" w:cs="Times New Roman"/>
        </w:rPr>
      </w:pPr>
      <w:r w:rsidRPr="00113B3E">
        <w:rPr>
          <w:rFonts w:ascii="Palatino Linotype" w:eastAsia="Palatino Linotype" w:hAnsi="Palatino Linotype" w:cs="Palatino Linotype"/>
          <w:i/>
        </w:rPr>
        <w:t xml:space="preserve">“Artículo 162. Las unidades de transparencia deberán garantizar que las solicitudes </w:t>
      </w:r>
      <w:r w:rsidRPr="00113B3E">
        <w:rPr>
          <w:rFonts w:ascii="Palatino Linotype" w:eastAsia="Palatino Linotype" w:hAnsi="Palatino Linotype" w:cs="Palatino Linotype"/>
          <w:b/>
          <w:i/>
        </w:rPr>
        <w:t xml:space="preserve">se turnen a todas las Áreas competentes </w:t>
      </w:r>
      <w:r w:rsidRPr="00113B3E">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6A84CEED" w14:textId="77777777" w:rsidR="008A1696" w:rsidRPr="00113B3E" w:rsidRDefault="008A1696" w:rsidP="00322650">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rPr>
      </w:pPr>
    </w:p>
    <w:p w14:paraId="33C4D0DD" w14:textId="4407D268" w:rsidR="008A1696" w:rsidRPr="00113B3E" w:rsidRDefault="008A1696" w:rsidP="008A1696">
      <w:pPr>
        <w:spacing w:after="0" w:line="360" w:lineRule="auto"/>
        <w:ind w:right="49"/>
        <w:jc w:val="both"/>
        <w:rPr>
          <w:rFonts w:ascii="Palatino Linotype" w:eastAsia="Palatino Linotype" w:hAnsi="Palatino Linotype" w:cs="Palatino Linotype"/>
        </w:rPr>
      </w:pPr>
      <w:r w:rsidRPr="00113B3E">
        <w:rPr>
          <w:rFonts w:ascii="Palatino Linotype" w:eastAsia="Palatino Linotype" w:hAnsi="Palatino Linotype" w:cs="Palatino Linotype"/>
          <w:color w:val="000000" w:themeColor="text1"/>
        </w:rPr>
        <w:t xml:space="preserve">Ahora, del análisis a la </w:t>
      </w:r>
      <w:r w:rsidR="00322650" w:rsidRPr="00113B3E">
        <w:rPr>
          <w:rFonts w:ascii="Palatino Linotype" w:eastAsia="Palatino Linotype" w:hAnsi="Palatino Linotype" w:cs="Palatino Linotype"/>
          <w:color w:val="000000" w:themeColor="text1"/>
        </w:rPr>
        <w:t xml:space="preserve">respuesta </w:t>
      </w:r>
      <w:r w:rsidRPr="00113B3E">
        <w:rPr>
          <w:rFonts w:ascii="Palatino Linotype" w:eastAsia="Palatino Linotype" w:hAnsi="Palatino Linotype" w:cs="Palatino Linotype"/>
          <w:color w:val="000000" w:themeColor="text1"/>
        </w:rPr>
        <w:t>se advierte</w:t>
      </w:r>
      <w:r w:rsidR="00322650" w:rsidRPr="00113B3E">
        <w:rPr>
          <w:rFonts w:ascii="Palatino Linotype" w:eastAsia="Palatino Linotype" w:hAnsi="Palatino Linotype" w:cs="Palatino Linotype"/>
          <w:color w:val="000000" w:themeColor="text1"/>
        </w:rPr>
        <w:t xml:space="preserve"> que la </w:t>
      </w:r>
      <w:r w:rsidR="00322650" w:rsidRPr="00113B3E">
        <w:rPr>
          <w:rFonts w:ascii="Palatino Linotype" w:eastAsia="Palatino Linotype" w:hAnsi="Palatino Linotype" w:cs="Palatino Linotype"/>
          <w:b/>
          <w:color w:val="000000" w:themeColor="text1"/>
        </w:rPr>
        <w:t>Dirección de Recursos Materiales</w:t>
      </w:r>
      <w:r w:rsidR="002F5E21" w:rsidRPr="00113B3E">
        <w:rPr>
          <w:rFonts w:ascii="Palatino Linotype" w:eastAsia="Palatino Linotype" w:hAnsi="Palatino Linotype" w:cs="Palatino Linotype"/>
          <w:color w:val="000000" w:themeColor="text1"/>
        </w:rPr>
        <w:t xml:space="preserve"> </w:t>
      </w:r>
      <w:r w:rsidRPr="00113B3E">
        <w:rPr>
          <w:rFonts w:ascii="Palatino Linotype" w:eastAsia="Palatino Linotype" w:hAnsi="Palatino Linotype" w:cs="Palatino Linotype"/>
        </w:rPr>
        <w:t xml:space="preserve">proporcionó un link del portal del IPOMEX en el artículo 92 fracción XXIX </w:t>
      </w:r>
      <w:r w:rsidR="00D42B12" w:rsidRPr="00113B3E">
        <w:rPr>
          <w:rFonts w:ascii="Palatino Linotype" w:eastAsia="Palatino Linotype" w:hAnsi="Palatino Linotype" w:cs="Palatino Linotype"/>
        </w:rPr>
        <w:t xml:space="preserve">de la Ley de Transparencia Local </w:t>
      </w:r>
      <w:r w:rsidRPr="00113B3E">
        <w:rPr>
          <w:rFonts w:ascii="Palatino Linotype" w:eastAsia="Palatino Linotype" w:hAnsi="Palatino Linotype" w:cs="Palatino Linotype"/>
        </w:rPr>
        <w:t xml:space="preserve">relativo a los resultados de procedimientos de adjudicación directa, licitación pública e invitación restringida, en formato cerrado, sin embargo del análisis a los motivos de inconformidad, se advierte que el particular accedió a los mismos y determinó que la información no obraba en dicho enlace. </w:t>
      </w:r>
    </w:p>
    <w:p w14:paraId="5BC2D139" w14:textId="5828BED6" w:rsidR="008A1696" w:rsidRPr="00113B3E" w:rsidRDefault="008A1696" w:rsidP="008A1696">
      <w:pPr>
        <w:spacing w:after="0" w:line="360" w:lineRule="auto"/>
        <w:ind w:right="49"/>
        <w:jc w:val="both"/>
        <w:rPr>
          <w:rFonts w:ascii="Palatino Linotype" w:eastAsia="Palatino Linotype" w:hAnsi="Palatino Linotype" w:cs="Palatino Linotype"/>
        </w:rPr>
      </w:pPr>
    </w:p>
    <w:p w14:paraId="7C13786D" w14:textId="77777777" w:rsidR="008A1696" w:rsidRPr="00113B3E" w:rsidRDefault="008A1696" w:rsidP="008A1696">
      <w:pPr>
        <w:spacing w:line="360" w:lineRule="auto"/>
        <w:jc w:val="both"/>
        <w:rPr>
          <w:rFonts w:ascii="Palatino Linotype" w:eastAsia="Palatino Linotype" w:hAnsi="Palatino Linotype" w:cs="Palatino Linotype"/>
          <w:lang w:val="es-ES"/>
        </w:rPr>
      </w:pPr>
      <w:r w:rsidRPr="00113B3E">
        <w:rPr>
          <w:rFonts w:ascii="Palatino Linotype" w:eastAsia="Palatino Linotype" w:hAnsi="Palatino Linotype" w:cs="Palatino Linotype"/>
          <w:lang w:val="es-ES"/>
        </w:rPr>
        <w:t>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14:paraId="11FFE3EA" w14:textId="77777777" w:rsidR="008A1696" w:rsidRPr="00113B3E" w:rsidRDefault="008A1696" w:rsidP="008A1696">
      <w:pPr>
        <w:spacing w:before="240" w:after="240"/>
        <w:ind w:left="567" w:right="616"/>
        <w:jc w:val="both"/>
        <w:rPr>
          <w:rFonts w:ascii="Palatino Linotype" w:eastAsia="Palatino Linotype" w:hAnsi="Palatino Linotype" w:cs="Palatino Linotype"/>
          <w:i/>
          <w:lang w:val="es-ES"/>
        </w:rPr>
      </w:pPr>
      <w:r w:rsidRPr="00113B3E">
        <w:rPr>
          <w:rFonts w:ascii="Palatino Linotype" w:eastAsia="Palatino Linotype" w:hAnsi="Palatino Linotype" w:cs="Palatino Linotype"/>
          <w:i/>
          <w:lang w:val="es-ES"/>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20D7344B" w14:textId="77777777" w:rsidR="008A1696" w:rsidRPr="00113B3E" w:rsidRDefault="008A1696" w:rsidP="00D42B12">
      <w:pPr>
        <w:spacing w:before="240" w:after="240" w:line="360" w:lineRule="auto"/>
        <w:ind w:left="567" w:right="616"/>
        <w:jc w:val="right"/>
        <w:rPr>
          <w:rFonts w:ascii="Palatino Linotype" w:eastAsia="Palatino Linotype" w:hAnsi="Palatino Linotype" w:cs="Palatino Linotype"/>
          <w:i/>
          <w:lang w:val="es-ES"/>
        </w:rPr>
      </w:pPr>
      <w:r w:rsidRPr="00113B3E">
        <w:rPr>
          <w:rFonts w:ascii="Palatino Linotype" w:eastAsia="Palatino Linotype" w:hAnsi="Palatino Linotype" w:cs="Palatino Linotype"/>
          <w:i/>
          <w:lang w:val="es-ES"/>
        </w:rPr>
        <w:t>(Énfasis añadido)</w:t>
      </w:r>
    </w:p>
    <w:p w14:paraId="7AFDE221" w14:textId="77777777" w:rsidR="008A1696" w:rsidRPr="00113B3E" w:rsidRDefault="008A1696" w:rsidP="008A1696">
      <w:pPr>
        <w:spacing w:before="240" w:after="240" w:line="360" w:lineRule="auto"/>
        <w:ind w:right="49"/>
        <w:jc w:val="both"/>
        <w:rPr>
          <w:rFonts w:ascii="Palatino Linotype" w:eastAsia="Palatino Linotype" w:hAnsi="Palatino Linotype" w:cs="Palatino Linotype"/>
          <w:lang w:val="es-ES"/>
        </w:rPr>
      </w:pPr>
      <w:r w:rsidRPr="00113B3E">
        <w:rPr>
          <w:rFonts w:ascii="Palatino Linotype" w:eastAsia="Palatino Linotype" w:hAnsi="Palatino Linotype" w:cs="Palatino Linotype"/>
          <w:lang w:val="es-ES"/>
        </w:rPr>
        <w:t>Es así que, toda aquella información que sea requerida por los particulares que, previamente se encuentre disponible en sitios electrónicos, como puede ser de manera enunciativa más no limitativa, el sitio oficial del Sujeto Obligado; el portal IPOMEX; y/o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14:paraId="78D917BA" w14:textId="77777777" w:rsidR="008A1696" w:rsidRPr="00113B3E" w:rsidRDefault="008A1696" w:rsidP="008A1696">
      <w:pPr>
        <w:spacing w:before="240" w:after="240" w:line="360" w:lineRule="auto"/>
        <w:ind w:left="284" w:right="49"/>
        <w:jc w:val="both"/>
        <w:rPr>
          <w:rFonts w:ascii="Palatino Linotype" w:eastAsia="Palatino Linotype" w:hAnsi="Palatino Linotype" w:cs="Palatino Linotype"/>
          <w:lang w:val="es-ES"/>
        </w:rPr>
      </w:pPr>
      <w:r w:rsidRPr="00113B3E">
        <w:rPr>
          <w:rFonts w:ascii="Palatino Linotype" w:eastAsia="Palatino Linotype" w:hAnsi="Palatino Linotype" w:cs="Palatino Linotype"/>
          <w:lang w:val="es-ES"/>
        </w:rPr>
        <w:t>● La dirección electrónica debe señalarse en un plazo no mayor a cinco días hábiles;</w:t>
      </w:r>
    </w:p>
    <w:p w14:paraId="3B7031A2" w14:textId="77777777" w:rsidR="008A1696" w:rsidRPr="00113B3E" w:rsidRDefault="008A1696" w:rsidP="008A1696">
      <w:pPr>
        <w:spacing w:before="240" w:after="240" w:line="360" w:lineRule="auto"/>
        <w:ind w:left="284" w:right="49"/>
        <w:jc w:val="both"/>
        <w:rPr>
          <w:rFonts w:ascii="Palatino Linotype" w:eastAsia="Palatino Linotype" w:hAnsi="Palatino Linotype" w:cs="Palatino Linotype"/>
          <w:lang w:val="es-ES"/>
        </w:rPr>
      </w:pPr>
      <w:r w:rsidRPr="00113B3E">
        <w:rPr>
          <w:rFonts w:ascii="Palatino Linotype" w:eastAsia="Palatino Linotype" w:hAnsi="Palatino Linotype" w:cs="Palatino Linotype"/>
          <w:lang w:val="es-ES"/>
        </w:rPr>
        <w:t>● La dirección electrónica debe ser precisa, de tal modo que no implique realizar una búsqueda en toda la información que ahí se encuentre; y,</w:t>
      </w:r>
    </w:p>
    <w:p w14:paraId="5A2CDF74" w14:textId="77777777" w:rsidR="008A1696" w:rsidRPr="00113B3E" w:rsidRDefault="008A1696" w:rsidP="008A1696">
      <w:pPr>
        <w:spacing w:before="240" w:after="240" w:line="360" w:lineRule="auto"/>
        <w:ind w:left="284" w:right="49"/>
        <w:jc w:val="both"/>
        <w:rPr>
          <w:rFonts w:ascii="Palatino Linotype" w:eastAsia="Palatino Linotype" w:hAnsi="Palatino Linotype" w:cs="Palatino Linotype"/>
          <w:lang w:val="es-ES"/>
        </w:rPr>
      </w:pPr>
      <w:r w:rsidRPr="00113B3E">
        <w:rPr>
          <w:rFonts w:ascii="Palatino Linotype" w:eastAsia="Palatino Linotype" w:hAnsi="Palatino Linotype" w:cs="Palatino Linotype"/>
          <w:lang w:val="es-ES"/>
        </w:rPr>
        <w:t>● La dirección electrónica debe ir acompañada del procedimiento a seguir, en caso de que la información se encuentre en distintos puntos del sitio electrónico referido; y,</w:t>
      </w:r>
    </w:p>
    <w:p w14:paraId="0685498C" w14:textId="77777777" w:rsidR="008A1696" w:rsidRPr="00113B3E" w:rsidRDefault="008A1696" w:rsidP="008A1696">
      <w:pPr>
        <w:spacing w:before="240" w:after="240" w:line="360" w:lineRule="auto"/>
        <w:ind w:left="284" w:right="49"/>
        <w:jc w:val="both"/>
        <w:rPr>
          <w:rFonts w:ascii="Palatino Linotype" w:eastAsia="Palatino Linotype" w:hAnsi="Palatino Linotype" w:cs="Palatino Linotype"/>
          <w:lang w:val="es-ES"/>
        </w:rPr>
      </w:pPr>
      <w:r w:rsidRPr="00113B3E">
        <w:rPr>
          <w:rFonts w:ascii="Palatino Linotype" w:eastAsia="Palatino Linotype" w:hAnsi="Palatino Linotype" w:cs="Palatino Linotype"/>
          <w:lang w:val="es-ES"/>
        </w:rPr>
        <w:t>● La dirección electrónica se debe entregar en formato abierto, para que el Recurrente pueda copiar y pegar sin la necesidad de transcribir la liga electrónica.</w:t>
      </w:r>
    </w:p>
    <w:p w14:paraId="4263429F" w14:textId="77777777" w:rsidR="008A1696" w:rsidRPr="00113B3E" w:rsidRDefault="008A1696" w:rsidP="008A1696">
      <w:pPr>
        <w:spacing w:before="240" w:after="240" w:line="360" w:lineRule="auto"/>
        <w:jc w:val="both"/>
        <w:rPr>
          <w:rFonts w:ascii="Palatino Linotype" w:eastAsia="Palatino Linotype" w:hAnsi="Palatino Linotype" w:cs="Palatino Linotype"/>
          <w:lang w:val="es-ES"/>
        </w:rPr>
      </w:pPr>
      <w:r w:rsidRPr="00113B3E">
        <w:rPr>
          <w:rFonts w:ascii="Palatino Linotype" w:eastAsia="Palatino Linotype" w:hAnsi="Palatino Linotype" w:cs="Palatino Linotype"/>
          <w:lang w:val="es-ES"/>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74FFA187" w14:textId="77777777" w:rsidR="008A1696" w:rsidRPr="00113B3E" w:rsidRDefault="008A1696" w:rsidP="008A1696">
      <w:pPr>
        <w:spacing w:before="240" w:after="240" w:line="360" w:lineRule="auto"/>
        <w:jc w:val="both"/>
        <w:rPr>
          <w:rFonts w:ascii="Palatino Linotype" w:eastAsia="Palatino Linotype" w:hAnsi="Palatino Linotype" w:cs="Palatino Linotype"/>
          <w:lang w:val="es-ES"/>
        </w:rPr>
      </w:pPr>
      <w:r w:rsidRPr="00113B3E">
        <w:rPr>
          <w:rFonts w:ascii="Palatino Linotype" w:eastAsia="Palatino Linotype" w:hAnsi="Palatino Linotype" w:cs="Palatino Linotype"/>
          <w:lang w:val="es-ES"/>
        </w:rPr>
        <w:t>En ese contexto, el artículo 3°, fracciones VIII y XVI de la Ley de Transparencia y Acceso a la Información Pública del Estado de México y Municipios, precisan lo siguiente:</w:t>
      </w:r>
    </w:p>
    <w:p w14:paraId="0DE4BB19" w14:textId="77777777" w:rsidR="008A1696" w:rsidRPr="00113B3E" w:rsidRDefault="008A1696" w:rsidP="008A1696">
      <w:pPr>
        <w:numPr>
          <w:ilvl w:val="0"/>
          <w:numId w:val="12"/>
        </w:numPr>
        <w:pBdr>
          <w:top w:val="nil"/>
          <w:left w:val="nil"/>
          <w:bottom w:val="nil"/>
          <w:right w:val="nil"/>
          <w:between w:val="nil"/>
        </w:pBdr>
        <w:spacing w:before="240" w:after="240" w:line="360" w:lineRule="auto"/>
        <w:jc w:val="both"/>
        <w:rPr>
          <w:rFonts w:ascii="Palatino Linotype" w:eastAsia="Palatino Linotype" w:hAnsi="Palatino Linotype" w:cs="Palatino Linotype"/>
          <w:b/>
          <w:lang w:val="es-ES"/>
        </w:rPr>
      </w:pPr>
      <w:r w:rsidRPr="00113B3E">
        <w:rPr>
          <w:rFonts w:ascii="Palatino Linotype" w:eastAsia="Palatino Linotype" w:hAnsi="Palatino Linotype" w:cs="Palatino Linotype"/>
          <w:b/>
          <w:lang w:val="es-ES"/>
        </w:rPr>
        <w:t xml:space="preserve">Dato abierto: </w:t>
      </w:r>
      <w:r w:rsidRPr="00113B3E">
        <w:rPr>
          <w:rFonts w:ascii="Palatino Linotype" w:eastAsia="Palatino Linotype" w:hAnsi="Palatino Linotype" w:cs="Palatino Linotype"/>
          <w:lang w:val="es-ES"/>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1AEA55B9" w14:textId="77777777" w:rsidR="008A1696" w:rsidRPr="00113B3E" w:rsidRDefault="008A1696" w:rsidP="008A1696">
      <w:pPr>
        <w:numPr>
          <w:ilvl w:val="0"/>
          <w:numId w:val="12"/>
        </w:numPr>
        <w:pBdr>
          <w:top w:val="nil"/>
          <w:left w:val="nil"/>
          <w:bottom w:val="nil"/>
          <w:right w:val="nil"/>
          <w:between w:val="nil"/>
        </w:pBdr>
        <w:spacing w:before="240" w:after="240" w:line="360" w:lineRule="auto"/>
        <w:jc w:val="both"/>
        <w:rPr>
          <w:rFonts w:ascii="Palatino Linotype" w:eastAsia="Palatino Linotype" w:hAnsi="Palatino Linotype" w:cs="Palatino Linotype"/>
          <w:b/>
          <w:lang w:val="es-ES"/>
        </w:rPr>
      </w:pPr>
      <w:r w:rsidRPr="00113B3E">
        <w:rPr>
          <w:rFonts w:ascii="Palatino Linotype" w:eastAsia="Palatino Linotype" w:hAnsi="Palatino Linotype" w:cs="Palatino Linotype"/>
          <w:b/>
          <w:lang w:val="es-ES"/>
        </w:rPr>
        <w:t xml:space="preserve">Formato accesible: </w:t>
      </w:r>
      <w:r w:rsidRPr="00113B3E">
        <w:rPr>
          <w:rFonts w:ascii="Palatino Linotype" w:eastAsia="Palatino Linotype" w:hAnsi="Palatino Linotype" w:cs="Palatino Linotype"/>
          <w:lang w:val="es-ES"/>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2AE7510E" w14:textId="77777777" w:rsidR="008A1696" w:rsidRPr="00113B3E" w:rsidRDefault="008A1696" w:rsidP="008A1696">
      <w:pPr>
        <w:spacing w:before="240" w:after="240" w:line="360" w:lineRule="auto"/>
        <w:jc w:val="both"/>
        <w:rPr>
          <w:rFonts w:ascii="Palatino Linotype" w:eastAsia="Palatino Linotype" w:hAnsi="Palatino Linotype" w:cs="Palatino Linotype"/>
          <w:lang w:val="es-ES"/>
        </w:rPr>
      </w:pPr>
      <w:r w:rsidRPr="00113B3E">
        <w:rPr>
          <w:rFonts w:ascii="Palatino Linotype" w:eastAsia="Palatino Linotype" w:hAnsi="Palatino Linotype" w:cs="Palatino Linotype"/>
          <w:lang w:val="es-ES"/>
        </w:rPr>
        <w:t>Conforme a lo anterior, se considera que en el caso de que la información peticionada obre en ligas electrónicas, el Sujeto Obligado deberá privilegiar la entrega de estas, en datos abiertos, es decir, en un formato que permita la accesibilidad y facilidad a los Particulares, para obtener la información contenida estas.</w:t>
      </w:r>
    </w:p>
    <w:p w14:paraId="071D5E6E" w14:textId="48A8C8DA" w:rsidR="008A1696" w:rsidRPr="00113B3E" w:rsidRDefault="008A1696" w:rsidP="008A1696">
      <w:pPr>
        <w:spacing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lang w:val="es-ES"/>
        </w:rPr>
        <w:t xml:space="preserve">Ahora atendiendo que en el presente asunto, el Sujeto Obligado entregó una dirección electrónica, </w:t>
      </w:r>
      <w:r w:rsidRPr="00113B3E">
        <w:rPr>
          <w:rFonts w:ascii="Palatino Linotype" w:eastAsia="Palatino Linotype" w:hAnsi="Palatino Linotype" w:cs="Palatino Linotype"/>
          <w:lang w:eastAsia="en-US"/>
        </w:rPr>
        <w:t>se procede al análisis del link entregado</w:t>
      </w:r>
      <w:r w:rsidRPr="00113B3E">
        <w:rPr>
          <w:rFonts w:ascii="Palatino Linotype" w:eastAsia="Palatino Linotype" w:hAnsi="Palatino Linotype" w:cs="Palatino Linotype"/>
          <w:color w:val="000000"/>
        </w:rPr>
        <w:t xml:space="preserve"> (</w:t>
      </w:r>
      <w:hyperlink r:id="rId9" w:anchor="/obligaciones/197" w:history="1">
        <w:r w:rsidR="00D42B12" w:rsidRPr="00113B3E">
          <w:rPr>
            <w:rStyle w:val="Hipervnculo"/>
            <w:rFonts w:ascii="Palatino Linotype" w:eastAsia="Palatino Linotype" w:hAnsi="Palatino Linotype" w:cs="Palatino Linotype"/>
          </w:rPr>
          <w:t>https://ipomex.org.mx/ipomex/#/obligaciones/197</w:t>
        </w:r>
      </w:hyperlink>
      <w:r w:rsidR="00D42B12" w:rsidRPr="00113B3E">
        <w:rPr>
          <w:rFonts w:ascii="Palatino Linotype" w:eastAsia="Palatino Linotype" w:hAnsi="Palatino Linotype" w:cs="Palatino Linotype"/>
          <w:color w:val="000000"/>
        </w:rPr>
        <w:t xml:space="preserve"> </w:t>
      </w:r>
      <w:r w:rsidRPr="00113B3E">
        <w:rPr>
          <w:rFonts w:ascii="Palatino Linotype" w:eastAsia="Palatino Linotype" w:hAnsi="Palatino Linotype" w:cs="Palatino Linotype"/>
          <w:color w:val="000000"/>
        </w:rPr>
        <w:t xml:space="preserve">), del cual se obtiene que </w:t>
      </w:r>
      <w:r w:rsidR="00927760" w:rsidRPr="00113B3E">
        <w:rPr>
          <w:rFonts w:ascii="Palatino Linotype" w:eastAsia="Palatino Linotype" w:hAnsi="Palatino Linotype" w:cs="Palatino Linotype"/>
          <w:color w:val="000000"/>
        </w:rPr>
        <w:t>el mismo remite a la página principal del ipomex del ente obligado</w:t>
      </w:r>
      <w:r w:rsidRPr="00113B3E">
        <w:rPr>
          <w:rFonts w:ascii="Palatino Linotype" w:eastAsia="Palatino Linotype" w:hAnsi="Palatino Linotype" w:cs="Palatino Linotype"/>
          <w:color w:val="000000"/>
        </w:rPr>
        <w:t>, como se muestra:</w:t>
      </w:r>
    </w:p>
    <w:p w14:paraId="177910C3" w14:textId="2DA9B166" w:rsidR="00322650" w:rsidRPr="00113B3E" w:rsidRDefault="00927760" w:rsidP="003226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13B3E">
        <w:rPr>
          <w:rFonts w:ascii="Palatino Linotype" w:eastAsia="Palatino Linotype" w:hAnsi="Palatino Linotype" w:cs="Palatino Linotype"/>
          <w:noProof/>
          <w:color w:val="000000" w:themeColor="text1"/>
        </w:rPr>
        <w:drawing>
          <wp:inline distT="0" distB="0" distL="0" distR="0" wp14:anchorId="62076E05" wp14:editId="447C9791">
            <wp:extent cx="5756275" cy="2990850"/>
            <wp:effectExtent l="19050" t="19050" r="15875"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2990850"/>
                    </a:xfrm>
                    <a:prstGeom prst="rect">
                      <a:avLst/>
                    </a:prstGeom>
                    <a:ln>
                      <a:solidFill>
                        <a:schemeClr val="accent1"/>
                      </a:solidFill>
                    </a:ln>
                  </pic:spPr>
                </pic:pic>
              </a:graphicData>
            </a:graphic>
          </wp:inline>
        </w:drawing>
      </w:r>
    </w:p>
    <w:p w14:paraId="0561C00B" w14:textId="12111B7F" w:rsidR="00EE6091" w:rsidRPr="00113B3E" w:rsidRDefault="00927760" w:rsidP="00EE609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rPr>
      </w:pPr>
      <w:r w:rsidRPr="00113B3E">
        <w:rPr>
          <w:rFonts w:ascii="Palatino Linotype" w:eastAsia="Palatino Linotype" w:hAnsi="Palatino Linotype" w:cs="Palatino Linotype"/>
          <w:color w:val="000000" w:themeColor="text1"/>
        </w:rPr>
        <w:t xml:space="preserve">Por lo que, de la consulta a la fracción XXIX del artículo 92 de la Ley de Transparencia Local referida por el ente obligado en respuesta, </w:t>
      </w:r>
      <w:r w:rsidRPr="00113B3E">
        <w:rPr>
          <w:rFonts w:ascii="Palatino Linotype" w:eastAsia="Palatino Linotype" w:hAnsi="Palatino Linotype" w:cs="Palatino Linotype"/>
          <w:color w:val="000000" w:themeColor="text1"/>
          <w:u w:val="single"/>
        </w:rPr>
        <w:t>a la cual accedió el particular</w:t>
      </w:r>
      <w:r w:rsidRPr="00113B3E">
        <w:rPr>
          <w:rFonts w:ascii="Palatino Linotype" w:eastAsia="Palatino Linotype" w:hAnsi="Palatino Linotype" w:cs="Palatino Linotype"/>
          <w:color w:val="000000" w:themeColor="text1"/>
        </w:rPr>
        <w:t xml:space="preserve">, </w:t>
      </w:r>
      <w:r w:rsidRPr="00113B3E">
        <w:rPr>
          <w:rFonts w:ascii="Palatino Linotype" w:eastAsia="Palatino Linotype" w:hAnsi="Palatino Linotype" w:cs="Palatino Linotype"/>
          <w:b/>
          <w:color w:val="000000" w:themeColor="text1"/>
        </w:rPr>
        <w:t>no se advierte</w:t>
      </w:r>
      <w:r w:rsidR="00EE6091" w:rsidRPr="00113B3E">
        <w:rPr>
          <w:rFonts w:ascii="Palatino Linotype" w:eastAsia="Palatino Linotype" w:hAnsi="Palatino Linotype" w:cs="Palatino Linotype"/>
          <w:b/>
          <w:color w:val="000000" w:themeColor="text1"/>
        </w:rPr>
        <w:t xml:space="preserve"> </w:t>
      </w:r>
      <w:r w:rsidRPr="00113B3E">
        <w:rPr>
          <w:rFonts w:ascii="Palatino Linotype" w:eastAsia="Palatino Linotype" w:hAnsi="Palatino Linotype" w:cs="Palatino Linotype"/>
          <w:b/>
          <w:color w:val="000000" w:themeColor="text1"/>
        </w:rPr>
        <w:t>procedimiento de adquisición del servicio referido por el solicitante como lo es la contratación de artistas para presentarse en la Feria y Festival Cultural del Alfeñique 2025.</w:t>
      </w:r>
    </w:p>
    <w:p w14:paraId="1030B871" w14:textId="77777777" w:rsidR="00EE6091" w:rsidRPr="00113B3E" w:rsidRDefault="00EE6091" w:rsidP="00EE6091">
      <w:pPr>
        <w:pBdr>
          <w:top w:val="nil"/>
          <w:left w:val="nil"/>
          <w:bottom w:val="nil"/>
          <w:right w:val="nil"/>
          <w:between w:val="nil"/>
        </w:pBdr>
        <w:spacing w:after="0" w:line="360" w:lineRule="auto"/>
        <w:jc w:val="both"/>
        <w:rPr>
          <w:rFonts w:ascii="Palatino Linotype" w:eastAsia="Palatino Linotype" w:hAnsi="Palatino Linotype" w:cs="Palatino Linotype"/>
          <w:b/>
          <w:color w:val="000000" w:themeColor="text1"/>
        </w:rPr>
      </w:pPr>
    </w:p>
    <w:p w14:paraId="38208072" w14:textId="17AEBFCE" w:rsidR="00EE6091" w:rsidRPr="00113B3E" w:rsidRDefault="00EE6091" w:rsidP="00EE60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rPr>
      </w:pPr>
      <w:r w:rsidRPr="00113B3E">
        <w:rPr>
          <w:rFonts w:ascii="Palatino Linotype" w:eastAsia="Palatino Linotype" w:hAnsi="Palatino Linotype" w:cs="Palatino Linotype"/>
          <w:color w:val="000000" w:themeColor="text1"/>
        </w:rPr>
        <w:t>Máxime que se presume que la información debe existir en razón de que de la consulta realizada a medios de información digitales se advirtió la existencia de un comunicado publicado en la página oficial del Ayuntamiento de Toluca el 18 de septiembre de 2025, con los nombres de artistas que se presentarían en la Feria y Festival Cultural del Alfeñique 2025, entre los cuales se aprecian los mencionados por el particular, como se muestra:</w:t>
      </w:r>
    </w:p>
    <w:p w14:paraId="2600F3F7" w14:textId="77777777" w:rsidR="00EE6091" w:rsidRPr="00113B3E" w:rsidRDefault="00EE6091" w:rsidP="00EE60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rPr>
      </w:pPr>
    </w:p>
    <w:p w14:paraId="0D9C1211" w14:textId="71C97668" w:rsidR="00EE6091" w:rsidRPr="00113B3E" w:rsidRDefault="00EE6091" w:rsidP="00EE60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rPr>
      </w:pPr>
      <w:r w:rsidRPr="00113B3E">
        <w:rPr>
          <w:rFonts w:ascii="Palatino Linotype" w:eastAsia="Palatino Linotype" w:hAnsi="Palatino Linotype" w:cs="Palatino Linotype"/>
          <w:noProof/>
          <w:color w:val="000000" w:themeColor="text1"/>
        </w:rPr>
        <w:drawing>
          <wp:inline distT="0" distB="0" distL="0" distR="0" wp14:anchorId="58D06A18" wp14:editId="1A0A4A60">
            <wp:extent cx="5756275" cy="3672840"/>
            <wp:effectExtent l="19050" t="19050" r="15875" b="2286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3672840"/>
                    </a:xfrm>
                    <a:prstGeom prst="rect">
                      <a:avLst/>
                    </a:prstGeom>
                    <a:ln>
                      <a:solidFill>
                        <a:schemeClr val="accent1"/>
                      </a:solidFill>
                    </a:ln>
                  </pic:spPr>
                </pic:pic>
              </a:graphicData>
            </a:graphic>
          </wp:inline>
        </w:drawing>
      </w:r>
    </w:p>
    <w:p w14:paraId="13131E2F" w14:textId="5F79AFA3" w:rsidR="00EE6091" w:rsidRPr="00113B3E" w:rsidRDefault="00EE6091" w:rsidP="003226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13B3E">
        <w:rPr>
          <w:rFonts w:ascii="Palatino Linotype" w:eastAsia="Palatino Linotype" w:hAnsi="Palatino Linotype" w:cs="Palatino Linotype"/>
          <w:noProof/>
          <w:color w:val="000000" w:themeColor="text1"/>
        </w:rPr>
        <w:drawing>
          <wp:inline distT="0" distB="0" distL="0" distR="0" wp14:anchorId="679DFCCC" wp14:editId="5990622C">
            <wp:extent cx="5753100" cy="2362200"/>
            <wp:effectExtent l="19050" t="19050" r="1905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2362200"/>
                    </a:xfrm>
                    <a:prstGeom prst="rect">
                      <a:avLst/>
                    </a:prstGeom>
                    <a:noFill/>
                    <a:ln>
                      <a:solidFill>
                        <a:schemeClr val="accent1"/>
                      </a:solidFill>
                    </a:ln>
                  </pic:spPr>
                </pic:pic>
              </a:graphicData>
            </a:graphic>
          </wp:inline>
        </w:drawing>
      </w:r>
    </w:p>
    <w:p w14:paraId="51245340" w14:textId="2F222090" w:rsidR="00EE6091" w:rsidRPr="00113B3E" w:rsidRDefault="00EE6091" w:rsidP="00EE60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rPr>
      </w:pPr>
      <w:r w:rsidRPr="00113B3E">
        <w:rPr>
          <w:rFonts w:ascii="Palatino Linotype" w:eastAsia="Palatino Linotype" w:hAnsi="Palatino Linotype" w:cs="Palatino Linotype"/>
          <w:color w:val="000000" w:themeColor="text1"/>
        </w:rPr>
        <w:t xml:space="preserve">De esta manera, se considera que no se satisfizo el derecho de acceso a la información del particular, siendo procedente </w:t>
      </w:r>
      <w:r w:rsidRPr="00113B3E">
        <w:rPr>
          <w:rFonts w:ascii="Palatino Linotype" w:eastAsia="Palatino Linotype" w:hAnsi="Palatino Linotype" w:cs="Palatino Linotype"/>
          <w:b/>
          <w:color w:val="000000" w:themeColor="text1"/>
        </w:rPr>
        <w:t xml:space="preserve">Revocar </w:t>
      </w:r>
      <w:r w:rsidRPr="00113B3E">
        <w:rPr>
          <w:rFonts w:ascii="Palatino Linotype" w:eastAsia="Palatino Linotype" w:hAnsi="Palatino Linotype" w:cs="Palatino Linotype"/>
          <w:color w:val="000000" w:themeColor="text1"/>
        </w:rPr>
        <w:t xml:space="preserve">la respuesta del </w:t>
      </w:r>
      <w:r w:rsidRPr="00113B3E">
        <w:rPr>
          <w:rFonts w:ascii="Palatino Linotype" w:eastAsia="Palatino Linotype" w:hAnsi="Palatino Linotype" w:cs="Palatino Linotype"/>
          <w:b/>
          <w:color w:val="000000" w:themeColor="text1"/>
        </w:rPr>
        <w:t xml:space="preserve">Sujeto Obligado </w:t>
      </w:r>
      <w:r w:rsidRPr="00113B3E">
        <w:rPr>
          <w:rFonts w:ascii="Palatino Linotype" w:eastAsia="Palatino Linotype" w:hAnsi="Palatino Linotype" w:cs="Palatino Linotype"/>
          <w:color w:val="000000" w:themeColor="text1"/>
        </w:rPr>
        <w:t>y ordenar que en cumplimiento a la presente se haga entrega, previa búsqueda exhaustiva y razonable</w:t>
      </w:r>
      <w:r w:rsidR="00984062" w:rsidRPr="00113B3E">
        <w:rPr>
          <w:rFonts w:ascii="Palatino Linotype" w:eastAsia="Palatino Linotype" w:hAnsi="Palatino Linotype" w:cs="Palatino Linotype"/>
          <w:color w:val="000000" w:themeColor="text1"/>
        </w:rPr>
        <w:t>, de ser procedente en versión pública,</w:t>
      </w:r>
      <w:r w:rsidRPr="00113B3E">
        <w:rPr>
          <w:rFonts w:ascii="Palatino Linotype" w:eastAsia="Palatino Linotype" w:hAnsi="Palatino Linotype" w:cs="Palatino Linotype"/>
          <w:color w:val="000000" w:themeColor="text1"/>
        </w:rPr>
        <w:t xml:space="preserve"> lo siguiente:</w:t>
      </w:r>
    </w:p>
    <w:p w14:paraId="3BC0B0E8" w14:textId="77777777" w:rsidR="00EE6091" w:rsidRPr="00113B3E" w:rsidRDefault="00EE6091" w:rsidP="00EE6091">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rPr>
      </w:pPr>
    </w:p>
    <w:p w14:paraId="7AFC3883" w14:textId="0B241436" w:rsidR="00EE6091" w:rsidRPr="00113B3E" w:rsidRDefault="00EE6091" w:rsidP="00EE6091">
      <w:pPr>
        <w:pStyle w:val="Prrafodelista"/>
        <w:numPr>
          <w:ilvl w:val="0"/>
          <w:numId w:val="29"/>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113B3E">
        <w:rPr>
          <w:rFonts w:ascii="Palatino Linotype" w:eastAsia="Palatino Linotype" w:hAnsi="Palatino Linotype" w:cs="Palatino Linotype"/>
          <w:b/>
        </w:rPr>
        <w:t>El contrato o contratos celebrados con motivo de las presentaciones de artistas en la Feria y Festival Cultural del Alfeñique 2025, con los que se cuente al 10 de septiembre de 2025.</w:t>
      </w:r>
    </w:p>
    <w:p w14:paraId="54726BEA" w14:textId="77777777" w:rsidR="00EE6091" w:rsidRPr="00113B3E" w:rsidRDefault="00EE6091" w:rsidP="00322650">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0379A82E" w14:textId="0A43BC58" w:rsidR="006F3DDB" w:rsidRPr="00113B3E" w:rsidRDefault="006F3DDB" w:rsidP="006F3D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rPr>
      </w:pPr>
      <w:r w:rsidRPr="00113B3E">
        <w:rPr>
          <w:rFonts w:ascii="Palatino Linotype" w:eastAsia="Palatino Linotype" w:hAnsi="Palatino Linotype" w:cs="Palatino Linotype"/>
          <w:color w:val="000000" w:themeColor="text1"/>
        </w:rPr>
        <w:t xml:space="preserve">Finalmente, no pasa por desapercibido para este Órgano Garante que, la persona solicitante refirió dentro del contenido de su solicitud que requería copia de </w:t>
      </w:r>
      <w:r w:rsidR="00C46154" w:rsidRPr="00113B3E">
        <w:rPr>
          <w:rFonts w:ascii="Palatino Linotype" w:eastAsia="Palatino Linotype" w:hAnsi="Palatino Linotype" w:cs="Palatino Linotype"/>
          <w:color w:val="000000" w:themeColor="text1"/>
        </w:rPr>
        <w:t>lo requerido</w:t>
      </w:r>
      <w:r w:rsidRPr="00113B3E">
        <w:rPr>
          <w:rFonts w:ascii="Palatino Linotype" w:eastAsia="Palatino Linotype" w:hAnsi="Palatino Linotype" w:cs="Palatino Linotype"/>
          <w:color w:val="000000" w:themeColor="text1"/>
        </w:rPr>
        <w:t xml:space="preserve">; en este sentido, atendiendo que la entrega de la información </w:t>
      </w:r>
      <w:r w:rsidR="00C46154" w:rsidRPr="00113B3E">
        <w:rPr>
          <w:rFonts w:ascii="Palatino Linotype" w:eastAsia="Palatino Linotype" w:hAnsi="Palatino Linotype" w:cs="Palatino Linotype"/>
          <w:color w:val="000000" w:themeColor="text1"/>
        </w:rPr>
        <w:t xml:space="preserve">en cumplimiento a la presente </w:t>
      </w:r>
      <w:r w:rsidRPr="00113B3E">
        <w:rPr>
          <w:rFonts w:ascii="Palatino Linotype" w:eastAsia="Palatino Linotype" w:hAnsi="Palatino Linotype" w:cs="Palatino Linotype"/>
          <w:color w:val="000000" w:themeColor="text1"/>
        </w:rPr>
        <w:t>sería a través del SAIMEX, al tratarse de un documento electrónico o digitalizado, cuentan con la característica de ser descargable en cualquier equipo de cómputo para la libre manipulación de los Particulares, es decir, si la información se encuentra en documentos electrónicos, estos se pueden descargar de manera fácil y sencilla a un equipo de cómputo para que, posteriormente por cuenta de la persona solicitante, sea transferido a los dispositivos de almacenamiento que desee, o en su caso, sea impreso, lo que se configura como copia simple; de lo anterior, tenemos que, al ordenarse la entrega de la información a través del SAIMEX, por tanto, la hoy parte Recurrente al obtener la misma por dicha vía, podrá hacer uso de la misma a su libre elección.</w:t>
      </w:r>
    </w:p>
    <w:p w14:paraId="3ABCE0BA" w14:textId="77777777" w:rsidR="006F3DDB" w:rsidRPr="00113B3E" w:rsidRDefault="006F3DDB" w:rsidP="006F3DDB">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rPr>
      </w:pPr>
    </w:p>
    <w:p w14:paraId="35335B61" w14:textId="6D358F07" w:rsidR="00EE6091" w:rsidRPr="00113B3E" w:rsidRDefault="00EE6091" w:rsidP="006F3DDB">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b/>
          <w:color w:val="000000"/>
        </w:rPr>
        <w:t xml:space="preserve">Quinto. Versión Pública. </w:t>
      </w:r>
      <w:r w:rsidRPr="00113B3E">
        <w:rPr>
          <w:rFonts w:ascii="Palatino Linotype" w:eastAsia="Palatino Linotype" w:hAnsi="Palatino Linotype" w:cs="Palatino Linotype"/>
          <w:color w:val="000000"/>
        </w:rPr>
        <w:t>Como fue debidamente apuntado, el </w:t>
      </w:r>
      <w:r w:rsidRPr="00113B3E">
        <w:rPr>
          <w:rFonts w:ascii="Palatino Linotype" w:eastAsia="Palatino Linotype" w:hAnsi="Palatino Linotype" w:cs="Palatino Linotype"/>
          <w:b/>
          <w:color w:val="000000"/>
        </w:rPr>
        <w:t>Sujeto Obligado</w:t>
      </w:r>
      <w:r w:rsidRPr="00113B3E">
        <w:rPr>
          <w:rFonts w:ascii="Palatino Linotype" w:eastAsia="Palatino Linotype" w:hAnsi="Palatino Linotype" w:cs="Palatino Linotype"/>
          <w:color w:val="000000"/>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0E456664" w14:textId="77777777" w:rsidR="00EE6091" w:rsidRPr="00113B3E" w:rsidRDefault="00EE6091" w:rsidP="00EE6091">
      <w:pPr>
        <w:spacing w:after="0" w:line="360" w:lineRule="auto"/>
        <w:ind w:right="51"/>
        <w:jc w:val="both"/>
        <w:rPr>
          <w:rFonts w:ascii="Palatino Linotype" w:eastAsia="Palatino Linotype" w:hAnsi="Palatino Linotype" w:cs="Palatino Linotype"/>
          <w:color w:val="000000"/>
        </w:rPr>
      </w:pPr>
    </w:p>
    <w:p w14:paraId="1775CF1D" w14:textId="77777777" w:rsidR="00EE6091" w:rsidRPr="00113B3E" w:rsidRDefault="00EE6091" w:rsidP="00EE6091">
      <w:pPr>
        <w:spacing w:after="0" w:line="360" w:lineRule="auto"/>
        <w:ind w:right="49"/>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D975BA3" w14:textId="77777777" w:rsidR="00EE6091" w:rsidRPr="00113B3E" w:rsidRDefault="00EE6091" w:rsidP="00EE6091">
      <w:pPr>
        <w:spacing w:after="0" w:line="360" w:lineRule="auto"/>
        <w:ind w:right="49"/>
        <w:jc w:val="both"/>
        <w:rPr>
          <w:rFonts w:ascii="Palatino Linotype" w:eastAsia="Palatino Linotype" w:hAnsi="Palatino Linotype" w:cs="Palatino Linotype"/>
          <w:color w:val="000000"/>
        </w:rPr>
      </w:pPr>
    </w:p>
    <w:p w14:paraId="52A3365C" w14:textId="77777777" w:rsidR="00EE6091" w:rsidRPr="00113B3E" w:rsidRDefault="00EE6091" w:rsidP="00EE6091">
      <w:pPr>
        <w:spacing w:after="0" w:line="360" w:lineRule="auto"/>
        <w:ind w:right="49"/>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5A693F76" w14:textId="77777777" w:rsidR="00EE6091" w:rsidRPr="00113B3E" w:rsidRDefault="00EE6091" w:rsidP="00EE6091">
      <w:pPr>
        <w:spacing w:after="0" w:line="360" w:lineRule="auto"/>
        <w:ind w:right="49"/>
        <w:jc w:val="both"/>
        <w:rPr>
          <w:rFonts w:ascii="Palatino Linotype" w:eastAsia="Palatino Linotype" w:hAnsi="Palatino Linotype" w:cs="Palatino Linotype"/>
          <w:color w:val="000000"/>
        </w:rPr>
      </w:pPr>
    </w:p>
    <w:p w14:paraId="12B47C1E" w14:textId="77777777" w:rsidR="00EE6091" w:rsidRPr="00113B3E" w:rsidRDefault="00EE6091" w:rsidP="00EE6091">
      <w:pPr>
        <w:spacing w:after="0" w:line="360" w:lineRule="auto"/>
        <w:ind w:right="49"/>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Al respecto, los artículos 3, fracciones IX, XX, XXI, XXXII, XLV; 6, 91, 132, 137, 143, fracción I, de la Ley de Transparencia y Acceso a la Información Pública del Estado de México y Municipios establecen:</w:t>
      </w:r>
    </w:p>
    <w:p w14:paraId="310A541B"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color w:val="000000"/>
        </w:rPr>
        <w:t> </w:t>
      </w:r>
      <w:r w:rsidRPr="00113B3E">
        <w:rPr>
          <w:rFonts w:ascii="Palatino Linotype" w:eastAsia="Palatino Linotype" w:hAnsi="Palatino Linotype" w:cs="Palatino Linotype"/>
          <w:i/>
          <w:color w:val="000000"/>
        </w:rPr>
        <w:t>“</w:t>
      </w:r>
      <w:r w:rsidRPr="00113B3E">
        <w:rPr>
          <w:rFonts w:ascii="Palatino Linotype" w:eastAsia="Palatino Linotype" w:hAnsi="Palatino Linotype" w:cs="Palatino Linotype"/>
          <w:b/>
          <w:i/>
          <w:color w:val="000000"/>
        </w:rPr>
        <w:t>Artículo 3.</w:t>
      </w:r>
      <w:r w:rsidRPr="00113B3E">
        <w:rPr>
          <w:rFonts w:ascii="Palatino Linotype" w:eastAsia="Palatino Linotype" w:hAnsi="Palatino Linotype" w:cs="Palatino Linotype"/>
          <w:i/>
          <w:color w:val="000000"/>
        </w:rPr>
        <w:t xml:space="preserve"> Para los efectos de la presente Ley se entenderá por:</w:t>
      </w:r>
    </w:p>
    <w:p w14:paraId="7449550A" w14:textId="77777777" w:rsidR="00EE6091" w:rsidRPr="00113B3E" w:rsidRDefault="00EE6091" w:rsidP="00EE6091">
      <w:pPr>
        <w:tabs>
          <w:tab w:val="left" w:pos="1276"/>
        </w:tabs>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w:t>
      </w:r>
    </w:p>
    <w:p w14:paraId="3C505A8B" w14:textId="77777777" w:rsidR="00EE6091" w:rsidRPr="00113B3E" w:rsidRDefault="00EE6091" w:rsidP="00EE6091">
      <w:pPr>
        <w:tabs>
          <w:tab w:val="left" w:pos="1276"/>
        </w:tabs>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IX. Datos personales</w:t>
      </w:r>
      <w:r w:rsidRPr="00113B3E">
        <w:rPr>
          <w:rFonts w:ascii="Palatino Linotype" w:eastAsia="Palatino Linotype" w:hAnsi="Palatino Linotype" w:cs="Palatino Linotype"/>
          <w:i/>
          <w:color w:val="000000"/>
        </w:rPr>
        <w:t>: La información concerniente a una persona, identificada o identificable según lo dispuesto por la Ley de Protección de Datos Personales del Estado de México;</w:t>
      </w:r>
    </w:p>
    <w:p w14:paraId="71AE4E5A" w14:textId="77777777" w:rsidR="00EE6091" w:rsidRPr="00113B3E" w:rsidRDefault="00EE6091" w:rsidP="00EE6091">
      <w:pPr>
        <w:tabs>
          <w:tab w:val="left" w:pos="1276"/>
        </w:tabs>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w:t>
      </w:r>
    </w:p>
    <w:p w14:paraId="4700B3F4" w14:textId="77777777" w:rsidR="00EE6091" w:rsidRPr="00113B3E" w:rsidRDefault="00EE6091" w:rsidP="00EE6091">
      <w:pPr>
        <w:tabs>
          <w:tab w:val="left" w:pos="1276"/>
        </w:tabs>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XX. Información clasificada</w:t>
      </w:r>
      <w:r w:rsidRPr="00113B3E">
        <w:rPr>
          <w:rFonts w:ascii="Palatino Linotype" w:eastAsia="Palatino Linotype" w:hAnsi="Palatino Linotype" w:cs="Palatino Linotype"/>
          <w:i/>
          <w:color w:val="000000"/>
        </w:rPr>
        <w:t>: Aquella considerada por la presente Ley como reservada o confidencial;</w:t>
      </w:r>
    </w:p>
    <w:p w14:paraId="010468CB" w14:textId="77777777" w:rsidR="00EE6091" w:rsidRPr="00113B3E" w:rsidRDefault="00EE6091" w:rsidP="00EE6091">
      <w:pPr>
        <w:tabs>
          <w:tab w:val="left" w:pos="1276"/>
        </w:tabs>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XXI. Información confidencial</w:t>
      </w:r>
      <w:r w:rsidRPr="00113B3E">
        <w:rPr>
          <w:rFonts w:ascii="Palatino Linotype" w:eastAsia="Palatino Linotype" w:hAnsi="Palatino Linotype" w:cs="Palatino Linotype"/>
          <w:i/>
          <w:color w:val="000000"/>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134DC5C" w14:textId="77777777" w:rsidR="00EE6091" w:rsidRPr="00113B3E" w:rsidRDefault="00EE6091" w:rsidP="00EE6091">
      <w:pPr>
        <w:tabs>
          <w:tab w:val="left" w:pos="1276"/>
        </w:tabs>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w:t>
      </w:r>
    </w:p>
    <w:p w14:paraId="03F67A23" w14:textId="77777777" w:rsidR="00EE6091" w:rsidRPr="00113B3E" w:rsidRDefault="00EE6091" w:rsidP="00EE6091">
      <w:pPr>
        <w:tabs>
          <w:tab w:val="left" w:pos="1276"/>
        </w:tabs>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XXXII. Protección de Datos Personales</w:t>
      </w:r>
      <w:r w:rsidRPr="00113B3E">
        <w:rPr>
          <w:rFonts w:ascii="Palatino Linotype" w:eastAsia="Palatino Linotype" w:hAnsi="Palatino Linotype" w:cs="Palatino Linotype"/>
          <w:i/>
          <w:color w:val="000000"/>
        </w:rPr>
        <w:t>: Derecho humano que tutela la privacidad de datos personales en poder de los sujetos obligados y sujetos particulares;</w:t>
      </w:r>
    </w:p>
    <w:p w14:paraId="21B83EFC" w14:textId="77777777" w:rsidR="00EE6091" w:rsidRPr="00113B3E" w:rsidRDefault="00EE6091" w:rsidP="00EE6091">
      <w:pPr>
        <w:tabs>
          <w:tab w:val="left" w:pos="1276"/>
        </w:tabs>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w:t>
      </w:r>
    </w:p>
    <w:p w14:paraId="34551676" w14:textId="77777777" w:rsidR="00EE6091" w:rsidRPr="00113B3E" w:rsidRDefault="00EE6091" w:rsidP="00EE6091">
      <w:pPr>
        <w:tabs>
          <w:tab w:val="left" w:pos="1276"/>
        </w:tabs>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XLV. Versión pública</w:t>
      </w:r>
      <w:r w:rsidRPr="00113B3E">
        <w:rPr>
          <w:rFonts w:ascii="Palatino Linotype" w:eastAsia="Palatino Linotype" w:hAnsi="Palatino Linotype" w:cs="Palatino Linotype"/>
          <w:i/>
          <w:color w:val="000000"/>
        </w:rPr>
        <w:t>: Documento en el que se elimine, suprime o borra la información clasificada como reservada o confidencial para permitir su acceso.</w:t>
      </w:r>
    </w:p>
    <w:p w14:paraId="3F4B84F2"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 Artículo 6</w:t>
      </w:r>
      <w:r w:rsidRPr="00113B3E">
        <w:rPr>
          <w:rFonts w:ascii="Palatino Linotype" w:eastAsia="Palatino Linotype" w:hAnsi="Palatino Linotype" w:cs="Palatino Linotype"/>
          <w:i/>
          <w:color w:val="000000"/>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F381277"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w:t>
      </w:r>
    </w:p>
    <w:p w14:paraId="35293998"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Artículo 91.</w:t>
      </w:r>
      <w:r w:rsidRPr="00113B3E">
        <w:rPr>
          <w:rFonts w:ascii="Palatino Linotype" w:eastAsia="Palatino Linotype" w:hAnsi="Palatino Linotype" w:cs="Palatino Linotype"/>
          <w:i/>
          <w:color w:val="000000"/>
        </w:rPr>
        <w:t xml:space="preserve"> El acceso a la información pública será restringido excepcionalmente, cuando ésta sea clasificada como reservada o confidencial.</w:t>
      </w:r>
      <w:r w:rsidRPr="00113B3E">
        <w:rPr>
          <w:rFonts w:ascii="Palatino Linotype" w:eastAsia="Palatino Linotype" w:hAnsi="Palatino Linotype" w:cs="Palatino Linotype"/>
          <w:i/>
          <w:color w:val="000000"/>
        </w:rPr>
        <w:br/>
        <w:t>…</w:t>
      </w:r>
    </w:p>
    <w:p w14:paraId="0993584F"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Artículo 132.</w:t>
      </w:r>
      <w:r w:rsidRPr="00113B3E">
        <w:rPr>
          <w:rFonts w:ascii="Palatino Linotype" w:eastAsia="Palatino Linotype" w:hAnsi="Palatino Linotype" w:cs="Palatino Linotype"/>
          <w:i/>
          <w:color w:val="000000"/>
        </w:rPr>
        <w:t xml:space="preserve"> La clasificación de la información se llevará a cabo en el momento en que:</w:t>
      </w:r>
    </w:p>
    <w:p w14:paraId="74AF8B3D" w14:textId="77777777" w:rsidR="00EE6091" w:rsidRPr="00113B3E" w:rsidRDefault="00EE6091" w:rsidP="00EE6091">
      <w:pP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w:t>
      </w:r>
      <w:r w:rsidRPr="00113B3E">
        <w:rPr>
          <w:rFonts w:ascii="Palatino Linotype" w:eastAsia="Palatino Linotype" w:hAnsi="Palatino Linotype" w:cs="Palatino Linotype"/>
          <w:i/>
          <w:color w:val="000000"/>
        </w:rPr>
        <w:t>. Se reciba una solicitud de acceso a la información;</w:t>
      </w:r>
    </w:p>
    <w:p w14:paraId="0D7D9A60" w14:textId="77777777" w:rsidR="00EE6091" w:rsidRPr="00113B3E" w:rsidRDefault="00EE6091" w:rsidP="00EE6091">
      <w:pP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II.</w:t>
      </w:r>
      <w:r w:rsidRPr="00113B3E">
        <w:rPr>
          <w:rFonts w:ascii="Palatino Linotype" w:eastAsia="Palatino Linotype" w:hAnsi="Palatino Linotype" w:cs="Palatino Linotype"/>
          <w:i/>
          <w:color w:val="000000"/>
        </w:rPr>
        <w:t xml:space="preserve"> Se determine mediante resolución de autoridad competente; o</w:t>
      </w:r>
    </w:p>
    <w:p w14:paraId="2698080E" w14:textId="77777777" w:rsidR="00EE6091" w:rsidRPr="00113B3E" w:rsidRDefault="00EE6091" w:rsidP="00EE6091">
      <w:pP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III.</w:t>
      </w:r>
      <w:r w:rsidRPr="00113B3E">
        <w:rPr>
          <w:rFonts w:ascii="Palatino Linotype" w:eastAsia="Palatino Linotype" w:hAnsi="Palatino Linotype" w:cs="Palatino Linotype"/>
          <w:i/>
          <w:color w:val="000000"/>
        </w:rPr>
        <w:t xml:space="preserve"> Se generen versiones públicas para dar cumplimiento a las obligaciones de transparencia previstas en esta Ley.</w:t>
      </w:r>
    </w:p>
    <w:p w14:paraId="3179B6E3"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w:t>
      </w:r>
    </w:p>
    <w:p w14:paraId="2569E5FA"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Artículo 137.</w:t>
      </w:r>
      <w:r w:rsidRPr="00113B3E">
        <w:rPr>
          <w:rFonts w:ascii="Palatino Linotype" w:eastAsia="Palatino Linotype" w:hAnsi="Palatino Linotype" w:cs="Palatino Linotype"/>
          <w:i/>
          <w:color w:val="000000"/>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AA8748B"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 Artículo 143.</w:t>
      </w:r>
      <w:r w:rsidRPr="00113B3E">
        <w:rPr>
          <w:rFonts w:ascii="Palatino Linotype" w:eastAsia="Palatino Linotype" w:hAnsi="Palatino Linotype" w:cs="Palatino Linotype"/>
          <w:i/>
          <w:color w:val="000000"/>
        </w:rPr>
        <w:t xml:space="preserve"> Para los efectos de esta Ley se considera información confidencial, la clasificada como tal, de manera permanente, por su naturaleza, cuando:</w:t>
      </w:r>
    </w:p>
    <w:p w14:paraId="5B8BF8B2" w14:textId="77777777" w:rsidR="00EE6091" w:rsidRPr="00113B3E" w:rsidRDefault="00EE6091" w:rsidP="00EE6091">
      <w:pP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w:t>
      </w:r>
      <w:r w:rsidRPr="00113B3E">
        <w:rPr>
          <w:rFonts w:ascii="Palatino Linotype" w:eastAsia="Palatino Linotype" w:hAnsi="Palatino Linotype" w:cs="Palatino Linotype"/>
          <w:i/>
          <w:color w:val="000000"/>
        </w:rPr>
        <w:t xml:space="preserve"> Se refiera a la información privada y los datos personales concernientes a una persona física o jurídico colectiva identificada o identificable...”</w:t>
      </w:r>
    </w:p>
    <w:p w14:paraId="23D0BCB4"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113B3E">
        <w:rPr>
          <w:rFonts w:ascii="Palatino Linotype" w:eastAsia="Palatino Linotype" w:hAnsi="Palatino Linotype" w:cs="Palatino Linotype"/>
          <w:b/>
          <w:color w:val="000000"/>
        </w:rPr>
        <w:t>Sujeto Obligado</w:t>
      </w:r>
      <w:r w:rsidRPr="00113B3E">
        <w:rPr>
          <w:rFonts w:ascii="Palatino Linotype" w:eastAsia="Palatino Linotype" w:hAnsi="Palatino Linotype" w:cs="Palatino Linotype"/>
          <w:color w:val="000000"/>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19E3F86B"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59BDEF18" w14:textId="77777777" w:rsidR="00EE6091" w:rsidRPr="00113B3E" w:rsidRDefault="00EE6091" w:rsidP="00EE6091">
      <w:pPr>
        <w:spacing w:before="240" w:after="24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clave de elector, numero de OCR, CURP, el número de cuenta bancaria, que sean exclusivamente de particulares, entre otros.</w:t>
      </w:r>
    </w:p>
    <w:p w14:paraId="668A5DD5" w14:textId="77777777" w:rsidR="00EE6091" w:rsidRPr="00113B3E" w:rsidRDefault="00EE6091" w:rsidP="00EE6091">
      <w:pPr>
        <w:spacing w:before="240" w:after="24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La </w:t>
      </w:r>
      <w:r w:rsidRPr="00113B3E">
        <w:rPr>
          <w:rFonts w:ascii="Palatino Linotype" w:eastAsia="Palatino Linotype" w:hAnsi="Palatino Linotype" w:cs="Palatino Linotype"/>
          <w:b/>
          <w:color w:val="000000"/>
        </w:rPr>
        <w:t>clave de elector</w:t>
      </w:r>
      <w:r w:rsidRPr="00113B3E">
        <w:rPr>
          <w:rFonts w:ascii="Palatino Linotype" w:eastAsia="Palatino Linotype" w:hAnsi="Palatino Linotype" w:cs="Palatino Linotype"/>
          <w:color w:val="000000"/>
        </w:rPr>
        <w:t>, es la composición alfanumérica compuesta de 18 caracteres, mismos que hacen identificable a una persona física, que se conforma por las primeras letras de los apellidos, año, mes, día, sexo, clave del estado en donde nació su titular, así como una homoclave que distingue a su titular de cualquier otro homónimo, por lo tanto, se trata de un dato personal que debe ser protegido.</w:t>
      </w:r>
    </w:p>
    <w:p w14:paraId="653EA6B8" w14:textId="77777777" w:rsidR="00EE6091" w:rsidRPr="00113B3E" w:rsidRDefault="00EE6091" w:rsidP="00EE6091">
      <w:pPr>
        <w:spacing w:before="240" w:after="24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El </w:t>
      </w:r>
      <w:r w:rsidRPr="00113B3E">
        <w:rPr>
          <w:rFonts w:ascii="Palatino Linotype" w:eastAsia="Palatino Linotype" w:hAnsi="Palatino Linotype" w:cs="Palatino Linotype"/>
          <w:b/>
          <w:color w:val="000000"/>
        </w:rPr>
        <w:t>número de OCR,</w:t>
      </w:r>
      <w:r w:rsidRPr="00113B3E">
        <w:rPr>
          <w:rFonts w:ascii="Palatino Linotype" w:eastAsia="Palatino Linotype" w:hAnsi="Palatino Linotype" w:cs="Palatino Linotype"/>
          <w:color w:val="000000"/>
        </w:rPr>
        <w:t xml:space="preserve"> denominado Reconocimiento Óptico de Caracteres (OCR), contiene el número de la sección electoral en donde vota el ciudadano titular de dicho documento, por lo que constituye un dato personal en razón de que revela información concerniente a una persona física identificada o identificable en función de la información geoelectoral ahí contenida, por lo que es susceptible de resguardarse.</w:t>
      </w:r>
    </w:p>
    <w:p w14:paraId="2F8EC1BA" w14:textId="77777777" w:rsidR="00EE6091" w:rsidRPr="00113B3E" w:rsidRDefault="00EE6091" w:rsidP="00EE6091">
      <w:pPr>
        <w:spacing w:before="240" w:after="24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La </w:t>
      </w:r>
      <w:r w:rsidRPr="00113B3E">
        <w:rPr>
          <w:rFonts w:ascii="Palatino Linotype" w:eastAsia="Palatino Linotype" w:hAnsi="Palatino Linotype" w:cs="Palatino Linotype"/>
          <w:b/>
          <w:color w:val="000000"/>
        </w:rPr>
        <w:t>clave única del registro de población,</w:t>
      </w:r>
      <w:r w:rsidRPr="00113B3E">
        <w:rPr>
          <w:rFonts w:ascii="Palatino Linotype" w:eastAsia="Palatino Linotype" w:hAnsi="Palatino Linotype" w:cs="Palatino Linotype"/>
          <w:i/>
          <w:color w:val="000000"/>
        </w:rPr>
        <w:t xml:space="preserve"> </w:t>
      </w:r>
      <w:r w:rsidRPr="00113B3E">
        <w:rPr>
          <w:rFonts w:ascii="Palatino Linotype" w:eastAsia="Palatino Linotype" w:hAnsi="Palatino Linotype" w:cs="Palatino Linotype"/>
          <w:color w:val="000000"/>
        </w:rPr>
        <w:t>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está considerada como información confidencial.</w:t>
      </w:r>
    </w:p>
    <w:p w14:paraId="12AAD118"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Igualmente, resulta importante destacar que el </w:t>
      </w:r>
      <w:r w:rsidRPr="00113B3E">
        <w:rPr>
          <w:rFonts w:ascii="Palatino Linotype" w:eastAsia="Palatino Linotype" w:hAnsi="Palatino Linotype" w:cs="Palatino Linotype"/>
          <w:i/>
          <w:color w:val="000000"/>
        </w:rPr>
        <w:t>número de cuenta bancaria</w:t>
      </w:r>
      <w:r w:rsidRPr="00113B3E">
        <w:rPr>
          <w:rFonts w:ascii="Palatino Linotype" w:eastAsia="Palatino Linotype" w:hAnsi="Palatino Linotype" w:cs="Palatino Linotype"/>
          <w:color w:val="000000"/>
        </w:rPr>
        <w:t xml:space="preserve">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E243500"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0E120C15"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65663541"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En esa virtud, este Pleno determina que dicha información no puede ser del dominio público, toda vez que se podría dar un uso inadecuado a la misma o cometer algún ilícito o fraude como ya ha sido expuesto. </w:t>
      </w:r>
    </w:p>
    <w:p w14:paraId="1D15DE39"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Es por esta razón que se debe omitir el o los números de cuentas bancarias de particulares en las versiones públicas que de las facturas se hagan, para ser entregadas.</w:t>
      </w:r>
    </w:p>
    <w:p w14:paraId="6AFB01DA"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Lo anterior, no es así tratándose de las cuentas bancarias o claves interbancarias de los Sujetos Obligados ya que su publicidad cede a la rendición de cuentas al transparentar la forma en que son administrados los recursos públicos.</w:t>
      </w:r>
    </w:p>
    <w:p w14:paraId="3A82FD89"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Lo argumentado encuentra sustento en los criterios orientadores 10/17 y 11/17 emitidos por el entonces Instituto Nacional de Transparencia, Acceso a la Información y Protección de Datos Personales, INAI, que llevan por rubro y texto los siguientes:</w:t>
      </w:r>
    </w:p>
    <w:p w14:paraId="4E4535A1" w14:textId="77777777" w:rsidR="00EE6091" w:rsidRPr="00113B3E" w:rsidRDefault="00EE6091" w:rsidP="00EE6091">
      <w:pPr>
        <w:spacing w:before="240" w:after="24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“Cuentas bancarias y/o CLABE interbancaria de personas físicas y morales privadas.</w:t>
      </w:r>
      <w:r w:rsidRPr="00113B3E">
        <w:rPr>
          <w:rFonts w:ascii="Palatino Linotype" w:eastAsia="Palatino Linotype" w:hAnsi="Palatino Linotype" w:cs="Palatino Linotype"/>
          <w:i/>
          <w:color w:val="000000"/>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5027388E" w14:textId="77777777" w:rsidR="00EE6091" w:rsidRPr="00113B3E" w:rsidRDefault="00EE6091" w:rsidP="00EE6091">
      <w:pPr>
        <w:spacing w:before="240" w:after="24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Cuentas bancarias y/o CLABE interbancaria de sujetos obligados que reciben y/o transfieren recursos públicos, son información pública</w:t>
      </w:r>
      <w:r w:rsidRPr="00113B3E">
        <w:rPr>
          <w:rFonts w:ascii="Palatino Linotype" w:eastAsia="Palatino Linotype" w:hAnsi="Palatino Linotype" w:cs="Palatino Linotype"/>
          <w:i/>
          <w:color w:val="000000"/>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2EDD7E0"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Por cuanto hace al </w:t>
      </w:r>
      <w:r w:rsidRPr="00113B3E">
        <w:rPr>
          <w:rFonts w:ascii="Palatino Linotype" w:eastAsia="Palatino Linotype" w:hAnsi="Palatino Linotype" w:cs="Palatino Linotype"/>
          <w:b/>
          <w:color w:val="000000"/>
        </w:rPr>
        <w:t xml:space="preserve">Registro Federal de Contribuyentes (RFC) </w:t>
      </w:r>
      <w:r w:rsidRPr="00113B3E">
        <w:rPr>
          <w:rFonts w:ascii="Palatino Linotype" w:eastAsia="Palatino Linotype" w:hAnsi="Palatino Linotype" w:cs="Palatino Linotype"/>
          <w:color w:val="000000"/>
        </w:rPr>
        <w:t>y</w:t>
      </w:r>
      <w:r w:rsidRPr="00113B3E">
        <w:rPr>
          <w:rFonts w:ascii="Palatino Linotype" w:eastAsia="Palatino Linotype" w:hAnsi="Palatino Linotype" w:cs="Palatino Linotype"/>
          <w:b/>
          <w:color w:val="000000"/>
        </w:rPr>
        <w:t xml:space="preserve"> el domicilio fiscal </w:t>
      </w:r>
      <w:r w:rsidRPr="00113B3E">
        <w:rPr>
          <w:rFonts w:ascii="Palatino Linotype" w:eastAsia="Palatino Linotype" w:hAnsi="Palatino Linotype" w:cs="Palatino Linotype"/>
          <w:color w:val="000000"/>
        </w:rPr>
        <w:t>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697F6CBC"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587B699F"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Además, las personas físicas que realicen las actividades contratadas por las instituciones, renuncian implícitamente a una parte de su derecho a la intimidad al obtener beneficios y lucros de los recursos públicos por dicha contratación, por lo que </w:t>
      </w:r>
      <w:r w:rsidRPr="00113B3E">
        <w:rPr>
          <w:rFonts w:ascii="Palatino Linotype" w:eastAsia="Palatino Linotype" w:hAnsi="Palatino Linotype" w:cs="Palatino Linotype"/>
          <w:b/>
          <w:color w:val="000000"/>
        </w:rPr>
        <w:t>no puede considerarse como información clasificada lo relativo a su nombre, registro federal de contribuyentes y domicilio fiscal</w:t>
      </w:r>
      <w:r w:rsidRPr="00113B3E">
        <w:rPr>
          <w:rFonts w:ascii="Palatino Linotype" w:eastAsia="Palatino Linotype" w:hAnsi="Palatino Linotype" w:cs="Palatino Linotype"/>
          <w:color w:val="000000"/>
        </w:rPr>
        <w:t>, atento a que dicha información es la que puede generar certeza en los gobernados en que se está ejerciendo debidamente el presupuesto.</w:t>
      </w:r>
    </w:p>
    <w:p w14:paraId="118FE63C" w14:textId="77777777" w:rsidR="00EE6091" w:rsidRPr="00113B3E" w:rsidRDefault="00EE6091" w:rsidP="00EE6091">
      <w:pPr>
        <w:spacing w:before="240" w:after="24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Robustece lo anterior el criterio orientador 04/21 emitido por el entonces Instituto Nacional de Transparencia, Acceso a la Información y Protección de Datos Personales, INAI, el cual refiere:</w:t>
      </w:r>
    </w:p>
    <w:p w14:paraId="58804DBC"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 xml:space="preserve">“Registro Federal de Contribuyentes (RFC) de personas físicas proveedoras o contratistas. </w:t>
      </w:r>
      <w:r w:rsidRPr="00113B3E">
        <w:rPr>
          <w:rFonts w:ascii="Palatino Linotype" w:eastAsia="Palatino Linotype" w:hAnsi="Palatino Linotype" w:cs="Palatino Linotype"/>
          <w:i/>
          <w:color w:val="000000"/>
        </w:rPr>
        <w:t>El RFC de contratistas o proveedores de los sujetos obligados debe ser público, ya que al tratarse de personas con contrataciones públicas, su difusión favorece la transparencia con la que deben administrarse los recursos públicos, en términos del artículo 134 de la Constitución Política de los Estados Unidos Mexicanos.”</w:t>
      </w:r>
    </w:p>
    <w:p w14:paraId="4D32F924"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Relacionado con lo anterior, el </w:t>
      </w:r>
      <w:r w:rsidRPr="00113B3E">
        <w:rPr>
          <w:rFonts w:ascii="Palatino Linotype" w:eastAsia="Palatino Linotype" w:hAnsi="Palatino Linotype" w:cs="Palatino Linotype"/>
          <w:b/>
          <w:color w:val="000000"/>
        </w:rPr>
        <w:t>nombre de las personas físicas</w:t>
      </w:r>
      <w:r w:rsidRPr="00113B3E">
        <w:rPr>
          <w:rFonts w:ascii="Palatino Linotype" w:eastAsia="Palatino Linotype" w:hAnsi="Palatino Linotype" w:cs="Palatino Linotype"/>
          <w:color w:val="000000"/>
        </w:rPr>
        <w:t xml:space="preserve"> o los </w:t>
      </w:r>
      <w:r w:rsidRPr="00113B3E">
        <w:rPr>
          <w:rFonts w:ascii="Palatino Linotype" w:eastAsia="Palatino Linotype" w:hAnsi="Palatino Linotype" w:cs="Palatino Linotype"/>
          <w:b/>
          <w:color w:val="000000"/>
        </w:rPr>
        <w:t>representantes legales de las personas morales</w:t>
      </w:r>
      <w:r w:rsidRPr="00113B3E">
        <w:rPr>
          <w:rFonts w:ascii="Palatino Linotype" w:eastAsia="Palatino Linotype" w:hAnsi="Palatino Linotype" w:cs="Palatino Linotype"/>
          <w:color w:val="000000"/>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378CBDBC"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Argumentación que guarda sustento en lo estipulado por el artículo 23 de la Ley de Transparencia y Acceso a la Información Pública del Estado de México y Municipios en su penúltimo párrafo, mismo que es del tenor literal siguiente:</w:t>
      </w:r>
    </w:p>
    <w:p w14:paraId="2D579F1A"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w:t>
      </w:r>
      <w:r w:rsidRPr="00113B3E">
        <w:rPr>
          <w:rFonts w:ascii="Palatino Linotype" w:eastAsia="Palatino Linotype" w:hAnsi="Palatino Linotype" w:cs="Palatino Linotype"/>
          <w:b/>
          <w:i/>
          <w:color w:val="000000"/>
        </w:rPr>
        <w:t>Artículo 23.</w:t>
      </w:r>
      <w:r w:rsidRPr="00113B3E">
        <w:rPr>
          <w:rFonts w:ascii="Palatino Linotype" w:eastAsia="Palatino Linotype" w:hAnsi="Palatino Linotype" w:cs="Palatino Linotype"/>
          <w:i/>
          <w:color w:val="000000"/>
        </w:rPr>
        <w:t xml:space="preserve"> (…)</w:t>
      </w:r>
    </w:p>
    <w:p w14:paraId="157F7F11"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573A61C0" w14:textId="77777777" w:rsidR="00EE6091" w:rsidRPr="00113B3E" w:rsidRDefault="00EE6091" w:rsidP="00EE6091">
      <w:pPr>
        <w:spacing w:before="280" w:after="28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Asimismo, resulta aplicable el contenido del criterio orientador 01/19 emitido por el entonces Instituto Nacional de Transparencia, Acceso a la Información, y Protección de Datos Personales, INAI, que lleva por rubro y texto los siguientes;</w:t>
      </w:r>
    </w:p>
    <w:p w14:paraId="75C4F3E4"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“Datos de identificación del representante o apoderado legal.</w:t>
      </w:r>
      <w:r w:rsidRPr="00113B3E">
        <w:rPr>
          <w:rFonts w:ascii="Palatino Linotype" w:eastAsia="Palatino Linotype" w:hAnsi="Palatino Linotype" w:cs="Palatino Linotype"/>
          <w:i/>
          <w:color w:val="000000"/>
        </w:rPr>
        <w:t xml:space="preserve"> </w:t>
      </w:r>
      <w:r w:rsidRPr="00113B3E">
        <w:rPr>
          <w:rFonts w:ascii="Palatino Linotype" w:eastAsia="Palatino Linotype" w:hAnsi="Palatino Linotype" w:cs="Palatino Linotype"/>
          <w:b/>
          <w:i/>
          <w:color w:val="000000"/>
        </w:rPr>
        <w:t xml:space="preserve">Naturaleza jurídica. </w:t>
      </w:r>
      <w:r w:rsidRPr="00113B3E">
        <w:rPr>
          <w:rFonts w:ascii="Palatino Linotype" w:eastAsia="Palatino Linotype" w:hAnsi="Palatino Linotype" w:cs="Palatino Linotype"/>
          <w:i/>
          <w:color w:val="000000"/>
        </w:rPr>
        <w:t xml:space="preserve">El nombre, la firma y la rúbrica de una persona física, que actúe como representante o apoderado legal de un tercero que haya celebrado un acto jurídico, con algún sujeto obligado, </w:t>
      </w:r>
      <w:r w:rsidRPr="00113B3E">
        <w:rPr>
          <w:rFonts w:ascii="Palatino Linotype" w:eastAsia="Palatino Linotype" w:hAnsi="Palatino Linotype" w:cs="Palatino Linotype"/>
          <w:b/>
          <w:i/>
          <w:color w:val="000000"/>
        </w:rPr>
        <w:t>es información pública, en razón de que tales datos fueron proporcionados con el objeto de expresar el consentimiento obligacional del tercero y otorgar validez a dicho instrumento jurídico</w:t>
      </w:r>
      <w:r w:rsidRPr="00113B3E">
        <w:rPr>
          <w:rFonts w:ascii="Palatino Linotype" w:eastAsia="Palatino Linotype" w:hAnsi="Palatino Linotype" w:cs="Palatino Linotype"/>
          <w:i/>
          <w:color w:val="000000"/>
        </w:rPr>
        <w:t>.”</w:t>
      </w:r>
    </w:p>
    <w:p w14:paraId="1FCD564F" w14:textId="77777777" w:rsidR="00EE6091" w:rsidRPr="00113B3E" w:rsidRDefault="00EE6091" w:rsidP="00EE6091">
      <w:pPr>
        <w:spacing w:before="240" w:after="240" w:line="360" w:lineRule="auto"/>
        <w:ind w:right="50"/>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374DE81"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“Artículo 49.</w:t>
      </w:r>
      <w:r w:rsidRPr="00113B3E">
        <w:rPr>
          <w:rFonts w:ascii="Palatino Linotype" w:eastAsia="Palatino Linotype" w:hAnsi="Palatino Linotype" w:cs="Palatino Linotype"/>
          <w:i/>
          <w:color w:val="000000"/>
        </w:rPr>
        <w:t xml:space="preserve"> </w:t>
      </w:r>
      <w:r w:rsidRPr="00113B3E">
        <w:rPr>
          <w:rFonts w:ascii="Palatino Linotype" w:eastAsia="Palatino Linotype" w:hAnsi="Palatino Linotype" w:cs="Palatino Linotype"/>
          <w:b/>
          <w:i/>
          <w:color w:val="000000"/>
        </w:rPr>
        <w:t>Los Comités de Transparencia</w:t>
      </w:r>
      <w:r w:rsidRPr="00113B3E">
        <w:rPr>
          <w:rFonts w:ascii="Palatino Linotype" w:eastAsia="Palatino Linotype" w:hAnsi="Palatino Linotype" w:cs="Palatino Linotype"/>
          <w:i/>
          <w:color w:val="000000"/>
        </w:rPr>
        <w:t xml:space="preserve"> tendrán las siguientes atribuciones:</w:t>
      </w:r>
    </w:p>
    <w:p w14:paraId="5588D17B" w14:textId="77777777" w:rsidR="00EE6091" w:rsidRPr="00113B3E" w:rsidRDefault="00EE6091" w:rsidP="00EE6091">
      <w:pP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VIII. Aprobar, modificar o revocar la clasificación de la información</w:t>
      </w:r>
      <w:r w:rsidRPr="00113B3E">
        <w:rPr>
          <w:rFonts w:ascii="Palatino Linotype" w:eastAsia="Palatino Linotype" w:hAnsi="Palatino Linotype" w:cs="Palatino Linotype"/>
          <w:i/>
          <w:color w:val="000000"/>
        </w:rPr>
        <w:t>…”</w:t>
      </w:r>
    </w:p>
    <w:p w14:paraId="7CD9349F"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w:t>
      </w:r>
      <w:r w:rsidRPr="00113B3E">
        <w:rPr>
          <w:rFonts w:ascii="Palatino Linotype" w:eastAsia="Palatino Linotype" w:hAnsi="Palatino Linotype" w:cs="Palatino Linotype"/>
          <w:b/>
          <w:i/>
          <w:color w:val="000000"/>
        </w:rPr>
        <w:t>Artículo 53.</w:t>
      </w:r>
      <w:r w:rsidRPr="00113B3E">
        <w:rPr>
          <w:rFonts w:ascii="Palatino Linotype" w:eastAsia="Palatino Linotype" w:hAnsi="Palatino Linotype" w:cs="Palatino Linotype"/>
          <w:i/>
          <w:color w:val="000000"/>
        </w:rPr>
        <w:t xml:space="preserve"> Las </w:t>
      </w:r>
      <w:r w:rsidRPr="00113B3E">
        <w:rPr>
          <w:rFonts w:ascii="Palatino Linotype" w:eastAsia="Palatino Linotype" w:hAnsi="Palatino Linotype" w:cs="Palatino Linotype"/>
          <w:b/>
          <w:i/>
          <w:color w:val="000000"/>
        </w:rPr>
        <w:t>Unidades de Transparencia</w:t>
      </w:r>
      <w:r w:rsidRPr="00113B3E">
        <w:rPr>
          <w:rFonts w:ascii="Palatino Linotype" w:eastAsia="Palatino Linotype" w:hAnsi="Palatino Linotype" w:cs="Palatino Linotype"/>
          <w:i/>
          <w:color w:val="000000"/>
        </w:rPr>
        <w:t xml:space="preserve"> tendrán las siguientes </w:t>
      </w:r>
      <w:r w:rsidRPr="00113B3E">
        <w:rPr>
          <w:rFonts w:ascii="Palatino Linotype" w:eastAsia="Palatino Linotype" w:hAnsi="Palatino Linotype" w:cs="Palatino Linotype"/>
          <w:b/>
          <w:i/>
          <w:color w:val="000000"/>
        </w:rPr>
        <w:t>funciones</w:t>
      </w:r>
      <w:r w:rsidRPr="00113B3E">
        <w:rPr>
          <w:rFonts w:ascii="Palatino Linotype" w:eastAsia="Palatino Linotype" w:hAnsi="Palatino Linotype" w:cs="Palatino Linotype"/>
          <w:i/>
          <w:color w:val="000000"/>
        </w:rPr>
        <w:t>:</w:t>
      </w:r>
    </w:p>
    <w:p w14:paraId="33C4A8E8" w14:textId="77777777" w:rsidR="00EE6091" w:rsidRPr="00113B3E" w:rsidRDefault="00EE6091" w:rsidP="00EE6091">
      <w:pP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X. Presentar ante el Comité, el proyecto de clasificación de información</w:t>
      </w:r>
      <w:r w:rsidRPr="00113B3E">
        <w:rPr>
          <w:rFonts w:ascii="Palatino Linotype" w:eastAsia="Palatino Linotype" w:hAnsi="Palatino Linotype" w:cs="Palatino Linotype"/>
          <w:i/>
          <w:color w:val="000000"/>
        </w:rPr>
        <w:t xml:space="preserve">…” </w:t>
      </w:r>
    </w:p>
    <w:p w14:paraId="1A908A8D"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“Artículo 59.</w:t>
      </w:r>
      <w:r w:rsidRPr="00113B3E">
        <w:rPr>
          <w:rFonts w:ascii="Palatino Linotype" w:eastAsia="Palatino Linotype" w:hAnsi="Palatino Linotype" w:cs="Palatino Linotype"/>
          <w:i/>
          <w:color w:val="000000"/>
        </w:rPr>
        <w:t xml:space="preserve"> Los </w:t>
      </w:r>
      <w:r w:rsidRPr="00113B3E">
        <w:rPr>
          <w:rFonts w:ascii="Palatino Linotype" w:eastAsia="Palatino Linotype" w:hAnsi="Palatino Linotype" w:cs="Palatino Linotype"/>
          <w:b/>
          <w:i/>
          <w:color w:val="000000"/>
        </w:rPr>
        <w:t>servidores públicos habilitados</w:t>
      </w:r>
      <w:r w:rsidRPr="00113B3E">
        <w:rPr>
          <w:rFonts w:ascii="Palatino Linotype" w:eastAsia="Palatino Linotype" w:hAnsi="Palatino Linotype" w:cs="Palatino Linotype"/>
          <w:i/>
          <w:color w:val="000000"/>
        </w:rPr>
        <w:t xml:space="preserve"> tendrán las </w:t>
      </w:r>
      <w:r w:rsidRPr="00113B3E">
        <w:rPr>
          <w:rFonts w:ascii="Palatino Linotype" w:eastAsia="Palatino Linotype" w:hAnsi="Palatino Linotype" w:cs="Palatino Linotype"/>
          <w:b/>
          <w:i/>
          <w:color w:val="000000"/>
        </w:rPr>
        <w:t>funciones</w:t>
      </w:r>
      <w:r w:rsidRPr="00113B3E">
        <w:rPr>
          <w:rFonts w:ascii="Palatino Linotype" w:eastAsia="Palatino Linotype" w:hAnsi="Palatino Linotype" w:cs="Palatino Linotype"/>
          <w:i/>
          <w:color w:val="000000"/>
        </w:rPr>
        <w:t xml:space="preserve"> siguientes:</w:t>
      </w:r>
    </w:p>
    <w:p w14:paraId="361FF487" w14:textId="77777777" w:rsidR="00EE6091" w:rsidRPr="00113B3E" w:rsidRDefault="00EE6091" w:rsidP="00EE6091">
      <w:pP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V. Integrar y presentar al responsable de la Unidad de Transparencia la propuesta de clasificación de información</w:t>
      </w:r>
      <w:r w:rsidRPr="00113B3E">
        <w:rPr>
          <w:rFonts w:ascii="Palatino Linotype" w:eastAsia="Palatino Linotype" w:hAnsi="Palatino Linotype" w:cs="Palatino Linotype"/>
          <w:i/>
          <w:color w:val="000000"/>
        </w:rPr>
        <w:t>, la cual tendrá los fundamentos y argumentos en que se basa dicha propuesta…”</w:t>
      </w:r>
    </w:p>
    <w:p w14:paraId="02F4A674" w14:textId="77777777" w:rsidR="00EE6091" w:rsidRPr="00113B3E" w:rsidRDefault="00EE6091" w:rsidP="00EE6091">
      <w:pPr>
        <w:spacing w:before="240" w:after="24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7EA26796" w14:textId="77777777" w:rsidR="00EE6091" w:rsidRPr="00113B3E" w:rsidRDefault="00EE6091" w:rsidP="00EE6091">
      <w:pPr>
        <w:spacing w:before="240" w:after="24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Para lo cual, a su vez en el caso de información de carácter confidencial, se debe atender a lo que señala el artículo 149 de la Ley de Transparencia Local vigente, que se lee como sigue:</w:t>
      </w:r>
    </w:p>
    <w:p w14:paraId="376CCF38"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w:t>
      </w:r>
      <w:r w:rsidRPr="00113B3E">
        <w:rPr>
          <w:rFonts w:ascii="Palatino Linotype" w:eastAsia="Palatino Linotype" w:hAnsi="Palatino Linotype" w:cs="Palatino Linotype"/>
          <w:b/>
          <w:i/>
          <w:color w:val="000000"/>
        </w:rPr>
        <w:t>Artículo 149.</w:t>
      </w:r>
      <w:r w:rsidRPr="00113B3E">
        <w:rPr>
          <w:rFonts w:ascii="Palatino Linotype" w:eastAsia="Palatino Linotype" w:hAnsi="Palatino Linotype" w:cs="Palatino Linotype"/>
          <w:i/>
          <w:color w:val="000000"/>
        </w:rPr>
        <w:t xml:space="preserve"> El </w:t>
      </w:r>
      <w:r w:rsidRPr="00113B3E">
        <w:rPr>
          <w:rFonts w:ascii="Palatino Linotype" w:eastAsia="Palatino Linotype" w:hAnsi="Palatino Linotype" w:cs="Palatino Linotype"/>
          <w:b/>
          <w:i/>
          <w:color w:val="000000"/>
        </w:rPr>
        <w:t>acuerdo que clasifique la información como confidencial</w:t>
      </w:r>
      <w:r w:rsidRPr="00113B3E">
        <w:rPr>
          <w:rFonts w:ascii="Palatino Linotype" w:eastAsia="Palatino Linotype" w:hAnsi="Palatino Linotype" w:cs="Palatino Linotype"/>
          <w:i/>
          <w:color w:val="000000"/>
        </w:rPr>
        <w:t xml:space="preserve"> deberá contener un razonamiento lógico en el que demuestre que la información se encuentra en alguna o algunas de las hipótesis previstas en la presente Ley.” </w:t>
      </w:r>
    </w:p>
    <w:p w14:paraId="64566D22" w14:textId="77777777" w:rsidR="00EE6091" w:rsidRPr="00113B3E" w:rsidRDefault="00EE6091" w:rsidP="00EE6091">
      <w:pPr>
        <w:spacing w:before="240" w:after="240" w:line="360" w:lineRule="auto"/>
        <w:ind w:right="51"/>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Es decir, el </w:t>
      </w:r>
      <w:r w:rsidRPr="00113B3E">
        <w:rPr>
          <w:rFonts w:ascii="Palatino Linotype" w:eastAsia="Palatino Linotype" w:hAnsi="Palatino Linotype" w:cs="Palatino Linotype"/>
          <w:b/>
          <w:color w:val="000000"/>
        </w:rPr>
        <w:t>Sujeto Obligado</w:t>
      </w:r>
      <w:r w:rsidRPr="00113B3E">
        <w:rPr>
          <w:rFonts w:ascii="Palatino Linotype" w:eastAsia="Palatino Linotype" w:hAnsi="Palatino Linotype" w:cs="Palatino Linotype"/>
          <w:color w:val="000000"/>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persona solicitante.</w:t>
      </w:r>
    </w:p>
    <w:p w14:paraId="62A5B0BA" w14:textId="77777777" w:rsidR="00EE6091" w:rsidRPr="00113B3E" w:rsidRDefault="00EE6091" w:rsidP="00EE6091">
      <w:pPr>
        <w:spacing w:before="240" w:after="240" w:line="360" w:lineRule="auto"/>
        <w:ind w:right="49"/>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Atento a lo anterior, cabe señalar que el Comité de Transparencia del </w:t>
      </w:r>
      <w:r w:rsidRPr="00113B3E">
        <w:rPr>
          <w:rFonts w:ascii="Palatino Linotype" w:eastAsia="Palatino Linotype" w:hAnsi="Palatino Linotype" w:cs="Palatino Linotype"/>
          <w:b/>
          <w:color w:val="000000"/>
        </w:rPr>
        <w:t>Sujeto Obligado</w:t>
      </w:r>
      <w:r w:rsidRPr="00113B3E">
        <w:rPr>
          <w:rFonts w:ascii="Palatino Linotype" w:eastAsia="Palatino Linotype" w:hAnsi="Palatino Linotype" w:cs="Palatino Linotype"/>
          <w:color w:val="000000"/>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0979C7AF"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 xml:space="preserve"> “</w:t>
      </w:r>
      <w:r w:rsidRPr="00113B3E">
        <w:rPr>
          <w:rFonts w:ascii="Palatino Linotype" w:eastAsia="Palatino Linotype" w:hAnsi="Palatino Linotype" w:cs="Palatino Linotype"/>
          <w:b/>
          <w:i/>
          <w:color w:val="000000"/>
        </w:rPr>
        <w:t>Segundo.-</w:t>
      </w:r>
      <w:r w:rsidRPr="00113B3E">
        <w:rPr>
          <w:rFonts w:ascii="Palatino Linotype" w:eastAsia="Palatino Linotype" w:hAnsi="Palatino Linotype" w:cs="Palatino Linotype"/>
          <w:i/>
          <w:color w:val="000000"/>
        </w:rPr>
        <w:t xml:space="preserve"> Para efectos de los presentes Lineamientos Generales, se entenderá por:</w:t>
      </w:r>
    </w:p>
    <w:p w14:paraId="1FEE3E92" w14:textId="77777777" w:rsidR="00EE6091" w:rsidRPr="00113B3E" w:rsidRDefault="00EE6091" w:rsidP="00EE6091">
      <w:pPr>
        <w:tabs>
          <w:tab w:val="left" w:pos="8222"/>
        </w:tabs>
        <w:spacing w:before="120" w:after="120" w:line="240" w:lineRule="auto"/>
        <w:ind w:left="1134"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XVIII.</w:t>
      </w:r>
      <w:r w:rsidRPr="00113B3E">
        <w:rPr>
          <w:rFonts w:ascii="Palatino Linotype" w:eastAsia="Palatino Linotype" w:hAnsi="Palatino Linotype" w:cs="Palatino Linotype"/>
          <w:i/>
          <w:color w:val="000000"/>
        </w:rPr>
        <w:t xml:space="preserve"> </w:t>
      </w:r>
      <w:r w:rsidRPr="00113B3E">
        <w:rPr>
          <w:rFonts w:ascii="Palatino Linotype" w:eastAsia="Palatino Linotype" w:hAnsi="Palatino Linotype" w:cs="Palatino Linotype"/>
          <w:b/>
          <w:i/>
          <w:color w:val="000000"/>
        </w:rPr>
        <w:t>Versión pública:</w:t>
      </w:r>
      <w:r w:rsidRPr="00113B3E">
        <w:rPr>
          <w:rFonts w:ascii="Palatino Linotype" w:eastAsia="Palatino Linotype" w:hAnsi="Palatino Linotype" w:cs="Palatino Linotype"/>
          <w:i/>
          <w:color w:val="000000"/>
        </w:rPr>
        <w:t xml:space="preserve"> El documento a partir del que se otorga acceso a la información, en el que se testan partes o secciones clasificadas, indicando el contenido de éstas de manera genérica, </w:t>
      </w:r>
      <w:r w:rsidRPr="00113B3E">
        <w:rPr>
          <w:rFonts w:ascii="Palatino Linotype" w:eastAsia="Palatino Linotype" w:hAnsi="Palatino Linotype" w:cs="Palatino Linotype"/>
          <w:b/>
          <w:i/>
          <w:color w:val="000000"/>
        </w:rPr>
        <w:t>fundando y motivando la</w:t>
      </w:r>
      <w:r w:rsidRPr="00113B3E">
        <w:rPr>
          <w:rFonts w:ascii="Palatino Linotype" w:eastAsia="Palatino Linotype" w:hAnsi="Palatino Linotype" w:cs="Palatino Linotype"/>
          <w:i/>
          <w:color w:val="000000"/>
        </w:rPr>
        <w:t xml:space="preserve"> </w:t>
      </w:r>
      <w:r w:rsidRPr="00113B3E">
        <w:rPr>
          <w:rFonts w:ascii="Palatino Linotype" w:eastAsia="Palatino Linotype" w:hAnsi="Palatino Linotype" w:cs="Palatino Linotype"/>
          <w:b/>
          <w:i/>
          <w:color w:val="000000"/>
        </w:rPr>
        <w:t>reserva o confidencialidad</w:t>
      </w:r>
      <w:r w:rsidRPr="00113B3E">
        <w:rPr>
          <w:rFonts w:ascii="Palatino Linotype" w:eastAsia="Palatino Linotype" w:hAnsi="Palatino Linotype" w:cs="Palatino Linotype"/>
          <w:i/>
          <w:color w:val="000000"/>
        </w:rPr>
        <w:t>, a través de la resolución que para tal efecto emita el Comité de Transparencia.</w:t>
      </w:r>
    </w:p>
    <w:p w14:paraId="11E33125"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b/>
          <w:i/>
          <w:color w:val="000000"/>
        </w:rPr>
      </w:pPr>
      <w:r w:rsidRPr="00113B3E">
        <w:rPr>
          <w:rFonts w:ascii="Palatino Linotype" w:eastAsia="Palatino Linotype" w:hAnsi="Palatino Linotype" w:cs="Palatino Linotype"/>
          <w:b/>
          <w:i/>
          <w:color w:val="000000"/>
        </w:rPr>
        <w:t>...</w:t>
      </w:r>
    </w:p>
    <w:p w14:paraId="53E12491"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Cuarto.</w:t>
      </w:r>
      <w:r w:rsidRPr="00113B3E">
        <w:rPr>
          <w:rFonts w:ascii="Palatino Linotype" w:eastAsia="Palatino Linotype" w:hAnsi="Palatino Linotype" w:cs="Palatino Linotype"/>
          <w:i/>
          <w:color w:val="000000"/>
        </w:rPr>
        <w:t xml:space="preserve"> </w:t>
      </w:r>
      <w:r w:rsidRPr="00113B3E">
        <w:rPr>
          <w:rFonts w:ascii="Palatino Linotype" w:eastAsia="Palatino Linotype" w:hAnsi="Palatino Linotype" w:cs="Palatino Linotype"/>
          <w:b/>
          <w:i/>
          <w:color w:val="000000"/>
        </w:rPr>
        <w:t>Para clasificar la información como</w:t>
      </w:r>
      <w:r w:rsidRPr="00113B3E">
        <w:rPr>
          <w:rFonts w:ascii="Palatino Linotype" w:eastAsia="Palatino Linotype" w:hAnsi="Palatino Linotype" w:cs="Palatino Linotype"/>
          <w:i/>
          <w:color w:val="000000"/>
        </w:rPr>
        <w:t xml:space="preserve"> </w:t>
      </w:r>
      <w:r w:rsidRPr="00113B3E">
        <w:rPr>
          <w:rFonts w:ascii="Palatino Linotype" w:eastAsia="Palatino Linotype" w:hAnsi="Palatino Linotype" w:cs="Palatino Linotype"/>
          <w:b/>
          <w:i/>
          <w:color w:val="000000"/>
        </w:rPr>
        <w:t>reservada o</w:t>
      </w:r>
      <w:r w:rsidRPr="00113B3E">
        <w:rPr>
          <w:rFonts w:ascii="Palatino Linotype" w:eastAsia="Palatino Linotype" w:hAnsi="Palatino Linotype" w:cs="Palatino Linotype"/>
          <w:i/>
          <w:color w:val="000000"/>
        </w:rPr>
        <w:t xml:space="preserve"> </w:t>
      </w:r>
      <w:r w:rsidRPr="00113B3E">
        <w:rPr>
          <w:rFonts w:ascii="Palatino Linotype" w:eastAsia="Palatino Linotype" w:hAnsi="Palatino Linotype" w:cs="Palatino Linotype"/>
          <w:b/>
          <w:i/>
          <w:color w:val="000000"/>
        </w:rPr>
        <w:t>confidencial, de manera total o parcial, el titular del área del sujeto obligado deberá atender lo dispuesto por el Título Sexto de la Ley General</w:t>
      </w:r>
      <w:r w:rsidRPr="00113B3E">
        <w:rPr>
          <w:rFonts w:ascii="Palatino Linotype" w:eastAsia="Palatino Linotype" w:hAnsi="Palatino Linotype" w:cs="Palatino Linotype"/>
          <w:i/>
          <w:color w:val="000000"/>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F44BD7E"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Los sujetos obligados deberán aplicar, de manera estricta, las excepciones al derecho de acceso a la información y sólo podrán invocarlas cuando acrediten su procedencia.</w:t>
      </w:r>
    </w:p>
    <w:p w14:paraId="0B267D6B"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Quinto.</w:t>
      </w:r>
      <w:r w:rsidRPr="00113B3E">
        <w:rPr>
          <w:rFonts w:ascii="Palatino Linotype" w:eastAsia="Palatino Linotype" w:hAnsi="Palatino Linotype" w:cs="Palatino Linotype"/>
          <w:i/>
          <w:color w:val="000000"/>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EA6220C"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Sexto.</w:t>
      </w:r>
      <w:r w:rsidRPr="00113B3E">
        <w:rPr>
          <w:rFonts w:ascii="Palatino Linotype" w:eastAsia="Palatino Linotype" w:hAnsi="Palatino Linotype" w:cs="Palatino Linotype"/>
          <w:i/>
          <w:color w:val="000000"/>
        </w:rPr>
        <w:t xml:space="preserve"> Se deroga.</w:t>
      </w:r>
    </w:p>
    <w:p w14:paraId="26751EB2"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Séptimo.</w:t>
      </w:r>
      <w:r w:rsidRPr="00113B3E">
        <w:rPr>
          <w:rFonts w:ascii="Palatino Linotype" w:eastAsia="Palatino Linotype" w:hAnsi="Palatino Linotype" w:cs="Palatino Linotype"/>
          <w:i/>
          <w:color w:val="000000"/>
        </w:rPr>
        <w:t xml:space="preserve"> La clasificación de la información se llevará a cabo en el momento en que:</w:t>
      </w:r>
    </w:p>
    <w:p w14:paraId="76276190" w14:textId="77777777" w:rsidR="00EE6091" w:rsidRPr="00113B3E" w:rsidRDefault="00EE6091" w:rsidP="00EE6091">
      <w:pPr>
        <w:tabs>
          <w:tab w:val="left" w:pos="8222"/>
        </w:tabs>
        <w:spacing w:before="120" w:after="120" w:line="240" w:lineRule="auto"/>
        <w:ind w:left="1134"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w:t>
      </w:r>
      <w:r w:rsidRPr="00113B3E">
        <w:rPr>
          <w:rFonts w:ascii="Palatino Linotype" w:eastAsia="Palatino Linotype" w:hAnsi="Palatino Linotype" w:cs="Palatino Linotype"/>
          <w:i/>
          <w:color w:val="000000"/>
        </w:rPr>
        <w:t xml:space="preserve"> Se reciba una solicitud de acceso a la información;</w:t>
      </w:r>
    </w:p>
    <w:p w14:paraId="5FD6B56A" w14:textId="77777777" w:rsidR="00EE6091" w:rsidRPr="00113B3E" w:rsidRDefault="00EE6091" w:rsidP="00EE6091">
      <w:pPr>
        <w:tabs>
          <w:tab w:val="left" w:pos="8222"/>
        </w:tabs>
        <w:spacing w:before="120" w:after="120" w:line="240" w:lineRule="auto"/>
        <w:ind w:left="1134"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II.</w:t>
      </w:r>
      <w:r w:rsidRPr="00113B3E">
        <w:rPr>
          <w:rFonts w:ascii="Palatino Linotype" w:eastAsia="Palatino Linotype" w:hAnsi="Palatino Linotype" w:cs="Palatino Linotype"/>
          <w:i/>
          <w:color w:val="000000"/>
        </w:rPr>
        <w:t xml:space="preserve"> Se determine mediante resolución del Comité de Transparencia, el órgano garante competente, o en cumplimiento a una sentencia del Poder Judicial; o</w:t>
      </w:r>
    </w:p>
    <w:p w14:paraId="4AFA971F" w14:textId="77777777" w:rsidR="00EE6091" w:rsidRPr="00113B3E" w:rsidRDefault="00EE6091" w:rsidP="00EE6091">
      <w:pPr>
        <w:tabs>
          <w:tab w:val="left" w:pos="8222"/>
        </w:tabs>
        <w:spacing w:before="120" w:after="120" w:line="240" w:lineRule="auto"/>
        <w:ind w:left="1134"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III.</w:t>
      </w:r>
      <w:r w:rsidRPr="00113B3E">
        <w:rPr>
          <w:rFonts w:ascii="Palatino Linotype" w:eastAsia="Palatino Linotype" w:hAnsi="Palatino Linotype" w:cs="Palatino Linotype"/>
          <w:i/>
          <w:color w:val="000000"/>
        </w:rPr>
        <w:t xml:space="preserve"> Se generen versiones públicas para dar cumplimiento a las obligaciones de transparencia previstas en la Ley General, la Ley Federal y las correspondientes de las entidades federativas.</w:t>
      </w:r>
    </w:p>
    <w:p w14:paraId="0A846485"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Los titulares de las áreas deberán revisar la clasificación al momento de la recepción de una solicitud de acceso, para verificar</w:t>
      </w:r>
      <w:r w:rsidRPr="00113B3E">
        <w:rPr>
          <w:rFonts w:ascii="Palatino Linotype" w:eastAsia="Palatino Linotype" w:hAnsi="Palatino Linotype" w:cs="Palatino Linotype"/>
          <w:color w:val="000000"/>
        </w:rPr>
        <w:t xml:space="preserve">, </w:t>
      </w:r>
      <w:r w:rsidRPr="00113B3E">
        <w:rPr>
          <w:rFonts w:ascii="Palatino Linotype" w:eastAsia="Palatino Linotype" w:hAnsi="Palatino Linotype" w:cs="Palatino Linotype"/>
          <w:i/>
          <w:color w:val="000000"/>
        </w:rPr>
        <w:t>conforme a su naturaleza, si encuadra en una causal de reserva o de confidencialidad.</w:t>
      </w:r>
    </w:p>
    <w:p w14:paraId="1410F725"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Octavo.</w:t>
      </w:r>
      <w:r w:rsidRPr="00113B3E">
        <w:rPr>
          <w:rFonts w:ascii="Palatino Linotype" w:eastAsia="Palatino Linotype" w:hAnsi="Palatino Linotype" w:cs="Palatino Linotype"/>
          <w:i/>
          <w:color w:val="000000"/>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9E5FC16"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Para motivar la clasificación se deberán señalar las razones o circunstancias especiales que lo llevaron a concluir que el caso particular se ajusta al supuesto previsto por la norma legal invocada como fundamento.</w:t>
      </w:r>
    </w:p>
    <w:p w14:paraId="3704DA4B"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50374437"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Noveno.</w:t>
      </w:r>
      <w:r w:rsidRPr="00113B3E">
        <w:rPr>
          <w:rFonts w:ascii="Palatino Linotype" w:eastAsia="Palatino Linotype" w:hAnsi="Palatino Linotype" w:cs="Palatino Linotype"/>
          <w:i/>
          <w:color w:val="000000"/>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340CB11"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Décimo.</w:t>
      </w:r>
      <w:r w:rsidRPr="00113B3E">
        <w:rPr>
          <w:rFonts w:ascii="Palatino Linotype" w:eastAsia="Palatino Linotype" w:hAnsi="Palatino Linotype" w:cs="Palatino Linotype"/>
          <w:i/>
          <w:color w:val="000000"/>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7BB4A42"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En ausencia de los titulares de las áreas, la información será clasificada o desclasificada por la persona que lo supla, en términos de la normativa que rija la actuación del sujeto obligado.</w:t>
      </w:r>
    </w:p>
    <w:p w14:paraId="071C7BDB" w14:textId="77777777" w:rsidR="00EE6091" w:rsidRPr="00113B3E" w:rsidRDefault="00EE6091" w:rsidP="00EE6091">
      <w:pPr>
        <w:tabs>
          <w:tab w:val="left" w:pos="8222"/>
        </w:tabs>
        <w:spacing w:before="120" w:after="120" w:line="240" w:lineRule="auto"/>
        <w:ind w:left="851" w:right="1134"/>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Décimo primero.</w:t>
      </w:r>
      <w:r w:rsidRPr="00113B3E">
        <w:rPr>
          <w:rFonts w:ascii="Palatino Linotype" w:eastAsia="Palatino Linotype" w:hAnsi="Palatino Linotype" w:cs="Palatino Linotype"/>
          <w:i/>
          <w:color w:val="000000"/>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p>
    <w:p w14:paraId="6AC824AC" w14:textId="77777777" w:rsidR="00EE6091" w:rsidRPr="00113B3E" w:rsidRDefault="00EE6091" w:rsidP="00EE6091">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 xml:space="preserve">Asimismo, respecto a las formalidades que deberá llevar el acuerdo de clasificación que deberá emitir el </w:t>
      </w:r>
      <w:r w:rsidRPr="00113B3E">
        <w:rPr>
          <w:rFonts w:ascii="Palatino Linotype" w:eastAsia="Palatino Linotype" w:hAnsi="Palatino Linotype" w:cs="Palatino Linotype"/>
          <w:b/>
          <w:color w:val="000000"/>
        </w:rPr>
        <w:t>Sujeto Obligado</w:t>
      </w:r>
      <w:r w:rsidRPr="00113B3E">
        <w:rPr>
          <w:rFonts w:ascii="Palatino Linotype" w:eastAsia="Palatino Linotype" w:hAnsi="Palatino Linotype" w:cs="Palatino Linotype"/>
          <w:color w:val="000000"/>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1B33C975"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 xml:space="preserve"> “Quincuagésimo. </w:t>
      </w:r>
      <w:r w:rsidRPr="00113B3E">
        <w:rPr>
          <w:rFonts w:ascii="Palatino Linotype" w:eastAsia="Palatino Linotype" w:hAnsi="Palatino Linotype" w:cs="Palatino Linotype"/>
          <w:i/>
          <w:color w:val="000000"/>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CC4416E" w14:textId="77777777" w:rsidR="00EE6091" w:rsidRPr="00113B3E" w:rsidRDefault="00EE6091" w:rsidP="00EE609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 xml:space="preserve">Quincuagésimo primero. </w:t>
      </w:r>
      <w:r w:rsidRPr="00113B3E">
        <w:rPr>
          <w:rFonts w:ascii="Palatino Linotype" w:eastAsia="Palatino Linotype" w:hAnsi="Palatino Linotype" w:cs="Palatino Linotype"/>
          <w:i/>
          <w:color w:val="000000"/>
        </w:rPr>
        <w:t xml:space="preserve">Toda acta del Comité de Transparencia deberá contener: </w:t>
      </w:r>
    </w:p>
    <w:p w14:paraId="000EEE15" w14:textId="77777777" w:rsidR="00EE6091" w:rsidRPr="00113B3E" w:rsidRDefault="00EE6091" w:rsidP="00EE609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w:t>
      </w:r>
      <w:r w:rsidRPr="00113B3E">
        <w:rPr>
          <w:rFonts w:ascii="Palatino Linotype" w:eastAsia="Palatino Linotype" w:hAnsi="Palatino Linotype" w:cs="Palatino Linotype"/>
          <w:i/>
          <w:color w:val="000000"/>
        </w:rPr>
        <w:t xml:space="preserve"> El número de sesión y fecha; </w:t>
      </w:r>
    </w:p>
    <w:p w14:paraId="57D05C4A" w14:textId="77777777" w:rsidR="00EE6091" w:rsidRPr="00113B3E" w:rsidRDefault="00EE6091" w:rsidP="00EE609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II</w:t>
      </w:r>
      <w:r w:rsidRPr="00113B3E">
        <w:rPr>
          <w:rFonts w:ascii="Palatino Linotype" w:eastAsia="Palatino Linotype" w:hAnsi="Palatino Linotype" w:cs="Palatino Linotype"/>
          <w:i/>
          <w:color w:val="000000"/>
        </w:rPr>
        <w:t xml:space="preserve">. El nombre del área que solicitó la clasificación de información; </w:t>
      </w:r>
    </w:p>
    <w:p w14:paraId="6F7179B8" w14:textId="77777777" w:rsidR="00EE6091" w:rsidRPr="00113B3E" w:rsidRDefault="00EE6091" w:rsidP="00EE609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III</w:t>
      </w:r>
      <w:r w:rsidRPr="00113B3E">
        <w:rPr>
          <w:rFonts w:ascii="Palatino Linotype" w:eastAsia="Palatino Linotype" w:hAnsi="Palatino Linotype" w:cs="Palatino Linotype"/>
          <w:i/>
          <w:color w:val="000000"/>
        </w:rPr>
        <w:t xml:space="preserve">. La fundamentación legal y motivación correspondiente; </w:t>
      </w:r>
    </w:p>
    <w:p w14:paraId="6F577277" w14:textId="77777777" w:rsidR="00EE6091" w:rsidRPr="00113B3E" w:rsidRDefault="00EE6091" w:rsidP="00EE609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IV</w:t>
      </w:r>
      <w:r w:rsidRPr="00113B3E">
        <w:rPr>
          <w:rFonts w:ascii="Palatino Linotype" w:eastAsia="Palatino Linotype" w:hAnsi="Palatino Linotype" w:cs="Palatino Linotype"/>
          <w:i/>
          <w:color w:val="000000"/>
        </w:rPr>
        <w:t xml:space="preserve">. La resolución o resoluciones aprobadas; y </w:t>
      </w:r>
    </w:p>
    <w:p w14:paraId="08CF2B5B" w14:textId="77777777" w:rsidR="00EE6091" w:rsidRPr="00113B3E" w:rsidRDefault="00EE6091" w:rsidP="00EE609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V</w:t>
      </w:r>
      <w:r w:rsidRPr="00113B3E">
        <w:rPr>
          <w:rFonts w:ascii="Palatino Linotype" w:eastAsia="Palatino Linotype" w:hAnsi="Palatino Linotype" w:cs="Palatino Linotype"/>
          <w:i/>
          <w:color w:val="000000"/>
        </w:rPr>
        <w:t xml:space="preserve">. La rúbrica o firma digital de cada integrante del Comité de Transparencia. </w:t>
      </w:r>
    </w:p>
    <w:p w14:paraId="0EBEF9BC" w14:textId="77777777" w:rsidR="00EE6091" w:rsidRPr="00113B3E" w:rsidRDefault="00EE6091" w:rsidP="00EE609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 xml:space="preserve">Las resoluciones del Comité en las que se haya determinado confirmar o modificar la clasificación de información pública como reservada, deberán incluir, cuando menos: </w:t>
      </w:r>
    </w:p>
    <w:p w14:paraId="4F7F5333" w14:textId="77777777" w:rsidR="00EE6091" w:rsidRPr="00113B3E" w:rsidRDefault="00EE6091" w:rsidP="00EE609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w:t>
      </w:r>
      <w:r w:rsidRPr="00113B3E">
        <w:rPr>
          <w:rFonts w:ascii="Palatino Linotype" w:eastAsia="Palatino Linotype" w:hAnsi="Palatino Linotype" w:cs="Palatino Linotype"/>
          <w:i/>
          <w:color w:val="000000"/>
        </w:rPr>
        <w:t xml:space="preserve"> Los motivos y razonamientos que sustenten la confirmación o modificación de la prueba de daño;</w:t>
      </w:r>
    </w:p>
    <w:p w14:paraId="62A7A451" w14:textId="77777777" w:rsidR="00EE6091" w:rsidRPr="00113B3E" w:rsidRDefault="00EE6091" w:rsidP="00EE609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b/>
          <w:i/>
          <w:color w:val="000000"/>
        </w:rPr>
      </w:pPr>
      <w:r w:rsidRPr="00113B3E">
        <w:rPr>
          <w:rFonts w:ascii="Palatino Linotype" w:eastAsia="Palatino Linotype" w:hAnsi="Palatino Linotype" w:cs="Palatino Linotype"/>
          <w:b/>
          <w:i/>
          <w:color w:val="000000"/>
        </w:rPr>
        <w:t>II</w:t>
      </w:r>
      <w:r w:rsidRPr="00113B3E">
        <w:rPr>
          <w:rFonts w:ascii="Palatino Linotype" w:eastAsia="Palatino Linotype" w:hAnsi="Palatino Linotype" w:cs="Palatino Linotype"/>
          <w:i/>
          <w:color w:val="000000"/>
        </w:rPr>
        <w:t>. Descripción de las partes o secciones reservadas, en caso de clasificación parcial</w:t>
      </w:r>
      <w:r w:rsidRPr="00113B3E">
        <w:rPr>
          <w:rFonts w:ascii="Palatino Linotype" w:eastAsia="Palatino Linotype" w:hAnsi="Palatino Linotype" w:cs="Palatino Linotype"/>
          <w:b/>
          <w:i/>
          <w:color w:val="000000"/>
        </w:rPr>
        <w:t xml:space="preserve">; </w:t>
      </w:r>
    </w:p>
    <w:p w14:paraId="54579AA1" w14:textId="77777777" w:rsidR="00EE6091" w:rsidRPr="00113B3E" w:rsidRDefault="00EE6091" w:rsidP="00EE609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III.</w:t>
      </w:r>
      <w:r w:rsidRPr="00113B3E">
        <w:rPr>
          <w:rFonts w:ascii="Palatino Linotype" w:eastAsia="Palatino Linotype" w:hAnsi="Palatino Linotype" w:cs="Palatino Linotype"/>
          <w:i/>
          <w:color w:val="000000"/>
        </w:rPr>
        <w:t xml:space="preserve"> El periodo por el que mantendrá su clasificación y fecha de expiración; y </w:t>
      </w:r>
    </w:p>
    <w:p w14:paraId="3FD3FF36" w14:textId="77777777" w:rsidR="00EE6091" w:rsidRPr="00113B3E" w:rsidRDefault="00EE6091" w:rsidP="00EE6091">
      <w:pPr>
        <w:pBdr>
          <w:top w:val="nil"/>
          <w:left w:val="nil"/>
          <w:bottom w:val="nil"/>
          <w:right w:val="nil"/>
          <w:between w:val="nil"/>
        </w:pBd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IV.</w:t>
      </w:r>
      <w:r w:rsidRPr="00113B3E">
        <w:rPr>
          <w:rFonts w:ascii="Palatino Linotype" w:eastAsia="Palatino Linotype" w:hAnsi="Palatino Linotype" w:cs="Palatino Linotype"/>
          <w:i/>
          <w:color w:val="000000"/>
        </w:rPr>
        <w:t xml:space="preserve"> El nombre del titular y área encargada de realizar la versión pública del documento, en su caso. </w:t>
      </w:r>
    </w:p>
    <w:p w14:paraId="42F28399" w14:textId="77777777" w:rsidR="00EE6091" w:rsidRPr="00113B3E" w:rsidRDefault="00EE6091" w:rsidP="00EE609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 xml:space="preserve">En los casos en que se clasifique la información como reservada siempre se entregará o anexará la prueba de daño con la respuesta al solicitante. </w:t>
      </w:r>
    </w:p>
    <w:p w14:paraId="6CAF5B46" w14:textId="77777777" w:rsidR="00EE6091" w:rsidRPr="00113B3E" w:rsidRDefault="00EE6091" w:rsidP="00EE6091">
      <w:pPr>
        <w:pBdr>
          <w:top w:val="nil"/>
          <w:left w:val="nil"/>
          <w:bottom w:val="nil"/>
          <w:right w:val="nil"/>
          <w:between w:val="nil"/>
        </w:pBd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En los casos de resoluciones del Comité de Transparencia en las que se confirme la clasificación de información confidencial solo se deberán de identificar los tipos de datos protegidos, de conformidad con el lineamiento trigésimo octavo.</w:t>
      </w:r>
    </w:p>
    <w:p w14:paraId="1E4D6C57" w14:textId="77777777" w:rsidR="00EE6091" w:rsidRPr="00113B3E" w:rsidRDefault="00EE6091" w:rsidP="00EE6091">
      <w:pPr>
        <w:spacing w:before="240" w:after="240" w:line="360" w:lineRule="auto"/>
        <w:jc w:val="both"/>
        <w:rPr>
          <w:rFonts w:ascii="Palatino Linotype" w:eastAsia="Palatino Linotype" w:hAnsi="Palatino Linotype" w:cs="Palatino Linotype"/>
          <w:color w:val="000000"/>
        </w:rPr>
      </w:pPr>
      <w:r w:rsidRPr="00113B3E">
        <w:rPr>
          <w:rFonts w:ascii="Palatino Linotype" w:eastAsia="Palatino Linotype" w:hAnsi="Palatino Linotype" w:cs="Palatino Linotype"/>
          <w:color w:val="000000"/>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1B420C44" w14:textId="77777777" w:rsidR="00EE6091" w:rsidRPr="00113B3E" w:rsidRDefault="00EE6091" w:rsidP="00EE6091">
      <w:pPr>
        <w:spacing w:before="120" w:after="120" w:line="240" w:lineRule="auto"/>
        <w:ind w:left="851" w:right="900"/>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w:t>
      </w:r>
      <w:r w:rsidRPr="00113B3E">
        <w:rPr>
          <w:rFonts w:ascii="Palatino Linotype" w:eastAsia="Palatino Linotype" w:hAnsi="Palatino Linotype" w:cs="Palatino Linotype"/>
          <w:b/>
          <w:i/>
          <w:color w:val="000000"/>
        </w:rPr>
        <w:t>Quincuagésimo segundo</w:t>
      </w:r>
      <w:r w:rsidRPr="00113B3E">
        <w:rPr>
          <w:rFonts w:ascii="Palatino Linotype" w:eastAsia="Palatino Linotype" w:hAnsi="Palatino Linotype" w:cs="Palatino Linotype"/>
          <w:i/>
          <w:color w:val="000000"/>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FDD4B31" w14:textId="77777777" w:rsidR="00EE6091" w:rsidRPr="00113B3E" w:rsidRDefault="00EE6091" w:rsidP="00EE6091">
      <w:pPr>
        <w:spacing w:before="120" w:after="120" w:line="240" w:lineRule="auto"/>
        <w:ind w:left="851" w:right="900"/>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 xml:space="preserve">En el caso específico de la clasificación y elaboración de versiones públicas de documentos que contengan información confidencial, las áreas de los sujetos obligados deberán: </w:t>
      </w:r>
    </w:p>
    <w:p w14:paraId="779A835E" w14:textId="77777777" w:rsidR="00EE6091" w:rsidRPr="00113B3E" w:rsidRDefault="00EE6091" w:rsidP="00EE6091">
      <w:pPr>
        <w:spacing w:before="120" w:after="120" w:line="240" w:lineRule="auto"/>
        <w:ind w:left="1134" w:right="900"/>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w:t>
      </w:r>
      <w:r w:rsidRPr="00113B3E">
        <w:rPr>
          <w:rFonts w:ascii="Palatino Linotype" w:eastAsia="Palatino Linotype" w:hAnsi="Palatino Linotype" w:cs="Palatino Linotype"/>
          <w:i/>
          <w:color w:val="000000"/>
        </w:rPr>
        <w:t xml:space="preserve"> Fijar la fecha en que se elaboró la versión pública y la fecha en la cual el Comité de Transparencia confirmó dicha versión;</w:t>
      </w:r>
    </w:p>
    <w:p w14:paraId="7DAEB4EA" w14:textId="77777777" w:rsidR="00EE6091" w:rsidRPr="00113B3E" w:rsidRDefault="00EE6091" w:rsidP="00EE6091">
      <w:pPr>
        <w:spacing w:before="120" w:after="120" w:line="240" w:lineRule="auto"/>
        <w:ind w:left="1134" w:right="900"/>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II.</w:t>
      </w:r>
      <w:r w:rsidRPr="00113B3E">
        <w:rPr>
          <w:rFonts w:ascii="Palatino Linotype" w:eastAsia="Palatino Linotype" w:hAnsi="Palatino Linotype" w:cs="Palatino Linotype"/>
          <w:i/>
          <w:color w:val="000000"/>
        </w:rPr>
        <w:t xml:space="preserve"> Señalar dentro del documento el tipo de información confidencial que fue testada en cada caso específico, de conformidad con el lineamiento trigésimo octavo; y</w:t>
      </w:r>
    </w:p>
    <w:p w14:paraId="325F7A4E" w14:textId="77777777" w:rsidR="00EE6091" w:rsidRPr="00113B3E" w:rsidRDefault="00EE6091" w:rsidP="00EE6091">
      <w:pPr>
        <w:spacing w:before="120" w:after="120" w:line="240" w:lineRule="auto"/>
        <w:ind w:left="1134" w:right="900"/>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III.</w:t>
      </w:r>
      <w:r w:rsidRPr="00113B3E">
        <w:rPr>
          <w:rFonts w:ascii="Palatino Linotype" w:eastAsia="Palatino Linotype" w:hAnsi="Palatino Linotype" w:cs="Palatino Linotype"/>
          <w:i/>
          <w:color w:val="000000"/>
        </w:rPr>
        <w:t xml:space="preserve"> Señalar las personas o instancias autorizadas a acceder a la información clasificada.</w:t>
      </w:r>
    </w:p>
    <w:p w14:paraId="13E3E193" w14:textId="77777777" w:rsidR="00EE6091" w:rsidRPr="00113B3E" w:rsidRDefault="00EE6091" w:rsidP="00EE6091">
      <w:pPr>
        <w:spacing w:before="120" w:after="120" w:line="240" w:lineRule="auto"/>
        <w:ind w:left="851" w:right="900"/>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En los documentos de difusión electrónica, señalar en la primera hoja y en el nombre del archivo, que la versión pública corresponde a un documento que contiene información confidencial.”</w:t>
      </w:r>
    </w:p>
    <w:p w14:paraId="285172B6" w14:textId="77777777" w:rsidR="00EE6091" w:rsidRPr="00113B3E" w:rsidRDefault="00EE6091" w:rsidP="00EE6091">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w:t>
      </w:r>
    </w:p>
    <w:p w14:paraId="57AA6D55" w14:textId="77777777" w:rsidR="00EE6091" w:rsidRPr="00113B3E" w:rsidRDefault="00EE6091" w:rsidP="00EE6091">
      <w:pPr>
        <w:pBdr>
          <w:top w:val="nil"/>
          <w:left w:val="nil"/>
          <w:bottom w:val="nil"/>
          <w:right w:val="nil"/>
          <w:between w:val="nil"/>
        </w:pBdr>
        <w:spacing w:before="120" w:after="120" w:line="240" w:lineRule="auto"/>
        <w:ind w:left="851" w:right="900"/>
        <w:jc w:val="both"/>
        <w:rPr>
          <w:rFonts w:ascii="Palatino Linotype" w:eastAsia="Palatino Linotype" w:hAnsi="Palatino Linotype" w:cs="Palatino Linotype"/>
          <w:b/>
          <w:i/>
          <w:color w:val="000000"/>
        </w:rPr>
      </w:pPr>
      <w:r w:rsidRPr="00113B3E">
        <w:rPr>
          <w:rFonts w:ascii="Palatino Linotype" w:eastAsia="Palatino Linotype" w:hAnsi="Palatino Linotype" w:cs="Palatino Linotype"/>
          <w:b/>
          <w:i/>
          <w:color w:val="000000"/>
        </w:rPr>
        <w:t xml:space="preserve">Quincuagésimo cuarto. </w:t>
      </w:r>
      <w:r w:rsidRPr="00113B3E">
        <w:rPr>
          <w:rFonts w:ascii="Palatino Linotype" w:eastAsia="Palatino Linotype" w:hAnsi="Palatino Linotype" w:cs="Palatino Linotype"/>
          <w:i/>
          <w:color w:val="000000"/>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113B3E">
        <w:rPr>
          <w:rFonts w:ascii="Palatino Linotype" w:eastAsia="Palatino Linotype" w:hAnsi="Palatino Linotype" w:cs="Palatino Linotype"/>
          <w:b/>
          <w:i/>
          <w:color w:val="000000"/>
        </w:rPr>
        <w:t xml:space="preserve"> </w:t>
      </w:r>
    </w:p>
    <w:p w14:paraId="40313F14"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 xml:space="preserve">Quincuagésimo quinto. </w:t>
      </w:r>
      <w:r w:rsidRPr="00113B3E">
        <w:rPr>
          <w:rFonts w:ascii="Palatino Linotype" w:eastAsia="Palatino Linotype" w:hAnsi="Palatino Linotype" w:cs="Palatino Linotype"/>
          <w:i/>
          <w:color w:val="000000"/>
        </w:rPr>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3C4DBD01"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b/>
          <w:i/>
          <w:color w:val="000000"/>
        </w:rPr>
      </w:pPr>
      <w:r w:rsidRPr="00113B3E">
        <w:rPr>
          <w:rFonts w:ascii="Palatino Linotype" w:eastAsia="Palatino Linotype" w:hAnsi="Palatino Linotype" w:cs="Palatino Linotype"/>
          <w:b/>
          <w:i/>
          <w:color w:val="000000"/>
        </w:rPr>
        <w:t>...</w:t>
      </w:r>
    </w:p>
    <w:p w14:paraId="0D58A7EF"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Quincuagésimo séptimo</w:t>
      </w:r>
      <w:r w:rsidRPr="00113B3E">
        <w:rPr>
          <w:rFonts w:ascii="Palatino Linotype" w:eastAsia="Palatino Linotype" w:hAnsi="Palatino Linotype" w:cs="Palatino Linotype"/>
          <w:i/>
          <w:color w:val="000000"/>
        </w:rPr>
        <w:t xml:space="preserve">. Se considera, en principio, como información pública y no podrá omitirse de las versiones públicas la siguiente: </w:t>
      </w:r>
    </w:p>
    <w:p w14:paraId="1D2F23C3" w14:textId="77777777" w:rsidR="00EE6091" w:rsidRPr="00113B3E" w:rsidRDefault="00EE6091" w:rsidP="00EE6091">
      <w:pP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w:t>
      </w:r>
      <w:r w:rsidRPr="00113B3E">
        <w:rPr>
          <w:rFonts w:ascii="Palatino Linotype" w:eastAsia="Palatino Linotype" w:hAnsi="Palatino Linotype" w:cs="Palatino Linotype"/>
          <w:i/>
          <w:color w:val="000000"/>
        </w:rPr>
        <w:t xml:space="preserve">. La relativa a las Obligaciones de Transparencia que contempla el Título V de la Ley General y las demás disposiciones legales aplicables; </w:t>
      </w:r>
    </w:p>
    <w:p w14:paraId="347BC290" w14:textId="77777777" w:rsidR="00EE6091" w:rsidRPr="00113B3E" w:rsidRDefault="00EE6091" w:rsidP="00EE6091">
      <w:pP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II.</w:t>
      </w:r>
      <w:r w:rsidRPr="00113B3E">
        <w:rPr>
          <w:rFonts w:ascii="Palatino Linotype" w:eastAsia="Palatino Linotype" w:hAnsi="Palatino Linotype" w:cs="Palatino Linotype"/>
          <w:i/>
          <w:color w:val="000000"/>
        </w:rPr>
        <w:t xml:space="preserve"> El nombre de los integrantes de los sujetos obligados en los documentos, y sus firmas autógrafas o digitales, cuando sean utilizados en el ejercicio de las facultades conferidas para el desempeño del servicio público, y</w:t>
      </w:r>
    </w:p>
    <w:p w14:paraId="0AE3D62C" w14:textId="77777777" w:rsidR="00EE6091" w:rsidRPr="00113B3E" w:rsidRDefault="00EE6091" w:rsidP="00EE6091">
      <w:pPr>
        <w:spacing w:before="120" w:after="120" w:line="240" w:lineRule="auto"/>
        <w:ind w:left="1134"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III</w:t>
      </w:r>
      <w:r w:rsidRPr="00113B3E">
        <w:rPr>
          <w:rFonts w:ascii="Palatino Linotype" w:eastAsia="Palatino Linotype" w:hAnsi="Palatino Linotype" w:cs="Palatino Linotype"/>
          <w:i/>
          <w:color w:val="000000"/>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619C10E0"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suscritas por el Estado mexicano.  </w:t>
      </w:r>
    </w:p>
    <w:p w14:paraId="3B4058BD" w14:textId="77777777" w:rsidR="00EE6091" w:rsidRPr="00113B3E" w:rsidRDefault="00EE6091" w:rsidP="00EE6091">
      <w:pPr>
        <w:spacing w:before="120" w:after="120" w:line="240" w:lineRule="auto"/>
        <w:ind w:left="851" w:right="902"/>
        <w:jc w:val="both"/>
        <w:rPr>
          <w:rFonts w:ascii="Palatino Linotype" w:eastAsia="Palatino Linotype" w:hAnsi="Palatino Linotype" w:cs="Palatino Linotype"/>
          <w:i/>
          <w:color w:val="000000"/>
        </w:rPr>
      </w:pPr>
      <w:r w:rsidRPr="00113B3E">
        <w:rPr>
          <w:rFonts w:ascii="Palatino Linotype" w:eastAsia="Palatino Linotype" w:hAnsi="Palatino Linotype" w:cs="Palatino Linotype"/>
          <w:b/>
          <w:i/>
          <w:color w:val="000000"/>
        </w:rPr>
        <w:t>Quincuagésimo octavo</w:t>
      </w:r>
      <w:r w:rsidRPr="00113B3E">
        <w:rPr>
          <w:rFonts w:ascii="Palatino Linotype" w:eastAsia="Palatino Linotype" w:hAnsi="Palatino Linotype" w:cs="Palatino Linotype"/>
          <w:i/>
          <w:color w:val="000000"/>
        </w:rPr>
        <w:t>. Los sujetos obligados garantizarán que los sistemas o medios empleados para eliminar la información en las versiones públicas sean irreversibles, de tal forma que no permitan su recuperación o la visualización de la misma.”</w:t>
      </w:r>
    </w:p>
    <w:p w14:paraId="4085480A" w14:textId="77777777" w:rsidR="001356F8" w:rsidRPr="00113B3E" w:rsidRDefault="001356F8" w:rsidP="00662C47">
      <w:pPr>
        <w:pBdr>
          <w:top w:val="nil"/>
          <w:left w:val="nil"/>
          <w:bottom w:val="nil"/>
          <w:right w:val="nil"/>
          <w:between w:val="nil"/>
        </w:pBdr>
        <w:spacing w:after="0" w:line="360" w:lineRule="auto"/>
        <w:jc w:val="both"/>
        <w:rPr>
          <w:rFonts w:ascii="Palatino Linotype" w:eastAsia="Palatino Linotype" w:hAnsi="Palatino Linotype" w:cs="Palatino Linotype"/>
          <w:b/>
          <w:lang w:eastAsia="en-US"/>
        </w:rPr>
      </w:pPr>
    </w:p>
    <w:p w14:paraId="54452BF0" w14:textId="3A4A493A" w:rsidR="00F2577C" w:rsidRPr="00113B3E" w:rsidRDefault="00F2577C" w:rsidP="00F2577C">
      <w:pPr>
        <w:pBdr>
          <w:top w:val="nil"/>
          <w:left w:val="nil"/>
          <w:bottom w:val="nil"/>
          <w:right w:val="nil"/>
          <w:between w:val="nil"/>
        </w:pBdr>
        <w:spacing w:after="0" w:line="360" w:lineRule="auto"/>
        <w:jc w:val="both"/>
        <w:rPr>
          <w:rFonts w:ascii="Palatino Linotype" w:eastAsia="Palatino Linotype" w:hAnsi="Palatino Linotype" w:cs="Palatino Linotype"/>
          <w:lang w:eastAsia="en-US"/>
        </w:rPr>
      </w:pPr>
      <w:r w:rsidRPr="00113B3E">
        <w:rPr>
          <w:rFonts w:ascii="Palatino Linotype" w:eastAsia="Palatino Linotype" w:hAnsi="Palatino Linotype" w:cs="Palatino Linotype"/>
          <w:lang w:eastAsia="en-US"/>
        </w:rPr>
        <w:t xml:space="preserve">Así, con fundamento en lo prescrito en los artículos </w:t>
      </w:r>
      <w:r w:rsidR="0035261A" w:rsidRPr="00113B3E">
        <w:rPr>
          <w:rFonts w:ascii="Palatino Linotype" w:eastAsia="Palatino Linotype" w:hAnsi="Palatino Linotype" w:cs="Palatino Linotype"/>
          <w:lang w:eastAsia="en-US"/>
        </w:rPr>
        <w:t>5 párrafos cuadragésimo cuarto, cuadragésimo quinto y cuadragésimo sexto, fracciones IV y V de la Constitución Política del Estado Libre y Soberano de México; transitorio Cuarto del Decreto número 198 de la “LXII” Legislatura del Estado de México</w:t>
      </w:r>
      <w:r w:rsidRPr="00113B3E">
        <w:rPr>
          <w:rFonts w:ascii="Palatino Linotype" w:eastAsia="Palatino Linotype" w:hAnsi="Palatino Linotype" w:cs="Palatino Linotype"/>
          <w:lang w:eastAsia="en-US"/>
        </w:rPr>
        <w:t>; 2, fracción II; 29, 36 fracciones I y II; 176, 178, 181, 185, fracción I, 186, fracción III, así como 188 de la Ley de Transparencia y Acceso a la Información Pública del Estado de México y Municipios, este Pleno:</w:t>
      </w:r>
    </w:p>
    <w:p w14:paraId="7CB3756B" w14:textId="77777777" w:rsidR="00F2577C" w:rsidRPr="00113B3E" w:rsidRDefault="00F2577C" w:rsidP="00F2577C">
      <w:pPr>
        <w:pBdr>
          <w:top w:val="nil"/>
          <w:left w:val="nil"/>
          <w:bottom w:val="nil"/>
          <w:right w:val="nil"/>
          <w:between w:val="nil"/>
        </w:pBdr>
        <w:spacing w:after="0" w:line="360" w:lineRule="auto"/>
        <w:jc w:val="both"/>
        <w:rPr>
          <w:rFonts w:ascii="Palatino Linotype" w:eastAsia="Palatino Linotype" w:hAnsi="Palatino Linotype" w:cs="Palatino Linotype"/>
          <w:lang w:eastAsia="en-US"/>
        </w:rPr>
      </w:pPr>
    </w:p>
    <w:p w14:paraId="0BAC905F" w14:textId="77777777" w:rsidR="00F2577C" w:rsidRPr="00113B3E" w:rsidRDefault="00F2577C" w:rsidP="00F2577C">
      <w:pPr>
        <w:numPr>
          <w:ilvl w:val="0"/>
          <w:numId w:val="13"/>
        </w:numPr>
        <w:pBdr>
          <w:top w:val="nil"/>
          <w:left w:val="nil"/>
          <w:bottom w:val="nil"/>
          <w:right w:val="nil"/>
          <w:between w:val="nil"/>
        </w:pBdr>
        <w:spacing w:after="0" w:line="360" w:lineRule="auto"/>
        <w:jc w:val="center"/>
        <w:rPr>
          <w:rFonts w:ascii="Palatino Linotype" w:eastAsia="Palatino Linotype" w:hAnsi="Palatino Linotype" w:cs="Palatino Linotype"/>
          <w:b/>
          <w:lang w:eastAsia="en-US"/>
        </w:rPr>
      </w:pPr>
      <w:r w:rsidRPr="00113B3E">
        <w:rPr>
          <w:rFonts w:ascii="Palatino Linotype" w:eastAsia="Palatino Linotype" w:hAnsi="Palatino Linotype" w:cs="Palatino Linotype"/>
          <w:b/>
          <w:lang w:eastAsia="en-US"/>
        </w:rPr>
        <w:t>R E S U E L V E:</w:t>
      </w:r>
    </w:p>
    <w:p w14:paraId="74879B7A" w14:textId="648A09FC" w:rsidR="00F2577C" w:rsidRPr="00113B3E" w:rsidRDefault="00F2577C" w:rsidP="00F2577C">
      <w:pPr>
        <w:spacing w:after="0" w:line="360" w:lineRule="auto"/>
        <w:jc w:val="both"/>
        <w:rPr>
          <w:rFonts w:ascii="Palatino Linotype" w:eastAsia="Palatino Linotype" w:hAnsi="Palatino Linotype" w:cs="Palatino Linotype"/>
          <w:b/>
          <w:lang w:eastAsia="en-US"/>
        </w:rPr>
      </w:pPr>
      <w:r w:rsidRPr="00113B3E">
        <w:rPr>
          <w:rFonts w:ascii="Palatino Linotype" w:eastAsia="Palatino Linotype" w:hAnsi="Palatino Linotype" w:cs="Palatino Linotype"/>
          <w:b/>
          <w:lang w:eastAsia="en-US"/>
        </w:rPr>
        <w:t xml:space="preserve">Primero. </w:t>
      </w:r>
      <w:r w:rsidRPr="00113B3E">
        <w:rPr>
          <w:rFonts w:ascii="Palatino Linotype" w:eastAsia="Palatino Linotype" w:hAnsi="Palatino Linotype" w:cs="Palatino Linotype"/>
          <w:lang w:eastAsia="en-US"/>
        </w:rPr>
        <w:t>Resultan</w:t>
      </w:r>
      <w:r w:rsidRPr="00113B3E">
        <w:rPr>
          <w:rFonts w:ascii="Palatino Linotype" w:eastAsia="Palatino Linotype" w:hAnsi="Palatino Linotype" w:cs="Palatino Linotype"/>
          <w:b/>
          <w:lang w:eastAsia="en-US"/>
        </w:rPr>
        <w:t xml:space="preserve"> fundados</w:t>
      </w:r>
      <w:r w:rsidRPr="00113B3E">
        <w:rPr>
          <w:rFonts w:ascii="Palatino Linotype" w:eastAsia="Palatino Linotype" w:hAnsi="Palatino Linotype" w:cs="Palatino Linotype"/>
          <w:lang w:eastAsia="en-US"/>
        </w:rPr>
        <w:t xml:space="preserve"> los motivos de inconformidad hechos valer por la parte </w:t>
      </w:r>
      <w:r w:rsidRPr="00113B3E">
        <w:rPr>
          <w:rFonts w:ascii="Palatino Linotype" w:eastAsia="Palatino Linotype" w:hAnsi="Palatino Linotype" w:cs="Palatino Linotype"/>
          <w:b/>
          <w:lang w:eastAsia="en-US"/>
        </w:rPr>
        <w:t xml:space="preserve">Recurrente </w:t>
      </w:r>
      <w:r w:rsidRPr="00113B3E">
        <w:rPr>
          <w:rFonts w:ascii="Palatino Linotype" w:eastAsia="Palatino Linotype" w:hAnsi="Palatino Linotype" w:cs="Palatino Linotype"/>
          <w:lang w:eastAsia="en-US"/>
        </w:rPr>
        <w:t xml:space="preserve">en los recursos de revisión </w:t>
      </w:r>
      <w:r w:rsidR="00984062" w:rsidRPr="00113B3E">
        <w:rPr>
          <w:rFonts w:ascii="Palatino Linotype" w:eastAsia="Palatino Linotype" w:hAnsi="Palatino Linotype" w:cs="Palatino Linotype"/>
          <w:b/>
        </w:rPr>
        <w:t>11359</w:t>
      </w:r>
      <w:r w:rsidR="00E06FED" w:rsidRPr="00113B3E">
        <w:rPr>
          <w:rFonts w:ascii="Palatino Linotype" w:eastAsia="Palatino Linotype" w:hAnsi="Palatino Linotype" w:cs="Palatino Linotype"/>
          <w:b/>
        </w:rPr>
        <w:t xml:space="preserve">/INFOEM/IP/RR/2025 y </w:t>
      </w:r>
      <w:r w:rsidR="00984062" w:rsidRPr="00113B3E">
        <w:rPr>
          <w:rFonts w:ascii="Palatino Linotype" w:eastAsia="Palatino Linotype" w:hAnsi="Palatino Linotype" w:cs="Palatino Linotype"/>
          <w:b/>
        </w:rPr>
        <w:t>11360</w:t>
      </w:r>
      <w:r w:rsidR="00E06FED" w:rsidRPr="00113B3E">
        <w:rPr>
          <w:rFonts w:ascii="Palatino Linotype" w:eastAsia="Palatino Linotype" w:hAnsi="Palatino Linotype" w:cs="Palatino Linotype"/>
          <w:b/>
        </w:rPr>
        <w:t>/INFOEM/IP/RR/2025 acumulados</w:t>
      </w:r>
      <w:r w:rsidRPr="00113B3E">
        <w:rPr>
          <w:rFonts w:ascii="Palatino Linotype" w:eastAsia="Palatino Linotype" w:hAnsi="Palatino Linotype" w:cs="Palatino Linotype"/>
          <w:b/>
          <w:lang w:eastAsia="en-US"/>
        </w:rPr>
        <w:t xml:space="preserve">, </w:t>
      </w:r>
      <w:r w:rsidRPr="00113B3E">
        <w:rPr>
          <w:rFonts w:ascii="Palatino Linotype" w:eastAsia="Palatino Linotype" w:hAnsi="Palatino Linotype" w:cs="Palatino Linotype"/>
          <w:lang w:eastAsia="en-US"/>
        </w:rPr>
        <w:t xml:space="preserve">por lo que, en términos del Considerando </w:t>
      </w:r>
      <w:r w:rsidRPr="00113B3E">
        <w:rPr>
          <w:rFonts w:ascii="Palatino Linotype" w:eastAsia="Palatino Linotype" w:hAnsi="Palatino Linotype" w:cs="Palatino Linotype"/>
          <w:b/>
          <w:lang w:eastAsia="en-US"/>
        </w:rPr>
        <w:t>Cuarto</w:t>
      </w:r>
      <w:r w:rsidRPr="00113B3E">
        <w:rPr>
          <w:rFonts w:ascii="Palatino Linotype" w:eastAsia="Palatino Linotype" w:hAnsi="Palatino Linotype" w:cs="Palatino Linotype"/>
          <w:lang w:eastAsia="en-US"/>
        </w:rPr>
        <w:t xml:space="preserve"> de la presente resolución, se</w:t>
      </w:r>
      <w:r w:rsidRPr="00113B3E">
        <w:rPr>
          <w:rFonts w:ascii="Palatino Linotype" w:eastAsia="Palatino Linotype" w:hAnsi="Palatino Linotype" w:cs="Palatino Linotype"/>
          <w:b/>
          <w:lang w:eastAsia="en-US"/>
        </w:rPr>
        <w:t xml:space="preserve"> Modifican </w:t>
      </w:r>
      <w:r w:rsidRPr="00113B3E">
        <w:rPr>
          <w:rFonts w:ascii="Palatino Linotype" w:eastAsia="Palatino Linotype" w:hAnsi="Palatino Linotype" w:cs="Palatino Linotype"/>
          <w:lang w:eastAsia="en-US"/>
        </w:rPr>
        <w:t>las respuestas</w:t>
      </w:r>
      <w:r w:rsidRPr="00113B3E">
        <w:rPr>
          <w:rFonts w:ascii="Palatino Linotype" w:eastAsia="Palatino Linotype" w:hAnsi="Palatino Linotype" w:cs="Palatino Linotype"/>
          <w:b/>
          <w:lang w:eastAsia="en-US"/>
        </w:rPr>
        <w:t xml:space="preserve"> </w:t>
      </w:r>
      <w:r w:rsidRPr="00113B3E">
        <w:rPr>
          <w:rFonts w:ascii="Palatino Linotype" w:eastAsia="Palatino Linotype" w:hAnsi="Palatino Linotype" w:cs="Palatino Linotype"/>
          <w:lang w:eastAsia="en-US"/>
        </w:rPr>
        <w:t xml:space="preserve">del </w:t>
      </w:r>
      <w:r w:rsidRPr="00113B3E">
        <w:rPr>
          <w:rFonts w:ascii="Palatino Linotype" w:eastAsia="Palatino Linotype" w:hAnsi="Palatino Linotype" w:cs="Palatino Linotype"/>
          <w:b/>
          <w:lang w:eastAsia="en-US"/>
        </w:rPr>
        <w:t>Sujeto Obligado.</w:t>
      </w:r>
    </w:p>
    <w:p w14:paraId="1164810C" w14:textId="77777777" w:rsidR="00F2577C" w:rsidRPr="00113B3E" w:rsidRDefault="00F2577C" w:rsidP="00F2577C">
      <w:pPr>
        <w:spacing w:after="0" w:line="360" w:lineRule="auto"/>
        <w:jc w:val="both"/>
        <w:rPr>
          <w:rFonts w:ascii="Palatino Linotype" w:eastAsia="Palatino Linotype" w:hAnsi="Palatino Linotype" w:cs="Palatino Linotype"/>
          <w:b/>
          <w:lang w:eastAsia="en-US"/>
        </w:rPr>
      </w:pPr>
    </w:p>
    <w:p w14:paraId="75EAFB77" w14:textId="783082ED" w:rsidR="00F2577C" w:rsidRPr="00113B3E" w:rsidRDefault="00F2577C" w:rsidP="00F2577C">
      <w:pPr>
        <w:spacing w:after="0" w:line="360" w:lineRule="auto"/>
        <w:jc w:val="both"/>
        <w:rPr>
          <w:rFonts w:ascii="Palatino Linotype" w:eastAsia="Palatino Linotype" w:hAnsi="Palatino Linotype" w:cs="Palatino Linotype"/>
          <w:lang w:eastAsia="en-US"/>
        </w:rPr>
      </w:pPr>
      <w:r w:rsidRPr="00113B3E">
        <w:rPr>
          <w:rFonts w:ascii="Palatino Linotype" w:eastAsia="Palatino Linotype" w:hAnsi="Palatino Linotype" w:cs="Palatino Linotype"/>
          <w:b/>
          <w:lang w:eastAsia="en-US"/>
        </w:rPr>
        <w:t xml:space="preserve">Segundo. </w:t>
      </w:r>
      <w:r w:rsidRPr="00113B3E">
        <w:rPr>
          <w:rFonts w:ascii="Palatino Linotype" w:eastAsia="Palatino Linotype" w:hAnsi="Palatino Linotype" w:cs="Palatino Linotype"/>
          <w:lang w:eastAsia="en-US"/>
        </w:rPr>
        <w:t xml:space="preserve">Se </w:t>
      </w:r>
      <w:r w:rsidRPr="00113B3E">
        <w:rPr>
          <w:rFonts w:ascii="Palatino Linotype" w:eastAsia="Palatino Linotype" w:hAnsi="Palatino Linotype" w:cs="Palatino Linotype"/>
          <w:b/>
          <w:lang w:eastAsia="en-US"/>
        </w:rPr>
        <w:t>Ordena</w:t>
      </w:r>
      <w:r w:rsidRPr="00113B3E">
        <w:rPr>
          <w:rFonts w:ascii="Palatino Linotype" w:eastAsia="Palatino Linotype" w:hAnsi="Palatino Linotype" w:cs="Palatino Linotype"/>
          <w:lang w:eastAsia="en-US"/>
        </w:rPr>
        <w:t xml:space="preserve"> al </w:t>
      </w:r>
      <w:r w:rsidRPr="00113B3E">
        <w:rPr>
          <w:rFonts w:ascii="Palatino Linotype" w:eastAsia="Palatino Linotype" w:hAnsi="Palatino Linotype" w:cs="Palatino Linotype"/>
          <w:b/>
          <w:lang w:eastAsia="en-US"/>
        </w:rPr>
        <w:t>Sujeto Obligado</w:t>
      </w:r>
      <w:r w:rsidRPr="00113B3E">
        <w:rPr>
          <w:rFonts w:ascii="Palatino Linotype" w:eastAsia="Palatino Linotype" w:hAnsi="Palatino Linotype" w:cs="Palatino Linotype"/>
          <w:lang w:eastAsia="en-US"/>
        </w:rPr>
        <w:t xml:space="preserve">, en términos de los Considerandos </w:t>
      </w:r>
      <w:r w:rsidRPr="00113B3E">
        <w:rPr>
          <w:rFonts w:ascii="Palatino Linotype" w:eastAsia="Palatino Linotype" w:hAnsi="Palatino Linotype" w:cs="Palatino Linotype"/>
          <w:b/>
          <w:lang w:eastAsia="en-US"/>
        </w:rPr>
        <w:t xml:space="preserve">Cuarto y Quinto </w:t>
      </w:r>
      <w:r w:rsidRPr="00113B3E">
        <w:rPr>
          <w:rFonts w:ascii="Palatino Linotype" w:eastAsia="Palatino Linotype" w:hAnsi="Palatino Linotype" w:cs="Palatino Linotype"/>
          <w:lang w:eastAsia="en-US"/>
        </w:rPr>
        <w:t xml:space="preserve">de esta resolución, </w:t>
      </w:r>
      <w:r w:rsidRPr="00113B3E">
        <w:rPr>
          <w:rFonts w:ascii="Palatino Linotype" w:eastAsia="Palatino Linotype" w:hAnsi="Palatino Linotype" w:cs="Palatino Linotype"/>
          <w:b/>
          <w:lang w:eastAsia="en-US"/>
        </w:rPr>
        <w:t>haga entrega vía Sistema de Acceso a la Información Mexiquense (SAIMEX</w:t>
      </w:r>
      <w:r w:rsidR="00984062" w:rsidRPr="00113B3E">
        <w:rPr>
          <w:rFonts w:ascii="Palatino Linotype" w:eastAsia="Palatino Linotype" w:hAnsi="Palatino Linotype" w:cs="Palatino Linotype"/>
          <w:b/>
          <w:lang w:eastAsia="en-US"/>
        </w:rPr>
        <w:t>), previa búsqueda exhaustiva y razonable, de ser procedente en versión pública,</w:t>
      </w:r>
      <w:r w:rsidRPr="00113B3E">
        <w:rPr>
          <w:rFonts w:ascii="Palatino Linotype" w:eastAsia="Palatino Linotype" w:hAnsi="Palatino Linotype" w:cs="Palatino Linotype"/>
        </w:rPr>
        <w:t xml:space="preserve"> lo siguiente:</w:t>
      </w:r>
    </w:p>
    <w:p w14:paraId="52BE0C00" w14:textId="77777777" w:rsidR="00F2577C" w:rsidRPr="00113B3E" w:rsidRDefault="00F2577C" w:rsidP="00F2577C">
      <w:pPr>
        <w:spacing w:after="0" w:line="360" w:lineRule="auto"/>
        <w:ind w:right="49"/>
        <w:jc w:val="both"/>
        <w:rPr>
          <w:rFonts w:ascii="Palatino Linotype" w:eastAsia="Palatino Linotype" w:hAnsi="Palatino Linotype" w:cs="Palatino Linotype"/>
        </w:rPr>
      </w:pPr>
    </w:p>
    <w:p w14:paraId="781BB814" w14:textId="77777777" w:rsidR="00984062" w:rsidRPr="00113B3E" w:rsidRDefault="00984062" w:rsidP="00984062">
      <w:pPr>
        <w:pStyle w:val="Prrafodelista"/>
        <w:numPr>
          <w:ilvl w:val="0"/>
          <w:numId w:val="29"/>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113B3E">
        <w:rPr>
          <w:rFonts w:ascii="Palatino Linotype" w:eastAsia="Palatino Linotype" w:hAnsi="Palatino Linotype" w:cs="Palatino Linotype"/>
          <w:b/>
        </w:rPr>
        <w:t>El contrato o contratos celebrados con motivo de las presentaciones de artistas en la Feria y Festival Cultural del Alfeñique 2025, con los que se cuente al 10 de septiembre de 2025.</w:t>
      </w:r>
    </w:p>
    <w:p w14:paraId="0116045A" w14:textId="77777777" w:rsidR="00F87D35" w:rsidRPr="00113B3E" w:rsidRDefault="00F87D35" w:rsidP="00F87D35">
      <w:pPr>
        <w:pBdr>
          <w:top w:val="nil"/>
          <w:left w:val="nil"/>
          <w:bottom w:val="nil"/>
          <w:right w:val="nil"/>
          <w:between w:val="nil"/>
        </w:pBdr>
        <w:ind w:right="-150"/>
        <w:jc w:val="both"/>
        <w:rPr>
          <w:rFonts w:ascii="Palatino Linotype" w:eastAsia="Palatino Linotype" w:hAnsi="Palatino Linotype" w:cs="Palatino Linotype"/>
          <w:i/>
          <w:lang w:val="es-ES"/>
        </w:rPr>
      </w:pPr>
    </w:p>
    <w:p w14:paraId="6443ED25" w14:textId="1C718CBA" w:rsidR="00052EF7" w:rsidRPr="00113B3E" w:rsidRDefault="00052EF7" w:rsidP="00F87D35">
      <w:pPr>
        <w:pBdr>
          <w:top w:val="nil"/>
          <w:left w:val="nil"/>
          <w:bottom w:val="nil"/>
          <w:right w:val="nil"/>
          <w:between w:val="nil"/>
        </w:pBdr>
        <w:ind w:right="-150"/>
        <w:jc w:val="both"/>
        <w:rPr>
          <w:rFonts w:ascii="Palatino Linotype" w:eastAsia="Palatino Linotype" w:hAnsi="Palatino Linotype" w:cs="Palatino Linotype"/>
          <w:i/>
        </w:rPr>
      </w:pPr>
      <w:r w:rsidRPr="00113B3E">
        <w:rPr>
          <w:rFonts w:ascii="Palatino Linotype" w:eastAsia="Palatino Linotype" w:hAnsi="Palatino Linotype" w:cs="Palatino Linotype"/>
          <w:i/>
          <w:lang w:val="es-ES"/>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w:t>
      </w:r>
      <w:r w:rsidRPr="00113B3E">
        <w:rPr>
          <w:rFonts w:ascii="Palatino Linotype" w:eastAsia="Palatino Linotype" w:hAnsi="Palatino Linotype" w:cs="Palatino Linotype"/>
          <w:b/>
          <w:i/>
          <w:lang w:val="es-ES"/>
        </w:rPr>
        <w:t>la parte Recurrente.</w:t>
      </w:r>
    </w:p>
    <w:p w14:paraId="0FA910A0" w14:textId="77777777" w:rsidR="00F2577C" w:rsidRPr="00113B3E" w:rsidRDefault="00F2577C" w:rsidP="00F2577C">
      <w:pPr>
        <w:pBdr>
          <w:top w:val="nil"/>
          <w:left w:val="nil"/>
          <w:bottom w:val="nil"/>
          <w:right w:val="nil"/>
          <w:between w:val="nil"/>
        </w:pBdr>
        <w:spacing w:after="0" w:line="276" w:lineRule="auto"/>
        <w:ind w:left="284" w:right="49"/>
        <w:jc w:val="both"/>
        <w:rPr>
          <w:rFonts w:ascii="Palatino Linotype" w:eastAsia="Palatino Linotype" w:hAnsi="Palatino Linotype" w:cs="Palatino Linotype"/>
          <w:i/>
          <w:lang w:eastAsia="en-US"/>
        </w:rPr>
      </w:pPr>
    </w:p>
    <w:p w14:paraId="763F2847" w14:textId="77777777" w:rsidR="00F2577C" w:rsidRPr="00113B3E" w:rsidRDefault="00F2577C" w:rsidP="00F2577C">
      <w:pPr>
        <w:spacing w:after="0" w:line="360" w:lineRule="auto"/>
        <w:jc w:val="both"/>
        <w:rPr>
          <w:rFonts w:ascii="Palatino Linotype" w:eastAsia="Palatino Linotype" w:hAnsi="Palatino Linotype" w:cs="Palatino Linotype"/>
          <w:lang w:eastAsia="en-US"/>
        </w:rPr>
      </w:pPr>
      <w:r w:rsidRPr="00113B3E">
        <w:rPr>
          <w:rFonts w:ascii="Palatino Linotype" w:eastAsia="Palatino Linotype" w:hAnsi="Palatino Linotype" w:cs="Palatino Linotype"/>
          <w:b/>
          <w:lang w:eastAsia="en-US"/>
        </w:rPr>
        <w:t xml:space="preserve">Tercero. Notifíquese, </w:t>
      </w:r>
      <w:r w:rsidRPr="00113B3E">
        <w:rPr>
          <w:rFonts w:ascii="Palatino Linotype" w:eastAsia="Palatino Linotype" w:hAnsi="Palatino Linotype" w:cs="Palatino Linotype"/>
          <w:lang w:eastAsia="en-US"/>
        </w:rPr>
        <w:t xml:space="preserve">vía </w:t>
      </w:r>
      <w:r w:rsidRPr="00113B3E">
        <w:rPr>
          <w:rFonts w:ascii="Palatino Linotype" w:eastAsia="Palatino Linotype" w:hAnsi="Palatino Linotype" w:cs="Palatino Linotype"/>
          <w:b/>
          <w:lang w:eastAsia="en-US"/>
        </w:rPr>
        <w:t>SAIMEX</w:t>
      </w:r>
      <w:r w:rsidRPr="00113B3E">
        <w:rPr>
          <w:rFonts w:ascii="Palatino Linotype" w:eastAsia="Palatino Linotype" w:hAnsi="Palatino Linotype" w:cs="Palatino Linotype"/>
          <w:lang w:eastAsia="en-US"/>
        </w:rPr>
        <w:t xml:space="preserve">, al Titular de la Unidad de Transparencia del </w:t>
      </w:r>
      <w:r w:rsidRPr="00113B3E">
        <w:rPr>
          <w:rFonts w:ascii="Palatino Linotype" w:eastAsia="Palatino Linotype" w:hAnsi="Palatino Linotype" w:cs="Palatino Linotype"/>
          <w:b/>
          <w:lang w:eastAsia="en-US"/>
        </w:rPr>
        <w:t>Sujeto Obligado,</w:t>
      </w:r>
      <w:r w:rsidRPr="00113B3E">
        <w:rPr>
          <w:rFonts w:ascii="Palatino Linotype" w:eastAsia="Palatino Linotype" w:hAnsi="Palatino Linotype" w:cs="Palatino Linotype"/>
          <w:lang w:eastAsia="en-US"/>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FF9216E" w14:textId="77777777" w:rsidR="00F2577C" w:rsidRPr="00113B3E" w:rsidRDefault="00F2577C" w:rsidP="00F2577C">
      <w:pPr>
        <w:spacing w:after="0" w:line="360" w:lineRule="auto"/>
        <w:jc w:val="both"/>
        <w:rPr>
          <w:rFonts w:ascii="Palatino Linotype" w:eastAsia="Palatino Linotype" w:hAnsi="Palatino Linotype" w:cs="Palatino Linotype"/>
          <w:lang w:eastAsia="en-US"/>
        </w:rPr>
      </w:pPr>
    </w:p>
    <w:p w14:paraId="438459B2" w14:textId="77777777" w:rsidR="00F2577C" w:rsidRPr="00113B3E" w:rsidRDefault="00F2577C" w:rsidP="00F2577C">
      <w:pPr>
        <w:spacing w:after="0" w:line="360" w:lineRule="auto"/>
        <w:ind w:right="49"/>
        <w:jc w:val="both"/>
        <w:rPr>
          <w:rFonts w:ascii="Palatino Linotype" w:eastAsia="Palatino Linotype" w:hAnsi="Palatino Linotype" w:cs="Palatino Linotype"/>
          <w:lang w:eastAsia="en-US"/>
        </w:rPr>
      </w:pPr>
      <w:r w:rsidRPr="00113B3E">
        <w:rPr>
          <w:rFonts w:ascii="Palatino Linotype" w:eastAsia="Palatino Linotype" w:hAnsi="Palatino Linotype" w:cs="Palatino Linotype"/>
          <w:b/>
          <w:lang w:eastAsia="en-US"/>
        </w:rPr>
        <w:t>Cuarto.</w:t>
      </w:r>
      <w:r w:rsidRPr="00113B3E">
        <w:rPr>
          <w:rFonts w:ascii="Palatino Linotype" w:eastAsia="Palatino Linotype" w:hAnsi="Palatino Linotype" w:cs="Palatino Linotype"/>
          <w:lang w:eastAsia="en-US"/>
        </w:rPr>
        <w:t xml:space="preserve"> </w:t>
      </w:r>
      <w:r w:rsidRPr="00113B3E">
        <w:rPr>
          <w:rFonts w:ascii="Palatino Linotype" w:eastAsia="Palatino Linotype" w:hAnsi="Palatino Linotype" w:cs="Palatino Linotype"/>
          <w:b/>
          <w:lang w:eastAsia="en-US"/>
        </w:rPr>
        <w:t xml:space="preserve">Notifíquese </w:t>
      </w:r>
      <w:r w:rsidRPr="00113B3E">
        <w:rPr>
          <w:rFonts w:ascii="Palatino Linotype" w:eastAsia="Palatino Linotype" w:hAnsi="Palatino Linotype" w:cs="Palatino Linotype"/>
          <w:lang w:eastAsia="en-US"/>
        </w:rPr>
        <w:t>vía SAIMEX</w:t>
      </w:r>
      <w:r w:rsidRPr="00113B3E">
        <w:rPr>
          <w:rFonts w:ascii="Palatino Linotype" w:eastAsia="Palatino Linotype" w:hAnsi="Palatino Linotype" w:cs="Palatino Linotype"/>
          <w:b/>
          <w:lang w:eastAsia="en-US"/>
        </w:rPr>
        <w:t xml:space="preserve">, </w:t>
      </w:r>
      <w:r w:rsidRPr="00113B3E">
        <w:rPr>
          <w:rFonts w:ascii="Palatino Linotype" w:eastAsia="Palatino Linotype" w:hAnsi="Palatino Linotype" w:cs="Palatino Linotype"/>
          <w:lang w:eastAsia="en-US"/>
        </w:rPr>
        <w:t xml:space="preserve">que de conformidad con el artículo 198 de la Ley de Transparencia y Acceso a la Información Pública del Estado de México y Municipios, de considerarlo procedente, el </w:t>
      </w:r>
      <w:r w:rsidRPr="00113B3E">
        <w:rPr>
          <w:rFonts w:ascii="Palatino Linotype" w:eastAsia="Palatino Linotype" w:hAnsi="Palatino Linotype" w:cs="Palatino Linotype"/>
          <w:b/>
          <w:lang w:eastAsia="en-US"/>
        </w:rPr>
        <w:t>Sujeto Obligado</w:t>
      </w:r>
      <w:r w:rsidRPr="00113B3E">
        <w:rPr>
          <w:rFonts w:ascii="Palatino Linotype" w:eastAsia="Palatino Linotype" w:hAnsi="Palatino Linotype" w:cs="Palatino Linotype"/>
          <w:lang w:eastAsia="en-US"/>
        </w:rPr>
        <w:t xml:space="preserve"> de manera fundada y motivada, podrá solicitar una ampliación de plazo para el cumplimiento de la presente resolución.</w:t>
      </w:r>
    </w:p>
    <w:p w14:paraId="4771C852" w14:textId="77777777" w:rsidR="00F2577C" w:rsidRPr="00113B3E" w:rsidRDefault="00F2577C" w:rsidP="00F2577C">
      <w:pPr>
        <w:spacing w:after="0" w:line="360" w:lineRule="auto"/>
        <w:ind w:right="49"/>
        <w:jc w:val="both"/>
        <w:rPr>
          <w:rFonts w:ascii="Palatino Linotype" w:eastAsia="Palatino Linotype" w:hAnsi="Palatino Linotype" w:cs="Palatino Linotype"/>
          <w:lang w:eastAsia="en-US"/>
        </w:rPr>
      </w:pPr>
    </w:p>
    <w:p w14:paraId="731ED6A4" w14:textId="77777777" w:rsidR="00F2577C" w:rsidRPr="00113B3E" w:rsidRDefault="00F2577C" w:rsidP="00F2577C">
      <w:pPr>
        <w:spacing w:after="0" w:line="360" w:lineRule="auto"/>
        <w:ind w:right="49"/>
        <w:jc w:val="both"/>
        <w:rPr>
          <w:rFonts w:ascii="Palatino Linotype" w:eastAsia="Palatino Linotype" w:hAnsi="Palatino Linotype" w:cs="Palatino Linotype"/>
          <w:lang w:eastAsia="en-US"/>
        </w:rPr>
      </w:pPr>
      <w:r w:rsidRPr="00113B3E">
        <w:rPr>
          <w:rFonts w:ascii="Palatino Linotype" w:eastAsia="Palatino Linotype" w:hAnsi="Palatino Linotype" w:cs="Palatino Linotype"/>
          <w:b/>
          <w:lang w:eastAsia="en-US"/>
        </w:rPr>
        <w:t xml:space="preserve">Quinto. Notifíquese </w:t>
      </w:r>
      <w:r w:rsidRPr="00113B3E">
        <w:rPr>
          <w:rFonts w:ascii="Palatino Linotype" w:eastAsia="Palatino Linotype" w:hAnsi="Palatino Linotype" w:cs="Palatino Linotype"/>
          <w:lang w:eastAsia="en-US"/>
        </w:rPr>
        <w:t>vía SAIMEX</w:t>
      </w:r>
      <w:r w:rsidRPr="00113B3E">
        <w:rPr>
          <w:rFonts w:ascii="Palatino Linotype" w:eastAsia="Palatino Linotype" w:hAnsi="Palatino Linotype" w:cs="Palatino Linotype"/>
          <w:b/>
          <w:lang w:eastAsia="en-US"/>
        </w:rPr>
        <w:t xml:space="preserve">, </w:t>
      </w:r>
      <w:r w:rsidRPr="00113B3E">
        <w:rPr>
          <w:rFonts w:ascii="Palatino Linotype" w:eastAsia="Palatino Linotype" w:hAnsi="Palatino Linotype" w:cs="Palatino Linotype"/>
          <w:lang w:eastAsia="en-US"/>
        </w:rPr>
        <w:t xml:space="preserve">la presente resolución a la parte </w:t>
      </w:r>
      <w:r w:rsidRPr="00113B3E">
        <w:rPr>
          <w:rFonts w:ascii="Palatino Linotype" w:eastAsia="Palatino Linotype" w:hAnsi="Palatino Linotype" w:cs="Palatino Linotype"/>
          <w:b/>
          <w:lang w:eastAsia="en-US"/>
        </w:rPr>
        <w:t>Recurrente</w:t>
      </w:r>
      <w:r w:rsidRPr="00113B3E">
        <w:rPr>
          <w:rFonts w:ascii="Palatino Linotype" w:eastAsia="Palatino Linotype" w:hAnsi="Palatino Linotype" w:cs="Palatino Linotype"/>
          <w:lang w:eastAsia="en-US"/>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2FB9B82" w14:textId="77777777" w:rsidR="00DC23E2" w:rsidRPr="00113B3E" w:rsidRDefault="00DC23E2" w:rsidP="00F2577C">
      <w:pPr>
        <w:spacing w:after="0" w:line="360" w:lineRule="auto"/>
        <w:ind w:right="49"/>
        <w:jc w:val="both"/>
        <w:rPr>
          <w:rFonts w:ascii="Palatino Linotype" w:eastAsia="Palatino Linotype" w:hAnsi="Palatino Linotype" w:cs="Palatino Linotype"/>
          <w:lang w:eastAsia="en-US"/>
        </w:rPr>
      </w:pPr>
    </w:p>
    <w:p w14:paraId="19A874BD" w14:textId="536BA796" w:rsidR="00F2577C" w:rsidRPr="00F2577C" w:rsidRDefault="00F2577C" w:rsidP="00F2577C">
      <w:pPr>
        <w:spacing w:after="200" w:line="360" w:lineRule="auto"/>
        <w:jc w:val="both"/>
        <w:rPr>
          <w:rFonts w:ascii="Palatino Linotype" w:eastAsia="Palatino Linotype" w:hAnsi="Palatino Linotype" w:cs="Palatino Linotype"/>
        </w:rPr>
      </w:pPr>
      <w:r w:rsidRPr="00113B3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35261A" w:rsidRPr="00113B3E">
        <w:rPr>
          <w:rFonts w:ascii="Palatino Linotype" w:eastAsia="Palatino Linotype" w:hAnsi="Palatino Linotype" w:cs="Palatino Linotype"/>
        </w:rPr>
        <w:t xml:space="preserve"> (CON AUSENCIA JUSTIFICADA)</w:t>
      </w:r>
      <w:r w:rsidRPr="00113B3E">
        <w:rPr>
          <w:rFonts w:ascii="Palatino Linotype" w:eastAsia="Palatino Linotype" w:hAnsi="Palatino Linotype" w:cs="Palatino Linotype"/>
        </w:rPr>
        <w:t xml:space="preserve">, SHARON CRISTINA MORALES MARTÍNEZ, LUIS GUSTAVO PARRA NORIEGA Y GUADALUPE RAMÍREZ PEÑA; EN LA </w:t>
      </w:r>
      <w:r w:rsidR="007904FE" w:rsidRPr="00113B3E">
        <w:rPr>
          <w:rFonts w:ascii="Palatino Linotype" w:eastAsia="Palatino Linotype" w:hAnsi="Palatino Linotype" w:cs="Palatino Linotype"/>
        </w:rPr>
        <w:t xml:space="preserve">TRIGÉSIMA </w:t>
      </w:r>
      <w:r w:rsidR="00984062" w:rsidRPr="00113B3E">
        <w:rPr>
          <w:rFonts w:ascii="Palatino Linotype" w:eastAsia="Palatino Linotype" w:hAnsi="Palatino Linotype" w:cs="Palatino Linotype"/>
        </w:rPr>
        <w:t>NOVENA</w:t>
      </w:r>
      <w:r w:rsidRPr="00113B3E">
        <w:rPr>
          <w:rFonts w:ascii="Palatino Linotype" w:eastAsia="Palatino Linotype" w:hAnsi="Palatino Linotype" w:cs="Palatino Linotype"/>
        </w:rPr>
        <w:t xml:space="preserve"> SESIÓN ORDINARIA, CELEBRADA EL </w:t>
      </w:r>
      <w:r w:rsidR="00984062" w:rsidRPr="00113B3E">
        <w:rPr>
          <w:rFonts w:ascii="Palatino Linotype" w:eastAsia="Palatino Linotype" w:hAnsi="Palatino Linotype" w:cs="Palatino Linotype"/>
        </w:rPr>
        <w:t>CINCO DE NOVIEMBRE</w:t>
      </w:r>
      <w:r w:rsidRPr="00113B3E">
        <w:rPr>
          <w:rFonts w:ascii="Palatino Linotype" w:eastAsia="Palatino Linotype" w:hAnsi="Palatino Linotype" w:cs="Palatino Linotype"/>
        </w:rPr>
        <w:t xml:space="preserve"> DE DOS MIL VEINTICINCO, ANTE EL SECRETARIO TÉCNICO DEL PLENO ALEXIS TAPIA RAMÍREZ.</w:t>
      </w:r>
      <w:r w:rsidRPr="00F2577C">
        <w:rPr>
          <w:rFonts w:ascii="Palatino Linotype" w:eastAsia="Palatino Linotype" w:hAnsi="Palatino Linotype" w:cs="Palatino Linotype"/>
        </w:rPr>
        <w:t xml:space="preserve"> </w:t>
      </w:r>
    </w:p>
    <w:p w14:paraId="62E6BBD3" w14:textId="6F3843CD" w:rsidR="007B298B" w:rsidRPr="007B298B" w:rsidRDefault="007B298B">
      <w:pPr>
        <w:spacing w:after="0" w:line="360" w:lineRule="auto"/>
        <w:ind w:right="49"/>
        <w:jc w:val="both"/>
        <w:rPr>
          <w:rFonts w:ascii="Palatino Linotype" w:eastAsia="Palatino Linotype" w:hAnsi="Palatino Linotype" w:cs="Palatino Linotype"/>
        </w:rPr>
      </w:pPr>
    </w:p>
    <w:sectPr w:rsidR="007B298B" w:rsidRPr="007B298B">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19FD6" w14:textId="77777777" w:rsidR="00221A15" w:rsidRDefault="00221A15">
      <w:pPr>
        <w:spacing w:after="0" w:line="240" w:lineRule="auto"/>
      </w:pPr>
      <w:r>
        <w:separator/>
      </w:r>
    </w:p>
  </w:endnote>
  <w:endnote w:type="continuationSeparator" w:id="0">
    <w:p w14:paraId="5AF8F42B" w14:textId="77777777" w:rsidR="00221A15" w:rsidRDefault="00221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5FEBE" w14:textId="235ACB0F" w:rsidR="00EE6091" w:rsidRDefault="00EE609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D5523">
      <w:rPr>
        <w:b/>
        <w:noProof/>
        <w:color w:val="000000"/>
        <w:sz w:val="24"/>
        <w:szCs w:val="24"/>
      </w:rPr>
      <w:t>44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D5523">
      <w:rPr>
        <w:b/>
        <w:noProof/>
        <w:color w:val="000000"/>
        <w:sz w:val="24"/>
        <w:szCs w:val="24"/>
      </w:rPr>
      <w:t>44</w:t>
    </w:r>
    <w:r>
      <w:rPr>
        <w:b/>
        <w:color w:val="000000"/>
        <w:sz w:val="24"/>
        <w:szCs w:val="24"/>
      </w:rPr>
      <w:fldChar w:fldCharType="end"/>
    </w:r>
  </w:p>
  <w:p w14:paraId="4E8A8F92" w14:textId="77777777" w:rsidR="00EE6091" w:rsidRDefault="00EE609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AA54E" w14:textId="4B66410F" w:rsidR="00EE6091" w:rsidRDefault="00EE609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D552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D5523">
      <w:rPr>
        <w:b/>
        <w:noProof/>
        <w:color w:val="000000"/>
        <w:sz w:val="24"/>
        <w:szCs w:val="24"/>
      </w:rPr>
      <w:t>44</w:t>
    </w:r>
    <w:r>
      <w:rPr>
        <w:b/>
        <w:color w:val="000000"/>
        <w:sz w:val="24"/>
        <w:szCs w:val="24"/>
      </w:rPr>
      <w:fldChar w:fldCharType="end"/>
    </w:r>
  </w:p>
  <w:p w14:paraId="3EE463DF" w14:textId="77777777" w:rsidR="00EE6091" w:rsidRDefault="00EE609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0ED9F" w14:textId="77777777" w:rsidR="00221A15" w:rsidRDefault="00221A15">
      <w:pPr>
        <w:spacing w:after="0" w:line="240" w:lineRule="auto"/>
      </w:pPr>
      <w:r>
        <w:separator/>
      </w:r>
    </w:p>
  </w:footnote>
  <w:footnote w:type="continuationSeparator" w:id="0">
    <w:p w14:paraId="7FF91D3D" w14:textId="77777777" w:rsidR="00221A15" w:rsidRDefault="00221A15">
      <w:pPr>
        <w:spacing w:after="0" w:line="240" w:lineRule="auto"/>
      </w:pPr>
      <w:r>
        <w:continuationSeparator/>
      </w:r>
    </w:p>
  </w:footnote>
  <w:footnote w:id="1">
    <w:p w14:paraId="512D966C" w14:textId="77777777" w:rsidR="00EE6091" w:rsidRDefault="00EE6091" w:rsidP="00EC4913">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CF07FBB" w14:textId="77777777" w:rsidR="00EE6091" w:rsidRDefault="00EE6091" w:rsidP="00EC491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5C36D939" w14:textId="77777777" w:rsidR="00EE6091" w:rsidRDefault="00EE6091" w:rsidP="0078525C">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3F3837C0" w14:textId="77777777" w:rsidR="00EE6091" w:rsidRDefault="00EE6091" w:rsidP="0078525C">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154BE" w14:textId="77777777" w:rsidR="00EE6091" w:rsidRDefault="00EE609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31405C6B" wp14:editId="0D2655AF">
          <wp:simplePos x="0" y="0"/>
          <wp:positionH relativeFrom="column">
            <wp:posOffset>-746119</wp:posOffset>
          </wp:positionH>
          <wp:positionV relativeFrom="paragraph">
            <wp:posOffset>-448304</wp:posOffset>
          </wp:positionV>
          <wp:extent cx="7809876" cy="10165823"/>
          <wp:effectExtent l="0" t="0" r="0" b="0"/>
          <wp:wrapNone/>
          <wp:docPr id="21431081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09" r="609"/>
                  <a:stretch>
                    <a:fillRect/>
                  </a:stretch>
                </pic:blipFill>
                <pic:spPr>
                  <a:xfrm>
                    <a:off x="0" y="0"/>
                    <a:ext cx="7809876" cy="10165823"/>
                  </a:xfrm>
                  <a:prstGeom prst="rect">
                    <a:avLst/>
                  </a:prstGeom>
                  <a:ln/>
                </pic:spPr>
              </pic:pic>
            </a:graphicData>
          </a:graphic>
        </wp:anchor>
      </w:drawing>
    </w:r>
  </w:p>
  <w:tbl>
    <w:tblPr>
      <w:tblStyle w:val="af4"/>
      <w:tblW w:w="5603" w:type="dxa"/>
      <w:tblInd w:w="3611" w:type="dxa"/>
      <w:tblLayout w:type="fixed"/>
      <w:tblLook w:val="0400" w:firstRow="0" w:lastRow="0" w:firstColumn="0" w:lastColumn="0" w:noHBand="0" w:noVBand="1"/>
    </w:tblPr>
    <w:tblGrid>
      <w:gridCol w:w="2551"/>
      <w:gridCol w:w="3052"/>
    </w:tblGrid>
    <w:tr w:rsidR="00EE6091" w14:paraId="755A1010" w14:textId="77777777">
      <w:tc>
        <w:tcPr>
          <w:tcW w:w="2551" w:type="dxa"/>
          <w:vAlign w:val="center"/>
        </w:tcPr>
        <w:p w14:paraId="53FCE8B2" w14:textId="77777777" w:rsidR="00EE6091" w:rsidRDefault="00EE60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2877CF41" w14:textId="77777777" w:rsidR="00EE6091" w:rsidRDefault="00EE60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1756BB3F" w14:textId="3DA38827" w:rsidR="00EE6091" w:rsidRDefault="00EE6091" w:rsidP="00AB4457">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11359/INFOEM/IP/RR/2025y acumulado</w:t>
          </w:r>
        </w:p>
      </w:tc>
    </w:tr>
    <w:tr w:rsidR="00EE6091" w14:paraId="37B0582C" w14:textId="77777777">
      <w:trPr>
        <w:trHeight w:val="228"/>
      </w:trPr>
      <w:tc>
        <w:tcPr>
          <w:tcW w:w="2551" w:type="dxa"/>
          <w:vAlign w:val="center"/>
        </w:tcPr>
        <w:p w14:paraId="1B272E26" w14:textId="77777777" w:rsidR="00EE6091" w:rsidRDefault="00EE60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92236DB" w14:textId="77777777" w:rsidR="00EE6091" w:rsidRDefault="00EE60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09F3B3D" w14:textId="51DDCFC5" w:rsidR="00EE6091" w:rsidRDefault="00EE6091">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EE6091" w14:paraId="03E8443D" w14:textId="77777777">
      <w:tc>
        <w:tcPr>
          <w:tcW w:w="2551" w:type="dxa"/>
          <w:vAlign w:val="center"/>
        </w:tcPr>
        <w:p w14:paraId="03334EA1" w14:textId="77777777" w:rsidR="00EE6091" w:rsidRDefault="00EE60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25C2445" w14:textId="77777777" w:rsidR="00EE6091" w:rsidRDefault="00EE60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08E8220" w14:textId="77777777" w:rsidR="00EE6091" w:rsidRDefault="00EE609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70F3" w14:textId="77777777" w:rsidR="00EE6091" w:rsidRDefault="00EE609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12B1C1C4" wp14:editId="507F8914">
          <wp:simplePos x="0" y="0"/>
          <wp:positionH relativeFrom="column">
            <wp:posOffset>-683893</wp:posOffset>
          </wp:positionH>
          <wp:positionV relativeFrom="paragraph">
            <wp:posOffset>-249552</wp:posOffset>
          </wp:positionV>
          <wp:extent cx="7809876" cy="10165823"/>
          <wp:effectExtent l="0" t="0" r="0" b="0"/>
          <wp:wrapNone/>
          <wp:docPr id="21431081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f5"/>
      <w:tblW w:w="5603" w:type="dxa"/>
      <w:tblInd w:w="3611" w:type="dxa"/>
      <w:tblLayout w:type="fixed"/>
      <w:tblLook w:val="0400" w:firstRow="0" w:lastRow="0" w:firstColumn="0" w:lastColumn="0" w:noHBand="0" w:noVBand="1"/>
    </w:tblPr>
    <w:tblGrid>
      <w:gridCol w:w="2551"/>
      <w:gridCol w:w="3052"/>
    </w:tblGrid>
    <w:tr w:rsidR="00EE6091" w14:paraId="5C5372AC" w14:textId="77777777">
      <w:tc>
        <w:tcPr>
          <w:tcW w:w="2551" w:type="dxa"/>
          <w:vAlign w:val="center"/>
        </w:tcPr>
        <w:p w14:paraId="677F06C5" w14:textId="77777777" w:rsidR="00EE6091" w:rsidRDefault="00EE60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0F33B45F" w14:textId="77777777" w:rsidR="00EE6091" w:rsidRDefault="00EE60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4D9B5D34" w14:textId="14F3F8D0" w:rsidR="00EE6091" w:rsidRDefault="00EE6091" w:rsidP="0070734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11359/INFOEM/IP/RR/2025 y acumulado</w:t>
          </w:r>
        </w:p>
      </w:tc>
    </w:tr>
    <w:tr w:rsidR="00EE6091" w14:paraId="605625A2" w14:textId="77777777">
      <w:tc>
        <w:tcPr>
          <w:tcW w:w="2551" w:type="dxa"/>
          <w:vAlign w:val="center"/>
        </w:tcPr>
        <w:p w14:paraId="08632813" w14:textId="77777777" w:rsidR="00EE6091" w:rsidRDefault="00EE60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5F05107B" w14:textId="002F050D" w:rsidR="00EE6091" w:rsidRDefault="008D5523" w:rsidP="008D5523">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 XXXXXX </w:t>
          </w:r>
        </w:p>
      </w:tc>
    </w:tr>
    <w:tr w:rsidR="00EE6091" w14:paraId="3AA139B4" w14:textId="77777777">
      <w:trPr>
        <w:trHeight w:val="228"/>
      </w:trPr>
      <w:tc>
        <w:tcPr>
          <w:tcW w:w="2551" w:type="dxa"/>
          <w:vAlign w:val="center"/>
        </w:tcPr>
        <w:p w14:paraId="63EEA7B8" w14:textId="77777777" w:rsidR="00EE6091" w:rsidRDefault="00EE60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55A51EF3" w14:textId="42F070B1" w:rsidR="00EE6091" w:rsidRDefault="00EE6091">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EE6091" w14:paraId="30F5A85D" w14:textId="77777777">
      <w:tc>
        <w:tcPr>
          <w:tcW w:w="2551" w:type="dxa"/>
          <w:vAlign w:val="center"/>
        </w:tcPr>
        <w:p w14:paraId="562F77AB" w14:textId="77777777" w:rsidR="00EE6091" w:rsidRDefault="00EE60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760ECDAF" w14:textId="77777777" w:rsidR="00EE6091" w:rsidRDefault="00EE609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5B48BFF1" w14:textId="77777777" w:rsidR="00EE6091" w:rsidRDefault="00EE609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23EE"/>
    <w:multiLevelType w:val="hybridMultilevel"/>
    <w:tmpl w:val="0CD4A1A8"/>
    <w:lvl w:ilvl="0" w:tplc="080A0001">
      <w:start w:val="1"/>
      <w:numFmt w:val="bullet"/>
      <w:lvlText w:val=""/>
      <w:lvlJc w:val="left"/>
      <w:pPr>
        <w:ind w:left="720" w:hanging="360"/>
      </w:pPr>
      <w:rPr>
        <w:rFonts w:ascii="Symbol" w:hAnsi="Symbol"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3129BD"/>
    <w:multiLevelType w:val="multilevel"/>
    <w:tmpl w:val="C1D80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CA087D"/>
    <w:multiLevelType w:val="multilevel"/>
    <w:tmpl w:val="AA1C78F6"/>
    <w:lvl w:ilvl="0">
      <w:start w:val="1"/>
      <w:numFmt w:val="bullet"/>
      <w:pStyle w:val="Listaconvietas"/>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2C4694"/>
    <w:multiLevelType w:val="hybridMultilevel"/>
    <w:tmpl w:val="DD6E7C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990E04"/>
    <w:multiLevelType w:val="multilevel"/>
    <w:tmpl w:val="CDD63FD4"/>
    <w:lvl w:ilvl="0">
      <w:start w:val="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4C51CD5"/>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07242DE0"/>
    <w:multiLevelType w:val="multilevel"/>
    <w:tmpl w:val="66F41CA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6E90FFE"/>
    <w:multiLevelType w:val="multilevel"/>
    <w:tmpl w:val="625E093C"/>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C3D139A"/>
    <w:multiLevelType w:val="multilevel"/>
    <w:tmpl w:val="79BC93CA"/>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1CC613DD"/>
    <w:multiLevelType w:val="multilevel"/>
    <w:tmpl w:val="5BA8BB2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D200A0A"/>
    <w:multiLevelType w:val="hybridMultilevel"/>
    <w:tmpl w:val="FC76E0A4"/>
    <w:lvl w:ilvl="0" w:tplc="E0AA9574">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202B4D73"/>
    <w:multiLevelType w:val="multilevel"/>
    <w:tmpl w:val="17600E4A"/>
    <w:lvl w:ilvl="0">
      <w:start w:val="2"/>
      <w:numFmt w:val="bullet"/>
      <w:lvlText w:val="●"/>
      <w:lvlJc w:val="left"/>
      <w:pPr>
        <w:ind w:left="360" w:hanging="360"/>
      </w:pPr>
      <w:rPr>
        <w:rFonts w:ascii="Noto Sans Symbols" w:eastAsia="Noto Sans Symbols" w:hAnsi="Noto Sans Symbols" w:cs="Noto Sans Symbols"/>
        <w:b/>
        <w:i w:val="0"/>
        <w:color w:val="0D0D0D"/>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191639B"/>
    <w:multiLevelType w:val="hybridMultilevel"/>
    <w:tmpl w:val="B95EC664"/>
    <w:lvl w:ilvl="0" w:tplc="62282D42">
      <w:start w:val="3"/>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25631022"/>
    <w:multiLevelType w:val="multilevel"/>
    <w:tmpl w:val="4BA6A8E6"/>
    <w:lvl w:ilvl="0">
      <w:start w:val="1"/>
      <w:numFmt w:val="decimal"/>
      <w:lvlText w:val="%1."/>
      <w:lvlJc w:val="left"/>
      <w:pPr>
        <w:ind w:left="360" w:hanging="360"/>
      </w:pPr>
      <w:rPr>
        <w:b/>
      </w:rPr>
    </w:lvl>
    <w:lvl w:ilvl="1">
      <w:start w:val="1"/>
      <w:numFmt w:val="lowerLetter"/>
      <w:lvlText w:val="%2."/>
      <w:lvlJc w:val="left"/>
      <w:pPr>
        <w:ind w:left="1080" w:hanging="360"/>
      </w:pPr>
    </w:lvl>
    <w:lvl w:ilvl="2">
      <w:start w:val="8"/>
      <w:numFmt w:val="bullet"/>
      <w:lvlText w:val=""/>
      <w:lvlJc w:val="left"/>
      <w:pPr>
        <w:ind w:left="1800" w:hanging="180"/>
      </w:pPr>
      <w:rPr>
        <w:rFonts w:ascii="Symbol" w:eastAsia="Palatino Linotype" w:hAnsi="Symbol" w:cs="Palatino Linotype"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59923CD"/>
    <w:multiLevelType w:val="hybridMultilevel"/>
    <w:tmpl w:val="606EB27A"/>
    <w:lvl w:ilvl="0" w:tplc="A3C8ABB6">
      <w:start w:val="5"/>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AD620B6"/>
    <w:multiLevelType w:val="multilevel"/>
    <w:tmpl w:val="49443A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3604029D"/>
    <w:multiLevelType w:val="hybridMultilevel"/>
    <w:tmpl w:val="FBE4E650"/>
    <w:lvl w:ilvl="0" w:tplc="A3C8ABB6">
      <w:start w:val="5"/>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8A578D"/>
    <w:multiLevelType w:val="multilevel"/>
    <w:tmpl w:val="084813B6"/>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8" w15:restartNumberingAfterBreak="0">
    <w:nsid w:val="3CB821D7"/>
    <w:multiLevelType w:val="hybridMultilevel"/>
    <w:tmpl w:val="A97C97B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7432956"/>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8D6097B"/>
    <w:multiLevelType w:val="multilevel"/>
    <w:tmpl w:val="DF6CADB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A3E71D2"/>
    <w:multiLevelType w:val="multilevel"/>
    <w:tmpl w:val="CEC05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03F58A3"/>
    <w:multiLevelType w:val="hybridMultilevel"/>
    <w:tmpl w:val="7A768D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124551"/>
    <w:multiLevelType w:val="multilevel"/>
    <w:tmpl w:val="954886A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8"/>
      <w:numFmt w:val="bullet"/>
      <w:lvlText w:val=""/>
      <w:lvlJc w:val="left"/>
      <w:pPr>
        <w:ind w:left="2367" w:hanging="180"/>
      </w:pPr>
      <w:rPr>
        <w:rFonts w:ascii="Symbol" w:eastAsia="Palatino Linotype" w:hAnsi="Symbol" w:cs="Palatino Linotype" w:hint="default"/>
      </w:r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6D830B8C"/>
    <w:multiLevelType w:val="hybridMultilevel"/>
    <w:tmpl w:val="8F0E8CDC"/>
    <w:lvl w:ilvl="0" w:tplc="40381A4E">
      <w:start w:val="8"/>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CC0097"/>
    <w:multiLevelType w:val="hybridMultilevel"/>
    <w:tmpl w:val="9CA6F2E8"/>
    <w:lvl w:ilvl="0" w:tplc="AA9C9D7A">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5824EBF"/>
    <w:multiLevelType w:val="multilevel"/>
    <w:tmpl w:val="9A3EB5BA"/>
    <w:lvl w:ilvl="0">
      <w:start w:val="1"/>
      <w:numFmt w:val="decimal"/>
      <w:pStyle w:val="Listaconvietas3"/>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F441CC"/>
    <w:multiLevelType w:val="hybridMultilevel"/>
    <w:tmpl w:val="D4BCD73A"/>
    <w:lvl w:ilvl="0" w:tplc="AA9C9D7A">
      <w:start w:val="2"/>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6"/>
  </w:num>
  <w:num w:numId="4">
    <w:abstractNumId w:val="17"/>
  </w:num>
  <w:num w:numId="5">
    <w:abstractNumId w:val="8"/>
  </w:num>
  <w:num w:numId="6">
    <w:abstractNumId w:val="4"/>
  </w:num>
  <w:num w:numId="7">
    <w:abstractNumId w:val="22"/>
  </w:num>
  <w:num w:numId="8">
    <w:abstractNumId w:val="26"/>
    <w:lvlOverride w:ilvl="0">
      <w:startOverride w:val="4"/>
    </w:lvlOverride>
  </w:num>
  <w:num w:numId="9">
    <w:abstractNumId w:val="19"/>
  </w:num>
  <w:num w:numId="10">
    <w:abstractNumId w:val="18"/>
  </w:num>
  <w:num w:numId="11">
    <w:abstractNumId w:val="24"/>
  </w:num>
  <w:num w:numId="12">
    <w:abstractNumId w:val="1"/>
  </w:num>
  <w:num w:numId="13">
    <w:abstractNumId w:val="9"/>
  </w:num>
  <w:num w:numId="14">
    <w:abstractNumId w:val="23"/>
  </w:num>
  <w:num w:numId="15">
    <w:abstractNumId w:val="5"/>
  </w:num>
  <w:num w:numId="16">
    <w:abstractNumId w:val="13"/>
  </w:num>
  <w:num w:numId="17">
    <w:abstractNumId w:val="27"/>
  </w:num>
  <w:num w:numId="18">
    <w:abstractNumId w:val="11"/>
  </w:num>
  <w:num w:numId="19">
    <w:abstractNumId w:val="15"/>
  </w:num>
  <w:num w:numId="20">
    <w:abstractNumId w:val="20"/>
  </w:num>
  <w:num w:numId="21">
    <w:abstractNumId w:val="21"/>
  </w:num>
  <w:num w:numId="22">
    <w:abstractNumId w:val="25"/>
  </w:num>
  <w:num w:numId="23">
    <w:abstractNumId w:val="7"/>
  </w:num>
  <w:num w:numId="24">
    <w:abstractNumId w:val="16"/>
  </w:num>
  <w:num w:numId="25">
    <w:abstractNumId w:val="0"/>
  </w:num>
  <w:num w:numId="26">
    <w:abstractNumId w:val="12"/>
  </w:num>
  <w:num w:numId="27">
    <w:abstractNumId w:val="3"/>
  </w:num>
  <w:num w:numId="28">
    <w:abstractNumId w:val="1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E4"/>
    <w:rsid w:val="00000273"/>
    <w:rsid w:val="00006045"/>
    <w:rsid w:val="00007BB2"/>
    <w:rsid w:val="00011797"/>
    <w:rsid w:val="000157A2"/>
    <w:rsid w:val="00015B31"/>
    <w:rsid w:val="00016272"/>
    <w:rsid w:val="00016994"/>
    <w:rsid w:val="000176D0"/>
    <w:rsid w:val="00026490"/>
    <w:rsid w:val="00031343"/>
    <w:rsid w:val="00047DCD"/>
    <w:rsid w:val="00050C4A"/>
    <w:rsid w:val="00052DEF"/>
    <w:rsid w:val="00052EF7"/>
    <w:rsid w:val="00054DBB"/>
    <w:rsid w:val="000552CE"/>
    <w:rsid w:val="000553AF"/>
    <w:rsid w:val="000554F1"/>
    <w:rsid w:val="00056266"/>
    <w:rsid w:val="00057AA6"/>
    <w:rsid w:val="00057CFD"/>
    <w:rsid w:val="00060064"/>
    <w:rsid w:val="0006437D"/>
    <w:rsid w:val="00066B50"/>
    <w:rsid w:val="00066C78"/>
    <w:rsid w:val="00081ED3"/>
    <w:rsid w:val="00094E46"/>
    <w:rsid w:val="000A28DF"/>
    <w:rsid w:val="000A3E9C"/>
    <w:rsid w:val="000B06D6"/>
    <w:rsid w:val="000B4458"/>
    <w:rsid w:val="000B7D5A"/>
    <w:rsid w:val="000C60FF"/>
    <w:rsid w:val="000D09B4"/>
    <w:rsid w:val="000D516F"/>
    <w:rsid w:val="000E19F8"/>
    <w:rsid w:val="000E1F86"/>
    <w:rsid w:val="000E62D6"/>
    <w:rsid w:val="000F1BEA"/>
    <w:rsid w:val="00104CBB"/>
    <w:rsid w:val="00111750"/>
    <w:rsid w:val="00112292"/>
    <w:rsid w:val="00113B3E"/>
    <w:rsid w:val="00130F37"/>
    <w:rsid w:val="00131F28"/>
    <w:rsid w:val="001356F8"/>
    <w:rsid w:val="00143145"/>
    <w:rsid w:val="00151E54"/>
    <w:rsid w:val="0015307E"/>
    <w:rsid w:val="00163D5B"/>
    <w:rsid w:val="00164A63"/>
    <w:rsid w:val="0017185F"/>
    <w:rsid w:val="00172413"/>
    <w:rsid w:val="00173671"/>
    <w:rsid w:val="0018626C"/>
    <w:rsid w:val="001873E9"/>
    <w:rsid w:val="001906AE"/>
    <w:rsid w:val="00190C1D"/>
    <w:rsid w:val="00191599"/>
    <w:rsid w:val="001966E6"/>
    <w:rsid w:val="00197725"/>
    <w:rsid w:val="001A2697"/>
    <w:rsid w:val="001A3FD2"/>
    <w:rsid w:val="001A4DE8"/>
    <w:rsid w:val="001A5760"/>
    <w:rsid w:val="001C1948"/>
    <w:rsid w:val="001C393B"/>
    <w:rsid w:val="001C6DA4"/>
    <w:rsid w:val="001D0116"/>
    <w:rsid w:val="001E28AD"/>
    <w:rsid w:val="001E345B"/>
    <w:rsid w:val="001E76BA"/>
    <w:rsid w:val="001F135D"/>
    <w:rsid w:val="001F2394"/>
    <w:rsid w:val="001F2C15"/>
    <w:rsid w:val="001F6507"/>
    <w:rsid w:val="00201314"/>
    <w:rsid w:val="002065E2"/>
    <w:rsid w:val="00210396"/>
    <w:rsid w:val="00210776"/>
    <w:rsid w:val="00221A15"/>
    <w:rsid w:val="002232BD"/>
    <w:rsid w:val="00231CF1"/>
    <w:rsid w:val="00231D56"/>
    <w:rsid w:val="00243107"/>
    <w:rsid w:val="00243EC6"/>
    <w:rsid w:val="002479D3"/>
    <w:rsid w:val="0025369C"/>
    <w:rsid w:val="00254F6F"/>
    <w:rsid w:val="00260F01"/>
    <w:rsid w:val="002754EA"/>
    <w:rsid w:val="00276508"/>
    <w:rsid w:val="00277E05"/>
    <w:rsid w:val="00282FF3"/>
    <w:rsid w:val="00290EE4"/>
    <w:rsid w:val="00292DD5"/>
    <w:rsid w:val="00293260"/>
    <w:rsid w:val="00294029"/>
    <w:rsid w:val="00295148"/>
    <w:rsid w:val="002953C6"/>
    <w:rsid w:val="0029600F"/>
    <w:rsid w:val="00296104"/>
    <w:rsid w:val="002A0DE0"/>
    <w:rsid w:val="002A135C"/>
    <w:rsid w:val="002B0932"/>
    <w:rsid w:val="002B1816"/>
    <w:rsid w:val="002B3272"/>
    <w:rsid w:val="002C623D"/>
    <w:rsid w:val="002D1DD7"/>
    <w:rsid w:val="002D4F1B"/>
    <w:rsid w:val="002D5AAB"/>
    <w:rsid w:val="002D634D"/>
    <w:rsid w:val="002D6882"/>
    <w:rsid w:val="002F04C9"/>
    <w:rsid w:val="002F05B2"/>
    <w:rsid w:val="002F4D51"/>
    <w:rsid w:val="002F5E21"/>
    <w:rsid w:val="0030013C"/>
    <w:rsid w:val="00300212"/>
    <w:rsid w:val="0030570C"/>
    <w:rsid w:val="00313E98"/>
    <w:rsid w:val="00322650"/>
    <w:rsid w:val="00341535"/>
    <w:rsid w:val="003439B1"/>
    <w:rsid w:val="00345AA0"/>
    <w:rsid w:val="00345C63"/>
    <w:rsid w:val="0035261A"/>
    <w:rsid w:val="00354C4D"/>
    <w:rsid w:val="00360D73"/>
    <w:rsid w:val="00361741"/>
    <w:rsid w:val="00365C3E"/>
    <w:rsid w:val="00366CF2"/>
    <w:rsid w:val="003675CA"/>
    <w:rsid w:val="00370250"/>
    <w:rsid w:val="00371C40"/>
    <w:rsid w:val="003738B1"/>
    <w:rsid w:val="0038039D"/>
    <w:rsid w:val="00382322"/>
    <w:rsid w:val="003905A8"/>
    <w:rsid w:val="00391C49"/>
    <w:rsid w:val="003920C5"/>
    <w:rsid w:val="003964E2"/>
    <w:rsid w:val="003967C5"/>
    <w:rsid w:val="003B574A"/>
    <w:rsid w:val="003C10DC"/>
    <w:rsid w:val="003C21F0"/>
    <w:rsid w:val="003C415F"/>
    <w:rsid w:val="003D0C5F"/>
    <w:rsid w:val="003D31DD"/>
    <w:rsid w:val="003D5691"/>
    <w:rsid w:val="003D58B2"/>
    <w:rsid w:val="003E1D22"/>
    <w:rsid w:val="003E5482"/>
    <w:rsid w:val="003E6AB8"/>
    <w:rsid w:val="003F495E"/>
    <w:rsid w:val="003F50D6"/>
    <w:rsid w:val="003F7303"/>
    <w:rsid w:val="00400924"/>
    <w:rsid w:val="004072AB"/>
    <w:rsid w:val="004104F8"/>
    <w:rsid w:val="00410628"/>
    <w:rsid w:val="00410F8F"/>
    <w:rsid w:val="00416AE5"/>
    <w:rsid w:val="0042122B"/>
    <w:rsid w:val="00422F72"/>
    <w:rsid w:val="00424469"/>
    <w:rsid w:val="004273E0"/>
    <w:rsid w:val="00431F61"/>
    <w:rsid w:val="0043440A"/>
    <w:rsid w:val="00436BB3"/>
    <w:rsid w:val="00441635"/>
    <w:rsid w:val="004447A9"/>
    <w:rsid w:val="00451B05"/>
    <w:rsid w:val="0045213B"/>
    <w:rsid w:val="004609DB"/>
    <w:rsid w:val="00461864"/>
    <w:rsid w:val="00464B3F"/>
    <w:rsid w:val="00477997"/>
    <w:rsid w:val="00481C41"/>
    <w:rsid w:val="004822B0"/>
    <w:rsid w:val="00486EA6"/>
    <w:rsid w:val="00491618"/>
    <w:rsid w:val="00497752"/>
    <w:rsid w:val="004A19E5"/>
    <w:rsid w:val="004A27BF"/>
    <w:rsid w:val="004B3E62"/>
    <w:rsid w:val="004B415C"/>
    <w:rsid w:val="004B73B1"/>
    <w:rsid w:val="004C0835"/>
    <w:rsid w:val="004C2FE9"/>
    <w:rsid w:val="004C71DF"/>
    <w:rsid w:val="004C793E"/>
    <w:rsid w:val="004D34D2"/>
    <w:rsid w:val="004E0C56"/>
    <w:rsid w:val="004E1EAA"/>
    <w:rsid w:val="004E4D71"/>
    <w:rsid w:val="004E6949"/>
    <w:rsid w:val="004E6C28"/>
    <w:rsid w:val="004F3378"/>
    <w:rsid w:val="00503AC3"/>
    <w:rsid w:val="00503B73"/>
    <w:rsid w:val="005054DF"/>
    <w:rsid w:val="00520BDF"/>
    <w:rsid w:val="00521DCE"/>
    <w:rsid w:val="00524DC5"/>
    <w:rsid w:val="00526588"/>
    <w:rsid w:val="0053034F"/>
    <w:rsid w:val="00531779"/>
    <w:rsid w:val="00532C22"/>
    <w:rsid w:val="00533C90"/>
    <w:rsid w:val="005365F3"/>
    <w:rsid w:val="005368A8"/>
    <w:rsid w:val="005370D3"/>
    <w:rsid w:val="00541B14"/>
    <w:rsid w:val="00543A3C"/>
    <w:rsid w:val="005537F9"/>
    <w:rsid w:val="005543D9"/>
    <w:rsid w:val="00555F42"/>
    <w:rsid w:val="00560847"/>
    <w:rsid w:val="00565C57"/>
    <w:rsid w:val="005662C1"/>
    <w:rsid w:val="005712E8"/>
    <w:rsid w:val="00581D42"/>
    <w:rsid w:val="00582950"/>
    <w:rsid w:val="00583B41"/>
    <w:rsid w:val="0059393B"/>
    <w:rsid w:val="00593B52"/>
    <w:rsid w:val="00595579"/>
    <w:rsid w:val="005A61D3"/>
    <w:rsid w:val="005A78EE"/>
    <w:rsid w:val="005B68C1"/>
    <w:rsid w:val="005B7C19"/>
    <w:rsid w:val="005C0D52"/>
    <w:rsid w:val="005C2518"/>
    <w:rsid w:val="005C2D08"/>
    <w:rsid w:val="005C3943"/>
    <w:rsid w:val="005C5793"/>
    <w:rsid w:val="005D2140"/>
    <w:rsid w:val="005D3BCE"/>
    <w:rsid w:val="005D70DD"/>
    <w:rsid w:val="005E3E91"/>
    <w:rsid w:val="005F1972"/>
    <w:rsid w:val="005F40EA"/>
    <w:rsid w:val="00601158"/>
    <w:rsid w:val="006023DB"/>
    <w:rsid w:val="00602F7B"/>
    <w:rsid w:val="006122A4"/>
    <w:rsid w:val="006130B3"/>
    <w:rsid w:val="006168B2"/>
    <w:rsid w:val="0061768D"/>
    <w:rsid w:val="00624B82"/>
    <w:rsid w:val="0064244F"/>
    <w:rsid w:val="00644A5E"/>
    <w:rsid w:val="00646133"/>
    <w:rsid w:val="00662337"/>
    <w:rsid w:val="00662C47"/>
    <w:rsid w:val="00665070"/>
    <w:rsid w:val="00671477"/>
    <w:rsid w:val="00675B22"/>
    <w:rsid w:val="00677454"/>
    <w:rsid w:val="00680BBE"/>
    <w:rsid w:val="00681A0F"/>
    <w:rsid w:val="0068329D"/>
    <w:rsid w:val="006860A7"/>
    <w:rsid w:val="0068718F"/>
    <w:rsid w:val="0069405A"/>
    <w:rsid w:val="006951F8"/>
    <w:rsid w:val="006A01D4"/>
    <w:rsid w:val="006A3888"/>
    <w:rsid w:val="006A4848"/>
    <w:rsid w:val="006B23C1"/>
    <w:rsid w:val="006B4073"/>
    <w:rsid w:val="006B4781"/>
    <w:rsid w:val="006B5E29"/>
    <w:rsid w:val="006C5001"/>
    <w:rsid w:val="006C5FDE"/>
    <w:rsid w:val="006D2118"/>
    <w:rsid w:val="006D4798"/>
    <w:rsid w:val="006D4B71"/>
    <w:rsid w:val="006D5D6C"/>
    <w:rsid w:val="006E1555"/>
    <w:rsid w:val="006E6A5A"/>
    <w:rsid w:val="006F3DDB"/>
    <w:rsid w:val="00701FDE"/>
    <w:rsid w:val="00707349"/>
    <w:rsid w:val="00711F63"/>
    <w:rsid w:val="00715429"/>
    <w:rsid w:val="00716C97"/>
    <w:rsid w:val="00720B62"/>
    <w:rsid w:val="00722B1F"/>
    <w:rsid w:val="00725099"/>
    <w:rsid w:val="0073181D"/>
    <w:rsid w:val="00732D1F"/>
    <w:rsid w:val="00734E5B"/>
    <w:rsid w:val="00736A2E"/>
    <w:rsid w:val="007400C7"/>
    <w:rsid w:val="007447A5"/>
    <w:rsid w:val="00747DE2"/>
    <w:rsid w:val="007578FB"/>
    <w:rsid w:val="00760DBE"/>
    <w:rsid w:val="0076640C"/>
    <w:rsid w:val="00774C92"/>
    <w:rsid w:val="007818C6"/>
    <w:rsid w:val="00783105"/>
    <w:rsid w:val="0078525C"/>
    <w:rsid w:val="007874F2"/>
    <w:rsid w:val="007904FE"/>
    <w:rsid w:val="007968D0"/>
    <w:rsid w:val="007A0C8A"/>
    <w:rsid w:val="007B1B4D"/>
    <w:rsid w:val="007B1FCC"/>
    <w:rsid w:val="007B298B"/>
    <w:rsid w:val="007B703E"/>
    <w:rsid w:val="007C3034"/>
    <w:rsid w:val="007C6C71"/>
    <w:rsid w:val="007C7CCB"/>
    <w:rsid w:val="007F10F6"/>
    <w:rsid w:val="007F5A27"/>
    <w:rsid w:val="00802637"/>
    <w:rsid w:val="00802E5C"/>
    <w:rsid w:val="008032B6"/>
    <w:rsid w:val="008043F3"/>
    <w:rsid w:val="008127E8"/>
    <w:rsid w:val="008160CD"/>
    <w:rsid w:val="00817ABD"/>
    <w:rsid w:val="00823596"/>
    <w:rsid w:val="00826EFC"/>
    <w:rsid w:val="00831095"/>
    <w:rsid w:val="008320E3"/>
    <w:rsid w:val="00832A3C"/>
    <w:rsid w:val="00835ED8"/>
    <w:rsid w:val="00846163"/>
    <w:rsid w:val="008507EC"/>
    <w:rsid w:val="00854189"/>
    <w:rsid w:val="00854FDD"/>
    <w:rsid w:val="00855C2D"/>
    <w:rsid w:val="00860216"/>
    <w:rsid w:val="0086428B"/>
    <w:rsid w:val="00871E74"/>
    <w:rsid w:val="00875408"/>
    <w:rsid w:val="0087741F"/>
    <w:rsid w:val="00886C21"/>
    <w:rsid w:val="0089106A"/>
    <w:rsid w:val="00892B92"/>
    <w:rsid w:val="00896008"/>
    <w:rsid w:val="0089670E"/>
    <w:rsid w:val="008A12CA"/>
    <w:rsid w:val="008A1696"/>
    <w:rsid w:val="008A4B64"/>
    <w:rsid w:val="008A6787"/>
    <w:rsid w:val="008A76B8"/>
    <w:rsid w:val="008B4290"/>
    <w:rsid w:val="008B633B"/>
    <w:rsid w:val="008C1493"/>
    <w:rsid w:val="008C41C3"/>
    <w:rsid w:val="008C7AB1"/>
    <w:rsid w:val="008D21CD"/>
    <w:rsid w:val="008D43C6"/>
    <w:rsid w:val="008D5523"/>
    <w:rsid w:val="009060F3"/>
    <w:rsid w:val="009065FD"/>
    <w:rsid w:val="00910255"/>
    <w:rsid w:val="00925153"/>
    <w:rsid w:val="00925BE0"/>
    <w:rsid w:val="00925F83"/>
    <w:rsid w:val="00927760"/>
    <w:rsid w:val="00931F08"/>
    <w:rsid w:val="0093450A"/>
    <w:rsid w:val="00935051"/>
    <w:rsid w:val="00935310"/>
    <w:rsid w:val="00953F3C"/>
    <w:rsid w:val="009600C2"/>
    <w:rsid w:val="00966C45"/>
    <w:rsid w:val="0097632E"/>
    <w:rsid w:val="0098194E"/>
    <w:rsid w:val="00984062"/>
    <w:rsid w:val="00984F8B"/>
    <w:rsid w:val="00985036"/>
    <w:rsid w:val="00991EA0"/>
    <w:rsid w:val="0099343D"/>
    <w:rsid w:val="009B2DBF"/>
    <w:rsid w:val="009B3CA7"/>
    <w:rsid w:val="009C3B2D"/>
    <w:rsid w:val="009C520F"/>
    <w:rsid w:val="009C6A7D"/>
    <w:rsid w:val="009C6DB8"/>
    <w:rsid w:val="009D1771"/>
    <w:rsid w:val="009D4F99"/>
    <w:rsid w:val="009D652D"/>
    <w:rsid w:val="009D7D12"/>
    <w:rsid w:val="009E4C5F"/>
    <w:rsid w:val="009E64E6"/>
    <w:rsid w:val="009F3F90"/>
    <w:rsid w:val="009F4AF0"/>
    <w:rsid w:val="00A028BB"/>
    <w:rsid w:val="00A05633"/>
    <w:rsid w:val="00A07D8E"/>
    <w:rsid w:val="00A16810"/>
    <w:rsid w:val="00A20741"/>
    <w:rsid w:val="00A23543"/>
    <w:rsid w:val="00A249BF"/>
    <w:rsid w:val="00A2550F"/>
    <w:rsid w:val="00A25807"/>
    <w:rsid w:val="00A2696A"/>
    <w:rsid w:val="00A330E4"/>
    <w:rsid w:val="00A3732D"/>
    <w:rsid w:val="00A37889"/>
    <w:rsid w:val="00A44FF8"/>
    <w:rsid w:val="00A4777A"/>
    <w:rsid w:val="00A52A42"/>
    <w:rsid w:val="00A61F76"/>
    <w:rsid w:val="00A62AA4"/>
    <w:rsid w:val="00A749E0"/>
    <w:rsid w:val="00A74EE1"/>
    <w:rsid w:val="00A77946"/>
    <w:rsid w:val="00A854C3"/>
    <w:rsid w:val="00A9219D"/>
    <w:rsid w:val="00A93949"/>
    <w:rsid w:val="00AA0A6E"/>
    <w:rsid w:val="00AA15DA"/>
    <w:rsid w:val="00AA2859"/>
    <w:rsid w:val="00AA78E3"/>
    <w:rsid w:val="00AB10D1"/>
    <w:rsid w:val="00AB4457"/>
    <w:rsid w:val="00AC0943"/>
    <w:rsid w:val="00AC1F07"/>
    <w:rsid w:val="00AC2173"/>
    <w:rsid w:val="00AD246B"/>
    <w:rsid w:val="00AE2234"/>
    <w:rsid w:val="00AE23E6"/>
    <w:rsid w:val="00AE443F"/>
    <w:rsid w:val="00AF47AD"/>
    <w:rsid w:val="00B05FB9"/>
    <w:rsid w:val="00B117C2"/>
    <w:rsid w:val="00B1431F"/>
    <w:rsid w:val="00B165FA"/>
    <w:rsid w:val="00B175D9"/>
    <w:rsid w:val="00B210E7"/>
    <w:rsid w:val="00B21241"/>
    <w:rsid w:val="00B24C2D"/>
    <w:rsid w:val="00B24F75"/>
    <w:rsid w:val="00B31F7A"/>
    <w:rsid w:val="00B4363F"/>
    <w:rsid w:val="00B4482F"/>
    <w:rsid w:val="00B54155"/>
    <w:rsid w:val="00B606C5"/>
    <w:rsid w:val="00B66297"/>
    <w:rsid w:val="00B706C4"/>
    <w:rsid w:val="00B722B4"/>
    <w:rsid w:val="00B74695"/>
    <w:rsid w:val="00B81522"/>
    <w:rsid w:val="00B82D1B"/>
    <w:rsid w:val="00B85737"/>
    <w:rsid w:val="00B876DD"/>
    <w:rsid w:val="00B959FA"/>
    <w:rsid w:val="00BB0C37"/>
    <w:rsid w:val="00BC4C28"/>
    <w:rsid w:val="00BD6C3B"/>
    <w:rsid w:val="00BE2E61"/>
    <w:rsid w:val="00BF6B15"/>
    <w:rsid w:val="00C00EB8"/>
    <w:rsid w:val="00C066CD"/>
    <w:rsid w:val="00C07109"/>
    <w:rsid w:val="00C12E72"/>
    <w:rsid w:val="00C15C8B"/>
    <w:rsid w:val="00C227D4"/>
    <w:rsid w:val="00C26588"/>
    <w:rsid w:val="00C26994"/>
    <w:rsid w:val="00C2786E"/>
    <w:rsid w:val="00C317D3"/>
    <w:rsid w:val="00C31BD8"/>
    <w:rsid w:val="00C341FF"/>
    <w:rsid w:val="00C45A30"/>
    <w:rsid w:val="00C46154"/>
    <w:rsid w:val="00C5092E"/>
    <w:rsid w:val="00C51A28"/>
    <w:rsid w:val="00C51DC3"/>
    <w:rsid w:val="00C52A1B"/>
    <w:rsid w:val="00C533ED"/>
    <w:rsid w:val="00C602EC"/>
    <w:rsid w:val="00C607E7"/>
    <w:rsid w:val="00C61490"/>
    <w:rsid w:val="00C661F0"/>
    <w:rsid w:val="00C70981"/>
    <w:rsid w:val="00C70D8C"/>
    <w:rsid w:val="00C70FBB"/>
    <w:rsid w:val="00C836DE"/>
    <w:rsid w:val="00C934B4"/>
    <w:rsid w:val="00C93735"/>
    <w:rsid w:val="00C93AEC"/>
    <w:rsid w:val="00CB005C"/>
    <w:rsid w:val="00CB0578"/>
    <w:rsid w:val="00CB226D"/>
    <w:rsid w:val="00CB253A"/>
    <w:rsid w:val="00CB38C2"/>
    <w:rsid w:val="00CB6AF5"/>
    <w:rsid w:val="00CC23F2"/>
    <w:rsid w:val="00CC7260"/>
    <w:rsid w:val="00CC7302"/>
    <w:rsid w:val="00CD1057"/>
    <w:rsid w:val="00CD75C5"/>
    <w:rsid w:val="00CE0606"/>
    <w:rsid w:val="00CE6C36"/>
    <w:rsid w:val="00CF2755"/>
    <w:rsid w:val="00CF7EAC"/>
    <w:rsid w:val="00D06351"/>
    <w:rsid w:val="00D13D5F"/>
    <w:rsid w:val="00D14F57"/>
    <w:rsid w:val="00D21047"/>
    <w:rsid w:val="00D23FE9"/>
    <w:rsid w:val="00D42B12"/>
    <w:rsid w:val="00D454D9"/>
    <w:rsid w:val="00D46A2F"/>
    <w:rsid w:val="00D56283"/>
    <w:rsid w:val="00D5741D"/>
    <w:rsid w:val="00D63A82"/>
    <w:rsid w:val="00D64802"/>
    <w:rsid w:val="00D65128"/>
    <w:rsid w:val="00D707A3"/>
    <w:rsid w:val="00D70C89"/>
    <w:rsid w:val="00D70CCB"/>
    <w:rsid w:val="00D71F29"/>
    <w:rsid w:val="00D72C7F"/>
    <w:rsid w:val="00D74242"/>
    <w:rsid w:val="00D747E4"/>
    <w:rsid w:val="00D92CB8"/>
    <w:rsid w:val="00D92E5D"/>
    <w:rsid w:val="00D95F46"/>
    <w:rsid w:val="00DA506F"/>
    <w:rsid w:val="00DB436C"/>
    <w:rsid w:val="00DB5C17"/>
    <w:rsid w:val="00DB638F"/>
    <w:rsid w:val="00DB6AFD"/>
    <w:rsid w:val="00DC16C2"/>
    <w:rsid w:val="00DC23E2"/>
    <w:rsid w:val="00DD1573"/>
    <w:rsid w:val="00DD3B14"/>
    <w:rsid w:val="00DE323D"/>
    <w:rsid w:val="00DE43D4"/>
    <w:rsid w:val="00DE58E5"/>
    <w:rsid w:val="00DE6F6F"/>
    <w:rsid w:val="00DF20AE"/>
    <w:rsid w:val="00E01DBD"/>
    <w:rsid w:val="00E03C9E"/>
    <w:rsid w:val="00E050CC"/>
    <w:rsid w:val="00E06FED"/>
    <w:rsid w:val="00E078D0"/>
    <w:rsid w:val="00E15D92"/>
    <w:rsid w:val="00E22106"/>
    <w:rsid w:val="00E24FA7"/>
    <w:rsid w:val="00E273C0"/>
    <w:rsid w:val="00E3015C"/>
    <w:rsid w:val="00E37235"/>
    <w:rsid w:val="00E41D57"/>
    <w:rsid w:val="00E42B7F"/>
    <w:rsid w:val="00E532A5"/>
    <w:rsid w:val="00E54168"/>
    <w:rsid w:val="00E55CFF"/>
    <w:rsid w:val="00E67EED"/>
    <w:rsid w:val="00E72F28"/>
    <w:rsid w:val="00E7469A"/>
    <w:rsid w:val="00E75199"/>
    <w:rsid w:val="00E83831"/>
    <w:rsid w:val="00E8509B"/>
    <w:rsid w:val="00E8750E"/>
    <w:rsid w:val="00E903C5"/>
    <w:rsid w:val="00E940A9"/>
    <w:rsid w:val="00E96532"/>
    <w:rsid w:val="00EA5343"/>
    <w:rsid w:val="00EA7DE1"/>
    <w:rsid w:val="00EB5749"/>
    <w:rsid w:val="00EB6BF9"/>
    <w:rsid w:val="00EC4913"/>
    <w:rsid w:val="00EC67BE"/>
    <w:rsid w:val="00ED4EE4"/>
    <w:rsid w:val="00ED5989"/>
    <w:rsid w:val="00ED644E"/>
    <w:rsid w:val="00ED785F"/>
    <w:rsid w:val="00EE1D79"/>
    <w:rsid w:val="00EE1FF6"/>
    <w:rsid w:val="00EE2747"/>
    <w:rsid w:val="00EE6091"/>
    <w:rsid w:val="00EE68EA"/>
    <w:rsid w:val="00EF0C4A"/>
    <w:rsid w:val="00EF4D10"/>
    <w:rsid w:val="00EF5420"/>
    <w:rsid w:val="00F03402"/>
    <w:rsid w:val="00F05BAF"/>
    <w:rsid w:val="00F11D04"/>
    <w:rsid w:val="00F230BD"/>
    <w:rsid w:val="00F24597"/>
    <w:rsid w:val="00F2577C"/>
    <w:rsid w:val="00F357AC"/>
    <w:rsid w:val="00F427D8"/>
    <w:rsid w:val="00F4573B"/>
    <w:rsid w:val="00F52EF8"/>
    <w:rsid w:val="00F615E2"/>
    <w:rsid w:val="00F63205"/>
    <w:rsid w:val="00F80A7D"/>
    <w:rsid w:val="00F83592"/>
    <w:rsid w:val="00F87D35"/>
    <w:rsid w:val="00F90967"/>
    <w:rsid w:val="00F97DAA"/>
    <w:rsid w:val="00FA641F"/>
    <w:rsid w:val="00FB0F7F"/>
    <w:rsid w:val="00FB11FF"/>
    <w:rsid w:val="00FC76B6"/>
    <w:rsid w:val="00FC7BAA"/>
    <w:rsid w:val="00FC7EFD"/>
    <w:rsid w:val="00FD070C"/>
    <w:rsid w:val="00FD4864"/>
    <w:rsid w:val="00FD494D"/>
    <w:rsid w:val="00FE3A62"/>
    <w:rsid w:val="00FE44BB"/>
    <w:rsid w:val="00FF340A"/>
    <w:rsid w:val="00FF3B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740899"/>
  <w15:docId w15:val="{08E6C556-9E59-487C-B3BC-3824CF07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4D71"/>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FD48C3"/>
    <w:rPr>
      <w:b/>
      <w:sz w:val="48"/>
      <w:szCs w:val="48"/>
    </w:rPr>
  </w:style>
  <w:style w:type="character" w:customStyle="1" w:styleId="Ttulo2Car">
    <w:name w:val="Título 2 Car"/>
    <w:basedOn w:val="Fuentedeprrafopredeter"/>
    <w:link w:val="Ttulo2"/>
    <w:rsid w:val="00FD48C3"/>
    <w:rPr>
      <w:b/>
      <w:sz w:val="36"/>
      <w:szCs w:val="36"/>
    </w:rPr>
  </w:style>
  <w:style w:type="character" w:customStyle="1" w:styleId="Ttulo3Car">
    <w:name w:val="Título 3 Car"/>
    <w:basedOn w:val="Fuentedeprrafopredeter"/>
    <w:link w:val="Ttulo3"/>
    <w:rsid w:val="00FD48C3"/>
    <w:rPr>
      <w:b/>
      <w:sz w:val="28"/>
      <w:szCs w:val="28"/>
    </w:rPr>
  </w:style>
  <w:style w:type="character" w:customStyle="1" w:styleId="Ttulo4Car">
    <w:name w:val="Título 4 Car"/>
    <w:basedOn w:val="Fuentedeprrafopredeter"/>
    <w:link w:val="Ttulo4"/>
    <w:rsid w:val="00FD48C3"/>
    <w:rPr>
      <w:b/>
      <w:sz w:val="24"/>
      <w:szCs w:val="24"/>
    </w:rPr>
  </w:style>
  <w:style w:type="character" w:customStyle="1" w:styleId="Ttulo5Car">
    <w:name w:val="Título 5 Car"/>
    <w:basedOn w:val="Fuentedeprrafopredeter"/>
    <w:link w:val="Ttulo5"/>
    <w:rsid w:val="00FD48C3"/>
    <w:rPr>
      <w:b/>
    </w:rPr>
  </w:style>
  <w:style w:type="character" w:customStyle="1" w:styleId="Ttulo6Car">
    <w:name w:val="Título 6 Car"/>
    <w:basedOn w:val="Fuentedeprrafopredeter"/>
    <w:link w:val="Ttulo6"/>
    <w:rsid w:val="00FD48C3"/>
    <w:rPr>
      <w:b/>
      <w:sz w:val="20"/>
      <w:szCs w:val="20"/>
    </w:rPr>
  </w:style>
  <w:style w:type="table" w:customStyle="1" w:styleId="TableNormal1">
    <w:name w:val="Table Normal"/>
    <w:tblPr>
      <w:tblCellMar>
        <w:top w:w="0" w:type="dxa"/>
        <w:left w:w="0" w:type="dxa"/>
        <w:bottom w:w="0" w:type="dxa"/>
        <w:right w:w="0" w:type="dxa"/>
      </w:tblCellMar>
    </w:tblPr>
  </w:style>
  <w:style w:type="character" w:customStyle="1" w:styleId="TtuloCar">
    <w:name w:val="Título Car"/>
    <w:basedOn w:val="Fuentedeprrafopredeter"/>
    <w:link w:val="Ttulo"/>
    <w:rsid w:val="00FD48C3"/>
    <w:rPr>
      <w:b/>
      <w:sz w:val="72"/>
      <w:szCs w:val="72"/>
    </w:r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FD48C3"/>
    <w:rPr>
      <w:rFonts w:ascii="Georgia" w:eastAsia="Georgia" w:hAnsi="Georgia" w:cs="Georgia"/>
      <w:i/>
      <w:color w:val="666666"/>
      <w:sz w:val="48"/>
      <w:szCs w:val="48"/>
    </w:rPr>
  </w:style>
  <w:style w:type="table" w:customStyle="1" w:styleId="a">
    <w:basedOn w:val="TableNormal4"/>
    <w:tblPr>
      <w:tblStyleRowBandSize w:val="1"/>
      <w:tblStyleColBandSize w:val="1"/>
      <w:tblCellMar>
        <w:top w:w="15" w:type="dxa"/>
        <w:left w:w="15" w:type="dxa"/>
        <w:bottom w:w="15" w:type="dxa"/>
        <w:right w:w="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top w:w="15" w:type="dxa"/>
        <w:left w:w="115" w:type="dxa"/>
        <w:bottom w:w="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3"/>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top w:w="15" w:type="dxa"/>
        <w:left w:w="115" w:type="dxa"/>
        <w:bottom w:w="15" w:type="dxa"/>
        <w:right w:w="115" w:type="dxa"/>
      </w:tblCellMar>
    </w:tblPr>
  </w:style>
  <w:style w:type="table" w:customStyle="1" w:styleId="a8">
    <w:basedOn w:val="TableNormal2"/>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pomex.org.mx/ipome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59XVbH8k6HAYBzg/CkBIuWL7w==">CgMxLjAyCWguMzBqMHpsbDIJaC4yZXQ5MnAwMghoLmdqZGd4czIJaC4xZm9iOXRlOAByITFobldLX3IxU0d2YWlqbXFCV3dqQmUzN2k2WVpEYm8yXw==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11766</Words>
  <Characters>64718</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2025-11-07T16:54:00Z</cp:lastPrinted>
  <dcterms:created xsi:type="dcterms:W3CDTF">2025-12-10T20:43:00Z</dcterms:created>
  <dcterms:modified xsi:type="dcterms:W3CDTF">2025-12-10T20:43:00Z</dcterms:modified>
</cp:coreProperties>
</file>