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7292B" w14:textId="07EFED49" w:rsidR="00207D17" w:rsidRPr="001C0AD9" w:rsidRDefault="00207D17" w:rsidP="00DF7928">
      <w:pPr>
        <w:tabs>
          <w:tab w:val="left" w:pos="3465"/>
        </w:tabs>
        <w:spacing w:line="360" w:lineRule="auto"/>
        <w:jc w:val="both"/>
        <w:rPr>
          <w:rFonts w:ascii="Palatino Linotype" w:hAnsi="Palatino Linotype"/>
          <w:color w:val="000000" w:themeColor="text1"/>
        </w:rPr>
      </w:pPr>
      <w:bookmarkStart w:id="0" w:name="_GoBack"/>
      <w:bookmarkEnd w:id="0"/>
      <w:r w:rsidRPr="001C0AD9">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w:t>
      </w:r>
      <w:r w:rsidR="00517A57" w:rsidRPr="001C0AD9">
        <w:rPr>
          <w:rFonts w:ascii="Palatino Linotype" w:hAnsi="Palatino Linotype"/>
          <w:color w:val="000000" w:themeColor="text1"/>
        </w:rPr>
        <w:t xml:space="preserve">ico; </w:t>
      </w:r>
      <w:r w:rsidR="00A23858">
        <w:rPr>
          <w:rFonts w:ascii="Palatino Linotype" w:hAnsi="Palatino Linotype"/>
          <w:b/>
          <w:color w:val="000000" w:themeColor="text1"/>
        </w:rPr>
        <w:t>de fecha</w:t>
      </w:r>
      <w:r w:rsidR="005023FA" w:rsidRPr="001C0AD9">
        <w:rPr>
          <w:rFonts w:ascii="Palatino Linotype" w:hAnsi="Palatino Linotype"/>
          <w:b/>
          <w:color w:val="000000" w:themeColor="text1"/>
        </w:rPr>
        <w:t xml:space="preserve"> </w:t>
      </w:r>
      <w:r w:rsidR="00517A57" w:rsidRPr="001C0AD9">
        <w:rPr>
          <w:rFonts w:ascii="Palatino Linotype" w:hAnsi="Palatino Linotype"/>
          <w:b/>
          <w:color w:val="000000" w:themeColor="text1"/>
        </w:rPr>
        <w:t>veinte</w:t>
      </w:r>
      <w:r w:rsidR="001A38C1" w:rsidRPr="001C0AD9">
        <w:rPr>
          <w:rFonts w:ascii="Palatino Linotype" w:hAnsi="Palatino Linotype"/>
          <w:b/>
          <w:color w:val="000000" w:themeColor="text1"/>
        </w:rPr>
        <w:t xml:space="preserve"> </w:t>
      </w:r>
      <w:r w:rsidR="00A23858">
        <w:rPr>
          <w:rFonts w:ascii="Palatino Linotype" w:hAnsi="Palatino Linotype"/>
          <w:b/>
          <w:color w:val="000000" w:themeColor="text1"/>
        </w:rPr>
        <w:t xml:space="preserve">(20) </w:t>
      </w:r>
      <w:r w:rsidR="001A38C1" w:rsidRPr="001C0AD9">
        <w:rPr>
          <w:rFonts w:ascii="Palatino Linotype" w:hAnsi="Palatino Linotype"/>
          <w:b/>
          <w:color w:val="000000" w:themeColor="text1"/>
        </w:rPr>
        <w:t>de agosto</w:t>
      </w:r>
      <w:r w:rsidRPr="001C0AD9">
        <w:rPr>
          <w:rFonts w:ascii="Palatino Linotype" w:hAnsi="Palatino Linotype"/>
          <w:b/>
          <w:color w:val="000000" w:themeColor="text1"/>
        </w:rPr>
        <w:t xml:space="preserve"> de dos mil </w:t>
      </w:r>
      <w:r w:rsidR="00A37303" w:rsidRPr="001C0AD9">
        <w:rPr>
          <w:rFonts w:ascii="Palatino Linotype" w:hAnsi="Palatino Linotype"/>
          <w:b/>
          <w:color w:val="000000" w:themeColor="text1"/>
        </w:rPr>
        <w:t>veinticinco</w:t>
      </w:r>
      <w:r w:rsidRPr="001C0AD9">
        <w:rPr>
          <w:rFonts w:ascii="Palatino Linotype" w:hAnsi="Palatino Linotype"/>
          <w:color w:val="000000" w:themeColor="text1"/>
        </w:rPr>
        <w:t>.</w:t>
      </w:r>
    </w:p>
    <w:p w14:paraId="11F33CE7" w14:textId="77777777" w:rsidR="00C673EE" w:rsidRPr="001C0AD9" w:rsidRDefault="00C673EE" w:rsidP="00DF7928">
      <w:pPr>
        <w:tabs>
          <w:tab w:val="left" w:pos="3465"/>
        </w:tabs>
        <w:spacing w:line="360" w:lineRule="auto"/>
        <w:jc w:val="both"/>
        <w:rPr>
          <w:rFonts w:ascii="Palatino Linotype" w:hAnsi="Palatino Linotype"/>
          <w:color w:val="000000" w:themeColor="text1"/>
        </w:rPr>
      </w:pPr>
    </w:p>
    <w:p w14:paraId="3B741B12" w14:textId="77777777" w:rsidR="00207D17" w:rsidRPr="001C0AD9" w:rsidRDefault="00207D17" w:rsidP="00DF7928">
      <w:pPr>
        <w:spacing w:line="360" w:lineRule="auto"/>
        <w:jc w:val="both"/>
        <w:rPr>
          <w:rFonts w:ascii="Palatino Linotype" w:hAnsi="Palatino Linotype"/>
          <w:color w:val="000000" w:themeColor="text1"/>
        </w:rPr>
      </w:pPr>
      <w:r w:rsidRPr="001C0AD9">
        <w:rPr>
          <w:rFonts w:ascii="Palatino Linotype" w:hAnsi="Palatino Linotype"/>
          <w:b/>
          <w:color w:val="000000" w:themeColor="text1"/>
        </w:rPr>
        <w:t>VISTO</w:t>
      </w:r>
      <w:r w:rsidRPr="001C0AD9">
        <w:rPr>
          <w:rFonts w:ascii="Palatino Linotype" w:hAnsi="Palatino Linotype"/>
          <w:color w:val="000000" w:themeColor="text1"/>
        </w:rPr>
        <w:t xml:space="preserve"> el expediente electrónico formado con motivo del </w:t>
      </w:r>
      <w:r w:rsidR="00A37303" w:rsidRPr="001C0AD9">
        <w:rPr>
          <w:rFonts w:ascii="Palatino Linotype" w:hAnsi="Palatino Linotype"/>
          <w:color w:val="000000" w:themeColor="text1"/>
        </w:rPr>
        <w:t>Recurso de R</w:t>
      </w:r>
      <w:r w:rsidRPr="001C0AD9">
        <w:rPr>
          <w:rFonts w:ascii="Palatino Linotype" w:hAnsi="Palatino Linotype"/>
          <w:color w:val="000000" w:themeColor="text1"/>
        </w:rPr>
        <w:t xml:space="preserve">evisión </w:t>
      </w:r>
      <w:r w:rsidR="00517A57" w:rsidRPr="001C0AD9">
        <w:rPr>
          <w:rFonts w:ascii="Palatino Linotype" w:hAnsi="Palatino Linotype"/>
          <w:b/>
          <w:color w:val="000000" w:themeColor="text1"/>
        </w:rPr>
        <w:t>04688/INFOEM/IP/RR/2025</w:t>
      </w:r>
      <w:r w:rsidRPr="001C0AD9">
        <w:rPr>
          <w:rFonts w:ascii="Palatino Linotype" w:hAnsi="Palatino Linotype" w:cs="Arial"/>
          <w:b/>
          <w:bCs/>
          <w:color w:val="000000" w:themeColor="text1"/>
        </w:rPr>
        <w:t xml:space="preserve">; </w:t>
      </w:r>
      <w:r w:rsidRPr="001C0AD9">
        <w:rPr>
          <w:rFonts w:ascii="Palatino Linotype" w:hAnsi="Palatino Linotype"/>
          <w:color w:val="000000" w:themeColor="text1"/>
        </w:rPr>
        <w:t xml:space="preserve">promovido por </w:t>
      </w:r>
      <w:r w:rsidR="001A38C1" w:rsidRPr="001C0AD9">
        <w:rPr>
          <w:rFonts w:ascii="Palatino Linotype" w:hAnsi="Palatino Linotype"/>
          <w:b/>
          <w:color w:val="000000" w:themeColor="text1"/>
        </w:rPr>
        <w:t>una persona que no proporciono datos para ser reconocido</w:t>
      </w:r>
      <w:r w:rsidRPr="001C0AD9">
        <w:rPr>
          <w:rFonts w:ascii="Palatino Linotype" w:hAnsi="Palatino Linotype"/>
          <w:color w:val="000000" w:themeColor="text1"/>
        </w:rPr>
        <w:t xml:space="preserve">, quien en lo sucesivo se le identificará </w:t>
      </w:r>
      <w:r w:rsidRPr="001C0AD9">
        <w:rPr>
          <w:rFonts w:ascii="Palatino Linotype" w:hAnsi="Palatino Linotype" w:cs="Arial"/>
          <w:color w:val="000000" w:themeColor="text1"/>
        </w:rPr>
        <w:t xml:space="preserve">como </w:t>
      </w:r>
      <w:r w:rsidR="00C55DB6" w:rsidRPr="001C0AD9">
        <w:rPr>
          <w:rFonts w:ascii="Palatino Linotype" w:hAnsi="Palatino Linotype" w:cs="Arial"/>
          <w:color w:val="000000" w:themeColor="text1"/>
        </w:rPr>
        <w:t>el</w:t>
      </w:r>
      <w:r w:rsidRPr="001C0AD9">
        <w:rPr>
          <w:rFonts w:ascii="Palatino Linotype" w:hAnsi="Palatino Linotype" w:cs="Arial"/>
          <w:color w:val="000000" w:themeColor="text1"/>
        </w:rPr>
        <w:t xml:space="preserve"> </w:t>
      </w:r>
      <w:r w:rsidRPr="001C0AD9">
        <w:rPr>
          <w:rFonts w:ascii="Palatino Linotype" w:hAnsi="Palatino Linotype" w:cs="Arial"/>
          <w:b/>
          <w:color w:val="000000" w:themeColor="text1"/>
        </w:rPr>
        <w:t>RECURRENTE</w:t>
      </w:r>
      <w:r w:rsidRPr="001C0AD9">
        <w:rPr>
          <w:rFonts w:ascii="Palatino Linotype" w:hAnsi="Palatino Linotype" w:cs="Arial"/>
          <w:color w:val="000000" w:themeColor="text1"/>
        </w:rPr>
        <w:t>, en contra de la respuesta del</w:t>
      </w:r>
      <w:r w:rsidRPr="001C0AD9">
        <w:rPr>
          <w:rFonts w:ascii="Palatino Linotype" w:hAnsi="Palatino Linotype"/>
          <w:color w:val="000000" w:themeColor="text1"/>
        </w:rPr>
        <w:t xml:space="preserve"> </w:t>
      </w:r>
      <w:r w:rsidR="00517A57" w:rsidRPr="001C0AD9">
        <w:rPr>
          <w:rFonts w:ascii="Palatino Linotype" w:eastAsia="Calibri" w:hAnsi="Palatino Linotype" w:cs="Tahoma"/>
          <w:b/>
          <w:color w:val="000000" w:themeColor="text1"/>
          <w:lang w:eastAsia="en-US"/>
        </w:rPr>
        <w:t>Ayuntamiento de Polotitlán</w:t>
      </w:r>
      <w:r w:rsidRPr="001C0AD9">
        <w:rPr>
          <w:rFonts w:ascii="Palatino Linotype" w:hAnsi="Palatino Linotype"/>
          <w:b/>
          <w:color w:val="000000" w:themeColor="text1"/>
        </w:rPr>
        <w:t xml:space="preserve">, </w:t>
      </w:r>
      <w:r w:rsidRPr="001C0AD9">
        <w:rPr>
          <w:rFonts w:ascii="Palatino Linotype" w:hAnsi="Palatino Linotype"/>
          <w:color w:val="000000" w:themeColor="text1"/>
        </w:rPr>
        <w:t>en lo sucesivo el</w:t>
      </w:r>
      <w:r w:rsidRPr="001C0AD9">
        <w:rPr>
          <w:rFonts w:ascii="Palatino Linotype" w:hAnsi="Palatino Linotype"/>
          <w:b/>
          <w:color w:val="000000" w:themeColor="text1"/>
        </w:rPr>
        <w:t xml:space="preserve"> SUJETO OBLIGADO, </w:t>
      </w:r>
      <w:r w:rsidRPr="001C0AD9">
        <w:rPr>
          <w:rFonts w:ascii="Palatino Linotype" w:hAnsi="Palatino Linotype"/>
          <w:color w:val="000000" w:themeColor="text1"/>
        </w:rPr>
        <w:t xml:space="preserve">se procede a dictar la presente </w:t>
      </w:r>
      <w:r w:rsidR="00C55DB6" w:rsidRPr="001C0AD9">
        <w:rPr>
          <w:rFonts w:ascii="Palatino Linotype" w:hAnsi="Palatino Linotype"/>
          <w:color w:val="000000" w:themeColor="text1"/>
        </w:rPr>
        <w:t>R</w:t>
      </w:r>
      <w:r w:rsidRPr="001C0AD9">
        <w:rPr>
          <w:rFonts w:ascii="Palatino Linotype" w:hAnsi="Palatino Linotype"/>
          <w:color w:val="000000" w:themeColor="text1"/>
        </w:rPr>
        <w:t>esolución, con base en los siguientes:</w:t>
      </w:r>
    </w:p>
    <w:p w14:paraId="703F615F" w14:textId="77777777" w:rsidR="00C673EE" w:rsidRPr="001C0AD9" w:rsidRDefault="00C673EE" w:rsidP="00DF7928">
      <w:pPr>
        <w:spacing w:line="360" w:lineRule="auto"/>
        <w:jc w:val="both"/>
        <w:rPr>
          <w:rFonts w:ascii="Palatino Linotype" w:hAnsi="Palatino Linotype"/>
          <w:b/>
          <w:color w:val="000000" w:themeColor="text1"/>
        </w:rPr>
      </w:pPr>
    </w:p>
    <w:p w14:paraId="4A875F90" w14:textId="3F2E0D05" w:rsidR="00207D17" w:rsidRPr="001C0AD9" w:rsidRDefault="00207D17" w:rsidP="00DF7928">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1233123"/>
      <w:r w:rsidRPr="001C0AD9">
        <w:rPr>
          <w:rFonts w:ascii="Palatino Linotype" w:hAnsi="Palatino Linotype"/>
          <w:b/>
          <w:color w:val="000000" w:themeColor="text1"/>
          <w:sz w:val="24"/>
          <w:szCs w:val="24"/>
        </w:rPr>
        <w:t>A</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N</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T</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E</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C</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E</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D</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E</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N</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T</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E</w:t>
      </w:r>
      <w:r w:rsidR="00A23858">
        <w:rPr>
          <w:rFonts w:ascii="Palatino Linotype" w:hAnsi="Palatino Linotype"/>
          <w:b/>
          <w:color w:val="000000" w:themeColor="text1"/>
          <w:sz w:val="24"/>
          <w:szCs w:val="24"/>
        </w:rPr>
        <w:t xml:space="preserve"> </w:t>
      </w:r>
      <w:r w:rsidRPr="001C0AD9">
        <w:rPr>
          <w:rFonts w:ascii="Palatino Linotype" w:hAnsi="Palatino Linotype"/>
          <w:b/>
          <w:color w:val="000000" w:themeColor="text1"/>
          <w:sz w:val="24"/>
          <w:szCs w:val="24"/>
        </w:rPr>
        <w:t>S</w:t>
      </w:r>
      <w:bookmarkEnd w:id="1"/>
      <w:bookmarkEnd w:id="2"/>
      <w:bookmarkEnd w:id="3"/>
      <w:r w:rsidR="00A23858">
        <w:rPr>
          <w:rFonts w:ascii="Palatino Linotype" w:hAnsi="Palatino Linotype"/>
          <w:b/>
          <w:color w:val="000000" w:themeColor="text1"/>
          <w:sz w:val="24"/>
          <w:szCs w:val="24"/>
        </w:rPr>
        <w:t xml:space="preserve"> </w:t>
      </w:r>
    </w:p>
    <w:p w14:paraId="466A0070" w14:textId="64B649E3" w:rsidR="00C673EE" w:rsidRPr="001C0AD9" w:rsidRDefault="00A23858" w:rsidP="00DF7928">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p>
    <w:p w14:paraId="6B9F9C74" w14:textId="7F845DDD" w:rsidR="00207D17" w:rsidRPr="001C0AD9" w:rsidRDefault="005023FA" w:rsidP="00DF7928">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C0AD9">
        <w:rPr>
          <w:rFonts w:ascii="Palatino Linotype" w:eastAsia="Calibri" w:hAnsi="Palatino Linotype" w:cs="Arial"/>
          <w:color w:val="000000" w:themeColor="text1"/>
          <w:sz w:val="24"/>
          <w:lang w:val="es-ES"/>
        </w:rPr>
        <w:t xml:space="preserve">El </w:t>
      </w:r>
      <w:r w:rsidR="00517A57" w:rsidRPr="001C0AD9">
        <w:rPr>
          <w:rFonts w:ascii="Palatino Linotype" w:eastAsia="Calibri" w:hAnsi="Palatino Linotype" w:cs="Arial"/>
          <w:color w:val="000000" w:themeColor="text1"/>
          <w:sz w:val="24"/>
          <w:lang w:val="es-ES"/>
        </w:rPr>
        <w:t>seis de marzo</w:t>
      </w:r>
      <w:r w:rsidR="00A37303" w:rsidRPr="001C0AD9">
        <w:rPr>
          <w:rFonts w:ascii="Palatino Linotype" w:eastAsia="Calibri" w:hAnsi="Palatino Linotype" w:cs="Arial"/>
          <w:color w:val="000000" w:themeColor="text1"/>
          <w:sz w:val="24"/>
          <w:lang w:val="es-ES"/>
        </w:rPr>
        <w:t xml:space="preserve"> </w:t>
      </w:r>
      <w:r w:rsidRPr="001C0AD9">
        <w:rPr>
          <w:rFonts w:ascii="Palatino Linotype" w:eastAsia="Calibri" w:hAnsi="Palatino Linotype" w:cs="Arial"/>
          <w:color w:val="000000" w:themeColor="text1"/>
          <w:sz w:val="24"/>
          <w:lang w:val="es-ES"/>
        </w:rPr>
        <w:t xml:space="preserve">dos mil </w:t>
      </w:r>
      <w:r w:rsidR="00A37303" w:rsidRPr="001C0AD9">
        <w:rPr>
          <w:rFonts w:ascii="Palatino Linotype" w:eastAsia="Calibri" w:hAnsi="Palatino Linotype" w:cs="Arial"/>
          <w:color w:val="000000" w:themeColor="text1"/>
          <w:sz w:val="24"/>
          <w:lang w:val="es-ES"/>
        </w:rPr>
        <w:t>veinticinco</w:t>
      </w:r>
      <w:r w:rsidR="00207D17" w:rsidRPr="001C0AD9">
        <w:rPr>
          <w:rFonts w:ascii="Palatino Linotype" w:hAnsi="Palatino Linotype"/>
          <w:b/>
          <w:color w:val="000000" w:themeColor="text1"/>
          <w:sz w:val="24"/>
        </w:rPr>
        <w:t xml:space="preserve">, </w:t>
      </w:r>
      <w:r w:rsidR="00207D17" w:rsidRPr="001C0AD9">
        <w:rPr>
          <w:rFonts w:ascii="Palatino Linotype" w:eastAsia="Calibri" w:hAnsi="Palatino Linotype" w:cs="Arial"/>
          <w:color w:val="000000" w:themeColor="text1"/>
          <w:sz w:val="24"/>
          <w:lang w:val="es-ES"/>
        </w:rPr>
        <w:t xml:space="preserve">se presentó ante el </w:t>
      </w:r>
      <w:r w:rsidR="00207D17" w:rsidRPr="001C0AD9">
        <w:rPr>
          <w:rFonts w:ascii="Palatino Linotype" w:eastAsia="Calibri" w:hAnsi="Palatino Linotype" w:cs="Arial"/>
          <w:b/>
          <w:color w:val="000000" w:themeColor="text1"/>
          <w:sz w:val="24"/>
          <w:lang w:val="es-ES"/>
        </w:rPr>
        <w:t>SUJETO OBLIGADO</w:t>
      </w:r>
      <w:r w:rsidR="00207D17" w:rsidRPr="001C0AD9">
        <w:rPr>
          <w:rFonts w:ascii="Palatino Linotype" w:eastAsia="Calibri" w:hAnsi="Palatino Linotype" w:cs="Arial"/>
          <w:color w:val="000000" w:themeColor="text1"/>
          <w:sz w:val="24"/>
        </w:rPr>
        <w:t xml:space="preserve"> vía </w:t>
      </w:r>
      <w:r w:rsidR="00207D17" w:rsidRPr="001C0AD9">
        <w:rPr>
          <w:rFonts w:ascii="Palatino Linotype" w:eastAsia="Calibri" w:hAnsi="Palatino Linotype" w:cs="Arial"/>
          <w:color w:val="000000" w:themeColor="text1"/>
          <w:sz w:val="24"/>
          <w:lang w:val="es-ES"/>
        </w:rPr>
        <w:t xml:space="preserve">Sistema de Acceso a la Información Mexiquense </w:t>
      </w:r>
      <w:r w:rsidR="00207D17" w:rsidRPr="001C0AD9">
        <w:rPr>
          <w:rFonts w:ascii="Palatino Linotype" w:eastAsia="Calibri" w:hAnsi="Palatino Linotype" w:cs="Arial"/>
          <w:b/>
          <w:color w:val="000000" w:themeColor="text1"/>
          <w:sz w:val="24"/>
          <w:lang w:val="es-ES"/>
        </w:rPr>
        <w:t>SAIMEX</w:t>
      </w:r>
      <w:r w:rsidR="00207D17" w:rsidRPr="001C0AD9">
        <w:rPr>
          <w:rFonts w:ascii="Palatino Linotype" w:eastAsia="Calibri" w:hAnsi="Palatino Linotype" w:cs="Arial"/>
          <w:color w:val="000000" w:themeColor="text1"/>
          <w:sz w:val="24"/>
          <w:lang w:val="es-ES"/>
        </w:rPr>
        <w:t xml:space="preserve">, la solicitud de información pública registrada con el número </w:t>
      </w:r>
      <w:r w:rsidR="00517A57" w:rsidRPr="001C0AD9">
        <w:rPr>
          <w:rFonts w:ascii="Palatino Linotype" w:hAnsi="Palatino Linotype"/>
          <w:b/>
          <w:bCs/>
          <w:color w:val="000000" w:themeColor="text1"/>
          <w:sz w:val="24"/>
        </w:rPr>
        <w:t>00047/POLOTI/IP/2025</w:t>
      </w:r>
      <w:r w:rsidR="00A23858">
        <w:rPr>
          <w:rFonts w:ascii="Palatino Linotype" w:hAnsi="Palatino Linotype"/>
          <w:b/>
          <w:bCs/>
          <w:color w:val="000000" w:themeColor="text1"/>
          <w:sz w:val="24"/>
        </w:rPr>
        <w:t>,</w:t>
      </w:r>
      <w:r w:rsidRPr="001C0AD9">
        <w:rPr>
          <w:rFonts w:ascii="Palatino Linotype" w:hAnsi="Palatino Linotype"/>
          <w:b/>
          <w:bCs/>
          <w:color w:val="000000" w:themeColor="text1"/>
          <w:sz w:val="24"/>
        </w:rPr>
        <w:t xml:space="preserve"> </w:t>
      </w:r>
      <w:r w:rsidR="00A23858">
        <w:rPr>
          <w:rFonts w:ascii="Palatino Linotype" w:eastAsia="Calibri" w:hAnsi="Palatino Linotype" w:cs="Arial"/>
          <w:color w:val="000000" w:themeColor="text1"/>
          <w:sz w:val="24"/>
          <w:lang w:val="es-ES"/>
        </w:rPr>
        <w:t>en la que se</w:t>
      </w:r>
      <w:r w:rsidR="00207D17" w:rsidRPr="001C0AD9">
        <w:rPr>
          <w:rFonts w:ascii="Palatino Linotype" w:eastAsia="Calibri" w:hAnsi="Palatino Linotype" w:cs="Arial"/>
          <w:color w:val="000000" w:themeColor="text1"/>
          <w:sz w:val="24"/>
          <w:lang w:val="es-ES"/>
        </w:rPr>
        <w:t xml:space="preserve"> solicitó:</w:t>
      </w:r>
    </w:p>
    <w:p w14:paraId="65421130" w14:textId="77777777" w:rsidR="00C55DB6" w:rsidRPr="001C0AD9" w:rsidRDefault="00C55DB6" w:rsidP="00DF792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329A52CD" w14:textId="77777777" w:rsidR="00207D17" w:rsidRPr="001C0AD9" w:rsidRDefault="00207D17" w:rsidP="00DF7928">
      <w:pPr>
        <w:pStyle w:val="Prrafodelista"/>
        <w:spacing w:line="360" w:lineRule="auto"/>
        <w:ind w:left="0"/>
        <w:jc w:val="both"/>
        <w:rPr>
          <w:rFonts w:ascii="Palatino Linotype" w:hAnsi="Palatino Linotype"/>
          <w:color w:val="000000" w:themeColor="text1"/>
          <w:sz w:val="24"/>
        </w:rPr>
      </w:pPr>
      <w:r w:rsidRPr="001C0AD9">
        <w:rPr>
          <w:rFonts w:ascii="Palatino Linotype" w:hAnsi="Palatino Linotype"/>
          <w:i/>
          <w:color w:val="000000" w:themeColor="text1"/>
          <w:sz w:val="24"/>
        </w:rPr>
        <w:t>“</w:t>
      </w:r>
      <w:r w:rsidR="00517A57" w:rsidRPr="001C0AD9">
        <w:rPr>
          <w:rFonts w:ascii="Palatino Linotype" w:hAnsi="Palatino Linotype"/>
          <w:i/>
          <w:color w:val="000000" w:themeColor="text1"/>
          <w:sz w:val="24"/>
        </w:rPr>
        <w:t>SOLICITOSABER SI EL MUNICIPIO LLEGO A TENER ALGUNA OBSERVACION POR EL OSFEM Y SI FUERA EL CASO EL MOTIVO</w:t>
      </w:r>
      <w:r w:rsidRPr="001C0AD9">
        <w:rPr>
          <w:rFonts w:ascii="Palatino Linotype" w:hAnsi="Palatino Linotype"/>
          <w:i/>
          <w:color w:val="000000" w:themeColor="text1"/>
          <w:sz w:val="24"/>
        </w:rPr>
        <w:t>”</w:t>
      </w:r>
      <w:r w:rsidRPr="001C0AD9">
        <w:rPr>
          <w:rFonts w:ascii="Palatino Linotype" w:hAnsi="Palatino Linotype"/>
          <w:color w:val="000000" w:themeColor="text1"/>
          <w:sz w:val="24"/>
        </w:rPr>
        <w:t xml:space="preserve"> (Sic)</w:t>
      </w:r>
    </w:p>
    <w:p w14:paraId="65675FAE" w14:textId="77777777" w:rsidR="00517A57" w:rsidRPr="001C0AD9" w:rsidRDefault="00517A57" w:rsidP="00DF7928">
      <w:pPr>
        <w:pStyle w:val="Prrafodelista"/>
        <w:spacing w:line="360" w:lineRule="auto"/>
        <w:ind w:left="0"/>
        <w:jc w:val="both"/>
        <w:rPr>
          <w:rFonts w:ascii="Palatino Linotype" w:hAnsi="Palatino Linotype"/>
          <w:color w:val="000000" w:themeColor="text1"/>
          <w:sz w:val="24"/>
        </w:rPr>
      </w:pPr>
    </w:p>
    <w:p w14:paraId="49CE94EA" w14:textId="77777777" w:rsidR="00207D17" w:rsidRPr="001C0AD9" w:rsidRDefault="00207D17" w:rsidP="00DF7928">
      <w:pPr>
        <w:pStyle w:val="Prrafodelista"/>
        <w:numPr>
          <w:ilvl w:val="0"/>
          <w:numId w:val="2"/>
        </w:numPr>
        <w:tabs>
          <w:tab w:val="left" w:pos="284"/>
        </w:tabs>
        <w:spacing w:line="360" w:lineRule="auto"/>
        <w:ind w:left="0" w:firstLine="0"/>
        <w:jc w:val="both"/>
        <w:rPr>
          <w:rFonts w:ascii="Palatino Linotype" w:eastAsia="MS Mincho" w:hAnsi="Palatino Linotype"/>
          <w:color w:val="000000" w:themeColor="text1"/>
          <w:sz w:val="24"/>
        </w:rPr>
      </w:pPr>
      <w:r w:rsidRPr="001C0AD9">
        <w:rPr>
          <w:rFonts w:ascii="Palatino Linotype" w:eastAsia="Calibri" w:hAnsi="Palatino Linotype" w:cs="Arial"/>
          <w:color w:val="000000" w:themeColor="text1"/>
          <w:sz w:val="24"/>
          <w:lang w:val="es-AR"/>
        </w:rPr>
        <w:t>Se señaló</w:t>
      </w:r>
      <w:r w:rsidRPr="001C0AD9">
        <w:rPr>
          <w:rFonts w:ascii="Palatino Linotype" w:hAnsi="Palatino Linotype" w:cs="Arial"/>
          <w:color w:val="000000" w:themeColor="text1"/>
          <w:sz w:val="24"/>
          <w:lang w:val="es-ES"/>
        </w:rPr>
        <w:t xml:space="preserve"> como modalidad de entrega de la información a través de </w:t>
      </w:r>
      <w:r w:rsidRPr="001C0AD9">
        <w:rPr>
          <w:rFonts w:ascii="Palatino Linotype" w:hAnsi="Palatino Linotype" w:cs="Arial"/>
          <w:b/>
          <w:color w:val="000000" w:themeColor="text1"/>
          <w:sz w:val="24"/>
          <w:lang w:val="es-ES"/>
        </w:rPr>
        <w:t>SAIMEX</w:t>
      </w:r>
      <w:r w:rsidRPr="001C0AD9">
        <w:rPr>
          <w:rFonts w:ascii="Palatino Linotype" w:hAnsi="Palatino Linotype" w:cs="Arial"/>
          <w:color w:val="000000" w:themeColor="text1"/>
          <w:sz w:val="24"/>
          <w:lang w:val="es-ES"/>
        </w:rPr>
        <w:t>.</w:t>
      </w:r>
    </w:p>
    <w:p w14:paraId="1533B4C5" w14:textId="77777777" w:rsidR="00C76864" w:rsidRPr="001C0AD9" w:rsidRDefault="00C76864" w:rsidP="00DF7928">
      <w:pPr>
        <w:pStyle w:val="Prrafodelista"/>
        <w:tabs>
          <w:tab w:val="left" w:pos="284"/>
        </w:tabs>
        <w:spacing w:line="360" w:lineRule="auto"/>
        <w:ind w:left="0"/>
        <w:jc w:val="both"/>
        <w:rPr>
          <w:rFonts w:ascii="Palatino Linotype" w:eastAsia="MS Mincho" w:hAnsi="Palatino Linotype"/>
          <w:color w:val="000000" w:themeColor="text1"/>
          <w:sz w:val="24"/>
        </w:rPr>
      </w:pPr>
    </w:p>
    <w:p w14:paraId="7BAAA249" w14:textId="77777777" w:rsidR="005023FA" w:rsidRPr="001C0AD9" w:rsidRDefault="005023FA" w:rsidP="00DF7928">
      <w:pPr>
        <w:pStyle w:val="Prrafodelista"/>
        <w:numPr>
          <w:ilvl w:val="0"/>
          <w:numId w:val="2"/>
        </w:numPr>
        <w:tabs>
          <w:tab w:val="left" w:pos="284"/>
        </w:tabs>
        <w:spacing w:line="360" w:lineRule="auto"/>
        <w:ind w:left="0" w:firstLine="0"/>
        <w:jc w:val="both"/>
        <w:rPr>
          <w:rFonts w:ascii="Palatino Linotype" w:hAnsi="Palatino Linotype" w:cs="Arial"/>
          <w:i/>
          <w:color w:val="000000" w:themeColor="text1"/>
          <w:sz w:val="24"/>
        </w:rPr>
      </w:pPr>
      <w:r w:rsidRPr="001C0AD9">
        <w:rPr>
          <w:rFonts w:ascii="Palatino Linotype" w:hAnsi="Palatino Linotype" w:cs="Arial"/>
          <w:color w:val="000000" w:themeColor="text1"/>
          <w:sz w:val="24"/>
        </w:rPr>
        <w:t xml:space="preserve">El </w:t>
      </w:r>
      <w:r w:rsidR="00517A57" w:rsidRPr="001C0AD9">
        <w:rPr>
          <w:rFonts w:ascii="Palatino Linotype" w:hAnsi="Palatino Linotype" w:cs="Arial"/>
          <w:color w:val="000000" w:themeColor="text1"/>
          <w:sz w:val="24"/>
        </w:rPr>
        <w:t>veintisiete de marzo</w:t>
      </w:r>
      <w:r w:rsidRPr="001C0AD9">
        <w:rPr>
          <w:rFonts w:ascii="Palatino Linotype" w:hAnsi="Palatino Linotype" w:cs="Arial"/>
          <w:color w:val="000000" w:themeColor="text1"/>
          <w:sz w:val="24"/>
        </w:rPr>
        <w:t xml:space="preserve"> de dos mil </w:t>
      </w:r>
      <w:r w:rsidR="00A37303" w:rsidRPr="001C0AD9">
        <w:rPr>
          <w:rFonts w:ascii="Palatino Linotype" w:hAnsi="Palatino Linotype" w:cs="Arial"/>
          <w:color w:val="000000" w:themeColor="text1"/>
          <w:sz w:val="24"/>
        </w:rPr>
        <w:t>veinticinco</w:t>
      </w:r>
      <w:r w:rsidRPr="001C0AD9">
        <w:rPr>
          <w:rFonts w:ascii="Palatino Linotype" w:hAnsi="Palatino Linotype" w:cs="Arial"/>
          <w:color w:val="000000" w:themeColor="text1"/>
          <w:sz w:val="24"/>
        </w:rPr>
        <w:t xml:space="preserve">, el </w:t>
      </w:r>
      <w:r w:rsidR="004F0320" w:rsidRPr="001C0AD9">
        <w:rPr>
          <w:rFonts w:ascii="Palatino Linotype" w:hAnsi="Palatino Linotype" w:cs="Arial"/>
          <w:b/>
          <w:color w:val="000000" w:themeColor="text1"/>
          <w:sz w:val="24"/>
        </w:rPr>
        <w:t>SUJETO OBLIGADO</w:t>
      </w:r>
      <w:r w:rsidR="004F0320" w:rsidRPr="001C0AD9">
        <w:rPr>
          <w:rFonts w:ascii="Palatino Linotype" w:hAnsi="Palatino Linotype" w:cs="Arial"/>
          <w:color w:val="000000" w:themeColor="text1"/>
          <w:sz w:val="24"/>
        </w:rPr>
        <w:t xml:space="preserve"> </w:t>
      </w:r>
      <w:r w:rsidR="002C0527" w:rsidRPr="001C0AD9">
        <w:rPr>
          <w:rFonts w:ascii="Palatino Linotype" w:hAnsi="Palatino Linotype" w:cs="Arial"/>
          <w:color w:val="000000" w:themeColor="text1"/>
          <w:sz w:val="24"/>
        </w:rPr>
        <w:t>emitió su respuesta a través de los siguientes dos archivos electrónicos</w:t>
      </w:r>
      <w:r w:rsidRPr="001C0AD9">
        <w:rPr>
          <w:rFonts w:ascii="Palatino Linotype" w:hAnsi="Palatino Linotype" w:cs="Arial"/>
          <w:color w:val="000000" w:themeColor="text1"/>
          <w:sz w:val="24"/>
        </w:rPr>
        <w:t>:</w:t>
      </w:r>
    </w:p>
    <w:p w14:paraId="5C20B79D" w14:textId="77777777" w:rsidR="00C76864" w:rsidRPr="001C0AD9" w:rsidRDefault="00CE7518" w:rsidP="00A23858">
      <w:pPr>
        <w:pStyle w:val="Prrafodelista"/>
        <w:numPr>
          <w:ilvl w:val="0"/>
          <w:numId w:val="9"/>
        </w:numPr>
        <w:spacing w:line="360" w:lineRule="auto"/>
        <w:ind w:left="0" w:firstLine="0"/>
        <w:jc w:val="both"/>
        <w:rPr>
          <w:rFonts w:ascii="Palatino Linotype" w:eastAsia="Calibri" w:hAnsi="Palatino Linotype" w:cs="Arial"/>
          <w:b/>
          <w:color w:val="000000" w:themeColor="text1"/>
          <w:sz w:val="24"/>
          <w:lang w:val="es-AR"/>
        </w:rPr>
      </w:pPr>
      <w:r w:rsidRPr="001C0AD9">
        <w:rPr>
          <w:rFonts w:ascii="Palatino Linotype" w:eastAsia="Calibri" w:hAnsi="Palatino Linotype" w:cs="Arial"/>
          <w:b/>
          <w:color w:val="000000" w:themeColor="text1"/>
          <w:sz w:val="24"/>
          <w:lang w:val="es-AR"/>
        </w:rPr>
        <w:lastRenderedPageBreak/>
        <w:t>soli47.pdf</w:t>
      </w:r>
      <w:r w:rsidR="00C76864" w:rsidRPr="001C0AD9">
        <w:rPr>
          <w:rFonts w:ascii="Palatino Linotype" w:eastAsia="Calibri" w:hAnsi="Palatino Linotype" w:cs="Arial"/>
          <w:b/>
          <w:color w:val="000000" w:themeColor="text1"/>
          <w:sz w:val="24"/>
          <w:lang w:val="es-AR"/>
        </w:rPr>
        <w:t xml:space="preserve">, </w:t>
      </w:r>
      <w:r w:rsidRPr="001C0AD9">
        <w:rPr>
          <w:rFonts w:ascii="Palatino Linotype" w:eastAsia="Calibri" w:hAnsi="Palatino Linotype" w:cs="Arial"/>
          <w:color w:val="000000" w:themeColor="text1"/>
          <w:sz w:val="24"/>
          <w:lang w:val="es-AR"/>
        </w:rPr>
        <w:t>que corresponde a un oficio signado por el Tesorero Municipal, a través del cual informa lo siguiente: "</w:t>
      </w:r>
      <w:r w:rsidRPr="001C0AD9">
        <w:rPr>
          <w:rFonts w:ascii="Palatino Linotype" w:eastAsia="Calibri" w:hAnsi="Palatino Linotype" w:cs="Arial"/>
          <w:i/>
          <w:color w:val="000000" w:themeColor="text1"/>
          <w:sz w:val="24"/>
          <w:lang w:val="es-AR"/>
        </w:rPr>
        <w:t>Se hace de su conocimiento que el Municipio hasta la fecha no ha tenido ninguna observación por el OSFEM.</w:t>
      </w:r>
      <w:r w:rsidRPr="001C0AD9">
        <w:rPr>
          <w:rFonts w:ascii="Palatino Linotype" w:eastAsia="Calibri" w:hAnsi="Palatino Linotype" w:cs="Arial"/>
          <w:color w:val="000000" w:themeColor="text1"/>
          <w:sz w:val="24"/>
          <w:lang w:val="es-AR"/>
        </w:rPr>
        <w:t>"</w:t>
      </w:r>
    </w:p>
    <w:p w14:paraId="6E30EDDB" w14:textId="77777777" w:rsidR="00A37303" w:rsidRPr="001C0AD9" w:rsidRDefault="00A37303" w:rsidP="00DF7928">
      <w:pPr>
        <w:pStyle w:val="Prrafodelista"/>
        <w:spacing w:line="360" w:lineRule="auto"/>
        <w:ind w:left="0"/>
        <w:jc w:val="both"/>
        <w:rPr>
          <w:rFonts w:ascii="Palatino Linotype" w:eastAsia="Calibri" w:hAnsi="Palatino Linotype" w:cs="Arial"/>
          <w:color w:val="000000" w:themeColor="text1"/>
          <w:sz w:val="24"/>
          <w:lang w:val="es-AR"/>
        </w:rPr>
      </w:pPr>
    </w:p>
    <w:p w14:paraId="6621D302" w14:textId="77777777" w:rsidR="00207D17" w:rsidRPr="001C0AD9" w:rsidRDefault="00207D17" w:rsidP="00DF7928">
      <w:pPr>
        <w:pStyle w:val="Prrafodelista"/>
        <w:numPr>
          <w:ilvl w:val="0"/>
          <w:numId w:val="2"/>
        </w:numPr>
        <w:tabs>
          <w:tab w:val="left" w:pos="284"/>
        </w:tabs>
        <w:spacing w:line="360" w:lineRule="auto"/>
        <w:ind w:left="0" w:firstLine="0"/>
        <w:jc w:val="both"/>
        <w:rPr>
          <w:rFonts w:ascii="Palatino Linotype" w:hAnsi="Palatino Linotype"/>
          <w:b/>
          <w:i/>
          <w:color w:val="000000" w:themeColor="text1"/>
          <w:sz w:val="24"/>
        </w:rPr>
      </w:pPr>
      <w:r w:rsidRPr="001C0AD9">
        <w:rPr>
          <w:rFonts w:ascii="Palatino Linotype" w:hAnsi="Palatino Linotype" w:cs="Arial"/>
          <w:color w:val="000000" w:themeColor="text1"/>
          <w:sz w:val="24"/>
        </w:rPr>
        <w:t>Derivado de la respuesta, el</w:t>
      </w:r>
      <w:r w:rsidRPr="001C0AD9">
        <w:rPr>
          <w:rFonts w:ascii="Palatino Linotype" w:hAnsi="Palatino Linotype" w:cs="Arial"/>
          <w:color w:val="000000" w:themeColor="text1"/>
          <w:sz w:val="24"/>
          <w:lang w:val="es-ES"/>
        </w:rPr>
        <w:t xml:space="preserve"> </w:t>
      </w:r>
      <w:r w:rsidR="008A7D87" w:rsidRPr="001C0AD9">
        <w:rPr>
          <w:rFonts w:ascii="Palatino Linotype" w:hAnsi="Palatino Linotype" w:cs="Arial"/>
          <w:color w:val="000000" w:themeColor="text1"/>
          <w:sz w:val="24"/>
          <w:lang w:val="es-ES"/>
        </w:rPr>
        <w:t>veinticuatro de abril</w:t>
      </w:r>
      <w:r w:rsidR="001641A3" w:rsidRPr="001C0AD9">
        <w:rPr>
          <w:rFonts w:ascii="Palatino Linotype" w:hAnsi="Palatino Linotype" w:cs="Arial"/>
          <w:color w:val="000000" w:themeColor="text1"/>
          <w:sz w:val="24"/>
          <w:lang w:val="es-ES"/>
        </w:rPr>
        <w:t xml:space="preserve"> de dos mil </w:t>
      </w:r>
      <w:r w:rsidR="00A37303" w:rsidRPr="001C0AD9">
        <w:rPr>
          <w:rFonts w:ascii="Palatino Linotype" w:hAnsi="Palatino Linotype" w:cs="Arial"/>
          <w:color w:val="000000" w:themeColor="text1"/>
          <w:sz w:val="24"/>
          <w:lang w:val="es-ES"/>
        </w:rPr>
        <w:t>veinticinco</w:t>
      </w:r>
      <w:r w:rsidR="002C0527" w:rsidRPr="001C0AD9">
        <w:rPr>
          <w:rFonts w:ascii="Palatino Linotype" w:hAnsi="Palatino Linotype" w:cs="Arial"/>
          <w:color w:val="000000" w:themeColor="text1"/>
          <w:sz w:val="24"/>
          <w:lang w:val="es-ES"/>
        </w:rPr>
        <w:t xml:space="preserve">, </w:t>
      </w:r>
      <w:r w:rsidR="00A84EC6" w:rsidRPr="001C0AD9">
        <w:rPr>
          <w:rFonts w:ascii="Palatino Linotype" w:hAnsi="Palatino Linotype" w:cs="Arial"/>
          <w:color w:val="000000" w:themeColor="text1"/>
          <w:sz w:val="24"/>
          <w:lang w:val="es-ES"/>
        </w:rPr>
        <w:t>el</w:t>
      </w:r>
      <w:r w:rsidRPr="001C0AD9">
        <w:rPr>
          <w:rFonts w:ascii="Palatino Linotype" w:hAnsi="Palatino Linotype" w:cs="Arial"/>
          <w:color w:val="000000" w:themeColor="text1"/>
          <w:sz w:val="24"/>
          <w:lang w:val="es-ES"/>
        </w:rPr>
        <w:t xml:space="preserve"> particular interpuso el recurso de revisión señalando como:</w:t>
      </w:r>
    </w:p>
    <w:p w14:paraId="3AA8D5A9" w14:textId="77777777" w:rsidR="00207D17" w:rsidRPr="001C0AD9" w:rsidRDefault="00207D17" w:rsidP="00DF7928">
      <w:pPr>
        <w:pStyle w:val="Prrafodelista"/>
        <w:tabs>
          <w:tab w:val="left" w:pos="284"/>
        </w:tabs>
        <w:spacing w:line="360" w:lineRule="auto"/>
        <w:ind w:left="0"/>
        <w:jc w:val="both"/>
        <w:rPr>
          <w:rFonts w:ascii="Palatino Linotype" w:hAnsi="Palatino Linotype"/>
          <w:b/>
          <w:i/>
          <w:color w:val="000000" w:themeColor="text1"/>
          <w:sz w:val="24"/>
        </w:rPr>
      </w:pPr>
    </w:p>
    <w:p w14:paraId="7A197761" w14:textId="77777777" w:rsidR="00207D17" w:rsidRPr="001C0AD9" w:rsidRDefault="00207D17" w:rsidP="00A23858">
      <w:pPr>
        <w:pStyle w:val="Prrafodelista"/>
        <w:numPr>
          <w:ilvl w:val="0"/>
          <w:numId w:val="9"/>
        </w:numPr>
        <w:tabs>
          <w:tab w:val="left" w:pos="426"/>
        </w:tabs>
        <w:spacing w:line="360" w:lineRule="auto"/>
        <w:jc w:val="both"/>
        <w:rPr>
          <w:rFonts w:ascii="Palatino Linotype" w:hAnsi="Palatino Linotype" w:cs="Arial"/>
          <w:color w:val="000000" w:themeColor="text1"/>
          <w:sz w:val="24"/>
          <w:lang w:val="es-ES"/>
        </w:rPr>
      </w:pPr>
      <w:r w:rsidRPr="001C0AD9">
        <w:rPr>
          <w:rFonts w:ascii="Palatino Linotype" w:hAnsi="Palatino Linotype" w:cs="Arial"/>
          <w:b/>
          <w:color w:val="000000" w:themeColor="text1"/>
          <w:sz w:val="24"/>
          <w:lang w:val="es-ES"/>
        </w:rPr>
        <w:t>Acto impugnado:</w:t>
      </w:r>
      <w:r w:rsidRPr="001C0AD9">
        <w:rPr>
          <w:rFonts w:ascii="Palatino Linotype" w:hAnsi="Palatino Linotype" w:cs="Arial"/>
          <w:color w:val="000000" w:themeColor="text1"/>
          <w:sz w:val="24"/>
          <w:lang w:val="es-ES"/>
        </w:rPr>
        <w:t xml:space="preserve"> “</w:t>
      </w:r>
      <w:r w:rsidR="008A7D87" w:rsidRPr="001C0AD9">
        <w:rPr>
          <w:rFonts w:ascii="Palatino Linotype" w:hAnsi="Palatino Linotype" w:cs="Arial"/>
          <w:i/>
          <w:color w:val="000000" w:themeColor="text1"/>
          <w:sz w:val="24"/>
        </w:rPr>
        <w:t>ME NIEGAN LA INFORMACION Y NO LA ATIENDEN COMO LO SOLICITE</w:t>
      </w:r>
      <w:r w:rsidRPr="001C0AD9">
        <w:rPr>
          <w:rFonts w:ascii="Palatino Linotype" w:hAnsi="Palatino Linotype" w:cs="Arial"/>
          <w:i/>
          <w:color w:val="000000" w:themeColor="text1"/>
          <w:sz w:val="24"/>
          <w:lang w:val="es-ES"/>
        </w:rPr>
        <w:t>”</w:t>
      </w:r>
    </w:p>
    <w:p w14:paraId="3E05ACEA" w14:textId="77777777" w:rsidR="00207D17" w:rsidRPr="001C0AD9" w:rsidRDefault="001641A3" w:rsidP="00DF7928">
      <w:pPr>
        <w:pStyle w:val="Prrafodelista"/>
        <w:tabs>
          <w:tab w:val="left" w:pos="426"/>
          <w:tab w:val="left" w:pos="3750"/>
        </w:tabs>
        <w:spacing w:line="360" w:lineRule="auto"/>
        <w:ind w:left="0"/>
        <w:jc w:val="both"/>
        <w:rPr>
          <w:rFonts w:ascii="Palatino Linotype" w:hAnsi="Palatino Linotype" w:cs="Arial"/>
          <w:color w:val="000000" w:themeColor="text1"/>
          <w:sz w:val="24"/>
          <w:lang w:val="es-ES"/>
        </w:rPr>
      </w:pPr>
      <w:r w:rsidRPr="001C0AD9">
        <w:rPr>
          <w:rFonts w:ascii="Palatino Linotype" w:hAnsi="Palatino Linotype" w:cs="Arial"/>
          <w:color w:val="000000" w:themeColor="text1"/>
          <w:sz w:val="24"/>
          <w:lang w:val="es-ES"/>
        </w:rPr>
        <w:tab/>
      </w:r>
    </w:p>
    <w:p w14:paraId="7AC75D67" w14:textId="77777777" w:rsidR="00207D17" w:rsidRPr="001C0AD9" w:rsidRDefault="00207D17" w:rsidP="00A23858">
      <w:pPr>
        <w:pStyle w:val="Prrafodelista"/>
        <w:numPr>
          <w:ilvl w:val="0"/>
          <w:numId w:val="9"/>
        </w:numPr>
        <w:tabs>
          <w:tab w:val="left" w:pos="426"/>
        </w:tabs>
        <w:spacing w:line="360" w:lineRule="auto"/>
        <w:jc w:val="both"/>
        <w:rPr>
          <w:rFonts w:ascii="Palatino Linotype" w:hAnsi="Palatino Linotype" w:cs="Arial"/>
          <w:color w:val="000000" w:themeColor="text1"/>
          <w:sz w:val="24"/>
          <w:lang w:val="es-ES"/>
        </w:rPr>
      </w:pPr>
      <w:r w:rsidRPr="001C0AD9">
        <w:rPr>
          <w:rFonts w:ascii="Palatino Linotype" w:hAnsi="Palatino Linotype" w:cs="Arial"/>
          <w:b/>
          <w:color w:val="000000" w:themeColor="text1"/>
          <w:sz w:val="24"/>
          <w:lang w:val="es-ES"/>
        </w:rPr>
        <w:t>Razones o motivos de inconformidad:</w:t>
      </w:r>
      <w:r w:rsidRPr="001C0AD9">
        <w:rPr>
          <w:rFonts w:ascii="Palatino Linotype" w:hAnsi="Palatino Linotype" w:cs="Arial"/>
          <w:color w:val="000000" w:themeColor="text1"/>
          <w:sz w:val="24"/>
          <w:lang w:val="es-ES"/>
        </w:rPr>
        <w:t xml:space="preserve"> “</w:t>
      </w:r>
      <w:r w:rsidR="008A7D87" w:rsidRPr="001C0AD9">
        <w:rPr>
          <w:rFonts w:ascii="Palatino Linotype" w:hAnsi="Palatino Linotype" w:cs="Arial"/>
          <w:i/>
          <w:color w:val="000000" w:themeColor="text1"/>
          <w:sz w:val="24"/>
        </w:rPr>
        <w:t>ME NIEGAN LA INFORMACION Y NO LA ATIENDEN COMO LO SOLICITE</w:t>
      </w:r>
      <w:r w:rsidRPr="001C0AD9">
        <w:rPr>
          <w:rFonts w:ascii="Palatino Linotype" w:hAnsi="Palatino Linotype" w:cs="Arial"/>
          <w:i/>
          <w:color w:val="000000" w:themeColor="text1"/>
          <w:sz w:val="24"/>
          <w:lang w:val="es-ES"/>
        </w:rPr>
        <w:t>”</w:t>
      </w:r>
      <w:r w:rsidRPr="001C0AD9">
        <w:rPr>
          <w:rFonts w:ascii="Palatino Linotype" w:hAnsi="Palatino Linotype" w:cs="Arial"/>
          <w:color w:val="000000" w:themeColor="text1"/>
          <w:sz w:val="24"/>
          <w:lang w:val="es-ES"/>
        </w:rPr>
        <w:t xml:space="preserve"> (Sic).</w:t>
      </w:r>
    </w:p>
    <w:p w14:paraId="4D5734CC" w14:textId="77777777" w:rsidR="00207D17" w:rsidRPr="001C0AD9" w:rsidRDefault="00207D17" w:rsidP="00DF7928">
      <w:pPr>
        <w:spacing w:line="360" w:lineRule="auto"/>
        <w:jc w:val="both"/>
        <w:rPr>
          <w:rStyle w:val="Ttulo2Car"/>
          <w:rFonts w:ascii="Palatino Linotype" w:hAnsi="Palatino Linotype"/>
          <w:b/>
          <w:color w:val="000000" w:themeColor="text1"/>
          <w:sz w:val="24"/>
          <w:szCs w:val="24"/>
          <w:lang w:val="es-ES"/>
        </w:rPr>
      </w:pPr>
    </w:p>
    <w:p w14:paraId="25916408" w14:textId="2365F709" w:rsidR="00207D17" w:rsidRPr="001C0AD9" w:rsidRDefault="002C0527" w:rsidP="00DF7928">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C0AD9">
        <w:rPr>
          <w:rFonts w:ascii="Palatino Linotype" w:eastAsia="Calibri" w:hAnsi="Palatino Linotype" w:cs="Arial"/>
          <w:color w:val="000000" w:themeColor="text1"/>
          <w:sz w:val="24"/>
          <w:lang w:val="es-ES"/>
        </w:rPr>
        <w:t>Se registró el Recurso de R</w:t>
      </w:r>
      <w:r w:rsidR="00207D17" w:rsidRPr="001C0AD9">
        <w:rPr>
          <w:rFonts w:ascii="Palatino Linotype" w:eastAsia="Calibri" w:hAnsi="Palatino Linotype" w:cs="Arial"/>
          <w:color w:val="000000" w:themeColor="text1"/>
          <w:sz w:val="24"/>
          <w:lang w:val="es-ES"/>
        </w:rPr>
        <w:t xml:space="preserve">evisión bajo el número de expediente al rubro indicado, asimismo, con fundamento en lo dispuesto por el artículo 185 fracción I de la </w:t>
      </w:r>
      <w:r w:rsidR="00207D17" w:rsidRPr="001C0AD9">
        <w:rPr>
          <w:rFonts w:ascii="Palatino Linotype" w:eastAsia="Calibri" w:hAnsi="Palatino Linotype" w:cs="Arial"/>
          <w:b/>
          <w:color w:val="000000" w:themeColor="text1"/>
          <w:sz w:val="24"/>
          <w:lang w:val="es-ES"/>
        </w:rPr>
        <w:t>Ley de Transparencia y Acceso a la Información Pública del Estado de México y Municipios</w:t>
      </w:r>
      <w:r w:rsidR="00207D17" w:rsidRPr="001C0AD9">
        <w:rPr>
          <w:rFonts w:ascii="Palatino Linotype" w:eastAsia="Calibri" w:hAnsi="Palatino Linotype" w:cs="Arial"/>
          <w:color w:val="000000" w:themeColor="text1"/>
          <w:sz w:val="24"/>
          <w:lang w:val="es-ES"/>
        </w:rPr>
        <w:t xml:space="preserve">, se turnó a la </w:t>
      </w:r>
      <w:r w:rsidR="00207D17" w:rsidRPr="001C0AD9">
        <w:rPr>
          <w:rFonts w:ascii="Palatino Linotype" w:eastAsia="Calibri" w:hAnsi="Palatino Linotype" w:cs="Arial"/>
          <w:b/>
          <w:color w:val="000000" w:themeColor="text1"/>
          <w:sz w:val="24"/>
          <w:lang w:val="es-ES"/>
        </w:rPr>
        <w:t xml:space="preserve">Comisionada </w:t>
      </w:r>
      <w:r w:rsidR="007A668C" w:rsidRPr="001C0AD9">
        <w:rPr>
          <w:rFonts w:ascii="Palatino Linotype" w:eastAsia="Calibri" w:hAnsi="Palatino Linotype" w:cs="Arial"/>
          <w:b/>
          <w:color w:val="000000" w:themeColor="text1"/>
          <w:sz w:val="24"/>
          <w:lang w:val="es-ES"/>
        </w:rPr>
        <w:t>María del Rosario Mejía Ayala</w:t>
      </w:r>
      <w:r w:rsidR="00207D17" w:rsidRPr="001C0AD9">
        <w:rPr>
          <w:rFonts w:ascii="Palatino Linotype" w:eastAsia="Calibri" w:hAnsi="Palatino Linotype" w:cs="Arial"/>
          <w:color w:val="000000" w:themeColor="text1"/>
          <w:sz w:val="24"/>
          <w:lang w:val="es-ES"/>
        </w:rPr>
        <w:t xml:space="preserve">, </w:t>
      </w:r>
      <w:r w:rsidR="00A23858">
        <w:rPr>
          <w:rFonts w:ascii="Palatino Linotype" w:eastAsia="Calibri" w:hAnsi="Palatino Linotype" w:cs="Arial"/>
          <w:color w:val="000000" w:themeColor="text1"/>
          <w:sz w:val="24"/>
          <w:lang w:val="es-ES"/>
        </w:rPr>
        <w:t>para</w:t>
      </w:r>
      <w:r w:rsidR="00207D17" w:rsidRPr="001C0AD9">
        <w:rPr>
          <w:rFonts w:ascii="Palatino Linotype" w:eastAsia="Calibri" w:hAnsi="Palatino Linotype" w:cs="Arial"/>
          <w:color w:val="000000" w:themeColor="text1"/>
          <w:sz w:val="24"/>
          <w:lang w:val="es-ES"/>
        </w:rPr>
        <w:t xml:space="preserve"> su análisis.</w:t>
      </w:r>
    </w:p>
    <w:p w14:paraId="55B74C4A" w14:textId="77777777" w:rsidR="00207D17" w:rsidRPr="001C0AD9" w:rsidRDefault="00207D17" w:rsidP="00DF792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73F6945D" w14:textId="77777777" w:rsidR="00207D17" w:rsidRPr="001C0AD9" w:rsidRDefault="002C0527" w:rsidP="00DF7928">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1C0AD9">
        <w:rPr>
          <w:rFonts w:ascii="Palatino Linotype" w:eastAsia="Calibri" w:hAnsi="Palatino Linotype" w:cs="Arial"/>
          <w:color w:val="000000" w:themeColor="text1"/>
          <w:sz w:val="24"/>
          <w:lang w:val="es-ES"/>
        </w:rPr>
        <w:t>La</w:t>
      </w:r>
      <w:r w:rsidR="00207D17" w:rsidRPr="001C0AD9">
        <w:rPr>
          <w:rFonts w:ascii="Palatino Linotype" w:eastAsia="Calibri" w:hAnsi="Palatino Linotype" w:cs="Arial"/>
          <w:color w:val="000000" w:themeColor="text1"/>
          <w:sz w:val="24"/>
          <w:lang w:val="es-ES"/>
        </w:rPr>
        <w:t xml:space="preserve"> Comisionad</w:t>
      </w:r>
      <w:r w:rsidRPr="001C0AD9">
        <w:rPr>
          <w:rFonts w:ascii="Palatino Linotype" w:eastAsia="Calibri" w:hAnsi="Palatino Linotype" w:cs="Arial"/>
          <w:color w:val="000000" w:themeColor="text1"/>
          <w:sz w:val="24"/>
          <w:lang w:val="es-ES"/>
        </w:rPr>
        <w:t>a</w:t>
      </w:r>
      <w:r w:rsidR="00207D17" w:rsidRPr="001C0AD9">
        <w:rPr>
          <w:rFonts w:ascii="Palatino Linotype" w:eastAsia="Calibri" w:hAnsi="Palatino Linotype" w:cs="Arial"/>
          <w:color w:val="000000" w:themeColor="text1"/>
          <w:sz w:val="24"/>
          <w:lang w:val="es-ES"/>
        </w:rPr>
        <w:t xml:space="preserve"> Ponente, con fundamento en lo dispuesto por el artículo 185 fracción II de la ley de la materia, a través del acuerdo de admisión </w:t>
      </w:r>
      <w:r w:rsidR="00207D17" w:rsidRPr="001C0AD9">
        <w:rPr>
          <w:rFonts w:ascii="Palatino Linotype" w:eastAsia="Calibri" w:hAnsi="Palatino Linotype" w:cs="Arial"/>
          <w:b/>
          <w:color w:val="000000" w:themeColor="text1"/>
          <w:sz w:val="24"/>
          <w:lang w:val="es-ES"/>
        </w:rPr>
        <w:t xml:space="preserve">de </w:t>
      </w:r>
      <w:r w:rsidR="008A7D87" w:rsidRPr="001C0AD9">
        <w:rPr>
          <w:rFonts w:ascii="Palatino Linotype" w:eastAsia="Calibri" w:hAnsi="Palatino Linotype" w:cs="Arial"/>
          <w:b/>
          <w:color w:val="000000" w:themeColor="text1"/>
          <w:sz w:val="24"/>
          <w:lang w:val="es-ES"/>
        </w:rPr>
        <w:t>veintiocho</w:t>
      </w:r>
      <w:r w:rsidR="00C76864" w:rsidRPr="001C0AD9">
        <w:rPr>
          <w:rFonts w:ascii="Palatino Linotype" w:eastAsia="Calibri" w:hAnsi="Palatino Linotype" w:cs="Arial"/>
          <w:b/>
          <w:color w:val="000000" w:themeColor="text1"/>
          <w:sz w:val="24"/>
          <w:lang w:val="es-ES"/>
        </w:rPr>
        <w:t xml:space="preserve"> de </w:t>
      </w:r>
      <w:r w:rsidR="008A7D87" w:rsidRPr="001C0AD9">
        <w:rPr>
          <w:rFonts w:ascii="Palatino Linotype" w:eastAsia="Calibri" w:hAnsi="Palatino Linotype" w:cs="Arial"/>
          <w:b/>
          <w:color w:val="000000" w:themeColor="text1"/>
          <w:sz w:val="24"/>
          <w:lang w:val="es-ES"/>
        </w:rPr>
        <w:t>abril</w:t>
      </w:r>
      <w:r w:rsidR="001641A3" w:rsidRPr="001C0AD9">
        <w:rPr>
          <w:rFonts w:ascii="Palatino Linotype" w:eastAsia="Calibri" w:hAnsi="Palatino Linotype" w:cs="Arial"/>
          <w:b/>
          <w:color w:val="000000" w:themeColor="text1"/>
          <w:sz w:val="24"/>
          <w:lang w:val="es-ES"/>
        </w:rPr>
        <w:t xml:space="preserve"> de dos mil </w:t>
      </w:r>
      <w:r w:rsidR="00A37303" w:rsidRPr="001C0AD9">
        <w:rPr>
          <w:rFonts w:ascii="Palatino Linotype" w:eastAsia="Calibri" w:hAnsi="Palatino Linotype" w:cs="Arial"/>
          <w:b/>
          <w:color w:val="000000" w:themeColor="text1"/>
          <w:sz w:val="24"/>
          <w:lang w:val="es-ES"/>
        </w:rPr>
        <w:t>veinticinco</w:t>
      </w:r>
      <w:r w:rsidR="00207D17" w:rsidRPr="001C0AD9">
        <w:rPr>
          <w:rFonts w:ascii="Palatino Linotype" w:eastAsia="Calibri" w:hAnsi="Palatino Linotype" w:cs="Arial"/>
          <w:color w:val="000000" w:themeColor="text1"/>
          <w:sz w:val="24"/>
          <w:lang w:val="es-ES"/>
        </w:rPr>
        <w:t xml:space="preserve">, puso a disposición de las partes el expediente electrónico </w:t>
      </w:r>
      <w:r w:rsidR="00207D17" w:rsidRPr="001C0AD9">
        <w:rPr>
          <w:rFonts w:ascii="Palatino Linotype" w:eastAsia="Calibri" w:hAnsi="Palatino Linotype" w:cs="Arial"/>
          <w:color w:val="000000" w:themeColor="text1"/>
          <w:sz w:val="24"/>
        </w:rPr>
        <w:t xml:space="preserve">vía </w:t>
      </w:r>
      <w:r w:rsidR="00207D17" w:rsidRPr="001C0AD9">
        <w:rPr>
          <w:rFonts w:ascii="Palatino Linotype" w:eastAsia="Calibri" w:hAnsi="Palatino Linotype" w:cs="Arial"/>
          <w:color w:val="000000" w:themeColor="text1"/>
          <w:sz w:val="24"/>
          <w:lang w:val="es-ES"/>
        </w:rPr>
        <w:t xml:space="preserve">Sistema de Acceso a la Información Mexiquense </w:t>
      </w:r>
      <w:r w:rsidR="00207D17" w:rsidRPr="001C0AD9">
        <w:rPr>
          <w:rFonts w:ascii="Palatino Linotype" w:eastAsia="Calibri" w:hAnsi="Palatino Linotype" w:cs="Arial"/>
          <w:b/>
          <w:color w:val="000000" w:themeColor="text1"/>
          <w:sz w:val="24"/>
          <w:lang w:val="es-ES"/>
        </w:rPr>
        <w:t xml:space="preserve">SAIMEX </w:t>
      </w:r>
      <w:r w:rsidR="00207D17" w:rsidRPr="001C0AD9">
        <w:rPr>
          <w:rFonts w:ascii="Palatino Linotype" w:eastAsia="Calibri" w:hAnsi="Palatino Linotype" w:cs="Arial"/>
          <w:color w:val="000000" w:themeColor="text1"/>
          <w:sz w:val="24"/>
          <w:lang w:val="es-ES"/>
        </w:rPr>
        <w:t xml:space="preserve">a efecto de que en un plazo máximo de siete días manifestaran lo que a su derecho conviniera, ofrecieran pruebas y alegatos según </w:t>
      </w:r>
      <w:r w:rsidR="00207D17" w:rsidRPr="001C0AD9">
        <w:rPr>
          <w:rFonts w:ascii="Palatino Linotype" w:eastAsia="Calibri" w:hAnsi="Palatino Linotype" w:cs="Arial"/>
          <w:color w:val="000000" w:themeColor="text1"/>
          <w:sz w:val="24"/>
          <w:lang w:val="es-ES"/>
        </w:rPr>
        <w:lastRenderedPageBreak/>
        <w:t xml:space="preserve">correspondiera a los casos concretos, de esta forma para que el </w:t>
      </w:r>
      <w:r w:rsidR="00207D17" w:rsidRPr="001C0AD9">
        <w:rPr>
          <w:rFonts w:ascii="Palatino Linotype" w:eastAsia="Calibri" w:hAnsi="Palatino Linotype" w:cs="Arial"/>
          <w:b/>
          <w:color w:val="000000" w:themeColor="text1"/>
          <w:sz w:val="24"/>
          <w:lang w:val="es-ES"/>
        </w:rPr>
        <w:t>SUJETO OBLIGADO</w:t>
      </w:r>
      <w:r w:rsidR="00207D17" w:rsidRPr="001C0AD9">
        <w:rPr>
          <w:rFonts w:ascii="Palatino Linotype" w:eastAsia="Calibri" w:hAnsi="Palatino Linotype" w:cs="Arial"/>
          <w:color w:val="000000" w:themeColor="text1"/>
          <w:sz w:val="24"/>
          <w:lang w:val="es-ES"/>
        </w:rPr>
        <w:t xml:space="preserve"> presentara el </w:t>
      </w:r>
      <w:r w:rsidR="00486F53" w:rsidRPr="001C0AD9">
        <w:rPr>
          <w:rFonts w:ascii="Palatino Linotype" w:eastAsia="Calibri" w:hAnsi="Palatino Linotype" w:cs="Arial"/>
          <w:color w:val="000000" w:themeColor="text1"/>
          <w:sz w:val="24"/>
          <w:lang w:val="es-ES"/>
        </w:rPr>
        <w:t>informe j</w:t>
      </w:r>
      <w:r w:rsidR="00207D17" w:rsidRPr="001C0AD9">
        <w:rPr>
          <w:rFonts w:ascii="Palatino Linotype" w:eastAsia="Calibri" w:hAnsi="Palatino Linotype" w:cs="Arial"/>
          <w:color w:val="000000" w:themeColor="text1"/>
          <w:sz w:val="24"/>
          <w:lang w:val="es-ES"/>
        </w:rPr>
        <w:t>ustificado procedente.</w:t>
      </w:r>
      <w:bookmarkStart w:id="4" w:name="_Toc461555889"/>
      <w:bookmarkStart w:id="5" w:name="_Toc466371858"/>
    </w:p>
    <w:p w14:paraId="55A699B0" w14:textId="77777777" w:rsidR="001641A3" w:rsidRPr="001C0AD9" w:rsidRDefault="001641A3" w:rsidP="00DF792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14:paraId="7362CFF9" w14:textId="77777777" w:rsidR="003E481A" w:rsidRPr="001C0AD9" w:rsidRDefault="007A668C" w:rsidP="00DF7928">
      <w:pPr>
        <w:pStyle w:val="Prrafodelista"/>
        <w:numPr>
          <w:ilvl w:val="0"/>
          <w:numId w:val="2"/>
        </w:numPr>
        <w:tabs>
          <w:tab w:val="left" w:pos="284"/>
        </w:tabs>
        <w:spacing w:line="360" w:lineRule="auto"/>
        <w:ind w:left="0" w:firstLine="0"/>
        <w:jc w:val="both"/>
        <w:rPr>
          <w:rFonts w:ascii="Palatino Linotype" w:hAnsi="Palatino Linotype"/>
          <w:i/>
          <w:color w:val="000000" w:themeColor="text1"/>
          <w:sz w:val="24"/>
        </w:rPr>
      </w:pPr>
      <w:r w:rsidRPr="001C0AD9">
        <w:rPr>
          <w:rFonts w:ascii="Palatino Linotype" w:hAnsi="Palatino Linotype"/>
          <w:color w:val="000000" w:themeColor="text1"/>
          <w:sz w:val="24"/>
        </w:rPr>
        <w:t xml:space="preserve">De las </w:t>
      </w:r>
      <w:r w:rsidRPr="001C0AD9">
        <w:rPr>
          <w:rFonts w:ascii="Palatino Linotype" w:eastAsia="Calibri" w:hAnsi="Palatino Linotype" w:cs="Arial"/>
          <w:color w:val="000000" w:themeColor="text1"/>
          <w:sz w:val="24"/>
          <w:lang w:val="es-ES"/>
        </w:rPr>
        <w:t>constancias</w:t>
      </w:r>
      <w:r w:rsidRPr="001C0AD9">
        <w:rPr>
          <w:rFonts w:ascii="Palatino Linotype" w:hAnsi="Palatino Linotype"/>
          <w:color w:val="000000" w:themeColor="text1"/>
          <w:sz w:val="24"/>
        </w:rPr>
        <w:t xml:space="preserve"> que obran en el expediente electrónico SAIMEX, </w:t>
      </w:r>
      <w:r w:rsidR="00A84EC6" w:rsidRPr="001C0AD9">
        <w:rPr>
          <w:rFonts w:ascii="Palatino Linotype" w:hAnsi="Palatino Linotype"/>
          <w:color w:val="000000" w:themeColor="text1"/>
          <w:sz w:val="24"/>
        </w:rPr>
        <w:t>s</w:t>
      </w:r>
      <w:r w:rsidR="001641A3" w:rsidRPr="001C0AD9">
        <w:rPr>
          <w:rFonts w:ascii="Palatino Linotype" w:hAnsi="Palatino Linotype"/>
          <w:color w:val="000000" w:themeColor="text1"/>
          <w:sz w:val="24"/>
        </w:rPr>
        <w:t xml:space="preserve">e advierte que el </w:t>
      </w:r>
      <w:r w:rsidR="003E481A" w:rsidRPr="001C0AD9">
        <w:rPr>
          <w:rFonts w:ascii="Palatino Linotype" w:hAnsi="Palatino Linotype"/>
          <w:b/>
          <w:color w:val="000000" w:themeColor="text1"/>
          <w:sz w:val="24"/>
        </w:rPr>
        <w:t>SUJETO OBLIGADO</w:t>
      </w:r>
      <w:r w:rsidR="00495BE5" w:rsidRPr="001C0AD9">
        <w:rPr>
          <w:rFonts w:ascii="Palatino Linotype" w:hAnsi="Palatino Linotype"/>
          <w:color w:val="000000" w:themeColor="text1"/>
          <w:sz w:val="24"/>
        </w:rPr>
        <w:t xml:space="preserve"> </w:t>
      </w:r>
      <w:r w:rsidR="008A7D87" w:rsidRPr="001C0AD9">
        <w:rPr>
          <w:rFonts w:ascii="Palatino Linotype" w:hAnsi="Palatino Linotype"/>
          <w:color w:val="000000" w:themeColor="text1"/>
          <w:sz w:val="24"/>
        </w:rPr>
        <w:t>fue omiso en rendir el informe justificado correspondiente</w:t>
      </w:r>
      <w:r w:rsidR="00495BE5" w:rsidRPr="001C0AD9">
        <w:rPr>
          <w:rFonts w:ascii="Palatino Linotype" w:hAnsi="Palatino Linotype"/>
          <w:color w:val="000000" w:themeColor="text1"/>
          <w:sz w:val="24"/>
        </w:rPr>
        <w:t>.</w:t>
      </w:r>
      <w:r w:rsidR="001641A3" w:rsidRPr="001C0AD9">
        <w:rPr>
          <w:rFonts w:ascii="Palatino Linotype" w:hAnsi="Palatino Linotype"/>
          <w:color w:val="000000" w:themeColor="text1"/>
          <w:sz w:val="24"/>
        </w:rPr>
        <w:t xml:space="preserve"> </w:t>
      </w:r>
      <w:r w:rsidR="00495BE5" w:rsidRPr="001C0AD9">
        <w:rPr>
          <w:rFonts w:ascii="Palatino Linotype" w:hAnsi="Palatino Linotype"/>
          <w:color w:val="000000" w:themeColor="text1"/>
          <w:sz w:val="24"/>
        </w:rPr>
        <w:t>P</w:t>
      </w:r>
      <w:r w:rsidR="001641A3" w:rsidRPr="001C0AD9">
        <w:rPr>
          <w:rFonts w:ascii="Palatino Linotype" w:hAnsi="Palatino Linotype"/>
          <w:color w:val="000000" w:themeColor="text1"/>
          <w:sz w:val="24"/>
        </w:rPr>
        <w:t xml:space="preserve">or su parte el </w:t>
      </w:r>
      <w:r w:rsidR="003E481A" w:rsidRPr="001C0AD9">
        <w:rPr>
          <w:rFonts w:ascii="Palatino Linotype" w:hAnsi="Palatino Linotype"/>
          <w:color w:val="000000" w:themeColor="text1"/>
          <w:sz w:val="24"/>
        </w:rPr>
        <w:t xml:space="preserve">particular, </w:t>
      </w:r>
      <w:r w:rsidR="00495BE5" w:rsidRPr="001C0AD9">
        <w:rPr>
          <w:rFonts w:ascii="Palatino Linotype" w:hAnsi="Palatino Linotype"/>
          <w:color w:val="000000" w:themeColor="text1"/>
          <w:sz w:val="24"/>
        </w:rPr>
        <w:t xml:space="preserve">dejó de </w:t>
      </w:r>
      <w:r w:rsidR="003E481A" w:rsidRPr="001C0AD9">
        <w:rPr>
          <w:rFonts w:ascii="Palatino Linotype" w:hAnsi="Palatino Linotype"/>
          <w:color w:val="000000" w:themeColor="text1"/>
          <w:sz w:val="24"/>
        </w:rPr>
        <w:t>realiz</w:t>
      </w:r>
      <w:r w:rsidR="00495BE5" w:rsidRPr="001C0AD9">
        <w:rPr>
          <w:rFonts w:ascii="Palatino Linotype" w:hAnsi="Palatino Linotype"/>
          <w:color w:val="000000" w:themeColor="text1"/>
          <w:sz w:val="24"/>
        </w:rPr>
        <w:t>ar</w:t>
      </w:r>
      <w:r w:rsidR="003E481A" w:rsidRPr="001C0AD9">
        <w:rPr>
          <w:rFonts w:ascii="Palatino Linotype" w:hAnsi="Palatino Linotype"/>
          <w:color w:val="000000" w:themeColor="text1"/>
          <w:sz w:val="24"/>
        </w:rPr>
        <w:t xml:space="preserve"> manifestaciones que a su derecho convin</w:t>
      </w:r>
      <w:r w:rsidR="00495BE5" w:rsidRPr="001C0AD9">
        <w:rPr>
          <w:rFonts w:ascii="Palatino Linotype" w:hAnsi="Palatino Linotype"/>
          <w:color w:val="000000" w:themeColor="text1"/>
          <w:sz w:val="24"/>
        </w:rPr>
        <w:t>iera</w:t>
      </w:r>
      <w:r w:rsidR="003E481A" w:rsidRPr="001C0AD9">
        <w:rPr>
          <w:rFonts w:ascii="Palatino Linotype" w:hAnsi="Palatino Linotype"/>
          <w:color w:val="000000" w:themeColor="text1"/>
          <w:sz w:val="24"/>
        </w:rPr>
        <w:t xml:space="preserve"> y asisti</w:t>
      </w:r>
      <w:r w:rsidR="00495BE5" w:rsidRPr="001C0AD9">
        <w:rPr>
          <w:rFonts w:ascii="Palatino Linotype" w:hAnsi="Palatino Linotype"/>
          <w:color w:val="000000" w:themeColor="text1"/>
          <w:sz w:val="24"/>
        </w:rPr>
        <w:t>era.</w:t>
      </w:r>
    </w:p>
    <w:p w14:paraId="30D177E6" w14:textId="77777777" w:rsidR="003E481A" w:rsidRPr="001C0AD9" w:rsidRDefault="003E481A" w:rsidP="00DF7928">
      <w:pPr>
        <w:tabs>
          <w:tab w:val="left" w:pos="284"/>
        </w:tabs>
        <w:spacing w:line="360" w:lineRule="auto"/>
        <w:jc w:val="both"/>
        <w:rPr>
          <w:rFonts w:ascii="Palatino Linotype" w:hAnsi="Palatino Linotype"/>
          <w:i/>
          <w:color w:val="000000" w:themeColor="text1"/>
        </w:rPr>
      </w:pPr>
    </w:p>
    <w:bookmarkEnd w:id="4"/>
    <w:bookmarkEnd w:id="5"/>
    <w:p w14:paraId="6EF17085" w14:textId="19C2DB3B" w:rsidR="009730F2" w:rsidRPr="001C0AD9" w:rsidRDefault="009730F2" w:rsidP="00DF7928">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1C0AD9">
        <w:rPr>
          <w:rFonts w:ascii="Palatino Linotype" w:eastAsia="Palatino Linotype" w:hAnsi="Palatino Linotype" w:cs="Palatino Linotype"/>
          <w:color w:val="000000" w:themeColor="text1"/>
        </w:rPr>
        <w:t xml:space="preserve">En </w:t>
      </w:r>
      <w:r w:rsidR="003E481A" w:rsidRPr="001C0AD9">
        <w:rPr>
          <w:rFonts w:ascii="Palatino Linotype" w:eastAsia="Palatino Linotype" w:hAnsi="Palatino Linotype" w:cs="Palatino Linotype"/>
          <w:color w:val="000000" w:themeColor="text1"/>
        </w:rPr>
        <w:t xml:space="preserve">fecha </w:t>
      </w:r>
      <w:r w:rsidR="008A7D87" w:rsidRPr="001C0AD9">
        <w:rPr>
          <w:rFonts w:ascii="Palatino Linotype" w:eastAsia="Palatino Linotype" w:hAnsi="Palatino Linotype" w:cs="Palatino Linotype"/>
          <w:b/>
          <w:color w:val="000000" w:themeColor="text1"/>
        </w:rPr>
        <w:t>trece</w:t>
      </w:r>
      <w:r w:rsidRPr="001C0AD9">
        <w:rPr>
          <w:rFonts w:ascii="Palatino Linotype" w:eastAsia="Palatino Linotype" w:hAnsi="Palatino Linotype" w:cs="Palatino Linotype"/>
          <w:b/>
          <w:color w:val="000000" w:themeColor="text1"/>
        </w:rPr>
        <w:t xml:space="preserve"> de </w:t>
      </w:r>
      <w:r w:rsidR="00495BE5" w:rsidRPr="001C0AD9">
        <w:rPr>
          <w:rFonts w:ascii="Palatino Linotype" w:eastAsia="Palatino Linotype" w:hAnsi="Palatino Linotype" w:cs="Palatino Linotype"/>
          <w:b/>
          <w:color w:val="000000" w:themeColor="text1"/>
        </w:rPr>
        <w:t>agost</w:t>
      </w:r>
      <w:r w:rsidRPr="001C0AD9">
        <w:rPr>
          <w:rFonts w:ascii="Palatino Linotype" w:eastAsia="Palatino Linotype" w:hAnsi="Palatino Linotype" w:cs="Palatino Linotype"/>
          <w:b/>
          <w:color w:val="000000" w:themeColor="text1"/>
        </w:rPr>
        <w:t>o de dos mil veinticinco</w:t>
      </w:r>
      <w:r w:rsidRPr="001C0AD9">
        <w:rPr>
          <w:rFonts w:ascii="Palatino Linotype" w:eastAsia="Palatino Linotype" w:hAnsi="Palatino Linotype" w:cs="Palatino Linotype"/>
          <w:color w:val="000000" w:themeColor="text1"/>
        </w:rPr>
        <w:t>, se acordó ampliar el término para resolver. Finalmente, al no existir diligencia o pendiente por desahogar, mediante Acuerdo de misma fecha, la Comisionada Ponente dictó el cierre del periodo de instrucción y, ordenó emitir la resolución que conforme a Derecho proceda, de acuerdo a las siguientes: ---------------</w:t>
      </w:r>
    </w:p>
    <w:p w14:paraId="3F768079" w14:textId="77777777" w:rsidR="009730F2" w:rsidRPr="001C0AD9" w:rsidRDefault="009730F2" w:rsidP="00DF79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02B7A00" w14:textId="77777777" w:rsidR="009730F2" w:rsidRPr="001C0AD9" w:rsidRDefault="009730F2" w:rsidP="00DF7928">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C0AD9">
        <w:rPr>
          <w:rFonts w:ascii="Palatino Linotype" w:eastAsia="Palatino Linotype" w:hAnsi="Palatino Linotype" w:cs="Palatino Linotype"/>
          <w:b/>
          <w:color w:val="000000" w:themeColor="text1"/>
        </w:rPr>
        <w:t>C O N S I D E R A C I O N E S</w:t>
      </w:r>
    </w:p>
    <w:p w14:paraId="5EF415E2" w14:textId="77777777" w:rsidR="009730F2" w:rsidRPr="001C0AD9" w:rsidRDefault="009730F2" w:rsidP="00DF792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4F86EAB" w14:textId="77777777" w:rsidR="009730F2" w:rsidRPr="001C0AD9" w:rsidRDefault="009730F2" w:rsidP="00DF7928">
      <w:pPr>
        <w:pStyle w:val="Ttulo2"/>
        <w:spacing w:before="0" w:line="360" w:lineRule="auto"/>
        <w:jc w:val="both"/>
        <w:rPr>
          <w:rFonts w:ascii="Palatino Linotype" w:eastAsia="Palatino Linotype" w:hAnsi="Palatino Linotype" w:cs="Palatino Linotype"/>
          <w:b/>
          <w:color w:val="000000" w:themeColor="text1"/>
          <w:sz w:val="24"/>
          <w:szCs w:val="24"/>
        </w:rPr>
      </w:pPr>
      <w:bookmarkStart w:id="6" w:name="_heading=h.2et92p0" w:colFirst="0" w:colLast="0"/>
      <w:bookmarkEnd w:id="6"/>
      <w:r w:rsidRPr="001C0AD9">
        <w:rPr>
          <w:rFonts w:ascii="Palatino Linotype" w:eastAsia="Palatino Linotype" w:hAnsi="Palatino Linotype" w:cs="Palatino Linotype"/>
          <w:b/>
          <w:color w:val="000000" w:themeColor="text1"/>
          <w:sz w:val="24"/>
          <w:szCs w:val="24"/>
        </w:rPr>
        <w:t>PRIMERA. Competencia</w:t>
      </w:r>
    </w:p>
    <w:p w14:paraId="59BA81B8" w14:textId="77777777" w:rsidR="00812CDC" w:rsidRPr="001C0AD9" w:rsidRDefault="00975629" w:rsidP="00DF7928">
      <w:pPr>
        <w:numPr>
          <w:ilvl w:val="0"/>
          <w:numId w:val="2"/>
        </w:numPr>
        <w:spacing w:line="360" w:lineRule="auto"/>
        <w:ind w:left="0" w:firstLine="0"/>
        <w:jc w:val="both"/>
        <w:rPr>
          <w:rFonts w:ascii="Palatino Linotype" w:eastAsia="Calibri" w:hAnsi="Palatino Linotype"/>
          <w:b/>
          <w:color w:val="000000" w:themeColor="text1"/>
          <w:lang w:val="es-ES"/>
        </w:rPr>
      </w:pPr>
      <w:r w:rsidRPr="001C0AD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w:t>
      </w:r>
      <w:r w:rsidRPr="001C0AD9">
        <w:rPr>
          <w:rFonts w:ascii="Palatino Linotype" w:eastAsia="Palatino Linotype" w:hAnsi="Palatino Linotype" w:cs="Palatino Linotype"/>
          <w:color w:val="000000" w:themeColor="text1"/>
        </w:rPr>
        <w:lastRenderedPageBreak/>
        <w:t>Instituto de Transparencia, Acceso a la Información Pública y Protección de Datos Personales del Estado de México y Municipios.</w:t>
      </w:r>
      <w:r w:rsidR="009730F2" w:rsidRPr="001C0AD9">
        <w:rPr>
          <w:rFonts w:ascii="Palatino Linotype" w:eastAsia="Palatino Linotype" w:hAnsi="Palatino Linotype" w:cs="Palatino Linotype"/>
          <w:color w:val="000000" w:themeColor="text1"/>
        </w:rPr>
        <w:t>.</w:t>
      </w:r>
    </w:p>
    <w:p w14:paraId="630F4363" w14:textId="77777777" w:rsidR="00207D17" w:rsidRPr="001C0AD9" w:rsidRDefault="00207D17" w:rsidP="00DF7928">
      <w:pPr>
        <w:pStyle w:val="Prrafodelista"/>
        <w:tabs>
          <w:tab w:val="left" w:pos="284"/>
          <w:tab w:val="left" w:pos="426"/>
        </w:tabs>
        <w:spacing w:line="360" w:lineRule="auto"/>
        <w:ind w:left="0"/>
        <w:jc w:val="both"/>
        <w:rPr>
          <w:rFonts w:ascii="Palatino Linotype" w:eastAsia="Calibri" w:hAnsi="Palatino Linotype"/>
          <w:b/>
          <w:color w:val="000000" w:themeColor="text1"/>
          <w:sz w:val="24"/>
          <w:lang w:val="es-ES"/>
        </w:rPr>
      </w:pPr>
    </w:p>
    <w:p w14:paraId="5B991B1C" w14:textId="77777777" w:rsidR="00207D17" w:rsidRPr="001C0AD9" w:rsidRDefault="00207D17" w:rsidP="00DF7928">
      <w:pPr>
        <w:pStyle w:val="Ttulo2"/>
        <w:tabs>
          <w:tab w:val="left" w:pos="284"/>
          <w:tab w:val="left" w:pos="426"/>
        </w:tabs>
        <w:spacing w:before="0" w:line="360" w:lineRule="auto"/>
        <w:jc w:val="both"/>
        <w:rPr>
          <w:rFonts w:ascii="Palatino Linotype" w:hAnsi="Palatino Linotype"/>
          <w:b/>
          <w:color w:val="000000" w:themeColor="text1"/>
          <w:sz w:val="24"/>
          <w:szCs w:val="24"/>
        </w:rPr>
      </w:pPr>
      <w:bookmarkStart w:id="7" w:name="_Toc461555891"/>
      <w:bookmarkStart w:id="8" w:name="_Toc466371860"/>
      <w:bookmarkStart w:id="9" w:name="_Toc81233126"/>
      <w:r w:rsidRPr="001C0AD9">
        <w:rPr>
          <w:rFonts w:ascii="Palatino Linotype" w:hAnsi="Palatino Linotype"/>
          <w:b/>
          <w:color w:val="000000" w:themeColor="text1"/>
          <w:sz w:val="24"/>
          <w:szCs w:val="24"/>
        </w:rPr>
        <w:t>SEGUNDO. De la oportunidad y procedencia.</w:t>
      </w:r>
      <w:bookmarkEnd w:id="7"/>
      <w:bookmarkEnd w:id="8"/>
      <w:bookmarkEnd w:id="9"/>
    </w:p>
    <w:p w14:paraId="1BB1DB77" w14:textId="77777777" w:rsidR="009730F2" w:rsidRPr="001C0AD9" w:rsidRDefault="009730F2"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113D12FD" w14:textId="77777777" w:rsidR="008A7D87" w:rsidRPr="001C0AD9" w:rsidRDefault="008A7D87" w:rsidP="00DF7928">
      <w:pPr>
        <w:spacing w:line="360" w:lineRule="auto"/>
        <w:jc w:val="both"/>
        <w:rPr>
          <w:rFonts w:ascii="Palatino Linotype" w:eastAsia="Palatino Linotype" w:hAnsi="Palatino Linotype" w:cs="Palatino Linotype"/>
          <w:color w:val="000000" w:themeColor="text1"/>
        </w:rPr>
      </w:pPr>
    </w:p>
    <w:p w14:paraId="6F0E3492" w14:textId="77777777" w:rsidR="008A7D87" w:rsidRPr="001C0AD9" w:rsidRDefault="008A7D87"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4B5D83" w14:textId="77777777" w:rsidR="008A7D87" w:rsidRPr="001C0AD9" w:rsidRDefault="008A7D87"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w:t>
      </w:r>
      <w:r w:rsidRPr="001C0AD9">
        <w:rPr>
          <w:rFonts w:ascii="Palatino Linotype" w:eastAsia="Palatino Linotype" w:hAnsi="Palatino Linotype" w:cs="Palatino Linotype"/>
          <w:b/>
          <w:i/>
          <w:color w:val="000000" w:themeColor="text1"/>
        </w:rPr>
        <w:t>Las solicitudes anónimas</w:t>
      </w:r>
      <w:r w:rsidRPr="001C0AD9">
        <w:rPr>
          <w:rFonts w:ascii="Palatino Linotype" w:eastAsia="Palatino Linotype" w:hAnsi="Palatino Linotype" w:cs="Palatino Linotype"/>
          <w:i/>
          <w:color w:val="000000" w:themeColor="text1"/>
        </w:rPr>
        <w:t xml:space="preserve">, con nombre incompleto o seudónimo </w:t>
      </w:r>
      <w:r w:rsidRPr="001C0AD9">
        <w:rPr>
          <w:rFonts w:ascii="Palatino Linotype" w:eastAsia="Palatino Linotype" w:hAnsi="Palatino Linotype" w:cs="Palatino Linotype"/>
          <w:b/>
          <w:i/>
          <w:color w:val="000000" w:themeColor="text1"/>
        </w:rPr>
        <w:t>serán procedentes para su trámite por parte del sujeto obligado ante quien se presente</w:t>
      </w:r>
      <w:r w:rsidRPr="001C0AD9">
        <w:rPr>
          <w:rFonts w:ascii="Palatino Linotype" w:eastAsia="Palatino Linotype" w:hAnsi="Palatino Linotype" w:cs="Palatino Linotype"/>
          <w:i/>
          <w:color w:val="000000" w:themeColor="text1"/>
        </w:rPr>
        <w:t>. No podrá requerirse información adicional con motivo del nombre proporcionado por el solicitante."</w:t>
      </w:r>
    </w:p>
    <w:p w14:paraId="6F4F3BF6" w14:textId="77777777" w:rsidR="008A7D87" w:rsidRPr="001C0AD9" w:rsidRDefault="008A7D87" w:rsidP="00DF792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DBC303F" w14:textId="77777777" w:rsidR="008A7D87" w:rsidRPr="001C0AD9" w:rsidRDefault="008A7D87"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w:t>
      </w:r>
      <w:r w:rsidRPr="001C0AD9">
        <w:rPr>
          <w:rFonts w:ascii="Palatino Linotype" w:eastAsia="Palatino Linotype" w:hAnsi="Palatino Linotype" w:cs="Palatino Linotype"/>
          <w:color w:val="000000" w:themeColor="text1"/>
        </w:rPr>
        <w:lastRenderedPageBreak/>
        <w:t>Instituto de Transparencia, Acceso a la Información Pública y Protección de Datos Personales del Estado de México y Municipios, conozca y resuelva el presente recurso.</w:t>
      </w:r>
    </w:p>
    <w:p w14:paraId="4793BFAC" w14:textId="77777777" w:rsidR="009730F2" w:rsidRPr="001C0AD9" w:rsidRDefault="009730F2" w:rsidP="00DF7928">
      <w:pPr>
        <w:spacing w:line="360" w:lineRule="auto"/>
        <w:jc w:val="both"/>
        <w:rPr>
          <w:rFonts w:ascii="Palatino Linotype" w:eastAsia="Palatino Linotype" w:hAnsi="Palatino Linotype" w:cs="Palatino Linotype"/>
          <w:color w:val="000000" w:themeColor="text1"/>
        </w:rPr>
      </w:pPr>
    </w:p>
    <w:p w14:paraId="0A2CFAB6" w14:textId="77777777" w:rsidR="009730F2" w:rsidRPr="001C0AD9" w:rsidRDefault="009730F2"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Asimismo, el escrito contiene las formalidades previstas por el artículo 180 último párrafo de la citada Ley de la materia, por lo que es procedente que este Instituto </w:t>
      </w:r>
      <w:r w:rsidR="00FE33B7" w:rsidRPr="001C0AD9">
        <w:rPr>
          <w:rFonts w:ascii="Palatino Linotype" w:eastAsia="Palatino Linotype" w:hAnsi="Palatino Linotype" w:cs="Palatino Linotype"/>
          <w:color w:val="000000" w:themeColor="text1"/>
        </w:rPr>
        <w:t>conozca y resuelva el presente R</w:t>
      </w:r>
      <w:r w:rsidRPr="001C0AD9">
        <w:rPr>
          <w:rFonts w:ascii="Palatino Linotype" w:eastAsia="Palatino Linotype" w:hAnsi="Palatino Linotype" w:cs="Palatino Linotype"/>
          <w:color w:val="000000" w:themeColor="text1"/>
        </w:rPr>
        <w:t>ecurso.</w:t>
      </w:r>
    </w:p>
    <w:p w14:paraId="7A9AC7B2" w14:textId="77777777" w:rsidR="00C55DB6" w:rsidRPr="001C0AD9" w:rsidRDefault="00C55DB6" w:rsidP="00DF7928">
      <w:pPr>
        <w:spacing w:line="360" w:lineRule="auto"/>
        <w:jc w:val="both"/>
        <w:rPr>
          <w:rFonts w:ascii="Palatino Linotype" w:eastAsia="Palatino Linotype" w:hAnsi="Palatino Linotype" w:cs="Palatino Linotype"/>
          <w:color w:val="000000" w:themeColor="text1"/>
        </w:rPr>
      </w:pPr>
    </w:p>
    <w:p w14:paraId="1EEBDE9E" w14:textId="77777777" w:rsidR="00495BE5" w:rsidRPr="001C0AD9" w:rsidRDefault="00495BE5" w:rsidP="00DF7928">
      <w:pPr>
        <w:pStyle w:val="Ttulo2"/>
        <w:tabs>
          <w:tab w:val="left" w:pos="284"/>
          <w:tab w:val="left" w:pos="426"/>
        </w:tabs>
        <w:spacing w:before="0" w:line="360" w:lineRule="auto"/>
        <w:jc w:val="both"/>
        <w:rPr>
          <w:rFonts w:ascii="Palatino Linotype" w:hAnsi="Palatino Linotype"/>
          <w:b/>
          <w:bCs/>
          <w:color w:val="000000" w:themeColor="text1"/>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1C0AD9">
        <w:rPr>
          <w:rFonts w:ascii="Palatino Linotype" w:hAnsi="Palatino Linotype"/>
          <w:b/>
          <w:bCs/>
          <w:color w:val="000000" w:themeColor="text1"/>
          <w:sz w:val="24"/>
          <w:szCs w:val="24"/>
        </w:rPr>
        <w:t xml:space="preserve">TERCERO. </w:t>
      </w:r>
      <w:bookmarkEnd w:id="10"/>
      <w:bookmarkEnd w:id="11"/>
      <w:r w:rsidRPr="001C0AD9">
        <w:rPr>
          <w:rFonts w:ascii="Palatino Linotype" w:hAnsi="Palatino Linotype"/>
          <w:b/>
          <w:bCs/>
          <w:color w:val="000000" w:themeColor="text1"/>
          <w:sz w:val="24"/>
          <w:szCs w:val="24"/>
        </w:rPr>
        <w:t xml:space="preserve">Del planteamiento de la </w:t>
      </w:r>
      <w:r w:rsidRPr="001C0AD9">
        <w:rPr>
          <w:rFonts w:ascii="Palatino Linotype" w:hAnsi="Palatino Linotype"/>
          <w:b/>
          <w:bCs/>
          <w:i/>
          <w:color w:val="000000" w:themeColor="text1"/>
          <w:sz w:val="24"/>
          <w:szCs w:val="24"/>
        </w:rPr>
        <w:t>Litis.</w:t>
      </w:r>
    </w:p>
    <w:p w14:paraId="6D0F6AC4" w14:textId="77777777" w:rsidR="00495BE5" w:rsidRPr="001C0AD9" w:rsidRDefault="00495BE5"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 xml:space="preserve">Se solicitó tener </w:t>
      </w:r>
      <w:r w:rsidRPr="001C0AD9">
        <w:rPr>
          <w:rFonts w:ascii="Palatino Linotype" w:eastAsia="Palatino Linotype" w:hAnsi="Palatino Linotype" w:cs="Palatino Linotype"/>
          <w:color w:val="000000" w:themeColor="text1"/>
        </w:rPr>
        <w:t>acceso</w:t>
      </w:r>
      <w:r w:rsidRPr="001C0AD9">
        <w:rPr>
          <w:rFonts w:ascii="Palatino Linotype" w:hAnsi="Palatino Linotype"/>
          <w:color w:val="000000" w:themeColor="text1"/>
        </w:rPr>
        <w:t>, a la información que a continuación se simplifica:</w:t>
      </w:r>
    </w:p>
    <w:p w14:paraId="57511A11" w14:textId="77777777" w:rsidR="00495BE5" w:rsidRPr="001C0AD9" w:rsidRDefault="008A7D87" w:rsidP="00A23858">
      <w:pPr>
        <w:pStyle w:val="Prrafodelista"/>
        <w:numPr>
          <w:ilvl w:val="0"/>
          <w:numId w:val="24"/>
        </w:numPr>
        <w:spacing w:line="360" w:lineRule="auto"/>
        <w:ind w:left="0" w:firstLine="0"/>
        <w:contextualSpacing w:val="0"/>
        <w:jc w:val="both"/>
        <w:rPr>
          <w:rFonts w:ascii="Palatino Linotype" w:eastAsia="Calibri" w:hAnsi="Palatino Linotype" w:cs="Arial"/>
          <w:b/>
          <w:color w:val="000000" w:themeColor="text1"/>
          <w:sz w:val="24"/>
          <w:lang w:val="es-AR"/>
        </w:rPr>
      </w:pPr>
      <w:r w:rsidRPr="001C0AD9">
        <w:rPr>
          <w:rFonts w:ascii="Palatino Linotype" w:eastAsia="Calibri" w:hAnsi="Palatino Linotype" w:cs="Arial"/>
          <w:color w:val="000000" w:themeColor="text1"/>
          <w:sz w:val="24"/>
        </w:rPr>
        <w:t>Conocer si existieron observaciones por parte del Órgano Superior de Fiscalización del Estado de México y, de ser el caso los motivos.</w:t>
      </w:r>
    </w:p>
    <w:p w14:paraId="5D61F0AA" w14:textId="77777777" w:rsidR="00495BE5" w:rsidRPr="001C0AD9" w:rsidRDefault="00495BE5" w:rsidP="00DF7928">
      <w:pPr>
        <w:pStyle w:val="Prrafodelista"/>
        <w:spacing w:line="360" w:lineRule="auto"/>
        <w:ind w:left="0"/>
        <w:jc w:val="both"/>
        <w:rPr>
          <w:rFonts w:ascii="Palatino Linotype" w:hAnsi="Palatino Linotype"/>
          <w:color w:val="000000" w:themeColor="text1"/>
          <w:sz w:val="24"/>
        </w:rPr>
      </w:pPr>
    </w:p>
    <w:p w14:paraId="115A9894" w14:textId="77777777" w:rsidR="00495BE5" w:rsidRPr="001C0AD9" w:rsidRDefault="00495BE5"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 xml:space="preserve">Inconforme con la respuesta, </w:t>
      </w:r>
      <w:r w:rsidR="00BB27C5" w:rsidRPr="001C0AD9">
        <w:rPr>
          <w:rFonts w:ascii="Palatino Linotype" w:hAnsi="Palatino Linotype"/>
          <w:color w:val="000000" w:themeColor="text1"/>
        </w:rPr>
        <w:t xml:space="preserve">el solicitante </w:t>
      </w:r>
      <w:r w:rsidRPr="001C0AD9">
        <w:rPr>
          <w:rFonts w:ascii="Palatino Linotype" w:hAnsi="Palatino Linotype"/>
          <w:color w:val="000000" w:themeColor="text1"/>
        </w:rPr>
        <w:t xml:space="preserve">interpuso recurso de revisión argumentando </w:t>
      </w:r>
      <w:r w:rsidR="00BB27C5" w:rsidRPr="001C0AD9">
        <w:rPr>
          <w:rFonts w:ascii="Palatino Linotype" w:hAnsi="Palatino Linotype"/>
          <w:color w:val="000000" w:themeColor="text1"/>
        </w:rPr>
        <w:t>la entrega de información incompleta a rubros específicos</w:t>
      </w:r>
      <w:r w:rsidRPr="001C0AD9">
        <w:rPr>
          <w:rFonts w:ascii="Palatino Linotype" w:eastAsia="Palatino Linotype" w:hAnsi="Palatino Linotype" w:cs="Palatino Linotype"/>
          <w:color w:val="000000" w:themeColor="text1"/>
        </w:rPr>
        <w:t>.</w:t>
      </w:r>
      <w:r w:rsidR="00BB27C5" w:rsidRPr="001C0AD9">
        <w:rPr>
          <w:rFonts w:ascii="Palatino Linotype" w:eastAsia="Palatino Linotype" w:hAnsi="Palatino Linotype" w:cs="Palatino Linotype"/>
          <w:color w:val="000000" w:themeColor="text1"/>
        </w:rPr>
        <w:t xml:space="preserve"> </w:t>
      </w:r>
      <w:r w:rsidRPr="001C0AD9">
        <w:rPr>
          <w:rFonts w:ascii="Palatino Linotype" w:hAnsi="Palatino Linotype"/>
          <w:color w:val="000000" w:themeColor="text1"/>
        </w:rPr>
        <w:t xml:space="preserve">En dichas condiciones, la controversia a resolver en el presente proveído, corresponde a determinar si se actualiza la causal de procedencia prevista en el artículo 179, </w:t>
      </w:r>
      <w:r w:rsidR="003D58DA" w:rsidRPr="001C0AD9">
        <w:rPr>
          <w:rFonts w:ascii="Palatino Linotype" w:hAnsi="Palatino Linotype"/>
          <w:color w:val="000000" w:themeColor="text1"/>
        </w:rPr>
        <w:t>fracción I</w:t>
      </w:r>
      <w:r w:rsidRPr="001C0AD9">
        <w:rPr>
          <w:rFonts w:ascii="Palatino Linotype" w:hAnsi="Palatino Linotype"/>
          <w:color w:val="000000" w:themeColor="text1"/>
        </w:rPr>
        <w:t xml:space="preserve">, de la Ley de Transparencia y Acceso a la Información Pública del Estado de México y Municipios; fracción que determina la hipótesis relativa a la </w:t>
      </w:r>
      <w:r w:rsidR="003D58DA" w:rsidRPr="001C0AD9">
        <w:rPr>
          <w:rFonts w:ascii="Palatino Linotype" w:hAnsi="Palatino Linotype"/>
          <w:color w:val="000000" w:themeColor="text1"/>
        </w:rPr>
        <w:t xml:space="preserve">negativa de la </w:t>
      </w:r>
      <w:r w:rsidRPr="001C0AD9">
        <w:rPr>
          <w:rFonts w:ascii="Palatino Linotype" w:hAnsi="Palatino Linotype"/>
          <w:color w:val="000000" w:themeColor="text1"/>
        </w:rPr>
        <w:t xml:space="preserve">entrega de </w:t>
      </w:r>
      <w:r w:rsidR="003D58DA" w:rsidRPr="001C0AD9">
        <w:rPr>
          <w:rFonts w:ascii="Palatino Linotype" w:hAnsi="Palatino Linotype"/>
          <w:color w:val="000000" w:themeColor="text1"/>
        </w:rPr>
        <w:t xml:space="preserve">la </w:t>
      </w:r>
      <w:r w:rsidRPr="001C0AD9">
        <w:rPr>
          <w:rFonts w:ascii="Palatino Linotype" w:hAnsi="Palatino Linotype"/>
          <w:color w:val="000000" w:themeColor="text1"/>
        </w:rPr>
        <w:t xml:space="preserve">información; contexto del cual se dolió el Recurrente al momento de interponer su inconformidad. De modo tal que el presente recurso de revisión se abocará en determinar si el Sujeto Obligado con su respuesta ciertamente actualiza la causal de procedencia señalada. </w:t>
      </w:r>
    </w:p>
    <w:p w14:paraId="5B9C320B" w14:textId="77777777" w:rsidR="00495BE5" w:rsidRDefault="00495BE5" w:rsidP="00DF7928">
      <w:pPr>
        <w:pStyle w:val="Prrafodelista"/>
        <w:spacing w:line="360" w:lineRule="auto"/>
        <w:ind w:left="0"/>
        <w:jc w:val="both"/>
        <w:rPr>
          <w:rFonts w:ascii="Palatino Linotype" w:hAnsi="Palatino Linotype"/>
          <w:color w:val="000000" w:themeColor="text1"/>
          <w:sz w:val="24"/>
        </w:rPr>
      </w:pPr>
    </w:p>
    <w:p w14:paraId="55BDEC03" w14:textId="77777777" w:rsidR="00A23858" w:rsidRPr="001C0AD9" w:rsidRDefault="00A23858" w:rsidP="00DF7928">
      <w:pPr>
        <w:pStyle w:val="Prrafodelista"/>
        <w:spacing w:line="360" w:lineRule="auto"/>
        <w:ind w:left="0"/>
        <w:jc w:val="both"/>
        <w:rPr>
          <w:rFonts w:ascii="Palatino Linotype" w:hAnsi="Palatino Linotype"/>
          <w:color w:val="000000" w:themeColor="text1"/>
          <w:sz w:val="24"/>
        </w:rPr>
      </w:pPr>
    </w:p>
    <w:p w14:paraId="1238A664" w14:textId="77777777" w:rsidR="00495BE5" w:rsidRPr="001C0AD9" w:rsidRDefault="00495BE5" w:rsidP="00DF7928">
      <w:pPr>
        <w:spacing w:line="360" w:lineRule="auto"/>
        <w:jc w:val="both"/>
        <w:rPr>
          <w:rFonts w:ascii="Palatino Linotype" w:hAnsi="Palatino Linotype"/>
          <w:b/>
          <w:bCs/>
          <w:color w:val="000000" w:themeColor="text1"/>
        </w:rPr>
      </w:pPr>
      <w:r w:rsidRPr="001C0AD9">
        <w:rPr>
          <w:rFonts w:ascii="Palatino Linotype" w:hAnsi="Palatino Linotype"/>
          <w:b/>
          <w:bCs/>
          <w:color w:val="000000" w:themeColor="text1"/>
        </w:rPr>
        <w:lastRenderedPageBreak/>
        <w:t>CUARTO. Del estudio y resolución del asunto.</w:t>
      </w:r>
    </w:p>
    <w:p w14:paraId="22540E5D" w14:textId="77777777" w:rsidR="00495BE5" w:rsidRPr="001C0AD9" w:rsidRDefault="00495BE5"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0DB7DCEE" w14:textId="77777777" w:rsidR="00495BE5" w:rsidRPr="001C0AD9" w:rsidRDefault="00495BE5" w:rsidP="00DF7928">
      <w:pPr>
        <w:pStyle w:val="Prrafodelista"/>
        <w:spacing w:line="360" w:lineRule="auto"/>
        <w:ind w:left="0"/>
        <w:jc w:val="both"/>
        <w:rPr>
          <w:rFonts w:ascii="Palatino Linotype" w:hAnsi="Palatino Linotype"/>
          <w:color w:val="000000" w:themeColor="text1"/>
          <w:sz w:val="24"/>
        </w:rPr>
      </w:pPr>
    </w:p>
    <w:p w14:paraId="61A35373" w14:textId="77777777" w:rsidR="00495BE5" w:rsidRPr="001C0AD9" w:rsidRDefault="00495BE5"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1C55D6F" w14:textId="77777777" w:rsidR="00495BE5" w:rsidRPr="001C0AD9" w:rsidRDefault="00495BE5" w:rsidP="00DF7928">
      <w:pPr>
        <w:pStyle w:val="Prrafodelista"/>
        <w:spacing w:line="360" w:lineRule="auto"/>
        <w:ind w:left="0"/>
        <w:jc w:val="both"/>
        <w:rPr>
          <w:rFonts w:ascii="Palatino Linotype" w:hAnsi="Palatino Linotype"/>
          <w:color w:val="000000" w:themeColor="text1"/>
          <w:sz w:val="24"/>
        </w:rPr>
      </w:pPr>
    </w:p>
    <w:p w14:paraId="1B9E526E" w14:textId="77777777" w:rsidR="00495BE5" w:rsidRPr="001C0AD9" w:rsidRDefault="00495BE5"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w:t>
      </w:r>
      <w:r w:rsidRPr="001C0AD9">
        <w:rPr>
          <w:rFonts w:ascii="Palatino Linotype" w:hAnsi="Palatino Linotype"/>
          <w:color w:val="000000" w:themeColor="text1"/>
        </w:rPr>
        <w:lastRenderedPageBreak/>
        <w:t>cualquier medio de difusión o porque la requieren a través de una solicitud de acceso a la información, siempre y cuando no encuadre en una de las excepciones contempladas por la ley.</w:t>
      </w:r>
    </w:p>
    <w:p w14:paraId="23CCF70B" w14:textId="77777777" w:rsidR="003D58DA" w:rsidRPr="001C0AD9" w:rsidRDefault="003D58DA" w:rsidP="00DF7928">
      <w:pPr>
        <w:pStyle w:val="Prrafodelista"/>
        <w:spacing w:line="360" w:lineRule="auto"/>
        <w:ind w:left="0"/>
        <w:jc w:val="both"/>
        <w:rPr>
          <w:rFonts w:ascii="Palatino Linotype" w:hAnsi="Palatino Linotype"/>
          <w:color w:val="000000" w:themeColor="text1"/>
          <w:sz w:val="24"/>
        </w:rPr>
      </w:pPr>
    </w:p>
    <w:p w14:paraId="092E1380" w14:textId="77777777" w:rsidR="0030306D" w:rsidRPr="001C0AD9" w:rsidRDefault="00BB27C5"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bookmarkEnd w:id="12"/>
      <w:bookmarkEnd w:id="13"/>
      <w:bookmarkEnd w:id="14"/>
      <w:bookmarkEnd w:id="15"/>
      <w:bookmarkEnd w:id="16"/>
      <w:bookmarkEnd w:id="17"/>
      <w:bookmarkEnd w:id="18"/>
      <w:r w:rsidRPr="001C0AD9">
        <w:rPr>
          <w:rFonts w:ascii="Palatino Linotype" w:eastAsia="Palatino Linotype" w:hAnsi="Palatino Linotype" w:cs="Palatino Linotype"/>
          <w:color w:val="000000" w:themeColor="text1"/>
        </w:rPr>
        <w:t xml:space="preserve">Dicho lo anterior es necesario recordar </w:t>
      </w:r>
      <w:r w:rsidR="003D58DA" w:rsidRPr="001C0AD9">
        <w:rPr>
          <w:rFonts w:ascii="Palatino Linotype" w:eastAsia="Palatino Linotype" w:hAnsi="Palatino Linotype" w:cs="Palatino Linotype"/>
          <w:color w:val="000000" w:themeColor="text1"/>
        </w:rPr>
        <w:t xml:space="preserve">la respuesta, la cual fue emitida por el Tesorero Municipal, </w:t>
      </w:r>
      <w:r w:rsidR="0030306D" w:rsidRPr="001C0AD9">
        <w:rPr>
          <w:rFonts w:ascii="Palatino Linotype" w:hAnsi="Palatino Linotype"/>
          <w:color w:val="000000" w:themeColor="text1"/>
        </w:rPr>
        <w:t>quien</w:t>
      </w:r>
      <w:r w:rsidR="0030306D" w:rsidRPr="001C0AD9">
        <w:rPr>
          <w:rFonts w:ascii="Palatino Linotype" w:eastAsia="Palatino Linotype" w:hAnsi="Palatino Linotype" w:cs="Palatino Linotype"/>
          <w:color w:val="000000" w:themeColor="text1"/>
        </w:rPr>
        <w:t xml:space="preserve"> ciertamente es servidor público habil</w:t>
      </w:r>
      <w:r w:rsidR="00205A43" w:rsidRPr="001C0AD9">
        <w:rPr>
          <w:rFonts w:ascii="Palatino Linotype" w:eastAsia="Palatino Linotype" w:hAnsi="Palatino Linotype" w:cs="Palatino Linotype"/>
          <w:color w:val="000000" w:themeColor="text1"/>
        </w:rPr>
        <w:t>itado competente de acuerdo a lo dispuesto por la</w:t>
      </w:r>
      <w:r w:rsidR="0030306D" w:rsidRPr="001C0AD9">
        <w:rPr>
          <w:rFonts w:ascii="Palatino Linotype" w:eastAsia="Palatino Linotype" w:hAnsi="Palatino Linotype" w:cs="Palatino Linotype"/>
          <w:color w:val="000000" w:themeColor="text1"/>
        </w:rPr>
        <w:t xml:space="preserve"> Ley Orgánica Municipal del Estado de México, como se observa:</w:t>
      </w:r>
    </w:p>
    <w:p w14:paraId="47AED94F" w14:textId="77777777" w:rsidR="0030306D" w:rsidRPr="001C0AD9" w:rsidRDefault="0030306D"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19D3944D" w14:textId="77777777" w:rsidR="0030306D" w:rsidRPr="001C0AD9" w:rsidRDefault="0030306D"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Artículo 95.- Son atribuciones del tesorero municipal: </w:t>
      </w:r>
    </w:p>
    <w:p w14:paraId="64ED1753" w14:textId="77777777" w:rsidR="0030306D" w:rsidRPr="001C0AD9" w:rsidRDefault="0030306D"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w:t>
      </w:r>
    </w:p>
    <w:p w14:paraId="76A4C4AF" w14:textId="77777777" w:rsidR="0030306D" w:rsidRPr="001C0AD9" w:rsidRDefault="0030306D"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XVII. </w:t>
      </w:r>
      <w:r w:rsidRPr="001C0AD9">
        <w:rPr>
          <w:rFonts w:ascii="Palatino Linotype" w:eastAsia="Palatino Linotype" w:hAnsi="Palatino Linotype" w:cs="Palatino Linotype"/>
          <w:b/>
          <w:i/>
          <w:color w:val="000000" w:themeColor="text1"/>
        </w:rPr>
        <w:t>Contestar oportunamente los pliegos de observaciones y responsabilidad que haga el Órgano Superior de Fiscalización del Estado de México</w:t>
      </w:r>
      <w:r w:rsidRPr="001C0AD9">
        <w:rPr>
          <w:rFonts w:ascii="Palatino Linotype" w:eastAsia="Palatino Linotype" w:hAnsi="Palatino Linotype" w:cs="Palatino Linotype"/>
          <w:i/>
          <w:color w:val="000000" w:themeColor="text1"/>
        </w:rPr>
        <w:t xml:space="preserve">, así como atender en tiempo y forma las solicitudes de información que éste requiera, informando al Ayuntamiento; </w:t>
      </w:r>
    </w:p>
    <w:p w14:paraId="2A1A5F3E" w14:textId="77777777" w:rsidR="0030306D" w:rsidRPr="001C0AD9" w:rsidRDefault="0030306D"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w:t>
      </w:r>
    </w:p>
    <w:p w14:paraId="50C49621" w14:textId="77777777" w:rsidR="00BB1A7E" w:rsidRPr="001C0AD9" w:rsidRDefault="00BB1A7E" w:rsidP="00DF7928">
      <w:pPr>
        <w:spacing w:line="360" w:lineRule="auto"/>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Énfasis añadido</w:t>
      </w:r>
    </w:p>
    <w:p w14:paraId="20C04A34" w14:textId="77777777" w:rsidR="0030306D" w:rsidRPr="001C0AD9" w:rsidRDefault="0030306D" w:rsidP="00DF7928">
      <w:pPr>
        <w:pStyle w:val="Prrafodelista"/>
        <w:spacing w:line="360" w:lineRule="auto"/>
        <w:ind w:left="0"/>
        <w:jc w:val="both"/>
        <w:rPr>
          <w:rFonts w:ascii="Palatino Linotype" w:eastAsia="Palatino Linotype" w:hAnsi="Palatino Linotype" w:cs="Palatino Linotype"/>
          <w:color w:val="000000" w:themeColor="text1"/>
          <w:sz w:val="24"/>
        </w:rPr>
      </w:pPr>
    </w:p>
    <w:p w14:paraId="0BEB7B0B"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Ahora bien, respecto de la naturaleza de lo solicitado, es necesario traer a contexto la Ley de Fiscalización Superior del Estado de México. En dicho ordenamiento se establece que el OSFEM tiene entre sus funciones, la señalada en la fracción III del artículo 8, en la que se estipula lo siguiente:</w:t>
      </w:r>
    </w:p>
    <w:p w14:paraId="63DC19C7" w14:textId="77777777" w:rsidR="00BB1A7E" w:rsidRPr="001C0AD9" w:rsidRDefault="00BB1A7E" w:rsidP="00DF7928">
      <w:pPr>
        <w:pStyle w:val="Fundamentos"/>
        <w:spacing w:line="360" w:lineRule="auto"/>
        <w:ind w:left="0" w:right="0"/>
        <w:rPr>
          <w:color w:val="000000" w:themeColor="text1"/>
          <w:sz w:val="24"/>
          <w:lang w:val="es-ES"/>
        </w:rPr>
      </w:pPr>
      <w:r w:rsidRPr="001C0AD9">
        <w:rPr>
          <w:b/>
          <w:color w:val="000000" w:themeColor="text1"/>
          <w:sz w:val="24"/>
          <w:lang w:val="es-ES"/>
        </w:rPr>
        <w:lastRenderedPageBreak/>
        <w:t xml:space="preserve">Artículo 8.- </w:t>
      </w:r>
      <w:r w:rsidRPr="001C0AD9">
        <w:rPr>
          <w:color w:val="000000" w:themeColor="text1"/>
          <w:sz w:val="24"/>
          <w:lang w:val="es-ES"/>
        </w:rPr>
        <w:t>El Órgano Superior tendrá las siguientes atribuciones:</w:t>
      </w:r>
    </w:p>
    <w:p w14:paraId="0DD5DDC2" w14:textId="77777777" w:rsidR="00BB1A7E" w:rsidRPr="001C0AD9" w:rsidRDefault="00BB1A7E" w:rsidP="00DF7928">
      <w:pPr>
        <w:pStyle w:val="Fundamentos"/>
        <w:spacing w:line="360" w:lineRule="auto"/>
        <w:ind w:left="0" w:right="0"/>
        <w:rPr>
          <w:color w:val="000000" w:themeColor="text1"/>
          <w:sz w:val="24"/>
          <w:lang w:val="es-ES"/>
        </w:rPr>
      </w:pPr>
      <w:r w:rsidRPr="001C0AD9">
        <w:rPr>
          <w:color w:val="000000" w:themeColor="text1"/>
          <w:sz w:val="24"/>
          <w:lang w:val="es-ES"/>
        </w:rPr>
        <w:t>(…)</w:t>
      </w:r>
    </w:p>
    <w:p w14:paraId="60A9159F" w14:textId="77777777" w:rsidR="00BB1A7E" w:rsidRPr="001C0AD9" w:rsidRDefault="00BB1A7E" w:rsidP="00DF7928">
      <w:pPr>
        <w:pStyle w:val="Fundamentos"/>
        <w:spacing w:line="360" w:lineRule="auto"/>
        <w:ind w:left="0" w:right="0"/>
        <w:rPr>
          <w:color w:val="000000" w:themeColor="text1"/>
          <w:sz w:val="24"/>
          <w:lang w:val="es-MX"/>
        </w:rPr>
      </w:pPr>
      <w:r w:rsidRPr="001C0AD9">
        <w:rPr>
          <w:color w:val="000000" w:themeColor="text1"/>
          <w:sz w:val="24"/>
          <w:lang w:val="es-MX"/>
        </w:rPr>
        <w:t xml:space="preserve">III. </w:t>
      </w:r>
      <w:r w:rsidRPr="001C0AD9">
        <w:rPr>
          <w:b/>
          <w:bCs/>
          <w:color w:val="000000" w:themeColor="text1"/>
          <w:sz w:val="24"/>
          <w:u w:val="single"/>
          <w:lang w:val="es-MX"/>
        </w:rPr>
        <w:t>Revisar las cuentas públicas de las entidades fiscalizables y entregar a la Legislatura, a través de la Comisión, el informe de resultados y los informes de auditorías que correspondan.</w:t>
      </w:r>
    </w:p>
    <w:p w14:paraId="51AF4CCD"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4D223EB8"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Asimismo, el mismo ordenamiento en su artículo 32 dispone lo siguiente:</w:t>
      </w:r>
    </w:p>
    <w:p w14:paraId="35CD086A" w14:textId="77777777" w:rsidR="00BB1A7E" w:rsidRPr="001C0AD9" w:rsidRDefault="00BB1A7E" w:rsidP="00DF7928">
      <w:pPr>
        <w:pStyle w:val="Fundamentos"/>
        <w:spacing w:line="360" w:lineRule="auto"/>
        <w:ind w:left="0" w:right="0"/>
        <w:rPr>
          <w:b/>
          <w:color w:val="000000" w:themeColor="text1"/>
          <w:sz w:val="24"/>
        </w:rPr>
      </w:pPr>
      <w:r w:rsidRPr="001C0AD9">
        <w:rPr>
          <w:b/>
          <w:color w:val="000000" w:themeColor="text1"/>
          <w:sz w:val="24"/>
        </w:rPr>
        <w:t xml:space="preserve">Artículo 32. </w:t>
      </w:r>
      <w:r w:rsidRPr="001C0AD9">
        <w:rPr>
          <w:color w:val="000000" w:themeColor="text1"/>
          <w:sz w:val="24"/>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15C88FBF" w14:textId="77777777" w:rsidR="00BB1A7E" w:rsidRPr="001C0AD9" w:rsidRDefault="00BB1A7E" w:rsidP="00DF7928">
      <w:pPr>
        <w:pStyle w:val="Fundamentos"/>
        <w:spacing w:line="360" w:lineRule="auto"/>
        <w:ind w:left="0" w:right="0"/>
        <w:rPr>
          <w:color w:val="000000" w:themeColor="text1"/>
          <w:sz w:val="24"/>
        </w:rPr>
      </w:pPr>
    </w:p>
    <w:p w14:paraId="4A3F3F91"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77768BD1" w14:textId="77777777" w:rsidR="00BB1A7E" w:rsidRPr="001C0AD9" w:rsidRDefault="00BB1A7E" w:rsidP="00DF7928">
      <w:pPr>
        <w:pStyle w:val="Fundamentos"/>
        <w:spacing w:line="360" w:lineRule="auto"/>
        <w:ind w:left="0" w:right="0"/>
        <w:rPr>
          <w:color w:val="000000" w:themeColor="text1"/>
          <w:sz w:val="24"/>
        </w:rPr>
      </w:pPr>
    </w:p>
    <w:p w14:paraId="19DED195"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 xml:space="preserve">Los presidentes municipales presentarán a la Legislatura las cuentas públicas de sus respectivos municipios, del ejercicio fiscal inmediato anterior, dentro de los quince primeros días del mes de marzo de cada año. </w:t>
      </w:r>
    </w:p>
    <w:p w14:paraId="141AEFF6" w14:textId="77777777" w:rsidR="00BB1A7E" w:rsidRPr="001C0AD9" w:rsidRDefault="00BB1A7E" w:rsidP="00DF7928">
      <w:pPr>
        <w:pStyle w:val="Fundamentos"/>
        <w:spacing w:line="360" w:lineRule="auto"/>
        <w:ind w:left="0" w:right="0"/>
        <w:rPr>
          <w:color w:val="000000" w:themeColor="text1"/>
          <w:sz w:val="24"/>
        </w:rPr>
      </w:pPr>
    </w:p>
    <w:p w14:paraId="687477FF"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Si el día del vencimiento de los plazos señalados, corresponde a un día inhábil, se podrá presentar al día hábil inmediato siguiente.</w:t>
      </w:r>
    </w:p>
    <w:p w14:paraId="572C645A" w14:textId="77777777" w:rsidR="00BB1A7E" w:rsidRPr="001C0AD9" w:rsidRDefault="00BB1A7E" w:rsidP="00DF7928">
      <w:pPr>
        <w:pStyle w:val="Fundamentos"/>
        <w:spacing w:line="360" w:lineRule="auto"/>
        <w:ind w:left="0" w:right="0"/>
        <w:rPr>
          <w:color w:val="000000" w:themeColor="text1"/>
          <w:sz w:val="24"/>
        </w:rPr>
      </w:pPr>
    </w:p>
    <w:p w14:paraId="5D12AE0E"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lastRenderedPageBreak/>
        <w:t>La Legislatura deberá remitir las Cuentas Públicas al Órgano Superior el día hábil siguiente a su recepción.</w:t>
      </w:r>
    </w:p>
    <w:p w14:paraId="30AC355D"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5988084D"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De los artículos anteriores se desprende que el OSFEM tiene la facultad de revisar las cuentas públicas que presenten las autoridades municipales respecto del ejercicio fiscal inmediato anterior, dentro de los primeros quince días de marzo de cada año, así como de los informes trimestrales.</w:t>
      </w:r>
    </w:p>
    <w:p w14:paraId="52B351CE"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445631E3"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Ahora bien, los artículos 50, 51, 53 y 53 Bis de la referida Ley estipulan lo siguiente:</w:t>
      </w:r>
    </w:p>
    <w:p w14:paraId="39C4BA71" w14:textId="77777777" w:rsidR="00BB1A7E" w:rsidRPr="001C0AD9" w:rsidRDefault="00BB1A7E" w:rsidP="00DF7928">
      <w:pPr>
        <w:pStyle w:val="Fundamentos"/>
        <w:spacing w:line="360" w:lineRule="auto"/>
        <w:ind w:left="0" w:right="0"/>
        <w:rPr>
          <w:color w:val="000000" w:themeColor="text1"/>
          <w:sz w:val="24"/>
          <w:lang w:val="es-ES" w:eastAsia="es-ES"/>
        </w:rPr>
      </w:pPr>
      <w:r w:rsidRPr="001C0AD9">
        <w:rPr>
          <w:b/>
          <w:bCs/>
          <w:color w:val="000000" w:themeColor="text1"/>
          <w:sz w:val="24"/>
          <w:lang w:val="es-ES" w:eastAsia="es-ES"/>
        </w:rPr>
        <w:t xml:space="preserve">Artículo 50.- </w:t>
      </w:r>
      <w:r w:rsidRPr="001C0AD9">
        <w:rPr>
          <w:b/>
          <w:bCs/>
          <w:color w:val="000000" w:themeColor="text1"/>
          <w:sz w:val="24"/>
          <w:u w:val="single"/>
          <w:lang w:val="es-ES" w:eastAsia="es-ES"/>
        </w:rPr>
        <w:t>El Órgano Superior tendrá un plazo improrrogable que vence el 15 de noviembre del año en que se entreguen las cuentas públicas, para presentar el Informe de Resultados</w:t>
      </w:r>
      <w:r w:rsidRPr="001C0AD9">
        <w:rPr>
          <w:color w:val="000000" w:themeColor="text1"/>
          <w:sz w:val="24"/>
          <w:lang w:val="es-ES" w:eastAsia="es-ES"/>
        </w:rPr>
        <w:t xml:space="preserve"> ante la Comisión de Vigilancia del Órgano Superior de Fiscalización, </w:t>
      </w:r>
      <w:r w:rsidRPr="001C0AD9">
        <w:rPr>
          <w:b/>
          <w:bCs/>
          <w:color w:val="000000" w:themeColor="text1"/>
          <w:sz w:val="24"/>
          <w:u w:val="single"/>
          <w:lang w:val="es-ES" w:eastAsia="es-ES"/>
        </w:rPr>
        <w:t xml:space="preserve">mismo que tendrá el carácter público </w:t>
      </w:r>
      <w:r w:rsidRPr="001C0AD9">
        <w:rPr>
          <w:color w:val="000000" w:themeColor="text1"/>
          <w:sz w:val="24"/>
          <w:lang w:val="es-ES" w:eastAsia="es-ES"/>
        </w:rPr>
        <w:t xml:space="preserve">y, en consecuencia, deberá ser publicado en medios electrónicos de manera inmediatamente posterior a su entrega; mientras ello no suceda, el Órgano Superior deberá guardar reserva de sus actuaciones e información. </w:t>
      </w:r>
    </w:p>
    <w:p w14:paraId="4B3146E2" w14:textId="77777777" w:rsidR="00BB1A7E" w:rsidRPr="001C0AD9" w:rsidRDefault="00BB1A7E" w:rsidP="00DF7928">
      <w:pPr>
        <w:pStyle w:val="Fundamentos"/>
        <w:spacing w:line="360" w:lineRule="auto"/>
        <w:ind w:left="0" w:right="0"/>
        <w:rPr>
          <w:color w:val="000000" w:themeColor="text1"/>
          <w:sz w:val="24"/>
          <w:lang w:val="es-ES" w:eastAsia="es-ES"/>
        </w:rPr>
      </w:pPr>
    </w:p>
    <w:p w14:paraId="3C793108" w14:textId="77777777" w:rsidR="00BB1A7E" w:rsidRPr="001C0AD9" w:rsidRDefault="00BB1A7E" w:rsidP="00DF7928">
      <w:pPr>
        <w:pStyle w:val="Fundamentos"/>
        <w:spacing w:line="360" w:lineRule="auto"/>
        <w:ind w:left="0" w:right="0"/>
        <w:rPr>
          <w:color w:val="000000" w:themeColor="text1"/>
          <w:sz w:val="24"/>
          <w:lang w:val="es-ES" w:eastAsia="es-ES"/>
        </w:rPr>
      </w:pPr>
      <w:r w:rsidRPr="001C0AD9">
        <w:rPr>
          <w:color w:val="000000" w:themeColor="text1"/>
          <w:sz w:val="24"/>
          <w:lang w:val="es-ES" w:eastAsia="es-ES"/>
        </w:rPr>
        <w:t>La revisión, análisis, aclaración y discusión del informe a que hace referencia el párrafo anterior, y el estudio del contenido de la cuenta pública, servirán como principal instrumento para que la Comisión de Vigilancia del Órgano Superior de Fiscalización elabore el dictamen de las cuentas públicas, el cual deberá presentarse ante el Pleno de la Legislatura para su votación y emisión del decreto que tenga por fiscalizadas y calificadas las cuentas públicas del Estado y municipios a más tardar el 30 de noviembre del año en que se presente dicho informe.</w:t>
      </w:r>
    </w:p>
    <w:p w14:paraId="105ACD16" w14:textId="77777777" w:rsidR="00BB1A7E" w:rsidRPr="001C0AD9" w:rsidRDefault="00BB1A7E" w:rsidP="00DF7928">
      <w:pPr>
        <w:pStyle w:val="Fundamentos"/>
        <w:spacing w:line="360" w:lineRule="auto"/>
        <w:ind w:left="0" w:right="0"/>
        <w:rPr>
          <w:color w:val="000000" w:themeColor="text1"/>
          <w:sz w:val="24"/>
          <w:lang w:val="es-ES"/>
        </w:rPr>
      </w:pPr>
    </w:p>
    <w:p w14:paraId="067A7BEB" w14:textId="77777777" w:rsidR="00BB1A7E" w:rsidRPr="001C0AD9" w:rsidRDefault="00BB1A7E" w:rsidP="00DF7928">
      <w:pPr>
        <w:pStyle w:val="Fundamentos"/>
        <w:spacing w:line="360" w:lineRule="auto"/>
        <w:ind w:left="0" w:right="0"/>
        <w:rPr>
          <w:bCs/>
          <w:color w:val="000000" w:themeColor="text1"/>
          <w:sz w:val="24"/>
          <w:lang w:val="es-ES" w:eastAsia="es-ES"/>
        </w:rPr>
      </w:pPr>
      <w:r w:rsidRPr="001C0AD9">
        <w:rPr>
          <w:bCs/>
          <w:color w:val="000000" w:themeColor="text1"/>
          <w:sz w:val="24"/>
          <w:lang w:val="es-ES" w:eastAsia="es-ES"/>
        </w:rPr>
        <w:lastRenderedPageBreak/>
        <w:t>La calificación no suspende el trámite de las acciones promovidas o que se promuevan, por parte del Órgano Superior de Fiscalización del Estado de México, mismas que seguirán el procedimiento de acuerdo a las disposiciones legales aplicables.</w:t>
      </w:r>
    </w:p>
    <w:p w14:paraId="23F09F52" w14:textId="77777777" w:rsidR="00BB1A7E" w:rsidRPr="001C0AD9" w:rsidRDefault="00BB1A7E" w:rsidP="00DF7928">
      <w:pPr>
        <w:pStyle w:val="Fundamentos"/>
        <w:spacing w:line="360" w:lineRule="auto"/>
        <w:ind w:left="0" w:right="0"/>
        <w:rPr>
          <w:color w:val="000000" w:themeColor="text1"/>
          <w:sz w:val="24"/>
          <w:lang w:val="es-MX" w:eastAsia="es-ES"/>
        </w:rPr>
      </w:pPr>
    </w:p>
    <w:p w14:paraId="611CC210" w14:textId="77777777" w:rsidR="00BB1A7E" w:rsidRPr="001C0AD9" w:rsidRDefault="00BB1A7E" w:rsidP="00DF7928">
      <w:pPr>
        <w:pStyle w:val="Fundamentos"/>
        <w:spacing w:line="360" w:lineRule="auto"/>
        <w:ind w:left="0" w:right="0"/>
        <w:rPr>
          <w:color w:val="000000" w:themeColor="text1"/>
          <w:sz w:val="24"/>
          <w:lang w:val="es-MX" w:eastAsia="es-ES"/>
        </w:rPr>
      </w:pPr>
      <w:r w:rsidRPr="001C0AD9">
        <w:rPr>
          <w:color w:val="000000" w:themeColor="text1"/>
          <w:sz w:val="24"/>
          <w:lang w:val="es-MX" w:eastAsia="es-ES"/>
        </w:rPr>
        <w:t>La Comisión vigilara la publicación del Informe de Resultados, de todas y cada una de las reuniones de trabajo que realice para analizarlo y del decreto que emita la Legislatura, de manera inmediata a que cada uno acontezca.</w:t>
      </w:r>
    </w:p>
    <w:p w14:paraId="274DBF46" w14:textId="77777777" w:rsidR="00BB1A7E" w:rsidRPr="001C0AD9" w:rsidRDefault="00BB1A7E" w:rsidP="00DF7928">
      <w:pPr>
        <w:pStyle w:val="Fundamentos"/>
        <w:spacing w:line="360" w:lineRule="auto"/>
        <w:ind w:left="0" w:right="0"/>
        <w:rPr>
          <w:color w:val="000000" w:themeColor="text1"/>
          <w:sz w:val="24"/>
          <w:lang w:val="es-MX" w:eastAsia="es-ES"/>
        </w:rPr>
      </w:pPr>
    </w:p>
    <w:p w14:paraId="6CAFA3A3" w14:textId="77777777" w:rsidR="00BB1A7E" w:rsidRPr="001C0AD9" w:rsidRDefault="00BB1A7E" w:rsidP="00DF7928">
      <w:pPr>
        <w:pStyle w:val="Fundamentos"/>
        <w:spacing w:line="360" w:lineRule="auto"/>
        <w:ind w:left="0" w:right="0"/>
        <w:rPr>
          <w:rFonts w:eastAsia="Arial"/>
          <w:color w:val="000000" w:themeColor="text1"/>
          <w:sz w:val="24"/>
          <w:lang w:val="es-MX"/>
        </w:rPr>
      </w:pPr>
      <w:r w:rsidRPr="001C0AD9">
        <w:rPr>
          <w:rFonts w:eastAsia="Arial"/>
          <w:color w:val="000000" w:themeColor="text1"/>
          <w:sz w:val="24"/>
          <w:lang w:val="es-MX"/>
        </w:rPr>
        <w:t>La Comisión dará seguimiento a los informes emitidos por el Órgano Superior, que incluirán de forma cualitativa y cuantitativa las observaciones y recomendaciones así como a los procedimientos resarcitorios y demás acciones promovidas, por el OSFEM de la siguiente forma:</w:t>
      </w:r>
    </w:p>
    <w:p w14:paraId="2925A1CC" w14:textId="77777777" w:rsidR="00BB1A7E" w:rsidRPr="001C0AD9" w:rsidRDefault="00BB1A7E" w:rsidP="00DF7928">
      <w:pPr>
        <w:pStyle w:val="Fundamentos"/>
        <w:spacing w:line="360" w:lineRule="auto"/>
        <w:ind w:left="0" w:right="0"/>
        <w:rPr>
          <w:rFonts w:eastAsia="Arial"/>
          <w:color w:val="000000" w:themeColor="text1"/>
          <w:sz w:val="24"/>
          <w:lang w:val="es-MX"/>
        </w:rPr>
      </w:pPr>
    </w:p>
    <w:p w14:paraId="23BCD312" w14:textId="77777777" w:rsidR="00BB1A7E" w:rsidRPr="001C0AD9" w:rsidRDefault="00BB1A7E" w:rsidP="00A23858">
      <w:pPr>
        <w:pStyle w:val="Fundamentos"/>
        <w:numPr>
          <w:ilvl w:val="0"/>
          <w:numId w:val="30"/>
        </w:numPr>
        <w:spacing w:line="360" w:lineRule="auto"/>
        <w:ind w:left="0" w:right="0" w:firstLine="0"/>
        <w:rPr>
          <w:rFonts w:eastAsia="Arial"/>
          <w:color w:val="000000" w:themeColor="text1"/>
          <w:sz w:val="24"/>
          <w:lang w:val="es-MX"/>
        </w:rPr>
      </w:pPr>
      <w:r w:rsidRPr="001C0AD9">
        <w:rPr>
          <w:rFonts w:eastAsia="Arial"/>
          <w:color w:val="000000" w:themeColor="text1"/>
          <w:sz w:val="24"/>
          <w:lang w:val="es-MX"/>
        </w:rPr>
        <w:t>Número de auditorías, tipo de auditoria, alcance y planeación de la misma.</w:t>
      </w:r>
    </w:p>
    <w:p w14:paraId="1DFA29B7" w14:textId="77777777" w:rsidR="00BB1A7E" w:rsidRPr="001C0AD9" w:rsidRDefault="00BB1A7E" w:rsidP="00A23858">
      <w:pPr>
        <w:pStyle w:val="Fundamentos"/>
        <w:numPr>
          <w:ilvl w:val="0"/>
          <w:numId w:val="30"/>
        </w:numPr>
        <w:spacing w:line="360" w:lineRule="auto"/>
        <w:ind w:left="0" w:right="0" w:firstLine="0"/>
        <w:rPr>
          <w:rFonts w:eastAsia="Arial"/>
          <w:color w:val="000000" w:themeColor="text1"/>
          <w:sz w:val="24"/>
          <w:lang w:val="es-MX"/>
        </w:rPr>
      </w:pPr>
      <w:r w:rsidRPr="001C0AD9">
        <w:rPr>
          <w:rFonts w:eastAsia="Arial"/>
          <w:color w:val="000000" w:themeColor="text1"/>
          <w:sz w:val="24"/>
          <w:lang w:val="es-MX"/>
        </w:rPr>
        <w:t>La identificación de la entidad fiscalizable.</w:t>
      </w:r>
    </w:p>
    <w:p w14:paraId="211F1298" w14:textId="77777777" w:rsidR="00BB1A7E" w:rsidRPr="001C0AD9" w:rsidRDefault="00BB1A7E" w:rsidP="00A23858">
      <w:pPr>
        <w:pStyle w:val="Fundamentos"/>
        <w:numPr>
          <w:ilvl w:val="0"/>
          <w:numId w:val="30"/>
        </w:numPr>
        <w:spacing w:line="360" w:lineRule="auto"/>
        <w:ind w:left="0" w:right="0" w:firstLine="0"/>
        <w:rPr>
          <w:rFonts w:eastAsia="Arial"/>
          <w:color w:val="000000" w:themeColor="text1"/>
          <w:sz w:val="24"/>
          <w:lang w:val="es-MX"/>
        </w:rPr>
      </w:pPr>
      <w:r w:rsidRPr="001C0AD9">
        <w:rPr>
          <w:rFonts w:eastAsia="Arial"/>
          <w:color w:val="000000" w:themeColor="text1"/>
          <w:sz w:val="24"/>
          <w:lang w:val="es-MX"/>
        </w:rPr>
        <w:t>Las observaciones resarcitorias y el seguimiento de los mismos hasta su total conclusión.</w:t>
      </w:r>
    </w:p>
    <w:p w14:paraId="40192524" w14:textId="77777777" w:rsidR="00BB1A7E" w:rsidRPr="001C0AD9" w:rsidRDefault="00BB1A7E" w:rsidP="00A23858">
      <w:pPr>
        <w:pStyle w:val="Fundamentos"/>
        <w:numPr>
          <w:ilvl w:val="0"/>
          <w:numId w:val="30"/>
        </w:numPr>
        <w:spacing w:line="360" w:lineRule="auto"/>
        <w:ind w:left="0" w:right="0" w:firstLine="0"/>
        <w:rPr>
          <w:rFonts w:eastAsia="Arial"/>
          <w:color w:val="000000" w:themeColor="text1"/>
          <w:sz w:val="24"/>
          <w:lang w:val="es-MX"/>
        </w:rPr>
      </w:pPr>
      <w:r w:rsidRPr="001C0AD9">
        <w:rPr>
          <w:rFonts w:eastAsia="Arial"/>
          <w:color w:val="000000" w:themeColor="text1"/>
          <w:sz w:val="24"/>
          <w:lang w:val="es-MX"/>
        </w:rPr>
        <w:t>El comportamiento de la entidad fiscalizable respecto a las observaciones realizadas.</w:t>
      </w:r>
    </w:p>
    <w:p w14:paraId="1FB29A57" w14:textId="77777777" w:rsidR="00BB1A7E" w:rsidRPr="001C0AD9" w:rsidRDefault="00BB1A7E" w:rsidP="00A23858">
      <w:pPr>
        <w:pStyle w:val="Fundamentos"/>
        <w:numPr>
          <w:ilvl w:val="0"/>
          <w:numId w:val="30"/>
        </w:numPr>
        <w:spacing w:line="360" w:lineRule="auto"/>
        <w:ind w:left="0" w:right="0" w:firstLine="0"/>
        <w:rPr>
          <w:rFonts w:eastAsia="Arial"/>
          <w:color w:val="000000" w:themeColor="text1"/>
          <w:sz w:val="24"/>
          <w:lang w:val="es-MX"/>
        </w:rPr>
      </w:pPr>
      <w:r w:rsidRPr="001C0AD9">
        <w:rPr>
          <w:rFonts w:eastAsia="Arial"/>
          <w:color w:val="000000" w:themeColor="text1"/>
          <w:sz w:val="24"/>
          <w:lang w:val="es-MX"/>
        </w:rPr>
        <w:t>El cumplimiento de los programas auditados mediante auditoria del desempeño.</w:t>
      </w:r>
    </w:p>
    <w:p w14:paraId="21D7C14A" w14:textId="77777777" w:rsidR="00BB1A7E" w:rsidRPr="001C0AD9" w:rsidRDefault="00BB1A7E" w:rsidP="00DF7928">
      <w:pPr>
        <w:pStyle w:val="Fundamentos"/>
        <w:spacing w:line="360" w:lineRule="auto"/>
        <w:ind w:left="0" w:right="0"/>
        <w:rPr>
          <w:rFonts w:cs="Arial"/>
          <w:b/>
          <w:bCs/>
          <w:color w:val="000000" w:themeColor="text1"/>
          <w:sz w:val="24"/>
          <w:lang w:val="es-MX"/>
        </w:rPr>
      </w:pPr>
    </w:p>
    <w:p w14:paraId="6D1F0ADF" w14:textId="77777777" w:rsidR="00BB1A7E" w:rsidRPr="001C0AD9" w:rsidRDefault="00BB1A7E" w:rsidP="00DF7928">
      <w:pPr>
        <w:pStyle w:val="Fundamentos"/>
        <w:spacing w:line="360" w:lineRule="auto"/>
        <w:ind w:left="0" w:right="0"/>
        <w:rPr>
          <w:rFonts w:cs="Arial"/>
          <w:color w:val="000000" w:themeColor="text1"/>
          <w:sz w:val="24"/>
          <w:lang w:val="es-MX"/>
        </w:rPr>
      </w:pPr>
      <w:r w:rsidRPr="001C0AD9">
        <w:rPr>
          <w:rFonts w:cs="Arial"/>
          <w:b/>
          <w:bCs/>
          <w:color w:val="000000" w:themeColor="text1"/>
          <w:sz w:val="24"/>
          <w:lang w:val="es-MX"/>
        </w:rPr>
        <w:t>Artículo 51.-</w:t>
      </w:r>
      <w:r w:rsidRPr="001C0AD9">
        <w:rPr>
          <w:rFonts w:cs="Arial"/>
          <w:color w:val="000000" w:themeColor="text1"/>
          <w:sz w:val="24"/>
          <w:lang w:val="es-MX"/>
        </w:rPr>
        <w:t xml:space="preserve"> </w:t>
      </w:r>
      <w:r w:rsidRPr="001C0AD9">
        <w:rPr>
          <w:rFonts w:cs="Arial"/>
          <w:b/>
          <w:bCs/>
          <w:color w:val="000000" w:themeColor="text1"/>
          <w:sz w:val="24"/>
          <w:u w:val="single"/>
          <w:lang w:val="es-MX"/>
        </w:rPr>
        <w:t>El informe a que se refiere el artículo anterior, deberá contener como mínimo lo siguiente</w:t>
      </w:r>
      <w:r w:rsidRPr="001C0AD9">
        <w:rPr>
          <w:rFonts w:cs="Arial"/>
          <w:color w:val="000000" w:themeColor="text1"/>
          <w:sz w:val="24"/>
          <w:lang w:val="es-MX"/>
        </w:rPr>
        <w:t>:</w:t>
      </w:r>
    </w:p>
    <w:p w14:paraId="5AF108CB" w14:textId="77777777" w:rsidR="00BB1A7E" w:rsidRPr="001C0AD9" w:rsidRDefault="00BB1A7E" w:rsidP="00DF7928">
      <w:pPr>
        <w:pStyle w:val="Fundamentos"/>
        <w:spacing w:line="360" w:lineRule="auto"/>
        <w:ind w:left="0" w:right="0"/>
        <w:rPr>
          <w:rFonts w:cs="Arial"/>
          <w:color w:val="000000" w:themeColor="text1"/>
          <w:sz w:val="24"/>
          <w:lang w:val="es-MX"/>
        </w:rPr>
      </w:pPr>
    </w:p>
    <w:p w14:paraId="6BEB3048"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El resultado de la revisión de la respectiva cuenta pública;</w:t>
      </w:r>
    </w:p>
    <w:p w14:paraId="38A82082"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lastRenderedPageBreak/>
        <w:t>El apartado correspondiente a la fiscalización y verificación del cumplimiento de los programas, respecto de la consecución de sus objetivos y metas, así como de la satisfacción de las necesidades correspondientes;</w:t>
      </w:r>
    </w:p>
    <w:p w14:paraId="24F3F9DD"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Los resultados de la gestión financiera;</w:t>
      </w:r>
    </w:p>
    <w:p w14:paraId="3EC55692"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La comprobación de que las entidades fiscalizadas, se ajustaron a lo dispuesto en las respectivas leyes de ingresos, presupuestos de egresos y en las demás normas aplicables en la materia;</w:t>
      </w:r>
    </w:p>
    <w:p w14:paraId="3396FD3A"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En su caso, el análisis de las desviaciones presupuestales;</w:t>
      </w:r>
    </w:p>
    <w:p w14:paraId="427D59E9"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 xml:space="preserve">Los </w:t>
      </w:r>
      <w:r w:rsidRPr="001C0AD9">
        <w:rPr>
          <w:rFonts w:cs="Arial"/>
          <w:color w:val="000000" w:themeColor="text1"/>
          <w:sz w:val="24"/>
          <w:shd w:val="clear" w:color="auto" w:fill="FFFFFF"/>
          <w:lang w:val="es-MX"/>
        </w:rPr>
        <w:t>comentarios</w:t>
      </w:r>
      <w:r w:rsidRPr="001C0AD9">
        <w:rPr>
          <w:rFonts w:cs="Arial"/>
          <w:color w:val="000000" w:themeColor="text1"/>
          <w:sz w:val="24"/>
          <w:lang w:val="es-MX"/>
        </w:rPr>
        <w:t xml:space="preserve"> de los auditados;</w:t>
      </w:r>
    </w:p>
    <w:p w14:paraId="5DEF1031"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color w:val="000000" w:themeColor="text1"/>
          <w:sz w:val="24"/>
          <w:lang w:val="es-MX"/>
        </w:rPr>
        <w:t>Las irregularidades que se detecten en el uso y manejo de los recursos; y</w:t>
      </w:r>
    </w:p>
    <w:p w14:paraId="374D0BC2" w14:textId="77777777" w:rsidR="00BB1A7E" w:rsidRPr="001C0AD9" w:rsidRDefault="00BB1A7E" w:rsidP="00A23858">
      <w:pPr>
        <w:pStyle w:val="Fundamentos"/>
        <w:numPr>
          <w:ilvl w:val="0"/>
          <w:numId w:val="29"/>
        </w:numPr>
        <w:spacing w:line="360" w:lineRule="auto"/>
        <w:ind w:left="0" w:right="0" w:firstLine="0"/>
        <w:rPr>
          <w:rFonts w:cs="Arial"/>
          <w:b/>
          <w:bCs/>
          <w:color w:val="000000" w:themeColor="text1"/>
          <w:sz w:val="24"/>
          <w:lang w:val="es-MX"/>
        </w:rPr>
      </w:pPr>
      <w:r w:rsidRPr="001C0AD9">
        <w:rPr>
          <w:rFonts w:cs="Arial"/>
          <w:b/>
          <w:bCs/>
          <w:color w:val="000000" w:themeColor="text1"/>
          <w:sz w:val="24"/>
          <w:u w:val="single"/>
          <w:lang w:val="es-MX"/>
        </w:rPr>
        <w:t>Las observaciones y recomendaciones que se deriven de la revisión</w:t>
      </w:r>
      <w:r w:rsidRPr="001C0AD9">
        <w:rPr>
          <w:rFonts w:cs="Arial"/>
          <w:color w:val="000000" w:themeColor="text1"/>
          <w:sz w:val="24"/>
          <w:lang w:val="es-MX"/>
        </w:rPr>
        <w:t>.</w:t>
      </w:r>
    </w:p>
    <w:p w14:paraId="21C8D0CB" w14:textId="77777777" w:rsidR="00BB1A7E" w:rsidRPr="001C0AD9" w:rsidRDefault="00BB1A7E" w:rsidP="00DF7928">
      <w:pPr>
        <w:pStyle w:val="Fundamentos"/>
        <w:spacing w:line="360" w:lineRule="auto"/>
        <w:ind w:left="0" w:right="0"/>
        <w:rPr>
          <w:rFonts w:cs="Arial"/>
          <w:color w:val="000000" w:themeColor="text1"/>
          <w:sz w:val="24"/>
          <w:lang w:val="es-MX"/>
        </w:rPr>
      </w:pPr>
    </w:p>
    <w:p w14:paraId="2FFEC1E1" w14:textId="77777777" w:rsidR="00BB1A7E" w:rsidRPr="001C0AD9" w:rsidRDefault="00BB1A7E" w:rsidP="00DF7928">
      <w:pPr>
        <w:pStyle w:val="Fundamentos"/>
        <w:spacing w:line="360" w:lineRule="auto"/>
        <w:ind w:left="0" w:right="0"/>
        <w:rPr>
          <w:rFonts w:eastAsia="Arial"/>
          <w:color w:val="000000" w:themeColor="text1"/>
          <w:sz w:val="24"/>
        </w:rPr>
      </w:pPr>
      <w:r w:rsidRPr="001C0AD9">
        <w:rPr>
          <w:rFonts w:eastAsia="Arial"/>
          <w:color w:val="000000" w:themeColor="text1"/>
          <w:sz w:val="24"/>
        </w:rPr>
        <w:t>Para el caso de las revisiones contemporáneas, el Órgano Superior deberá informar a la Comisión sobre los resultados obtenidos de las mismas, en un plazo no mayor a noventa días hábiles, contados a partir del día hábil siguiente a aquél en que reciba la solicitud.</w:t>
      </w:r>
    </w:p>
    <w:p w14:paraId="5B60AF2D" w14:textId="77777777" w:rsidR="00BB1A7E" w:rsidRPr="001C0AD9" w:rsidRDefault="00BB1A7E" w:rsidP="00DF7928">
      <w:pPr>
        <w:pStyle w:val="Fundamentos"/>
        <w:spacing w:line="360" w:lineRule="auto"/>
        <w:ind w:left="0" w:right="0"/>
        <w:rPr>
          <w:rFonts w:cs="Arial"/>
          <w:color w:val="000000" w:themeColor="text1"/>
          <w:sz w:val="24"/>
          <w:shd w:val="clear" w:color="auto" w:fill="FFFFFF"/>
          <w:lang w:val="es-MX"/>
        </w:rPr>
      </w:pPr>
    </w:p>
    <w:p w14:paraId="272D3468" w14:textId="77777777" w:rsidR="00BB1A7E" w:rsidRPr="001C0AD9" w:rsidRDefault="00BB1A7E" w:rsidP="00DF7928">
      <w:pPr>
        <w:pStyle w:val="Fundamentos"/>
        <w:spacing w:line="360" w:lineRule="auto"/>
        <w:ind w:left="0" w:right="0"/>
        <w:rPr>
          <w:rFonts w:cs="Arial"/>
          <w:color w:val="000000" w:themeColor="text1"/>
          <w:sz w:val="24"/>
          <w:lang w:val="es-MX"/>
        </w:rPr>
      </w:pPr>
      <w:r w:rsidRPr="001C0AD9">
        <w:rPr>
          <w:rFonts w:cs="Arial"/>
          <w:color w:val="000000" w:themeColor="text1"/>
          <w:sz w:val="24"/>
          <w:shd w:val="clear" w:color="auto" w:fill="FFFFFF"/>
          <w:lang w:val="es-MX"/>
        </w:rPr>
        <w:t>El informe de resultados deberá elaborarse considerando los principios de contabilidad gubernamental y las disposiciones legales aplicables.</w:t>
      </w:r>
    </w:p>
    <w:p w14:paraId="0C403235" w14:textId="77777777" w:rsidR="00BB1A7E" w:rsidRPr="001C0AD9" w:rsidRDefault="00BB1A7E" w:rsidP="00DF7928">
      <w:pPr>
        <w:pStyle w:val="Fundamentos"/>
        <w:spacing w:line="360" w:lineRule="auto"/>
        <w:ind w:left="0" w:right="0"/>
        <w:rPr>
          <w:rFonts w:cs="Arial"/>
          <w:b/>
          <w:bCs/>
          <w:color w:val="000000" w:themeColor="text1"/>
          <w:sz w:val="24"/>
          <w:lang w:val="es-MX"/>
        </w:rPr>
      </w:pPr>
    </w:p>
    <w:p w14:paraId="15D2C61E" w14:textId="77777777" w:rsidR="00BB1A7E" w:rsidRPr="001C0AD9" w:rsidRDefault="00BB1A7E" w:rsidP="00DF7928">
      <w:pPr>
        <w:pStyle w:val="Fundamentos"/>
        <w:spacing w:line="360" w:lineRule="auto"/>
        <w:ind w:left="0" w:right="0"/>
        <w:rPr>
          <w:rFonts w:cs="Arial"/>
          <w:color w:val="000000" w:themeColor="text1"/>
          <w:sz w:val="24"/>
        </w:rPr>
      </w:pPr>
      <w:r w:rsidRPr="001C0AD9">
        <w:rPr>
          <w:rFonts w:cs="Arial"/>
          <w:b/>
          <w:bCs/>
          <w:color w:val="000000" w:themeColor="text1"/>
          <w:sz w:val="24"/>
        </w:rPr>
        <w:t xml:space="preserve">Artículo 53.- </w:t>
      </w:r>
      <w:r w:rsidRPr="001C0AD9">
        <w:rPr>
          <w:rFonts w:cs="Arial"/>
          <w:b/>
          <w:bCs/>
          <w:color w:val="000000" w:themeColor="text1"/>
          <w:sz w:val="24"/>
          <w:u w:val="single"/>
        </w:rPr>
        <w:t>Si del ejercicio de las atribuciones de fiscalización del Órgano Superior, se detecta alguna probable irregularidad procederá a emitir las observaciones siguientes</w:t>
      </w:r>
      <w:r w:rsidRPr="001C0AD9">
        <w:rPr>
          <w:rFonts w:cs="Arial"/>
          <w:color w:val="000000" w:themeColor="text1"/>
          <w:sz w:val="24"/>
        </w:rPr>
        <w:t>:</w:t>
      </w:r>
    </w:p>
    <w:p w14:paraId="52071C7A" w14:textId="77777777" w:rsidR="00BB1A7E" w:rsidRPr="001C0AD9" w:rsidRDefault="00BB1A7E" w:rsidP="00DF7928">
      <w:pPr>
        <w:pStyle w:val="Fundamentos"/>
        <w:spacing w:line="360" w:lineRule="auto"/>
        <w:ind w:left="0" w:right="0"/>
        <w:rPr>
          <w:rFonts w:cs="Arial"/>
          <w:b/>
          <w:bCs/>
          <w:color w:val="000000" w:themeColor="text1"/>
          <w:sz w:val="24"/>
        </w:rPr>
      </w:pPr>
    </w:p>
    <w:p w14:paraId="75DC5B45" w14:textId="77777777" w:rsidR="00BB1A7E" w:rsidRPr="001C0AD9" w:rsidRDefault="00BB1A7E" w:rsidP="00DF7928">
      <w:pPr>
        <w:pStyle w:val="Fundamentos"/>
        <w:spacing w:line="360" w:lineRule="auto"/>
        <w:ind w:left="0" w:right="0"/>
        <w:rPr>
          <w:rFonts w:cs="Arial"/>
          <w:color w:val="000000" w:themeColor="text1"/>
          <w:sz w:val="24"/>
        </w:rPr>
      </w:pPr>
      <w:r w:rsidRPr="001C0AD9">
        <w:rPr>
          <w:rFonts w:cs="Arial"/>
          <w:b/>
          <w:bCs/>
          <w:color w:val="000000" w:themeColor="text1"/>
          <w:sz w:val="24"/>
        </w:rPr>
        <w:t>I.</w:t>
      </w:r>
      <w:r w:rsidRPr="001C0AD9">
        <w:rPr>
          <w:rFonts w:cs="Arial"/>
          <w:color w:val="000000" w:themeColor="text1"/>
          <w:sz w:val="24"/>
        </w:rPr>
        <w:t xml:space="preserve"> </w:t>
      </w:r>
      <w:r w:rsidRPr="001C0AD9">
        <w:rPr>
          <w:rFonts w:cs="Arial"/>
          <w:b/>
          <w:bCs/>
          <w:color w:val="000000" w:themeColor="text1"/>
          <w:sz w:val="24"/>
          <w:u w:val="single"/>
        </w:rPr>
        <w:t>Acciones y previsiones</w:t>
      </w:r>
      <w:r w:rsidRPr="001C0AD9">
        <w:rPr>
          <w:rFonts w:cs="Arial"/>
          <w:color w:val="000000" w:themeColor="text1"/>
          <w:sz w:val="24"/>
        </w:rPr>
        <w:t xml:space="preserve">, incluidas solicitudes de aclaración, pliegos de observaciones, informes de presunta responsabilidad administrativa, promociones del ejercicio de la facultad de comprobación fiscal, </w:t>
      </w:r>
      <w:r w:rsidRPr="001C0AD9">
        <w:rPr>
          <w:rFonts w:cs="Arial"/>
          <w:color w:val="000000" w:themeColor="text1"/>
          <w:sz w:val="24"/>
        </w:rPr>
        <w:lastRenderedPageBreak/>
        <w:t xml:space="preserve">promociones de responsabilidad administrativa sancionatoria, denuncias de hechos ante la Fiscalía General de Justicia del Estado de México y denuncias de juicio político; atendiendo a los principios del debido proceso, así como a la Ley General de Responsabilidades Administrativas y la Ley de Responsabilidades Administrativas del Estado de México; y </w:t>
      </w:r>
    </w:p>
    <w:p w14:paraId="21A655F0" w14:textId="77777777" w:rsidR="00BB1A7E" w:rsidRPr="001C0AD9" w:rsidRDefault="00BB1A7E" w:rsidP="00DF7928">
      <w:pPr>
        <w:pStyle w:val="Fundamentos"/>
        <w:spacing w:line="360" w:lineRule="auto"/>
        <w:ind w:left="0" w:right="0"/>
        <w:rPr>
          <w:rFonts w:cs="Arial"/>
          <w:color w:val="000000" w:themeColor="text1"/>
          <w:sz w:val="24"/>
        </w:rPr>
      </w:pPr>
    </w:p>
    <w:p w14:paraId="053B9303" w14:textId="77777777" w:rsidR="00BB1A7E" w:rsidRPr="001C0AD9" w:rsidRDefault="00BB1A7E" w:rsidP="00DF7928">
      <w:pPr>
        <w:pStyle w:val="Fundamentos"/>
        <w:spacing w:line="360" w:lineRule="auto"/>
        <w:ind w:left="0" w:right="0"/>
        <w:rPr>
          <w:rFonts w:cs="Arial"/>
          <w:color w:val="000000" w:themeColor="text1"/>
          <w:sz w:val="24"/>
        </w:rPr>
      </w:pPr>
      <w:r w:rsidRPr="001C0AD9">
        <w:rPr>
          <w:rFonts w:cs="Arial"/>
          <w:b/>
          <w:bCs/>
          <w:color w:val="000000" w:themeColor="text1"/>
          <w:sz w:val="24"/>
        </w:rPr>
        <w:t>II.</w:t>
      </w:r>
      <w:r w:rsidRPr="001C0AD9">
        <w:rPr>
          <w:rFonts w:cs="Arial"/>
          <w:color w:val="000000" w:themeColor="text1"/>
          <w:sz w:val="24"/>
        </w:rPr>
        <w:t xml:space="preserve"> </w:t>
      </w:r>
      <w:r w:rsidRPr="001C0AD9">
        <w:rPr>
          <w:rFonts w:cs="Arial"/>
          <w:b/>
          <w:bCs/>
          <w:color w:val="000000" w:themeColor="text1"/>
          <w:sz w:val="24"/>
          <w:u w:val="single"/>
        </w:rPr>
        <w:t>Recomendaciones</w:t>
      </w:r>
      <w:r w:rsidRPr="001C0AD9">
        <w:rPr>
          <w:rFonts w:cs="Arial"/>
          <w:color w:val="000000" w:themeColor="text1"/>
          <w:sz w:val="24"/>
        </w:rPr>
        <w:t xml:space="preserve">. </w:t>
      </w:r>
    </w:p>
    <w:p w14:paraId="59837DC1" w14:textId="77777777" w:rsidR="00BB1A7E" w:rsidRPr="001C0AD9" w:rsidRDefault="00BB1A7E" w:rsidP="00DF7928">
      <w:pPr>
        <w:pStyle w:val="Fundamentos"/>
        <w:spacing w:line="360" w:lineRule="auto"/>
        <w:ind w:left="0" w:right="0"/>
        <w:rPr>
          <w:color w:val="000000" w:themeColor="text1"/>
          <w:sz w:val="24"/>
        </w:rPr>
      </w:pPr>
    </w:p>
    <w:p w14:paraId="247C40A3" w14:textId="77777777" w:rsidR="00BB1A7E" w:rsidRPr="001C0AD9" w:rsidRDefault="00BB1A7E" w:rsidP="00DF7928">
      <w:pPr>
        <w:pStyle w:val="Fundamentos"/>
        <w:spacing w:line="360" w:lineRule="auto"/>
        <w:ind w:left="0" w:right="0"/>
        <w:rPr>
          <w:color w:val="000000" w:themeColor="text1"/>
          <w:sz w:val="24"/>
        </w:rPr>
      </w:pPr>
      <w:r w:rsidRPr="001C0AD9">
        <w:rPr>
          <w:b/>
          <w:bCs/>
          <w:color w:val="000000" w:themeColor="text1"/>
          <w:sz w:val="24"/>
        </w:rPr>
        <w:t>Artículo 53 Bis.-</w:t>
      </w:r>
      <w:r w:rsidRPr="001C0AD9">
        <w:rPr>
          <w:color w:val="000000" w:themeColor="text1"/>
          <w:sz w:val="24"/>
        </w:rPr>
        <w:t xml:space="preserve"> </w:t>
      </w:r>
      <w:r w:rsidRPr="001C0AD9">
        <w:rPr>
          <w:b/>
          <w:bCs/>
          <w:color w:val="000000" w:themeColor="text1"/>
          <w:sz w:val="24"/>
          <w:u w:val="single"/>
        </w:rPr>
        <w:t>El Órgano Superior,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w:t>
      </w:r>
      <w:r w:rsidRPr="001C0AD9">
        <w:rPr>
          <w:color w:val="000000" w:themeColor="text1"/>
          <w:sz w:val="24"/>
        </w:rPr>
        <w:t xml:space="preserve">. </w:t>
      </w:r>
    </w:p>
    <w:p w14:paraId="4DC879CB" w14:textId="77777777" w:rsidR="00BB1A7E" w:rsidRPr="001C0AD9" w:rsidRDefault="00BB1A7E" w:rsidP="00DF7928">
      <w:pPr>
        <w:pStyle w:val="Fundamentos"/>
        <w:spacing w:line="360" w:lineRule="auto"/>
        <w:ind w:left="0" w:right="0"/>
        <w:rPr>
          <w:color w:val="000000" w:themeColor="text1"/>
          <w:sz w:val="24"/>
        </w:rPr>
      </w:pPr>
    </w:p>
    <w:p w14:paraId="1EF52CA7"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 xml:space="preserve">Una vez que el Órgano Superior valore las justificaciones, aclaraciones y demás información a que hace referencia el párrafo anterior, en un plazo máximo de 10 días hábiles posteriores, podrá determinar la procedencia de eliminar, rectificar o ratificar las observaciones preliminares, para efectos de la emisión de los resultados finales. </w:t>
      </w:r>
    </w:p>
    <w:p w14:paraId="3EBEB638" w14:textId="77777777" w:rsidR="00BB1A7E" w:rsidRPr="001C0AD9" w:rsidRDefault="00BB1A7E" w:rsidP="00DF7928">
      <w:pPr>
        <w:pStyle w:val="Fundamentos"/>
        <w:spacing w:line="360" w:lineRule="auto"/>
        <w:ind w:left="0" w:right="0"/>
        <w:rPr>
          <w:color w:val="000000" w:themeColor="text1"/>
          <w:sz w:val="24"/>
        </w:rPr>
      </w:pPr>
    </w:p>
    <w:p w14:paraId="35615AFC"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Posterior a la entrega de los resultados finales, el Órgano Superior contará con treinta días hábiles a efecto de notificar a las entidades fiscalizadas el informe de auditoría.</w:t>
      </w:r>
    </w:p>
    <w:p w14:paraId="72EC4AD0" w14:textId="77777777" w:rsidR="00BB1A7E" w:rsidRPr="001C0AD9" w:rsidRDefault="00BB1A7E" w:rsidP="00DF7928">
      <w:pPr>
        <w:spacing w:line="360" w:lineRule="auto"/>
        <w:jc w:val="both"/>
        <w:rPr>
          <w:rFonts w:ascii="Palatino Linotype" w:hAnsi="Palatino Linotype"/>
          <w:color w:val="000000" w:themeColor="text1"/>
        </w:rPr>
      </w:pPr>
    </w:p>
    <w:p w14:paraId="6DFF0286"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De la interpretación de los artículos en cita, se desprende que una vez realizada la revisión del OSFEM a las entidades fiscalizables, este genera un informe de resultados, que es el documento que contiene el resultado de la fiscalización de las cuentas pública que el OSFEM </w:t>
      </w:r>
      <w:r w:rsidRPr="001C0AD9">
        <w:rPr>
          <w:rFonts w:ascii="Palatino Linotype" w:eastAsia="Palatino Linotype" w:hAnsi="Palatino Linotype" w:cs="Palatino Linotype"/>
          <w:color w:val="000000" w:themeColor="text1"/>
        </w:rPr>
        <w:lastRenderedPageBreak/>
        <w:t xml:space="preserve">presenta a la Legislatura, por medio de la Comisión de vigilancia de la Legislatura del Estado; que dicho informe tiene el carácter de público y en el que deberán estar contenidas entre otros elementos, </w:t>
      </w:r>
      <w:r w:rsidRPr="001C0AD9">
        <w:rPr>
          <w:rFonts w:ascii="Palatino Linotype" w:eastAsia="Palatino Linotype" w:hAnsi="Palatino Linotype" w:cs="Palatino Linotype"/>
          <w:b/>
          <w:color w:val="000000" w:themeColor="text1"/>
        </w:rPr>
        <w:t>las observaciones y recomendaciones que se deriven de la revisión</w:t>
      </w:r>
      <w:r w:rsidRPr="001C0AD9">
        <w:rPr>
          <w:rFonts w:ascii="Palatino Linotype" w:eastAsia="Palatino Linotype" w:hAnsi="Palatino Linotype" w:cs="Palatino Linotype"/>
          <w:color w:val="000000" w:themeColor="text1"/>
        </w:rPr>
        <w:t>; dichas observaciones y recomendaciones son las que se producen cuando se detecta alguna probable irregularidad durante la revisión llevada a cabo en ejercicio de las facultades de fiscalización.</w:t>
      </w:r>
    </w:p>
    <w:p w14:paraId="07337437" w14:textId="77777777" w:rsidR="00DF7928" w:rsidRPr="001C0AD9" w:rsidRDefault="00DF7928" w:rsidP="00DF7928">
      <w:pPr>
        <w:spacing w:line="360" w:lineRule="auto"/>
        <w:contextualSpacing/>
        <w:jc w:val="both"/>
        <w:rPr>
          <w:rFonts w:ascii="Palatino Linotype" w:eastAsia="Palatino Linotype" w:hAnsi="Palatino Linotype" w:cs="Palatino Linotype"/>
          <w:color w:val="000000" w:themeColor="text1"/>
        </w:rPr>
      </w:pPr>
    </w:p>
    <w:p w14:paraId="6B10BD59"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Asimismo, se advierte que el OSFEM, previamente a la presentación del informe de resultados, </w:t>
      </w:r>
      <w:r w:rsidRPr="001C0AD9">
        <w:rPr>
          <w:rFonts w:ascii="Palatino Linotype" w:eastAsia="Palatino Linotype" w:hAnsi="Palatino Linotype" w:cs="Palatino Linotype"/>
          <w:b/>
          <w:color w:val="000000" w:themeColor="text1"/>
        </w:rPr>
        <w:t>hace entrega a las entidades fiscalizables de los resultados preliminares de la fiscalización, para que éstas presenten las justificaciones o aclaraciones correspondiente</w:t>
      </w:r>
      <w:r w:rsidRPr="001C0AD9">
        <w:rPr>
          <w:rFonts w:ascii="Palatino Linotype" w:eastAsia="Palatino Linotype" w:hAnsi="Palatino Linotype" w:cs="Palatino Linotype"/>
          <w:color w:val="000000" w:themeColor="text1"/>
        </w:rPr>
        <w:t>s.</w:t>
      </w:r>
    </w:p>
    <w:p w14:paraId="7C3CE41B"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4707EBD9"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En ese sentido, nuevamente es necesario hacer referencia a lo señalado en el artículo 9 de la multicitada Ley, que a la letra dispone lo siguiente:</w:t>
      </w:r>
    </w:p>
    <w:p w14:paraId="15EFD068" w14:textId="77777777" w:rsidR="00BB1A7E" w:rsidRPr="001C0AD9" w:rsidRDefault="00BB1A7E" w:rsidP="00DF7928">
      <w:pPr>
        <w:pStyle w:val="Fundamentos"/>
        <w:spacing w:line="360" w:lineRule="auto"/>
        <w:ind w:left="0" w:right="0"/>
        <w:rPr>
          <w:color w:val="000000" w:themeColor="text1"/>
          <w:sz w:val="24"/>
          <w:lang w:val="es-MX"/>
        </w:rPr>
      </w:pPr>
      <w:r w:rsidRPr="001C0AD9">
        <w:rPr>
          <w:b/>
          <w:color w:val="000000" w:themeColor="text1"/>
          <w:sz w:val="24"/>
          <w:lang w:val="es-MX"/>
        </w:rPr>
        <w:t>Artículo 9.-</w:t>
      </w:r>
      <w:r w:rsidRPr="001C0AD9">
        <w:rPr>
          <w:color w:val="000000" w:themeColor="text1"/>
          <w:sz w:val="24"/>
          <w:lang w:val="es-MX"/>
        </w:rPr>
        <w:t xml:space="preserve"> </w:t>
      </w:r>
      <w:r w:rsidRPr="001C0AD9">
        <w:rPr>
          <w:b/>
          <w:bCs/>
          <w:color w:val="000000" w:themeColor="text1"/>
          <w:sz w:val="24"/>
          <w:u w:val="single"/>
          <w:lang w:val="es-MX"/>
        </w:rPr>
        <w:t>Los servidores públicos del Órgano Superior deberán observar las disposiciones en materia de transparencia y protección de datos personales, así como guardar reserva de sus actuaciones, documentos y observaciones, hasta que se rindan los informes de resultados</w:t>
      </w:r>
      <w:r w:rsidRPr="001C0AD9">
        <w:rPr>
          <w:color w:val="000000" w:themeColor="text1"/>
          <w:sz w:val="24"/>
          <w:lang w:val="es-MX"/>
        </w:rPr>
        <w:t>. Igual obligación deberán cumplir los profesionistas independientes y auditores externos que contrate el Órgano Superior, con excepción de los requerimientos hechos por autoridades competentes.</w:t>
      </w:r>
    </w:p>
    <w:p w14:paraId="2C1AE0D4" w14:textId="77777777" w:rsidR="00BB1A7E" w:rsidRPr="001C0AD9" w:rsidRDefault="00BB1A7E" w:rsidP="00DF7928">
      <w:pPr>
        <w:pStyle w:val="Fundamentos"/>
        <w:spacing w:line="360" w:lineRule="auto"/>
        <w:ind w:left="0" w:right="0"/>
        <w:rPr>
          <w:rFonts w:cs="Arial"/>
          <w:color w:val="000000" w:themeColor="text1"/>
          <w:sz w:val="24"/>
          <w:lang w:val="es-MX"/>
        </w:rPr>
      </w:pPr>
    </w:p>
    <w:p w14:paraId="1E2FDD97" w14:textId="77777777" w:rsidR="00BB1A7E" w:rsidRPr="001C0AD9" w:rsidRDefault="00BB1A7E" w:rsidP="00DF7928">
      <w:pPr>
        <w:pStyle w:val="Fundamentos"/>
        <w:spacing w:line="360" w:lineRule="auto"/>
        <w:ind w:left="0" w:right="0"/>
        <w:rPr>
          <w:rFonts w:cs="Arial"/>
          <w:color w:val="000000" w:themeColor="text1"/>
          <w:sz w:val="24"/>
          <w:lang w:val="es-MX"/>
        </w:rPr>
      </w:pPr>
      <w:r w:rsidRPr="001C0AD9">
        <w:rPr>
          <w:rFonts w:cs="Arial"/>
          <w:color w:val="000000" w:themeColor="text1"/>
          <w:sz w:val="24"/>
          <w:lang w:val="es-MX"/>
        </w:rPr>
        <w:t>Los servidores públicos, los profesionistas independientes y auditores externos, cuando incumplan la obligación de reserva, serán sancionados en términos de la legislación aplicable.</w:t>
      </w:r>
    </w:p>
    <w:p w14:paraId="2D54A2A7" w14:textId="77777777" w:rsidR="00BB1A7E" w:rsidRPr="001C0AD9" w:rsidRDefault="00BB1A7E" w:rsidP="00DF7928">
      <w:pPr>
        <w:pStyle w:val="Fundamentos"/>
        <w:spacing w:line="360" w:lineRule="auto"/>
        <w:ind w:left="0" w:right="0"/>
        <w:rPr>
          <w:rFonts w:cs="Arial"/>
          <w:color w:val="000000" w:themeColor="text1"/>
          <w:sz w:val="24"/>
          <w:lang w:val="es-MX"/>
        </w:rPr>
      </w:pPr>
    </w:p>
    <w:p w14:paraId="22F0AE5F" w14:textId="77777777" w:rsidR="00BB1A7E" w:rsidRPr="001C0AD9" w:rsidRDefault="00BB1A7E" w:rsidP="00DF7928">
      <w:pPr>
        <w:pStyle w:val="Fundamentos"/>
        <w:spacing w:line="360" w:lineRule="auto"/>
        <w:ind w:left="0" w:right="0"/>
        <w:rPr>
          <w:rFonts w:cs="Arial"/>
          <w:color w:val="000000" w:themeColor="text1"/>
          <w:sz w:val="24"/>
          <w:lang w:val="es-MX"/>
        </w:rPr>
      </w:pPr>
      <w:r w:rsidRPr="001C0AD9">
        <w:rPr>
          <w:rFonts w:cs="Arial"/>
          <w:color w:val="000000" w:themeColor="text1"/>
          <w:sz w:val="24"/>
          <w:lang w:val="es-MX"/>
        </w:rPr>
        <w:t xml:space="preserve">Los servidores públicos cuando incumplan con la obligación de reserva, serán sancionados con la destitución del cargo, independientemente de las responsabilidades administrativas o penales que </w:t>
      </w:r>
      <w:r w:rsidRPr="001C0AD9">
        <w:rPr>
          <w:rFonts w:cs="Arial"/>
          <w:color w:val="000000" w:themeColor="text1"/>
          <w:sz w:val="24"/>
          <w:lang w:val="es-MX"/>
        </w:rPr>
        <w:lastRenderedPageBreak/>
        <w:t>resulten</w:t>
      </w:r>
      <w:r w:rsidRPr="001C0AD9">
        <w:rPr>
          <w:rFonts w:cs="Arial"/>
          <w:b/>
          <w:bCs/>
          <w:color w:val="000000" w:themeColor="text1"/>
          <w:sz w:val="24"/>
          <w:lang w:val="es-MX"/>
        </w:rPr>
        <w:t xml:space="preserve"> </w:t>
      </w:r>
      <w:r w:rsidRPr="001C0AD9">
        <w:rPr>
          <w:rFonts w:cs="Arial"/>
          <w:color w:val="000000" w:themeColor="text1"/>
          <w:sz w:val="24"/>
          <w:lang w:val="es-MX"/>
        </w:rPr>
        <w:t>en términos de las disposiciones aplicables. Los profesionistas independientes y auditores externos, serán responsables de los daños y/o perjuicios que se ocasionen, sin perjuicio de las responsabilidades penales en que incurran.</w:t>
      </w:r>
    </w:p>
    <w:p w14:paraId="065E33DA"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66F7F4A8"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De lo anterior se tiene que las observaciones realizadas por los servidores públicos adscritos al OSFEM no se consideran públicas </w:t>
      </w:r>
      <w:r w:rsidRPr="001C0AD9">
        <w:rPr>
          <w:rFonts w:ascii="Palatino Linotype" w:eastAsia="Palatino Linotype" w:hAnsi="Palatino Linotype" w:cs="Palatino Linotype"/>
          <w:bCs/>
          <w:color w:val="000000" w:themeColor="text1"/>
        </w:rPr>
        <w:t>hasta en tanto no se rindan los informes de resultados</w:t>
      </w:r>
      <w:r w:rsidRPr="001C0AD9">
        <w:rPr>
          <w:rFonts w:ascii="Palatino Linotype" w:eastAsia="Palatino Linotype" w:hAnsi="Palatino Linotype" w:cs="Palatino Linotype"/>
          <w:color w:val="000000" w:themeColor="text1"/>
        </w:rPr>
        <w:t>.</w:t>
      </w:r>
    </w:p>
    <w:p w14:paraId="5171AF4A"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115E970E"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Así, se tiene que el documento que puede colmar lo pretendido por el Recurrente es el informe de resultados que genera el OSFEM una vez realizada la revisión de las cuentas públicas, puesto </w:t>
      </w:r>
      <w:r w:rsidRPr="001C0AD9">
        <w:rPr>
          <w:rFonts w:ascii="Palatino Linotype" w:eastAsia="Palatino Linotype" w:hAnsi="Palatino Linotype" w:cs="Palatino Linotype"/>
          <w:b/>
          <w:bCs/>
          <w:color w:val="000000" w:themeColor="text1"/>
        </w:rPr>
        <w:t>que en dicho informe están contenidas las posibles observaciones y recomendaciones detectadas en el ejercicio de la facultad de fiscalización</w:t>
      </w:r>
      <w:r w:rsidRPr="001C0AD9">
        <w:rPr>
          <w:rFonts w:ascii="Palatino Linotype" w:eastAsia="Palatino Linotype" w:hAnsi="Palatino Linotype" w:cs="Palatino Linotype"/>
          <w:color w:val="000000" w:themeColor="text1"/>
        </w:rPr>
        <w:t xml:space="preserve"> y éstas ya no tiene el carácter de reservadas, puesto que ya se rindió el informe de resultados.</w:t>
      </w:r>
    </w:p>
    <w:p w14:paraId="74D5C083"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474745EB" w14:textId="77777777" w:rsidR="00BB1A7E" w:rsidRPr="001C0AD9" w:rsidRDefault="00BB1A7E"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En ese orden de ideas, no pasa desapercibido a este Instituto que los informes de resultados de auditorías al ejercicio presupuestal son considerados como información de transparencia común a todos los sujetos obligados, conforme está estipulado en el artículo 92 fracción XXVIII de la Ley de Transparencia estatal, como se observa a continuación:</w:t>
      </w:r>
    </w:p>
    <w:p w14:paraId="14522A9B" w14:textId="77777777" w:rsidR="00BB1A7E" w:rsidRPr="001C0AD9" w:rsidRDefault="00BB1A7E" w:rsidP="00DF7928">
      <w:pPr>
        <w:pStyle w:val="Fundamentos"/>
        <w:spacing w:line="360" w:lineRule="auto"/>
        <w:ind w:left="0" w:right="0"/>
        <w:rPr>
          <w:rFonts w:eastAsia="Times New Roman" w:cs="Times New Roman"/>
          <w:color w:val="000000" w:themeColor="text1"/>
          <w:sz w:val="24"/>
          <w:lang w:val="es-MX"/>
        </w:rPr>
      </w:pPr>
      <w:r w:rsidRPr="001C0AD9">
        <w:rPr>
          <w:b/>
          <w:color w:val="000000" w:themeColor="text1"/>
          <w:sz w:val="24"/>
          <w:lang w:val="es-MX"/>
        </w:rPr>
        <w:t xml:space="preserve">Artículo 92. </w:t>
      </w:r>
      <w:r w:rsidRPr="001C0AD9">
        <w:rPr>
          <w:color w:val="000000" w:themeColor="text1"/>
          <w:sz w:val="24"/>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1C0AD9">
        <w:rPr>
          <w:color w:val="000000" w:themeColor="text1"/>
          <w:spacing w:val="-3"/>
          <w:sz w:val="24"/>
          <w:lang w:val="es-MX"/>
        </w:rPr>
        <w:t xml:space="preserve"> </w:t>
      </w:r>
      <w:r w:rsidRPr="001C0AD9">
        <w:rPr>
          <w:color w:val="000000" w:themeColor="text1"/>
          <w:sz w:val="24"/>
          <w:lang w:val="es-MX"/>
        </w:rPr>
        <w:t>señalan:</w:t>
      </w:r>
    </w:p>
    <w:p w14:paraId="2F3934CE"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w:t>
      </w:r>
    </w:p>
    <w:p w14:paraId="40AB9B07" w14:textId="77777777" w:rsidR="00BB1A7E" w:rsidRPr="001C0AD9" w:rsidRDefault="00BB1A7E" w:rsidP="00DF7928">
      <w:pPr>
        <w:pStyle w:val="Fundamentos"/>
        <w:spacing w:line="360" w:lineRule="auto"/>
        <w:ind w:left="0" w:right="0"/>
        <w:rPr>
          <w:color w:val="000000" w:themeColor="text1"/>
          <w:sz w:val="24"/>
        </w:rPr>
      </w:pPr>
      <w:r w:rsidRPr="001C0AD9">
        <w:rPr>
          <w:b/>
          <w:bCs/>
          <w:color w:val="000000" w:themeColor="text1"/>
          <w:sz w:val="24"/>
        </w:rPr>
        <w:lastRenderedPageBreak/>
        <w:t>XXVIII.</w:t>
      </w:r>
      <w:r w:rsidRPr="001C0AD9">
        <w:rPr>
          <w:color w:val="000000" w:themeColor="text1"/>
          <w:sz w:val="24"/>
        </w:rPr>
        <w:t xml:space="preserve"> </w:t>
      </w:r>
      <w:r w:rsidRPr="001C0AD9">
        <w:rPr>
          <w:b/>
          <w:color w:val="000000" w:themeColor="text1"/>
          <w:sz w:val="24"/>
        </w:rPr>
        <w:t>Los informes de resultados de las auditorías al ejercicio presupuestal de cada sujeto obligado que se realicen y, en su caso, las aclaraciones que correspondan</w:t>
      </w:r>
      <w:r w:rsidRPr="001C0AD9">
        <w:rPr>
          <w:color w:val="000000" w:themeColor="text1"/>
          <w:sz w:val="24"/>
        </w:rPr>
        <w:t>;</w:t>
      </w:r>
    </w:p>
    <w:p w14:paraId="12672D5E" w14:textId="77777777" w:rsidR="00BB1A7E" w:rsidRPr="001C0AD9" w:rsidRDefault="00BB1A7E" w:rsidP="00DF7928">
      <w:pPr>
        <w:pStyle w:val="Fundamentos"/>
        <w:spacing w:line="360" w:lineRule="auto"/>
        <w:ind w:left="0" w:right="0"/>
        <w:rPr>
          <w:color w:val="000000" w:themeColor="text1"/>
          <w:sz w:val="24"/>
        </w:rPr>
      </w:pPr>
      <w:r w:rsidRPr="001C0AD9">
        <w:rPr>
          <w:color w:val="000000" w:themeColor="text1"/>
          <w:sz w:val="24"/>
        </w:rPr>
        <w:t>(…)</w:t>
      </w:r>
    </w:p>
    <w:p w14:paraId="1B44301D" w14:textId="77777777" w:rsidR="00D72134" w:rsidRPr="001C0AD9" w:rsidRDefault="00D72134" w:rsidP="00DF7928">
      <w:pPr>
        <w:spacing w:line="360" w:lineRule="auto"/>
        <w:rPr>
          <w:rFonts w:ascii="Palatino Linotype" w:hAnsi="Palatino Linotype"/>
          <w:color w:val="000000" w:themeColor="text1"/>
          <w:lang w:val="es-ES_tradnl"/>
        </w:rPr>
      </w:pPr>
      <w:r w:rsidRPr="001C0AD9">
        <w:rPr>
          <w:rFonts w:ascii="Palatino Linotype" w:hAnsi="Palatino Linotype"/>
          <w:color w:val="000000" w:themeColor="text1"/>
          <w:lang w:val="es-ES_tradnl"/>
        </w:rPr>
        <w:t>Énfasis añadido</w:t>
      </w:r>
    </w:p>
    <w:p w14:paraId="21F68E85" w14:textId="77777777" w:rsidR="00BB1A7E" w:rsidRPr="001C0AD9" w:rsidRDefault="00BB1A7E" w:rsidP="00DF7928">
      <w:pPr>
        <w:spacing w:line="360" w:lineRule="auto"/>
        <w:contextualSpacing/>
        <w:jc w:val="both"/>
        <w:rPr>
          <w:rFonts w:ascii="Palatino Linotype" w:eastAsia="Palatino Linotype" w:hAnsi="Palatino Linotype" w:cs="Palatino Linotype"/>
          <w:color w:val="000000" w:themeColor="text1"/>
        </w:rPr>
      </w:pPr>
    </w:p>
    <w:p w14:paraId="0AC650D2" w14:textId="77777777" w:rsidR="00D41B29" w:rsidRPr="001C0AD9" w:rsidRDefault="00D41B29"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Dichas auditorias corresponden a aquellas que realicen al Ayuntamiento, ya sea de manera interna o externa, entendiendo a la auditoría interna aquella que la unidad administrativa competente dentro de la estructura municipal, emprende para evaluar el sistema de control interno, la gestión de los recursos y el cumplimiento de la normatividad por parte del Ayuntamiento a efecto de mejorar la eficiencia operativa y prevenir irregularidades o malversación de fondos.</w:t>
      </w:r>
    </w:p>
    <w:p w14:paraId="75174D38" w14:textId="77777777" w:rsidR="00D41B29" w:rsidRPr="001C0AD9" w:rsidRDefault="00D41B29" w:rsidP="00DF7928">
      <w:pPr>
        <w:spacing w:line="360" w:lineRule="auto"/>
        <w:contextualSpacing/>
        <w:jc w:val="both"/>
        <w:rPr>
          <w:rFonts w:ascii="Palatino Linotype" w:eastAsia="Palatino Linotype" w:hAnsi="Palatino Linotype" w:cs="Palatino Linotype"/>
          <w:color w:val="000000" w:themeColor="text1"/>
        </w:rPr>
      </w:pPr>
    </w:p>
    <w:p w14:paraId="19FA61BF" w14:textId="77777777" w:rsidR="00BB1A7E" w:rsidRPr="001C0AD9" w:rsidRDefault="00D41B29" w:rsidP="00DF7928">
      <w:pPr>
        <w:numPr>
          <w:ilvl w:val="0"/>
          <w:numId w:val="2"/>
        </w:numPr>
        <w:spacing w:line="360" w:lineRule="auto"/>
        <w:ind w:left="0" w:firstLine="0"/>
        <w:contextualSpacing/>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Por otro lado las auditorías externas, evalúan los estados financieros y el cumplimiento de la normatividad aplicable al Municipio y, como su nombre lo indica, por parte de un ente externo a las unidades administrativas que integran la estructura orgánica del Ayuntamiento. </w:t>
      </w:r>
      <w:r w:rsidR="00BB1A7E" w:rsidRPr="001C0AD9">
        <w:rPr>
          <w:rFonts w:ascii="Palatino Linotype" w:eastAsia="Palatino Linotype" w:hAnsi="Palatino Linotype" w:cs="Palatino Linotype"/>
          <w:color w:val="000000" w:themeColor="text1"/>
        </w:rPr>
        <w:t xml:space="preserve">Consecuentemente, </w:t>
      </w:r>
      <w:r w:rsidR="006144AB" w:rsidRPr="001C0AD9">
        <w:rPr>
          <w:rFonts w:ascii="Palatino Linotype" w:eastAsia="Palatino Linotype" w:hAnsi="Palatino Linotype" w:cs="Palatino Linotype"/>
          <w:color w:val="000000" w:themeColor="text1"/>
        </w:rPr>
        <w:t xml:space="preserve">resulta </w:t>
      </w:r>
      <w:r w:rsidR="00BB1A7E" w:rsidRPr="001C0AD9">
        <w:rPr>
          <w:rFonts w:ascii="Palatino Linotype" w:eastAsia="Palatino Linotype" w:hAnsi="Palatino Linotype" w:cs="Palatino Linotype"/>
          <w:color w:val="000000" w:themeColor="text1"/>
        </w:rPr>
        <w:t xml:space="preserve">evidente que el </w:t>
      </w:r>
      <w:r w:rsidR="006144AB" w:rsidRPr="001C0AD9">
        <w:rPr>
          <w:rFonts w:ascii="Palatino Linotype" w:eastAsia="Palatino Linotype" w:hAnsi="Palatino Linotype" w:cs="Palatino Linotype"/>
          <w:b/>
          <w:color w:val="000000" w:themeColor="text1"/>
        </w:rPr>
        <w:t>SUJETO OBLIGADO</w:t>
      </w:r>
      <w:r w:rsidR="006144AB" w:rsidRPr="001C0AD9">
        <w:rPr>
          <w:rFonts w:ascii="Palatino Linotype" w:eastAsia="Palatino Linotype" w:hAnsi="Palatino Linotype" w:cs="Palatino Linotype"/>
          <w:color w:val="000000" w:themeColor="text1"/>
        </w:rPr>
        <w:t xml:space="preserve"> </w:t>
      </w:r>
      <w:r w:rsidR="00BB1A7E" w:rsidRPr="001C0AD9">
        <w:rPr>
          <w:rFonts w:ascii="Palatino Linotype" w:eastAsia="Palatino Linotype" w:hAnsi="Palatino Linotype" w:cs="Palatino Linotype"/>
          <w:color w:val="000000" w:themeColor="text1"/>
        </w:rPr>
        <w:t>está constreñido a contar en sus archivos los informes de resultados de las revisiones realizadas por el OSFEM y, de ser el caso, las aclaraciones correspondientes.</w:t>
      </w:r>
    </w:p>
    <w:p w14:paraId="35848E5D" w14:textId="77777777" w:rsidR="006144AB" w:rsidRPr="001C0AD9" w:rsidRDefault="006144AB" w:rsidP="00DF7928">
      <w:pPr>
        <w:spacing w:line="360" w:lineRule="auto"/>
        <w:jc w:val="both"/>
        <w:rPr>
          <w:rFonts w:ascii="Palatino Linotype" w:eastAsia="Palatino Linotype" w:hAnsi="Palatino Linotype" w:cs="Palatino Linotype"/>
          <w:color w:val="000000" w:themeColor="text1"/>
        </w:rPr>
      </w:pPr>
    </w:p>
    <w:p w14:paraId="3956658B" w14:textId="77777777" w:rsidR="00B32A11" w:rsidRPr="001C0AD9" w:rsidRDefault="00B32A11"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Dicho lo anterior, se concluye que</w:t>
      </w:r>
      <w:r w:rsidR="006144AB" w:rsidRPr="001C0AD9">
        <w:rPr>
          <w:rFonts w:ascii="Palatino Linotype" w:eastAsia="Palatino Linotype" w:hAnsi="Palatino Linotype" w:cs="Palatino Linotype"/>
          <w:color w:val="000000" w:themeColor="text1"/>
        </w:rPr>
        <w:t xml:space="preserve"> </w:t>
      </w:r>
      <w:r w:rsidR="006144AB" w:rsidRPr="001C0AD9">
        <w:rPr>
          <w:rFonts w:ascii="Palatino Linotype" w:eastAsia="Palatino Linotype" w:hAnsi="Palatino Linotype" w:cs="Palatino Linotype"/>
          <w:b/>
          <w:color w:val="000000" w:themeColor="text1"/>
        </w:rPr>
        <w:t xml:space="preserve">ciertamente existe la posibilidad que </w:t>
      </w:r>
      <w:r w:rsidR="003D58DA" w:rsidRPr="001C0AD9">
        <w:rPr>
          <w:rFonts w:ascii="Palatino Linotype" w:eastAsia="Palatino Linotype" w:hAnsi="Palatino Linotype" w:cs="Palatino Linotype"/>
          <w:b/>
          <w:color w:val="000000" w:themeColor="text1"/>
        </w:rPr>
        <w:t xml:space="preserve">a la fecha </w:t>
      </w:r>
      <w:r w:rsidR="006144AB" w:rsidRPr="001C0AD9">
        <w:rPr>
          <w:rFonts w:ascii="Palatino Linotype" w:eastAsia="Palatino Linotype" w:hAnsi="Palatino Linotype" w:cs="Palatino Linotype"/>
          <w:b/>
          <w:color w:val="000000" w:themeColor="text1"/>
        </w:rPr>
        <w:t xml:space="preserve">en que se </w:t>
      </w:r>
      <w:r w:rsidRPr="001C0AD9">
        <w:rPr>
          <w:rFonts w:ascii="Palatino Linotype" w:eastAsia="Palatino Linotype" w:hAnsi="Palatino Linotype" w:cs="Palatino Linotype"/>
          <w:b/>
          <w:color w:val="000000" w:themeColor="text1"/>
        </w:rPr>
        <w:t>interpuso la solicitud de información,</w:t>
      </w:r>
      <w:r w:rsidR="006144AB" w:rsidRPr="001C0AD9">
        <w:rPr>
          <w:rFonts w:ascii="Palatino Linotype" w:eastAsia="Palatino Linotype" w:hAnsi="Palatino Linotype" w:cs="Palatino Linotype"/>
          <w:b/>
          <w:color w:val="000000" w:themeColor="text1"/>
        </w:rPr>
        <w:t xml:space="preserve"> </w:t>
      </w:r>
      <w:r w:rsidR="003D58DA" w:rsidRPr="001C0AD9">
        <w:rPr>
          <w:rFonts w:ascii="Palatino Linotype" w:eastAsia="Palatino Linotype" w:hAnsi="Palatino Linotype" w:cs="Palatino Linotype"/>
          <w:b/>
          <w:color w:val="000000" w:themeColor="text1"/>
        </w:rPr>
        <w:t>no se ha</w:t>
      </w:r>
      <w:r w:rsidR="006144AB" w:rsidRPr="001C0AD9">
        <w:rPr>
          <w:rFonts w:ascii="Palatino Linotype" w:eastAsia="Palatino Linotype" w:hAnsi="Palatino Linotype" w:cs="Palatino Linotype"/>
          <w:b/>
          <w:color w:val="000000" w:themeColor="text1"/>
        </w:rPr>
        <w:t>yan</w:t>
      </w:r>
      <w:r w:rsidR="003D58DA" w:rsidRPr="001C0AD9">
        <w:rPr>
          <w:rFonts w:ascii="Palatino Linotype" w:eastAsia="Palatino Linotype" w:hAnsi="Palatino Linotype" w:cs="Palatino Linotype"/>
          <w:b/>
          <w:color w:val="000000" w:themeColor="text1"/>
        </w:rPr>
        <w:t xml:space="preserve"> </w:t>
      </w:r>
      <w:r w:rsidRPr="001C0AD9">
        <w:rPr>
          <w:rFonts w:ascii="Palatino Linotype" w:eastAsia="Palatino Linotype" w:hAnsi="Palatino Linotype" w:cs="Palatino Linotype"/>
          <w:b/>
          <w:color w:val="000000" w:themeColor="text1"/>
        </w:rPr>
        <w:t>recibido</w:t>
      </w:r>
      <w:r w:rsidR="003D58DA" w:rsidRPr="001C0AD9">
        <w:rPr>
          <w:rFonts w:ascii="Palatino Linotype" w:eastAsia="Palatino Linotype" w:hAnsi="Palatino Linotype" w:cs="Palatino Linotype"/>
          <w:b/>
          <w:color w:val="000000" w:themeColor="text1"/>
        </w:rPr>
        <w:t xml:space="preserve"> observaciones</w:t>
      </w:r>
      <w:r w:rsidR="006144AB" w:rsidRPr="001C0AD9">
        <w:rPr>
          <w:rFonts w:ascii="Palatino Linotype" w:eastAsia="Palatino Linotype" w:hAnsi="Palatino Linotype" w:cs="Palatino Linotype"/>
          <w:b/>
          <w:color w:val="000000" w:themeColor="text1"/>
        </w:rPr>
        <w:t xml:space="preserve"> por auditorias</w:t>
      </w:r>
      <w:r w:rsidR="003D58DA" w:rsidRPr="001C0AD9">
        <w:rPr>
          <w:rFonts w:ascii="Palatino Linotype" w:eastAsia="Palatino Linotype" w:hAnsi="Palatino Linotype" w:cs="Palatino Linotype"/>
          <w:color w:val="000000" w:themeColor="text1"/>
        </w:rPr>
        <w:t xml:space="preserve">; </w:t>
      </w:r>
      <w:r w:rsidR="006144AB" w:rsidRPr="001C0AD9">
        <w:rPr>
          <w:rFonts w:ascii="Palatino Linotype" w:eastAsia="Palatino Linotype" w:hAnsi="Palatino Linotype" w:cs="Palatino Linotype"/>
          <w:color w:val="000000" w:themeColor="text1"/>
        </w:rPr>
        <w:t>toda vez</w:t>
      </w:r>
      <w:r w:rsidR="003D58DA" w:rsidRPr="001C0AD9">
        <w:rPr>
          <w:rFonts w:ascii="Palatino Linotype" w:eastAsia="Palatino Linotype" w:hAnsi="Palatino Linotype" w:cs="Palatino Linotype"/>
          <w:color w:val="000000" w:themeColor="text1"/>
        </w:rPr>
        <w:t xml:space="preserve"> que la contestación </w:t>
      </w:r>
      <w:r w:rsidR="005C07F1" w:rsidRPr="001C0AD9">
        <w:rPr>
          <w:rFonts w:ascii="Palatino Linotype" w:eastAsia="Palatino Linotype" w:hAnsi="Palatino Linotype" w:cs="Palatino Linotype"/>
          <w:color w:val="000000" w:themeColor="text1"/>
        </w:rPr>
        <w:t>se determina como</w:t>
      </w:r>
      <w:r w:rsidR="003D58DA" w:rsidRPr="001C0AD9">
        <w:rPr>
          <w:rFonts w:ascii="Palatino Linotype" w:eastAsia="Palatino Linotype" w:hAnsi="Palatino Linotype" w:cs="Palatino Linotype"/>
          <w:color w:val="000000" w:themeColor="text1"/>
        </w:rPr>
        <w:t xml:space="preserve"> extremo temporal del cual se realizó una búsqueda, la fecha en que se emitió el oficio de respuesta, es decir al veintisiete de </w:t>
      </w:r>
      <w:r w:rsidR="003D58DA" w:rsidRPr="001C0AD9">
        <w:rPr>
          <w:rFonts w:ascii="Palatino Linotype" w:eastAsia="Palatino Linotype" w:hAnsi="Palatino Linotype" w:cs="Palatino Linotype"/>
          <w:color w:val="000000" w:themeColor="text1"/>
        </w:rPr>
        <w:lastRenderedPageBreak/>
        <w:t>marzo de dos mil veinticinco</w:t>
      </w:r>
      <w:r w:rsidR="005C07F1" w:rsidRPr="001C0AD9">
        <w:rPr>
          <w:rFonts w:ascii="Palatino Linotype" w:eastAsia="Palatino Linotype" w:hAnsi="Palatino Linotype" w:cs="Palatino Linotype"/>
          <w:color w:val="000000" w:themeColor="text1"/>
        </w:rPr>
        <w:t xml:space="preserve">, lapso temporal que abarca el periodo de búsqueda que debió ser al seis de marzo de dos mil veinticinco, fecha en que se interpuso la solicitud de información. </w:t>
      </w:r>
    </w:p>
    <w:p w14:paraId="42826495" w14:textId="77777777" w:rsidR="00B32A11" w:rsidRPr="001C0AD9" w:rsidRDefault="00B32A11" w:rsidP="00DF7928">
      <w:pPr>
        <w:pStyle w:val="Prrafodelista"/>
        <w:spacing w:line="360" w:lineRule="auto"/>
        <w:ind w:left="0"/>
        <w:rPr>
          <w:rFonts w:ascii="Palatino Linotype" w:eastAsia="Palatino Linotype" w:hAnsi="Palatino Linotype" w:cs="Palatino Linotype"/>
          <w:color w:val="000000" w:themeColor="text1"/>
          <w:sz w:val="24"/>
        </w:rPr>
      </w:pPr>
    </w:p>
    <w:p w14:paraId="1F596EDD" w14:textId="77777777" w:rsidR="0030306D" w:rsidRPr="001C0AD9" w:rsidRDefault="005C07F1"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En ese sentido se colige que el </w:t>
      </w:r>
      <w:r w:rsidR="00205A43" w:rsidRPr="001C0AD9">
        <w:rPr>
          <w:rFonts w:ascii="Palatino Linotype" w:eastAsia="Palatino Linotype" w:hAnsi="Palatino Linotype" w:cs="Palatino Linotype"/>
          <w:color w:val="000000" w:themeColor="text1"/>
        </w:rPr>
        <w:t>extrem</w:t>
      </w:r>
      <w:r w:rsidRPr="001C0AD9">
        <w:rPr>
          <w:rFonts w:ascii="Palatino Linotype" w:eastAsia="Palatino Linotype" w:hAnsi="Palatino Linotype" w:cs="Palatino Linotype"/>
          <w:color w:val="000000" w:themeColor="text1"/>
        </w:rPr>
        <w:t xml:space="preserve">o temporal del cual se requiere lo solicitado de acuerdo a la redacción de la solicitud de información es el correspondiente </w:t>
      </w:r>
      <w:r w:rsidR="00B32A11" w:rsidRPr="001C0AD9">
        <w:rPr>
          <w:rFonts w:ascii="Palatino Linotype" w:eastAsia="Palatino Linotype" w:hAnsi="Palatino Linotype" w:cs="Palatino Linotype"/>
          <w:color w:val="000000" w:themeColor="text1"/>
        </w:rPr>
        <w:t xml:space="preserve">al </w:t>
      </w:r>
      <w:r w:rsidRPr="001C0AD9">
        <w:rPr>
          <w:rFonts w:ascii="Palatino Linotype" w:eastAsia="Palatino Linotype" w:hAnsi="Palatino Linotype" w:cs="Palatino Linotype"/>
          <w:color w:val="000000" w:themeColor="text1"/>
        </w:rPr>
        <w:t>de la actual administración pública municipal, sie</w:t>
      </w:r>
      <w:r w:rsidR="00205A43" w:rsidRPr="001C0AD9">
        <w:rPr>
          <w:rFonts w:ascii="Palatino Linotype" w:eastAsia="Palatino Linotype" w:hAnsi="Palatino Linotype" w:cs="Palatino Linotype"/>
          <w:color w:val="000000" w:themeColor="text1"/>
        </w:rPr>
        <w:t>ndo así procedente definir los límites</w:t>
      </w:r>
      <w:r w:rsidRPr="001C0AD9">
        <w:rPr>
          <w:rFonts w:ascii="Palatino Linotype" w:eastAsia="Palatino Linotype" w:hAnsi="Palatino Linotype" w:cs="Palatino Linotype"/>
          <w:color w:val="000000" w:themeColor="text1"/>
        </w:rPr>
        <w:t xml:space="preserve"> temporales del 1 de enero al 6 de marzo de dos mil veinticinco</w:t>
      </w:r>
      <w:r w:rsidR="00945CBD" w:rsidRPr="001C0AD9">
        <w:rPr>
          <w:rFonts w:ascii="Palatino Linotype" w:eastAsia="Palatino Linotype" w:hAnsi="Palatino Linotype" w:cs="Palatino Linotype"/>
          <w:color w:val="000000" w:themeColor="text1"/>
        </w:rPr>
        <w:t>.</w:t>
      </w:r>
    </w:p>
    <w:p w14:paraId="44FED9BE" w14:textId="77777777" w:rsidR="0030306D" w:rsidRPr="001C0AD9" w:rsidRDefault="0030306D" w:rsidP="00DF7928">
      <w:pPr>
        <w:pStyle w:val="Prrafodelista"/>
        <w:spacing w:line="360" w:lineRule="auto"/>
        <w:ind w:left="0"/>
        <w:jc w:val="both"/>
        <w:rPr>
          <w:rFonts w:ascii="Palatino Linotype" w:eastAsia="Palatino Linotype" w:hAnsi="Palatino Linotype" w:cs="Palatino Linotype"/>
          <w:color w:val="000000" w:themeColor="text1"/>
          <w:sz w:val="24"/>
        </w:rPr>
      </w:pPr>
    </w:p>
    <w:p w14:paraId="7FF43678" w14:textId="77777777" w:rsidR="0030306D" w:rsidRPr="001C0AD9" w:rsidRDefault="0030306D" w:rsidP="00DF7928">
      <w:pPr>
        <w:numPr>
          <w:ilvl w:val="0"/>
          <w:numId w:val="2"/>
        </w:numPr>
        <w:spacing w:line="360" w:lineRule="auto"/>
        <w:ind w:left="0" w:firstLine="0"/>
        <w:jc w:val="both"/>
        <w:rPr>
          <w:rFonts w:ascii="Palatino Linotype" w:hAnsi="Palatino Linotype" w:cs="Arial"/>
          <w:color w:val="000000" w:themeColor="text1"/>
        </w:rPr>
      </w:pPr>
      <w:r w:rsidRPr="001C0AD9">
        <w:rPr>
          <w:rFonts w:ascii="Palatino Linotype" w:eastAsia="Palatino Linotype" w:hAnsi="Palatino Linotype" w:cs="Palatino Linotype"/>
          <w:color w:val="000000" w:themeColor="text1"/>
        </w:rPr>
        <w:t>Dicho lo anterior</w:t>
      </w:r>
      <w:r w:rsidR="00945CBD" w:rsidRPr="001C0AD9">
        <w:rPr>
          <w:rFonts w:ascii="Palatino Linotype" w:eastAsia="Palatino Linotype" w:hAnsi="Palatino Linotype" w:cs="Palatino Linotype"/>
          <w:color w:val="000000" w:themeColor="text1"/>
        </w:rPr>
        <w:t xml:space="preserve">, </w:t>
      </w:r>
      <w:r w:rsidRPr="001C0AD9">
        <w:rPr>
          <w:rFonts w:ascii="Palatino Linotype" w:eastAsia="Palatino Linotype" w:hAnsi="Palatino Linotype" w:cs="Palatino Linotype"/>
          <w:color w:val="000000" w:themeColor="text1"/>
        </w:rPr>
        <w:t xml:space="preserve">precisar que al manifestar el servidor público habilitado la ausencia  de lo solicitado, </w:t>
      </w:r>
      <w:r w:rsidRPr="001C0AD9">
        <w:rPr>
          <w:rFonts w:ascii="Palatino Linotype" w:hAnsi="Palatino Linotype"/>
          <w:color w:val="000000" w:themeColor="text1"/>
        </w:rPr>
        <w:t xml:space="preserve">constituye un hecho negativo; entonces, </w:t>
      </w:r>
      <w:r w:rsidRPr="001C0AD9">
        <w:rPr>
          <w:rFonts w:ascii="Palatino Linotype" w:hAnsi="Palatino Linotype" w:cs="Arial"/>
          <w:color w:val="000000" w:themeColor="text1"/>
        </w:rPr>
        <w:t xml:space="preserve">si se considera el hecho negativo, es obvio que éste no puede fácticamente obrar en los archivos del </w:t>
      </w:r>
      <w:r w:rsidRPr="001C0AD9">
        <w:rPr>
          <w:rFonts w:ascii="Palatino Linotype" w:hAnsi="Palatino Linotype" w:cs="Arial"/>
          <w:b/>
          <w:color w:val="000000" w:themeColor="text1"/>
        </w:rPr>
        <w:t>SUJETO OBLIGADO</w:t>
      </w:r>
      <w:r w:rsidRPr="001C0AD9">
        <w:rPr>
          <w:rFonts w:ascii="Palatino Linotype" w:hAnsi="Palatino Linotype" w:cs="Arial"/>
          <w:color w:val="000000" w:themeColor="text1"/>
        </w:rPr>
        <w:t>, ya que no puede probarse por ser lógica y materialmente imposible.</w:t>
      </w:r>
    </w:p>
    <w:p w14:paraId="56DAA1BD" w14:textId="77777777" w:rsidR="0030306D" w:rsidRPr="001C0AD9" w:rsidRDefault="0030306D" w:rsidP="00DF7928">
      <w:pPr>
        <w:spacing w:line="360" w:lineRule="auto"/>
        <w:contextualSpacing/>
        <w:jc w:val="both"/>
        <w:rPr>
          <w:rFonts w:ascii="Palatino Linotype" w:hAnsi="Palatino Linotype" w:cs="Arial"/>
          <w:color w:val="000000" w:themeColor="text1"/>
        </w:rPr>
      </w:pPr>
    </w:p>
    <w:p w14:paraId="1C7BAB26" w14:textId="77777777" w:rsidR="0030306D" w:rsidRPr="001C0AD9" w:rsidRDefault="0030306D" w:rsidP="00DF7928">
      <w:pPr>
        <w:numPr>
          <w:ilvl w:val="0"/>
          <w:numId w:val="2"/>
        </w:numPr>
        <w:spacing w:line="360" w:lineRule="auto"/>
        <w:ind w:left="0" w:firstLine="0"/>
        <w:jc w:val="both"/>
        <w:rPr>
          <w:rFonts w:ascii="Palatino Linotype" w:hAnsi="Palatino Linotype" w:cs="Arial"/>
          <w:color w:val="000000" w:themeColor="text1"/>
        </w:rPr>
      </w:pPr>
      <w:r w:rsidRPr="001C0AD9">
        <w:rPr>
          <w:rFonts w:ascii="Palatino Linotype" w:hAnsi="Palatino Linotype" w:cs="Arial"/>
          <w:color w:val="000000" w:themeColor="text1"/>
        </w:rPr>
        <w:t xml:space="preserve">Asimismo, </w:t>
      </w:r>
      <w:r w:rsidRPr="001C0AD9">
        <w:rPr>
          <w:rFonts w:ascii="Palatino Linotype" w:eastAsia="Palatino Linotype" w:hAnsi="Palatino Linotype" w:cs="Palatino Linotype"/>
          <w:color w:val="000000" w:themeColor="text1"/>
        </w:rPr>
        <w:t>no</w:t>
      </w:r>
      <w:r w:rsidRPr="001C0AD9">
        <w:rPr>
          <w:rFonts w:ascii="Palatino Linotype" w:hAnsi="Palatino Linotype" w:cs="Arial"/>
          <w:color w:val="000000" w:themeColor="text1"/>
        </w:rPr>
        <w:t xml:space="preserve"> se trata de un caso por el cual la negación del hecho implique la afirmación del </w:t>
      </w:r>
      <w:r w:rsidRPr="001C0AD9">
        <w:rPr>
          <w:rFonts w:ascii="Palatino Linotype" w:eastAsia="Palatino Linotype" w:hAnsi="Palatino Linotype" w:cs="Palatino Linotype"/>
          <w:color w:val="000000" w:themeColor="text1"/>
        </w:rPr>
        <w:t>mismo</w:t>
      </w:r>
      <w:r w:rsidRPr="001C0AD9">
        <w:rPr>
          <w:rFonts w:ascii="Palatino Linotype" w:hAnsi="Palatino Linotype" w:cs="Arial"/>
          <w:color w:val="000000" w:themeColor="text1"/>
        </w:rPr>
        <w:t>, simplemente se está ante una notoria y evidente inexistencia fáctica de la información solicitada.</w:t>
      </w:r>
    </w:p>
    <w:p w14:paraId="4F61A253" w14:textId="77777777" w:rsidR="00B73EF1" w:rsidRPr="001C0AD9" w:rsidRDefault="00B73EF1" w:rsidP="00DF7928">
      <w:pPr>
        <w:pStyle w:val="Prrafodelista"/>
        <w:spacing w:line="360" w:lineRule="auto"/>
        <w:ind w:left="0"/>
        <w:rPr>
          <w:rFonts w:ascii="Palatino Linotype" w:hAnsi="Palatino Linotype" w:cs="Arial"/>
          <w:color w:val="000000" w:themeColor="text1"/>
          <w:sz w:val="24"/>
        </w:rPr>
      </w:pPr>
    </w:p>
    <w:p w14:paraId="6F9D3BF7" w14:textId="77777777" w:rsidR="0030306D" w:rsidRPr="001C0AD9" w:rsidRDefault="0030306D" w:rsidP="00DF7928">
      <w:pPr>
        <w:numPr>
          <w:ilvl w:val="0"/>
          <w:numId w:val="2"/>
        </w:numPr>
        <w:spacing w:line="360" w:lineRule="auto"/>
        <w:ind w:left="0" w:firstLine="0"/>
        <w:jc w:val="both"/>
        <w:rPr>
          <w:rFonts w:ascii="Palatino Linotype" w:hAnsi="Palatino Linotype" w:cs="Arial"/>
          <w:color w:val="000000" w:themeColor="text1"/>
        </w:rPr>
      </w:pPr>
      <w:r w:rsidRPr="001C0AD9">
        <w:rPr>
          <w:rFonts w:ascii="Palatino Linotype" w:hAnsi="Palatino Linotype"/>
          <w:color w:val="000000" w:themeColor="text1"/>
        </w:rPr>
        <w:t xml:space="preserve">Encontrándonos ante un hecho negativo, destacando entonces que el Pleno de este </w:t>
      </w:r>
      <w:r w:rsidRPr="001C0AD9">
        <w:rPr>
          <w:rFonts w:ascii="Palatino Linotype" w:hAnsi="Palatino Linotype" w:cs="Arial"/>
          <w:color w:val="000000" w:themeColor="text1"/>
        </w:rPr>
        <w:t>Organismo</w:t>
      </w:r>
      <w:r w:rsidRPr="001C0AD9">
        <w:rPr>
          <w:rFonts w:ascii="Palatino Linotype" w:hAnsi="Palatino Linotype"/>
          <w:color w:val="000000" w:themeColor="text1"/>
        </w:rPr>
        <w:t xml:space="preserve"> Garante, ha sostenido que ante la presencia de un hecho negativo, resultaría </w:t>
      </w:r>
      <w:r w:rsidRPr="001C0AD9">
        <w:rPr>
          <w:rFonts w:ascii="Palatino Linotype" w:hAnsi="Palatino Linotype" w:cs="Arial"/>
          <w:color w:val="000000" w:themeColor="text1"/>
        </w:rPr>
        <w:t>innecesaria</w:t>
      </w:r>
      <w:r w:rsidRPr="001C0AD9">
        <w:rPr>
          <w:rFonts w:ascii="Palatino Linotype" w:hAnsi="Palatino Linotype"/>
          <w:color w:val="000000" w:themeColor="text1"/>
        </w:rPr>
        <w:t xml:space="preserve"> una declaratoria de inexistencia en términos de los artículos 19, 169 y 170 de la Ley de Transparencia y Acceso a la Información Pública del Estado de México y Municipios, y ante una hecho negativo resulta aplicable la siguiente tesis:</w:t>
      </w:r>
    </w:p>
    <w:p w14:paraId="244EB278" w14:textId="77777777" w:rsidR="0030306D" w:rsidRPr="001C0AD9" w:rsidRDefault="0030306D" w:rsidP="00DF7928">
      <w:pPr>
        <w:spacing w:line="360" w:lineRule="auto"/>
        <w:jc w:val="both"/>
        <w:rPr>
          <w:rFonts w:ascii="Palatino Linotype" w:hAnsi="Palatino Linotype"/>
          <w:b/>
          <w:i/>
          <w:color w:val="000000" w:themeColor="text1"/>
        </w:rPr>
      </w:pPr>
      <w:r w:rsidRPr="001C0AD9">
        <w:rPr>
          <w:rFonts w:ascii="Palatino Linotype" w:hAnsi="Palatino Linotype"/>
          <w:b/>
          <w:i/>
          <w:color w:val="000000" w:themeColor="text1"/>
        </w:rPr>
        <w:lastRenderedPageBreak/>
        <w:t xml:space="preserve">HECHOS NEGATIVOS, NO SON SUSCEPTIBLES DE DEMOSTRACIÓN. </w:t>
      </w:r>
    </w:p>
    <w:p w14:paraId="7A216042" w14:textId="77777777" w:rsidR="0030306D" w:rsidRPr="001C0AD9" w:rsidRDefault="0030306D" w:rsidP="00DF7928">
      <w:pPr>
        <w:spacing w:line="360" w:lineRule="auto"/>
        <w:jc w:val="both"/>
        <w:rPr>
          <w:rFonts w:ascii="Palatino Linotype" w:hAnsi="Palatino Linotype"/>
          <w:i/>
          <w:color w:val="000000" w:themeColor="text1"/>
        </w:rPr>
      </w:pPr>
      <w:r w:rsidRPr="001C0AD9">
        <w:rPr>
          <w:rFonts w:ascii="Palatino Linotype" w:hAnsi="Palatino Linotype"/>
          <w:i/>
          <w:color w:val="000000" w:themeColor="text1"/>
        </w:rPr>
        <w:t>Tratándose de un hecho negativo, el Juez no tiene por que invocar prueba alguna de la que se desprenda, ya que es bien sabido que esta clase de hechos no son susceptibles de demostración.</w:t>
      </w:r>
    </w:p>
    <w:p w14:paraId="6D76CCCB" w14:textId="77777777" w:rsidR="0030306D" w:rsidRPr="001C0AD9" w:rsidRDefault="0030306D" w:rsidP="00DF7928">
      <w:pPr>
        <w:spacing w:line="360" w:lineRule="auto"/>
        <w:jc w:val="both"/>
        <w:rPr>
          <w:rFonts w:ascii="Palatino Linotype" w:hAnsi="Palatino Linotype"/>
          <w:i/>
          <w:color w:val="000000" w:themeColor="text1"/>
        </w:rPr>
      </w:pPr>
      <w:r w:rsidRPr="001C0AD9">
        <w:rPr>
          <w:rFonts w:ascii="Palatino Linotype" w:hAnsi="Palatino Linotype"/>
          <w:i/>
          <w:color w:val="000000" w:themeColor="text1"/>
        </w:rPr>
        <w:t>Amparo en revisión 2022/61. José García Florín (Menor). 9 de octubre de 1961. Cinco votos. Ponente: José Rivera Pérez Campos.”</w:t>
      </w:r>
    </w:p>
    <w:p w14:paraId="019B7BAA" w14:textId="77777777" w:rsidR="0030306D" w:rsidRPr="001C0AD9" w:rsidRDefault="0030306D" w:rsidP="00DF7928">
      <w:pPr>
        <w:spacing w:line="360" w:lineRule="auto"/>
        <w:jc w:val="both"/>
        <w:rPr>
          <w:rFonts w:ascii="Palatino Linotype" w:hAnsi="Palatino Linotype"/>
          <w:i/>
          <w:color w:val="000000" w:themeColor="text1"/>
        </w:rPr>
      </w:pPr>
    </w:p>
    <w:p w14:paraId="44E3DC3C" w14:textId="77777777" w:rsidR="0030306D" w:rsidRPr="001C0AD9" w:rsidRDefault="0030306D"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hAnsi="Palatino Linotype"/>
          <w:color w:val="000000" w:themeColor="text1"/>
        </w:rPr>
        <w:t xml:space="preserve">Además, y de conformidad con lo establecido en el artículo 12 de la </w:t>
      </w:r>
      <w:r w:rsidRPr="001C0AD9">
        <w:rPr>
          <w:rFonts w:ascii="Palatino Linotype" w:hAnsi="Palatino Linotype"/>
          <w:b/>
          <w:color w:val="000000" w:themeColor="text1"/>
        </w:rPr>
        <w:t>Ley de Transparencia y Acceso a la Información Pública del Estado de México y Municipios</w:t>
      </w:r>
      <w:r w:rsidRPr="001C0AD9">
        <w:rPr>
          <w:rFonts w:ascii="Palatino Linotype" w:hAnsi="Palatino Linotype"/>
          <w:color w:val="000000" w:themeColor="text1"/>
        </w:rPr>
        <w:t xml:space="preserve">, anteriormente invocado, el </w:t>
      </w:r>
      <w:r w:rsidRPr="001C0AD9">
        <w:rPr>
          <w:rFonts w:ascii="Palatino Linotype" w:hAnsi="Palatino Linotype"/>
          <w:b/>
          <w:color w:val="000000" w:themeColor="text1"/>
        </w:rPr>
        <w:t>SUJETO OBLIGADO</w:t>
      </w:r>
      <w:r w:rsidRPr="001C0AD9">
        <w:rPr>
          <w:rFonts w:ascii="Palatino Linotype" w:hAnsi="Palatino Linotype"/>
          <w:color w:val="000000" w:themeColor="text1"/>
        </w:rPr>
        <w:t xml:space="preserve"> únicamente proporcionará la información que obra en sus archivos, lo que a</w:t>
      </w:r>
      <w:r w:rsidRPr="001C0AD9">
        <w:rPr>
          <w:rFonts w:ascii="Palatino Linotype" w:hAnsi="Palatino Linotype"/>
          <w:i/>
          <w:color w:val="000000" w:themeColor="text1"/>
        </w:rPr>
        <w:t xml:space="preserve"> contrario sensu</w:t>
      </w:r>
      <w:r w:rsidRPr="001C0AD9">
        <w:rPr>
          <w:rFonts w:ascii="Palatino Linotype" w:hAnsi="Palatino Linotype"/>
          <w:color w:val="000000" w:themeColor="text1"/>
        </w:rPr>
        <w:t xml:space="preserve"> significa que no se está obligado a proporcionar lo que no obre en sus archivos. </w:t>
      </w:r>
    </w:p>
    <w:p w14:paraId="7484BB78" w14:textId="77777777" w:rsidR="0030306D" w:rsidRPr="001C0AD9" w:rsidRDefault="0030306D" w:rsidP="00DF7928">
      <w:pPr>
        <w:spacing w:line="360" w:lineRule="auto"/>
        <w:jc w:val="both"/>
        <w:rPr>
          <w:rFonts w:ascii="Palatino Linotype" w:hAnsi="Palatino Linotype"/>
          <w:color w:val="000000" w:themeColor="text1"/>
        </w:rPr>
      </w:pPr>
    </w:p>
    <w:p w14:paraId="2318CF73" w14:textId="77777777" w:rsidR="0030306D" w:rsidRPr="001C0AD9" w:rsidRDefault="0030306D" w:rsidP="00DF7928">
      <w:pPr>
        <w:numPr>
          <w:ilvl w:val="0"/>
          <w:numId w:val="2"/>
        </w:numPr>
        <w:spacing w:line="360" w:lineRule="auto"/>
        <w:ind w:left="0" w:firstLine="0"/>
        <w:jc w:val="both"/>
        <w:rPr>
          <w:rFonts w:ascii="Palatino Linotype" w:hAnsi="Palatino Linotype"/>
          <w:color w:val="000000" w:themeColor="text1"/>
        </w:rPr>
      </w:pPr>
      <w:r w:rsidRPr="001C0AD9">
        <w:rPr>
          <w:rFonts w:ascii="Palatino Linotype" w:eastAsia="Palatino Linotype" w:hAnsi="Palatino Linotype" w:cs="Palatino Linotype"/>
          <w:color w:val="000000" w:themeColor="text1"/>
        </w:rPr>
        <w:t xml:space="preserve">Asimismo, respecto de dicha respuesta, es de explorado derecho que </w:t>
      </w:r>
      <w:r w:rsidRPr="001C0AD9">
        <w:rPr>
          <w:rFonts w:ascii="Palatino Linotype" w:eastAsia="Palatino Linotype" w:hAnsi="Palatino Linotype" w:cs="Palatino Linotype"/>
          <w:b/>
          <w:color w:val="000000" w:themeColor="text1"/>
        </w:rPr>
        <w:t xml:space="preserve">este Instituto </w:t>
      </w:r>
      <w:r w:rsidRPr="001C0AD9">
        <w:rPr>
          <w:rFonts w:ascii="Palatino Linotype" w:hAnsi="Palatino Linotype"/>
          <w:b/>
          <w:color w:val="000000" w:themeColor="text1"/>
        </w:rPr>
        <w:t>no se encuentra facultado para dudar de su veracidad</w:t>
      </w:r>
      <w:r w:rsidRPr="001C0AD9">
        <w:rPr>
          <w:rFonts w:ascii="Palatino Linotype" w:eastAsia="Palatino Linotype" w:hAnsi="Palatino Linotype" w:cs="Palatino Linotype"/>
          <w:b/>
          <w:color w:val="000000" w:themeColor="text1"/>
        </w:rPr>
        <w:t xml:space="preserve"> de la </w:t>
      </w:r>
      <w:r w:rsidRPr="001C0AD9">
        <w:rPr>
          <w:rFonts w:ascii="Palatino Linotype" w:eastAsia="MS Mincho" w:hAnsi="Palatino Linotype" w:cs="Arial"/>
          <w:b/>
          <w:color w:val="000000" w:themeColor="text1"/>
        </w:rPr>
        <w:t>información</w:t>
      </w:r>
      <w:r w:rsidRPr="001C0AD9">
        <w:rPr>
          <w:rFonts w:ascii="Palatino Linotype" w:eastAsia="Palatino Linotype" w:hAnsi="Palatino Linotype" w:cs="Palatino Linotype"/>
          <w:b/>
          <w:color w:val="000000" w:themeColor="text1"/>
        </w:rPr>
        <w:t xml:space="preserve"> que le fue entregada </w:t>
      </w:r>
      <w:r w:rsidRPr="001C0AD9">
        <w:rPr>
          <w:rFonts w:ascii="Palatino Linotype" w:hAnsi="Palatino Linotype"/>
          <w:b/>
          <w:color w:val="000000" w:themeColor="text1"/>
        </w:rPr>
        <w:t>al</w:t>
      </w:r>
      <w:r w:rsidRPr="001C0AD9">
        <w:rPr>
          <w:rFonts w:ascii="Palatino Linotype" w:eastAsia="Palatino Linotype" w:hAnsi="Palatino Linotype" w:cs="Palatino Linotype"/>
          <w:b/>
          <w:color w:val="000000" w:themeColor="text1"/>
        </w:rPr>
        <w:t xml:space="preserve"> hoy RECURRENTE en el presente asunto</w:t>
      </w:r>
      <w:r w:rsidRPr="001C0AD9">
        <w:rPr>
          <w:rFonts w:ascii="Palatino Linotype" w:eastAsia="Palatino Linotype" w:hAnsi="Palatino Linotype" w:cs="Palatino Linotype"/>
          <w:color w:val="000000" w:themeColor="text1"/>
        </w:rPr>
        <w:t xml:space="preserve">, ni de las respuestas, ni de las documentales que ponen a disposición de los solicitantes los sujetos obligados, </w:t>
      </w:r>
      <w:r w:rsidRPr="001C0AD9">
        <w:rPr>
          <w:rFonts w:ascii="Palatino Linotype" w:hAnsi="Palatino Linotype" w:cs="Arial"/>
          <w:color w:val="000000" w:themeColor="text1"/>
        </w:rPr>
        <w:t xml:space="preserve">situación que se aleja de las atribuciones de este Instituto </w:t>
      </w:r>
      <w:r w:rsidRPr="001C0AD9">
        <w:rPr>
          <w:rFonts w:ascii="Palatino Linotype" w:hAnsi="Palatino Linotype"/>
          <w:i/>
          <w:color w:val="000000" w:themeColor="text1"/>
        </w:rPr>
        <w:t>máxime</w:t>
      </w:r>
      <w:r w:rsidRPr="001C0AD9">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09DB3523" w14:textId="77777777" w:rsidR="0030306D" w:rsidRPr="001C0AD9" w:rsidRDefault="0030306D" w:rsidP="00DF7928">
      <w:pPr>
        <w:pStyle w:val="Prrafodelista"/>
        <w:spacing w:line="360" w:lineRule="auto"/>
        <w:ind w:left="0"/>
        <w:jc w:val="both"/>
        <w:rPr>
          <w:rFonts w:ascii="Palatino Linotype" w:hAnsi="Palatino Linotype"/>
          <w:color w:val="000000" w:themeColor="text1"/>
          <w:sz w:val="24"/>
        </w:rPr>
      </w:pPr>
    </w:p>
    <w:p w14:paraId="399248B2" w14:textId="77777777" w:rsidR="0030306D" w:rsidRPr="001C0AD9" w:rsidRDefault="0030306D" w:rsidP="00DF7928">
      <w:pPr>
        <w:numPr>
          <w:ilvl w:val="0"/>
          <w:numId w:val="2"/>
        </w:numPr>
        <w:spacing w:line="360" w:lineRule="auto"/>
        <w:ind w:left="0" w:firstLine="0"/>
        <w:jc w:val="both"/>
        <w:rPr>
          <w:rFonts w:ascii="Palatino Linotype" w:hAnsi="Palatino Linotype"/>
          <w:i/>
          <w:color w:val="000000" w:themeColor="text1"/>
        </w:rPr>
      </w:pPr>
      <w:r w:rsidRPr="001C0AD9">
        <w:rPr>
          <w:rFonts w:ascii="Palatino Linotype" w:hAnsi="Palatino Linotype"/>
          <w:color w:val="000000" w:themeColor="text1"/>
        </w:rPr>
        <w:t xml:space="preserve">Sirviendo de apoyo </w:t>
      </w:r>
      <w:r w:rsidRPr="001C0AD9">
        <w:rPr>
          <w:rFonts w:ascii="Palatino Linotype" w:hAnsi="Palatino Linotype" w:cs="Arial"/>
          <w:color w:val="000000" w:themeColor="text1"/>
        </w:rPr>
        <w:t>lo dispuesto por</w:t>
      </w:r>
      <w:r w:rsidRPr="001C0AD9">
        <w:rPr>
          <w:rFonts w:ascii="Palatino Linotype" w:hAnsi="Palatino Linotype"/>
          <w:color w:val="000000" w:themeColor="text1"/>
        </w:rPr>
        <w:t xml:space="preserve"> la </w:t>
      </w:r>
      <w:r w:rsidRPr="001C0AD9">
        <w:rPr>
          <w:rFonts w:ascii="Palatino Linotype" w:hAnsi="Palatino Linotype"/>
          <w:b/>
          <w:color w:val="000000" w:themeColor="text1"/>
        </w:rPr>
        <w:t xml:space="preserve">Ley de Transparencia y Acceso a la Información Pública del </w:t>
      </w:r>
      <w:r w:rsidRPr="001C0AD9">
        <w:rPr>
          <w:rFonts w:ascii="Palatino Linotype" w:eastAsia="Palatino Linotype" w:hAnsi="Palatino Linotype" w:cs="Palatino Linotype"/>
          <w:color w:val="000000" w:themeColor="text1"/>
        </w:rPr>
        <w:t>Estado</w:t>
      </w:r>
      <w:r w:rsidRPr="001C0AD9">
        <w:rPr>
          <w:rFonts w:ascii="Palatino Linotype" w:hAnsi="Palatino Linotype"/>
          <w:b/>
          <w:color w:val="000000" w:themeColor="text1"/>
        </w:rPr>
        <w:t xml:space="preserve"> de </w:t>
      </w:r>
      <w:r w:rsidRPr="001C0AD9">
        <w:rPr>
          <w:rFonts w:ascii="Palatino Linotype" w:hAnsi="Palatino Linotype"/>
          <w:color w:val="000000" w:themeColor="text1"/>
        </w:rPr>
        <w:t>México</w:t>
      </w:r>
      <w:r w:rsidRPr="001C0AD9">
        <w:rPr>
          <w:rFonts w:ascii="Palatino Linotype" w:hAnsi="Palatino Linotype"/>
          <w:b/>
          <w:color w:val="000000" w:themeColor="text1"/>
        </w:rPr>
        <w:t xml:space="preserve"> y Municipios</w:t>
      </w:r>
      <w:r w:rsidRPr="001C0AD9">
        <w:rPr>
          <w:rFonts w:ascii="Palatino Linotype" w:hAnsi="Palatino Linotype"/>
          <w:color w:val="000000" w:themeColor="text1"/>
        </w:rPr>
        <w:t xml:space="preserve"> en su artículo 3, el cual establece que la información pública generada, administrada o en posesión de los sujetos obligados en </w:t>
      </w:r>
      <w:r w:rsidRPr="001C0AD9">
        <w:rPr>
          <w:rFonts w:ascii="Palatino Linotype" w:eastAsia="Palatino Linotype" w:hAnsi="Palatino Linotype" w:cs="Palatino Linotype"/>
          <w:color w:val="000000" w:themeColor="text1"/>
        </w:rPr>
        <w:t>ejercicio</w:t>
      </w:r>
      <w:r w:rsidRPr="001C0AD9">
        <w:rPr>
          <w:rFonts w:ascii="Palatino Linotype" w:hAnsi="Palatino Linotype"/>
          <w:color w:val="000000" w:themeColor="text1"/>
        </w:rPr>
        <w:t xml:space="preserve"> </w:t>
      </w:r>
      <w:r w:rsidRPr="001C0AD9">
        <w:rPr>
          <w:rFonts w:ascii="Palatino Linotype" w:hAnsi="Palatino Linotype"/>
          <w:color w:val="000000" w:themeColor="text1"/>
        </w:rPr>
        <w:lastRenderedPageBreak/>
        <w:t>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FBAB5B" w14:textId="77777777" w:rsidR="0030306D" w:rsidRPr="001C0AD9" w:rsidRDefault="0030306D" w:rsidP="00DF7928">
      <w:pPr>
        <w:pStyle w:val="Prrafodelista"/>
        <w:spacing w:line="360" w:lineRule="auto"/>
        <w:ind w:left="0"/>
        <w:jc w:val="both"/>
        <w:rPr>
          <w:rFonts w:ascii="Palatino Linotype" w:hAnsi="Palatino Linotype" w:cs="Arial"/>
          <w:b/>
          <w:i/>
          <w:color w:val="000000" w:themeColor="text1"/>
          <w:sz w:val="24"/>
        </w:rPr>
      </w:pPr>
      <w:r w:rsidRPr="001C0AD9">
        <w:rPr>
          <w:rFonts w:ascii="Palatino Linotype" w:hAnsi="Palatino Linotype" w:cs="Arial"/>
          <w:i/>
          <w:color w:val="000000" w:themeColor="text1"/>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C0AD9">
        <w:rPr>
          <w:rFonts w:ascii="Palatino Linotype" w:hAnsi="Palatino Linotype" w:cs="Arial"/>
          <w:b/>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40E9A1F8" w14:textId="77777777" w:rsidR="0030306D" w:rsidRPr="001C0AD9" w:rsidRDefault="0030306D" w:rsidP="00DF7928">
      <w:pPr>
        <w:pStyle w:val="Prrafodelista"/>
        <w:spacing w:line="360" w:lineRule="auto"/>
        <w:ind w:left="0"/>
        <w:jc w:val="both"/>
        <w:rPr>
          <w:rFonts w:ascii="Palatino Linotype" w:hAnsi="Palatino Linotype" w:cs="Arial"/>
          <w:b/>
          <w:i/>
          <w:color w:val="000000" w:themeColor="text1"/>
          <w:sz w:val="24"/>
        </w:rPr>
      </w:pPr>
    </w:p>
    <w:p w14:paraId="5DF76DC0" w14:textId="77777777" w:rsidR="008F413B" w:rsidRPr="001C0AD9" w:rsidRDefault="0030306D"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hAnsi="Palatino Linotype" w:cs="Arial"/>
          <w:color w:val="000000" w:themeColor="text1"/>
        </w:rPr>
        <w:t>Numerales</w:t>
      </w:r>
      <w:r w:rsidRPr="001C0AD9">
        <w:rPr>
          <w:rFonts w:ascii="Palatino Linotype" w:hAnsi="Palatino Linotype" w:cs="Arial"/>
          <w:noProof/>
          <w:color w:val="000000" w:themeColor="text1"/>
        </w:rPr>
        <w:t xml:space="preserve"> que compelen al </w:t>
      </w:r>
      <w:r w:rsidRPr="001C0AD9">
        <w:rPr>
          <w:rFonts w:ascii="Palatino Linotype" w:hAnsi="Palatino Linotype" w:cs="Arial"/>
          <w:b/>
          <w:noProof/>
          <w:color w:val="000000" w:themeColor="text1"/>
        </w:rPr>
        <w:t>SUJETO OBLIGADO</w:t>
      </w:r>
      <w:r w:rsidRPr="001C0AD9">
        <w:rPr>
          <w:rFonts w:ascii="Palatino Linotype" w:hAnsi="Palatino Linotype" w:cs="Arial"/>
          <w:noProof/>
          <w:color w:val="000000" w:themeColor="text1"/>
        </w:rPr>
        <w:t xml:space="preserve"> apegarse en todo momento a los </w:t>
      </w:r>
      <w:r w:rsidRPr="001C0AD9">
        <w:rPr>
          <w:rFonts w:ascii="Palatino Linotype" w:hAnsi="Palatino Linotype"/>
          <w:color w:val="000000" w:themeColor="text1"/>
        </w:rPr>
        <w:t>criterios</w:t>
      </w:r>
      <w:r w:rsidRPr="001C0AD9">
        <w:rPr>
          <w:rFonts w:ascii="Palatino Linotype" w:hAnsi="Palatino Linotype" w:cs="Arial"/>
          <w:noProof/>
          <w:color w:val="000000" w:themeColor="text1"/>
        </w:rPr>
        <w:t xml:space="preserve"> ya expuestos, impidiendo a este Órgano Garante cuestionar la veracidad de la información.</w:t>
      </w:r>
    </w:p>
    <w:p w14:paraId="783A439A" w14:textId="77777777" w:rsidR="0030306D" w:rsidRPr="001C0AD9" w:rsidRDefault="0030306D" w:rsidP="00DF7928">
      <w:pPr>
        <w:spacing w:line="360" w:lineRule="auto"/>
        <w:jc w:val="both"/>
        <w:rPr>
          <w:rFonts w:ascii="Palatino Linotype" w:eastAsia="Palatino Linotype" w:hAnsi="Palatino Linotype" w:cs="Palatino Linotype"/>
          <w:color w:val="000000" w:themeColor="text1"/>
        </w:rPr>
      </w:pPr>
    </w:p>
    <w:p w14:paraId="6E405784" w14:textId="77777777" w:rsidR="0030306D" w:rsidRPr="001C0AD9" w:rsidRDefault="006B3D55" w:rsidP="00DF7928">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color w:val="000000" w:themeColor="text1"/>
        </w:rPr>
        <w:t>Por otro lado,</w:t>
      </w:r>
      <w:r w:rsidR="0030306D" w:rsidRPr="001C0AD9">
        <w:rPr>
          <w:rFonts w:ascii="Palatino Linotype" w:eastAsia="Palatino Linotype" w:hAnsi="Palatino Linotype" w:cs="Palatino Linotype"/>
          <w:color w:val="000000" w:themeColor="text1"/>
        </w:rPr>
        <w:t xml:space="preserve"> </w:t>
      </w:r>
      <w:r w:rsidR="00205A43" w:rsidRPr="001C0AD9">
        <w:rPr>
          <w:rFonts w:ascii="Palatino Linotype" w:eastAsia="Palatino Linotype" w:hAnsi="Palatino Linotype" w:cs="Palatino Linotype"/>
          <w:color w:val="000000" w:themeColor="text1"/>
        </w:rPr>
        <w:t xml:space="preserve">recordar que </w:t>
      </w:r>
      <w:r w:rsidR="00F63685" w:rsidRPr="001C0AD9">
        <w:rPr>
          <w:rFonts w:ascii="Palatino Linotype" w:eastAsia="Palatino Linotype" w:hAnsi="Palatino Linotype" w:cs="Palatino Linotype"/>
          <w:color w:val="000000" w:themeColor="text1"/>
        </w:rPr>
        <w:t>la solicitud</w:t>
      </w:r>
      <w:r w:rsidR="00C95BC4" w:rsidRPr="001C0AD9">
        <w:rPr>
          <w:rFonts w:ascii="Palatino Linotype" w:eastAsia="Palatino Linotype" w:hAnsi="Palatino Linotype" w:cs="Palatino Linotype"/>
          <w:color w:val="000000" w:themeColor="text1"/>
        </w:rPr>
        <w:t xml:space="preserve"> inicial</w:t>
      </w:r>
      <w:r w:rsidR="00F63685" w:rsidRPr="001C0AD9">
        <w:rPr>
          <w:rFonts w:ascii="Palatino Linotype" w:eastAsia="Palatino Linotype" w:hAnsi="Palatino Linotype" w:cs="Palatino Linotype"/>
          <w:color w:val="000000" w:themeColor="text1"/>
        </w:rPr>
        <w:t xml:space="preserve"> fue </w:t>
      </w:r>
      <w:r w:rsidR="00205A43" w:rsidRPr="001C0AD9">
        <w:rPr>
          <w:rFonts w:ascii="Palatino Linotype" w:eastAsia="Palatino Linotype" w:hAnsi="Palatino Linotype" w:cs="Palatino Linotype"/>
          <w:color w:val="000000" w:themeColor="text1"/>
        </w:rPr>
        <w:t>puntual</w:t>
      </w:r>
      <w:r w:rsidR="00F63685" w:rsidRPr="001C0AD9">
        <w:rPr>
          <w:rFonts w:ascii="Palatino Linotype" w:eastAsia="Palatino Linotype" w:hAnsi="Palatino Linotype" w:cs="Palatino Linotype"/>
          <w:color w:val="000000" w:themeColor="text1"/>
        </w:rPr>
        <w:t xml:space="preserve"> respecto de </w:t>
      </w:r>
      <w:r w:rsidR="00F63685" w:rsidRPr="001C0AD9">
        <w:rPr>
          <w:rFonts w:ascii="Palatino Linotype" w:eastAsia="Palatino Linotype" w:hAnsi="Palatino Linotype" w:cs="Palatino Linotype"/>
          <w:i/>
          <w:color w:val="000000" w:themeColor="text1"/>
        </w:rPr>
        <w:t>observaciones del OSFEM,</w:t>
      </w:r>
      <w:r w:rsidRPr="001C0AD9">
        <w:rPr>
          <w:rFonts w:ascii="Palatino Linotype" w:eastAsia="Palatino Linotype" w:hAnsi="Palatino Linotype" w:cs="Palatino Linotype"/>
          <w:color w:val="000000" w:themeColor="text1"/>
        </w:rPr>
        <w:t xml:space="preserve"> lo anterior se trae a colación ya que</w:t>
      </w:r>
      <w:r w:rsidR="00F63685" w:rsidRPr="001C0AD9">
        <w:rPr>
          <w:rFonts w:ascii="Palatino Linotype" w:eastAsia="Palatino Linotype" w:hAnsi="Palatino Linotype" w:cs="Palatino Linotype"/>
          <w:color w:val="000000" w:themeColor="text1"/>
        </w:rPr>
        <w:t xml:space="preserve"> existe la posibilidad de </w:t>
      </w:r>
      <w:r w:rsidR="00205A43" w:rsidRPr="001C0AD9">
        <w:rPr>
          <w:rFonts w:ascii="Palatino Linotype" w:eastAsia="Palatino Linotype" w:hAnsi="Palatino Linotype" w:cs="Palatino Linotype"/>
          <w:color w:val="000000" w:themeColor="text1"/>
        </w:rPr>
        <w:t xml:space="preserve">si </w:t>
      </w:r>
      <w:r w:rsidR="00F63685" w:rsidRPr="001C0AD9">
        <w:rPr>
          <w:rFonts w:ascii="Palatino Linotype" w:eastAsia="Palatino Linotype" w:hAnsi="Palatino Linotype" w:cs="Palatino Linotype"/>
          <w:color w:val="000000" w:themeColor="text1"/>
        </w:rPr>
        <w:t xml:space="preserve">haberse </w:t>
      </w:r>
      <w:r w:rsidR="00B73EF1" w:rsidRPr="001C0AD9">
        <w:rPr>
          <w:rFonts w:ascii="Palatino Linotype" w:eastAsia="Palatino Linotype" w:hAnsi="Palatino Linotype" w:cs="Palatino Linotype"/>
          <w:color w:val="000000" w:themeColor="text1"/>
        </w:rPr>
        <w:t>recibid</w:t>
      </w:r>
      <w:r w:rsidR="00F63685" w:rsidRPr="001C0AD9">
        <w:rPr>
          <w:rFonts w:ascii="Palatino Linotype" w:eastAsia="Palatino Linotype" w:hAnsi="Palatino Linotype" w:cs="Palatino Linotype"/>
          <w:color w:val="000000" w:themeColor="text1"/>
        </w:rPr>
        <w:t>o observaciones en los extremos temporales anteriormente definidos</w:t>
      </w:r>
      <w:r w:rsidR="00B73EF1" w:rsidRPr="001C0AD9">
        <w:rPr>
          <w:rFonts w:ascii="Palatino Linotype" w:eastAsia="Palatino Linotype" w:hAnsi="Palatino Linotype" w:cs="Palatino Linotype"/>
          <w:color w:val="000000" w:themeColor="text1"/>
        </w:rPr>
        <w:t>, esto</w:t>
      </w:r>
      <w:r w:rsidR="00F63685" w:rsidRPr="001C0AD9">
        <w:rPr>
          <w:rFonts w:ascii="Palatino Linotype" w:eastAsia="Palatino Linotype" w:hAnsi="Palatino Linotype" w:cs="Palatino Linotype"/>
          <w:color w:val="000000" w:themeColor="text1"/>
        </w:rPr>
        <w:t xml:space="preserve"> con motivo del cambio de administración</w:t>
      </w:r>
      <w:r w:rsidR="00B73EF1" w:rsidRPr="001C0AD9">
        <w:rPr>
          <w:rFonts w:ascii="Palatino Linotype" w:eastAsia="Palatino Linotype" w:hAnsi="Palatino Linotype" w:cs="Palatino Linotype"/>
          <w:color w:val="000000" w:themeColor="text1"/>
        </w:rPr>
        <w:t>,</w:t>
      </w:r>
      <w:r w:rsidR="00F63685" w:rsidRPr="001C0AD9">
        <w:rPr>
          <w:rFonts w:ascii="Palatino Linotype" w:eastAsia="Palatino Linotype" w:hAnsi="Palatino Linotype" w:cs="Palatino Linotype"/>
          <w:color w:val="000000" w:themeColor="text1"/>
        </w:rPr>
        <w:t xml:space="preserve"> a las actas de entrega – recepción</w:t>
      </w:r>
      <w:r w:rsidRPr="001C0AD9">
        <w:rPr>
          <w:rFonts w:ascii="Palatino Linotype" w:eastAsia="Palatino Linotype" w:hAnsi="Palatino Linotype" w:cs="Palatino Linotype"/>
          <w:color w:val="000000" w:themeColor="text1"/>
        </w:rPr>
        <w:t>.</w:t>
      </w:r>
    </w:p>
    <w:p w14:paraId="356A4470" w14:textId="77777777" w:rsidR="00921333" w:rsidRPr="001C0AD9" w:rsidRDefault="00921333" w:rsidP="00DF7928">
      <w:pPr>
        <w:pStyle w:val="Prrafodelista"/>
        <w:spacing w:line="360" w:lineRule="auto"/>
        <w:ind w:left="0"/>
        <w:jc w:val="both"/>
        <w:rPr>
          <w:rFonts w:ascii="Palatino Linotype" w:eastAsia="Palatino Linotype" w:hAnsi="Palatino Linotype" w:cs="Palatino Linotype"/>
          <w:i/>
          <w:color w:val="000000" w:themeColor="text1"/>
          <w:sz w:val="24"/>
        </w:rPr>
      </w:pPr>
    </w:p>
    <w:p w14:paraId="48D03C4D" w14:textId="77777777" w:rsidR="00921333" w:rsidRPr="001C0AD9" w:rsidRDefault="00921333"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 xml:space="preserve">En este orden de ideas los lineamientos que regulan la entrega a recepción de la Administración Pública Municipal del Estado de México, prevé en su artículo 7 fracción I, así como en los artículos 16, 29 y 37 lo siguiente: </w:t>
      </w:r>
    </w:p>
    <w:p w14:paraId="77A637FA" w14:textId="77777777" w:rsidR="00921333" w:rsidRPr="001C0AD9" w:rsidRDefault="00921333" w:rsidP="00DF792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BE6223"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lastRenderedPageBreak/>
        <w:t>“</w:t>
      </w:r>
      <w:r w:rsidRPr="001C0AD9">
        <w:rPr>
          <w:rFonts w:ascii="Palatino Linotype" w:eastAsia="Palatino Linotype" w:hAnsi="Palatino Linotype" w:cs="Palatino Linotype"/>
          <w:b/>
          <w:i/>
          <w:color w:val="000000" w:themeColor="text1"/>
        </w:rPr>
        <w:t>Artículo 7</w:t>
      </w:r>
      <w:r w:rsidRPr="001C0AD9">
        <w:rPr>
          <w:rFonts w:ascii="Palatino Linotype" w:eastAsia="Palatino Linotype" w:hAnsi="Palatino Linotype" w:cs="Palatino Linotype"/>
          <w:i/>
          <w:color w:val="000000" w:themeColor="text1"/>
        </w:rPr>
        <w:t xml:space="preserve">. </w:t>
      </w:r>
      <w:r w:rsidRPr="001C0AD9">
        <w:rPr>
          <w:rFonts w:ascii="Palatino Linotype" w:eastAsia="Palatino Linotype" w:hAnsi="Palatino Linotype" w:cs="Palatino Linotype"/>
          <w:b/>
          <w:i/>
          <w:color w:val="000000" w:themeColor="text1"/>
        </w:rPr>
        <w:t>Son sujetos a entrega-recepción:</w:t>
      </w:r>
    </w:p>
    <w:p w14:paraId="28C7BD58" w14:textId="77777777" w:rsidR="00921333" w:rsidRPr="001C0AD9" w:rsidRDefault="00921333" w:rsidP="00DF7928">
      <w:pPr>
        <w:spacing w:line="360" w:lineRule="auto"/>
        <w:jc w:val="both"/>
        <w:rPr>
          <w:rFonts w:ascii="Palatino Linotype" w:eastAsia="Palatino Linotype" w:hAnsi="Palatino Linotype" w:cs="Palatino Linotype"/>
          <w:b/>
          <w:i/>
          <w:color w:val="000000" w:themeColor="text1"/>
          <w:u w:val="single"/>
        </w:rPr>
      </w:pPr>
      <w:r w:rsidRPr="001C0AD9">
        <w:rPr>
          <w:rFonts w:ascii="Palatino Linotype" w:eastAsia="Palatino Linotype" w:hAnsi="Palatino Linotype" w:cs="Palatino Linotype"/>
          <w:b/>
          <w:i/>
          <w:color w:val="000000" w:themeColor="text1"/>
          <w:u w:val="single"/>
        </w:rPr>
        <w:t xml:space="preserve">1. En los municipios: </w:t>
      </w:r>
    </w:p>
    <w:p w14:paraId="11B7B0A3" w14:textId="77777777" w:rsidR="00921333" w:rsidRPr="001C0AD9" w:rsidRDefault="00921333" w:rsidP="00DF792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a) Presidente</w:t>
      </w:r>
    </w:p>
    <w:p w14:paraId="4F00249F"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b) Síndico(s) </w:t>
      </w:r>
    </w:p>
    <w:p w14:paraId="5389C592"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c) Regidores </w:t>
      </w:r>
    </w:p>
    <w:p w14:paraId="676D5BC3"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d) Secretario del ayuntamiento </w:t>
      </w:r>
    </w:p>
    <w:p w14:paraId="69662CFE"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b/>
          <w:i/>
          <w:color w:val="000000" w:themeColor="text1"/>
        </w:rPr>
        <w:t>e</w:t>
      </w:r>
      <w:r w:rsidRPr="001C0AD9">
        <w:rPr>
          <w:rFonts w:ascii="Palatino Linotype" w:eastAsia="Palatino Linotype" w:hAnsi="Palatino Linotype" w:cs="Palatino Linotype"/>
          <w:i/>
          <w:color w:val="000000" w:themeColor="text1"/>
        </w:rPr>
        <w:t xml:space="preserve">) Tesorero </w:t>
      </w:r>
    </w:p>
    <w:p w14:paraId="0FD8EE5C"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f) Director de administración o su equivalente </w:t>
      </w:r>
    </w:p>
    <w:p w14:paraId="103CE9FC"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g) Director de obras públicas o su equivalente </w:t>
      </w:r>
    </w:p>
    <w:p w14:paraId="0BE9229F"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h) Titular del órgano de control interno </w:t>
      </w:r>
    </w:p>
    <w:p w14:paraId="09E1D879"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i) Titular de la unidad de información </w:t>
      </w:r>
    </w:p>
    <w:p w14:paraId="383A61F7"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j) Titulares de áreas a nivel dirección que se encuentren determinadas en la entidad.</w:t>
      </w:r>
    </w:p>
    <w:p w14:paraId="32CD0990" w14:textId="77777777" w:rsidR="00921333" w:rsidRPr="001C0AD9" w:rsidRDefault="00921333" w:rsidP="00DF7928">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F4A210"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b/>
          <w:i/>
          <w:color w:val="000000" w:themeColor="text1"/>
        </w:rPr>
        <w:t>Artículo 16</w:t>
      </w:r>
      <w:r w:rsidRPr="001C0AD9">
        <w:rPr>
          <w:rFonts w:ascii="Palatino Linotype" w:eastAsia="Palatino Linotype" w:hAnsi="Palatino Linotype" w:cs="Palatino Linotype"/>
          <w:i/>
          <w:color w:val="000000" w:themeColor="text1"/>
        </w:rPr>
        <w:t>. El acto de entrega-recepción será público, con excepción del que a consideración del Órgano Superior, convenga que sea privado; éste se llevará a cabo en las oficinas de los integrantes del ayuntamiento; de los titulares de las dependencias y entidades de la administración pública municipal.</w:t>
      </w:r>
    </w:p>
    <w:p w14:paraId="09FA4E54"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p>
    <w:p w14:paraId="629BB292"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b/>
          <w:i/>
          <w:color w:val="000000" w:themeColor="text1"/>
        </w:rPr>
        <w:t>Artículo 29</w:t>
      </w:r>
      <w:r w:rsidRPr="001C0AD9">
        <w:rPr>
          <w:rFonts w:ascii="Palatino Linotype" w:eastAsia="Palatino Linotype" w:hAnsi="Palatino Linotype" w:cs="Palatino Linotype"/>
          <w:i/>
          <w:color w:val="000000" w:themeColor="text1"/>
        </w:rPr>
        <w:t xml:space="preserve">. El acta y la información derivada del acto de entrega-recepción se deberán generar obligatoriamente en el sistema implementado para tal efecto. </w:t>
      </w:r>
    </w:p>
    <w:p w14:paraId="0A1E84E0"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En el acto intervendrán: </w:t>
      </w:r>
    </w:p>
    <w:p w14:paraId="4FDC4630"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a) El servidor público entrante </w:t>
      </w:r>
    </w:p>
    <w:p w14:paraId="507D7DD9"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b) El servidor público saliente o servidor público que presenta la información para la entrega-recepción </w:t>
      </w:r>
    </w:p>
    <w:p w14:paraId="7951C293"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c) El testigo del servidor público entrante </w:t>
      </w:r>
    </w:p>
    <w:p w14:paraId="50A26BF3"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lastRenderedPageBreak/>
        <w:t xml:space="preserve">d) El testigo del servidor público saliente o testigo del servidor público que presenta la información para la entrega-recepción </w:t>
      </w:r>
    </w:p>
    <w:p w14:paraId="02142E82"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e) El titular del órgano de control interno o el síndico en su caso </w:t>
      </w:r>
    </w:p>
    <w:p w14:paraId="5B48F3E9"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f) El representante del Órgano Superior, cuando corresponda.</w:t>
      </w:r>
    </w:p>
    <w:p w14:paraId="18C224D0"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p>
    <w:p w14:paraId="6B0B1102"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b/>
          <w:i/>
          <w:color w:val="000000" w:themeColor="text1"/>
        </w:rPr>
        <w:t>Artículo 37</w:t>
      </w:r>
      <w:r w:rsidRPr="001C0AD9">
        <w:rPr>
          <w:rFonts w:ascii="Palatino Linotype" w:eastAsia="Palatino Linotype" w:hAnsi="Palatino Linotype" w:cs="Palatino Linotype"/>
          <w:i/>
          <w:color w:val="000000" w:themeColor="text1"/>
        </w:rPr>
        <w:t>. El acta original de la entrega-recepción y el paquete generado por el sistema se distribuirán, según el caso de la manera siguiente:</w:t>
      </w:r>
    </w:p>
    <w:p w14:paraId="22986494"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 a) </w:t>
      </w:r>
      <w:r w:rsidRPr="001C0AD9">
        <w:rPr>
          <w:rFonts w:ascii="Palatino Linotype" w:eastAsia="Palatino Linotype" w:hAnsi="Palatino Linotype" w:cs="Palatino Linotype"/>
          <w:b/>
          <w:i/>
          <w:color w:val="000000" w:themeColor="text1"/>
        </w:rPr>
        <w:t>Al servidor público entrante:</w:t>
      </w:r>
      <w:r w:rsidRPr="001C0AD9">
        <w:rPr>
          <w:rFonts w:ascii="Palatino Linotype" w:eastAsia="Palatino Linotype" w:hAnsi="Palatino Linotype" w:cs="Palatino Linotype"/>
          <w:i/>
          <w:color w:val="000000" w:themeColor="text1"/>
        </w:rPr>
        <w:t xml:space="preserve"> Acta original y el paquete generado por el sistema en disco versátil digital (DVD) o disco compacto (CD). </w:t>
      </w:r>
    </w:p>
    <w:p w14:paraId="4B573624"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b) </w:t>
      </w:r>
      <w:r w:rsidRPr="001C0AD9">
        <w:rPr>
          <w:rFonts w:ascii="Palatino Linotype" w:eastAsia="Palatino Linotype" w:hAnsi="Palatino Linotype" w:cs="Palatino Linotype"/>
          <w:b/>
          <w:i/>
          <w:color w:val="000000" w:themeColor="text1"/>
        </w:rPr>
        <w:t>Al servidor público saliente o servidor público que presenta la información para la entrega-recepción:</w:t>
      </w:r>
      <w:r w:rsidRPr="001C0AD9">
        <w:rPr>
          <w:rFonts w:ascii="Palatino Linotype" w:eastAsia="Palatino Linotype" w:hAnsi="Palatino Linotype" w:cs="Palatino Linotype"/>
          <w:i/>
          <w:color w:val="000000" w:themeColor="text1"/>
        </w:rPr>
        <w:t xml:space="preserve"> Acta original y el paquete generado por el sistema en disco versátil digital (DVD) o disco compacto (CD). </w:t>
      </w:r>
    </w:p>
    <w:p w14:paraId="6BC4DBA4"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c) </w:t>
      </w:r>
      <w:r w:rsidRPr="001C0AD9">
        <w:rPr>
          <w:rFonts w:ascii="Palatino Linotype" w:eastAsia="Palatino Linotype" w:hAnsi="Palatino Linotype" w:cs="Palatino Linotype"/>
          <w:b/>
          <w:i/>
          <w:color w:val="000000" w:themeColor="text1"/>
        </w:rPr>
        <w:t>Al titular del órgano de control interno o al síndico en su caso:</w:t>
      </w:r>
      <w:r w:rsidRPr="001C0AD9">
        <w:rPr>
          <w:rFonts w:ascii="Palatino Linotype" w:eastAsia="Palatino Linotype" w:hAnsi="Palatino Linotype" w:cs="Palatino Linotype"/>
          <w:i/>
          <w:color w:val="000000" w:themeColor="text1"/>
        </w:rPr>
        <w:t xml:space="preserve"> Acta original y el paquete generado por el sistema en disco versátil digital (DVD) o disco compacto (CD). </w:t>
      </w:r>
    </w:p>
    <w:p w14:paraId="7A2B173D" w14:textId="77777777" w:rsidR="00921333" w:rsidRPr="001C0AD9" w:rsidRDefault="00921333" w:rsidP="00DF7928">
      <w:pP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i/>
          <w:color w:val="000000" w:themeColor="text1"/>
        </w:rPr>
        <w:t xml:space="preserve">d) </w:t>
      </w:r>
      <w:r w:rsidRPr="001C0AD9">
        <w:rPr>
          <w:rFonts w:ascii="Palatino Linotype" w:eastAsia="Palatino Linotype" w:hAnsi="Palatino Linotype" w:cs="Palatino Linotype"/>
          <w:b/>
          <w:i/>
          <w:color w:val="000000" w:themeColor="text1"/>
        </w:rPr>
        <w:t>Al Órgano Superior:</w:t>
      </w:r>
      <w:r w:rsidRPr="001C0AD9">
        <w:rPr>
          <w:rFonts w:ascii="Palatino Linotype" w:eastAsia="Palatino Linotype" w:hAnsi="Palatino Linotype" w:cs="Palatino Linotype"/>
          <w:i/>
          <w:color w:val="000000" w:themeColor="text1"/>
        </w:rPr>
        <w:t xml:space="preserve"> Acta original y el paquete generado por el sistema en disco versátil digital (DVD) o disco compacto (CD</w:t>
      </w:r>
      <w:r w:rsidRPr="001C0AD9">
        <w:rPr>
          <w:rFonts w:ascii="Palatino Linotype" w:eastAsia="Palatino Linotype" w:hAnsi="Palatino Linotype" w:cs="Palatino Linotype"/>
          <w:color w:val="000000" w:themeColor="text1"/>
        </w:rPr>
        <w:t xml:space="preserve">).” </w:t>
      </w:r>
    </w:p>
    <w:p w14:paraId="62277851" w14:textId="77777777" w:rsidR="00921333" w:rsidRPr="001C0AD9" w:rsidRDefault="00921333" w:rsidP="00DF792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14:paraId="1F3FB0B1" w14:textId="77777777" w:rsidR="00921333" w:rsidRPr="001C0AD9" w:rsidRDefault="00921333"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color w:val="000000" w:themeColor="text1"/>
        </w:rPr>
        <w:t>Así, los Lineamientos que norman la entrega recepción de los ayuntamientos del Estado de México en el Anexo Uno de las Disposiciones Generales en donde se tiene por acta de entrega-recepción al instrumento jurídico que formaliza el acto de entrega-recepción, en el que se establecen los datos de los participantes, la relación de la información y el soporte documental de la gestión municipal, observaciones, firmas y anexos, como lo establece su artículo 18 que indica:</w:t>
      </w:r>
    </w:p>
    <w:p w14:paraId="696A340A" w14:textId="77777777" w:rsidR="00921333" w:rsidRPr="001C0AD9" w:rsidRDefault="00921333" w:rsidP="00DF7928">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1C0AD9">
        <w:rPr>
          <w:rFonts w:ascii="Palatino Linotype" w:eastAsia="Palatino Linotype" w:hAnsi="Palatino Linotype" w:cs="Palatino Linotype"/>
          <w:b/>
          <w:i/>
          <w:color w:val="000000" w:themeColor="text1"/>
        </w:rPr>
        <w:lastRenderedPageBreak/>
        <w:t>“Artículo 18.</w:t>
      </w:r>
      <w:r w:rsidRPr="001C0AD9">
        <w:rPr>
          <w:rFonts w:ascii="Palatino Linotype" w:eastAsia="Palatino Linotype" w:hAnsi="Palatino Linotype" w:cs="Palatino Linotype"/>
          <w:i/>
          <w:color w:val="000000" w:themeColor="text1"/>
        </w:rPr>
        <w:t xml:space="preserve"> La veracidad, oportunidad, confiabilidad, integración y elaboración del acta de entrega-recepción, formatos y anexos serán responsabilidad de los servidores públicos salientes. Asimismo, la información contenida en el apartado de </w:t>
      </w:r>
      <w:r w:rsidRPr="001C0AD9">
        <w:rPr>
          <w:rFonts w:ascii="Palatino Linotype" w:eastAsia="Palatino Linotype" w:hAnsi="Palatino Linotype" w:cs="Palatino Linotype"/>
          <w:b/>
          <w:i/>
          <w:color w:val="000000" w:themeColor="text1"/>
        </w:rPr>
        <w:t>observaciones</w:t>
      </w:r>
      <w:r w:rsidRPr="001C0AD9">
        <w:rPr>
          <w:rFonts w:ascii="Palatino Linotype" w:eastAsia="Palatino Linotype" w:hAnsi="Palatino Linotype" w:cs="Palatino Linotype"/>
          <w:i/>
          <w:color w:val="000000" w:themeColor="text1"/>
        </w:rPr>
        <w:t xml:space="preserve"> del acta de entrega-recepción será responsabilidad de los servidores públicos que las emitan.”</w:t>
      </w:r>
    </w:p>
    <w:p w14:paraId="2A5B5740" w14:textId="77777777" w:rsidR="00921333" w:rsidRPr="001C0AD9" w:rsidRDefault="00921333" w:rsidP="00DF792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themeColor="text1"/>
          <w:u w:val="single"/>
        </w:rPr>
      </w:pPr>
    </w:p>
    <w:p w14:paraId="0D2EF025" w14:textId="043382CF" w:rsidR="004E0B7F" w:rsidRPr="001C0AD9" w:rsidRDefault="00205A43" w:rsidP="00DF7928">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1C0AD9">
        <w:rPr>
          <w:rFonts w:ascii="Palatino Linotype" w:eastAsia="MS Mincho" w:hAnsi="Palatino Linotype" w:cs="Arial"/>
          <w:color w:val="000000" w:themeColor="text1"/>
        </w:rPr>
        <w:t xml:space="preserve">No obstante dichas observaciones son realizadas por el Órgano de Control Interno, no así como en estricto sentido se peticiona en la solicitud de información de mérito. </w:t>
      </w:r>
      <w:r w:rsidR="004E0B7F" w:rsidRPr="001C0AD9">
        <w:rPr>
          <w:rFonts w:ascii="Palatino Linotype" w:eastAsia="MS Mincho" w:hAnsi="Palatino Linotype" w:cs="Arial"/>
          <w:color w:val="000000" w:themeColor="text1"/>
        </w:rPr>
        <w:t>Así, en mérito</w:t>
      </w:r>
      <w:r w:rsidR="004E0B7F" w:rsidRPr="001C0AD9">
        <w:rPr>
          <w:rFonts w:ascii="Palatino Linotype" w:eastAsia="Calibri" w:hAnsi="Palatino Linotype" w:cs="Arial"/>
          <w:color w:val="000000" w:themeColor="text1"/>
        </w:rPr>
        <w:t xml:space="preserve"> de lo expuesto en líneas anteriores </w:t>
      </w:r>
      <w:r w:rsidR="004E0B7F" w:rsidRPr="001C0AD9">
        <w:rPr>
          <w:rFonts w:ascii="Palatino Linotype" w:eastAsia="Calibri" w:hAnsi="Palatino Linotype"/>
          <w:noProof/>
          <w:color w:val="000000" w:themeColor="text1"/>
        </w:rPr>
        <w:t xml:space="preserve">resultan </w:t>
      </w:r>
      <w:r w:rsidR="004E0B7F" w:rsidRPr="001C0AD9">
        <w:rPr>
          <w:rFonts w:ascii="Palatino Linotype" w:eastAsia="Calibri" w:hAnsi="Palatino Linotype"/>
          <w:b/>
          <w:i/>
          <w:noProof/>
          <w:color w:val="000000" w:themeColor="text1"/>
        </w:rPr>
        <w:t xml:space="preserve">infundadas </w:t>
      </w:r>
      <w:r w:rsidR="004E0B7F" w:rsidRPr="001C0AD9">
        <w:rPr>
          <w:rFonts w:ascii="Palatino Linotype" w:eastAsia="Calibri" w:hAnsi="Palatino Linotype"/>
          <w:noProof/>
          <w:color w:val="000000" w:themeColor="text1"/>
        </w:rPr>
        <w:t xml:space="preserve">las razones o motivos de </w:t>
      </w:r>
      <w:r w:rsidR="004E0B7F" w:rsidRPr="001C0AD9">
        <w:rPr>
          <w:rFonts w:ascii="Palatino Linotype" w:eastAsia="Palatino Linotype" w:hAnsi="Palatino Linotype" w:cs="Palatino Linotype"/>
          <w:color w:val="000000" w:themeColor="text1"/>
        </w:rPr>
        <w:t>inconformidad</w:t>
      </w:r>
      <w:r w:rsidR="004E0B7F" w:rsidRPr="001C0AD9">
        <w:rPr>
          <w:rFonts w:ascii="Palatino Linotype" w:eastAsia="Calibri" w:hAnsi="Palatino Linotype"/>
          <w:noProof/>
          <w:color w:val="000000" w:themeColor="text1"/>
        </w:rPr>
        <w:t xml:space="preserve"> que arguye el </w:t>
      </w:r>
      <w:r w:rsidR="004E0B7F" w:rsidRPr="001C0AD9">
        <w:rPr>
          <w:rFonts w:ascii="Palatino Linotype" w:eastAsia="Calibri" w:hAnsi="Palatino Linotype"/>
          <w:b/>
          <w:noProof/>
          <w:color w:val="000000" w:themeColor="text1"/>
        </w:rPr>
        <w:t>Recurrente</w:t>
      </w:r>
      <w:r w:rsidR="004E0B7F" w:rsidRPr="001C0AD9">
        <w:rPr>
          <w:rFonts w:ascii="Palatino Linotype" w:eastAsia="Calibri" w:hAnsi="Palatino Linotype"/>
          <w:noProof/>
          <w:color w:val="000000" w:themeColor="text1"/>
        </w:rPr>
        <w:t xml:space="preserve">, </w:t>
      </w:r>
      <w:r w:rsidR="004E0B7F" w:rsidRPr="001C0AD9">
        <w:rPr>
          <w:rFonts w:ascii="Palatino Linotype" w:eastAsia="Calibri" w:hAnsi="Palatino Linotype" w:cs="Arial"/>
          <w:color w:val="000000" w:themeColor="text1"/>
        </w:rPr>
        <w:t xml:space="preserve">por ello con fundamento en el artículo 186, fracción II, de la Ley de Transparencia y Acceso a la Información Pública del Estado de México y Municipios, se </w:t>
      </w:r>
      <w:r w:rsidR="004E0B7F" w:rsidRPr="001C0AD9">
        <w:rPr>
          <w:rFonts w:ascii="Palatino Linotype" w:eastAsia="Calibri" w:hAnsi="Palatino Linotype" w:cs="Arial"/>
          <w:b/>
          <w:color w:val="000000" w:themeColor="text1"/>
        </w:rPr>
        <w:t>CONFIRMA</w:t>
      </w:r>
      <w:r w:rsidR="004E0B7F" w:rsidRPr="001C0AD9">
        <w:rPr>
          <w:rFonts w:ascii="Palatino Linotype" w:eastAsia="Calibri" w:hAnsi="Palatino Linotype" w:cs="Arial"/>
          <w:color w:val="000000" w:themeColor="text1"/>
        </w:rPr>
        <w:t xml:space="preserve"> la respuesta a la solicitud de información pública </w:t>
      </w:r>
      <w:r w:rsidR="004E0B7F" w:rsidRPr="001C0AD9">
        <w:rPr>
          <w:rFonts w:ascii="Palatino Linotype" w:eastAsia="Calibri" w:hAnsi="Palatino Linotype"/>
          <w:color w:val="000000" w:themeColor="text1"/>
        </w:rPr>
        <w:t>que ha sido materia del presente fallo, p</w:t>
      </w:r>
      <w:r w:rsidR="004E0B7F" w:rsidRPr="001C0AD9">
        <w:rPr>
          <w:rFonts w:ascii="Palatino Linotype" w:hAnsi="Palatino Linotype" w:cs="Arial"/>
          <w:color w:val="000000" w:themeColor="text1"/>
        </w:rPr>
        <w:t>or lo antes expuesto y fundado</w:t>
      </w:r>
      <w:r w:rsidR="004E0B7F" w:rsidRPr="001C0AD9">
        <w:rPr>
          <w:rFonts w:ascii="Palatino Linotype" w:eastAsia="Palatino Linotype" w:hAnsi="Palatino Linotype" w:cs="Palatino Linotype"/>
          <w:color w:val="000000" w:themeColor="text1"/>
        </w:rPr>
        <w:t xml:space="preserve">, este </w:t>
      </w:r>
      <w:r w:rsidR="004E0B7F" w:rsidRPr="001C0AD9">
        <w:rPr>
          <w:rFonts w:ascii="Palatino Linotype" w:eastAsia="Palatino Linotype" w:hAnsi="Palatino Linotype" w:cs="Palatino Linotype"/>
          <w:b/>
          <w:color w:val="000000" w:themeColor="text1"/>
        </w:rPr>
        <w:t>ÓRGANO GARANTE</w:t>
      </w:r>
      <w:r w:rsidR="004E0B7F" w:rsidRPr="001C0AD9">
        <w:rPr>
          <w:rFonts w:ascii="Palatino Linotype" w:eastAsia="Palatino Linotype" w:hAnsi="Palatino Linotype" w:cs="Palatino Linotype"/>
          <w:color w:val="000000" w:themeColor="text1"/>
        </w:rPr>
        <w:t xml:space="preserve"> emite los siguientes:</w:t>
      </w:r>
      <w:r w:rsidR="00A23858">
        <w:rPr>
          <w:rFonts w:ascii="Palatino Linotype" w:eastAsia="Palatino Linotype" w:hAnsi="Palatino Linotype" w:cs="Palatino Linotype"/>
          <w:color w:val="000000" w:themeColor="text1"/>
        </w:rPr>
        <w:t xml:space="preserve"> --------------------------------------------------------------------------------------------------------</w:t>
      </w:r>
    </w:p>
    <w:p w14:paraId="5BFE0DD0" w14:textId="77777777" w:rsidR="00DF7928" w:rsidRPr="001C0AD9" w:rsidRDefault="00DF7928" w:rsidP="00DF7928">
      <w:pPr>
        <w:spacing w:line="360" w:lineRule="auto"/>
        <w:jc w:val="both"/>
        <w:rPr>
          <w:rFonts w:ascii="Palatino Linotype" w:eastAsia="Palatino Linotype" w:hAnsi="Palatino Linotype" w:cs="Palatino Linotype"/>
          <w:color w:val="000000" w:themeColor="text1"/>
        </w:rPr>
      </w:pPr>
    </w:p>
    <w:p w14:paraId="5CBF7044" w14:textId="77777777" w:rsidR="00495BE5" w:rsidRPr="001C0AD9" w:rsidRDefault="00495BE5" w:rsidP="00DF7928">
      <w:pPr>
        <w:pStyle w:val="Ttulo1"/>
        <w:spacing w:before="0" w:line="360" w:lineRule="auto"/>
        <w:jc w:val="center"/>
        <w:rPr>
          <w:rFonts w:ascii="Palatino Linotype" w:hAnsi="Palatino Linotype"/>
          <w:b/>
          <w:color w:val="000000" w:themeColor="text1"/>
          <w:sz w:val="24"/>
          <w:szCs w:val="24"/>
        </w:rPr>
      </w:pPr>
      <w:bookmarkStart w:id="36" w:name="_Toc466371865"/>
      <w:bookmarkStart w:id="37" w:name="_Toc466377653"/>
      <w:bookmarkStart w:id="38" w:name="_Toc495427547"/>
      <w:bookmarkStart w:id="39" w:name="_Toc497905366"/>
      <w:bookmarkStart w:id="40" w:name="_Toc8123312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C0AD9">
        <w:rPr>
          <w:rFonts w:ascii="Palatino Linotype" w:hAnsi="Palatino Linotype"/>
          <w:b/>
          <w:color w:val="000000" w:themeColor="text1"/>
          <w:sz w:val="24"/>
          <w:szCs w:val="24"/>
        </w:rPr>
        <w:t>R E S O L U T I V O S</w:t>
      </w:r>
      <w:bookmarkEnd w:id="36"/>
      <w:bookmarkEnd w:id="37"/>
      <w:bookmarkEnd w:id="38"/>
      <w:bookmarkEnd w:id="39"/>
      <w:bookmarkEnd w:id="40"/>
    </w:p>
    <w:p w14:paraId="3742BCB7" w14:textId="77777777" w:rsidR="005D7358" w:rsidRPr="001C0AD9" w:rsidRDefault="005D7358" w:rsidP="00DF7928">
      <w:pPr>
        <w:spacing w:line="360" w:lineRule="auto"/>
        <w:jc w:val="both"/>
        <w:rPr>
          <w:rFonts w:ascii="Palatino Linotype" w:hAnsi="Palatino Linotype"/>
          <w:color w:val="000000" w:themeColor="text1"/>
        </w:rPr>
      </w:pPr>
    </w:p>
    <w:p w14:paraId="164E946C" w14:textId="77777777" w:rsidR="004E0B7F" w:rsidRPr="001C0AD9" w:rsidRDefault="004E0B7F" w:rsidP="00DF7928">
      <w:pPr>
        <w:spacing w:line="360" w:lineRule="auto"/>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b/>
          <w:color w:val="000000" w:themeColor="text1"/>
        </w:rPr>
        <w:t>PRIMERO</w:t>
      </w:r>
      <w:r w:rsidRPr="001C0AD9">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1C0AD9">
        <w:rPr>
          <w:rFonts w:ascii="Palatino Linotype" w:eastAsia="Palatino Linotype" w:hAnsi="Palatino Linotype" w:cs="Palatino Linotype"/>
          <w:b/>
          <w:color w:val="000000" w:themeColor="text1"/>
        </w:rPr>
        <w:t>0</w:t>
      </w:r>
      <w:r w:rsidR="00C53582" w:rsidRPr="001C0AD9">
        <w:rPr>
          <w:rFonts w:ascii="Palatino Linotype" w:eastAsia="Palatino Linotype" w:hAnsi="Palatino Linotype" w:cs="Palatino Linotype"/>
          <w:b/>
          <w:color w:val="000000" w:themeColor="text1"/>
        </w:rPr>
        <w:t>4688</w:t>
      </w:r>
      <w:r w:rsidRPr="001C0AD9">
        <w:rPr>
          <w:rFonts w:ascii="Palatino Linotype" w:eastAsia="Palatino Linotype" w:hAnsi="Palatino Linotype" w:cs="Palatino Linotype"/>
          <w:b/>
          <w:color w:val="000000" w:themeColor="text1"/>
        </w:rPr>
        <w:t>/INFOEM/IP/RR/2025</w:t>
      </w:r>
      <w:r w:rsidRPr="001C0AD9">
        <w:rPr>
          <w:rFonts w:ascii="Palatino Linotype" w:eastAsia="Palatino Linotype" w:hAnsi="Palatino Linotype" w:cs="Palatino Linotype"/>
          <w:color w:val="000000" w:themeColor="text1"/>
        </w:rPr>
        <w:t xml:space="preserve">, en términos del Considerando </w:t>
      </w:r>
      <w:r w:rsidRPr="001C0AD9">
        <w:rPr>
          <w:rFonts w:ascii="Palatino Linotype" w:eastAsia="Palatino Linotype" w:hAnsi="Palatino Linotype" w:cs="Palatino Linotype"/>
          <w:b/>
          <w:color w:val="000000" w:themeColor="text1"/>
        </w:rPr>
        <w:t>CUARTO</w:t>
      </w:r>
      <w:r w:rsidRPr="001C0AD9">
        <w:rPr>
          <w:rFonts w:ascii="Palatino Linotype" w:eastAsia="Palatino Linotype" w:hAnsi="Palatino Linotype" w:cs="Palatino Linotype"/>
          <w:color w:val="000000" w:themeColor="text1"/>
        </w:rPr>
        <w:t xml:space="preserve"> de la presente Resolución.</w:t>
      </w:r>
    </w:p>
    <w:p w14:paraId="5FA0A1D7" w14:textId="77777777" w:rsidR="004E0B7F" w:rsidRPr="001C0AD9" w:rsidRDefault="004E0B7F" w:rsidP="00DF7928">
      <w:pPr>
        <w:spacing w:line="360" w:lineRule="auto"/>
        <w:jc w:val="both"/>
        <w:rPr>
          <w:rFonts w:ascii="Palatino Linotype" w:eastAsia="Palatino Linotype" w:hAnsi="Palatino Linotype" w:cs="Palatino Linotype"/>
          <w:color w:val="000000" w:themeColor="text1"/>
        </w:rPr>
      </w:pPr>
    </w:p>
    <w:p w14:paraId="306D8E32" w14:textId="77777777" w:rsidR="004E0B7F" w:rsidRPr="001C0AD9" w:rsidRDefault="004E0B7F" w:rsidP="00DF7928">
      <w:pPr>
        <w:spacing w:line="360" w:lineRule="auto"/>
        <w:jc w:val="both"/>
        <w:rPr>
          <w:rFonts w:ascii="Palatino Linotype" w:eastAsia="Palatino Linotype" w:hAnsi="Palatino Linotype" w:cs="Palatino Linotype"/>
          <w:b/>
          <w:color w:val="000000" w:themeColor="text1"/>
        </w:rPr>
      </w:pPr>
      <w:r w:rsidRPr="001C0AD9">
        <w:rPr>
          <w:rFonts w:ascii="Palatino Linotype" w:eastAsia="Palatino Linotype" w:hAnsi="Palatino Linotype" w:cs="Palatino Linotype"/>
          <w:b/>
          <w:color w:val="000000" w:themeColor="text1"/>
        </w:rPr>
        <w:t>SEGUNDO</w:t>
      </w:r>
      <w:r w:rsidRPr="001C0AD9">
        <w:rPr>
          <w:rFonts w:ascii="Palatino Linotype" w:eastAsia="Palatino Linotype" w:hAnsi="Palatino Linotype" w:cs="Palatino Linotype"/>
          <w:color w:val="000000" w:themeColor="text1"/>
        </w:rPr>
        <w:t xml:space="preserve">. Se </w:t>
      </w:r>
      <w:r w:rsidRPr="001C0AD9">
        <w:rPr>
          <w:rFonts w:ascii="Palatino Linotype" w:eastAsia="Palatino Linotype" w:hAnsi="Palatino Linotype" w:cs="Palatino Linotype"/>
          <w:b/>
          <w:color w:val="000000" w:themeColor="text1"/>
        </w:rPr>
        <w:t>CONFIRMA</w:t>
      </w:r>
      <w:r w:rsidRPr="001C0AD9">
        <w:rPr>
          <w:rFonts w:ascii="Palatino Linotype" w:eastAsia="Palatino Linotype" w:hAnsi="Palatino Linotype" w:cs="Palatino Linotype"/>
          <w:color w:val="000000" w:themeColor="text1"/>
        </w:rPr>
        <w:t xml:space="preserve"> la respuesta emitida por el Ayuntamiento de </w:t>
      </w:r>
      <w:r w:rsidR="00C53582" w:rsidRPr="001C0AD9">
        <w:rPr>
          <w:rFonts w:ascii="Palatino Linotype" w:eastAsia="Palatino Linotype" w:hAnsi="Palatino Linotype" w:cs="Palatino Linotype"/>
          <w:color w:val="000000" w:themeColor="text1"/>
        </w:rPr>
        <w:t>Polotitlán</w:t>
      </w:r>
      <w:r w:rsidRPr="001C0AD9">
        <w:rPr>
          <w:rFonts w:ascii="Palatino Linotype" w:eastAsia="Palatino Linotype" w:hAnsi="Palatino Linotype" w:cs="Palatino Linotype"/>
          <w:b/>
          <w:color w:val="000000" w:themeColor="text1"/>
        </w:rPr>
        <w:t xml:space="preserve">, </w:t>
      </w:r>
      <w:r w:rsidRPr="001C0AD9">
        <w:rPr>
          <w:rFonts w:ascii="Palatino Linotype" w:eastAsia="Palatino Linotype" w:hAnsi="Palatino Linotype" w:cs="Palatino Linotype"/>
          <w:color w:val="000000" w:themeColor="text1"/>
        </w:rPr>
        <w:t>a la Solicitud de Acceso a la Información Pública</w:t>
      </w:r>
      <w:r w:rsidRPr="001C0AD9">
        <w:rPr>
          <w:rFonts w:ascii="Palatino Linotype" w:eastAsia="Palatino Linotype" w:hAnsi="Palatino Linotype" w:cs="Palatino Linotype"/>
          <w:b/>
          <w:color w:val="000000" w:themeColor="text1"/>
        </w:rPr>
        <w:t> </w:t>
      </w:r>
      <w:r w:rsidR="00C53582" w:rsidRPr="001C0AD9">
        <w:rPr>
          <w:rFonts w:ascii="Palatino Linotype" w:eastAsia="Palatino Linotype" w:hAnsi="Palatino Linotype" w:cs="Palatino Linotype"/>
          <w:b/>
          <w:color w:val="000000" w:themeColor="text1"/>
        </w:rPr>
        <w:t>00047/POLOTI/IP/2025</w:t>
      </w:r>
      <w:r w:rsidRPr="001C0AD9">
        <w:rPr>
          <w:rFonts w:ascii="Palatino Linotype" w:eastAsia="Palatino Linotype" w:hAnsi="Palatino Linotype" w:cs="Palatino Linotype"/>
          <w:b/>
          <w:color w:val="000000" w:themeColor="text1"/>
        </w:rPr>
        <w:t>.</w:t>
      </w:r>
    </w:p>
    <w:p w14:paraId="75F4ECE0" w14:textId="77777777" w:rsidR="004E0B7F" w:rsidRPr="001C0AD9" w:rsidRDefault="004E0B7F" w:rsidP="00DF7928">
      <w:pPr>
        <w:spacing w:line="360" w:lineRule="auto"/>
        <w:jc w:val="both"/>
        <w:rPr>
          <w:rFonts w:ascii="Palatino Linotype" w:eastAsia="Palatino Linotype" w:hAnsi="Palatino Linotype" w:cs="Palatino Linotype"/>
          <w:b/>
          <w:color w:val="000000" w:themeColor="text1"/>
        </w:rPr>
      </w:pPr>
    </w:p>
    <w:p w14:paraId="50304FF9" w14:textId="77777777" w:rsidR="004E0B7F" w:rsidRPr="001C0AD9" w:rsidRDefault="004E0B7F" w:rsidP="00DF7928">
      <w:pPr>
        <w:spacing w:line="360" w:lineRule="auto"/>
        <w:jc w:val="both"/>
        <w:rPr>
          <w:rFonts w:ascii="Palatino Linotype" w:eastAsia="Palatino Linotype" w:hAnsi="Palatino Linotype" w:cs="Palatino Linotype"/>
          <w:color w:val="000000" w:themeColor="text1"/>
        </w:rPr>
      </w:pPr>
      <w:bookmarkStart w:id="41" w:name="_heading=h.i7bz478kigxh" w:colFirst="0" w:colLast="0"/>
      <w:bookmarkEnd w:id="41"/>
      <w:r w:rsidRPr="001C0AD9">
        <w:rPr>
          <w:rFonts w:ascii="Palatino Linotype" w:eastAsia="Palatino Linotype" w:hAnsi="Palatino Linotype" w:cs="Palatino Linotype"/>
          <w:b/>
          <w:color w:val="000000" w:themeColor="text1"/>
        </w:rPr>
        <w:lastRenderedPageBreak/>
        <w:t>TERCERO.</w:t>
      </w:r>
      <w:r w:rsidRPr="001C0AD9">
        <w:rPr>
          <w:rFonts w:ascii="Palatino Linotype" w:eastAsia="Palatino Linotype" w:hAnsi="Palatino Linotype" w:cs="Palatino Linotype"/>
          <w:color w:val="000000" w:themeColor="text1"/>
        </w:rPr>
        <w:t xml:space="preserve"> Notifíquese al Titular de la Unidad de Transparencia del</w:t>
      </w:r>
      <w:r w:rsidRPr="001C0AD9">
        <w:rPr>
          <w:rFonts w:ascii="Palatino Linotype" w:eastAsia="Palatino Linotype" w:hAnsi="Palatino Linotype" w:cs="Palatino Linotype"/>
          <w:b/>
          <w:color w:val="000000" w:themeColor="text1"/>
        </w:rPr>
        <w:t xml:space="preserve"> SUJETO OBLIGADO</w:t>
      </w:r>
      <w:r w:rsidRPr="001C0AD9">
        <w:rPr>
          <w:rFonts w:ascii="Palatino Linotype" w:eastAsia="Palatino Linotype" w:hAnsi="Palatino Linotype" w:cs="Palatino Linotype"/>
          <w:color w:val="000000" w:themeColor="text1"/>
        </w:rPr>
        <w:t xml:space="preserve"> vía </w:t>
      </w:r>
      <w:r w:rsidRPr="001C0AD9">
        <w:rPr>
          <w:rFonts w:ascii="Palatino Linotype" w:eastAsia="Palatino Linotype" w:hAnsi="Palatino Linotype" w:cs="Palatino Linotype"/>
          <w:b/>
          <w:color w:val="000000" w:themeColor="text1"/>
        </w:rPr>
        <w:t>SAIMEX</w:t>
      </w:r>
      <w:r w:rsidRPr="001C0AD9">
        <w:rPr>
          <w:rFonts w:ascii="Palatino Linotype" w:eastAsia="Palatino Linotype" w:hAnsi="Palatino Linotype" w:cs="Palatino Linotype"/>
          <w:color w:val="000000" w:themeColor="text1"/>
        </w:rPr>
        <w:t>, para su conocimiento.</w:t>
      </w:r>
    </w:p>
    <w:p w14:paraId="6878F45F" w14:textId="77777777" w:rsidR="004E0B7F" w:rsidRPr="001C0AD9" w:rsidRDefault="004E0B7F" w:rsidP="00DF7928">
      <w:pPr>
        <w:shd w:val="clear" w:color="auto" w:fill="FFFFFF"/>
        <w:spacing w:line="360" w:lineRule="auto"/>
        <w:jc w:val="both"/>
        <w:rPr>
          <w:rFonts w:ascii="Palatino Linotype" w:eastAsia="Palatino Linotype" w:hAnsi="Palatino Linotype" w:cs="Palatino Linotype"/>
          <w:color w:val="000000" w:themeColor="text1"/>
        </w:rPr>
      </w:pPr>
    </w:p>
    <w:p w14:paraId="0343D674" w14:textId="77777777" w:rsidR="004E0B7F" w:rsidRPr="001C0AD9" w:rsidRDefault="004E0B7F" w:rsidP="00DF7928">
      <w:pPr>
        <w:shd w:val="clear" w:color="auto" w:fill="FFFFFF"/>
        <w:spacing w:line="360" w:lineRule="auto"/>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b/>
          <w:color w:val="000000" w:themeColor="text1"/>
        </w:rPr>
        <w:t>CUARTO.</w:t>
      </w:r>
      <w:r w:rsidRPr="001C0AD9">
        <w:rPr>
          <w:rFonts w:ascii="Palatino Linotype" w:eastAsia="Palatino Linotype" w:hAnsi="Palatino Linotype" w:cs="Palatino Linotype"/>
          <w:color w:val="000000" w:themeColor="text1"/>
        </w:rPr>
        <w:t xml:space="preserve"> Notifíquese al</w:t>
      </w:r>
      <w:r w:rsidRPr="001C0AD9">
        <w:rPr>
          <w:rFonts w:ascii="Palatino Linotype" w:eastAsia="Palatino Linotype" w:hAnsi="Palatino Linotype" w:cs="Palatino Linotype"/>
          <w:b/>
          <w:color w:val="000000" w:themeColor="text1"/>
        </w:rPr>
        <w:t xml:space="preserve"> RECURRENTE</w:t>
      </w:r>
      <w:r w:rsidRPr="001C0AD9">
        <w:rPr>
          <w:rFonts w:ascii="Palatino Linotype" w:eastAsia="Palatino Linotype" w:hAnsi="Palatino Linotype" w:cs="Palatino Linotype"/>
          <w:color w:val="000000" w:themeColor="text1"/>
        </w:rPr>
        <w:t xml:space="preserve"> la presente Resolución vía SAIMEX.</w:t>
      </w:r>
    </w:p>
    <w:p w14:paraId="5C86CFDE" w14:textId="77777777" w:rsidR="004E0B7F" w:rsidRPr="001C0AD9" w:rsidRDefault="004E0B7F" w:rsidP="00DF7928">
      <w:pPr>
        <w:shd w:val="clear" w:color="auto" w:fill="FFFFFF"/>
        <w:spacing w:line="360" w:lineRule="auto"/>
        <w:jc w:val="both"/>
        <w:rPr>
          <w:rFonts w:ascii="Palatino Linotype" w:eastAsia="Palatino Linotype" w:hAnsi="Palatino Linotype" w:cs="Palatino Linotype"/>
          <w:b/>
          <w:color w:val="000000" w:themeColor="text1"/>
        </w:rPr>
      </w:pPr>
    </w:p>
    <w:p w14:paraId="3AE16C8A" w14:textId="77777777" w:rsidR="004E0B7F" w:rsidRPr="001C0AD9" w:rsidRDefault="004E0B7F" w:rsidP="00DF7928">
      <w:pPr>
        <w:shd w:val="clear" w:color="auto" w:fill="FFFFFF"/>
        <w:spacing w:line="360" w:lineRule="auto"/>
        <w:jc w:val="both"/>
        <w:rPr>
          <w:rFonts w:ascii="Palatino Linotype" w:eastAsia="Palatino Linotype" w:hAnsi="Palatino Linotype" w:cs="Palatino Linotype"/>
          <w:color w:val="000000" w:themeColor="text1"/>
        </w:rPr>
      </w:pPr>
      <w:r w:rsidRPr="001C0AD9">
        <w:rPr>
          <w:rFonts w:ascii="Palatino Linotype" w:eastAsia="Palatino Linotype" w:hAnsi="Palatino Linotype" w:cs="Palatino Linotype"/>
          <w:b/>
          <w:color w:val="000000" w:themeColor="text1"/>
        </w:rPr>
        <w:t xml:space="preserve">QUINTO. </w:t>
      </w:r>
      <w:r w:rsidRPr="001C0AD9">
        <w:rPr>
          <w:rFonts w:ascii="Palatino Linotype" w:hAnsi="Palatino Linotype"/>
          <w:color w:val="000000" w:themeColor="text1"/>
        </w:rPr>
        <w:t>Se hace del conocimiento del</w:t>
      </w:r>
      <w:r w:rsidRPr="001C0AD9">
        <w:rPr>
          <w:rFonts w:ascii="Palatino Linotype" w:hAnsi="Palatino Linotype"/>
          <w:b/>
          <w:color w:val="000000" w:themeColor="text1"/>
        </w:rPr>
        <w:t xml:space="preserve"> RECURRENTE</w:t>
      </w:r>
      <w:r w:rsidRPr="001C0AD9">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C0AD9">
        <w:rPr>
          <w:rFonts w:ascii="Palatino Linotype" w:hAnsi="Palatino Linotype"/>
          <w:bCs/>
          <w:color w:val="000000" w:themeColor="text1"/>
        </w:rPr>
        <w:t>vía juicio de amparo</w:t>
      </w:r>
      <w:r w:rsidRPr="001C0AD9">
        <w:rPr>
          <w:rFonts w:ascii="Palatino Linotype" w:hAnsi="Palatino Linotype"/>
          <w:color w:val="000000" w:themeColor="text1"/>
        </w:rPr>
        <w:t> en los términos de las leyes aplicables.</w:t>
      </w:r>
    </w:p>
    <w:p w14:paraId="750DC265" w14:textId="77777777" w:rsidR="000967D3" w:rsidRPr="001C0AD9" w:rsidRDefault="000967D3" w:rsidP="00DF7928">
      <w:pPr>
        <w:shd w:val="clear" w:color="auto" w:fill="FFFFFF"/>
        <w:spacing w:line="360" w:lineRule="auto"/>
        <w:jc w:val="both"/>
        <w:rPr>
          <w:rFonts w:ascii="Palatino Linotype" w:eastAsia="MS Mincho" w:hAnsi="Palatino Linotype"/>
          <w:color w:val="000000" w:themeColor="text1"/>
          <w:lang w:val="es-ES"/>
        </w:rPr>
      </w:pPr>
    </w:p>
    <w:p w14:paraId="1FEF4C6D" w14:textId="3EFB2EEF" w:rsidR="000B3514" w:rsidRPr="009B0452" w:rsidRDefault="001C0AD9" w:rsidP="000B3514">
      <w:pPr>
        <w:spacing w:line="360" w:lineRule="auto"/>
        <w:ind w:right="49"/>
        <w:jc w:val="both"/>
        <w:rPr>
          <w:rFonts w:ascii="Palatino Linotype" w:eastAsia="Palatino Linotype" w:hAnsi="Palatino Linotype" w:cs="Palatino Linotype"/>
        </w:rPr>
      </w:pPr>
      <w:r w:rsidRPr="001C0AD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0B3514" w:rsidRPr="001C0AD9">
        <w:rPr>
          <w:rFonts w:ascii="Palatino Linotype" w:eastAsia="Palatino Linotype" w:hAnsi="Palatino Linotype" w:cs="Palatino Linotype"/>
        </w:rPr>
        <w:t>.</w:t>
      </w:r>
    </w:p>
    <w:p w14:paraId="4D87E313" w14:textId="77777777" w:rsidR="00207D17" w:rsidRPr="00DF7928" w:rsidRDefault="00207D17" w:rsidP="00DF7928">
      <w:pPr>
        <w:spacing w:line="360" w:lineRule="auto"/>
        <w:jc w:val="both"/>
        <w:rPr>
          <w:rFonts w:ascii="Palatino Linotype" w:hAnsi="Palatino Linotype"/>
          <w:color w:val="000000" w:themeColor="text1"/>
        </w:rPr>
      </w:pPr>
    </w:p>
    <w:p w14:paraId="711F3B1F" w14:textId="77777777" w:rsidR="00207D17" w:rsidRPr="00DF7928" w:rsidRDefault="00207D17" w:rsidP="00DF7928">
      <w:pPr>
        <w:spacing w:line="360" w:lineRule="auto"/>
        <w:jc w:val="both"/>
        <w:rPr>
          <w:rFonts w:ascii="Palatino Linotype" w:hAnsi="Palatino Linotype"/>
          <w:color w:val="000000" w:themeColor="text1"/>
        </w:rPr>
      </w:pPr>
    </w:p>
    <w:p w14:paraId="562C11B1" w14:textId="77777777" w:rsidR="00207D17" w:rsidRPr="00DF7928" w:rsidRDefault="00207D17" w:rsidP="00DF7928">
      <w:pPr>
        <w:spacing w:line="360" w:lineRule="auto"/>
        <w:jc w:val="both"/>
        <w:rPr>
          <w:rFonts w:ascii="Palatino Linotype" w:hAnsi="Palatino Linotype"/>
          <w:color w:val="000000" w:themeColor="text1"/>
        </w:rPr>
      </w:pPr>
    </w:p>
    <w:p w14:paraId="73AF8FD6" w14:textId="77777777" w:rsidR="00207D17" w:rsidRPr="00DF7928" w:rsidRDefault="00207D17" w:rsidP="00DF7928">
      <w:pPr>
        <w:spacing w:line="360" w:lineRule="auto"/>
        <w:jc w:val="both"/>
        <w:rPr>
          <w:rFonts w:ascii="Palatino Linotype" w:hAnsi="Palatino Linotype"/>
          <w:color w:val="000000" w:themeColor="text1"/>
        </w:rPr>
      </w:pPr>
    </w:p>
    <w:p w14:paraId="312DEB18" w14:textId="77777777" w:rsidR="00207D17" w:rsidRPr="00DF7928" w:rsidRDefault="00207D17" w:rsidP="00DF7928">
      <w:pPr>
        <w:spacing w:line="360" w:lineRule="auto"/>
        <w:jc w:val="both"/>
        <w:rPr>
          <w:rFonts w:ascii="Palatino Linotype" w:hAnsi="Palatino Linotype"/>
          <w:color w:val="000000" w:themeColor="text1"/>
        </w:rPr>
      </w:pPr>
    </w:p>
    <w:p w14:paraId="49A0D65A" w14:textId="77777777" w:rsidR="00207D17" w:rsidRPr="00DF7928" w:rsidRDefault="00207D17" w:rsidP="00DF7928">
      <w:pPr>
        <w:spacing w:line="360" w:lineRule="auto"/>
        <w:jc w:val="both"/>
        <w:rPr>
          <w:rFonts w:ascii="Palatino Linotype" w:hAnsi="Palatino Linotype"/>
          <w:color w:val="000000" w:themeColor="text1"/>
        </w:rPr>
      </w:pPr>
    </w:p>
    <w:p w14:paraId="3A4C2458" w14:textId="77777777" w:rsidR="00207D17" w:rsidRPr="00DF7928" w:rsidRDefault="00207D17" w:rsidP="00DF7928">
      <w:pPr>
        <w:spacing w:line="360" w:lineRule="auto"/>
        <w:jc w:val="both"/>
        <w:rPr>
          <w:rFonts w:ascii="Palatino Linotype" w:hAnsi="Palatino Linotype"/>
          <w:color w:val="000000" w:themeColor="text1"/>
        </w:rPr>
      </w:pPr>
    </w:p>
    <w:p w14:paraId="161B2228" w14:textId="77777777" w:rsidR="00207D17" w:rsidRPr="00DF7928" w:rsidRDefault="00207D17" w:rsidP="00DF7928">
      <w:pPr>
        <w:spacing w:line="360" w:lineRule="auto"/>
        <w:jc w:val="both"/>
        <w:rPr>
          <w:rFonts w:ascii="Palatino Linotype" w:hAnsi="Palatino Linotype"/>
          <w:color w:val="000000" w:themeColor="text1"/>
        </w:rPr>
      </w:pPr>
    </w:p>
    <w:p w14:paraId="29FA185F" w14:textId="77777777" w:rsidR="00207D17" w:rsidRPr="00DF7928" w:rsidRDefault="00207D17" w:rsidP="00DF7928">
      <w:pPr>
        <w:spacing w:line="360" w:lineRule="auto"/>
        <w:jc w:val="both"/>
        <w:rPr>
          <w:rFonts w:ascii="Palatino Linotype" w:hAnsi="Palatino Linotype"/>
          <w:color w:val="000000" w:themeColor="text1"/>
        </w:rPr>
      </w:pPr>
    </w:p>
    <w:p w14:paraId="7A85C50E" w14:textId="77777777" w:rsidR="00207D17" w:rsidRPr="00DF7928" w:rsidRDefault="00207D17" w:rsidP="00DF7928">
      <w:pPr>
        <w:spacing w:line="360" w:lineRule="auto"/>
        <w:jc w:val="both"/>
        <w:rPr>
          <w:rFonts w:ascii="Palatino Linotype" w:hAnsi="Palatino Linotype"/>
          <w:color w:val="000000" w:themeColor="text1"/>
        </w:rPr>
      </w:pPr>
    </w:p>
    <w:p w14:paraId="78E5B467" w14:textId="77777777" w:rsidR="00207D17" w:rsidRPr="00DF7928" w:rsidRDefault="00207D17" w:rsidP="00DF7928">
      <w:pPr>
        <w:spacing w:line="360" w:lineRule="auto"/>
        <w:jc w:val="both"/>
        <w:rPr>
          <w:rFonts w:ascii="Palatino Linotype" w:hAnsi="Palatino Linotype"/>
          <w:color w:val="000000" w:themeColor="text1"/>
        </w:rPr>
      </w:pPr>
    </w:p>
    <w:p w14:paraId="1F46B93F" w14:textId="77777777" w:rsidR="00207D17" w:rsidRPr="00DF7928" w:rsidRDefault="00207D17" w:rsidP="00DF7928">
      <w:pPr>
        <w:spacing w:line="360" w:lineRule="auto"/>
        <w:jc w:val="both"/>
        <w:rPr>
          <w:rFonts w:ascii="Palatino Linotype" w:hAnsi="Palatino Linotype"/>
          <w:color w:val="000000" w:themeColor="text1"/>
        </w:rPr>
      </w:pPr>
    </w:p>
    <w:p w14:paraId="773D7A07" w14:textId="77777777" w:rsidR="00207D17" w:rsidRPr="00DF7928" w:rsidRDefault="00207D17" w:rsidP="00DF7928">
      <w:pPr>
        <w:spacing w:line="360" w:lineRule="auto"/>
        <w:jc w:val="both"/>
        <w:rPr>
          <w:rFonts w:ascii="Palatino Linotype" w:hAnsi="Palatino Linotype"/>
          <w:color w:val="000000" w:themeColor="text1"/>
        </w:rPr>
      </w:pPr>
    </w:p>
    <w:p w14:paraId="0C7F5E13" w14:textId="77777777" w:rsidR="00207D17" w:rsidRPr="00DF7928" w:rsidRDefault="00207D17" w:rsidP="00DF7928">
      <w:pPr>
        <w:spacing w:line="360" w:lineRule="auto"/>
        <w:jc w:val="both"/>
        <w:rPr>
          <w:rFonts w:ascii="Palatino Linotype" w:hAnsi="Palatino Linotype"/>
          <w:color w:val="000000" w:themeColor="text1"/>
        </w:rPr>
      </w:pPr>
    </w:p>
    <w:p w14:paraId="0D48B860" w14:textId="77777777" w:rsidR="00207D17" w:rsidRPr="00DF7928" w:rsidRDefault="00207D17" w:rsidP="00DF7928">
      <w:pPr>
        <w:spacing w:line="360" w:lineRule="auto"/>
        <w:jc w:val="both"/>
        <w:rPr>
          <w:rFonts w:ascii="Palatino Linotype" w:hAnsi="Palatino Linotype"/>
          <w:color w:val="000000" w:themeColor="text1"/>
        </w:rPr>
      </w:pPr>
    </w:p>
    <w:p w14:paraId="39D5FA91" w14:textId="77777777" w:rsidR="00207D17" w:rsidRPr="00DF7928" w:rsidRDefault="00207D17" w:rsidP="00DF7928">
      <w:pPr>
        <w:spacing w:line="360" w:lineRule="auto"/>
        <w:jc w:val="both"/>
        <w:rPr>
          <w:rFonts w:ascii="Palatino Linotype" w:hAnsi="Palatino Linotype"/>
          <w:color w:val="000000" w:themeColor="text1"/>
        </w:rPr>
      </w:pPr>
    </w:p>
    <w:p w14:paraId="60FA4F49" w14:textId="77777777" w:rsidR="00207D17" w:rsidRPr="00DF7928" w:rsidRDefault="00207D17" w:rsidP="00DF7928">
      <w:pPr>
        <w:spacing w:line="360" w:lineRule="auto"/>
        <w:jc w:val="both"/>
        <w:rPr>
          <w:rFonts w:ascii="Palatino Linotype" w:hAnsi="Palatino Linotype"/>
          <w:color w:val="000000" w:themeColor="text1"/>
        </w:rPr>
      </w:pPr>
    </w:p>
    <w:p w14:paraId="7DC08FB6" w14:textId="77777777" w:rsidR="00207D17" w:rsidRPr="00DF7928" w:rsidRDefault="00207D17" w:rsidP="00DF7928">
      <w:pPr>
        <w:spacing w:line="360" w:lineRule="auto"/>
        <w:jc w:val="both"/>
        <w:rPr>
          <w:rFonts w:ascii="Palatino Linotype" w:hAnsi="Palatino Linotype"/>
          <w:color w:val="000000" w:themeColor="text1"/>
        </w:rPr>
      </w:pPr>
    </w:p>
    <w:p w14:paraId="5F564468" w14:textId="77777777" w:rsidR="00207D17" w:rsidRPr="00DF7928" w:rsidRDefault="00207D17" w:rsidP="00DF7928">
      <w:pPr>
        <w:spacing w:line="360" w:lineRule="auto"/>
        <w:jc w:val="both"/>
        <w:rPr>
          <w:rFonts w:ascii="Palatino Linotype" w:hAnsi="Palatino Linotype"/>
          <w:color w:val="000000" w:themeColor="text1"/>
        </w:rPr>
      </w:pPr>
    </w:p>
    <w:p w14:paraId="0B8B3D66" w14:textId="77777777" w:rsidR="00207D17" w:rsidRPr="00DF7928" w:rsidRDefault="00207D17" w:rsidP="00DF7928">
      <w:pPr>
        <w:spacing w:line="360" w:lineRule="auto"/>
        <w:jc w:val="both"/>
        <w:rPr>
          <w:rFonts w:ascii="Palatino Linotype" w:hAnsi="Palatino Linotype"/>
          <w:color w:val="000000" w:themeColor="text1"/>
        </w:rPr>
      </w:pPr>
    </w:p>
    <w:p w14:paraId="77BF2FF1" w14:textId="77777777" w:rsidR="00207D17" w:rsidRPr="00DF7928" w:rsidRDefault="00207D17" w:rsidP="00DF7928">
      <w:pPr>
        <w:spacing w:line="360" w:lineRule="auto"/>
        <w:jc w:val="both"/>
        <w:rPr>
          <w:rFonts w:ascii="Palatino Linotype" w:hAnsi="Palatino Linotype"/>
          <w:color w:val="000000" w:themeColor="text1"/>
        </w:rPr>
      </w:pPr>
    </w:p>
    <w:p w14:paraId="7C9F3219" w14:textId="77777777" w:rsidR="00207D17" w:rsidRPr="00DF7928" w:rsidRDefault="00207D17" w:rsidP="00DF7928">
      <w:pPr>
        <w:spacing w:line="360" w:lineRule="auto"/>
        <w:jc w:val="both"/>
        <w:rPr>
          <w:rFonts w:ascii="Palatino Linotype" w:hAnsi="Palatino Linotype"/>
          <w:color w:val="000000" w:themeColor="text1"/>
        </w:rPr>
      </w:pPr>
    </w:p>
    <w:p w14:paraId="0251EB89" w14:textId="77777777" w:rsidR="00207D17" w:rsidRPr="00DF7928" w:rsidRDefault="00207D17" w:rsidP="00DF7928">
      <w:pPr>
        <w:spacing w:line="360" w:lineRule="auto"/>
        <w:jc w:val="both"/>
        <w:rPr>
          <w:rFonts w:ascii="Palatino Linotype" w:hAnsi="Palatino Linotype"/>
          <w:color w:val="000000" w:themeColor="text1"/>
        </w:rPr>
      </w:pPr>
    </w:p>
    <w:p w14:paraId="1BC5A364" w14:textId="77777777" w:rsidR="000D3835" w:rsidRPr="00DF7928" w:rsidRDefault="000D3835" w:rsidP="00DF7928">
      <w:pPr>
        <w:spacing w:line="360" w:lineRule="auto"/>
        <w:jc w:val="both"/>
        <w:rPr>
          <w:rFonts w:ascii="Palatino Linotype" w:hAnsi="Palatino Linotype"/>
          <w:color w:val="000000" w:themeColor="text1"/>
        </w:rPr>
      </w:pPr>
    </w:p>
    <w:sectPr w:rsidR="000D3835" w:rsidRPr="00DF7928" w:rsidSect="00A23858">
      <w:headerReference w:type="even" r:id="rId8"/>
      <w:headerReference w:type="default" r:id="rId9"/>
      <w:footerReference w:type="default" r:id="rId10"/>
      <w:headerReference w:type="first" r:id="rId11"/>
      <w:footerReference w:type="first" r:id="rId12"/>
      <w:pgSz w:w="12240" w:h="15840"/>
      <w:pgMar w:top="80" w:right="758" w:bottom="2269"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4EEBF" w14:textId="77777777" w:rsidR="00FD359C" w:rsidRDefault="00FD359C" w:rsidP="00207D17">
      <w:r>
        <w:separator/>
      </w:r>
    </w:p>
  </w:endnote>
  <w:endnote w:type="continuationSeparator" w:id="0">
    <w:p w14:paraId="2876DF93" w14:textId="77777777" w:rsidR="00FD359C" w:rsidRDefault="00FD359C"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BEF52" w14:textId="77777777" w:rsidR="0030306D" w:rsidRDefault="0030306D">
    <w:pPr>
      <w:pStyle w:val="Piedepgina"/>
      <w:jc w:val="right"/>
    </w:pPr>
    <w:r>
      <w:rPr>
        <w:lang w:val="es-ES"/>
      </w:rPr>
      <w:t xml:space="preserve">Página </w:t>
    </w:r>
    <w:r>
      <w:rPr>
        <w:b/>
        <w:bCs/>
      </w:rPr>
      <w:fldChar w:fldCharType="begin"/>
    </w:r>
    <w:r>
      <w:rPr>
        <w:b/>
        <w:bCs/>
      </w:rPr>
      <w:instrText>PAGE</w:instrText>
    </w:r>
    <w:r>
      <w:rPr>
        <w:b/>
        <w:bCs/>
      </w:rPr>
      <w:fldChar w:fldCharType="separate"/>
    </w:r>
    <w:r w:rsidR="00A23858">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3858">
      <w:rPr>
        <w:b/>
        <w:bCs/>
        <w:noProof/>
      </w:rPr>
      <w:t>23</w:t>
    </w:r>
    <w:r>
      <w:rPr>
        <w:b/>
        <w:bCs/>
      </w:rPr>
      <w:fldChar w:fldCharType="end"/>
    </w:r>
  </w:p>
  <w:p w14:paraId="4BF91666" w14:textId="77777777" w:rsidR="0030306D" w:rsidRDefault="003030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4B3C" w14:textId="77777777" w:rsidR="0030306D" w:rsidRDefault="0030306D">
    <w:pPr>
      <w:pStyle w:val="Piedepgina"/>
      <w:jc w:val="right"/>
    </w:pPr>
    <w:r>
      <w:rPr>
        <w:lang w:val="es-ES"/>
      </w:rPr>
      <w:t xml:space="preserve">Página </w:t>
    </w:r>
    <w:r>
      <w:rPr>
        <w:b/>
        <w:bCs/>
      </w:rPr>
      <w:fldChar w:fldCharType="begin"/>
    </w:r>
    <w:r>
      <w:rPr>
        <w:b/>
        <w:bCs/>
      </w:rPr>
      <w:instrText>PAGE</w:instrText>
    </w:r>
    <w:r>
      <w:rPr>
        <w:b/>
        <w:bCs/>
      </w:rPr>
      <w:fldChar w:fldCharType="separate"/>
    </w:r>
    <w:r w:rsidR="00A2385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23858">
      <w:rPr>
        <w:b/>
        <w:bCs/>
        <w:noProof/>
      </w:rPr>
      <w:t>23</w:t>
    </w:r>
    <w:r>
      <w:rPr>
        <w:b/>
        <w:bCs/>
      </w:rPr>
      <w:fldChar w:fldCharType="end"/>
    </w:r>
  </w:p>
  <w:p w14:paraId="00B0263A" w14:textId="77777777" w:rsidR="0030306D" w:rsidRDefault="003030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A314" w14:textId="77777777" w:rsidR="00FD359C" w:rsidRDefault="00FD359C" w:rsidP="00207D17">
      <w:r>
        <w:separator/>
      </w:r>
    </w:p>
  </w:footnote>
  <w:footnote w:type="continuationSeparator" w:id="0">
    <w:p w14:paraId="08167DE4" w14:textId="77777777" w:rsidR="00FD359C" w:rsidRDefault="00FD359C" w:rsidP="00207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FAC3" w14:textId="77777777" w:rsidR="0030306D" w:rsidRDefault="00FD359C">
    <w:pPr>
      <w:pStyle w:val="Encabezado"/>
    </w:pPr>
    <w:r>
      <w:rPr>
        <w:noProof/>
      </w:rPr>
      <w:pict w14:anchorId="65A73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30306D" w:rsidRPr="005C106F" w14:paraId="7ED376A5" w14:textId="77777777" w:rsidTr="00A23858">
      <w:trPr>
        <w:trHeight w:val="1435"/>
      </w:trPr>
      <w:tc>
        <w:tcPr>
          <w:tcW w:w="2268" w:type="dxa"/>
          <w:shd w:val="clear" w:color="auto" w:fill="auto"/>
        </w:tcPr>
        <w:p w14:paraId="502B8841" w14:textId="77777777" w:rsidR="0030306D" w:rsidRPr="005C106F" w:rsidRDefault="0030306D" w:rsidP="000D3835">
          <w:pPr>
            <w:tabs>
              <w:tab w:val="right" w:pos="4273"/>
            </w:tabs>
            <w:rPr>
              <w:rFonts w:ascii="Garamond" w:eastAsia="Calibri" w:hAnsi="Garamond"/>
              <w:sz w:val="16"/>
              <w:szCs w:val="16"/>
              <w:lang w:eastAsia="en-US"/>
            </w:rPr>
          </w:pPr>
        </w:p>
      </w:tc>
      <w:tc>
        <w:tcPr>
          <w:tcW w:w="7655" w:type="dxa"/>
          <w:shd w:val="clear" w:color="auto" w:fill="auto"/>
        </w:tcPr>
        <w:tbl>
          <w:tblPr>
            <w:tblW w:w="6946" w:type="dxa"/>
            <w:tblInd w:w="1452" w:type="dxa"/>
            <w:tblLayout w:type="fixed"/>
            <w:tblLook w:val="0420" w:firstRow="1" w:lastRow="0" w:firstColumn="0" w:lastColumn="0" w:noHBand="0" w:noVBand="1"/>
          </w:tblPr>
          <w:tblGrid>
            <w:gridCol w:w="2693"/>
            <w:gridCol w:w="4253"/>
          </w:tblGrid>
          <w:tr w:rsidR="0030306D" w:rsidRPr="00DF7928" w14:paraId="379F5752" w14:textId="77777777" w:rsidTr="00A23858">
            <w:trPr>
              <w:trHeight w:val="150"/>
            </w:trPr>
            <w:tc>
              <w:tcPr>
                <w:tcW w:w="2693" w:type="dxa"/>
                <w:shd w:val="clear" w:color="auto" w:fill="auto"/>
              </w:tcPr>
              <w:p w14:paraId="5DC82EFB" w14:textId="77777777" w:rsidR="0030306D" w:rsidRPr="00DF7928" w:rsidRDefault="0030306D" w:rsidP="00DF7928">
                <w:pPr>
                  <w:tabs>
                    <w:tab w:val="right" w:pos="8838"/>
                  </w:tabs>
                  <w:ind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Recurso de Revisión:</w:t>
                </w:r>
              </w:p>
            </w:tc>
            <w:tc>
              <w:tcPr>
                <w:tcW w:w="4253" w:type="dxa"/>
                <w:shd w:val="clear" w:color="auto" w:fill="auto"/>
              </w:tcPr>
              <w:p w14:paraId="63BF2946" w14:textId="77777777" w:rsidR="0030306D" w:rsidRPr="00DF7928" w:rsidRDefault="0030306D" w:rsidP="00DF7928">
                <w:pPr>
                  <w:tabs>
                    <w:tab w:val="right" w:pos="8838"/>
                  </w:tabs>
                  <w:ind w:left="-108" w:right="-102"/>
                  <w:jc w:val="both"/>
                  <w:rPr>
                    <w:rFonts w:ascii="Palatino Linotype" w:eastAsia="Calibri" w:hAnsi="Palatino Linotype" w:cs="Tahoma"/>
                    <w:bCs/>
                    <w:lang w:val="es-ES" w:eastAsia="en-US"/>
                  </w:rPr>
                </w:pPr>
                <w:r w:rsidRPr="00DF7928">
                  <w:rPr>
                    <w:rFonts w:ascii="Palatino Linotype" w:eastAsia="Calibri" w:hAnsi="Palatino Linotype" w:cs="Tahoma"/>
                    <w:bCs/>
                    <w:lang w:eastAsia="en-US"/>
                  </w:rPr>
                  <w:t>04688/INFOEM/IP/RR/2025</w:t>
                </w:r>
              </w:p>
            </w:tc>
          </w:tr>
          <w:tr w:rsidR="0030306D" w:rsidRPr="00DF7928" w14:paraId="62DB6A4B" w14:textId="77777777" w:rsidTr="00A23858">
            <w:trPr>
              <w:trHeight w:val="295"/>
            </w:trPr>
            <w:tc>
              <w:tcPr>
                <w:tcW w:w="2693" w:type="dxa"/>
                <w:shd w:val="clear" w:color="auto" w:fill="auto"/>
              </w:tcPr>
              <w:p w14:paraId="76E5A60C" w14:textId="77777777" w:rsidR="0030306D" w:rsidRPr="00DF7928" w:rsidRDefault="0030306D" w:rsidP="00DF7928">
                <w:pPr>
                  <w:tabs>
                    <w:tab w:val="right" w:pos="8838"/>
                  </w:tabs>
                  <w:ind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Sujeto Obligado:</w:t>
                </w:r>
              </w:p>
            </w:tc>
            <w:tc>
              <w:tcPr>
                <w:tcW w:w="4253" w:type="dxa"/>
                <w:shd w:val="clear" w:color="auto" w:fill="auto"/>
              </w:tcPr>
              <w:p w14:paraId="63202294" w14:textId="77777777" w:rsidR="0030306D" w:rsidRPr="00DF7928" w:rsidRDefault="0030306D" w:rsidP="00DF7928">
                <w:pPr>
                  <w:tabs>
                    <w:tab w:val="right" w:pos="8838"/>
                  </w:tabs>
                  <w:ind w:left="-108" w:right="-102"/>
                  <w:jc w:val="both"/>
                  <w:rPr>
                    <w:rFonts w:ascii="Palatino Linotype" w:eastAsia="Calibri" w:hAnsi="Palatino Linotype" w:cs="Tahoma"/>
                    <w:b/>
                    <w:lang w:val="es-ES" w:eastAsia="en-US"/>
                  </w:rPr>
                </w:pPr>
                <w:r w:rsidRPr="00DF7928">
                  <w:rPr>
                    <w:rFonts w:ascii="Palatino Linotype" w:eastAsia="Calibri" w:hAnsi="Palatino Linotype" w:cs="Tahoma"/>
                    <w:lang w:eastAsia="en-US"/>
                  </w:rPr>
                  <w:t>Ayuntamiento de Polotitlán</w:t>
                </w:r>
              </w:p>
            </w:tc>
          </w:tr>
          <w:tr w:rsidR="0030306D" w:rsidRPr="00DF7928" w14:paraId="5E0C9326" w14:textId="77777777" w:rsidTr="00A23858">
            <w:trPr>
              <w:trHeight w:val="295"/>
            </w:trPr>
            <w:tc>
              <w:tcPr>
                <w:tcW w:w="2693" w:type="dxa"/>
                <w:shd w:val="clear" w:color="auto" w:fill="auto"/>
              </w:tcPr>
              <w:p w14:paraId="1689B9FB" w14:textId="77777777" w:rsidR="0030306D" w:rsidRPr="00DF7928" w:rsidRDefault="0030306D" w:rsidP="00DF7928">
                <w:pPr>
                  <w:tabs>
                    <w:tab w:val="right" w:pos="8838"/>
                  </w:tabs>
                  <w:ind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Comisionada Ponente:</w:t>
                </w:r>
              </w:p>
            </w:tc>
            <w:tc>
              <w:tcPr>
                <w:tcW w:w="4253" w:type="dxa"/>
                <w:shd w:val="clear" w:color="auto" w:fill="auto"/>
              </w:tcPr>
              <w:p w14:paraId="3CB099E4" w14:textId="77777777" w:rsidR="0030306D" w:rsidRPr="00DF7928" w:rsidRDefault="0030306D" w:rsidP="00DF7928">
                <w:pPr>
                  <w:tabs>
                    <w:tab w:val="right" w:pos="8838"/>
                  </w:tabs>
                  <w:ind w:left="-108" w:right="-102"/>
                  <w:jc w:val="both"/>
                  <w:rPr>
                    <w:rFonts w:ascii="Palatino Linotype" w:eastAsia="Calibri" w:hAnsi="Palatino Linotype" w:cs="Tahoma"/>
                    <w:b/>
                    <w:lang w:val="es-ES" w:eastAsia="en-US"/>
                  </w:rPr>
                </w:pPr>
                <w:r w:rsidRPr="00DF7928">
                  <w:rPr>
                    <w:rFonts w:ascii="Palatino Linotype" w:eastAsia="Calibri" w:hAnsi="Palatino Linotype" w:cs="Tahoma"/>
                    <w:lang w:val="es-ES" w:eastAsia="en-US"/>
                  </w:rPr>
                  <w:t>María del Rosario Mejía Ayala</w:t>
                </w:r>
              </w:p>
            </w:tc>
          </w:tr>
        </w:tbl>
        <w:p w14:paraId="2375F20C" w14:textId="77777777" w:rsidR="0030306D" w:rsidRPr="005C106F" w:rsidRDefault="0030306D" w:rsidP="000D3835">
          <w:pPr>
            <w:tabs>
              <w:tab w:val="right" w:pos="8838"/>
            </w:tabs>
            <w:ind w:left="-28"/>
            <w:jc w:val="both"/>
            <w:rPr>
              <w:rFonts w:ascii="Arial" w:eastAsia="Calibri" w:hAnsi="Arial" w:cs="Arial"/>
              <w:b/>
              <w:sz w:val="22"/>
              <w:szCs w:val="22"/>
              <w:lang w:eastAsia="en-US"/>
            </w:rPr>
          </w:pPr>
        </w:p>
      </w:tc>
    </w:tr>
  </w:tbl>
  <w:p w14:paraId="117B924D" w14:textId="77777777" w:rsidR="0030306D" w:rsidRPr="00443C6B" w:rsidRDefault="00FD359C" w:rsidP="000D3835">
    <w:pPr>
      <w:pStyle w:val="Encabezado"/>
      <w:rPr>
        <w:sz w:val="14"/>
      </w:rPr>
    </w:pPr>
    <w:r>
      <w:rPr>
        <w:noProof/>
        <w:sz w:val="14"/>
      </w:rPr>
      <w:pict w14:anchorId="5B7A8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30306D" w:rsidRPr="00330DA7" w14:paraId="4B456AF0" w14:textId="77777777" w:rsidTr="00DF7928">
      <w:trPr>
        <w:trHeight w:val="1435"/>
      </w:trPr>
      <w:tc>
        <w:tcPr>
          <w:tcW w:w="2268" w:type="dxa"/>
          <w:shd w:val="clear" w:color="auto" w:fill="auto"/>
        </w:tcPr>
        <w:p w14:paraId="16244FCC" w14:textId="77777777" w:rsidR="0030306D" w:rsidRPr="00330DA7" w:rsidRDefault="0030306D" w:rsidP="000D3835">
          <w:pPr>
            <w:tabs>
              <w:tab w:val="right" w:pos="4273"/>
            </w:tabs>
            <w:rPr>
              <w:rFonts w:ascii="Garamond" w:eastAsia="Calibri" w:hAnsi="Garamond"/>
              <w:sz w:val="22"/>
              <w:szCs w:val="22"/>
              <w:lang w:eastAsia="en-US"/>
            </w:rPr>
          </w:pPr>
        </w:p>
      </w:tc>
      <w:tc>
        <w:tcPr>
          <w:tcW w:w="7797" w:type="dxa"/>
          <w:shd w:val="clear" w:color="auto" w:fill="auto"/>
        </w:tcPr>
        <w:tbl>
          <w:tblPr>
            <w:tblW w:w="11129" w:type="dxa"/>
            <w:tblInd w:w="1593" w:type="dxa"/>
            <w:tblLayout w:type="fixed"/>
            <w:tblLook w:val="0420" w:firstRow="1" w:lastRow="0" w:firstColumn="0" w:lastColumn="0" w:noHBand="0" w:noVBand="1"/>
          </w:tblPr>
          <w:tblGrid>
            <w:gridCol w:w="2693"/>
            <w:gridCol w:w="4218"/>
            <w:gridCol w:w="4218"/>
          </w:tblGrid>
          <w:tr w:rsidR="0030306D" w:rsidRPr="00330DA7" w14:paraId="6FEF725D" w14:textId="77777777" w:rsidTr="00A23858">
            <w:trPr>
              <w:trHeight w:val="144"/>
            </w:trPr>
            <w:tc>
              <w:tcPr>
                <w:tcW w:w="2693" w:type="dxa"/>
                <w:shd w:val="clear" w:color="auto" w:fill="auto"/>
              </w:tcPr>
              <w:p w14:paraId="0A16149D" w14:textId="77777777" w:rsidR="0030306D" w:rsidRPr="00DF7928" w:rsidRDefault="0030306D" w:rsidP="00DF7928">
                <w:pPr>
                  <w:tabs>
                    <w:tab w:val="right" w:pos="8838"/>
                  </w:tabs>
                  <w:ind w:left="-264" w:right="-105" w:firstLine="195"/>
                  <w:rPr>
                    <w:rFonts w:ascii="Palatino Linotype" w:eastAsia="Calibri" w:hAnsi="Palatino Linotype" w:cs="Tahoma"/>
                    <w:b/>
                    <w:lang w:val="es-ES" w:eastAsia="en-US"/>
                  </w:rPr>
                </w:pPr>
                <w:r w:rsidRPr="00DF7928">
                  <w:rPr>
                    <w:rFonts w:ascii="Palatino Linotype" w:eastAsia="Calibri" w:hAnsi="Palatino Linotype" w:cs="Tahoma"/>
                    <w:b/>
                    <w:lang w:val="es-ES" w:eastAsia="en-US"/>
                  </w:rPr>
                  <w:t>Recurso de Revisión:</w:t>
                </w:r>
              </w:p>
            </w:tc>
            <w:tc>
              <w:tcPr>
                <w:tcW w:w="4218" w:type="dxa"/>
                <w:shd w:val="clear" w:color="auto" w:fill="auto"/>
              </w:tcPr>
              <w:p w14:paraId="0C2173CD" w14:textId="77777777" w:rsidR="0030306D" w:rsidRPr="00DF7928" w:rsidRDefault="0030306D" w:rsidP="00DF7928">
                <w:pPr>
                  <w:tabs>
                    <w:tab w:val="right" w:pos="8838"/>
                  </w:tabs>
                  <w:ind w:left="-108" w:right="-105"/>
                  <w:jc w:val="both"/>
                  <w:rPr>
                    <w:rFonts w:ascii="Palatino Linotype" w:eastAsia="Calibri" w:hAnsi="Palatino Linotype" w:cs="Tahoma"/>
                    <w:bCs/>
                    <w:lang w:val="es-ES" w:eastAsia="en-US"/>
                  </w:rPr>
                </w:pPr>
                <w:r w:rsidRPr="00DF7928">
                  <w:rPr>
                    <w:rFonts w:ascii="Palatino Linotype" w:eastAsia="Calibri" w:hAnsi="Palatino Linotype" w:cs="Tahoma"/>
                    <w:lang w:eastAsia="en-US"/>
                  </w:rPr>
                  <w:t>04688/INFOEM/IP/RR/2025</w:t>
                </w:r>
              </w:p>
            </w:tc>
            <w:tc>
              <w:tcPr>
                <w:tcW w:w="4218" w:type="dxa"/>
              </w:tcPr>
              <w:p w14:paraId="7A642BC1" w14:textId="77777777" w:rsidR="0030306D" w:rsidRDefault="0030306D" w:rsidP="000D3835">
                <w:pPr>
                  <w:tabs>
                    <w:tab w:val="right" w:pos="8838"/>
                  </w:tabs>
                  <w:ind w:left="-74" w:right="-105"/>
                  <w:jc w:val="both"/>
                  <w:rPr>
                    <w:rFonts w:ascii="Palatino Linotype" w:eastAsia="Calibri" w:hAnsi="Palatino Linotype" w:cs="Tahoma"/>
                    <w:sz w:val="22"/>
                    <w:szCs w:val="22"/>
                    <w:lang w:eastAsia="en-US"/>
                  </w:rPr>
                </w:pPr>
              </w:p>
            </w:tc>
          </w:tr>
          <w:tr w:rsidR="0030306D" w:rsidRPr="00330DA7" w14:paraId="6439873F" w14:textId="77777777" w:rsidTr="00A23858">
            <w:trPr>
              <w:trHeight w:val="144"/>
            </w:trPr>
            <w:tc>
              <w:tcPr>
                <w:tcW w:w="2693" w:type="dxa"/>
                <w:shd w:val="clear" w:color="auto" w:fill="auto"/>
              </w:tcPr>
              <w:p w14:paraId="50033F50" w14:textId="77777777" w:rsidR="0030306D" w:rsidRPr="00DF7928" w:rsidRDefault="0030306D" w:rsidP="00DF7928">
                <w:pPr>
                  <w:tabs>
                    <w:tab w:val="right" w:pos="8838"/>
                  </w:tabs>
                  <w:ind w:left="-74"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Recurrente:</w:t>
                </w:r>
              </w:p>
            </w:tc>
            <w:tc>
              <w:tcPr>
                <w:tcW w:w="4218" w:type="dxa"/>
                <w:shd w:val="clear" w:color="auto" w:fill="auto"/>
              </w:tcPr>
              <w:p w14:paraId="27A0BEB3" w14:textId="77777777" w:rsidR="0030306D" w:rsidRPr="00DF7928" w:rsidRDefault="0030306D" w:rsidP="00DF7928">
                <w:pPr>
                  <w:tabs>
                    <w:tab w:val="left" w:pos="3122"/>
                    <w:tab w:val="right" w:pos="8838"/>
                  </w:tabs>
                  <w:ind w:left="-108" w:right="-105"/>
                  <w:jc w:val="both"/>
                  <w:rPr>
                    <w:rFonts w:ascii="Palatino Linotype" w:eastAsia="Calibri" w:hAnsi="Palatino Linotype" w:cs="Tahoma"/>
                    <w:lang w:val="es-ES" w:eastAsia="en-US"/>
                  </w:rPr>
                </w:pPr>
              </w:p>
            </w:tc>
            <w:tc>
              <w:tcPr>
                <w:tcW w:w="4218" w:type="dxa"/>
              </w:tcPr>
              <w:p w14:paraId="5CC09C50" w14:textId="77777777" w:rsidR="0030306D" w:rsidRPr="00020E73" w:rsidRDefault="0030306D" w:rsidP="000D3835">
                <w:pPr>
                  <w:tabs>
                    <w:tab w:val="left" w:pos="3122"/>
                    <w:tab w:val="right" w:pos="8838"/>
                  </w:tabs>
                  <w:ind w:left="-74" w:right="-105"/>
                  <w:jc w:val="both"/>
                  <w:rPr>
                    <w:rFonts w:ascii="Palatino Linotype" w:eastAsia="Calibri" w:hAnsi="Palatino Linotype" w:cs="Tahoma"/>
                    <w:sz w:val="22"/>
                    <w:szCs w:val="22"/>
                    <w:lang w:val="es-ES" w:eastAsia="en-US"/>
                  </w:rPr>
                </w:pPr>
              </w:p>
            </w:tc>
          </w:tr>
          <w:tr w:rsidR="0030306D" w:rsidRPr="00330DA7" w14:paraId="0FC3E9B1" w14:textId="77777777" w:rsidTr="00A23858">
            <w:trPr>
              <w:trHeight w:val="283"/>
            </w:trPr>
            <w:tc>
              <w:tcPr>
                <w:tcW w:w="2693" w:type="dxa"/>
                <w:shd w:val="clear" w:color="auto" w:fill="auto"/>
              </w:tcPr>
              <w:p w14:paraId="0E066218" w14:textId="77777777" w:rsidR="0030306D" w:rsidRPr="00DF7928" w:rsidRDefault="0030306D" w:rsidP="00DF7928">
                <w:pPr>
                  <w:tabs>
                    <w:tab w:val="right" w:pos="8838"/>
                  </w:tabs>
                  <w:ind w:left="-74"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Sujeto Obligado:</w:t>
                </w:r>
              </w:p>
            </w:tc>
            <w:tc>
              <w:tcPr>
                <w:tcW w:w="4218" w:type="dxa"/>
                <w:shd w:val="clear" w:color="auto" w:fill="auto"/>
              </w:tcPr>
              <w:p w14:paraId="25EDDCE8" w14:textId="77777777" w:rsidR="0030306D" w:rsidRPr="00DF7928" w:rsidRDefault="0030306D" w:rsidP="00DF7928">
                <w:pPr>
                  <w:tabs>
                    <w:tab w:val="left" w:pos="2834"/>
                    <w:tab w:val="right" w:pos="8838"/>
                  </w:tabs>
                  <w:ind w:left="-108" w:right="-105"/>
                  <w:jc w:val="both"/>
                  <w:rPr>
                    <w:rFonts w:ascii="Palatino Linotype" w:eastAsia="Calibri" w:hAnsi="Palatino Linotype" w:cs="Tahoma"/>
                    <w:lang w:val="es-ES" w:eastAsia="en-US"/>
                  </w:rPr>
                </w:pPr>
                <w:r w:rsidRPr="00DF7928">
                  <w:rPr>
                    <w:rFonts w:ascii="Palatino Linotype" w:eastAsia="Calibri" w:hAnsi="Palatino Linotype" w:cs="Tahoma"/>
                    <w:lang w:eastAsia="en-US"/>
                  </w:rPr>
                  <w:t>Ayuntamiento de Polotitlán</w:t>
                </w:r>
              </w:p>
            </w:tc>
            <w:tc>
              <w:tcPr>
                <w:tcW w:w="4218" w:type="dxa"/>
              </w:tcPr>
              <w:p w14:paraId="31406DE0" w14:textId="77777777" w:rsidR="0030306D" w:rsidRDefault="0030306D" w:rsidP="000D3835">
                <w:pPr>
                  <w:tabs>
                    <w:tab w:val="left" w:pos="2834"/>
                    <w:tab w:val="right" w:pos="8838"/>
                  </w:tabs>
                  <w:ind w:left="-74" w:right="-105"/>
                  <w:jc w:val="both"/>
                  <w:rPr>
                    <w:rFonts w:ascii="Palatino Linotype" w:eastAsia="Calibri" w:hAnsi="Palatino Linotype" w:cs="Tahoma"/>
                    <w:sz w:val="22"/>
                    <w:szCs w:val="22"/>
                    <w:lang w:eastAsia="en-US"/>
                  </w:rPr>
                </w:pPr>
              </w:p>
            </w:tc>
          </w:tr>
          <w:tr w:rsidR="0030306D" w:rsidRPr="00330DA7" w14:paraId="7D040FF9" w14:textId="77777777" w:rsidTr="00A23858">
            <w:trPr>
              <w:trHeight w:val="283"/>
            </w:trPr>
            <w:tc>
              <w:tcPr>
                <w:tcW w:w="2693" w:type="dxa"/>
                <w:shd w:val="clear" w:color="auto" w:fill="auto"/>
              </w:tcPr>
              <w:p w14:paraId="69E8F16E" w14:textId="77777777" w:rsidR="0030306D" w:rsidRPr="00DF7928" w:rsidRDefault="0030306D" w:rsidP="00DF7928">
                <w:pPr>
                  <w:tabs>
                    <w:tab w:val="right" w:pos="8838"/>
                  </w:tabs>
                  <w:ind w:left="-74" w:right="-105"/>
                  <w:rPr>
                    <w:rFonts w:ascii="Palatino Linotype" w:eastAsia="Calibri" w:hAnsi="Palatino Linotype" w:cs="Tahoma"/>
                    <w:b/>
                    <w:lang w:val="es-ES" w:eastAsia="en-US"/>
                  </w:rPr>
                </w:pPr>
                <w:r w:rsidRPr="00DF7928">
                  <w:rPr>
                    <w:rFonts w:ascii="Palatino Linotype" w:eastAsia="Calibri" w:hAnsi="Palatino Linotype" w:cs="Tahoma"/>
                    <w:b/>
                    <w:lang w:val="es-ES" w:eastAsia="en-US"/>
                  </w:rPr>
                  <w:t>Comisionada Ponente:</w:t>
                </w:r>
              </w:p>
            </w:tc>
            <w:tc>
              <w:tcPr>
                <w:tcW w:w="4218" w:type="dxa"/>
                <w:shd w:val="clear" w:color="auto" w:fill="auto"/>
              </w:tcPr>
              <w:p w14:paraId="288309C4" w14:textId="77777777" w:rsidR="0030306D" w:rsidRPr="00DF7928" w:rsidRDefault="0030306D" w:rsidP="00DF7928">
                <w:pPr>
                  <w:tabs>
                    <w:tab w:val="right" w:pos="8838"/>
                  </w:tabs>
                  <w:ind w:left="-108" w:right="-105"/>
                  <w:jc w:val="both"/>
                  <w:rPr>
                    <w:rFonts w:ascii="Palatino Linotype" w:eastAsia="Calibri" w:hAnsi="Palatino Linotype" w:cs="Tahoma"/>
                    <w:b/>
                    <w:lang w:val="es-ES" w:eastAsia="en-US"/>
                  </w:rPr>
                </w:pPr>
                <w:r w:rsidRPr="00DF7928">
                  <w:rPr>
                    <w:rFonts w:ascii="Palatino Linotype" w:eastAsia="Calibri" w:hAnsi="Palatino Linotype" w:cs="Tahoma"/>
                    <w:lang w:val="es-ES" w:eastAsia="en-US"/>
                  </w:rPr>
                  <w:t>María del Rosario Mejía Ayala</w:t>
                </w:r>
              </w:p>
            </w:tc>
            <w:tc>
              <w:tcPr>
                <w:tcW w:w="4218" w:type="dxa"/>
              </w:tcPr>
              <w:p w14:paraId="461A60E5" w14:textId="77777777" w:rsidR="0030306D" w:rsidRDefault="0030306D" w:rsidP="000D3835">
                <w:pPr>
                  <w:tabs>
                    <w:tab w:val="right" w:pos="8838"/>
                  </w:tabs>
                  <w:ind w:left="-74" w:right="-105"/>
                  <w:jc w:val="both"/>
                  <w:rPr>
                    <w:rFonts w:ascii="Palatino Linotype" w:eastAsia="Calibri" w:hAnsi="Palatino Linotype" w:cs="Tahoma"/>
                    <w:sz w:val="22"/>
                    <w:szCs w:val="22"/>
                    <w:lang w:val="es-ES" w:eastAsia="en-US"/>
                  </w:rPr>
                </w:pPr>
              </w:p>
            </w:tc>
          </w:tr>
        </w:tbl>
        <w:p w14:paraId="1FE5BB0B" w14:textId="77777777" w:rsidR="0030306D" w:rsidRPr="00330DA7" w:rsidRDefault="0030306D" w:rsidP="000D3835">
          <w:pPr>
            <w:tabs>
              <w:tab w:val="right" w:pos="8838"/>
            </w:tabs>
            <w:ind w:left="-28"/>
            <w:jc w:val="both"/>
            <w:rPr>
              <w:rFonts w:ascii="Arial" w:eastAsia="Calibri" w:hAnsi="Arial" w:cs="Arial"/>
              <w:b/>
              <w:sz w:val="22"/>
              <w:szCs w:val="22"/>
              <w:lang w:eastAsia="en-US"/>
            </w:rPr>
          </w:pPr>
        </w:p>
      </w:tc>
    </w:tr>
  </w:tbl>
  <w:p w14:paraId="41246024" w14:textId="77777777" w:rsidR="0030306D" w:rsidRPr="00827FA0" w:rsidRDefault="00FD359C" w:rsidP="000D3835">
    <w:pPr>
      <w:pStyle w:val="Encabezado"/>
      <w:rPr>
        <w:sz w:val="2"/>
        <w:szCs w:val="22"/>
      </w:rPr>
    </w:pPr>
    <w:r>
      <w:rPr>
        <w:noProof/>
        <w:sz w:val="2"/>
        <w:szCs w:val="22"/>
      </w:rPr>
      <w:pict w14:anchorId="05A75C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F4CE0"/>
    <w:multiLevelType w:val="hybridMultilevel"/>
    <w:tmpl w:val="27B46AC4"/>
    <w:lvl w:ilvl="0" w:tplc="707A79E0">
      <w:start w:val="1"/>
      <w:numFmt w:val="lowerLetter"/>
      <w:lvlText w:val="%1)"/>
      <w:lvlJc w:val="left"/>
      <w:pPr>
        <w:ind w:left="1134" w:hanging="567"/>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9C42EC"/>
    <w:multiLevelType w:val="hybridMultilevel"/>
    <w:tmpl w:val="1F1A91B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0C5B26"/>
    <w:multiLevelType w:val="hybridMultilevel"/>
    <w:tmpl w:val="1102C3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91A6FBFE"/>
    <w:lvl w:ilvl="0" w:tplc="E36EB920">
      <w:start w:val="1"/>
      <w:numFmt w:val="decimal"/>
      <w:lvlText w:val="%1."/>
      <w:lvlJc w:val="left"/>
      <w:pPr>
        <w:ind w:left="502"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8"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1F1274F"/>
    <w:multiLevelType w:val="hybridMultilevel"/>
    <w:tmpl w:val="C6DEA824"/>
    <w:lvl w:ilvl="0" w:tplc="473C19B4">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9301D7"/>
    <w:multiLevelType w:val="hybridMultilevel"/>
    <w:tmpl w:val="9FEA4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5"/>
  </w:num>
  <w:num w:numId="4">
    <w:abstractNumId w:val="14"/>
  </w:num>
  <w:num w:numId="5">
    <w:abstractNumId w:val="7"/>
  </w:num>
  <w:num w:numId="6">
    <w:abstractNumId w:val="19"/>
  </w:num>
  <w:num w:numId="7">
    <w:abstractNumId w:val="0"/>
  </w:num>
  <w:num w:numId="8">
    <w:abstractNumId w:val="15"/>
  </w:num>
  <w:num w:numId="9">
    <w:abstractNumId w:val="6"/>
  </w:num>
  <w:num w:numId="10">
    <w:abstractNumId w:val="4"/>
  </w:num>
  <w:num w:numId="11">
    <w:abstractNumId w:val="11"/>
  </w:num>
  <w:num w:numId="12">
    <w:abstractNumId w:val="3"/>
  </w:num>
  <w:num w:numId="13">
    <w:abstractNumId w:val="24"/>
  </w:num>
  <w:num w:numId="14">
    <w:abstractNumId w:val="18"/>
  </w:num>
  <w:num w:numId="15">
    <w:abstractNumId w:val="10"/>
  </w:num>
  <w:num w:numId="16">
    <w:abstractNumId w:val="25"/>
  </w:num>
  <w:num w:numId="17">
    <w:abstractNumId w:val="1"/>
  </w:num>
  <w:num w:numId="18">
    <w:abstractNumId w:val="22"/>
  </w:num>
  <w:num w:numId="19">
    <w:abstractNumId w:val="27"/>
  </w:num>
  <w:num w:numId="20">
    <w:abstractNumId w:val="23"/>
  </w:num>
  <w:num w:numId="21">
    <w:abstractNumId w:val="16"/>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8"/>
  </w:num>
  <w:num w:numId="26">
    <w:abstractNumId w:val="21"/>
  </w:num>
  <w:num w:numId="27">
    <w:abstractNumId w:val="26"/>
  </w:num>
  <w:num w:numId="28">
    <w:abstractNumId w:val="17"/>
  </w:num>
  <w:num w:numId="29">
    <w:abstractNumId w:val="2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7E34"/>
    <w:rsid w:val="00085039"/>
    <w:rsid w:val="000967D3"/>
    <w:rsid w:val="000B3514"/>
    <w:rsid w:val="000C2EB0"/>
    <w:rsid w:val="000C489D"/>
    <w:rsid w:val="000D3835"/>
    <w:rsid w:val="00101F6A"/>
    <w:rsid w:val="001641A3"/>
    <w:rsid w:val="00176064"/>
    <w:rsid w:val="00191A85"/>
    <w:rsid w:val="001A38C1"/>
    <w:rsid w:val="001B6365"/>
    <w:rsid w:val="001C0AD9"/>
    <w:rsid w:val="001D031F"/>
    <w:rsid w:val="00202A99"/>
    <w:rsid w:val="00205A43"/>
    <w:rsid w:val="00207D17"/>
    <w:rsid w:val="002108C1"/>
    <w:rsid w:val="00214EBE"/>
    <w:rsid w:val="00266345"/>
    <w:rsid w:val="002A4D13"/>
    <w:rsid w:val="002A76F0"/>
    <w:rsid w:val="002B6AFD"/>
    <w:rsid w:val="002C0527"/>
    <w:rsid w:val="002D4D10"/>
    <w:rsid w:val="00301F5D"/>
    <w:rsid w:val="00302FA6"/>
    <w:rsid w:val="0030306D"/>
    <w:rsid w:val="003B52E4"/>
    <w:rsid w:val="003C7587"/>
    <w:rsid w:val="003D000E"/>
    <w:rsid w:val="003D58DA"/>
    <w:rsid w:val="003E481A"/>
    <w:rsid w:val="003E5347"/>
    <w:rsid w:val="003F101E"/>
    <w:rsid w:val="00400866"/>
    <w:rsid w:val="004132EF"/>
    <w:rsid w:val="004342F1"/>
    <w:rsid w:val="004432E2"/>
    <w:rsid w:val="00471AD6"/>
    <w:rsid w:val="0047736B"/>
    <w:rsid w:val="00486F53"/>
    <w:rsid w:val="0049495B"/>
    <w:rsid w:val="00495BE5"/>
    <w:rsid w:val="004E0B7F"/>
    <w:rsid w:val="004F0320"/>
    <w:rsid w:val="004F2173"/>
    <w:rsid w:val="004F386D"/>
    <w:rsid w:val="005023FA"/>
    <w:rsid w:val="00504CA4"/>
    <w:rsid w:val="00517A57"/>
    <w:rsid w:val="005A630D"/>
    <w:rsid w:val="005B3333"/>
    <w:rsid w:val="005B60E3"/>
    <w:rsid w:val="005C07F1"/>
    <w:rsid w:val="005D7358"/>
    <w:rsid w:val="005E5E3F"/>
    <w:rsid w:val="005E692D"/>
    <w:rsid w:val="00604567"/>
    <w:rsid w:val="006144AB"/>
    <w:rsid w:val="00630097"/>
    <w:rsid w:val="006940CF"/>
    <w:rsid w:val="006B1BD2"/>
    <w:rsid w:val="006B3D55"/>
    <w:rsid w:val="006C030C"/>
    <w:rsid w:val="006D23E7"/>
    <w:rsid w:val="00722580"/>
    <w:rsid w:val="00722ED7"/>
    <w:rsid w:val="0076643E"/>
    <w:rsid w:val="007668F6"/>
    <w:rsid w:val="00772369"/>
    <w:rsid w:val="00794522"/>
    <w:rsid w:val="007A668C"/>
    <w:rsid w:val="007C1A89"/>
    <w:rsid w:val="007F013B"/>
    <w:rsid w:val="007F22B4"/>
    <w:rsid w:val="007F7ABB"/>
    <w:rsid w:val="008011BC"/>
    <w:rsid w:val="00812CDC"/>
    <w:rsid w:val="00844231"/>
    <w:rsid w:val="00896EBF"/>
    <w:rsid w:val="008A7D87"/>
    <w:rsid w:val="008F413B"/>
    <w:rsid w:val="00903990"/>
    <w:rsid w:val="00921333"/>
    <w:rsid w:val="00945CBD"/>
    <w:rsid w:val="009730F2"/>
    <w:rsid w:val="00975629"/>
    <w:rsid w:val="0098599A"/>
    <w:rsid w:val="009B7887"/>
    <w:rsid w:val="00A23858"/>
    <w:rsid w:val="00A37303"/>
    <w:rsid w:val="00A51DE7"/>
    <w:rsid w:val="00A82974"/>
    <w:rsid w:val="00A84EC6"/>
    <w:rsid w:val="00AE4B12"/>
    <w:rsid w:val="00B32A11"/>
    <w:rsid w:val="00B73EF1"/>
    <w:rsid w:val="00B92CBC"/>
    <w:rsid w:val="00BB1A7E"/>
    <w:rsid w:val="00BB27C5"/>
    <w:rsid w:val="00BB4A9F"/>
    <w:rsid w:val="00BB7FF7"/>
    <w:rsid w:val="00BC4DC9"/>
    <w:rsid w:val="00BC5EDE"/>
    <w:rsid w:val="00BD13E0"/>
    <w:rsid w:val="00BE16E0"/>
    <w:rsid w:val="00BF5865"/>
    <w:rsid w:val="00C100D7"/>
    <w:rsid w:val="00C32479"/>
    <w:rsid w:val="00C32F56"/>
    <w:rsid w:val="00C35F09"/>
    <w:rsid w:val="00C53582"/>
    <w:rsid w:val="00C55DB6"/>
    <w:rsid w:val="00C673EE"/>
    <w:rsid w:val="00C76864"/>
    <w:rsid w:val="00C90B15"/>
    <w:rsid w:val="00C95BC4"/>
    <w:rsid w:val="00CB28EF"/>
    <w:rsid w:val="00CE6702"/>
    <w:rsid w:val="00CE6730"/>
    <w:rsid w:val="00CE7518"/>
    <w:rsid w:val="00D31F36"/>
    <w:rsid w:val="00D41B29"/>
    <w:rsid w:val="00D72134"/>
    <w:rsid w:val="00DB5D82"/>
    <w:rsid w:val="00DB781E"/>
    <w:rsid w:val="00DF7928"/>
    <w:rsid w:val="00E00511"/>
    <w:rsid w:val="00E0296A"/>
    <w:rsid w:val="00E04827"/>
    <w:rsid w:val="00E14EBC"/>
    <w:rsid w:val="00E44A58"/>
    <w:rsid w:val="00F534B6"/>
    <w:rsid w:val="00F60D37"/>
    <w:rsid w:val="00F63685"/>
    <w:rsid w:val="00F749E9"/>
    <w:rsid w:val="00FA1204"/>
    <w:rsid w:val="00FD359C"/>
    <w:rsid w:val="00FD4A30"/>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288776"/>
  <w15:chartTrackingRefBased/>
  <w15:docId w15:val="{8B096B90-F458-4ED3-BA02-B04BD730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qFormat/>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 w:type="paragraph" w:customStyle="1" w:styleId="Fundamentos">
    <w:name w:val="Fundamentos"/>
    <w:basedOn w:val="Normal"/>
    <w:next w:val="Normal"/>
    <w:qFormat/>
    <w:rsid w:val="00BB1A7E"/>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DFF11-32B5-4D76-83ED-67B20E0D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4941</Words>
  <Characters>27177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6</cp:revision>
  <cp:lastPrinted>2025-08-22T16:55:00Z</cp:lastPrinted>
  <dcterms:created xsi:type="dcterms:W3CDTF">2025-08-18T20:45:00Z</dcterms:created>
  <dcterms:modified xsi:type="dcterms:W3CDTF">2025-08-26T18:42:00Z</dcterms:modified>
</cp:coreProperties>
</file>