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DE08" w14:textId="040BBEFB" w:rsidR="0001640F" w:rsidRDefault="0029071C" w:rsidP="00185CD9">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94336981"/>
      <w:r w:rsidR="00185CD9">
        <w:rPr>
          <w:rFonts w:ascii="Palatino Linotype" w:hAnsi="Palatino Linotype" w:cs="Arial"/>
          <w:color w:val="000000"/>
          <w:lang w:val="es-MX" w:eastAsia="es-MX"/>
        </w:rPr>
        <w:t>treinta</w:t>
      </w:r>
      <w:r w:rsidR="003F171B">
        <w:rPr>
          <w:rFonts w:ascii="Palatino Linotype" w:hAnsi="Palatino Linotype" w:cs="Arial"/>
          <w:color w:val="000000"/>
          <w:lang w:val="es-MX" w:eastAsia="es-MX"/>
        </w:rPr>
        <w:t xml:space="preserve"> de </w:t>
      </w:r>
      <w:r w:rsidR="00FD2218">
        <w:rPr>
          <w:rFonts w:ascii="Palatino Linotype" w:hAnsi="Palatino Linotype" w:cs="Arial"/>
          <w:color w:val="000000"/>
          <w:lang w:val="es-MX" w:eastAsia="es-MX"/>
        </w:rPr>
        <w:t>abril</w:t>
      </w:r>
      <w:r w:rsidR="00126CCD" w:rsidRPr="00374FE7">
        <w:rPr>
          <w:rFonts w:ascii="Palatino Linotype" w:hAnsi="Palatino Linotype" w:cs="Arial"/>
          <w:color w:val="000000"/>
          <w:lang w:val="es-MX" w:eastAsia="es-MX"/>
        </w:rPr>
        <w:t xml:space="preserve"> </w:t>
      </w:r>
      <w:bookmarkEnd w:id="0"/>
      <w:r w:rsidR="007D0B4D">
        <w:rPr>
          <w:rFonts w:ascii="Palatino Linotype" w:hAnsi="Palatino Linotype" w:cs="Arial"/>
          <w:color w:val="000000"/>
          <w:lang w:val="es-MX" w:eastAsia="es-MX"/>
        </w:rPr>
        <w:t xml:space="preserve">de </w:t>
      </w:r>
      <w:r w:rsidR="00126CCD" w:rsidRPr="00374FE7">
        <w:rPr>
          <w:rFonts w:ascii="Palatino Linotype" w:hAnsi="Palatino Linotype" w:cs="Arial"/>
          <w:color w:val="000000"/>
          <w:lang w:val="es-MX" w:eastAsia="es-MX"/>
        </w:rPr>
        <w:t>dos mil veinti</w:t>
      </w:r>
      <w:r w:rsidR="00FE49AC">
        <w:rPr>
          <w:rFonts w:ascii="Palatino Linotype" w:hAnsi="Palatino Linotype" w:cs="Arial"/>
          <w:color w:val="000000"/>
          <w:lang w:val="es-MX" w:eastAsia="es-MX"/>
        </w:rPr>
        <w:t>c</w:t>
      </w:r>
      <w:r w:rsidR="003F171B">
        <w:rPr>
          <w:rFonts w:ascii="Palatino Linotype" w:hAnsi="Palatino Linotype" w:cs="Arial"/>
          <w:color w:val="000000"/>
          <w:lang w:val="es-MX" w:eastAsia="es-MX"/>
        </w:rPr>
        <w:t>inco</w:t>
      </w:r>
      <w:r w:rsidRPr="00374FE7">
        <w:rPr>
          <w:rFonts w:ascii="Palatino Linotype" w:hAnsi="Palatino Linotype" w:cs="Arial"/>
          <w:color w:val="000000"/>
          <w:lang w:val="es-MX" w:eastAsia="es-MX"/>
        </w:rPr>
        <w:t>.</w:t>
      </w:r>
    </w:p>
    <w:p w14:paraId="4F89F411" w14:textId="77777777" w:rsidR="00185CD9" w:rsidRPr="00185CD9" w:rsidRDefault="00185CD9" w:rsidP="00185CD9">
      <w:pPr>
        <w:shd w:val="clear" w:color="auto" w:fill="FFFFFF"/>
        <w:spacing w:line="360" w:lineRule="auto"/>
        <w:jc w:val="both"/>
        <w:rPr>
          <w:rFonts w:ascii="Palatino Linotype" w:hAnsi="Palatino Linotype" w:cs="Arial"/>
          <w:color w:val="000000"/>
          <w:lang w:val="es-MX" w:eastAsia="es-MX"/>
        </w:rPr>
      </w:pPr>
    </w:p>
    <w:p w14:paraId="3A39ACC2" w14:textId="7A650A03" w:rsidR="0001640F" w:rsidRDefault="0029071C" w:rsidP="00185CD9">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bookmarkStart w:id="1" w:name="_GoBack"/>
      <w:r w:rsidR="00C45025" w:rsidRPr="00374FE7">
        <w:rPr>
          <w:rFonts w:ascii="Palatino Linotype" w:eastAsiaTheme="minorHAnsi" w:hAnsi="Palatino Linotype" w:cs="Arial"/>
          <w:b/>
          <w:lang w:val="es-MX" w:eastAsia="en-US"/>
        </w:rPr>
        <w:t>0</w:t>
      </w:r>
      <w:r w:rsidR="00FD2218">
        <w:rPr>
          <w:rFonts w:ascii="Palatino Linotype" w:eastAsiaTheme="minorHAnsi" w:hAnsi="Palatino Linotype" w:cs="Arial"/>
          <w:b/>
          <w:lang w:val="es-MX" w:eastAsia="en-US"/>
        </w:rPr>
        <w:t>2</w:t>
      </w:r>
      <w:r w:rsidR="00185CD9">
        <w:rPr>
          <w:rFonts w:ascii="Palatino Linotype" w:eastAsiaTheme="minorHAnsi" w:hAnsi="Palatino Linotype" w:cs="Arial"/>
          <w:b/>
          <w:lang w:val="es-MX" w:eastAsia="en-US"/>
        </w:rPr>
        <w:t>720</w:t>
      </w:r>
      <w:r w:rsidRPr="00374FE7">
        <w:rPr>
          <w:rFonts w:ascii="Palatino Linotype" w:eastAsiaTheme="minorHAnsi" w:hAnsi="Palatino Linotype" w:cs="Arial"/>
          <w:b/>
          <w:bCs/>
          <w:lang w:val="es-MX" w:eastAsia="es-MX"/>
        </w:rPr>
        <w:t>/INFOEM/IP/RR/202</w:t>
      </w:r>
      <w:r w:rsidR="00230100">
        <w:rPr>
          <w:rFonts w:ascii="Palatino Linotype" w:eastAsiaTheme="minorHAnsi" w:hAnsi="Palatino Linotype" w:cs="Arial"/>
          <w:b/>
          <w:bCs/>
          <w:lang w:val="es-MX" w:eastAsia="es-MX"/>
        </w:rPr>
        <w:t>5</w:t>
      </w:r>
      <w:bookmarkEnd w:id="1"/>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115ABC" w:rsidRPr="00115ABC">
        <w:rPr>
          <w:rFonts w:ascii="Palatino Linotype" w:hAnsi="Palatino Linotype" w:cs="Arial"/>
        </w:rPr>
        <w:t>por un particular que al momento de ingresar la solicitud de información e interponer el recurso de revisión, no señaló nombre o seudónimo con el cual desee ser identificado</w:t>
      </w:r>
      <w:r w:rsidR="00AB55A1">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en lo sucesivo</w:t>
      </w:r>
      <w:r w:rsidR="00230100">
        <w:rPr>
          <w:rFonts w:ascii="Palatino Linotype" w:hAnsi="Palatino Linotype" w:cs="Arial"/>
        </w:rPr>
        <w:t xml:space="preserve"> la parte </w:t>
      </w:r>
      <w:r w:rsidR="005F1F89" w:rsidRPr="00374FE7">
        <w:rPr>
          <w:rFonts w:ascii="Palatino Linotype" w:hAnsi="Palatino Linotype" w:cs="Arial"/>
          <w:b/>
        </w:rPr>
        <w:t>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l</w:t>
      </w:r>
      <w:r w:rsidRPr="00374FE7">
        <w:rPr>
          <w:rFonts w:ascii="Palatino Linotype" w:eastAsiaTheme="minorHAnsi" w:hAnsi="Palatino Linotype" w:cs="Arial"/>
          <w:lang w:val="es-MX" w:eastAsia="en-US"/>
        </w:rPr>
        <w:t xml:space="preserve"> </w:t>
      </w:r>
      <w:r w:rsidR="00185CD9" w:rsidRPr="00185CD9">
        <w:rPr>
          <w:rFonts w:ascii="Palatino Linotype" w:eastAsiaTheme="minorHAnsi" w:hAnsi="Palatino Linotype" w:cs="Arial"/>
          <w:b/>
          <w:lang w:val="es-MX" w:eastAsia="en-US"/>
        </w:rPr>
        <w:t>Instituto Municipal de Cultura Física y Deporte de Cocotitlán</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 xml:space="preserve">Sujeto Obligado, </w:t>
      </w:r>
      <w:r w:rsidRPr="00374FE7">
        <w:rPr>
          <w:rFonts w:ascii="Palatino Linotype" w:eastAsiaTheme="minorHAnsi" w:hAnsi="Palatino Linotype" w:cs="Arial"/>
          <w:lang w:val="es-MX" w:eastAsia="en-US"/>
        </w:rPr>
        <w:t>se procede a dictar la presente resolución.</w:t>
      </w:r>
    </w:p>
    <w:p w14:paraId="148A5E2B" w14:textId="77777777" w:rsidR="00185CD9" w:rsidRPr="00185CD9" w:rsidRDefault="00185CD9" w:rsidP="00185CD9">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Default="0029071C" w:rsidP="0001640F">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4CBA2DAD" w14:textId="77777777" w:rsidR="0001640F" w:rsidRPr="0001640F" w:rsidRDefault="0001640F" w:rsidP="00115ABC">
      <w:pPr>
        <w:pStyle w:val="Sinespaciado"/>
        <w:rPr>
          <w:rFonts w:eastAsiaTheme="minorHAnsi"/>
          <w:lang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7D71BFE" w14:textId="44B911D1" w:rsidR="008A446B" w:rsidRDefault="0029071C" w:rsidP="0001640F">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185CD9">
        <w:rPr>
          <w:rFonts w:ascii="Palatino Linotype" w:eastAsiaTheme="minorHAnsi" w:hAnsi="Palatino Linotype" w:cs="Arial"/>
          <w:szCs w:val="22"/>
          <w:lang w:val="es-MX" w:eastAsia="en-US"/>
        </w:rPr>
        <w:t>veinticuatro</w:t>
      </w:r>
      <w:r w:rsidR="00115ABC">
        <w:rPr>
          <w:rFonts w:ascii="Palatino Linotype" w:eastAsiaTheme="minorHAnsi" w:hAnsi="Palatino Linotype" w:cs="Arial"/>
          <w:szCs w:val="22"/>
          <w:lang w:val="es-MX" w:eastAsia="en-US"/>
        </w:rPr>
        <w:t xml:space="preserve"> de febrero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AB55A1">
        <w:rPr>
          <w:rFonts w:ascii="Palatino Linotype" w:eastAsiaTheme="minorHAnsi" w:hAnsi="Palatino Linotype" w:cs="Arial"/>
          <w:szCs w:val="22"/>
          <w:lang w:val="es-MX" w:eastAsia="en-US"/>
        </w:rPr>
        <w:t>c</w:t>
      </w:r>
      <w:r w:rsidR="00230100">
        <w:rPr>
          <w:rFonts w:ascii="Palatino Linotype" w:eastAsiaTheme="minorHAnsi" w:hAnsi="Palatino Linotype" w:cs="Arial"/>
          <w:szCs w:val="22"/>
          <w:lang w:val="es-MX" w:eastAsia="en-US"/>
        </w:rPr>
        <w:t>inco</w:t>
      </w:r>
      <w:r w:rsidRPr="00374FE7">
        <w:rPr>
          <w:rFonts w:ascii="Palatino Linotype" w:eastAsiaTheme="minorHAnsi" w:hAnsi="Palatino Linotype" w:cs="Arial"/>
          <w:szCs w:val="22"/>
          <w:lang w:val="es-MX" w:eastAsia="en-US"/>
        </w:rPr>
        <w:t xml:space="preserve">, </w:t>
      </w:r>
      <w:r w:rsidR="00230100">
        <w:rPr>
          <w:rFonts w:ascii="Palatino Linotype" w:eastAsiaTheme="minorHAnsi" w:hAnsi="Palatino Linotype" w:cs="Arial"/>
          <w:szCs w:val="22"/>
          <w:lang w:val="es-MX" w:eastAsia="en-US"/>
        </w:rPr>
        <w:t xml:space="preserve">la parte </w:t>
      </w:r>
      <w:r w:rsidR="00230100" w:rsidRPr="00230100">
        <w:rPr>
          <w:rFonts w:ascii="Palatino Linotype" w:eastAsiaTheme="minorHAnsi" w:hAnsi="Palatino Linotype" w:cs="Arial"/>
          <w:b/>
          <w:bCs/>
          <w:szCs w:val="22"/>
          <w:lang w:val="es-MX" w:eastAsia="en-US"/>
        </w:rPr>
        <w:t>R</w:t>
      </w:r>
      <w:r w:rsidRPr="00374FE7">
        <w:rPr>
          <w:rFonts w:ascii="Palatino Linotype" w:eastAsiaTheme="minorHAnsi" w:hAnsi="Palatino Linotype" w:cs="Arial"/>
          <w:b/>
          <w:szCs w:val="22"/>
          <w:lang w:val="es-MX" w:eastAsia="en-US"/>
        </w:rPr>
        <w:t>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w:t>
      </w:r>
      <w:r w:rsidR="00230100">
        <w:rPr>
          <w:rFonts w:ascii="Palatino Linotype" w:eastAsiaTheme="minorHAnsi" w:hAnsi="Palatino Linotype" w:cs="Arial"/>
          <w:szCs w:val="22"/>
          <w:lang w:val="es-MX" w:eastAsia="en-US"/>
        </w:rPr>
        <w:t xml:space="preserve">l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185CD9" w:rsidRPr="00185CD9">
        <w:rPr>
          <w:rFonts w:ascii="Palatino Linotype" w:eastAsiaTheme="minorHAnsi" w:hAnsi="Palatino Linotype" w:cs="Arial"/>
          <w:b/>
          <w:szCs w:val="22"/>
          <w:lang w:val="es-MX" w:eastAsia="en-US"/>
        </w:rPr>
        <w:t>00021/IMCUFIDECOCOTI/IP/2025</w:t>
      </w:r>
      <w:r w:rsidRPr="00374FE7">
        <w:rPr>
          <w:rFonts w:ascii="Palatino Linotype" w:eastAsiaTheme="minorHAnsi" w:hAnsi="Palatino Linotype" w:cs="Arial"/>
          <w:szCs w:val="22"/>
          <w:lang w:val="es-MX" w:eastAsia="en-US"/>
        </w:rPr>
        <w:t>, mediante la cual solicitó lo siguiente:</w:t>
      </w:r>
    </w:p>
    <w:p w14:paraId="4CEE322A" w14:textId="77777777" w:rsidR="0001640F" w:rsidRPr="00023A5D" w:rsidRDefault="0001640F" w:rsidP="00115ABC">
      <w:pPr>
        <w:pStyle w:val="Sinespaciado"/>
        <w:rPr>
          <w:rFonts w:eastAsiaTheme="minorHAnsi"/>
          <w:sz w:val="22"/>
          <w:szCs w:val="22"/>
          <w:lang w:eastAsia="en-US"/>
        </w:rPr>
      </w:pPr>
    </w:p>
    <w:p w14:paraId="2259B06C" w14:textId="22EB335B" w:rsidR="00DD2DA4" w:rsidRPr="00B77FED" w:rsidRDefault="0029071C" w:rsidP="00185CD9">
      <w:pPr>
        <w:spacing w:line="276"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185CD9" w:rsidRPr="00185CD9">
        <w:rPr>
          <w:rFonts w:ascii="Palatino Linotype" w:hAnsi="Palatino Linotype"/>
          <w:i/>
          <w:sz w:val="22"/>
          <w:szCs w:val="22"/>
          <w:lang w:val="es-MX" w:eastAsia="es-MX"/>
        </w:rPr>
        <w:t>ENVIAR LSITADO DE TODO EL PERSONAL QUE LABORA EN EL IMCUFIDE DE COCOTITLAN DEGUN SU ORGANIGRAMA</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0384A48A"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A través de</w:t>
      </w:r>
      <w:r w:rsidR="007A5ED4">
        <w:rPr>
          <w:rFonts w:ascii="Palatino Linotype" w:eastAsiaTheme="minorHAnsi" w:hAnsi="Palatino Linotype" w:cstheme="minorBidi"/>
          <w:color w:val="000000"/>
          <w:lang w:val="es-MX" w:eastAsia="en-US"/>
        </w:rPr>
        <w:t>l</w:t>
      </w:r>
      <w:r w:rsidR="009C6853" w:rsidRPr="00374FE7">
        <w:rPr>
          <w:rFonts w:ascii="Palatino Linotype" w:eastAsiaTheme="minorHAnsi" w:hAnsi="Palatino Linotype" w:cstheme="minorBidi"/>
          <w:color w:val="000000"/>
          <w:lang w:val="es-MX" w:eastAsia="en-US"/>
        </w:rPr>
        <w:t xml:space="preserve"> </w:t>
      </w:r>
      <w:r w:rsidR="007A5ED4">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0D3719F4"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SAIMEX, se advierte que en fecha </w:t>
      </w:r>
      <w:r w:rsidR="00185CD9">
        <w:rPr>
          <w:rFonts w:ascii="Palatino Linotype" w:eastAsiaTheme="minorHAnsi" w:hAnsi="Palatino Linotype" w:cs="Arial"/>
          <w:lang w:val="es-MX" w:eastAsia="en-US"/>
        </w:rPr>
        <w:t>diez de marzo</w:t>
      </w:r>
      <w:r w:rsidR="003A2B8C">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82270E">
        <w:rPr>
          <w:rFonts w:ascii="Palatino Linotype" w:eastAsiaTheme="minorHAnsi" w:hAnsi="Palatino Linotype" w:cs="Arial"/>
          <w:lang w:val="es-MX" w:eastAsia="en-US"/>
        </w:rPr>
        <w:t>c</w:t>
      </w:r>
      <w:r w:rsidR="00230100">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6C6D2C78" w14:textId="77777777" w:rsidR="00185CD9" w:rsidRPr="00185CD9" w:rsidRDefault="0029071C" w:rsidP="00185CD9">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185CD9" w:rsidRPr="00185CD9">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622084" w14:textId="77777777" w:rsidR="00185CD9" w:rsidRDefault="00185CD9" w:rsidP="00185CD9">
      <w:pPr>
        <w:spacing w:line="276" w:lineRule="auto"/>
        <w:ind w:left="567" w:right="567"/>
        <w:jc w:val="both"/>
        <w:rPr>
          <w:rFonts w:ascii="Palatino Linotype" w:hAnsi="Palatino Linotype"/>
          <w:i/>
          <w:sz w:val="22"/>
          <w:szCs w:val="22"/>
          <w:lang w:val="es-MX" w:eastAsia="es-MX"/>
        </w:rPr>
      </w:pPr>
    </w:p>
    <w:p w14:paraId="334FDEFD" w14:textId="3C95A184" w:rsidR="00185CD9" w:rsidRPr="00185CD9" w:rsidRDefault="00185CD9" w:rsidP="00185CD9">
      <w:pPr>
        <w:spacing w:line="276" w:lineRule="auto"/>
        <w:ind w:left="567" w:right="567"/>
        <w:jc w:val="both"/>
        <w:rPr>
          <w:rFonts w:ascii="Palatino Linotype" w:hAnsi="Palatino Linotype"/>
          <w:i/>
          <w:sz w:val="22"/>
          <w:szCs w:val="22"/>
          <w:lang w:val="es-MX" w:eastAsia="es-MX"/>
        </w:rPr>
      </w:pPr>
      <w:r w:rsidRPr="00185CD9">
        <w:rPr>
          <w:rFonts w:ascii="Palatino Linotype" w:hAnsi="Palatino Linotype"/>
          <w:i/>
          <w:sz w:val="22"/>
          <w:szCs w:val="22"/>
          <w:lang w:val="es-MX" w:eastAsia="es-MX"/>
        </w:rPr>
        <w:t>SE ADJUNTA ARCHIVO</w:t>
      </w:r>
    </w:p>
    <w:p w14:paraId="17631CC0" w14:textId="77777777" w:rsidR="00185CD9" w:rsidRDefault="00185CD9" w:rsidP="00185CD9">
      <w:pPr>
        <w:spacing w:line="276" w:lineRule="auto"/>
        <w:ind w:left="567" w:right="567"/>
        <w:jc w:val="both"/>
        <w:rPr>
          <w:rFonts w:ascii="Palatino Linotype" w:hAnsi="Palatino Linotype"/>
          <w:i/>
          <w:sz w:val="22"/>
          <w:szCs w:val="22"/>
          <w:lang w:val="es-MX" w:eastAsia="es-MX"/>
        </w:rPr>
      </w:pPr>
    </w:p>
    <w:p w14:paraId="1A2A4DBB" w14:textId="76864071" w:rsidR="00185CD9" w:rsidRPr="00185CD9" w:rsidRDefault="00185CD9" w:rsidP="00185CD9">
      <w:pPr>
        <w:spacing w:line="276" w:lineRule="auto"/>
        <w:ind w:left="567" w:right="567"/>
        <w:jc w:val="both"/>
        <w:rPr>
          <w:rFonts w:ascii="Palatino Linotype" w:hAnsi="Palatino Linotype"/>
          <w:i/>
          <w:sz w:val="22"/>
          <w:szCs w:val="22"/>
          <w:lang w:val="es-MX" w:eastAsia="es-MX"/>
        </w:rPr>
      </w:pPr>
      <w:r w:rsidRPr="00185CD9">
        <w:rPr>
          <w:rFonts w:ascii="Palatino Linotype" w:hAnsi="Palatino Linotype"/>
          <w:i/>
          <w:sz w:val="22"/>
          <w:szCs w:val="22"/>
          <w:lang w:val="es-MX" w:eastAsia="es-MX"/>
        </w:rPr>
        <w:t>ATENTAMENTE</w:t>
      </w:r>
    </w:p>
    <w:p w14:paraId="3D4F3A50" w14:textId="63F4ACCA" w:rsidR="0029071C" w:rsidRPr="00374FE7" w:rsidRDefault="00185CD9" w:rsidP="00185CD9">
      <w:pPr>
        <w:spacing w:line="276" w:lineRule="auto"/>
        <w:ind w:left="567" w:right="567"/>
        <w:jc w:val="both"/>
        <w:rPr>
          <w:rFonts w:ascii="Palatino Linotype" w:hAnsi="Palatino Linotype"/>
          <w:i/>
          <w:sz w:val="22"/>
          <w:szCs w:val="22"/>
          <w:lang w:val="es-MX" w:eastAsia="es-MX"/>
        </w:rPr>
      </w:pPr>
      <w:r w:rsidRPr="00185CD9">
        <w:rPr>
          <w:rFonts w:ascii="Palatino Linotype" w:hAnsi="Palatino Linotype"/>
          <w:i/>
          <w:sz w:val="22"/>
          <w:szCs w:val="22"/>
          <w:lang w:val="es-MX" w:eastAsia="es-MX"/>
        </w:rPr>
        <w:t>C. Juan José Montoya Galicia</w:t>
      </w:r>
      <w:r w:rsidR="00E74701" w:rsidRPr="00374FE7">
        <w:rPr>
          <w:rFonts w:ascii="Palatino Linotype" w:hAnsi="Palatino Linotype"/>
          <w:i/>
          <w:sz w:val="22"/>
          <w:szCs w:val="22"/>
          <w:lang w:val="es-MX" w:eastAsia="es-MX"/>
        </w:rPr>
        <w:t>” (Sic).</w:t>
      </w:r>
    </w:p>
    <w:p w14:paraId="6ACE9111" w14:textId="77777777" w:rsidR="00464839" w:rsidRDefault="00464839" w:rsidP="0029071C">
      <w:pPr>
        <w:spacing w:line="360" w:lineRule="auto"/>
        <w:jc w:val="both"/>
        <w:rPr>
          <w:rFonts w:ascii="Palatino Linotype" w:eastAsiaTheme="minorHAnsi" w:hAnsi="Palatino Linotype" w:cs="Arial"/>
          <w:b/>
          <w:lang w:val="es-MX" w:eastAsia="en-US"/>
        </w:rPr>
      </w:pPr>
    </w:p>
    <w:p w14:paraId="3538BDA4" w14:textId="4D397EFB" w:rsidR="00CF1704" w:rsidRDefault="00CF1704" w:rsidP="0029071C">
      <w:pPr>
        <w:spacing w:line="360" w:lineRule="auto"/>
        <w:jc w:val="both"/>
        <w:rPr>
          <w:rFonts w:ascii="Palatino Linotype" w:eastAsiaTheme="minorHAnsi" w:hAnsi="Palatino Linotype" w:cs="Arial"/>
          <w:bCs/>
          <w:lang w:val="es-MX" w:eastAsia="en-US"/>
        </w:rPr>
      </w:pPr>
      <w:r w:rsidRPr="00CF1704">
        <w:rPr>
          <w:rFonts w:ascii="Palatino Linotype" w:eastAsiaTheme="minorHAnsi" w:hAnsi="Palatino Linotype" w:cs="Arial"/>
          <w:bCs/>
          <w:lang w:val="es-MX" w:eastAsia="en-US"/>
        </w:rPr>
        <w:t>El</w:t>
      </w:r>
      <w:r>
        <w:rPr>
          <w:rFonts w:ascii="Palatino Linotype" w:eastAsiaTheme="minorHAnsi" w:hAnsi="Palatino Linotype" w:cs="Arial"/>
          <w:b/>
          <w:lang w:val="es-MX" w:eastAsia="en-US"/>
        </w:rPr>
        <w:t xml:space="preserve"> Sujeto Obligado</w:t>
      </w:r>
      <w:r w:rsidRPr="00CF1704">
        <w:rPr>
          <w:rFonts w:ascii="Palatino Linotype" w:eastAsiaTheme="minorHAnsi" w:hAnsi="Palatino Linotype" w:cs="Arial"/>
          <w:bCs/>
          <w:lang w:val="es-MX" w:eastAsia="en-US"/>
        </w:rPr>
        <w:t xml:space="preserve">, adjuntó a su respuesta, </w:t>
      </w:r>
      <w:r w:rsidR="00230100">
        <w:rPr>
          <w:rFonts w:ascii="Palatino Linotype" w:eastAsiaTheme="minorHAnsi" w:hAnsi="Palatino Linotype" w:cs="Arial"/>
          <w:bCs/>
          <w:lang w:val="es-MX" w:eastAsia="en-US"/>
        </w:rPr>
        <w:t>el</w:t>
      </w:r>
      <w:r w:rsidRPr="00CF1704">
        <w:rPr>
          <w:rFonts w:ascii="Palatino Linotype" w:eastAsiaTheme="minorHAnsi" w:hAnsi="Palatino Linotype" w:cs="Arial"/>
          <w:bCs/>
          <w:lang w:val="es-MX" w:eastAsia="en-US"/>
        </w:rPr>
        <w:t xml:space="preserve"> archivo electrónico denominado</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r w:rsidR="00185CD9" w:rsidRPr="00185CD9">
        <w:rPr>
          <w:rFonts w:ascii="Palatino Linotype" w:eastAsiaTheme="minorHAnsi" w:hAnsi="Palatino Linotype" w:cs="Arial"/>
          <w:bCs/>
          <w:i/>
          <w:iCs/>
          <w:lang w:val="es-MX" w:eastAsia="en-US"/>
        </w:rPr>
        <w:t>00021IMCUFIDE.pdf</w:t>
      </w:r>
      <w:r w:rsidRPr="00CF1704">
        <w:rPr>
          <w:rFonts w:ascii="Palatino Linotype" w:eastAsiaTheme="minorHAnsi" w:hAnsi="Palatino Linotype" w:cs="Arial"/>
          <w:bCs/>
          <w:i/>
          <w:iCs/>
          <w:lang w:val="es-MX" w:eastAsia="en-US"/>
        </w:rPr>
        <w:t>”</w:t>
      </w:r>
      <w:r w:rsidRPr="00CF1704">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374FE7"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297932D8" w14:textId="3A8A8207" w:rsidR="0029071C" w:rsidRDefault="0029071C"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el</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185CD9">
        <w:rPr>
          <w:rFonts w:ascii="Palatino Linotype" w:eastAsiaTheme="minorHAnsi" w:hAnsi="Palatino Linotype" w:cs="Arial"/>
          <w:lang w:val="es-MX" w:eastAsia="en-US"/>
        </w:rPr>
        <w:t>diez de marzo</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115ABC">
        <w:rPr>
          <w:rFonts w:ascii="Palatino Linotype" w:eastAsiaTheme="minorHAnsi" w:hAnsi="Palatino Linotype" w:cs="Arial"/>
          <w:b/>
          <w:bCs/>
          <w:lang w:val="es-MX" w:eastAsia="es-MX"/>
        </w:rPr>
        <w:t>2</w:t>
      </w:r>
      <w:r w:rsidR="00185CD9">
        <w:rPr>
          <w:rFonts w:ascii="Palatino Linotype" w:eastAsiaTheme="minorHAnsi" w:hAnsi="Palatino Linotype" w:cs="Arial"/>
          <w:b/>
          <w:bCs/>
          <w:lang w:val="es-MX" w:eastAsia="es-MX"/>
        </w:rPr>
        <w:t>72</w:t>
      </w:r>
      <w:r w:rsidR="007A5ED4">
        <w:rPr>
          <w:rFonts w:ascii="Palatino Linotype" w:eastAsiaTheme="minorHAnsi" w:hAnsi="Palatino Linotype" w:cs="Arial"/>
          <w:b/>
          <w:bCs/>
          <w:lang w:val="es-MX" w:eastAsia="es-MX"/>
        </w:rPr>
        <w:t>0</w:t>
      </w:r>
      <w:r w:rsidR="00C45025" w:rsidRPr="00374FE7">
        <w:rPr>
          <w:rFonts w:ascii="Palatino Linotype" w:eastAsiaTheme="minorHAnsi" w:hAnsi="Palatino Linotype" w:cs="Arial"/>
          <w:b/>
          <w:bCs/>
          <w:lang w:val="es-MX" w:eastAsia="es-MX"/>
        </w:rPr>
        <w:t>/INFOEM/IP/RR/202</w:t>
      </w:r>
      <w:r w:rsidR="008218E5">
        <w:rPr>
          <w:rFonts w:ascii="Palatino Linotype" w:eastAsiaTheme="minorHAnsi" w:hAnsi="Palatino Linotype" w:cs="Arial"/>
          <w:b/>
          <w:bCs/>
          <w:lang w:val="es-MX" w:eastAsia="es-MX"/>
        </w:rPr>
        <w:t>5</w:t>
      </w:r>
      <w:r w:rsidRPr="00374FE7">
        <w:rPr>
          <w:rFonts w:ascii="Palatino Linotype" w:eastAsiaTheme="minorHAnsi" w:hAnsi="Palatino Linotype" w:cs="Arial"/>
          <w:lang w:val="es-MX" w:eastAsia="en-US"/>
        </w:rPr>
        <w:t>, en el cual aduce, las siguientes manifestaciones:</w:t>
      </w:r>
    </w:p>
    <w:p w14:paraId="068AD5CB" w14:textId="77777777" w:rsidR="007A5ED4" w:rsidRPr="007A5ED4" w:rsidRDefault="007A5ED4" w:rsidP="007A5ED4">
      <w:pPr>
        <w:pStyle w:val="Sinespaciado"/>
        <w:rPr>
          <w:rFonts w:eastAsiaTheme="minorHAnsi"/>
          <w:lang w:eastAsia="en-US"/>
        </w:rPr>
      </w:pPr>
    </w:p>
    <w:p w14:paraId="29A04516" w14:textId="16593E36" w:rsidR="002D6E4B" w:rsidRPr="00B77FED" w:rsidRDefault="0029071C" w:rsidP="007A5ED4">
      <w:pPr>
        <w:numPr>
          <w:ilvl w:val="0"/>
          <w:numId w:val="1"/>
        </w:numPr>
        <w:spacing w:line="360"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185CD9" w:rsidRPr="00185CD9">
        <w:rPr>
          <w:rFonts w:ascii="Palatino Linotype" w:eastAsiaTheme="minorHAnsi" w:hAnsi="Palatino Linotype" w:cstheme="minorBidi"/>
          <w:i/>
          <w:color w:val="000000"/>
          <w:sz w:val="22"/>
          <w:szCs w:val="22"/>
          <w:lang w:val="es-MX" w:eastAsia="en-US"/>
        </w:rPr>
        <w:t>no se entrega información completa</w:t>
      </w:r>
      <w:r w:rsidRPr="00374FE7">
        <w:rPr>
          <w:rFonts w:ascii="Palatino Linotype" w:eastAsiaTheme="minorHAnsi" w:hAnsi="Palatino Linotype" w:cstheme="minorBidi"/>
          <w:i/>
          <w:color w:val="000000"/>
          <w:sz w:val="22"/>
          <w:szCs w:val="22"/>
          <w:lang w:val="es-MX" w:eastAsia="en-US"/>
        </w:rPr>
        <w:t>” (Sic).</w:t>
      </w:r>
    </w:p>
    <w:p w14:paraId="5D30BF86" w14:textId="77777777" w:rsidR="00B77FED" w:rsidRPr="00374FE7" w:rsidRDefault="00B77FED" w:rsidP="007A5ED4">
      <w:pPr>
        <w:pStyle w:val="Sinespaciado"/>
        <w:spacing w:line="360" w:lineRule="auto"/>
      </w:pPr>
    </w:p>
    <w:p w14:paraId="7CD83100" w14:textId="61AA358A" w:rsidR="00821C4B" w:rsidRPr="003A2B8C" w:rsidRDefault="0029071C" w:rsidP="00115ABC">
      <w:pPr>
        <w:pStyle w:val="Prrafodelista"/>
        <w:numPr>
          <w:ilvl w:val="0"/>
          <w:numId w:val="1"/>
        </w:numPr>
        <w:spacing w:line="276" w:lineRule="auto"/>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185CD9" w:rsidRPr="00185CD9">
        <w:rPr>
          <w:rFonts w:ascii="Palatino Linotype" w:eastAsiaTheme="minorHAnsi" w:hAnsi="Palatino Linotype" w:cstheme="minorBidi"/>
          <w:i/>
          <w:color w:val="000000"/>
          <w:sz w:val="22"/>
          <w:szCs w:val="22"/>
          <w:lang w:val="es-MX" w:eastAsia="en-US"/>
        </w:rPr>
        <w:t>se le solicito todos los nombres según su organigrama, y no aparecen los nombres de la tesorera,</w:t>
      </w:r>
      <w:r w:rsidR="00185CD9">
        <w:rPr>
          <w:rFonts w:ascii="Palatino Linotype" w:eastAsiaTheme="minorHAnsi" w:hAnsi="Palatino Linotype" w:cstheme="minorBidi"/>
          <w:i/>
          <w:color w:val="000000"/>
          <w:sz w:val="22"/>
          <w:szCs w:val="22"/>
          <w:lang w:val="es-MX" w:eastAsia="en-US"/>
        </w:rPr>
        <w:t xml:space="preserve"> </w:t>
      </w:r>
      <w:r w:rsidR="00185CD9" w:rsidRPr="00185CD9">
        <w:rPr>
          <w:rFonts w:ascii="Palatino Linotype" w:eastAsiaTheme="minorHAnsi" w:hAnsi="Palatino Linotype" w:cstheme="minorBidi"/>
          <w:i/>
          <w:color w:val="000000"/>
          <w:sz w:val="22"/>
          <w:szCs w:val="22"/>
          <w:lang w:val="es-MX" w:eastAsia="en-US"/>
        </w:rPr>
        <w:t>transparencia,</w:t>
      </w:r>
      <w:r w:rsidR="00185CD9">
        <w:rPr>
          <w:rFonts w:ascii="Palatino Linotype" w:eastAsiaTheme="minorHAnsi" w:hAnsi="Palatino Linotype" w:cstheme="minorBidi"/>
          <w:i/>
          <w:color w:val="000000"/>
          <w:sz w:val="22"/>
          <w:szCs w:val="22"/>
          <w:lang w:val="es-MX" w:eastAsia="en-US"/>
        </w:rPr>
        <w:t xml:space="preserve"> </w:t>
      </w:r>
      <w:proofErr w:type="spellStart"/>
      <w:r w:rsidR="00185CD9" w:rsidRPr="00185CD9">
        <w:rPr>
          <w:rFonts w:ascii="Palatino Linotype" w:eastAsiaTheme="minorHAnsi" w:hAnsi="Palatino Linotype" w:cstheme="minorBidi"/>
          <w:i/>
          <w:color w:val="000000"/>
          <w:sz w:val="22"/>
          <w:szCs w:val="22"/>
          <w:lang w:val="es-MX" w:eastAsia="en-US"/>
        </w:rPr>
        <w:t>uippe</w:t>
      </w:r>
      <w:proofErr w:type="spellEnd"/>
      <w:r w:rsidR="00185CD9" w:rsidRPr="00185CD9">
        <w:rPr>
          <w:rFonts w:ascii="Palatino Linotype" w:eastAsiaTheme="minorHAnsi" w:hAnsi="Palatino Linotype" w:cstheme="minorBidi"/>
          <w:i/>
          <w:color w:val="000000"/>
          <w:sz w:val="22"/>
          <w:szCs w:val="22"/>
          <w:lang w:val="es-MX" w:eastAsia="en-US"/>
        </w:rPr>
        <w:t>,</w:t>
      </w:r>
      <w:r w:rsidR="00185CD9">
        <w:rPr>
          <w:rFonts w:ascii="Palatino Linotype" w:eastAsiaTheme="minorHAnsi" w:hAnsi="Palatino Linotype" w:cstheme="minorBidi"/>
          <w:i/>
          <w:color w:val="000000"/>
          <w:sz w:val="22"/>
          <w:szCs w:val="22"/>
          <w:lang w:val="es-MX" w:eastAsia="en-US"/>
        </w:rPr>
        <w:t xml:space="preserve"> </w:t>
      </w:r>
      <w:r w:rsidR="00185CD9" w:rsidRPr="00185CD9">
        <w:rPr>
          <w:rFonts w:ascii="Palatino Linotype" w:eastAsiaTheme="minorHAnsi" w:hAnsi="Palatino Linotype" w:cstheme="minorBidi"/>
          <w:i/>
          <w:color w:val="000000"/>
          <w:sz w:val="22"/>
          <w:szCs w:val="22"/>
          <w:lang w:val="es-MX" w:eastAsia="en-US"/>
        </w:rPr>
        <w:t>etc.</w:t>
      </w:r>
      <w:r w:rsidRPr="00374FE7">
        <w:rPr>
          <w:rFonts w:ascii="Palatino Linotype" w:eastAsiaTheme="minorHAnsi" w:hAnsi="Palatino Linotype" w:cstheme="minorBidi"/>
          <w:i/>
          <w:color w:val="000000"/>
          <w:sz w:val="22"/>
          <w:szCs w:val="22"/>
          <w:lang w:val="es-MX" w:eastAsia="en-US"/>
        </w:rPr>
        <w:t>” (Sic)</w:t>
      </w:r>
    </w:p>
    <w:p w14:paraId="41329C93" w14:textId="77777777" w:rsidR="003A2B8C" w:rsidRDefault="003A2B8C" w:rsidP="003A2B8C">
      <w:pPr>
        <w:jc w:val="both"/>
        <w:rPr>
          <w:rFonts w:ascii="Palatino Linotype" w:hAnsi="Palatino Linotype"/>
          <w:i/>
          <w:sz w:val="26"/>
          <w:szCs w:val="26"/>
          <w:lang w:val="es-MX" w:eastAsia="es-MX"/>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374FE7">
        <w:rPr>
          <w:rFonts w:ascii="Palatino Linotype" w:eastAsiaTheme="minorHAnsi" w:hAnsi="Palatino Linotype" w:cs="Arial"/>
          <w:b/>
          <w:sz w:val="28"/>
          <w:lang w:val="es-MX" w:eastAsia="en-US"/>
        </w:rPr>
        <w:t>O. Del turno del recurso de revisión.</w:t>
      </w:r>
    </w:p>
    <w:p w14:paraId="11CB15BA" w14:textId="431F44E6"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85CD9">
        <w:rPr>
          <w:rFonts w:ascii="Palatino Linotype" w:eastAsiaTheme="minorHAnsi" w:hAnsi="Palatino Linotype" w:cs="Arial"/>
          <w:lang w:val="es-MX" w:eastAsia="en-US"/>
        </w:rPr>
        <w:t xml:space="preserve">catorce </w:t>
      </w:r>
      <w:r w:rsidR="00115ABC">
        <w:rPr>
          <w:rFonts w:ascii="Palatino Linotype" w:eastAsiaTheme="minorHAnsi" w:hAnsi="Palatino Linotype" w:cs="Arial"/>
          <w:lang w:val="es-MX" w:eastAsia="en-US"/>
        </w:rPr>
        <w:t>de marzo</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3BB4E07F" w14:textId="77777777" w:rsidR="007A5ED4" w:rsidRDefault="00CF1DF5"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fue omiso en remitir su</w:t>
      </w:r>
      <w:r w:rsidR="00267458"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informe justificado</w:t>
      </w:r>
      <w:r w:rsidR="009A7B69">
        <w:rPr>
          <w:rFonts w:ascii="Palatino Linotype" w:eastAsiaTheme="minorHAnsi" w:hAnsi="Palatino Linotype" w:cs="Arial"/>
          <w:lang w:val="es-MX" w:eastAsia="en-US"/>
        </w:rPr>
        <w:t>;</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tampoco</w:t>
      </w:r>
      <w:r w:rsidR="006B2F26">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6B2F26">
        <w:rPr>
          <w:rFonts w:ascii="Palatino Linotype" w:eastAsiaTheme="minorHAnsi" w:hAnsi="Palatino Linotype" w:cs="Arial"/>
          <w:lang w:val="es-MX" w:eastAsia="en-US"/>
        </w:rPr>
        <w:t xml:space="preserve"> alegatos</w:t>
      </w:r>
      <w:r w:rsidR="007A5ED4">
        <w:rPr>
          <w:rFonts w:ascii="Palatino Linotype" w:eastAsiaTheme="minorHAnsi" w:hAnsi="Palatino Linotype" w:cs="Arial"/>
          <w:lang w:val="es-MX" w:eastAsia="en-US"/>
        </w:rPr>
        <w:t xml:space="preserve"> ni manifestaciones, de conformidad con la siguiente captura de pantalla:</w:t>
      </w:r>
    </w:p>
    <w:p w14:paraId="75A71F57" w14:textId="5F1D6B3D" w:rsidR="008218E5" w:rsidRPr="007A5ED4" w:rsidRDefault="00185CD9" w:rsidP="008218E5">
      <w:pPr>
        <w:spacing w:line="360" w:lineRule="auto"/>
        <w:jc w:val="both"/>
        <w:rPr>
          <w:rFonts w:ascii="Palatino Linotype" w:eastAsiaTheme="minorHAnsi" w:hAnsi="Palatino Linotype" w:cs="Arial"/>
          <w:i/>
          <w:sz w:val="22"/>
          <w:lang w:val="es-MX" w:eastAsia="en-US"/>
        </w:rPr>
      </w:pPr>
      <w:r w:rsidRPr="00185CD9">
        <w:rPr>
          <w:rFonts w:ascii="Palatino Linotype" w:eastAsiaTheme="minorHAnsi" w:hAnsi="Palatino Linotype" w:cs="Arial"/>
          <w:noProof/>
          <w:lang w:val="es-MX" w:eastAsia="es-MX"/>
        </w:rPr>
        <w:drawing>
          <wp:inline distT="0" distB="0" distL="0" distR="0" wp14:anchorId="06A7F43B" wp14:editId="44565469">
            <wp:extent cx="5791835" cy="1395730"/>
            <wp:effectExtent l="152400" t="152400" r="361315" b="356870"/>
            <wp:docPr id="1076096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6019" name=""/>
                    <pic:cNvPicPr/>
                  </pic:nvPicPr>
                  <pic:blipFill>
                    <a:blip r:embed="rId8"/>
                    <a:stretch>
                      <a:fillRect/>
                    </a:stretch>
                  </pic:blipFill>
                  <pic:spPr>
                    <a:xfrm>
                      <a:off x="0" y="0"/>
                      <a:ext cx="5791835" cy="1395730"/>
                    </a:xfrm>
                    <a:prstGeom prst="rect">
                      <a:avLst/>
                    </a:prstGeom>
                    <a:ln>
                      <a:noFill/>
                    </a:ln>
                    <a:effectLst>
                      <a:outerShdw blurRad="292100" dist="139700" dir="2700000" algn="tl" rotWithShape="0">
                        <a:srgbClr val="333333">
                          <a:alpha val="65000"/>
                        </a:srgbClr>
                      </a:outerShdw>
                    </a:effectLst>
                  </pic:spPr>
                </pic:pic>
              </a:graphicData>
            </a:graphic>
          </wp:inline>
        </w:drawing>
      </w:r>
      <w:r w:rsidR="006B2F26">
        <w:rPr>
          <w:rFonts w:ascii="Palatino Linotype" w:eastAsiaTheme="minorHAnsi" w:hAnsi="Palatino Linotype" w:cs="Arial"/>
          <w:lang w:val="es-MX" w:eastAsia="en-US"/>
        </w:rPr>
        <w:t xml:space="preserve"> </w:t>
      </w:r>
    </w:p>
    <w:p w14:paraId="340B12C3" w14:textId="5562F9D8"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5B82838F"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185CD9">
        <w:rPr>
          <w:rFonts w:ascii="Palatino Linotype" w:eastAsiaTheme="minorHAnsi" w:hAnsi="Palatino Linotype" w:cs="Arial"/>
          <w:lang w:val="es-MX" w:eastAsia="en-US"/>
        </w:rPr>
        <w:t>veintisiete</w:t>
      </w:r>
      <w:r w:rsidR="007A5ED4">
        <w:rPr>
          <w:rFonts w:ascii="Palatino Linotype" w:eastAsiaTheme="minorHAnsi" w:hAnsi="Palatino Linotype" w:cs="Arial"/>
          <w:lang w:val="es-MX" w:eastAsia="en-US"/>
        </w:rPr>
        <w:t xml:space="preserve"> de marzo</w:t>
      </w:r>
      <w:r w:rsidRPr="0000481D">
        <w:rPr>
          <w:rFonts w:ascii="Palatino Linotype" w:eastAsiaTheme="minorHAnsi" w:hAnsi="Palatino Linotype" w:cs="Arial"/>
          <w:lang w:val="es-MX" w:eastAsia="en-US"/>
        </w:rPr>
        <w:t xml:space="preserve"> del año en curso, en términos del artículo 185, Fracción </w:t>
      </w:r>
      <w:r w:rsidRPr="0000481D">
        <w:rPr>
          <w:rFonts w:ascii="Palatino Linotype" w:eastAsiaTheme="minorHAnsi" w:hAnsi="Palatino Linotype" w:cs="Arial"/>
          <w:lang w:val="es-MX" w:eastAsia="en-US"/>
        </w:rPr>
        <w:lastRenderedPageBreak/>
        <w:t>VI, de la Ley de Transparencia y Acceso a la Información Pública del Estado de México y Municipios, iniciando el término legal para dictar resolución definitiva del asunto.</w:t>
      </w:r>
    </w:p>
    <w:p w14:paraId="41522168" w14:textId="77777777" w:rsidR="00115ABC" w:rsidRDefault="00115ABC" w:rsidP="0029071C">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460EBA73" w14:textId="1630A2E2" w:rsidR="008218E5" w:rsidRDefault="00115ABC" w:rsidP="00723B5A">
      <w:pPr>
        <w:spacing w:line="360" w:lineRule="auto"/>
        <w:jc w:val="both"/>
        <w:rPr>
          <w:rFonts w:ascii="Palatino Linotype" w:eastAsiaTheme="minorHAnsi" w:hAnsi="Palatino Linotype" w:cs="Arial"/>
          <w:lang w:val="es-MX" w:eastAsia="en-US"/>
        </w:rPr>
      </w:pPr>
      <w:r w:rsidRPr="00115AB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763ABF" w14:textId="77777777" w:rsidR="00115ABC" w:rsidRPr="00374FE7" w:rsidRDefault="00115ABC"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0F3C35C7" w14:textId="276A3429" w:rsidR="0020146B"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B30B027"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0A1F01C9"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07972C8C"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Resolutor,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7EAF74DD" w14:textId="77777777" w:rsidR="00185CD9" w:rsidRDefault="00185CD9" w:rsidP="008218E5">
      <w:pPr>
        <w:autoSpaceDE w:val="0"/>
        <w:autoSpaceDN w:val="0"/>
        <w:adjustRightInd w:val="0"/>
        <w:spacing w:line="360" w:lineRule="auto"/>
        <w:jc w:val="both"/>
        <w:rPr>
          <w:rFonts w:ascii="Palatino Linotype" w:eastAsiaTheme="minorHAnsi" w:hAnsi="Palatino Linotype" w:cs="Arial"/>
          <w:lang w:val="es-MX" w:eastAsia="en-US"/>
        </w:rPr>
      </w:pPr>
    </w:p>
    <w:p w14:paraId="62C7BC15" w14:textId="77777777" w:rsidR="00185CD9" w:rsidRPr="00913034" w:rsidRDefault="00185CD9" w:rsidP="00185CD9">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23876D1D" w14:textId="77777777" w:rsidR="00185CD9" w:rsidRPr="00913034" w:rsidRDefault="00185CD9" w:rsidP="00185CD9">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2DCE1F00"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lastRenderedPageBreak/>
        <w:t xml:space="preserve">Esta Ponencia considera importante abordar el análisis de los requisitos de procedibilidad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57881FFC" w14:textId="77777777" w:rsidR="00185CD9" w:rsidRPr="00913034" w:rsidRDefault="00185CD9" w:rsidP="00185CD9">
      <w:pPr>
        <w:rPr>
          <w:lang w:val="es-MX"/>
        </w:rPr>
      </w:pPr>
    </w:p>
    <w:p w14:paraId="1C3FF059" w14:textId="77777777" w:rsidR="00185CD9" w:rsidRPr="00913034" w:rsidRDefault="00185CD9" w:rsidP="00185CD9">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BF44C17" w14:textId="77777777" w:rsidR="00185CD9" w:rsidRPr="00913034" w:rsidRDefault="00185CD9" w:rsidP="00185CD9">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4617EC51" w14:textId="77777777" w:rsidR="00185CD9" w:rsidRPr="00913034" w:rsidRDefault="00185CD9" w:rsidP="00185CD9">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ED1B0BA"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rPr>
      </w:pPr>
    </w:p>
    <w:p w14:paraId="6D75861E"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0A70FBA"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rPr>
      </w:pPr>
    </w:p>
    <w:p w14:paraId="341342E4"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4A870784" w14:textId="77777777" w:rsidR="00185CD9" w:rsidRPr="00B640A9" w:rsidRDefault="00185CD9" w:rsidP="00185CD9">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lastRenderedPageBreak/>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54E425" w14:textId="77777777" w:rsidR="008218E5" w:rsidRP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5C2DDD9C" w:rsidR="00081BEC" w:rsidRPr="00081BEC" w:rsidRDefault="00185CD9" w:rsidP="00081BEC">
      <w:pPr>
        <w:spacing w:line="360" w:lineRule="auto"/>
        <w:jc w:val="both"/>
        <w:rPr>
          <w:rFonts w:ascii="Palatino Linotype" w:eastAsiaTheme="minorHAnsi" w:hAnsi="Palatino Linotype" w:cs="Arial"/>
          <w:b/>
          <w:sz w:val="28"/>
          <w:szCs w:val="28"/>
          <w:lang w:val="es-MX" w:eastAsia="en-US"/>
        </w:rPr>
      </w:pPr>
      <w:r>
        <w:rPr>
          <w:rFonts w:ascii="Palatino Linotype" w:eastAsiaTheme="minorHAnsi" w:hAnsi="Palatino Linotype" w:cs="Arial"/>
          <w:b/>
          <w:sz w:val="28"/>
          <w:szCs w:val="28"/>
          <w:lang w:val="es-MX" w:eastAsia="en-US"/>
        </w:rPr>
        <w:t>CUART</w:t>
      </w:r>
      <w:r w:rsidR="00081BEC" w:rsidRPr="00081BEC">
        <w:rPr>
          <w:rFonts w:ascii="Palatino Linotype" w:eastAsiaTheme="minorHAnsi" w:hAnsi="Palatino Linotype" w:cs="Arial"/>
          <w:b/>
          <w:sz w:val="28"/>
          <w:szCs w:val="28"/>
          <w:lang w:val="es-MX" w:eastAsia="en-US"/>
        </w:rPr>
        <w:t>O. De las causas de improcedencia.</w:t>
      </w:r>
    </w:p>
    <w:p w14:paraId="14EF5228" w14:textId="6F6B35E8" w:rsidR="002B17F9"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409E6A35" w14:textId="67B871E6" w:rsidR="007A5ED4"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26E2853D" w14:textId="77777777" w:rsidR="00185CD9" w:rsidRPr="00081BEC" w:rsidRDefault="00185CD9" w:rsidP="00081BEC">
      <w:pPr>
        <w:autoSpaceDE w:val="0"/>
        <w:autoSpaceDN w:val="0"/>
        <w:adjustRightInd w:val="0"/>
        <w:spacing w:line="360" w:lineRule="auto"/>
        <w:jc w:val="both"/>
        <w:rPr>
          <w:rFonts w:ascii="Palatino Linotype" w:hAnsi="Palatino Linotype" w:cs="Arial"/>
        </w:rPr>
      </w:pPr>
    </w:p>
    <w:p w14:paraId="4A6150B3" w14:textId="742CD154" w:rsidR="00081BEC" w:rsidRPr="00081BEC" w:rsidRDefault="00185CD9" w:rsidP="00081BEC">
      <w:pPr>
        <w:autoSpaceDE w:val="0"/>
        <w:autoSpaceDN w:val="0"/>
        <w:adjustRightInd w:val="0"/>
        <w:spacing w:line="360" w:lineRule="auto"/>
        <w:jc w:val="both"/>
        <w:rPr>
          <w:rFonts w:ascii="Palatino Linotype" w:hAnsi="Palatino Linotype" w:cs="Arial"/>
          <w:sz w:val="28"/>
          <w:szCs w:val="28"/>
        </w:rPr>
      </w:pPr>
      <w:r>
        <w:rPr>
          <w:rFonts w:ascii="Palatino Linotype" w:hAnsi="Palatino Linotype" w:cs="Arial"/>
          <w:b/>
          <w:sz w:val="28"/>
        </w:rPr>
        <w:t>QUIN</w:t>
      </w:r>
      <w:r w:rsidR="00081BEC" w:rsidRPr="00081BEC">
        <w:rPr>
          <w:rFonts w:ascii="Palatino Linotype" w:hAnsi="Palatino Linotype" w:cs="Arial"/>
          <w:b/>
          <w:sz w:val="28"/>
        </w:rPr>
        <w:t>TO</w:t>
      </w:r>
      <w:r w:rsidR="00081BEC" w:rsidRPr="00081BEC">
        <w:rPr>
          <w:rFonts w:ascii="Palatino Linotype" w:hAnsi="Palatino Linotype" w:cs="Arial"/>
          <w:b/>
          <w:sz w:val="28"/>
          <w:szCs w:val="28"/>
        </w:rPr>
        <w:t>.</w:t>
      </w:r>
      <w:r w:rsidR="00081BEC" w:rsidRPr="00081BEC">
        <w:rPr>
          <w:rFonts w:ascii="Palatino Linotype" w:hAnsi="Palatino Linotype" w:cs="Arial"/>
          <w:sz w:val="28"/>
          <w:szCs w:val="28"/>
        </w:rPr>
        <w:t xml:space="preserve"> </w:t>
      </w:r>
      <w:r w:rsidR="00081BEC" w:rsidRPr="00081BEC">
        <w:rPr>
          <w:rFonts w:ascii="Palatino Linotype" w:hAnsi="Palatino Linotype" w:cs="Arial"/>
          <w:b/>
          <w:sz w:val="28"/>
          <w:szCs w:val="28"/>
        </w:rPr>
        <w:t>Estudio y resolución del asunto.</w:t>
      </w:r>
    </w:p>
    <w:p w14:paraId="1261BD2B"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C986EB1" w14:textId="04D7A8DA"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553D79"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t>REQUERIMIENTOS SOLICITADOS</w:t>
      </w:r>
      <w:r w:rsidR="002B17F9">
        <w:rPr>
          <w:rFonts w:ascii="Palatino Linotype" w:eastAsiaTheme="minorHAnsi" w:hAnsi="Palatino Linotype" w:cstheme="minorBidi"/>
          <w:b/>
          <w:szCs w:val="22"/>
          <w:lang w:val="es-MX" w:eastAsia="es-MX"/>
        </w:rPr>
        <w:t>.</w:t>
      </w:r>
      <w:r w:rsidRPr="00553D79">
        <w:rPr>
          <w:rFonts w:ascii="Palatino Linotype" w:eastAsiaTheme="minorHAnsi" w:hAnsi="Palatino Linotype" w:cstheme="minorBidi"/>
          <w:b/>
          <w:szCs w:val="22"/>
          <w:lang w:val="es-MX" w:eastAsia="es-MX"/>
        </w:rPr>
        <w:t xml:space="preserve"> </w:t>
      </w:r>
    </w:p>
    <w:p w14:paraId="78EEACF7" w14:textId="77777777" w:rsidR="00130316" w:rsidRDefault="00130316" w:rsidP="00130316">
      <w:pPr>
        <w:pStyle w:val="Sinespaciado"/>
        <w:rPr>
          <w:rFonts w:eastAsiaTheme="minorHAnsi"/>
          <w:lang w:eastAsia="es-MX"/>
        </w:rPr>
      </w:pPr>
    </w:p>
    <w:p w14:paraId="7F7F8974" w14:textId="2ED6E4A9" w:rsidR="00115ABC" w:rsidRDefault="00185CD9" w:rsidP="005561B7">
      <w:pPr>
        <w:pStyle w:val="Prrafodelista"/>
        <w:numPr>
          <w:ilvl w:val="0"/>
          <w:numId w:val="4"/>
        </w:numPr>
        <w:spacing w:line="360" w:lineRule="auto"/>
        <w:ind w:right="141"/>
        <w:jc w:val="both"/>
        <w:rPr>
          <w:rFonts w:ascii="Palatino Linotype" w:eastAsiaTheme="minorHAnsi" w:hAnsi="Palatino Linotype" w:cstheme="minorBidi"/>
          <w:bCs/>
          <w:szCs w:val="22"/>
          <w:lang w:val="es-MX" w:eastAsia="es-MX"/>
        </w:rPr>
      </w:pPr>
      <w:bookmarkStart w:id="2" w:name="_Hlk194940724"/>
      <w:r w:rsidRPr="0012070A">
        <w:rPr>
          <w:rFonts w:ascii="Palatino Linotype" w:eastAsiaTheme="minorHAnsi" w:hAnsi="Palatino Linotype" w:cstheme="minorBidi"/>
          <w:bCs/>
          <w:szCs w:val="22"/>
          <w:u w:val="single"/>
          <w:lang w:val="es-MX" w:eastAsia="es-MX"/>
        </w:rPr>
        <w:t xml:space="preserve">Listado de todo el personal que labora en el IMCUFIDE </w:t>
      </w:r>
      <w:bookmarkEnd w:id="2"/>
      <w:r w:rsidRPr="0012070A">
        <w:rPr>
          <w:rFonts w:ascii="Palatino Linotype" w:eastAsiaTheme="minorHAnsi" w:hAnsi="Palatino Linotype" w:cstheme="minorBidi"/>
          <w:bCs/>
          <w:szCs w:val="22"/>
          <w:u w:val="single"/>
          <w:lang w:val="es-MX" w:eastAsia="es-MX"/>
        </w:rPr>
        <w:t xml:space="preserve">de </w:t>
      </w:r>
      <w:r w:rsidR="003B3537" w:rsidRPr="0012070A">
        <w:rPr>
          <w:rFonts w:ascii="Palatino Linotype" w:eastAsiaTheme="minorHAnsi" w:hAnsi="Palatino Linotype" w:cstheme="minorBidi"/>
          <w:bCs/>
          <w:szCs w:val="22"/>
          <w:u w:val="single"/>
          <w:lang w:val="es-MX" w:eastAsia="es-MX"/>
        </w:rPr>
        <w:t>Cocotitlán</w:t>
      </w:r>
      <w:r w:rsidRPr="00185CD9">
        <w:rPr>
          <w:rFonts w:ascii="Palatino Linotype" w:eastAsiaTheme="minorHAnsi" w:hAnsi="Palatino Linotype" w:cstheme="minorBidi"/>
          <w:bCs/>
          <w:szCs w:val="22"/>
          <w:lang w:val="es-MX" w:eastAsia="es-MX"/>
        </w:rPr>
        <w:t xml:space="preserve"> </w:t>
      </w:r>
      <w:r w:rsidR="003B3537" w:rsidRPr="00185CD9">
        <w:rPr>
          <w:rFonts w:ascii="Palatino Linotype" w:eastAsiaTheme="minorHAnsi" w:hAnsi="Palatino Linotype" w:cstheme="minorBidi"/>
          <w:bCs/>
          <w:szCs w:val="22"/>
          <w:lang w:val="es-MX" w:eastAsia="es-MX"/>
        </w:rPr>
        <w:t>según</w:t>
      </w:r>
      <w:r w:rsidRPr="00185CD9">
        <w:rPr>
          <w:rFonts w:ascii="Palatino Linotype" w:eastAsiaTheme="minorHAnsi" w:hAnsi="Palatino Linotype" w:cstheme="minorBidi"/>
          <w:bCs/>
          <w:szCs w:val="22"/>
          <w:lang w:val="es-MX" w:eastAsia="es-MX"/>
        </w:rPr>
        <w:t xml:space="preserve"> su organigrama</w:t>
      </w:r>
      <w:r w:rsidR="00115ABC">
        <w:rPr>
          <w:rFonts w:ascii="Palatino Linotype" w:eastAsiaTheme="minorHAnsi" w:hAnsi="Palatino Linotype" w:cstheme="minorBidi"/>
          <w:bCs/>
          <w:szCs w:val="22"/>
          <w:lang w:val="es-MX" w:eastAsia="es-MX"/>
        </w:rPr>
        <w:t>.</w:t>
      </w:r>
      <w:r w:rsidR="00115ABC" w:rsidRPr="00115ABC">
        <w:rPr>
          <w:rFonts w:ascii="Palatino Linotype" w:eastAsiaTheme="minorHAnsi" w:hAnsi="Palatino Linotype" w:cstheme="minorBidi"/>
          <w:bCs/>
          <w:szCs w:val="22"/>
          <w:lang w:val="es-MX" w:eastAsia="es-MX"/>
        </w:rPr>
        <w:t xml:space="preserve"> </w:t>
      </w:r>
    </w:p>
    <w:p w14:paraId="55F57210" w14:textId="77777777" w:rsidR="00D563FD" w:rsidRPr="00D563FD" w:rsidRDefault="00D563FD" w:rsidP="00D563FD">
      <w:pPr>
        <w:spacing w:line="360" w:lineRule="auto"/>
        <w:ind w:right="141"/>
        <w:jc w:val="both"/>
        <w:rPr>
          <w:rFonts w:ascii="Palatino Linotype" w:eastAsiaTheme="minorHAnsi" w:hAnsi="Palatino Linotype" w:cstheme="minorBidi"/>
          <w:bCs/>
          <w:szCs w:val="22"/>
          <w:lang w:val="es-MX" w:eastAsia="es-MX"/>
        </w:rPr>
      </w:pPr>
    </w:p>
    <w:p w14:paraId="4527183F" w14:textId="7BD4FD2C" w:rsidR="00895D34" w:rsidRDefault="009602BA" w:rsidP="002E227E">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w:t>
      </w:r>
      <w:bookmarkStart w:id="3" w:name="_Hlk183536063"/>
      <w:bookmarkStart w:id="4" w:name="_Hlk190173948"/>
      <w:r w:rsidR="0032287D">
        <w:rPr>
          <w:rFonts w:ascii="Palatino Linotype" w:eastAsiaTheme="minorHAnsi" w:hAnsi="Palatino Linotype" w:cs="TimesNewRomanPS-ItalicMT"/>
          <w:iCs/>
          <w:lang w:val="es-MX" w:eastAsia="en-US"/>
        </w:rPr>
        <w:t xml:space="preserve"> a través del oficio</w:t>
      </w:r>
      <w:r w:rsidR="002E227E">
        <w:rPr>
          <w:rFonts w:ascii="Palatino Linotype" w:eastAsiaTheme="minorHAnsi" w:hAnsi="Palatino Linotype" w:cs="TimesNewRomanPS-ItalicMT"/>
          <w:iCs/>
          <w:lang w:val="es-MX" w:eastAsia="en-US"/>
        </w:rPr>
        <w:t xml:space="preserve"> número </w:t>
      </w:r>
      <w:r w:rsidR="0012070A">
        <w:rPr>
          <w:rFonts w:ascii="Palatino Linotype" w:eastAsiaTheme="minorHAnsi" w:hAnsi="Palatino Linotype" w:cs="TimesNewRomanPS-ItalicMT"/>
          <w:b/>
          <w:bCs/>
          <w:iCs/>
          <w:lang w:val="es-MX" w:eastAsia="en-US"/>
        </w:rPr>
        <w:t>IMCUFIDE/UT/0005/2025</w:t>
      </w:r>
      <w:r w:rsidR="002E227E">
        <w:rPr>
          <w:rFonts w:ascii="Palatino Linotype" w:eastAsiaTheme="minorHAnsi" w:hAnsi="Palatino Linotype" w:cs="TimesNewRomanPS-ItalicMT"/>
          <w:iCs/>
          <w:lang w:val="es-MX" w:eastAsia="en-US"/>
        </w:rPr>
        <w:t>,</w:t>
      </w:r>
      <w:r w:rsidR="0032287D">
        <w:rPr>
          <w:rFonts w:ascii="Palatino Linotype" w:eastAsiaTheme="minorHAnsi" w:hAnsi="Palatino Linotype" w:cs="TimesNewRomanPS-ItalicMT"/>
          <w:iCs/>
          <w:lang w:val="es-MX" w:eastAsia="en-US"/>
        </w:rPr>
        <w:t xml:space="preserve"> firmado por el </w:t>
      </w:r>
      <w:r w:rsidR="002E227E" w:rsidRPr="002E227E">
        <w:rPr>
          <w:rFonts w:ascii="Palatino Linotype" w:eastAsiaTheme="minorHAnsi" w:hAnsi="Palatino Linotype" w:cs="TimesNewRomanPS-ItalicMT"/>
          <w:b/>
          <w:bCs/>
          <w:iCs/>
          <w:lang w:val="es-MX" w:eastAsia="en-US"/>
        </w:rPr>
        <w:t>Director de</w:t>
      </w:r>
      <w:r w:rsidR="0012070A">
        <w:rPr>
          <w:rFonts w:ascii="Palatino Linotype" w:eastAsiaTheme="minorHAnsi" w:hAnsi="Palatino Linotype" w:cs="TimesNewRomanPS-ItalicMT"/>
          <w:b/>
          <w:bCs/>
          <w:iCs/>
          <w:lang w:val="es-MX" w:eastAsia="en-US"/>
        </w:rPr>
        <w:t>l</w:t>
      </w:r>
      <w:r w:rsidR="002E227E" w:rsidRPr="002E227E">
        <w:rPr>
          <w:rFonts w:ascii="Palatino Linotype" w:eastAsiaTheme="minorHAnsi" w:hAnsi="Palatino Linotype" w:cs="TimesNewRomanPS-ItalicMT"/>
          <w:b/>
          <w:bCs/>
          <w:iCs/>
          <w:lang w:val="es-MX" w:eastAsia="en-US"/>
        </w:rPr>
        <w:t xml:space="preserve"> </w:t>
      </w:r>
      <w:r w:rsidR="0012070A" w:rsidRPr="0012070A">
        <w:rPr>
          <w:rFonts w:ascii="Palatino Linotype" w:eastAsiaTheme="minorHAnsi" w:hAnsi="Palatino Linotype" w:cs="TimesNewRomanPS-ItalicMT"/>
          <w:b/>
          <w:bCs/>
          <w:iCs/>
          <w:lang w:val="es-MX" w:eastAsia="en-US"/>
        </w:rPr>
        <w:t>Instituto Municipal de Cultura Física y Deporte de</w:t>
      </w:r>
      <w:r w:rsidR="0012070A">
        <w:rPr>
          <w:rFonts w:ascii="Palatino Linotype" w:eastAsiaTheme="minorHAnsi" w:hAnsi="Palatino Linotype" w:cs="TimesNewRomanPS-ItalicMT"/>
          <w:b/>
          <w:bCs/>
          <w:iCs/>
          <w:lang w:val="es-MX" w:eastAsia="en-US"/>
        </w:rPr>
        <w:t>l Municipio de</w:t>
      </w:r>
      <w:r w:rsidR="0012070A" w:rsidRPr="0012070A">
        <w:rPr>
          <w:rFonts w:ascii="Palatino Linotype" w:eastAsiaTheme="minorHAnsi" w:hAnsi="Palatino Linotype" w:cs="TimesNewRomanPS-ItalicMT"/>
          <w:b/>
          <w:bCs/>
          <w:iCs/>
          <w:lang w:val="es-MX" w:eastAsia="en-US"/>
        </w:rPr>
        <w:t xml:space="preserve"> Cocotitlán</w:t>
      </w:r>
      <w:r w:rsidR="0032287D">
        <w:rPr>
          <w:rFonts w:ascii="Palatino Linotype" w:eastAsiaTheme="minorHAnsi" w:hAnsi="Palatino Linotype" w:cs="TimesNewRomanPS-ItalicMT"/>
          <w:iCs/>
          <w:lang w:val="es-MX" w:eastAsia="en-US"/>
        </w:rPr>
        <w:t>,</w:t>
      </w:r>
      <w:bookmarkEnd w:id="3"/>
      <w:bookmarkEnd w:id="4"/>
      <w:r w:rsidR="0012070A">
        <w:rPr>
          <w:rFonts w:ascii="Palatino Linotype" w:eastAsiaTheme="minorHAnsi" w:hAnsi="Palatino Linotype" w:cs="TimesNewRomanPS-ItalicMT"/>
          <w:iCs/>
          <w:lang w:val="es-MX" w:eastAsia="en-US"/>
        </w:rPr>
        <w:t xml:space="preserve"> mediante el cual, remitió una tabla con los rubros de nombre y cargo de seis servidores públicos. </w:t>
      </w:r>
    </w:p>
    <w:p w14:paraId="33CD4CCC" w14:textId="77777777" w:rsidR="002E227E" w:rsidRPr="002E227E" w:rsidRDefault="002E227E" w:rsidP="002E227E">
      <w:pPr>
        <w:spacing w:line="360" w:lineRule="auto"/>
        <w:jc w:val="both"/>
        <w:rPr>
          <w:rFonts w:ascii="Palatino Linotype" w:eastAsiaTheme="minorHAnsi" w:hAnsi="Palatino Linotype" w:cs="TimesNewRomanPS-ItalicMT"/>
          <w:iCs/>
          <w:lang w:val="es-MX" w:eastAsia="en-US"/>
        </w:rPr>
      </w:pPr>
    </w:p>
    <w:p w14:paraId="1E962074" w14:textId="09F2AA0D" w:rsidR="009A7B69" w:rsidRDefault="009602BA" w:rsidP="0032287D">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 xml:space="preserve">, </w:t>
      </w:r>
      <w:r w:rsidR="0058348E" w:rsidRPr="00821C4B">
        <w:rPr>
          <w:rFonts w:ascii="Palatino Linotype" w:hAnsi="Palatino Linotype" w:cs="Arial"/>
          <w:b/>
        </w:rPr>
        <w:t>El</w:t>
      </w:r>
      <w:r w:rsidRPr="00821C4B">
        <w:rPr>
          <w:rFonts w:ascii="Palatino Linotype" w:hAnsi="Palatino Linotype" w:cs="Arial"/>
          <w:b/>
        </w:rPr>
        <w:t xml:space="preserve"> Recurrente </w:t>
      </w:r>
      <w:r w:rsidRPr="00821C4B">
        <w:rPr>
          <w:rFonts w:ascii="Palatino Linotype" w:hAnsi="Palatino Linotype" w:cs="Arial"/>
        </w:rPr>
        <w:t>interpuso el presente recurso de revisión, señalando como su</w:t>
      </w:r>
      <w:r w:rsidR="00821C4B" w:rsidRPr="00821C4B">
        <w:rPr>
          <w:rFonts w:ascii="Palatino Linotype" w:hAnsi="Palatino Linotype" w:cs="Arial"/>
        </w:rPr>
        <w:t>s</w:t>
      </w:r>
      <w:r w:rsidRPr="00821C4B">
        <w:rPr>
          <w:rFonts w:ascii="Palatino Linotype" w:hAnsi="Palatino Linotype" w:cs="Arial"/>
        </w:rPr>
        <w:t xml:space="preserve"> </w:t>
      </w:r>
      <w:r w:rsidR="00821C4B" w:rsidRPr="00821C4B">
        <w:rPr>
          <w:rFonts w:ascii="Palatino Linotype" w:hAnsi="Palatino Linotype" w:cs="Arial"/>
          <w:b/>
          <w:bCs/>
        </w:rPr>
        <w:t>razones o motivos de la inconformidad</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12070A" w:rsidRPr="0012070A">
        <w:rPr>
          <w:rFonts w:ascii="Palatino Linotype" w:eastAsiaTheme="minorHAnsi" w:hAnsi="Palatino Linotype" w:cstheme="minorBidi"/>
          <w:i/>
          <w:color w:val="000000"/>
          <w:szCs w:val="22"/>
          <w:lang w:val="es-MX" w:eastAsia="en-US"/>
        </w:rPr>
        <w:t>se le solicito todos los nombres según su organigrama, y no aparecen los nombres de la tesorera,</w:t>
      </w:r>
      <w:r w:rsidR="0012070A">
        <w:rPr>
          <w:rFonts w:ascii="Palatino Linotype" w:eastAsiaTheme="minorHAnsi" w:hAnsi="Palatino Linotype" w:cstheme="minorBidi"/>
          <w:i/>
          <w:color w:val="000000"/>
          <w:szCs w:val="22"/>
          <w:lang w:val="es-MX" w:eastAsia="en-US"/>
        </w:rPr>
        <w:t xml:space="preserve"> </w:t>
      </w:r>
      <w:r w:rsidR="0012070A" w:rsidRPr="0012070A">
        <w:rPr>
          <w:rFonts w:ascii="Palatino Linotype" w:eastAsiaTheme="minorHAnsi" w:hAnsi="Palatino Linotype" w:cstheme="minorBidi"/>
          <w:i/>
          <w:color w:val="000000"/>
          <w:szCs w:val="22"/>
          <w:lang w:val="es-MX" w:eastAsia="en-US"/>
        </w:rPr>
        <w:t>transparencia,</w:t>
      </w:r>
      <w:r w:rsidR="0012070A">
        <w:rPr>
          <w:rFonts w:ascii="Palatino Linotype" w:eastAsiaTheme="minorHAnsi" w:hAnsi="Palatino Linotype" w:cstheme="minorBidi"/>
          <w:i/>
          <w:color w:val="000000"/>
          <w:szCs w:val="22"/>
          <w:lang w:val="es-MX" w:eastAsia="en-US"/>
        </w:rPr>
        <w:t xml:space="preserve"> </w:t>
      </w:r>
      <w:r w:rsidR="0012070A" w:rsidRPr="0012070A">
        <w:rPr>
          <w:rFonts w:ascii="Palatino Linotype" w:eastAsiaTheme="minorHAnsi" w:hAnsi="Palatino Linotype" w:cstheme="minorBidi"/>
          <w:i/>
          <w:color w:val="000000"/>
          <w:szCs w:val="22"/>
          <w:lang w:val="es-MX" w:eastAsia="en-US"/>
        </w:rPr>
        <w:t>UIPPE,</w:t>
      </w:r>
      <w:r w:rsidR="0012070A">
        <w:rPr>
          <w:rFonts w:ascii="Palatino Linotype" w:eastAsiaTheme="minorHAnsi" w:hAnsi="Palatino Linotype" w:cstheme="minorBidi"/>
          <w:i/>
          <w:color w:val="000000"/>
          <w:szCs w:val="22"/>
          <w:lang w:val="es-MX" w:eastAsia="en-US"/>
        </w:rPr>
        <w:t xml:space="preserve"> </w:t>
      </w:r>
      <w:r w:rsidR="0012070A" w:rsidRPr="0012070A">
        <w:rPr>
          <w:rFonts w:ascii="Palatino Linotype" w:eastAsiaTheme="minorHAnsi" w:hAnsi="Palatino Linotype" w:cstheme="minorBidi"/>
          <w:i/>
          <w:color w:val="000000"/>
          <w:szCs w:val="22"/>
          <w:lang w:val="es-MX" w:eastAsia="en-US"/>
        </w:rPr>
        <w:t>etc.</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626699BB" w14:textId="77777777" w:rsidR="0032287D" w:rsidRPr="0032287D" w:rsidRDefault="0032287D" w:rsidP="0032287D">
      <w:pPr>
        <w:spacing w:line="360" w:lineRule="auto"/>
        <w:jc w:val="both"/>
        <w:rPr>
          <w:rFonts w:ascii="Palatino Linotype" w:eastAsiaTheme="minorHAnsi" w:hAnsi="Palatino Linotype" w:cs="TimesNewRomanPS-ItalicMT"/>
          <w:iCs/>
          <w:lang w:val="es-MX" w:eastAsia="en-US"/>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B7320F">
        <w:rPr>
          <w:rFonts w:ascii="Palatino Linotype" w:hAnsi="Palatino Linotype" w:cs="Arial"/>
          <w:i/>
          <w:sz w:val="22"/>
        </w:rPr>
        <w:lastRenderedPageBreak/>
        <w:t>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 xml:space="preserve">toda la información generada, obtenida, adquirida, transformada, administrada o en posesión de los Sujetos Obligados es pública y </w:t>
      </w:r>
      <w:r w:rsidRPr="00374FE7">
        <w:rPr>
          <w:rFonts w:ascii="Palatino Linotype" w:eastAsia="Calibri" w:hAnsi="Palatino Linotype" w:cs="Arial"/>
          <w:szCs w:val="22"/>
          <w:lang w:val="es-MX" w:eastAsia="en-US"/>
        </w:rPr>
        <w:lastRenderedPageBreak/>
        <w:t>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081BEC" w:rsidRDefault="00B93F7E" w:rsidP="009602BA">
      <w:pPr>
        <w:spacing w:line="360" w:lineRule="auto"/>
        <w:jc w:val="both"/>
        <w:rPr>
          <w:rFonts w:ascii="Palatino Linotype" w:eastAsia="Calibri" w:hAnsi="Palatino Linotype" w:cs="Arial"/>
          <w:szCs w:val="22"/>
          <w:lang w:val="es-MX" w:eastAsia="en-US"/>
        </w:rPr>
      </w:pPr>
    </w:p>
    <w:p w14:paraId="70C63FB2" w14:textId="3A13C6D9"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w:t>
      </w:r>
      <w:r w:rsidR="002E227E">
        <w:rPr>
          <w:rFonts w:ascii="Palatino Linotype" w:eastAsia="Arial Unicode MS" w:hAnsi="Palatino Linotype" w:cs="Arial"/>
          <w:color w:val="000000"/>
          <w:szCs w:val="22"/>
          <w:lang w:val="es-MX" w:eastAsia="en-US"/>
        </w:rPr>
        <w:t xml:space="preserve"> entonces</w:t>
      </w:r>
      <w:r w:rsidRPr="00374FE7">
        <w:rPr>
          <w:rFonts w:ascii="Palatino Linotype" w:eastAsia="Arial Unicode MS" w:hAnsi="Palatino Linotype" w:cs="Arial"/>
          <w:color w:val="000000"/>
          <w:szCs w:val="22"/>
          <w:lang w:val="es-MX" w:eastAsia="en-US"/>
        </w:rPr>
        <w:t xml:space="preserve">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7737BACD" w14:textId="0C697C98" w:rsidR="00F65CF8" w:rsidRDefault="00F65CF8" w:rsidP="002E227E">
      <w:pPr>
        <w:spacing w:line="360" w:lineRule="auto"/>
        <w:jc w:val="both"/>
        <w:rPr>
          <w:rFonts w:ascii="Palatino Linotype" w:hAnsi="Palatino Linotype" w:cs="Tahoma"/>
          <w:bCs/>
        </w:rPr>
      </w:pPr>
      <w:r w:rsidRPr="00374FE7">
        <w:rPr>
          <w:rFonts w:ascii="Palatino Linotype" w:hAnsi="Palatino Linotype" w:cs="Tahoma"/>
          <w:bCs/>
        </w:rPr>
        <w:lastRenderedPageBreak/>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xml:space="preserve">, de manera objetiva se precisa que se </w:t>
      </w:r>
      <w:r w:rsidR="002E227E">
        <w:rPr>
          <w:rFonts w:ascii="Palatino Linotype" w:hAnsi="Palatino Linotype" w:cs="Tahoma"/>
          <w:bCs/>
        </w:rPr>
        <w:t>requiere la siguiente información:</w:t>
      </w:r>
    </w:p>
    <w:p w14:paraId="6125CE12" w14:textId="77777777" w:rsidR="002E227E" w:rsidRDefault="002E227E" w:rsidP="002E227E">
      <w:pPr>
        <w:spacing w:line="360" w:lineRule="auto"/>
        <w:jc w:val="both"/>
        <w:rPr>
          <w:rFonts w:ascii="Palatino Linotype" w:hAnsi="Palatino Linotype" w:cs="Tahoma"/>
          <w:bCs/>
        </w:rPr>
      </w:pPr>
    </w:p>
    <w:p w14:paraId="6352E54F" w14:textId="1F687711" w:rsidR="002E227E" w:rsidRDefault="0012070A" w:rsidP="005561B7">
      <w:pPr>
        <w:pStyle w:val="Prrafodelista"/>
        <w:numPr>
          <w:ilvl w:val="0"/>
          <w:numId w:val="5"/>
        </w:numPr>
        <w:spacing w:line="360" w:lineRule="auto"/>
        <w:ind w:right="141"/>
        <w:jc w:val="both"/>
        <w:rPr>
          <w:rFonts w:ascii="Palatino Linotype" w:eastAsiaTheme="minorHAnsi" w:hAnsi="Palatino Linotype" w:cstheme="minorBidi"/>
          <w:bCs/>
          <w:szCs w:val="22"/>
          <w:lang w:val="es-MX" w:eastAsia="es-MX"/>
        </w:rPr>
      </w:pPr>
      <w:bookmarkStart w:id="5" w:name="_Hlk194940925"/>
      <w:r w:rsidRPr="0012070A">
        <w:rPr>
          <w:rFonts w:ascii="Palatino Linotype" w:eastAsiaTheme="minorHAnsi" w:hAnsi="Palatino Linotype" w:cstheme="minorBidi"/>
          <w:bCs/>
          <w:szCs w:val="22"/>
          <w:lang w:val="es-MX" w:eastAsia="es-MX"/>
        </w:rPr>
        <w:t>Listado de todo el personal que labora en el IMCUFIDE</w:t>
      </w:r>
      <w:bookmarkEnd w:id="5"/>
      <w:r w:rsidR="002E227E">
        <w:rPr>
          <w:rFonts w:ascii="Palatino Linotype" w:eastAsiaTheme="minorHAnsi" w:hAnsi="Palatino Linotype" w:cstheme="minorBidi"/>
          <w:bCs/>
          <w:szCs w:val="22"/>
          <w:lang w:val="es-MX" w:eastAsia="es-MX"/>
        </w:rPr>
        <w:t>.</w:t>
      </w:r>
      <w:r w:rsidR="002E227E" w:rsidRPr="00115ABC">
        <w:rPr>
          <w:rFonts w:ascii="Palatino Linotype" w:eastAsiaTheme="minorHAnsi" w:hAnsi="Palatino Linotype" w:cstheme="minorBidi"/>
          <w:bCs/>
          <w:szCs w:val="22"/>
          <w:lang w:val="es-MX" w:eastAsia="es-MX"/>
        </w:rPr>
        <w:t xml:space="preserve"> </w:t>
      </w:r>
    </w:p>
    <w:p w14:paraId="30063C71" w14:textId="77777777" w:rsidR="00F65CF8" w:rsidRPr="00374FE7" w:rsidRDefault="00F65CF8" w:rsidP="00F65CF8">
      <w:pPr>
        <w:spacing w:line="360" w:lineRule="auto"/>
        <w:jc w:val="both"/>
        <w:rPr>
          <w:rFonts w:ascii="Palatino Linotype" w:hAnsi="Palatino Linotype" w:cs="Arial"/>
        </w:rPr>
      </w:pPr>
    </w:p>
    <w:p w14:paraId="6494A9A7" w14:textId="77777777" w:rsidR="0012070A" w:rsidRDefault="00F65CF8" w:rsidP="000C3D4F">
      <w:pPr>
        <w:spacing w:line="360" w:lineRule="auto"/>
        <w:jc w:val="both"/>
        <w:rPr>
          <w:rFonts w:ascii="Palatino Linotype" w:hAnsi="Palatino Linotype" w:cs="Arial"/>
          <w:iCs/>
          <w:lang w:val="es-MX"/>
        </w:rPr>
      </w:pPr>
      <w:r w:rsidRPr="000C3D4F">
        <w:rPr>
          <w:rFonts w:ascii="Palatino Linotype" w:eastAsiaTheme="minorHAnsi" w:hAnsi="Palatino Linotype" w:cs="Arial"/>
          <w:color w:val="000000" w:themeColor="text1"/>
          <w:lang w:val="es-MX" w:eastAsia="en-US"/>
        </w:rPr>
        <w:t>Por lo anteriormente expuesto</w:t>
      </w:r>
      <w:r w:rsidRPr="000C3D4F">
        <w:rPr>
          <w:rFonts w:ascii="Palatino Linotype" w:hAnsi="Palatino Linotype" w:cs="Arial"/>
        </w:rPr>
        <w:t xml:space="preserve">, recordemos que, en respuesta, el </w:t>
      </w:r>
      <w:r w:rsidRPr="000C3D4F">
        <w:rPr>
          <w:rFonts w:ascii="Palatino Linotype" w:hAnsi="Palatino Linotype" w:cs="Arial"/>
          <w:b/>
          <w:bCs/>
        </w:rPr>
        <w:t>Sujeto Obligado</w:t>
      </w:r>
      <w:r w:rsidR="000C3D4F">
        <w:rPr>
          <w:rFonts w:ascii="Palatino Linotype" w:hAnsi="Palatino Linotype" w:cs="Arial"/>
        </w:rPr>
        <w:t xml:space="preserve"> </w:t>
      </w:r>
      <w:bookmarkStart w:id="6" w:name="_Hlk190173978"/>
      <w:r w:rsidR="002E227E">
        <w:rPr>
          <w:rFonts w:ascii="Palatino Linotype" w:hAnsi="Palatino Linotype" w:cs="Arial"/>
          <w:iCs/>
          <w:lang w:val="es-MX"/>
        </w:rPr>
        <w:t xml:space="preserve">remitió </w:t>
      </w:r>
      <w:r w:rsidR="0012070A" w:rsidRPr="0012070A">
        <w:rPr>
          <w:rFonts w:ascii="Palatino Linotype" w:hAnsi="Palatino Linotype" w:cs="Arial"/>
          <w:iCs/>
          <w:lang w:val="es-MX"/>
        </w:rPr>
        <w:t>una tabla con los rubros de nombre y cargo de seis servidores públicos</w:t>
      </w:r>
      <w:r w:rsidR="0012070A">
        <w:rPr>
          <w:rFonts w:ascii="Palatino Linotype" w:hAnsi="Palatino Linotype" w:cs="Arial"/>
          <w:iCs/>
          <w:lang w:val="es-MX"/>
        </w:rPr>
        <w:t>, de conformidad con lo siguiente:</w:t>
      </w:r>
    </w:p>
    <w:p w14:paraId="3BE3349D" w14:textId="0BF54341" w:rsidR="000C3D4F" w:rsidRDefault="0012070A" w:rsidP="000C3D4F">
      <w:pPr>
        <w:spacing w:line="360" w:lineRule="auto"/>
        <w:jc w:val="both"/>
        <w:rPr>
          <w:rFonts w:ascii="Palatino Linotype" w:eastAsiaTheme="minorHAnsi" w:hAnsi="Palatino Linotype" w:cs="TimesNewRomanPS-ItalicMT"/>
          <w:iCs/>
          <w:lang w:val="es-MX" w:eastAsia="en-US"/>
        </w:rPr>
      </w:pPr>
      <w:r w:rsidRPr="0012070A">
        <w:rPr>
          <w:rFonts w:ascii="Palatino Linotype" w:eastAsiaTheme="minorHAnsi" w:hAnsi="Palatino Linotype" w:cs="TimesNewRomanPS-ItalicMT"/>
          <w:iCs/>
          <w:noProof/>
          <w:lang w:val="es-MX" w:eastAsia="es-MX"/>
        </w:rPr>
        <w:drawing>
          <wp:inline distT="0" distB="0" distL="0" distR="0" wp14:anchorId="5B21CF22" wp14:editId="7BECF90C">
            <wp:extent cx="5791835" cy="1531620"/>
            <wp:effectExtent l="114300" t="114300" r="151765" b="144780"/>
            <wp:docPr id="1334618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18504" name=""/>
                    <pic:cNvPicPr/>
                  </pic:nvPicPr>
                  <pic:blipFill>
                    <a:blip r:embed="rId9"/>
                    <a:stretch>
                      <a:fillRect/>
                    </a:stretch>
                  </pic:blipFill>
                  <pic:spPr>
                    <a:xfrm>
                      <a:off x="0" y="0"/>
                      <a:ext cx="5791835" cy="1531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C3D4F" w:rsidRPr="0032287D">
        <w:rPr>
          <w:rFonts w:ascii="Palatino Linotype" w:eastAsiaTheme="minorHAnsi" w:hAnsi="Palatino Linotype" w:cs="TimesNewRomanPS-ItalicMT"/>
          <w:iCs/>
          <w:lang w:val="es-MX" w:eastAsia="en-US"/>
        </w:rPr>
        <w:t xml:space="preserve"> </w:t>
      </w:r>
    </w:p>
    <w:p w14:paraId="3A5736EC" w14:textId="77777777" w:rsidR="00691D96" w:rsidRPr="009D0958" w:rsidRDefault="00691D96" w:rsidP="00691D96">
      <w:pPr>
        <w:spacing w:line="360" w:lineRule="auto"/>
        <w:jc w:val="both"/>
        <w:rPr>
          <w:rFonts w:ascii="Palatino Linotype" w:eastAsiaTheme="minorHAnsi" w:hAnsi="Palatino Linotype" w:cs="Arial"/>
          <w:szCs w:val="22"/>
          <w:lang w:val="es-MX" w:eastAsia="en-US"/>
        </w:rPr>
      </w:pPr>
    </w:p>
    <w:p w14:paraId="4E51226D" w14:textId="5717E27B" w:rsidR="0012070A" w:rsidRPr="0012070A" w:rsidRDefault="0012070A" w:rsidP="0012070A">
      <w:pPr>
        <w:spacing w:line="360" w:lineRule="auto"/>
        <w:jc w:val="both"/>
        <w:rPr>
          <w:rFonts w:ascii="Palatino Linotype" w:eastAsiaTheme="minorHAnsi" w:hAnsi="Palatino Linotype" w:cstheme="minorBidi"/>
          <w:szCs w:val="22"/>
          <w:lang w:val="es-MX" w:eastAsia="en-US"/>
        </w:rPr>
      </w:pPr>
      <w:r>
        <w:rPr>
          <w:rFonts w:ascii="Palatino Linotype" w:eastAsiaTheme="minorHAnsi" w:hAnsi="Palatino Linotype" w:cstheme="minorBidi"/>
          <w:szCs w:val="22"/>
          <w:lang w:val="es-MX" w:eastAsia="en-US"/>
        </w:rPr>
        <w:t xml:space="preserve">Visto lo anterior, </w:t>
      </w:r>
      <w:r w:rsidRPr="0012070A">
        <w:rPr>
          <w:rFonts w:ascii="Palatino Linotype" w:eastAsiaTheme="minorHAnsi" w:hAnsi="Palatino Linotype" w:cstheme="minorBidi"/>
          <w:szCs w:val="22"/>
          <w:lang w:val="es-MX" w:eastAsia="en-US"/>
        </w:rPr>
        <w:t>es de destacar que</w:t>
      </w:r>
      <w:r>
        <w:rPr>
          <w:rFonts w:ascii="Palatino Linotype" w:eastAsiaTheme="minorHAnsi" w:hAnsi="Palatino Linotype" w:cstheme="minorBidi"/>
          <w:szCs w:val="22"/>
          <w:lang w:val="es-MX" w:eastAsia="en-US"/>
        </w:rPr>
        <w:t>,</w:t>
      </w:r>
      <w:r w:rsidRPr="0012070A">
        <w:rPr>
          <w:rFonts w:ascii="Palatino Linotype" w:eastAsiaTheme="minorHAnsi" w:hAnsi="Palatino Linotype" w:cstheme="minorBidi"/>
          <w:szCs w:val="22"/>
          <w:lang w:val="es-MX" w:eastAsia="en-US"/>
        </w:rPr>
        <w:t xml:space="preserve"> en la Legislación del Estado de México no existe precepto alguno que conceptualice la plantilla de personal; sin embargo, la norma mexicana para la igualdad laboral entre hombres y mujeres número NMX-R-025-SCFI-2009 la define de manera textual como </w:t>
      </w:r>
      <w:r w:rsidRPr="0012070A">
        <w:rPr>
          <w:rFonts w:ascii="Palatino Linotype" w:eastAsiaTheme="minorHAnsi" w:hAnsi="Palatino Linotype" w:cstheme="minorBidi"/>
          <w:i/>
          <w:szCs w:val="22"/>
          <w:lang w:val="es-MX" w:eastAsia="en-US"/>
        </w:rPr>
        <w:t>“todas las personas que laboran en la organización, independientemente del tipo de contrato con el que cuentan, incluidas las subcontratadas.”</w:t>
      </w:r>
      <w:r w:rsidRPr="0012070A">
        <w:rPr>
          <w:rFonts w:ascii="Palatino Linotype" w:eastAsiaTheme="minorHAnsi" w:hAnsi="Palatino Linotype" w:cstheme="minorBidi"/>
          <w:szCs w:val="22"/>
          <w:lang w:val="es-MX" w:eastAsia="en-US"/>
        </w:rPr>
        <w:t xml:space="preserve"> </w:t>
      </w:r>
    </w:p>
    <w:p w14:paraId="19A2858B" w14:textId="77777777" w:rsidR="0012070A" w:rsidRPr="0012070A" w:rsidRDefault="0012070A" w:rsidP="0012070A">
      <w:pPr>
        <w:spacing w:line="360" w:lineRule="auto"/>
        <w:jc w:val="both"/>
        <w:rPr>
          <w:rFonts w:ascii="Palatino Linotype" w:eastAsiaTheme="minorHAnsi" w:hAnsi="Palatino Linotype" w:cstheme="minorBidi"/>
          <w:szCs w:val="22"/>
          <w:lang w:val="es-MX" w:eastAsia="en-US"/>
        </w:rPr>
      </w:pPr>
    </w:p>
    <w:p w14:paraId="0AE9E616" w14:textId="77777777" w:rsidR="0012070A" w:rsidRPr="0012070A" w:rsidRDefault="0012070A" w:rsidP="0012070A">
      <w:pPr>
        <w:spacing w:line="360" w:lineRule="auto"/>
        <w:jc w:val="both"/>
        <w:rPr>
          <w:rFonts w:ascii="Palatino Linotype" w:eastAsiaTheme="minorHAnsi" w:hAnsi="Palatino Linotype" w:cstheme="minorBidi"/>
          <w:i/>
          <w:szCs w:val="22"/>
          <w:lang w:val="es-MX" w:eastAsia="en-US"/>
        </w:rPr>
      </w:pPr>
      <w:r w:rsidRPr="0012070A">
        <w:rPr>
          <w:rFonts w:ascii="Palatino Linotype" w:eastAsiaTheme="minorHAnsi" w:hAnsi="Palatino Linotype" w:cstheme="minorBidi"/>
          <w:szCs w:val="22"/>
          <w:lang w:val="es-MX" w:eastAsia="en-US"/>
        </w:rPr>
        <w:t xml:space="preserve">Ahora bien, por analogía el Instituto de Seguridad Social del Estado de México y Municipios emitió el Manual del Procedimiento Operativo de Control de Plantilla de Personal la define como el </w:t>
      </w:r>
      <w:r w:rsidRPr="0012070A">
        <w:rPr>
          <w:rFonts w:ascii="Palatino Linotype" w:eastAsiaTheme="minorHAnsi" w:hAnsi="Palatino Linotype" w:cstheme="minorBidi"/>
          <w:i/>
          <w:szCs w:val="22"/>
          <w:lang w:val="es-MX" w:eastAsia="en-US"/>
        </w:rPr>
        <w:t xml:space="preserve">“documento autorizado por el Gobierno del Estado de México, el cual contiene el número de plazas autorizadas por puestos, categorías, unidades de adscripción, </w:t>
      </w:r>
      <w:r w:rsidRPr="0012070A">
        <w:rPr>
          <w:rFonts w:ascii="Palatino Linotype" w:eastAsiaTheme="minorHAnsi" w:hAnsi="Palatino Linotype" w:cstheme="minorBidi"/>
          <w:i/>
          <w:szCs w:val="22"/>
          <w:lang w:val="es-MX" w:eastAsia="en-US"/>
        </w:rPr>
        <w:lastRenderedPageBreak/>
        <w:t>percepciones brutas mensuales y datos personales del servidor público, así como tipo de relación laboral (sindicalizado o confianza).” (Sic)</w:t>
      </w:r>
    </w:p>
    <w:p w14:paraId="4A2CA37F" w14:textId="77777777" w:rsidR="0012070A" w:rsidRPr="0012070A" w:rsidRDefault="0012070A" w:rsidP="0012070A">
      <w:pPr>
        <w:spacing w:line="360" w:lineRule="auto"/>
        <w:jc w:val="both"/>
        <w:rPr>
          <w:rFonts w:ascii="Palatino Linotype" w:eastAsiaTheme="minorHAnsi" w:hAnsi="Palatino Linotype" w:cstheme="minorBidi"/>
          <w:szCs w:val="22"/>
          <w:lang w:val="es-MX" w:eastAsia="en-US"/>
        </w:rPr>
      </w:pPr>
    </w:p>
    <w:p w14:paraId="2D89203F" w14:textId="15BBA767" w:rsidR="0012070A" w:rsidRDefault="0012070A" w:rsidP="0012070A">
      <w:pPr>
        <w:spacing w:line="360" w:lineRule="auto"/>
        <w:jc w:val="both"/>
        <w:rPr>
          <w:rFonts w:ascii="Palatino Linotype" w:eastAsiaTheme="minorHAnsi" w:hAnsi="Palatino Linotype" w:cstheme="minorBidi"/>
          <w:szCs w:val="22"/>
          <w:lang w:val="es-MX" w:eastAsia="en-US"/>
        </w:rPr>
      </w:pPr>
      <w:r w:rsidRPr="0012070A">
        <w:rPr>
          <w:rFonts w:ascii="Palatino Linotype" w:eastAsiaTheme="minorHAnsi" w:hAnsi="Palatino Linotype" w:cstheme="minorBidi"/>
          <w:szCs w:val="22"/>
          <w:lang w:val="es-MX" w:eastAsia="en-US"/>
        </w:rPr>
        <w:t xml:space="preserve">Conforme a lo anterior, se advierte que la plantilla de personal es el documento del que se puede advertir entre otras cosas, el nombre del servidor público o funcionario público que ocupe el puesto y el nombre o denominación de cada puesto solicitados por la hoy </w:t>
      </w:r>
      <w:r w:rsidRPr="0012070A">
        <w:rPr>
          <w:rFonts w:ascii="Palatino Linotype" w:eastAsiaTheme="minorHAnsi" w:hAnsi="Palatino Linotype" w:cstheme="minorBidi"/>
          <w:b/>
          <w:szCs w:val="22"/>
          <w:lang w:val="es-MX" w:eastAsia="en-US"/>
        </w:rPr>
        <w:t>Recurrente</w:t>
      </w:r>
      <w:r w:rsidRPr="0012070A">
        <w:rPr>
          <w:rFonts w:ascii="Palatino Linotype" w:eastAsiaTheme="minorHAnsi" w:hAnsi="Palatino Linotype" w:cstheme="minorBidi"/>
          <w:szCs w:val="22"/>
          <w:lang w:val="es-MX" w:eastAsia="en-US"/>
        </w:rPr>
        <w:t xml:space="preserve">, pues se considera que en dicho documento se contempla </w:t>
      </w:r>
      <w:r w:rsidRPr="0012070A">
        <w:rPr>
          <w:rFonts w:ascii="Palatino Linotype" w:eastAsiaTheme="minorHAnsi" w:hAnsi="Palatino Linotype" w:cstheme="minorBidi"/>
          <w:b/>
          <w:i/>
          <w:szCs w:val="22"/>
          <w:lang w:val="es-MX" w:eastAsia="en-US"/>
        </w:rPr>
        <w:t>“</w:t>
      </w:r>
      <w:r>
        <w:rPr>
          <w:rFonts w:ascii="Palatino Linotype" w:eastAsiaTheme="minorHAnsi" w:hAnsi="Palatino Linotype" w:cstheme="minorBidi"/>
          <w:b/>
          <w:i/>
          <w:szCs w:val="22"/>
          <w:lang w:val="es-MX" w:eastAsia="en-US"/>
        </w:rPr>
        <w:t>a</w:t>
      </w:r>
      <w:r w:rsidRPr="0012070A">
        <w:rPr>
          <w:rFonts w:ascii="Palatino Linotype" w:eastAsiaTheme="minorHAnsi" w:hAnsi="Palatino Linotype" w:cstheme="minorBidi"/>
          <w:b/>
          <w:i/>
          <w:szCs w:val="22"/>
          <w:lang w:val="es-MX" w:eastAsia="en-US"/>
        </w:rPr>
        <w:t>l personal que labora en el IMCUFIDE”</w:t>
      </w:r>
      <w:r w:rsidRPr="0012070A">
        <w:rPr>
          <w:rFonts w:ascii="Palatino Linotype" w:eastAsiaTheme="minorHAnsi" w:hAnsi="Palatino Linotype" w:cstheme="minorBidi"/>
          <w:szCs w:val="22"/>
          <w:lang w:val="es-MX" w:eastAsia="en-US"/>
        </w:rPr>
        <w:t xml:space="preserve">. </w:t>
      </w:r>
    </w:p>
    <w:p w14:paraId="1697B5E9" w14:textId="77777777" w:rsidR="0091701F" w:rsidRDefault="0091701F" w:rsidP="0012070A">
      <w:pPr>
        <w:spacing w:line="360" w:lineRule="auto"/>
        <w:jc w:val="both"/>
        <w:rPr>
          <w:rFonts w:ascii="Palatino Linotype" w:eastAsiaTheme="minorHAnsi" w:hAnsi="Palatino Linotype" w:cstheme="minorBidi"/>
          <w:szCs w:val="22"/>
          <w:lang w:val="es-MX" w:eastAsia="en-US"/>
        </w:rPr>
      </w:pPr>
    </w:p>
    <w:p w14:paraId="56D7AB30" w14:textId="67282E80" w:rsidR="0091701F" w:rsidRDefault="0091701F" w:rsidP="0012070A">
      <w:pPr>
        <w:spacing w:line="360" w:lineRule="auto"/>
        <w:jc w:val="both"/>
        <w:rPr>
          <w:rFonts w:ascii="Palatino Linotype" w:eastAsiaTheme="minorHAnsi" w:hAnsi="Palatino Linotype" w:cstheme="minorBidi"/>
          <w:szCs w:val="22"/>
          <w:lang w:val="es-MX" w:eastAsia="en-US"/>
        </w:rPr>
      </w:pPr>
      <w:r>
        <w:rPr>
          <w:rFonts w:ascii="Palatino Linotype" w:eastAsiaTheme="minorHAnsi" w:hAnsi="Palatino Linotype" w:cstheme="minorBidi"/>
          <w:szCs w:val="22"/>
          <w:lang w:val="es-MX" w:eastAsia="en-US"/>
        </w:rPr>
        <w:t xml:space="preserve">Asimismo, es importante destacar que, el particular requiere </w:t>
      </w:r>
      <w:r w:rsidRPr="0091701F">
        <w:rPr>
          <w:rFonts w:ascii="Palatino Linotype" w:eastAsiaTheme="minorHAnsi" w:hAnsi="Palatino Linotype" w:cstheme="minorBidi"/>
          <w:szCs w:val="22"/>
          <w:lang w:val="es-MX" w:eastAsia="en-US"/>
        </w:rPr>
        <w:t>los nombres según su organigrama</w:t>
      </w:r>
      <w:r>
        <w:rPr>
          <w:rFonts w:ascii="Palatino Linotype" w:eastAsiaTheme="minorHAnsi" w:hAnsi="Palatino Linotype" w:cstheme="minorBidi"/>
          <w:szCs w:val="22"/>
          <w:lang w:val="es-MX" w:eastAsia="en-US"/>
        </w:rPr>
        <w:t xml:space="preserve"> del </w:t>
      </w:r>
      <w:r w:rsidRPr="0091701F">
        <w:rPr>
          <w:rFonts w:ascii="Palatino Linotype" w:eastAsiaTheme="minorHAnsi" w:hAnsi="Palatino Linotype" w:cstheme="minorBidi"/>
          <w:b/>
          <w:bCs/>
          <w:szCs w:val="22"/>
          <w:lang w:val="es-MX" w:eastAsia="en-US"/>
        </w:rPr>
        <w:t>Sujeto Obligado</w:t>
      </w:r>
      <w:r>
        <w:rPr>
          <w:rFonts w:ascii="Palatino Linotype" w:eastAsiaTheme="minorHAnsi" w:hAnsi="Palatino Linotype" w:cstheme="minorBidi"/>
          <w:szCs w:val="22"/>
          <w:lang w:val="es-MX" w:eastAsia="en-US"/>
        </w:rPr>
        <w:t>, por lo que, es importante traer a contexto dicho documento, de conformidad con lo siguiente:</w:t>
      </w:r>
    </w:p>
    <w:p w14:paraId="6093A195" w14:textId="19F6C2FB" w:rsidR="0091701F" w:rsidRPr="0012070A" w:rsidRDefault="0091701F" w:rsidP="0091701F">
      <w:pPr>
        <w:spacing w:line="360" w:lineRule="auto"/>
        <w:jc w:val="center"/>
        <w:rPr>
          <w:rFonts w:ascii="Palatino Linotype" w:eastAsiaTheme="minorHAnsi" w:hAnsi="Palatino Linotype" w:cstheme="minorBidi"/>
          <w:szCs w:val="22"/>
          <w:lang w:val="es-MX" w:eastAsia="en-US"/>
        </w:rPr>
      </w:pPr>
      <w:r w:rsidRPr="0091701F">
        <w:rPr>
          <w:rFonts w:ascii="Palatino Linotype" w:eastAsiaTheme="minorHAnsi" w:hAnsi="Palatino Linotype" w:cstheme="minorBidi"/>
          <w:noProof/>
          <w:szCs w:val="22"/>
          <w:lang w:val="es-MX" w:eastAsia="es-MX"/>
        </w:rPr>
        <w:drawing>
          <wp:inline distT="0" distB="0" distL="0" distR="0" wp14:anchorId="2AA2D500" wp14:editId="7E7DEDE4">
            <wp:extent cx="4400550" cy="3416490"/>
            <wp:effectExtent l="152400" t="152400" r="361950" b="355600"/>
            <wp:docPr id="1088272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72193" name=""/>
                    <pic:cNvPicPr/>
                  </pic:nvPicPr>
                  <pic:blipFill>
                    <a:blip r:embed="rId10"/>
                    <a:stretch>
                      <a:fillRect/>
                    </a:stretch>
                  </pic:blipFill>
                  <pic:spPr>
                    <a:xfrm>
                      <a:off x="0" y="0"/>
                      <a:ext cx="4411337" cy="3424864"/>
                    </a:xfrm>
                    <a:prstGeom prst="rect">
                      <a:avLst/>
                    </a:prstGeom>
                    <a:ln>
                      <a:noFill/>
                    </a:ln>
                    <a:effectLst>
                      <a:outerShdw blurRad="292100" dist="139700" dir="2700000" algn="tl" rotWithShape="0">
                        <a:srgbClr val="333333">
                          <a:alpha val="65000"/>
                        </a:srgbClr>
                      </a:outerShdw>
                    </a:effectLst>
                  </pic:spPr>
                </pic:pic>
              </a:graphicData>
            </a:graphic>
          </wp:inline>
        </w:drawing>
      </w:r>
    </w:p>
    <w:p w14:paraId="4FA11940" w14:textId="26BFDA01" w:rsidR="0012070A" w:rsidRPr="004A32AF" w:rsidRDefault="0012070A" w:rsidP="0012070A">
      <w:pPr>
        <w:spacing w:line="360" w:lineRule="auto"/>
        <w:jc w:val="both"/>
        <w:rPr>
          <w:rFonts w:ascii="Palatino Linotype" w:hAnsi="Palatino Linotype"/>
        </w:rPr>
      </w:pPr>
      <w:r>
        <w:rPr>
          <w:rFonts w:ascii="Palatino Linotype" w:hAnsi="Palatino Linotype"/>
        </w:rPr>
        <w:lastRenderedPageBreak/>
        <w:t>Asimismo</w:t>
      </w:r>
      <w:r w:rsidRPr="00AA3032">
        <w:rPr>
          <w:rFonts w:ascii="Palatino Linotype" w:hAnsi="Palatino Linotype"/>
        </w:rPr>
        <w:t>, este Instituto considera que la solicitud realizada por la particular puede ser colmada de manera enunciativa, más no limitativa, mediante la entrega de la</w:t>
      </w:r>
      <w:r>
        <w:rPr>
          <w:rFonts w:ascii="Palatino Linotype" w:hAnsi="Palatino Linotype"/>
        </w:rPr>
        <w:t xml:space="preserve"> </w:t>
      </w:r>
      <w:r w:rsidRPr="004A32AF">
        <w:rPr>
          <w:rFonts w:ascii="Palatino Linotype" w:hAnsi="Palatino Linotype"/>
          <w:b/>
          <w:bCs/>
          <w:i/>
          <w:iCs/>
          <w:u w:val="single"/>
        </w:rPr>
        <w:t>plantilla de personal</w:t>
      </w:r>
      <w:r>
        <w:rPr>
          <w:rFonts w:ascii="Palatino Linotype" w:hAnsi="Palatino Linotype"/>
        </w:rPr>
        <w:t xml:space="preserve"> o </w:t>
      </w:r>
      <w:r w:rsidR="004A32AF">
        <w:rPr>
          <w:rFonts w:ascii="Palatino Linotype" w:hAnsi="Palatino Linotype"/>
        </w:rPr>
        <w:t xml:space="preserve">la </w:t>
      </w:r>
      <w:r w:rsidRPr="004A32AF">
        <w:rPr>
          <w:rFonts w:ascii="Palatino Linotype" w:eastAsia="Palatino Linotype" w:hAnsi="Palatino Linotype" w:cs="Palatino Linotype"/>
          <w:b/>
          <w:bCs/>
          <w:i/>
          <w:iCs/>
          <w:u w:val="single"/>
          <w:lang w:val="es-MX" w:eastAsia="es-MX"/>
        </w:rPr>
        <w:t>conciliación de nómina</w:t>
      </w:r>
      <w:r w:rsidRPr="00094769">
        <w:rPr>
          <w:rFonts w:ascii="Palatino Linotype" w:eastAsia="Palatino Linotype" w:hAnsi="Palatino Linotype" w:cs="Palatino Linotype"/>
          <w:lang w:val="es-MX" w:eastAsia="es-MX"/>
        </w:rPr>
        <w:t xml:space="preserve"> que es parte de los informes trimestrales que el </w:t>
      </w:r>
      <w:r w:rsidRPr="00094769">
        <w:rPr>
          <w:rFonts w:ascii="Palatino Linotype" w:eastAsia="Palatino Linotype" w:hAnsi="Palatino Linotype" w:cs="Palatino Linotype"/>
          <w:b/>
          <w:lang w:val="es-MX" w:eastAsia="es-MX"/>
        </w:rPr>
        <w:t xml:space="preserve">Sujeto Obligado </w:t>
      </w:r>
      <w:r w:rsidRPr="00094769">
        <w:rPr>
          <w:rFonts w:ascii="Palatino Linotype" w:eastAsia="Palatino Linotype" w:hAnsi="Palatino Linotype" w:cs="Palatino Linotype"/>
          <w:lang w:val="es-MX" w:eastAsia="es-MX"/>
        </w:rPr>
        <w:t>se encuentra constreñido a entregar al Órgano Superior de Fiscalización del Estado de México, de conformidad con los Lineamientos para la integración, presentación y envío de los informes trimestrales municipales, y los Instructivos de llenado correspondientes, mismos que se encuentran disponibles en su sitio de internet</w:t>
      </w:r>
      <w:r w:rsidRPr="00094769">
        <w:rPr>
          <w:rFonts w:ascii="Palatino Linotype" w:eastAsia="Palatino Linotype" w:hAnsi="Palatino Linotype" w:cs="Palatino Linotype"/>
          <w:vertAlign w:val="superscript"/>
          <w:lang w:val="es-MX" w:eastAsia="es-MX"/>
        </w:rPr>
        <w:footnoteReference w:id="2"/>
      </w:r>
      <w:r w:rsidRPr="00094769">
        <w:rPr>
          <w:rFonts w:ascii="Palatino Linotype" w:eastAsia="Palatino Linotype" w:hAnsi="Palatino Linotype" w:cs="Palatino Linotype"/>
          <w:lang w:val="es-MX" w:eastAsia="es-MX"/>
        </w:rPr>
        <w:t>.</w:t>
      </w:r>
    </w:p>
    <w:p w14:paraId="72528B1B" w14:textId="77777777" w:rsidR="0012070A" w:rsidRPr="00094769" w:rsidRDefault="0012070A" w:rsidP="0012070A">
      <w:pPr>
        <w:spacing w:line="360" w:lineRule="auto"/>
        <w:jc w:val="both"/>
        <w:rPr>
          <w:rFonts w:ascii="Palatino Linotype" w:eastAsia="Calibri" w:hAnsi="Palatino Linotype" w:cs="Calibri"/>
          <w:lang w:val="es-MX" w:eastAsia="es-MX"/>
        </w:rPr>
      </w:pPr>
    </w:p>
    <w:p w14:paraId="63AF895C" w14:textId="77777777" w:rsidR="0012070A" w:rsidRDefault="0012070A" w:rsidP="0012070A">
      <w:pPr>
        <w:spacing w:line="360" w:lineRule="auto"/>
        <w:jc w:val="both"/>
        <w:rPr>
          <w:rFonts w:ascii="Palatino Linotype" w:eastAsia="Palatino Linotype" w:hAnsi="Palatino Linotype" w:cs="Palatino Linotype"/>
          <w:lang w:val="es-MX" w:eastAsia="es-MX"/>
        </w:rPr>
      </w:pPr>
      <w:r w:rsidRPr="00094769">
        <w:rPr>
          <w:rFonts w:ascii="Palatino Linotype" w:eastAsia="Palatino Linotype" w:hAnsi="Palatino Linotype" w:cs="Palatino Linotype"/>
          <w:lang w:val="es-MX" w:eastAsia="es-MX"/>
        </w:rPr>
        <w:t>Es de precisar que la finalidad de la conciliación de nómina consiste en presentar el concentrado mensual, de manera quincenal, de las cifras derivadas de todas las erogaciones realizadas por concepto de remuneraciones al trabajo, registradas en la nómina; las cuales deben de coincidir con las contenidas en los registros contables, por concepto de remuneraciones al trabajo personal.</w:t>
      </w:r>
    </w:p>
    <w:p w14:paraId="19A3DF0D" w14:textId="77777777" w:rsidR="0091701F" w:rsidRDefault="0091701F" w:rsidP="0012070A">
      <w:pPr>
        <w:spacing w:line="360" w:lineRule="auto"/>
        <w:jc w:val="both"/>
        <w:rPr>
          <w:rFonts w:ascii="Palatino Linotype" w:eastAsia="Calibri" w:hAnsi="Palatino Linotype" w:cs="Calibri"/>
          <w:sz w:val="28"/>
          <w:szCs w:val="28"/>
          <w:lang w:val="es-MX" w:eastAsia="es-MX"/>
        </w:rPr>
      </w:pPr>
    </w:p>
    <w:p w14:paraId="007CAF82" w14:textId="77777777" w:rsidR="0012070A" w:rsidRPr="00094769" w:rsidRDefault="0012070A" w:rsidP="0012070A">
      <w:pPr>
        <w:spacing w:line="360" w:lineRule="auto"/>
        <w:jc w:val="both"/>
        <w:rPr>
          <w:rFonts w:ascii="Palatino Linotype" w:eastAsia="Calibri" w:hAnsi="Palatino Linotype" w:cs="Calibri"/>
          <w:sz w:val="28"/>
          <w:szCs w:val="28"/>
          <w:lang w:val="es-MX" w:eastAsia="es-MX"/>
        </w:rPr>
      </w:pPr>
      <w:r w:rsidRPr="00094769">
        <w:rPr>
          <w:rFonts w:ascii="Palatino Linotype" w:eastAsia="Palatino Linotype" w:hAnsi="Palatino Linotype" w:cs="Palatino Linotype"/>
          <w:lang w:val="es-MX" w:eastAsia="es-MX"/>
        </w:rPr>
        <w:t>La conciliación de nómina debe presentarse a través de los formatos XLSX y TXT, siendo el primero el siguiente:</w:t>
      </w:r>
    </w:p>
    <w:p w14:paraId="4A65D017" w14:textId="77777777" w:rsidR="0012070A" w:rsidRPr="00094769" w:rsidRDefault="0012070A" w:rsidP="0012070A">
      <w:pPr>
        <w:spacing w:before="240" w:after="200" w:line="360" w:lineRule="auto"/>
        <w:ind w:right="49"/>
        <w:jc w:val="center"/>
        <w:rPr>
          <w:rFonts w:ascii="Palatino Linotype" w:eastAsia="Palatino Linotype" w:hAnsi="Palatino Linotype" w:cs="Palatino Linotype"/>
          <w:lang w:val="es-MX" w:eastAsia="es-MX"/>
        </w:rPr>
      </w:pPr>
      <w:r w:rsidRPr="00094769">
        <w:rPr>
          <w:rFonts w:ascii="Palatino Linotype" w:eastAsia="Palatino Linotype" w:hAnsi="Palatino Linotype" w:cs="Palatino Linotype"/>
          <w:noProof/>
          <w:lang w:val="es-MX" w:eastAsia="es-MX"/>
        </w:rPr>
        <w:lastRenderedPageBreak/>
        <w:drawing>
          <wp:inline distT="0" distB="0" distL="0" distR="0" wp14:anchorId="3E63C535" wp14:editId="5A1AEEBA">
            <wp:extent cx="5617454" cy="3918585"/>
            <wp:effectExtent l="152400" t="152400" r="364490" b="367665"/>
            <wp:docPr id="21401318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b="20862"/>
                    <a:stretch>
                      <a:fillRect/>
                    </a:stretch>
                  </pic:blipFill>
                  <pic:spPr>
                    <a:xfrm>
                      <a:off x="0" y="0"/>
                      <a:ext cx="5650757" cy="3941817"/>
                    </a:xfrm>
                    <a:prstGeom prst="rect">
                      <a:avLst/>
                    </a:prstGeom>
                    <a:ln>
                      <a:noFill/>
                    </a:ln>
                    <a:effectLst>
                      <a:outerShdw blurRad="292100" dist="139700" dir="2700000" algn="tl" rotWithShape="0">
                        <a:srgbClr val="333333">
                          <a:alpha val="65000"/>
                        </a:srgbClr>
                      </a:outerShdw>
                    </a:effectLst>
                  </pic:spPr>
                </pic:pic>
              </a:graphicData>
            </a:graphic>
          </wp:inline>
        </w:drawing>
      </w:r>
    </w:p>
    <w:p w14:paraId="3EECCF3C" w14:textId="77777777" w:rsidR="0012070A" w:rsidRPr="00094769" w:rsidRDefault="0012070A" w:rsidP="0012070A">
      <w:pPr>
        <w:spacing w:before="240" w:after="200" w:line="360" w:lineRule="auto"/>
        <w:ind w:right="49"/>
        <w:jc w:val="both"/>
        <w:rPr>
          <w:rFonts w:ascii="Palatino Linotype" w:eastAsia="Palatino Linotype" w:hAnsi="Palatino Linotype" w:cs="Palatino Linotype"/>
          <w:lang w:val="es-MX" w:eastAsia="es-MX"/>
        </w:rPr>
      </w:pPr>
      <w:r w:rsidRPr="00094769">
        <w:rPr>
          <w:rFonts w:ascii="Palatino Linotype" w:eastAsia="Palatino Linotype" w:hAnsi="Palatino Linotype" w:cs="Palatino Linotype"/>
          <w:noProof/>
          <w:lang w:val="es-MX" w:eastAsia="es-MX"/>
        </w:rPr>
        <w:drawing>
          <wp:inline distT="0" distB="0" distL="0" distR="0" wp14:anchorId="26088798" wp14:editId="0D05CCB6">
            <wp:extent cx="5470478" cy="1684020"/>
            <wp:effectExtent l="152400" t="152400" r="359410" b="354330"/>
            <wp:docPr id="21401318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79868"/>
                    <a:stretch>
                      <a:fillRect/>
                    </a:stretch>
                  </pic:blipFill>
                  <pic:spPr>
                    <a:xfrm>
                      <a:off x="0" y="0"/>
                      <a:ext cx="5498230" cy="1692563"/>
                    </a:xfrm>
                    <a:prstGeom prst="rect">
                      <a:avLst/>
                    </a:prstGeom>
                    <a:ln>
                      <a:noFill/>
                    </a:ln>
                    <a:effectLst>
                      <a:outerShdw blurRad="292100" dist="139700" dir="2700000" algn="tl" rotWithShape="0">
                        <a:srgbClr val="333333">
                          <a:alpha val="65000"/>
                        </a:srgbClr>
                      </a:outerShdw>
                    </a:effectLst>
                  </pic:spPr>
                </pic:pic>
              </a:graphicData>
            </a:graphic>
          </wp:inline>
        </w:drawing>
      </w:r>
    </w:p>
    <w:p w14:paraId="1DD6FDAD" w14:textId="77777777" w:rsidR="0012070A" w:rsidRPr="00094769" w:rsidRDefault="0012070A" w:rsidP="0012070A">
      <w:pPr>
        <w:spacing w:before="240" w:after="200" w:line="360" w:lineRule="auto"/>
        <w:ind w:right="49"/>
        <w:jc w:val="both"/>
        <w:rPr>
          <w:rFonts w:ascii="Palatino Linotype" w:eastAsia="Palatino Linotype" w:hAnsi="Palatino Linotype" w:cs="Palatino Linotype"/>
          <w:lang w:val="es-MX" w:eastAsia="es-MX"/>
        </w:rPr>
      </w:pPr>
      <w:r w:rsidRPr="00094769">
        <w:rPr>
          <w:rFonts w:ascii="Palatino Linotype" w:eastAsia="Palatino Linotype" w:hAnsi="Palatino Linotype" w:cs="Palatino Linotype"/>
          <w:lang w:val="es-MX" w:eastAsia="es-MX"/>
        </w:rPr>
        <w:t>Para el llenado de dicho formato se deben observar las siguientes consideraciones:</w:t>
      </w:r>
    </w:p>
    <w:p w14:paraId="5BCE9742" w14:textId="77777777" w:rsidR="0012070A" w:rsidRPr="00094769" w:rsidRDefault="0012070A" w:rsidP="0012070A">
      <w:pPr>
        <w:spacing w:before="240" w:after="200" w:line="360" w:lineRule="auto"/>
        <w:ind w:right="49"/>
        <w:jc w:val="center"/>
        <w:rPr>
          <w:rFonts w:ascii="Palatino Linotype" w:eastAsia="Palatino Linotype" w:hAnsi="Palatino Linotype" w:cs="Palatino Linotype"/>
          <w:lang w:val="es-MX" w:eastAsia="es-MX"/>
        </w:rPr>
      </w:pPr>
      <w:r w:rsidRPr="00094769">
        <w:rPr>
          <w:rFonts w:ascii="Palatino Linotype" w:eastAsia="Palatino Linotype" w:hAnsi="Palatino Linotype" w:cs="Palatino Linotype"/>
          <w:noProof/>
          <w:lang w:val="es-MX" w:eastAsia="es-MX"/>
        </w:rPr>
        <w:lastRenderedPageBreak/>
        <w:drawing>
          <wp:inline distT="0" distB="0" distL="0" distR="0" wp14:anchorId="1E191D1A" wp14:editId="447E4237">
            <wp:extent cx="3823970" cy="1072101"/>
            <wp:effectExtent l="152400" t="152400" r="367030" b="356870"/>
            <wp:docPr id="21401318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845885" cy="1078245"/>
                    </a:xfrm>
                    <a:prstGeom prst="rect">
                      <a:avLst/>
                    </a:prstGeom>
                    <a:ln>
                      <a:noFill/>
                    </a:ln>
                    <a:effectLst>
                      <a:outerShdw blurRad="292100" dist="139700" dir="2700000" algn="tl" rotWithShape="0">
                        <a:srgbClr val="333333">
                          <a:alpha val="65000"/>
                        </a:srgbClr>
                      </a:outerShdw>
                    </a:effectLst>
                  </pic:spPr>
                </pic:pic>
              </a:graphicData>
            </a:graphic>
          </wp:inline>
        </w:drawing>
      </w:r>
    </w:p>
    <w:p w14:paraId="1F8DAEC6" w14:textId="77777777" w:rsidR="0012070A" w:rsidRPr="00094769" w:rsidRDefault="0012070A" w:rsidP="0012070A">
      <w:pPr>
        <w:spacing w:before="240" w:after="200" w:line="360" w:lineRule="auto"/>
        <w:ind w:right="49"/>
        <w:jc w:val="center"/>
        <w:rPr>
          <w:rFonts w:ascii="Palatino Linotype" w:eastAsia="Palatino Linotype" w:hAnsi="Palatino Linotype" w:cs="Palatino Linotype"/>
          <w:lang w:val="es-MX" w:eastAsia="es-MX"/>
        </w:rPr>
      </w:pPr>
      <w:r w:rsidRPr="00094769">
        <w:rPr>
          <w:rFonts w:ascii="Palatino Linotype" w:eastAsia="Palatino Linotype" w:hAnsi="Palatino Linotype" w:cs="Palatino Linotype"/>
          <w:noProof/>
          <w:lang w:val="es-MX" w:eastAsia="es-MX"/>
        </w:rPr>
        <w:drawing>
          <wp:inline distT="0" distB="0" distL="0" distR="0" wp14:anchorId="3ABF14AB" wp14:editId="4F88B20C">
            <wp:extent cx="3878470" cy="2629919"/>
            <wp:effectExtent l="152400" t="152400" r="370205" b="361315"/>
            <wp:docPr id="21401318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b="51914"/>
                    <a:stretch>
                      <a:fillRect/>
                    </a:stretch>
                  </pic:blipFill>
                  <pic:spPr>
                    <a:xfrm>
                      <a:off x="0" y="0"/>
                      <a:ext cx="3893463" cy="2640085"/>
                    </a:xfrm>
                    <a:prstGeom prst="rect">
                      <a:avLst/>
                    </a:prstGeom>
                    <a:ln>
                      <a:noFill/>
                    </a:ln>
                    <a:effectLst>
                      <a:outerShdw blurRad="292100" dist="139700" dir="2700000" algn="tl" rotWithShape="0">
                        <a:srgbClr val="333333">
                          <a:alpha val="65000"/>
                        </a:srgbClr>
                      </a:outerShdw>
                    </a:effectLst>
                  </pic:spPr>
                </pic:pic>
              </a:graphicData>
            </a:graphic>
          </wp:inline>
        </w:drawing>
      </w:r>
    </w:p>
    <w:p w14:paraId="197695B5" w14:textId="77777777" w:rsidR="0012070A" w:rsidRPr="00094769" w:rsidRDefault="0012070A" w:rsidP="0012070A">
      <w:pPr>
        <w:spacing w:before="240" w:after="200" w:line="360" w:lineRule="auto"/>
        <w:ind w:right="49"/>
        <w:jc w:val="both"/>
        <w:rPr>
          <w:rFonts w:ascii="Palatino Linotype" w:eastAsia="Palatino Linotype" w:hAnsi="Palatino Linotype" w:cs="Palatino Linotype"/>
          <w:lang w:val="es-MX" w:eastAsia="es-MX"/>
        </w:rPr>
      </w:pPr>
      <w:r w:rsidRPr="00094769">
        <w:rPr>
          <w:rFonts w:ascii="Palatino Linotype" w:eastAsia="Palatino Linotype" w:hAnsi="Palatino Linotype" w:cs="Palatino Linotype"/>
          <w:noProof/>
          <w:lang w:val="es-MX" w:eastAsia="es-MX"/>
        </w:rPr>
        <w:lastRenderedPageBreak/>
        <w:drawing>
          <wp:inline distT="0" distB="0" distL="0" distR="0" wp14:anchorId="4A234C9A" wp14:editId="473E8C68">
            <wp:extent cx="5612130" cy="3687544"/>
            <wp:effectExtent l="152400" t="152400" r="369570" b="370205"/>
            <wp:docPr id="21401318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t="48910" b="126"/>
                    <a:stretch>
                      <a:fillRect/>
                    </a:stretch>
                  </pic:blipFill>
                  <pic:spPr>
                    <a:xfrm>
                      <a:off x="0" y="0"/>
                      <a:ext cx="5612130" cy="3687544"/>
                    </a:xfrm>
                    <a:prstGeom prst="rect">
                      <a:avLst/>
                    </a:prstGeom>
                    <a:ln>
                      <a:noFill/>
                    </a:ln>
                    <a:effectLst>
                      <a:outerShdw blurRad="292100" dist="139700" dir="2700000" algn="tl" rotWithShape="0">
                        <a:srgbClr val="333333">
                          <a:alpha val="65000"/>
                        </a:srgbClr>
                      </a:outerShdw>
                    </a:effectLst>
                  </pic:spPr>
                </pic:pic>
              </a:graphicData>
            </a:graphic>
          </wp:inline>
        </w:drawing>
      </w:r>
      <w:r w:rsidRPr="00094769">
        <w:rPr>
          <w:rFonts w:ascii="Palatino Linotype" w:eastAsia="Palatino Linotype" w:hAnsi="Palatino Linotype" w:cs="Palatino Linotype"/>
          <w:noProof/>
          <w:lang w:val="es-MX" w:eastAsia="es-MX"/>
        </w:rPr>
        <w:drawing>
          <wp:inline distT="0" distB="0" distL="0" distR="0" wp14:anchorId="459D512A" wp14:editId="3F3F9ADD">
            <wp:extent cx="5612130" cy="1405255"/>
            <wp:effectExtent l="152400" t="152400" r="369570" b="366395"/>
            <wp:docPr id="21401318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12130" cy="1405255"/>
                    </a:xfrm>
                    <a:prstGeom prst="rect">
                      <a:avLst/>
                    </a:prstGeom>
                    <a:ln>
                      <a:noFill/>
                    </a:ln>
                    <a:effectLst>
                      <a:outerShdw blurRad="292100" dist="139700" dir="2700000" algn="tl" rotWithShape="0">
                        <a:srgbClr val="333333">
                          <a:alpha val="65000"/>
                        </a:srgbClr>
                      </a:outerShdw>
                    </a:effectLst>
                  </pic:spPr>
                </pic:pic>
              </a:graphicData>
            </a:graphic>
          </wp:inline>
        </w:drawing>
      </w:r>
    </w:p>
    <w:p w14:paraId="755A07EF" w14:textId="77777777" w:rsidR="0012070A" w:rsidRPr="004A32AF" w:rsidRDefault="0012070A" w:rsidP="0012070A">
      <w:pPr>
        <w:spacing w:after="240" w:line="360" w:lineRule="auto"/>
        <w:ind w:right="49"/>
        <w:jc w:val="both"/>
        <w:rPr>
          <w:rFonts w:ascii="Palatino Linotype" w:eastAsia="Palatino Linotype" w:hAnsi="Palatino Linotype" w:cs="Palatino Linotype"/>
          <w:u w:val="single"/>
          <w:lang w:val="es-MX" w:eastAsia="es-MX"/>
        </w:rPr>
      </w:pPr>
      <w:r w:rsidRPr="00094769">
        <w:rPr>
          <w:rFonts w:ascii="Palatino Linotype" w:eastAsia="Palatino Linotype" w:hAnsi="Palatino Linotype" w:cs="Palatino Linotype"/>
          <w:lang w:val="es-MX" w:eastAsia="es-MX"/>
        </w:rPr>
        <w:t xml:space="preserve">De tal suerte que, con la entrega de este documento, </w:t>
      </w:r>
      <w:r w:rsidRPr="004A32AF">
        <w:rPr>
          <w:rFonts w:ascii="Palatino Linotype" w:eastAsia="Palatino Linotype" w:hAnsi="Palatino Linotype" w:cs="Palatino Linotype"/>
          <w:u w:val="single"/>
          <w:lang w:val="es-MX" w:eastAsia="es-MX"/>
        </w:rPr>
        <w:t xml:space="preserve">el particular podrá advertir el personal que a la fecha de la solicitud se encuentra laborando para el </w:t>
      </w:r>
      <w:r w:rsidRPr="004A32AF">
        <w:rPr>
          <w:rFonts w:ascii="Palatino Linotype" w:eastAsia="Palatino Linotype" w:hAnsi="Palatino Linotype" w:cs="Palatino Linotype"/>
          <w:b/>
          <w:bCs/>
          <w:u w:val="single"/>
          <w:lang w:val="es-MX" w:eastAsia="es-MX"/>
        </w:rPr>
        <w:t>Sujeto Obligado</w:t>
      </w:r>
      <w:r w:rsidRPr="004A32AF">
        <w:rPr>
          <w:rFonts w:ascii="Palatino Linotype" w:eastAsia="Palatino Linotype" w:hAnsi="Palatino Linotype" w:cs="Palatino Linotype"/>
          <w:u w:val="single"/>
          <w:lang w:val="es-MX" w:eastAsia="es-MX"/>
        </w:rPr>
        <w:t>, asimismo podrá advertir el puesto, sueldo bruto y neto, así como el área de adscripción.</w:t>
      </w:r>
    </w:p>
    <w:p w14:paraId="390AA74C" w14:textId="1E6F6162" w:rsidR="004A32AF" w:rsidRDefault="004A32AF" w:rsidP="004A32AF">
      <w:pPr>
        <w:spacing w:line="360" w:lineRule="auto"/>
        <w:jc w:val="both"/>
        <w:rPr>
          <w:rFonts w:ascii="Palatino Linotype" w:eastAsiaTheme="minorHAnsi" w:hAnsi="Palatino Linotype" w:cstheme="minorBidi"/>
          <w:szCs w:val="22"/>
          <w:lang w:val="es-MX" w:eastAsia="en-US"/>
        </w:rPr>
      </w:pPr>
      <w:r w:rsidRPr="004A32AF">
        <w:rPr>
          <w:rFonts w:ascii="Palatino Linotype" w:eastAsiaTheme="minorHAnsi" w:hAnsi="Palatino Linotype" w:cstheme="minorBidi"/>
          <w:szCs w:val="22"/>
          <w:lang w:val="es-MX" w:eastAsia="en-US"/>
        </w:rPr>
        <w:lastRenderedPageBreak/>
        <w:t>Asimismo, se debe resaltar que la Ley de Trasparencia local en el ya referido artículo 92, fracciones II y VII</w:t>
      </w:r>
      <w:r w:rsidRPr="004A32AF">
        <w:rPr>
          <w:rFonts w:ascii="Palatino Linotype" w:eastAsiaTheme="minorHAnsi" w:hAnsi="Palatino Linotype" w:cstheme="minorBidi"/>
          <w:szCs w:val="22"/>
          <w:vertAlign w:val="superscript"/>
          <w:lang w:val="es-MX" w:eastAsia="en-US"/>
        </w:rPr>
        <w:footnoteReference w:id="3"/>
      </w:r>
      <w:r w:rsidRPr="004A32AF">
        <w:rPr>
          <w:rFonts w:ascii="Palatino Linotype" w:eastAsiaTheme="minorHAnsi" w:hAnsi="Palatino Linotype" w:cstheme="minorBidi"/>
          <w:szCs w:val="22"/>
          <w:lang w:val="es-MX" w:eastAsia="en-US"/>
        </w:rPr>
        <w:t>, dispone que es una obligación de los sujetos obligados el dar a conocer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y el directorio de todos los servidores públicos, por lo que resulta evidente que el Sujeto Obligado debe contar con la información requerida.</w:t>
      </w:r>
    </w:p>
    <w:p w14:paraId="03C21F75" w14:textId="77777777" w:rsidR="004A32AF" w:rsidRPr="004A32AF" w:rsidRDefault="004A32AF" w:rsidP="004A32AF">
      <w:pPr>
        <w:spacing w:line="360" w:lineRule="auto"/>
        <w:jc w:val="both"/>
        <w:rPr>
          <w:rFonts w:ascii="Palatino Linotype" w:eastAsiaTheme="minorHAnsi" w:hAnsi="Palatino Linotype" w:cstheme="minorBidi"/>
          <w:szCs w:val="22"/>
          <w:lang w:val="es-MX" w:eastAsia="en-US"/>
        </w:rPr>
      </w:pPr>
    </w:p>
    <w:p w14:paraId="19EF4B18" w14:textId="6C015A96" w:rsidR="0012070A" w:rsidRDefault="0012070A" w:rsidP="0012070A">
      <w:pPr>
        <w:tabs>
          <w:tab w:val="left" w:pos="2130"/>
        </w:tabs>
        <w:spacing w:line="360" w:lineRule="auto"/>
        <w:jc w:val="both"/>
        <w:rPr>
          <w:rFonts w:ascii="Palatino Linotype" w:eastAsia="Calibri" w:hAnsi="Palatino Linotype" w:cs="Tahoma"/>
          <w:bCs/>
          <w:szCs w:val="22"/>
          <w:lang w:val="es-MX" w:eastAsia="en-US"/>
        </w:rPr>
      </w:pPr>
      <w:r w:rsidRPr="00094769">
        <w:rPr>
          <w:rFonts w:ascii="Palatino Linotype" w:eastAsia="Calibri" w:hAnsi="Palatino Linotype" w:cs="Tahoma"/>
          <w:bCs/>
          <w:szCs w:val="22"/>
          <w:lang w:val="es-MX" w:eastAsia="en-US"/>
        </w:rPr>
        <w:t>Finalmente, la información requerida</w:t>
      </w:r>
      <w:r w:rsidRPr="00094769">
        <w:rPr>
          <w:rFonts w:ascii="Palatino Linotype" w:eastAsia="Calibri" w:hAnsi="Palatino Linotype" w:cs="Tahoma"/>
          <w:b/>
          <w:bCs/>
          <w:szCs w:val="22"/>
          <w:lang w:val="es-MX" w:eastAsia="en-US"/>
        </w:rPr>
        <w:t xml:space="preserve">, </w:t>
      </w:r>
      <w:r w:rsidRPr="00094769">
        <w:rPr>
          <w:rFonts w:ascii="Palatino Linotype" w:eastAsia="Calibri" w:hAnsi="Palatino Linotype" w:cs="Tahoma"/>
          <w:bCs/>
          <w:szCs w:val="22"/>
          <w:lang w:val="es-MX" w:eastAsia="en-U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2B135828" w14:textId="77777777" w:rsidR="004A32AF" w:rsidRDefault="004A32AF" w:rsidP="0012070A">
      <w:pPr>
        <w:tabs>
          <w:tab w:val="left" w:pos="2130"/>
        </w:tabs>
        <w:spacing w:line="360" w:lineRule="auto"/>
        <w:jc w:val="both"/>
        <w:rPr>
          <w:rFonts w:ascii="Palatino Linotype" w:eastAsia="Calibri" w:hAnsi="Palatino Linotype" w:cs="Tahoma"/>
          <w:bCs/>
          <w:szCs w:val="22"/>
          <w:lang w:val="es-MX" w:eastAsia="en-US"/>
        </w:rPr>
      </w:pPr>
    </w:p>
    <w:p w14:paraId="7E768654" w14:textId="77777777" w:rsidR="004A32AF" w:rsidRPr="00094769" w:rsidRDefault="004A32AF" w:rsidP="0012070A">
      <w:pPr>
        <w:tabs>
          <w:tab w:val="left" w:pos="2130"/>
        </w:tabs>
        <w:spacing w:line="360" w:lineRule="auto"/>
        <w:jc w:val="both"/>
        <w:rPr>
          <w:rFonts w:ascii="Palatino Linotype" w:eastAsia="Calibri" w:hAnsi="Palatino Linotype" w:cs="Tahoma"/>
          <w:bCs/>
          <w:szCs w:val="22"/>
          <w:lang w:val="es-MX" w:eastAsia="en-US"/>
        </w:rPr>
      </w:pPr>
    </w:p>
    <w:p w14:paraId="0C20A785" w14:textId="77777777" w:rsidR="0012070A" w:rsidRPr="00094769" w:rsidRDefault="0012070A" w:rsidP="0012070A">
      <w:pPr>
        <w:tabs>
          <w:tab w:val="left" w:pos="2130"/>
        </w:tabs>
        <w:spacing w:line="360" w:lineRule="auto"/>
        <w:jc w:val="both"/>
        <w:rPr>
          <w:rFonts w:ascii="Palatino Linotype" w:eastAsia="Calibri" w:hAnsi="Palatino Linotype" w:cs="Tahoma"/>
          <w:bCs/>
          <w:szCs w:val="22"/>
          <w:lang w:val="es-MX" w:eastAsia="en-US"/>
        </w:rPr>
      </w:pPr>
    </w:p>
    <w:p w14:paraId="5BC75DF3" w14:textId="77777777" w:rsidR="0012070A" w:rsidRPr="00094769" w:rsidRDefault="0012070A" w:rsidP="005561B7">
      <w:pPr>
        <w:numPr>
          <w:ilvl w:val="0"/>
          <w:numId w:val="8"/>
        </w:numPr>
        <w:spacing w:line="360" w:lineRule="auto"/>
        <w:jc w:val="both"/>
        <w:rPr>
          <w:rFonts w:ascii="Palatino Linotype" w:hAnsi="Palatino Linotype"/>
          <w:b/>
          <w:i/>
          <w:sz w:val="28"/>
          <w:szCs w:val="28"/>
          <w:u w:val="single"/>
          <w:lang w:val="es-MX"/>
        </w:rPr>
      </w:pPr>
      <w:r w:rsidRPr="00094769">
        <w:rPr>
          <w:rFonts w:ascii="Palatino Linotype" w:hAnsi="Palatino Linotype"/>
          <w:b/>
          <w:i/>
          <w:sz w:val="28"/>
          <w:szCs w:val="28"/>
          <w:u w:val="single"/>
          <w:lang w:val="es-MX"/>
        </w:rPr>
        <w:lastRenderedPageBreak/>
        <w:t>De la Versión Pública.</w:t>
      </w:r>
    </w:p>
    <w:p w14:paraId="0A6C1BCE" w14:textId="77777777" w:rsidR="0012070A" w:rsidRPr="00094769" w:rsidRDefault="0012070A" w:rsidP="0012070A">
      <w:pPr>
        <w:spacing w:line="360" w:lineRule="auto"/>
        <w:jc w:val="both"/>
        <w:rPr>
          <w:rFonts w:ascii="Palatino Linotype" w:eastAsia="Arial Unicode MS" w:hAnsi="Palatino Linotype"/>
        </w:rPr>
      </w:pPr>
      <w:r w:rsidRPr="00094769">
        <w:rPr>
          <w:rFonts w:ascii="Palatino Linotype" w:eastAsia="Arial Unicode MS" w:hAnsi="Palatino Linotype"/>
        </w:rPr>
        <w:t xml:space="preserve">Toda vez que los documentos referidos anteriormente son elaborados por quincenas y atendiendo al requerimiento del ciudadano, este Órgano Garante determina ordenar que la entrega de la información al </w:t>
      </w:r>
      <w:r w:rsidRPr="00094769">
        <w:rPr>
          <w:rFonts w:ascii="Palatino Linotype" w:eastAsia="Arial Unicode MS" w:hAnsi="Palatino Linotype"/>
          <w:b/>
        </w:rPr>
        <w:t>Recurrente</w:t>
      </w:r>
      <w:r w:rsidRPr="00094769">
        <w:rPr>
          <w:rFonts w:ascii="Palatino Linotype" w:eastAsia="Arial Unicode MS" w:hAnsi="Palatino Linotype"/>
        </w:rPr>
        <w:t xml:space="preserve"> se haga en </w:t>
      </w:r>
      <w:r w:rsidRPr="00094769">
        <w:rPr>
          <w:rFonts w:ascii="Palatino Linotype" w:eastAsia="Arial Unicode MS" w:hAnsi="Palatino Linotype"/>
          <w:b/>
          <w:i/>
        </w:rPr>
        <w:t>versión pública</w:t>
      </w:r>
      <w:r w:rsidRPr="00094769">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70737038" w14:textId="77777777" w:rsidR="0012070A" w:rsidRPr="00094769" w:rsidRDefault="0012070A" w:rsidP="0012070A">
      <w:pPr>
        <w:spacing w:line="360" w:lineRule="auto"/>
        <w:jc w:val="both"/>
        <w:rPr>
          <w:rFonts w:ascii="Palatino Linotype" w:hAnsi="Palatino Linotype"/>
          <w:bCs/>
          <w:lang w:val="es-MX"/>
        </w:rPr>
      </w:pPr>
    </w:p>
    <w:p w14:paraId="17A51200"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bCs/>
          <w:lang w:val="es-MX"/>
        </w:rPr>
        <w:t>A este respecto, los</w:t>
      </w:r>
      <w:r w:rsidRPr="00094769">
        <w:rPr>
          <w:rFonts w:ascii="Palatino Linotype" w:hAnsi="Palatino Linotype"/>
          <w:lang w:val="es-MX"/>
        </w:rPr>
        <w:t xml:space="preserve"> artículos 3, fracciones IX, XX, XXI y XLV; 51 y 52, de la Ley de Transparencia y Acceso a la Información Pública del Estado de México y Municipios establecen:</w:t>
      </w:r>
    </w:p>
    <w:p w14:paraId="32B05501" w14:textId="77777777" w:rsidR="0012070A" w:rsidRPr="00094769" w:rsidRDefault="0012070A" w:rsidP="0012070A">
      <w:pPr>
        <w:rPr>
          <w:noProof/>
          <w:lang w:val="es-MX"/>
        </w:rPr>
      </w:pPr>
    </w:p>
    <w:p w14:paraId="31B9DA63" w14:textId="77777777" w:rsidR="0012070A" w:rsidRPr="00094769" w:rsidRDefault="0012070A" w:rsidP="0012070A">
      <w:pPr>
        <w:ind w:left="567" w:right="616"/>
        <w:jc w:val="both"/>
        <w:rPr>
          <w:rFonts w:ascii="Palatino Linotype" w:hAnsi="Palatino Linotype"/>
          <w:i/>
          <w:sz w:val="22"/>
          <w:szCs w:val="22"/>
          <w:lang w:val="es-MX"/>
        </w:rPr>
      </w:pPr>
      <w:r w:rsidRPr="00094769">
        <w:rPr>
          <w:rFonts w:ascii="Palatino Linotype" w:hAnsi="Palatino Linotype" w:cs="Arial"/>
          <w:b/>
          <w:bCs/>
          <w:i/>
          <w:noProof/>
          <w:sz w:val="22"/>
          <w:szCs w:val="22"/>
          <w:lang w:val="es-MX"/>
        </w:rPr>
        <w:t>“</w:t>
      </w:r>
      <w:r w:rsidRPr="00094769">
        <w:rPr>
          <w:rFonts w:ascii="Palatino Linotype" w:hAnsi="Palatino Linotype" w:cs="Arial"/>
          <w:b/>
          <w:bCs/>
          <w:i/>
          <w:sz w:val="22"/>
          <w:szCs w:val="22"/>
          <w:lang w:val="es-MX" w:eastAsia="es-MX"/>
        </w:rPr>
        <w:t>Artículo</w:t>
      </w:r>
      <w:r w:rsidRPr="00094769">
        <w:rPr>
          <w:rFonts w:ascii="Palatino Linotype" w:hAnsi="Palatino Linotype" w:cs="Arial"/>
          <w:b/>
          <w:bCs/>
          <w:i/>
          <w:sz w:val="22"/>
          <w:szCs w:val="22"/>
          <w:lang w:val="es-MX"/>
        </w:rPr>
        <w:t xml:space="preserve"> 3. </w:t>
      </w:r>
      <w:r w:rsidRPr="00094769">
        <w:rPr>
          <w:rFonts w:ascii="Palatino Linotype" w:hAnsi="Palatino Linotype"/>
          <w:i/>
          <w:sz w:val="22"/>
          <w:szCs w:val="22"/>
          <w:lang w:val="es-MX"/>
        </w:rPr>
        <w:t xml:space="preserve">Para los efectos de la presente Ley se entenderá por: </w:t>
      </w:r>
    </w:p>
    <w:p w14:paraId="41FBC555" w14:textId="77777777" w:rsidR="0012070A" w:rsidRPr="00094769" w:rsidRDefault="0012070A" w:rsidP="0012070A">
      <w:pPr>
        <w:rPr>
          <w:lang w:val="es-MX"/>
        </w:rPr>
      </w:pPr>
    </w:p>
    <w:p w14:paraId="72CE1EA6" w14:textId="77777777" w:rsidR="0012070A" w:rsidRPr="00094769" w:rsidRDefault="0012070A" w:rsidP="0012070A">
      <w:pPr>
        <w:ind w:left="567" w:right="616"/>
        <w:jc w:val="both"/>
        <w:rPr>
          <w:rFonts w:ascii="Palatino Linotype" w:hAnsi="Palatino Linotype" w:cs="Arial"/>
          <w:i/>
          <w:sz w:val="22"/>
          <w:szCs w:val="22"/>
          <w:lang w:val="es-MX"/>
        </w:rPr>
      </w:pPr>
      <w:r w:rsidRPr="00094769">
        <w:rPr>
          <w:rFonts w:ascii="Palatino Linotype" w:hAnsi="Palatino Linotype" w:cs="Arial"/>
          <w:b/>
          <w:i/>
          <w:sz w:val="22"/>
          <w:szCs w:val="22"/>
          <w:lang w:val="es-MX"/>
        </w:rPr>
        <w:t>IX.</w:t>
      </w:r>
      <w:r w:rsidRPr="00094769">
        <w:rPr>
          <w:rFonts w:ascii="Palatino Linotype" w:hAnsi="Palatino Linotype" w:cs="Arial"/>
          <w:i/>
          <w:sz w:val="22"/>
          <w:szCs w:val="22"/>
          <w:lang w:val="es-MX"/>
        </w:rPr>
        <w:t xml:space="preserve"> </w:t>
      </w:r>
      <w:r w:rsidRPr="00094769">
        <w:rPr>
          <w:rFonts w:ascii="Palatino Linotype" w:hAnsi="Palatino Linotype" w:cs="Arial"/>
          <w:b/>
          <w:i/>
          <w:sz w:val="22"/>
          <w:szCs w:val="22"/>
          <w:lang w:val="es-MX"/>
        </w:rPr>
        <w:t xml:space="preserve">Datos personales: </w:t>
      </w:r>
      <w:r w:rsidRPr="00094769">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687ABF29" w14:textId="77777777" w:rsidR="0012070A" w:rsidRPr="00094769" w:rsidRDefault="0012070A" w:rsidP="0012070A">
      <w:pPr>
        <w:ind w:left="567" w:right="616"/>
        <w:jc w:val="both"/>
        <w:rPr>
          <w:rFonts w:ascii="Palatino Linotype" w:hAnsi="Palatino Linotype" w:cs="Arial"/>
          <w:i/>
          <w:sz w:val="22"/>
          <w:szCs w:val="22"/>
          <w:lang w:val="es-MX"/>
        </w:rPr>
      </w:pPr>
    </w:p>
    <w:p w14:paraId="480487A6" w14:textId="77777777" w:rsidR="0012070A" w:rsidRPr="00094769" w:rsidRDefault="0012070A" w:rsidP="0012070A">
      <w:pPr>
        <w:ind w:left="567" w:right="616"/>
        <w:jc w:val="both"/>
        <w:rPr>
          <w:rFonts w:ascii="Palatino Linotype" w:hAnsi="Palatino Linotype" w:cs="Arial"/>
          <w:i/>
          <w:sz w:val="22"/>
          <w:szCs w:val="22"/>
          <w:lang w:val="es-MX"/>
        </w:rPr>
      </w:pPr>
      <w:r w:rsidRPr="00094769">
        <w:rPr>
          <w:rFonts w:ascii="Palatino Linotype" w:hAnsi="Palatino Linotype" w:cs="Arial"/>
          <w:b/>
          <w:i/>
          <w:sz w:val="22"/>
          <w:szCs w:val="22"/>
          <w:lang w:val="es-MX"/>
        </w:rPr>
        <w:t>XX.</w:t>
      </w:r>
      <w:r w:rsidRPr="00094769">
        <w:rPr>
          <w:rFonts w:ascii="Palatino Linotype" w:hAnsi="Palatino Linotype" w:cs="Arial"/>
          <w:i/>
          <w:sz w:val="22"/>
          <w:szCs w:val="22"/>
          <w:lang w:val="es-MX"/>
        </w:rPr>
        <w:t xml:space="preserve"> </w:t>
      </w:r>
      <w:r w:rsidRPr="00094769">
        <w:rPr>
          <w:rFonts w:ascii="Palatino Linotype" w:hAnsi="Palatino Linotype" w:cs="Arial"/>
          <w:b/>
          <w:i/>
          <w:sz w:val="22"/>
          <w:szCs w:val="22"/>
          <w:lang w:val="es-MX"/>
        </w:rPr>
        <w:t>Información clasificada:</w:t>
      </w:r>
      <w:r w:rsidRPr="00094769">
        <w:rPr>
          <w:rFonts w:ascii="Palatino Linotype" w:hAnsi="Palatino Linotype" w:cs="Arial"/>
          <w:i/>
          <w:sz w:val="22"/>
          <w:szCs w:val="22"/>
          <w:lang w:val="es-MX"/>
        </w:rPr>
        <w:t xml:space="preserve"> Aquella considerada por la presente Ley como reservada o confidencial; </w:t>
      </w:r>
    </w:p>
    <w:p w14:paraId="70D4B987" w14:textId="77777777" w:rsidR="0012070A" w:rsidRPr="00094769" w:rsidRDefault="0012070A" w:rsidP="0012070A">
      <w:pPr>
        <w:ind w:left="567" w:right="616"/>
        <w:jc w:val="both"/>
        <w:rPr>
          <w:rFonts w:ascii="Palatino Linotype" w:hAnsi="Palatino Linotype" w:cs="Arial"/>
          <w:i/>
          <w:sz w:val="22"/>
          <w:szCs w:val="22"/>
          <w:lang w:val="es-MX"/>
        </w:rPr>
      </w:pPr>
    </w:p>
    <w:p w14:paraId="2BDE6229" w14:textId="77777777" w:rsidR="0012070A" w:rsidRPr="00094769" w:rsidRDefault="0012070A" w:rsidP="0012070A">
      <w:pPr>
        <w:ind w:left="567" w:right="616"/>
        <w:jc w:val="both"/>
        <w:rPr>
          <w:rFonts w:ascii="Palatino Linotype" w:hAnsi="Palatino Linotype" w:cs="Arial"/>
          <w:i/>
          <w:sz w:val="22"/>
          <w:szCs w:val="22"/>
          <w:lang w:val="es-MX"/>
        </w:rPr>
      </w:pPr>
      <w:r w:rsidRPr="00094769">
        <w:rPr>
          <w:rFonts w:ascii="Palatino Linotype" w:hAnsi="Palatino Linotype" w:cs="Arial"/>
          <w:b/>
          <w:i/>
          <w:sz w:val="22"/>
          <w:szCs w:val="22"/>
          <w:lang w:val="es-MX"/>
        </w:rPr>
        <w:t>XXI.</w:t>
      </w:r>
      <w:r w:rsidRPr="00094769">
        <w:rPr>
          <w:rFonts w:ascii="Palatino Linotype" w:hAnsi="Palatino Linotype" w:cs="Arial"/>
          <w:i/>
          <w:sz w:val="22"/>
          <w:szCs w:val="22"/>
          <w:lang w:val="es-MX"/>
        </w:rPr>
        <w:t xml:space="preserve"> </w:t>
      </w:r>
      <w:r w:rsidRPr="00094769">
        <w:rPr>
          <w:rFonts w:ascii="Palatino Linotype" w:hAnsi="Palatino Linotype" w:cs="Arial"/>
          <w:b/>
          <w:i/>
          <w:sz w:val="22"/>
          <w:szCs w:val="22"/>
          <w:lang w:val="es-MX"/>
        </w:rPr>
        <w:t>Información confidencial</w:t>
      </w:r>
      <w:r w:rsidRPr="00094769">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D688AF3" w14:textId="77777777" w:rsidR="0012070A" w:rsidRPr="00094769" w:rsidRDefault="0012070A" w:rsidP="0012070A">
      <w:pPr>
        <w:ind w:left="567" w:right="616"/>
        <w:jc w:val="both"/>
        <w:rPr>
          <w:rFonts w:ascii="Palatino Linotype" w:hAnsi="Palatino Linotype" w:cs="Arial"/>
          <w:i/>
          <w:sz w:val="22"/>
          <w:szCs w:val="22"/>
          <w:lang w:val="es-MX"/>
        </w:rPr>
      </w:pPr>
    </w:p>
    <w:p w14:paraId="7EA74DC3" w14:textId="77777777" w:rsidR="0012070A" w:rsidRPr="00094769" w:rsidRDefault="0012070A" w:rsidP="0012070A">
      <w:pPr>
        <w:ind w:left="567" w:right="616"/>
        <w:jc w:val="both"/>
        <w:rPr>
          <w:rFonts w:ascii="Palatino Linotype" w:hAnsi="Palatino Linotype" w:cs="Arial"/>
          <w:i/>
          <w:sz w:val="22"/>
          <w:szCs w:val="22"/>
          <w:lang w:val="es-MX"/>
        </w:rPr>
      </w:pPr>
      <w:r w:rsidRPr="00094769">
        <w:rPr>
          <w:rFonts w:ascii="Palatino Linotype" w:hAnsi="Palatino Linotype" w:cs="Arial"/>
          <w:b/>
          <w:i/>
          <w:sz w:val="22"/>
          <w:szCs w:val="22"/>
          <w:lang w:val="es-MX"/>
        </w:rPr>
        <w:t>XLV. Versión pública:</w:t>
      </w:r>
      <w:r w:rsidRPr="00094769">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735F2899" w14:textId="77777777" w:rsidR="0012070A" w:rsidRPr="00094769" w:rsidRDefault="0012070A" w:rsidP="0012070A">
      <w:pPr>
        <w:ind w:left="567" w:right="616"/>
        <w:jc w:val="both"/>
        <w:rPr>
          <w:rFonts w:ascii="Palatino Linotype" w:hAnsi="Palatino Linotype" w:cs="Arial"/>
          <w:i/>
          <w:sz w:val="22"/>
          <w:szCs w:val="22"/>
          <w:lang w:val="es-MX"/>
        </w:rPr>
      </w:pPr>
    </w:p>
    <w:p w14:paraId="24A5720A" w14:textId="77777777" w:rsidR="0012070A" w:rsidRPr="00094769" w:rsidRDefault="0012070A" w:rsidP="0012070A">
      <w:pPr>
        <w:ind w:left="567" w:right="616"/>
        <w:jc w:val="both"/>
        <w:rPr>
          <w:rFonts w:ascii="Palatino Linotype" w:hAnsi="Palatino Linotype" w:cs="Arial"/>
          <w:i/>
          <w:sz w:val="22"/>
          <w:szCs w:val="22"/>
          <w:lang w:val="es-MX"/>
        </w:rPr>
      </w:pPr>
      <w:r w:rsidRPr="00094769">
        <w:rPr>
          <w:rFonts w:ascii="Palatino Linotype" w:hAnsi="Palatino Linotype" w:cs="Arial"/>
          <w:b/>
          <w:i/>
          <w:sz w:val="22"/>
          <w:szCs w:val="22"/>
          <w:lang w:val="es-MX"/>
        </w:rPr>
        <w:t>Artículo 51.</w:t>
      </w:r>
      <w:r w:rsidRPr="00094769">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94769">
        <w:rPr>
          <w:rFonts w:ascii="Palatino Linotype" w:hAnsi="Palatino Linotype" w:cs="Arial"/>
          <w:b/>
          <w:i/>
          <w:sz w:val="22"/>
          <w:szCs w:val="22"/>
          <w:lang w:val="es-MX"/>
        </w:rPr>
        <w:t xml:space="preserve">y tendrá la responsabilidad de verificar en cada caso que la misma no sea confidencial o </w:t>
      </w:r>
      <w:r w:rsidRPr="00094769">
        <w:rPr>
          <w:rFonts w:ascii="Palatino Linotype" w:hAnsi="Palatino Linotype" w:cs="Arial"/>
          <w:b/>
          <w:i/>
          <w:sz w:val="22"/>
          <w:szCs w:val="22"/>
          <w:lang w:val="es-MX"/>
        </w:rPr>
        <w:lastRenderedPageBreak/>
        <w:t xml:space="preserve">reservada. </w:t>
      </w:r>
      <w:r w:rsidRPr="00094769">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7A14B83B" w14:textId="77777777" w:rsidR="0012070A" w:rsidRPr="00094769" w:rsidRDefault="0012070A" w:rsidP="0012070A">
      <w:pPr>
        <w:ind w:left="567" w:right="616"/>
        <w:jc w:val="both"/>
        <w:rPr>
          <w:rFonts w:ascii="Palatino Linotype" w:hAnsi="Palatino Linotype" w:cs="Arial"/>
          <w:i/>
          <w:sz w:val="22"/>
          <w:szCs w:val="22"/>
          <w:lang w:val="es-MX"/>
        </w:rPr>
      </w:pPr>
    </w:p>
    <w:p w14:paraId="07EC9E08" w14:textId="77777777" w:rsidR="0012070A" w:rsidRPr="00094769" w:rsidRDefault="0012070A" w:rsidP="0012070A">
      <w:pPr>
        <w:ind w:left="567" w:right="616"/>
        <w:jc w:val="both"/>
        <w:rPr>
          <w:rFonts w:ascii="Palatino Linotype" w:hAnsi="Palatino Linotype" w:cs="Arial"/>
          <w:bCs/>
          <w:i/>
          <w:noProof/>
          <w:sz w:val="22"/>
          <w:szCs w:val="22"/>
          <w:lang w:val="es-MX"/>
        </w:rPr>
      </w:pPr>
      <w:r w:rsidRPr="00094769">
        <w:rPr>
          <w:rFonts w:ascii="Palatino Linotype" w:hAnsi="Palatino Linotype" w:cs="Arial"/>
          <w:b/>
          <w:i/>
          <w:sz w:val="22"/>
          <w:szCs w:val="22"/>
          <w:lang w:val="es-MX"/>
        </w:rPr>
        <w:t>Artículo 52.</w:t>
      </w:r>
      <w:r w:rsidRPr="00094769">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094769">
        <w:rPr>
          <w:rFonts w:ascii="Palatino Linotype" w:hAnsi="Palatino Linotype" w:cs="Arial"/>
          <w:bCs/>
          <w:i/>
          <w:noProof/>
          <w:sz w:val="22"/>
          <w:szCs w:val="22"/>
          <w:lang w:val="es-MX"/>
        </w:rPr>
        <w:t>”</w:t>
      </w:r>
    </w:p>
    <w:p w14:paraId="1B775048" w14:textId="77777777" w:rsidR="0012070A" w:rsidRPr="00094769" w:rsidRDefault="0012070A" w:rsidP="0012070A">
      <w:pPr>
        <w:spacing w:line="360" w:lineRule="auto"/>
        <w:jc w:val="both"/>
        <w:rPr>
          <w:rFonts w:ascii="Palatino Linotype" w:hAnsi="Palatino Linotype"/>
          <w:lang w:val="es-MX"/>
        </w:rPr>
      </w:pPr>
    </w:p>
    <w:p w14:paraId="4B4F968C"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74F6222" w14:textId="77777777" w:rsidR="0012070A" w:rsidRPr="00094769" w:rsidRDefault="0012070A" w:rsidP="0012070A">
      <w:pPr>
        <w:ind w:left="567" w:right="616"/>
        <w:jc w:val="both"/>
        <w:rPr>
          <w:rFonts w:ascii="Palatino Linotype" w:hAnsi="Palatino Linotype"/>
          <w:lang w:val="es-MX"/>
        </w:rPr>
      </w:pPr>
    </w:p>
    <w:p w14:paraId="4B74940F" w14:textId="77777777" w:rsidR="0012070A" w:rsidRPr="00094769" w:rsidRDefault="0012070A" w:rsidP="0012070A">
      <w:pPr>
        <w:ind w:left="567" w:right="616"/>
        <w:jc w:val="both"/>
        <w:rPr>
          <w:rFonts w:ascii="Palatino Linotype" w:eastAsia="Arial Unicode MS" w:hAnsi="Palatino Linotype" w:cs="Arial"/>
          <w:i/>
          <w:sz w:val="22"/>
          <w:lang w:val="es-MX"/>
        </w:rPr>
      </w:pPr>
      <w:r w:rsidRPr="00094769">
        <w:rPr>
          <w:rFonts w:ascii="Palatino Linotype" w:eastAsia="Arial Unicode MS" w:hAnsi="Palatino Linotype" w:cs="Arial"/>
          <w:i/>
          <w:sz w:val="22"/>
          <w:lang w:val="es-MX"/>
        </w:rPr>
        <w:t>“</w:t>
      </w:r>
      <w:r w:rsidRPr="00094769">
        <w:rPr>
          <w:rFonts w:ascii="Palatino Linotype" w:eastAsia="Arial Unicode MS" w:hAnsi="Palatino Linotype" w:cs="Arial"/>
          <w:b/>
          <w:i/>
          <w:sz w:val="22"/>
          <w:lang w:val="es-MX"/>
        </w:rPr>
        <w:t>Artículo</w:t>
      </w:r>
      <w:r w:rsidRPr="00094769">
        <w:rPr>
          <w:rFonts w:ascii="Palatino Linotype" w:eastAsia="Arial Unicode MS" w:hAnsi="Palatino Linotype" w:cs="Arial"/>
          <w:i/>
          <w:sz w:val="22"/>
          <w:lang w:val="es-MX"/>
        </w:rPr>
        <w:t xml:space="preserve"> </w:t>
      </w:r>
      <w:r w:rsidRPr="00094769">
        <w:rPr>
          <w:rFonts w:ascii="Palatino Linotype" w:eastAsia="Arial Unicode MS" w:hAnsi="Palatino Linotype" w:cs="Arial"/>
          <w:b/>
          <w:i/>
          <w:sz w:val="22"/>
          <w:lang w:val="es-MX"/>
        </w:rPr>
        <w:t>22</w:t>
      </w:r>
      <w:r w:rsidRPr="00094769">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5260D7E5" w14:textId="77777777" w:rsidR="0012070A" w:rsidRPr="00094769" w:rsidRDefault="0012070A" w:rsidP="0012070A">
      <w:pPr>
        <w:ind w:left="567" w:right="616"/>
        <w:jc w:val="both"/>
        <w:rPr>
          <w:rFonts w:ascii="Palatino Linotype" w:eastAsia="Arial Unicode MS" w:hAnsi="Palatino Linotype" w:cs="Arial"/>
          <w:i/>
          <w:sz w:val="22"/>
          <w:lang w:val="es-MX"/>
        </w:rPr>
      </w:pPr>
    </w:p>
    <w:p w14:paraId="68473ADD" w14:textId="77777777" w:rsidR="0012070A" w:rsidRPr="00094769" w:rsidRDefault="0012070A" w:rsidP="0012070A">
      <w:pPr>
        <w:ind w:left="567" w:right="616"/>
        <w:jc w:val="both"/>
        <w:rPr>
          <w:rFonts w:ascii="Palatino Linotype" w:eastAsia="Arial Unicode MS" w:hAnsi="Palatino Linotype" w:cs="Arial"/>
          <w:i/>
          <w:sz w:val="22"/>
          <w:lang w:val="es-MX"/>
        </w:rPr>
      </w:pPr>
      <w:r w:rsidRPr="00094769">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0FAA25DA" w14:textId="77777777" w:rsidR="0012070A" w:rsidRPr="00094769" w:rsidRDefault="0012070A" w:rsidP="0012070A">
      <w:pPr>
        <w:ind w:left="567" w:right="616"/>
        <w:jc w:val="both"/>
        <w:rPr>
          <w:rFonts w:ascii="Palatino Linotype" w:eastAsia="Arial Unicode MS" w:hAnsi="Palatino Linotype" w:cs="Arial"/>
          <w:i/>
          <w:sz w:val="22"/>
          <w:lang w:val="es-MX"/>
        </w:rPr>
      </w:pPr>
    </w:p>
    <w:p w14:paraId="0D7ACF73" w14:textId="77777777" w:rsidR="0012070A" w:rsidRPr="00094769" w:rsidRDefault="0012070A" w:rsidP="0012070A">
      <w:pPr>
        <w:ind w:left="567" w:right="616"/>
        <w:jc w:val="both"/>
        <w:rPr>
          <w:rFonts w:ascii="Palatino Linotype" w:eastAsia="Arial Unicode MS" w:hAnsi="Palatino Linotype" w:cs="Arial"/>
          <w:i/>
          <w:sz w:val="22"/>
          <w:lang w:val="es-MX"/>
        </w:rPr>
      </w:pPr>
      <w:r w:rsidRPr="00094769">
        <w:rPr>
          <w:rFonts w:ascii="Palatino Linotype" w:eastAsia="Arial Unicode MS" w:hAnsi="Palatino Linotype" w:cs="Arial"/>
          <w:i/>
          <w:sz w:val="22"/>
          <w:lang w:val="es-MX"/>
        </w:rPr>
        <w:t>I. Cuente con atribuciones conferidas en ley y medie el consentimiento del titular.</w:t>
      </w:r>
    </w:p>
    <w:p w14:paraId="3B752B8B" w14:textId="77777777" w:rsidR="0012070A" w:rsidRPr="00094769" w:rsidRDefault="0012070A" w:rsidP="0012070A">
      <w:pPr>
        <w:ind w:left="567" w:right="616"/>
        <w:jc w:val="both"/>
        <w:rPr>
          <w:rFonts w:ascii="Palatino Linotype" w:eastAsia="Arial Unicode MS" w:hAnsi="Palatino Linotype" w:cs="Arial"/>
          <w:i/>
          <w:sz w:val="22"/>
          <w:lang w:val="es-MX"/>
        </w:rPr>
      </w:pPr>
      <w:r w:rsidRPr="00094769">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19145940" w14:textId="77777777" w:rsidR="0012070A" w:rsidRPr="00094769" w:rsidRDefault="0012070A" w:rsidP="0012070A">
      <w:pPr>
        <w:ind w:left="567" w:right="616"/>
        <w:jc w:val="both"/>
        <w:rPr>
          <w:rFonts w:ascii="Palatino Linotype" w:eastAsia="Arial Unicode MS" w:hAnsi="Palatino Linotype" w:cs="Arial"/>
          <w:i/>
          <w:sz w:val="22"/>
          <w:lang w:val="es-MX"/>
        </w:rPr>
      </w:pPr>
    </w:p>
    <w:p w14:paraId="3CB0B95A" w14:textId="77777777" w:rsidR="0012070A" w:rsidRPr="00094769" w:rsidRDefault="0012070A" w:rsidP="0012070A">
      <w:pPr>
        <w:ind w:left="567" w:right="616"/>
        <w:jc w:val="both"/>
        <w:rPr>
          <w:rFonts w:ascii="Palatino Linotype" w:eastAsia="Arial Unicode MS" w:hAnsi="Palatino Linotype" w:cs="Arial"/>
          <w:i/>
          <w:sz w:val="22"/>
          <w:lang w:val="es-MX"/>
        </w:rPr>
      </w:pPr>
      <w:r w:rsidRPr="00094769">
        <w:rPr>
          <w:rFonts w:ascii="Palatino Linotype" w:eastAsia="Arial Unicode MS" w:hAnsi="Palatino Linotype" w:cs="Arial"/>
          <w:b/>
          <w:i/>
          <w:sz w:val="22"/>
          <w:lang w:val="es-MX"/>
        </w:rPr>
        <w:t>Artículo</w:t>
      </w:r>
      <w:r w:rsidRPr="00094769">
        <w:rPr>
          <w:rFonts w:ascii="Palatino Linotype" w:eastAsia="Arial Unicode MS" w:hAnsi="Palatino Linotype" w:cs="Arial"/>
          <w:i/>
          <w:sz w:val="22"/>
          <w:lang w:val="es-MX"/>
        </w:rPr>
        <w:t xml:space="preserve"> </w:t>
      </w:r>
      <w:r w:rsidRPr="00094769">
        <w:rPr>
          <w:rFonts w:ascii="Palatino Linotype" w:eastAsia="Arial Unicode MS" w:hAnsi="Palatino Linotype" w:cs="Arial"/>
          <w:b/>
          <w:i/>
          <w:sz w:val="22"/>
          <w:lang w:val="es-MX"/>
        </w:rPr>
        <w:t>38</w:t>
      </w:r>
      <w:r w:rsidRPr="00094769">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094769">
        <w:rPr>
          <w:rFonts w:ascii="Palatino Linotype" w:eastAsia="Arial Unicode MS" w:hAnsi="Palatino Linotype" w:cs="Arial"/>
          <w:i/>
          <w:sz w:val="22"/>
          <w:lang w:val="es-MX"/>
        </w:rPr>
        <w:lastRenderedPageBreak/>
        <w:t xml:space="preserve">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2C38803" w14:textId="77777777" w:rsidR="0012070A" w:rsidRPr="00094769" w:rsidRDefault="0012070A" w:rsidP="0012070A">
      <w:pPr>
        <w:ind w:left="567" w:right="616"/>
        <w:jc w:val="both"/>
        <w:rPr>
          <w:rFonts w:ascii="Palatino Linotype" w:eastAsia="Arial Unicode MS" w:hAnsi="Palatino Linotype" w:cs="Arial"/>
          <w:i/>
          <w:sz w:val="28"/>
          <w:lang w:val="es-MX"/>
        </w:rPr>
      </w:pPr>
    </w:p>
    <w:p w14:paraId="0245BE86"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8AACF94" w14:textId="77777777" w:rsidR="0012070A" w:rsidRPr="00094769" w:rsidRDefault="0012070A" w:rsidP="0012070A">
      <w:pPr>
        <w:spacing w:line="360" w:lineRule="auto"/>
        <w:jc w:val="both"/>
        <w:rPr>
          <w:rFonts w:ascii="Palatino Linotype" w:hAnsi="Palatino Linotype"/>
          <w:lang w:val="es-MX"/>
        </w:rPr>
      </w:pPr>
    </w:p>
    <w:p w14:paraId="5BEA43BF" w14:textId="77777777" w:rsidR="0012070A" w:rsidRPr="00094769" w:rsidRDefault="0012070A" w:rsidP="0012070A">
      <w:pPr>
        <w:spacing w:line="360" w:lineRule="auto"/>
        <w:jc w:val="both"/>
        <w:rPr>
          <w:rFonts w:ascii="Palatino Linotype" w:eastAsia="Arial Unicode MS" w:hAnsi="Palatino Linotype"/>
        </w:rPr>
      </w:pPr>
      <w:r w:rsidRPr="00094769">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94769">
        <w:rPr>
          <w:rFonts w:ascii="Palatino Linotype" w:eastAsia="Arial Unicode MS" w:hAnsi="Palatino Linotype"/>
          <w:color w:val="000000"/>
          <w:lang w:val="es-MX" w:eastAsia="es-MX"/>
        </w:rPr>
        <w:t>el Sujeto Obligado</w:t>
      </w:r>
      <w:r w:rsidRPr="00094769">
        <w:rPr>
          <w:rFonts w:ascii="Palatino Linotype" w:eastAsia="Arial Unicode MS" w:hAnsi="Palatino Linotype"/>
        </w:rPr>
        <w:t xml:space="preserve">, en ese contexto, todo dato personal susceptible de clasificación debe ser protegido. </w:t>
      </w:r>
    </w:p>
    <w:p w14:paraId="4535E535" w14:textId="77777777" w:rsidR="0012070A" w:rsidRPr="00094769" w:rsidRDefault="0012070A" w:rsidP="0012070A">
      <w:pPr>
        <w:spacing w:line="360" w:lineRule="auto"/>
        <w:jc w:val="both"/>
        <w:rPr>
          <w:rFonts w:ascii="Palatino Linotype" w:eastAsia="Arial Unicode MS" w:hAnsi="Palatino Linotype"/>
        </w:rPr>
      </w:pPr>
    </w:p>
    <w:p w14:paraId="3FA6EE88" w14:textId="77777777" w:rsidR="0012070A" w:rsidRPr="00094769" w:rsidRDefault="0012070A" w:rsidP="0012070A">
      <w:pPr>
        <w:spacing w:line="360" w:lineRule="auto"/>
        <w:jc w:val="both"/>
        <w:rPr>
          <w:rFonts w:ascii="Palatino Linotype" w:eastAsia="Arial Unicode MS" w:hAnsi="Palatino Linotype"/>
        </w:rPr>
      </w:pPr>
      <w:r w:rsidRPr="00094769">
        <w:rPr>
          <w:rFonts w:ascii="Palatino Linotype" w:eastAsia="Arial Unicode MS" w:hAnsi="Palatino Linotype"/>
        </w:rPr>
        <w:t xml:space="preserve">Asimismo, de la versión pública deberá dejarse a la vista de la </w:t>
      </w:r>
      <w:r w:rsidRPr="00094769">
        <w:rPr>
          <w:rFonts w:ascii="Palatino Linotype" w:eastAsia="Arial Unicode MS" w:hAnsi="Palatino Linotype"/>
          <w:b/>
        </w:rPr>
        <w:t xml:space="preserve">Recurrente </w:t>
      </w:r>
      <w:r w:rsidRPr="00094769">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w:t>
      </w:r>
      <w:r w:rsidRPr="00094769">
        <w:rPr>
          <w:rFonts w:ascii="Palatino Linotype" w:eastAsia="Arial Unicode MS" w:hAnsi="Palatino Linotype"/>
          <w:b/>
        </w:rPr>
        <w:t>el nombre del servidor público</w:t>
      </w:r>
      <w:r w:rsidRPr="00094769">
        <w:rPr>
          <w:rFonts w:ascii="Palatino Linotype" w:eastAsia="Arial Unicode MS" w:hAnsi="Palatino Linotype"/>
        </w:rPr>
        <w:t xml:space="preserve">, el cargo que desempeña, área de adscripción, número de empleado (sólo en caso de no arrojar datos personales) y el período de la nómina respectiva, básicamente.  </w:t>
      </w:r>
    </w:p>
    <w:p w14:paraId="0219ADCD" w14:textId="77777777" w:rsidR="0012070A" w:rsidRPr="00094769" w:rsidRDefault="0012070A" w:rsidP="0012070A">
      <w:pPr>
        <w:spacing w:line="360" w:lineRule="auto"/>
        <w:jc w:val="both"/>
        <w:rPr>
          <w:rFonts w:asciiTheme="minorHAnsi" w:eastAsiaTheme="minorHAnsi" w:hAnsiTheme="minorHAnsi" w:cstheme="minorBidi"/>
          <w:szCs w:val="22"/>
          <w:lang w:eastAsia="en-US"/>
        </w:rPr>
      </w:pPr>
    </w:p>
    <w:p w14:paraId="2E2D5582" w14:textId="77777777" w:rsidR="0012070A" w:rsidRPr="00094769" w:rsidRDefault="0012070A" w:rsidP="0012070A">
      <w:pPr>
        <w:spacing w:line="360" w:lineRule="auto"/>
        <w:jc w:val="both"/>
        <w:rPr>
          <w:rFonts w:ascii="Palatino Linotype" w:hAnsi="Palatino Linotype"/>
        </w:rPr>
      </w:pPr>
      <w:r w:rsidRPr="00094769">
        <w:rPr>
          <w:rFonts w:ascii="Palatino Linotype" w:hAnsi="Palatino Linotype"/>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1C36335F" w14:textId="77777777" w:rsidR="0012070A" w:rsidRPr="00094769" w:rsidRDefault="0012070A" w:rsidP="0012070A"/>
    <w:p w14:paraId="665D9781"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w:t>
      </w:r>
      <w:r w:rsidRPr="00094769">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094769">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F8A2175" w14:textId="77777777" w:rsidR="0012070A" w:rsidRPr="00094769" w:rsidRDefault="0012070A" w:rsidP="0012070A">
      <w:pPr>
        <w:spacing w:line="360" w:lineRule="auto"/>
        <w:jc w:val="both"/>
        <w:rPr>
          <w:rFonts w:ascii="Palatino Linotype" w:hAnsi="Palatino Linotype"/>
          <w:lang w:val="es-ES_tradnl"/>
        </w:rPr>
      </w:pPr>
    </w:p>
    <w:p w14:paraId="61324711" w14:textId="77777777" w:rsidR="0012070A" w:rsidRPr="00094769" w:rsidRDefault="0012070A" w:rsidP="0012070A">
      <w:pPr>
        <w:spacing w:line="360" w:lineRule="auto"/>
        <w:jc w:val="both"/>
        <w:rPr>
          <w:rFonts w:ascii="Palatino Linotype" w:hAnsi="Palatino Linotype"/>
        </w:rPr>
      </w:pPr>
      <w:r w:rsidRPr="00094769">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094769">
        <w:rPr>
          <w:rFonts w:ascii="Palatino Linotype" w:hAnsi="Palatino Linotype"/>
        </w:rPr>
        <w:t>resulta necesario que el Comité de Transparencia d</w:t>
      </w:r>
      <w:r w:rsidRPr="00094769">
        <w:rPr>
          <w:rFonts w:ascii="Palatino Linotype" w:hAnsi="Palatino Linotype"/>
          <w:lang w:val="es-ES_tradnl"/>
        </w:rPr>
        <w:t xml:space="preserve">el Sujeto Obligado </w:t>
      </w:r>
      <w:r w:rsidRPr="00094769">
        <w:rPr>
          <w:rFonts w:ascii="Palatino Linotype" w:hAnsi="Palatino Linotype"/>
        </w:rPr>
        <w:t>emita el Acuerdo de Clasificación correspondiente</w:t>
      </w:r>
      <w:r w:rsidRPr="00094769">
        <w:rPr>
          <w:rFonts w:ascii="Palatino Linotype" w:hAnsi="Palatino Linotype"/>
          <w:lang w:val="es-ES_tradnl"/>
        </w:rPr>
        <w:t xml:space="preserve"> debidamente fundado y motivado, </w:t>
      </w:r>
      <w:r w:rsidRPr="00094769">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w:t>
      </w:r>
      <w:r w:rsidRPr="00094769">
        <w:rPr>
          <w:rFonts w:ascii="Palatino Linotype" w:hAnsi="Palatino Linotype"/>
        </w:rPr>
        <w:lastRenderedPageBreak/>
        <w:t xml:space="preserve">aplicables de los </w:t>
      </w:r>
      <w:r w:rsidRPr="00094769">
        <w:rPr>
          <w:rFonts w:ascii="Palatino Linotype" w:hAnsi="Palatino Linotype"/>
          <w:b/>
        </w:rPr>
        <w:t>LINEAMIENTOS GENERALES EN MATERIA DE CLASIFICACIÓN Y DESCLASIFICACIÓN DE LA INFORMACIÓN, ASÍ COMO PARA LA ELABORACIÓN DE VERSIONES PÚBLICAS</w:t>
      </w:r>
      <w:r w:rsidRPr="00094769">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60DD2E8A" w14:textId="77777777" w:rsidR="0012070A" w:rsidRPr="00094769" w:rsidRDefault="0012070A" w:rsidP="0012070A">
      <w:pPr>
        <w:spacing w:line="360" w:lineRule="auto"/>
        <w:jc w:val="both"/>
        <w:rPr>
          <w:rFonts w:ascii="Palatino Linotype" w:hAnsi="Palatino Linotype"/>
        </w:rPr>
      </w:pPr>
    </w:p>
    <w:p w14:paraId="1B1E4273" w14:textId="240C3B5B" w:rsidR="0012070A" w:rsidRDefault="0012070A" w:rsidP="004A32AF">
      <w:pPr>
        <w:spacing w:line="360" w:lineRule="auto"/>
        <w:jc w:val="both"/>
        <w:rPr>
          <w:rFonts w:ascii="Palatino Linotype" w:eastAsiaTheme="minorHAnsi" w:hAnsi="Palatino Linotype" w:cs="Arial"/>
          <w:szCs w:val="22"/>
          <w:lang w:val="es-MX" w:eastAsia="es-MX"/>
        </w:rPr>
      </w:pPr>
      <w:r w:rsidRPr="00094769">
        <w:rPr>
          <w:rFonts w:ascii="Palatino Linotype" w:eastAsiaTheme="minorHAnsi" w:hAnsi="Palatino Linotype" w:cs="Arial"/>
          <w:szCs w:val="22"/>
          <w:lang w:val="es-MX" w:eastAsia="es-MX"/>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71E64C0" w14:textId="77777777" w:rsidR="004A32AF" w:rsidRPr="004A32AF" w:rsidRDefault="004A32AF" w:rsidP="004A32AF">
      <w:pPr>
        <w:spacing w:line="360" w:lineRule="auto"/>
        <w:jc w:val="both"/>
        <w:rPr>
          <w:rFonts w:ascii="Palatino Linotype" w:eastAsiaTheme="minorHAnsi" w:hAnsi="Palatino Linotype" w:cs="Arial"/>
          <w:szCs w:val="22"/>
          <w:lang w:val="es-MX" w:eastAsia="es-MX"/>
        </w:rPr>
      </w:pPr>
    </w:p>
    <w:p w14:paraId="72E8037A" w14:textId="77777777" w:rsidR="0012070A" w:rsidRPr="00094769" w:rsidRDefault="0012070A" w:rsidP="0012070A">
      <w:pPr>
        <w:spacing w:line="360" w:lineRule="auto"/>
        <w:jc w:val="both"/>
        <w:rPr>
          <w:rFonts w:ascii="Palatino Linotype" w:hAnsi="Palatino Linotype"/>
          <w:b/>
        </w:rPr>
      </w:pPr>
      <w:r w:rsidRPr="00094769">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094769">
        <w:rPr>
          <w:rFonts w:ascii="Palatino Linotype" w:hAnsi="Palatino Linotype"/>
          <w:b/>
        </w:rPr>
        <w:t>Registro Federal de Contribuyentes</w:t>
      </w:r>
      <w:r w:rsidRPr="00094769">
        <w:rPr>
          <w:rFonts w:ascii="Palatino Linotype" w:hAnsi="Palatino Linotype"/>
        </w:rPr>
        <w:t xml:space="preserve"> (RFC), la </w:t>
      </w:r>
      <w:r w:rsidRPr="00094769">
        <w:rPr>
          <w:rFonts w:ascii="Palatino Linotype" w:hAnsi="Palatino Linotype"/>
          <w:b/>
        </w:rPr>
        <w:t>Clave Única de Registro de Población</w:t>
      </w:r>
      <w:r w:rsidRPr="00094769">
        <w:rPr>
          <w:rFonts w:ascii="Palatino Linotype" w:hAnsi="Palatino Linotype"/>
        </w:rPr>
        <w:t xml:space="preserve"> (CURP), la </w:t>
      </w:r>
      <w:r w:rsidRPr="00094769">
        <w:rPr>
          <w:rFonts w:ascii="Palatino Linotype" w:hAnsi="Palatino Linotype"/>
          <w:b/>
        </w:rPr>
        <w:t>Clave de cualquier tipo de seguridad social</w:t>
      </w:r>
      <w:r w:rsidRPr="00094769">
        <w:rPr>
          <w:rFonts w:ascii="Palatino Linotype" w:hAnsi="Palatino Linotype"/>
        </w:rPr>
        <w:t xml:space="preserve"> (ISSEMYM, u otros), así como, los </w:t>
      </w:r>
      <w:r w:rsidRPr="00094769">
        <w:rPr>
          <w:rFonts w:ascii="Palatino Linotype" w:hAnsi="Palatino Linotype"/>
          <w:b/>
        </w:rPr>
        <w:t xml:space="preserve">préstamos o descuentos </w:t>
      </w:r>
      <w:r w:rsidRPr="00094769">
        <w:rPr>
          <w:rFonts w:ascii="Palatino Linotype" w:hAnsi="Palatino Linotype"/>
        </w:rPr>
        <w:t xml:space="preserve">que se le hagan al servidor público, que no se encuentren relacionados con los impuestos o la </w:t>
      </w:r>
      <w:r w:rsidRPr="00094769">
        <w:rPr>
          <w:rFonts w:ascii="Palatino Linotype" w:hAnsi="Palatino Linotype"/>
          <w:b/>
        </w:rPr>
        <w:t>cuotas</w:t>
      </w:r>
      <w:r w:rsidRPr="00094769">
        <w:rPr>
          <w:rFonts w:ascii="Palatino Linotype" w:hAnsi="Palatino Linotype"/>
        </w:rPr>
        <w:t xml:space="preserve"> por </w:t>
      </w:r>
      <w:r w:rsidRPr="00094769">
        <w:rPr>
          <w:rFonts w:ascii="Palatino Linotype" w:hAnsi="Palatino Linotype"/>
          <w:b/>
        </w:rPr>
        <w:t xml:space="preserve">seguridad social, Cadenas Originales </w:t>
      </w:r>
      <w:r w:rsidRPr="00094769">
        <w:rPr>
          <w:rFonts w:ascii="Palatino Linotype" w:hAnsi="Palatino Linotype"/>
        </w:rPr>
        <w:t>y</w:t>
      </w:r>
      <w:r w:rsidRPr="00094769">
        <w:rPr>
          <w:rFonts w:ascii="Palatino Linotype" w:hAnsi="Palatino Linotype"/>
          <w:b/>
        </w:rPr>
        <w:t xml:space="preserve"> Sellos Digitales</w:t>
      </w:r>
    </w:p>
    <w:p w14:paraId="49DA4705" w14:textId="77777777" w:rsidR="0012070A" w:rsidRPr="00094769" w:rsidRDefault="0012070A" w:rsidP="0012070A">
      <w:pPr>
        <w:spacing w:line="360" w:lineRule="auto"/>
        <w:jc w:val="both"/>
        <w:rPr>
          <w:rFonts w:ascii="Palatino Linotype" w:hAnsi="Palatino Linotype"/>
        </w:rPr>
      </w:pPr>
      <w:r w:rsidRPr="00094769">
        <w:rPr>
          <w:rFonts w:ascii="Palatino Linotype" w:hAnsi="Palatino Linotype"/>
          <w:b/>
        </w:rPr>
        <w:t xml:space="preserve">Códigos Bidimensionales </w:t>
      </w:r>
      <w:r w:rsidRPr="00094769">
        <w:rPr>
          <w:rFonts w:ascii="Palatino Linotype" w:hAnsi="Palatino Linotype"/>
        </w:rPr>
        <w:t>y los denominados</w:t>
      </w:r>
      <w:r w:rsidRPr="00094769">
        <w:rPr>
          <w:rFonts w:ascii="Palatino Linotype" w:hAnsi="Palatino Linotype"/>
          <w:b/>
        </w:rPr>
        <w:t xml:space="preserve"> Códigos QR.</w:t>
      </w:r>
    </w:p>
    <w:p w14:paraId="55E373A4" w14:textId="77777777" w:rsidR="0012070A" w:rsidRPr="00094769" w:rsidRDefault="0012070A" w:rsidP="0012070A">
      <w:pPr>
        <w:spacing w:line="360" w:lineRule="auto"/>
        <w:jc w:val="both"/>
        <w:rPr>
          <w:rFonts w:ascii="Palatino Linotype" w:hAnsi="Palatino Linotype"/>
        </w:rPr>
      </w:pPr>
    </w:p>
    <w:p w14:paraId="11D838D7" w14:textId="77777777" w:rsidR="0012070A" w:rsidRDefault="0012070A" w:rsidP="0012070A">
      <w:pPr>
        <w:spacing w:line="360" w:lineRule="auto"/>
        <w:jc w:val="both"/>
        <w:rPr>
          <w:rFonts w:ascii="Palatino Linotype" w:hAnsi="Palatino Linotype"/>
        </w:rPr>
      </w:pPr>
      <w:r w:rsidRPr="00094769">
        <w:rPr>
          <w:rFonts w:ascii="Palatino Linotype" w:hAnsi="Palatino Linotype"/>
          <w:lang w:eastAsia="es-MX"/>
        </w:rPr>
        <w:t xml:space="preserve">Por cuanto hace al </w:t>
      </w:r>
      <w:r w:rsidRPr="00094769">
        <w:rPr>
          <w:rFonts w:ascii="Palatino Linotype" w:hAnsi="Palatino Linotype"/>
          <w:b/>
          <w:lang w:eastAsia="es-MX"/>
        </w:rPr>
        <w:t>Registro Federal de Contribuyentes</w:t>
      </w:r>
      <w:r w:rsidRPr="00094769">
        <w:rPr>
          <w:rFonts w:ascii="Palatino Linotype" w:hAnsi="Palatino Linotype"/>
          <w:lang w:eastAsia="es-MX"/>
        </w:rPr>
        <w:t xml:space="preserve"> </w:t>
      </w:r>
      <w:r w:rsidRPr="00094769">
        <w:rPr>
          <w:rFonts w:ascii="Palatino Linotype" w:hAnsi="Palatino Linotype"/>
          <w:b/>
          <w:lang w:eastAsia="es-MX"/>
        </w:rPr>
        <w:t>de las personas físicas</w:t>
      </w:r>
      <w:r w:rsidRPr="00094769">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w:t>
      </w:r>
      <w:r w:rsidRPr="00094769">
        <w:rPr>
          <w:rFonts w:ascii="Palatino Linotype" w:hAnsi="Palatino Linotype"/>
          <w:lang w:eastAsia="es-MX"/>
        </w:rPr>
        <w:lastRenderedPageBreak/>
        <w:t>la primera letra del nombre, posterior la fecha de nacimiento año/mes/día</w:t>
      </w:r>
      <w:r w:rsidRPr="00094769">
        <w:rPr>
          <w:rFonts w:ascii="Palatino Linotype" w:hAnsi="Palatino Linotype"/>
        </w:rPr>
        <w:t xml:space="preserve"> y finalmente la </w:t>
      </w:r>
      <w:proofErr w:type="spellStart"/>
      <w:r w:rsidRPr="00094769">
        <w:rPr>
          <w:rFonts w:ascii="Palatino Linotype" w:hAnsi="Palatino Linotype"/>
        </w:rPr>
        <w:t>homoclave</w:t>
      </w:r>
      <w:proofErr w:type="spellEnd"/>
      <w:r w:rsidRPr="00094769">
        <w:rPr>
          <w:rFonts w:ascii="Palatino Linotype" w:hAnsi="Palatino Linotype"/>
        </w:rPr>
        <w:t>; la cual para su obtención es necesario acreditar personalidad, fecha de nacimiento entre otros con documentos oficiales.</w:t>
      </w:r>
    </w:p>
    <w:p w14:paraId="2F0956EA" w14:textId="77777777" w:rsidR="0012070A" w:rsidRPr="00094769" w:rsidRDefault="0012070A" w:rsidP="0012070A">
      <w:pPr>
        <w:spacing w:line="360" w:lineRule="auto"/>
        <w:jc w:val="both"/>
        <w:rPr>
          <w:rFonts w:ascii="Palatino Linotype" w:hAnsi="Palatino Linotype"/>
        </w:rPr>
      </w:pPr>
    </w:p>
    <w:p w14:paraId="14581B70" w14:textId="77777777" w:rsidR="0012070A" w:rsidRPr="00094769" w:rsidRDefault="0012070A" w:rsidP="0012070A">
      <w:pPr>
        <w:spacing w:line="360" w:lineRule="auto"/>
        <w:jc w:val="both"/>
        <w:rPr>
          <w:rFonts w:ascii="Palatino Linotype" w:hAnsi="Palatino Linotype"/>
        </w:rPr>
      </w:pPr>
      <w:r w:rsidRPr="00094769">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132155A8" w14:textId="77777777" w:rsidR="0012070A" w:rsidRPr="00094769" w:rsidRDefault="0012070A" w:rsidP="0012070A">
      <w:pPr>
        <w:ind w:left="567" w:right="616"/>
        <w:jc w:val="both"/>
        <w:rPr>
          <w:rFonts w:ascii="Palatino Linotype" w:hAnsi="Palatino Linotype"/>
          <w:i/>
          <w:sz w:val="22"/>
          <w:szCs w:val="22"/>
        </w:rPr>
      </w:pPr>
    </w:p>
    <w:p w14:paraId="00DFC9D4" w14:textId="77777777" w:rsidR="0012070A" w:rsidRPr="00094769" w:rsidRDefault="0012070A" w:rsidP="0012070A">
      <w:pPr>
        <w:ind w:left="567" w:right="616"/>
        <w:jc w:val="both"/>
        <w:rPr>
          <w:rFonts w:ascii="Palatino Linotype" w:hAnsi="Palatino Linotype"/>
          <w:i/>
          <w:sz w:val="22"/>
          <w:szCs w:val="22"/>
        </w:rPr>
      </w:pPr>
      <w:r w:rsidRPr="00094769">
        <w:rPr>
          <w:rFonts w:ascii="Palatino Linotype" w:hAnsi="Palatino Linotype"/>
          <w:i/>
          <w:sz w:val="22"/>
          <w:szCs w:val="22"/>
        </w:rPr>
        <w:t>“</w:t>
      </w:r>
      <w:r w:rsidRPr="00094769">
        <w:rPr>
          <w:rFonts w:ascii="Palatino Linotype" w:hAnsi="Palatino Linotype"/>
          <w:b/>
          <w:i/>
          <w:sz w:val="22"/>
          <w:szCs w:val="22"/>
        </w:rPr>
        <w:t>Registro Federal de Contribuyentes (RFC) de personas físicas</w:t>
      </w:r>
      <w:r w:rsidRPr="00094769">
        <w:rPr>
          <w:rFonts w:ascii="Palatino Linotype" w:hAnsi="Palatino Linotype"/>
          <w:i/>
          <w:sz w:val="22"/>
          <w:szCs w:val="22"/>
        </w:rPr>
        <w:t xml:space="preserve">. El RFC es una clave de carácter fiscal, </w:t>
      </w:r>
      <w:proofErr w:type="gramStart"/>
      <w:r w:rsidRPr="00094769">
        <w:rPr>
          <w:rFonts w:ascii="Palatino Linotype" w:hAnsi="Palatino Linotype"/>
          <w:i/>
          <w:sz w:val="22"/>
          <w:szCs w:val="22"/>
        </w:rPr>
        <w:t>única</w:t>
      </w:r>
      <w:proofErr w:type="gramEnd"/>
      <w:r w:rsidRPr="00094769">
        <w:rPr>
          <w:rFonts w:ascii="Palatino Linotype" w:hAnsi="Palatino Linotype"/>
          <w:i/>
          <w:sz w:val="22"/>
          <w:szCs w:val="22"/>
        </w:rPr>
        <w:t xml:space="preserve"> e irrepetible, que permite identificar al titular, su edad y fecha de nacimiento, por lo que es un dato personal de carácter confidencial.</w:t>
      </w:r>
    </w:p>
    <w:p w14:paraId="244E7B8C" w14:textId="77777777" w:rsidR="0012070A" w:rsidRPr="00094769" w:rsidRDefault="0012070A" w:rsidP="0012070A">
      <w:pPr>
        <w:spacing w:after="160" w:line="259" w:lineRule="auto"/>
        <w:rPr>
          <w:rFonts w:asciiTheme="minorHAnsi" w:eastAsiaTheme="minorHAnsi" w:hAnsiTheme="minorHAnsi" w:cstheme="minorBidi"/>
          <w:sz w:val="22"/>
          <w:szCs w:val="22"/>
          <w:lang w:eastAsia="en-US"/>
        </w:rPr>
      </w:pPr>
    </w:p>
    <w:p w14:paraId="71E65FCE" w14:textId="77777777" w:rsidR="0012070A" w:rsidRPr="00094769" w:rsidRDefault="0012070A" w:rsidP="0012070A">
      <w:pPr>
        <w:spacing w:line="360" w:lineRule="auto"/>
        <w:jc w:val="both"/>
        <w:rPr>
          <w:rFonts w:ascii="Palatino Linotype" w:hAnsi="Palatino Linotype"/>
          <w:lang w:val="es-MX" w:eastAsia="es-MX"/>
        </w:rPr>
      </w:pPr>
      <w:r w:rsidRPr="00094769">
        <w:rPr>
          <w:rFonts w:ascii="Palatino Linotype" w:hAnsi="Palatino Linotype"/>
          <w:lang w:val="es-MX" w:eastAsia="es-MX"/>
        </w:rPr>
        <w:t xml:space="preserve">De lo anterior, se desprende que el Registro Federal de Contribuyentes se vincula al nombre de su titular, permitiendo identificar la edad de la persona, fecha de nacimiento, así como su </w:t>
      </w:r>
      <w:proofErr w:type="spellStart"/>
      <w:r w:rsidRPr="00094769">
        <w:rPr>
          <w:rFonts w:ascii="Palatino Linotype" w:hAnsi="Palatino Linotype"/>
          <w:lang w:val="es-MX" w:eastAsia="es-MX"/>
        </w:rPr>
        <w:t>homoclave</w:t>
      </w:r>
      <w:proofErr w:type="spellEnd"/>
      <w:r w:rsidRPr="00094769">
        <w:rPr>
          <w:rFonts w:ascii="Palatino Linotype" w:hAnsi="Palatino Linotype"/>
          <w:lang w:val="es-MX"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094769">
        <w:rPr>
          <w:rFonts w:ascii="Palatino Linotype" w:eastAsia="Arial Unicode MS" w:hAnsi="Palatino Linotype"/>
        </w:rPr>
        <w:t>4 fracción XI de la Ley de Protección de Datos Personales en Posesión de los Sujetos Obligados del Estado de México y Municipios</w:t>
      </w:r>
      <w:r w:rsidRPr="00094769">
        <w:rPr>
          <w:rFonts w:ascii="Palatino Linotype" w:hAnsi="Palatino Linotype"/>
          <w:lang w:val="es-MX" w:eastAsia="es-MX"/>
        </w:rPr>
        <w:t>.</w:t>
      </w:r>
    </w:p>
    <w:p w14:paraId="2DF66526" w14:textId="77777777" w:rsidR="0012070A" w:rsidRPr="00094769" w:rsidRDefault="0012070A" w:rsidP="0012070A">
      <w:pPr>
        <w:spacing w:line="360" w:lineRule="auto"/>
        <w:jc w:val="both"/>
        <w:rPr>
          <w:rFonts w:ascii="Palatino Linotype" w:hAnsi="Palatino Linotype"/>
          <w:lang w:val="es-MX" w:eastAsia="es-MX"/>
        </w:rPr>
      </w:pPr>
    </w:p>
    <w:p w14:paraId="6093360C" w14:textId="77777777" w:rsidR="0012070A" w:rsidRDefault="0012070A" w:rsidP="0012070A">
      <w:pPr>
        <w:spacing w:line="360" w:lineRule="auto"/>
        <w:jc w:val="both"/>
        <w:rPr>
          <w:rFonts w:ascii="Palatino Linotype" w:hAnsi="Palatino Linotype"/>
          <w:lang w:val="es-MX" w:eastAsia="es-MX"/>
        </w:rPr>
      </w:pPr>
      <w:r w:rsidRPr="00094769">
        <w:rPr>
          <w:rFonts w:ascii="Palatino Linotype" w:hAnsi="Palatino Linotype"/>
          <w:lang w:eastAsia="es-MX"/>
        </w:rPr>
        <w:t xml:space="preserve">Por cuanto hace a la </w:t>
      </w:r>
      <w:r w:rsidRPr="00094769">
        <w:rPr>
          <w:rFonts w:ascii="Palatino Linotype" w:hAnsi="Palatino Linotype"/>
          <w:b/>
        </w:rPr>
        <w:t xml:space="preserve">Clave Única de Registro de Población, </w:t>
      </w:r>
      <w:r w:rsidRPr="00094769">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A8D62FF" w14:textId="77777777" w:rsidR="0012070A" w:rsidRPr="00094769" w:rsidRDefault="0012070A" w:rsidP="0012070A">
      <w:pPr>
        <w:spacing w:line="360" w:lineRule="auto"/>
        <w:jc w:val="both"/>
        <w:rPr>
          <w:rFonts w:ascii="Palatino Linotype" w:hAnsi="Palatino Linotype"/>
          <w:lang w:val="es-MX" w:eastAsia="es-MX"/>
        </w:rPr>
      </w:pPr>
    </w:p>
    <w:p w14:paraId="6D1B950B" w14:textId="77777777" w:rsidR="0012070A" w:rsidRPr="00094769" w:rsidRDefault="0012070A" w:rsidP="0012070A">
      <w:pPr>
        <w:spacing w:line="360" w:lineRule="auto"/>
        <w:jc w:val="both"/>
        <w:rPr>
          <w:rFonts w:ascii="Palatino Linotype" w:hAnsi="Palatino Linotype"/>
          <w:lang w:eastAsia="es-MX"/>
        </w:rPr>
      </w:pPr>
      <w:r w:rsidRPr="00094769">
        <w:rPr>
          <w:rFonts w:ascii="Palatino Linotype" w:hAnsi="Palatino Linotype"/>
          <w:lang w:eastAsia="es-MX"/>
        </w:rPr>
        <w:lastRenderedPageBreak/>
        <w:t>Lo anterior, tiene sustento en los artículos 86 y 91, de la Ley General de Población, la cual señala lo siguiente:</w:t>
      </w:r>
    </w:p>
    <w:p w14:paraId="5631C0FA" w14:textId="77777777" w:rsidR="0012070A" w:rsidRPr="00094769" w:rsidRDefault="0012070A" w:rsidP="0012070A">
      <w:pPr>
        <w:ind w:left="709" w:right="757"/>
        <w:jc w:val="both"/>
        <w:rPr>
          <w:rFonts w:ascii="Palatino Linotype" w:hAnsi="Palatino Linotype" w:cs="Arial,Bold"/>
          <w:b/>
          <w:bCs/>
          <w:i/>
          <w:sz w:val="22"/>
          <w:lang w:eastAsia="es-MX"/>
        </w:rPr>
      </w:pPr>
    </w:p>
    <w:p w14:paraId="4DC52BEF" w14:textId="77777777" w:rsidR="0012070A" w:rsidRPr="00094769" w:rsidRDefault="0012070A" w:rsidP="0012070A">
      <w:pPr>
        <w:ind w:left="709" w:right="757"/>
        <w:jc w:val="both"/>
        <w:rPr>
          <w:rFonts w:ascii="Palatino Linotype" w:hAnsi="Palatino Linotype" w:cs="Arial"/>
          <w:i/>
          <w:sz w:val="22"/>
          <w:lang w:eastAsia="es-MX"/>
        </w:rPr>
      </w:pPr>
      <w:r w:rsidRPr="00094769">
        <w:rPr>
          <w:rFonts w:ascii="Palatino Linotype" w:hAnsi="Palatino Linotype" w:cs="Arial,Bold"/>
          <w:b/>
          <w:bCs/>
          <w:i/>
          <w:sz w:val="22"/>
          <w:lang w:eastAsia="es-MX"/>
        </w:rPr>
        <w:t xml:space="preserve">“Artículo 86. </w:t>
      </w:r>
      <w:r w:rsidRPr="00094769">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203345FE" w14:textId="77777777" w:rsidR="0012070A" w:rsidRPr="00094769" w:rsidRDefault="0012070A" w:rsidP="0012070A">
      <w:pPr>
        <w:ind w:left="709" w:right="757"/>
        <w:jc w:val="both"/>
        <w:rPr>
          <w:rFonts w:ascii="Palatino Linotype" w:hAnsi="Palatino Linotype" w:cs="Arial"/>
          <w:i/>
          <w:sz w:val="22"/>
          <w:lang w:eastAsia="es-MX"/>
        </w:rPr>
      </w:pPr>
    </w:p>
    <w:p w14:paraId="6A10F6C4" w14:textId="77777777" w:rsidR="0012070A" w:rsidRPr="00094769" w:rsidRDefault="0012070A" w:rsidP="0012070A">
      <w:pPr>
        <w:ind w:left="709" w:right="757"/>
        <w:jc w:val="both"/>
        <w:rPr>
          <w:rFonts w:ascii="Palatino Linotype" w:hAnsi="Palatino Linotype" w:cs="Arial"/>
          <w:i/>
          <w:sz w:val="22"/>
          <w:lang w:eastAsia="es-MX"/>
        </w:rPr>
      </w:pPr>
      <w:r w:rsidRPr="00094769">
        <w:rPr>
          <w:rFonts w:ascii="Palatino Linotype" w:hAnsi="Palatino Linotype" w:cs="Arial,Bold"/>
          <w:b/>
          <w:bCs/>
          <w:i/>
          <w:sz w:val="22"/>
          <w:lang w:eastAsia="es-MX"/>
        </w:rPr>
        <w:t xml:space="preserve">Artículo 91. </w:t>
      </w:r>
      <w:r w:rsidRPr="00094769">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27D7A0B6" w14:textId="77777777" w:rsidR="0012070A" w:rsidRPr="00094769" w:rsidRDefault="0012070A" w:rsidP="0012070A">
      <w:pPr>
        <w:ind w:left="709" w:right="757"/>
        <w:jc w:val="both"/>
        <w:rPr>
          <w:rFonts w:ascii="Palatino Linotype" w:hAnsi="Palatino Linotype" w:cs="Arial"/>
          <w:i/>
          <w:sz w:val="22"/>
          <w:lang w:eastAsia="es-MX"/>
        </w:rPr>
      </w:pPr>
    </w:p>
    <w:p w14:paraId="163D21FD" w14:textId="77777777" w:rsidR="0012070A" w:rsidRPr="00094769" w:rsidRDefault="0012070A" w:rsidP="0012070A"/>
    <w:p w14:paraId="424D9F68" w14:textId="77777777" w:rsidR="0012070A" w:rsidRDefault="0012070A" w:rsidP="0012070A">
      <w:pPr>
        <w:spacing w:line="360" w:lineRule="auto"/>
        <w:jc w:val="both"/>
        <w:rPr>
          <w:rFonts w:ascii="Palatino Linotype" w:hAnsi="Palatino Linotype"/>
          <w:lang w:eastAsia="es-MX"/>
        </w:rPr>
      </w:pPr>
      <w:r w:rsidRPr="00094769">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6E930F9" w14:textId="77777777" w:rsidR="0012070A" w:rsidRPr="00094769" w:rsidRDefault="0012070A" w:rsidP="0012070A">
      <w:pPr>
        <w:spacing w:line="360" w:lineRule="auto"/>
        <w:jc w:val="both"/>
        <w:rPr>
          <w:rFonts w:ascii="Palatino Linotype" w:hAnsi="Palatino Linotype"/>
          <w:lang w:eastAsia="es-MX"/>
        </w:rPr>
      </w:pPr>
    </w:p>
    <w:p w14:paraId="2B089248" w14:textId="6E7F1AA4" w:rsidR="0012070A" w:rsidRPr="00094769" w:rsidRDefault="0012070A" w:rsidP="0012070A">
      <w:pPr>
        <w:spacing w:line="360" w:lineRule="auto"/>
        <w:jc w:val="both"/>
        <w:rPr>
          <w:rFonts w:ascii="Palatino Linotype" w:hAnsi="Palatino Linotype"/>
          <w:lang w:eastAsia="es-MX"/>
        </w:rPr>
      </w:pPr>
      <w:r w:rsidRPr="00094769">
        <w:rPr>
          <w:rFonts w:ascii="Palatino Linotype" w:hAnsi="Palatino Linotype"/>
          <w:lang w:eastAsia="es-MX"/>
        </w:rPr>
        <w:t>Al respecto, el</w:t>
      </w:r>
      <w:r w:rsidR="004A32AF">
        <w:rPr>
          <w:rFonts w:ascii="Palatino Linotype" w:hAnsi="Palatino Linotype"/>
          <w:lang w:eastAsia="es-MX"/>
        </w:rPr>
        <w:t xml:space="preserve"> entonces</w:t>
      </w:r>
      <w:r w:rsidRPr="00094769">
        <w:rPr>
          <w:rFonts w:ascii="Palatino Linotype" w:hAnsi="Palatino Linotype"/>
          <w:lang w:eastAsia="es-MX"/>
        </w:rPr>
        <w:t xml:space="preserve"> Instituto Nacional de Transparencia, Acceso a la Información y Protección de Datos Personales (INAI) a través del Criterio 18/17, señala literalmente lo siguiente:</w:t>
      </w:r>
    </w:p>
    <w:p w14:paraId="02E09520" w14:textId="77777777" w:rsidR="0012070A" w:rsidRPr="00094769" w:rsidRDefault="0012070A" w:rsidP="0012070A">
      <w:pPr>
        <w:rPr>
          <w:lang w:eastAsia="es-MX"/>
        </w:rPr>
      </w:pPr>
    </w:p>
    <w:p w14:paraId="7CC58C3E" w14:textId="77777777" w:rsidR="0012070A" w:rsidRPr="00094769" w:rsidRDefault="0012070A" w:rsidP="0012070A">
      <w:pPr>
        <w:ind w:left="567" w:right="616"/>
        <w:jc w:val="both"/>
        <w:rPr>
          <w:rFonts w:ascii="Palatino Linotype" w:hAnsi="Palatino Linotype"/>
          <w:i/>
          <w:sz w:val="22"/>
          <w:szCs w:val="22"/>
          <w:lang w:eastAsia="es-MX"/>
        </w:rPr>
      </w:pPr>
      <w:r w:rsidRPr="00094769">
        <w:rPr>
          <w:rFonts w:ascii="Palatino Linotype" w:hAnsi="Palatino Linotype"/>
          <w:b/>
          <w:i/>
          <w:sz w:val="22"/>
          <w:szCs w:val="22"/>
          <w:lang w:eastAsia="es-MX"/>
        </w:rPr>
        <w:t>Clave Única de Registro de Población (CURP)</w:t>
      </w:r>
      <w:r w:rsidRPr="00094769">
        <w:rPr>
          <w:rFonts w:ascii="Palatino Linotype" w:hAnsi="Palatino Linotype"/>
          <w:i/>
          <w:sz w:val="22"/>
          <w:szCs w:val="22"/>
          <w:lang w:eastAsia="es-MX"/>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094769">
        <w:rPr>
          <w:rFonts w:ascii="Palatino Linotype" w:hAnsi="Palatino Linotype"/>
          <w:i/>
          <w:sz w:val="22"/>
          <w:szCs w:val="22"/>
          <w:lang w:eastAsia="es-MX"/>
        </w:rPr>
        <w:lastRenderedPageBreak/>
        <w:t>resto de los habitantes del país, por lo que la CURP está considerada como información confidencial.</w:t>
      </w:r>
    </w:p>
    <w:p w14:paraId="41A21964" w14:textId="77777777" w:rsidR="0012070A" w:rsidRPr="00094769" w:rsidRDefault="0012070A" w:rsidP="0012070A">
      <w:pPr>
        <w:ind w:left="567" w:right="616"/>
        <w:jc w:val="both"/>
        <w:rPr>
          <w:rFonts w:ascii="Palatino Linotype" w:hAnsi="Palatino Linotype" w:cs="Arial"/>
          <w:bCs/>
          <w:i/>
          <w:szCs w:val="22"/>
          <w:lang w:eastAsia="es-MX"/>
        </w:rPr>
      </w:pPr>
    </w:p>
    <w:p w14:paraId="02B4ED45" w14:textId="77777777" w:rsidR="0012070A" w:rsidRPr="00094769" w:rsidRDefault="0012070A" w:rsidP="0012070A">
      <w:pPr>
        <w:spacing w:line="360" w:lineRule="auto"/>
        <w:jc w:val="both"/>
        <w:rPr>
          <w:rFonts w:ascii="Palatino Linotype" w:hAnsi="Palatino Linotype"/>
          <w:lang w:eastAsia="es-MX"/>
        </w:rPr>
      </w:pPr>
      <w:r w:rsidRPr="00094769">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1FF1EAB" w14:textId="77777777" w:rsidR="0012070A" w:rsidRPr="00094769" w:rsidRDefault="0012070A" w:rsidP="0012070A">
      <w:pPr>
        <w:spacing w:line="360" w:lineRule="auto"/>
        <w:jc w:val="both"/>
        <w:rPr>
          <w:rFonts w:ascii="Palatino Linotype" w:hAnsi="Palatino Linotype"/>
          <w:lang w:eastAsia="es-MX"/>
        </w:rPr>
      </w:pPr>
    </w:p>
    <w:p w14:paraId="63488593" w14:textId="77777777" w:rsidR="0012070A" w:rsidRPr="00094769" w:rsidRDefault="0012070A" w:rsidP="0012070A">
      <w:pPr>
        <w:spacing w:line="360" w:lineRule="auto"/>
        <w:jc w:val="both"/>
        <w:rPr>
          <w:rFonts w:ascii="Palatino Linotype" w:hAnsi="Palatino Linotype"/>
          <w:lang w:eastAsia="es-MX"/>
        </w:rPr>
      </w:pPr>
      <w:r w:rsidRPr="00094769">
        <w:rPr>
          <w:rFonts w:ascii="Palatino Linotype" w:hAnsi="Palatino Linotype"/>
          <w:lang w:eastAsia="es-MX"/>
        </w:rPr>
        <w:t xml:space="preserve">Por cuanto hace a la </w:t>
      </w:r>
      <w:r w:rsidRPr="00094769">
        <w:rPr>
          <w:rFonts w:ascii="Palatino Linotype" w:hAnsi="Palatino Linotype"/>
          <w:b/>
        </w:rPr>
        <w:t>Clave de cualquier tipo de seguridad social</w:t>
      </w:r>
      <w:r w:rsidRPr="00094769">
        <w:rPr>
          <w:rFonts w:ascii="Palatino Linotype" w:hAnsi="Palatino Linotype"/>
        </w:rPr>
        <w:t xml:space="preserve"> (ISSEMYM, u otros), está integrado por una </w:t>
      </w:r>
      <w:r w:rsidRPr="00094769">
        <w:rPr>
          <w:rFonts w:ascii="Palatino Linotype" w:hAnsi="Palatino Linotype"/>
          <w:bCs/>
          <w:lang w:eastAsia="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094769">
        <w:rPr>
          <w:rFonts w:ascii="Palatino Linotype" w:hAnsi="Palatino Linotype"/>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094769">
        <w:rPr>
          <w:rFonts w:ascii="Palatino Linotype" w:eastAsia="Arial Unicode MS" w:hAnsi="Palatino Linotype"/>
        </w:rPr>
        <w:t>4 fracción XI de la Ley de Protección de Datos Personales en Posesión de Sujetos Obligados del Estado de México y Municipios</w:t>
      </w:r>
      <w:r w:rsidRPr="00094769">
        <w:rPr>
          <w:rFonts w:ascii="Palatino Linotype" w:hAnsi="Palatino Linotype"/>
          <w:lang w:eastAsia="es-MX"/>
        </w:rPr>
        <w:t>.</w:t>
      </w:r>
    </w:p>
    <w:p w14:paraId="7039481E" w14:textId="77777777" w:rsidR="0012070A" w:rsidRPr="00094769" w:rsidRDefault="0012070A" w:rsidP="0012070A">
      <w:pPr>
        <w:spacing w:line="360" w:lineRule="auto"/>
        <w:jc w:val="both"/>
        <w:rPr>
          <w:rFonts w:ascii="Palatino Linotype" w:hAnsi="Palatino Linotype"/>
          <w:lang w:eastAsia="es-MX"/>
        </w:rPr>
      </w:pPr>
    </w:p>
    <w:p w14:paraId="6090A06E" w14:textId="77777777" w:rsidR="0012070A" w:rsidRDefault="0012070A" w:rsidP="0012070A">
      <w:pPr>
        <w:spacing w:line="360" w:lineRule="auto"/>
        <w:jc w:val="both"/>
        <w:rPr>
          <w:rFonts w:ascii="Palatino Linotype" w:hAnsi="Palatino Linotype"/>
          <w:lang w:eastAsia="es-MX"/>
        </w:rPr>
      </w:pPr>
      <w:r w:rsidRPr="00094769">
        <w:rPr>
          <w:rFonts w:ascii="Palatino Linotype" w:hAnsi="Palatino Linotype"/>
        </w:rPr>
        <w:t xml:space="preserve">Respecto de los </w:t>
      </w:r>
      <w:r w:rsidRPr="00094769">
        <w:rPr>
          <w:rFonts w:ascii="Palatino Linotype" w:hAnsi="Palatino Linotype"/>
          <w:b/>
        </w:rPr>
        <w:t>préstamos o descuentos</w:t>
      </w:r>
      <w:r w:rsidRPr="00094769">
        <w:rPr>
          <w:rFonts w:ascii="Palatino Linotype" w:hAnsi="Palatino Linotype"/>
        </w:rPr>
        <w:t xml:space="preserve"> </w:t>
      </w:r>
      <w:r w:rsidRPr="00094769">
        <w:rPr>
          <w:rFonts w:ascii="Palatino Linotype" w:hAnsi="Palatino Linotype"/>
          <w:b/>
        </w:rPr>
        <w:t>de carácter personal</w:t>
      </w:r>
      <w:r w:rsidRPr="00094769">
        <w:rPr>
          <w:rFonts w:ascii="Palatino Linotype" w:hAnsi="Palatino Linotype"/>
        </w:rPr>
        <w:t xml:space="preserve">, éstos no deben tener relación con la prestación del servicio; es decir, son confidenciales los préstamos o descuentos que se le hagan a la persona en los que no se involucren instituciones </w:t>
      </w:r>
      <w:r w:rsidRPr="00094769">
        <w:rPr>
          <w:rFonts w:ascii="Palatino Linotype" w:hAnsi="Palatino Linotype"/>
        </w:rPr>
        <w:lastRenderedPageBreak/>
        <w:t xml:space="preserve">públicas, en virtud de no </w:t>
      </w:r>
      <w:r w:rsidRPr="00094769">
        <w:rPr>
          <w:rFonts w:ascii="Palatino Linotype" w:hAnsi="Palatino Linotype"/>
          <w:lang w:eastAsia="es-MX"/>
        </w:rPr>
        <w:t>favorecer en la transparencia y rendición de cuentas, sino, por el contrario,</w:t>
      </w:r>
      <w:r>
        <w:rPr>
          <w:rFonts w:ascii="Palatino Linotype" w:hAnsi="Palatino Linotype"/>
          <w:lang w:eastAsia="es-MX"/>
        </w:rPr>
        <w:t xml:space="preserve"> </w:t>
      </w:r>
      <w:r w:rsidRPr="00094769">
        <w:rPr>
          <w:rFonts w:ascii="Palatino Linotype" w:hAnsi="Palatino Linotype"/>
          <w:lang w:eastAsia="es-MX"/>
        </w:rPr>
        <w:t>con ello se violentaría la</w:t>
      </w:r>
      <w:r w:rsidRPr="00094769">
        <w:rPr>
          <w:rFonts w:ascii="Palatino Linotype" w:hAnsi="Palatino Linotype"/>
        </w:rPr>
        <w:t xml:space="preserve"> </w:t>
      </w:r>
      <w:r w:rsidRPr="00094769">
        <w:rPr>
          <w:rFonts w:ascii="Palatino Linotype" w:hAnsi="Palatino Linotype"/>
          <w:lang w:eastAsia="es-MX"/>
        </w:rPr>
        <w:t>protección de información confidencial, porque incide en la intimidad de un individuo</w:t>
      </w:r>
      <w:r w:rsidRPr="00094769">
        <w:rPr>
          <w:rFonts w:ascii="Palatino Linotype" w:hAnsi="Palatino Linotype"/>
        </w:rPr>
        <w:t xml:space="preserve"> </w:t>
      </w:r>
      <w:r w:rsidRPr="00094769">
        <w:rPr>
          <w:rFonts w:ascii="Palatino Linotype" w:hAnsi="Palatino Linotype"/>
          <w:lang w:eastAsia="es-MX"/>
        </w:rPr>
        <w:t>identificado.</w:t>
      </w:r>
    </w:p>
    <w:p w14:paraId="27678DC7" w14:textId="77777777" w:rsidR="0012070A" w:rsidRPr="00094769" w:rsidRDefault="0012070A" w:rsidP="0012070A">
      <w:pPr>
        <w:spacing w:line="360" w:lineRule="auto"/>
        <w:jc w:val="both"/>
        <w:rPr>
          <w:rFonts w:ascii="Palatino Linotype" w:hAnsi="Palatino Linotype"/>
          <w:lang w:eastAsia="es-MX"/>
        </w:rPr>
      </w:pPr>
    </w:p>
    <w:p w14:paraId="4AB6E1C3" w14:textId="77777777" w:rsidR="0012070A" w:rsidRDefault="0012070A" w:rsidP="0012070A">
      <w:pPr>
        <w:spacing w:line="360" w:lineRule="auto"/>
        <w:jc w:val="both"/>
        <w:rPr>
          <w:rFonts w:ascii="Palatino Linotype" w:hAnsi="Palatino Linotype"/>
        </w:rPr>
      </w:pPr>
      <w:r w:rsidRPr="00094769">
        <w:rPr>
          <w:rFonts w:ascii="Palatino Linotype" w:hAnsi="Palatino Linotype"/>
          <w:lang w:eastAsia="es-MX"/>
        </w:rPr>
        <w:t xml:space="preserve">Por su parte, el </w:t>
      </w:r>
      <w:r w:rsidRPr="00094769">
        <w:rPr>
          <w:rFonts w:ascii="Palatino Linotype" w:hAnsi="Palatino Linotype"/>
        </w:rPr>
        <w:t>artículo 84 de la Ley del Trabajo de los Servidores Públicos del Estado y Municipios, señala:</w:t>
      </w:r>
    </w:p>
    <w:p w14:paraId="64FFC0D7" w14:textId="77777777" w:rsidR="0012070A" w:rsidRPr="00094769" w:rsidRDefault="0012070A" w:rsidP="0012070A">
      <w:pPr>
        <w:spacing w:line="360" w:lineRule="auto"/>
        <w:jc w:val="both"/>
        <w:rPr>
          <w:rFonts w:ascii="Palatino Linotype" w:hAnsi="Palatino Linotype"/>
        </w:rPr>
      </w:pPr>
    </w:p>
    <w:p w14:paraId="4295F17D"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b/>
          <w:i/>
          <w:noProof/>
          <w:sz w:val="22"/>
        </w:rPr>
        <w:t>ARTICULO 84.</w:t>
      </w:r>
      <w:r w:rsidRPr="00094769">
        <w:rPr>
          <w:rFonts w:ascii="Palatino Linotype" w:hAnsi="Palatino Linotype"/>
          <w:i/>
          <w:noProof/>
          <w:sz w:val="22"/>
        </w:rPr>
        <w:t xml:space="preserve"> Sólo podrán hacerse retenciones, descuentos o deducciones al sueldo de los servidores públicos por concepto de:</w:t>
      </w:r>
    </w:p>
    <w:p w14:paraId="0D5E2C25" w14:textId="77777777" w:rsidR="0012070A" w:rsidRPr="00094769" w:rsidRDefault="0012070A" w:rsidP="0012070A">
      <w:pPr>
        <w:ind w:left="567" w:right="616"/>
        <w:jc w:val="both"/>
        <w:rPr>
          <w:rFonts w:ascii="Palatino Linotype" w:hAnsi="Palatino Linotype"/>
          <w:i/>
          <w:noProof/>
          <w:sz w:val="22"/>
        </w:rPr>
      </w:pPr>
    </w:p>
    <w:p w14:paraId="70D031D9"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I. Gravámenes fiscales relacionados con el sueldo;</w:t>
      </w:r>
    </w:p>
    <w:p w14:paraId="7E154AB0"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II. Deudas contraídas con las instituciones públicas o dependencias por concepto de anticipos de sueldo, pagos hechos con exceso, errores o pérdidas debidamente comprobados;</w:t>
      </w:r>
    </w:p>
    <w:p w14:paraId="11DF41B2"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III. Cuotas sindicales;</w:t>
      </w:r>
    </w:p>
    <w:p w14:paraId="3CE7F19A"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IV. Cuotas de aportación a fondos para la constitución de cooperativas y de cajas de ahorro, siempre que el servidor público hubiese manifestado previamente, de manera expresa, su conformidad;</w:t>
      </w:r>
    </w:p>
    <w:p w14:paraId="292C73AB"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V. Descuentos ordenados por el Instituto de Seguridad Social del Estado de México y Municipios, con motivo de cuotas y obligaciones contraídas con éste por los servidores públicos;</w:t>
      </w:r>
    </w:p>
    <w:p w14:paraId="295E2EFB"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VI. Obligaciones a cargo del servidor público con las que haya consentido, derivadas de la adquisición o del uso de habitaciones consideradas como de interés social;</w:t>
      </w:r>
    </w:p>
    <w:p w14:paraId="1D3D0E14"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VII. Faltas de puntualidad o de asistencia injustificadas;</w:t>
      </w:r>
    </w:p>
    <w:p w14:paraId="4A51E643"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VIII. Pensiones alimenticias ordenadas por la autoridad judicial; o</w:t>
      </w:r>
    </w:p>
    <w:p w14:paraId="42FB7FBE" w14:textId="77777777" w:rsidR="0012070A" w:rsidRPr="00094769" w:rsidRDefault="0012070A" w:rsidP="0012070A">
      <w:pPr>
        <w:ind w:left="567" w:right="616"/>
        <w:jc w:val="both"/>
        <w:rPr>
          <w:rFonts w:ascii="Palatino Linotype" w:hAnsi="Palatino Linotype"/>
          <w:i/>
          <w:noProof/>
          <w:sz w:val="22"/>
        </w:rPr>
      </w:pPr>
      <w:r w:rsidRPr="00094769">
        <w:rPr>
          <w:rFonts w:ascii="Palatino Linotype" w:hAnsi="Palatino Linotype"/>
          <w:i/>
          <w:noProof/>
          <w:sz w:val="22"/>
        </w:rPr>
        <w:t>IX. Cualquier otro convenido con instituciones de servicios y aceptado por el servidor público.</w:t>
      </w:r>
    </w:p>
    <w:p w14:paraId="456068FA" w14:textId="77777777" w:rsidR="0012070A" w:rsidRPr="00094769" w:rsidRDefault="0012070A" w:rsidP="0012070A">
      <w:pPr>
        <w:ind w:left="567" w:right="616"/>
        <w:jc w:val="both"/>
        <w:rPr>
          <w:rFonts w:ascii="Palatino Linotype" w:hAnsi="Palatino Linotype"/>
          <w:i/>
          <w:noProof/>
          <w:sz w:val="22"/>
        </w:rPr>
      </w:pPr>
    </w:p>
    <w:p w14:paraId="1EA80734" w14:textId="77777777" w:rsidR="0012070A" w:rsidRPr="00094769" w:rsidRDefault="0012070A" w:rsidP="0012070A">
      <w:pPr>
        <w:ind w:left="567" w:right="616"/>
        <w:jc w:val="both"/>
        <w:rPr>
          <w:sz w:val="22"/>
        </w:rPr>
      </w:pPr>
      <w:r w:rsidRPr="00094769">
        <w:rPr>
          <w:rFonts w:ascii="Palatino Linotype" w:hAnsi="Palatino Linotype"/>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F291B33" w14:textId="77777777" w:rsidR="0012070A" w:rsidRPr="00094769" w:rsidRDefault="0012070A" w:rsidP="0012070A">
      <w:pPr>
        <w:spacing w:line="360" w:lineRule="auto"/>
        <w:jc w:val="both"/>
        <w:rPr>
          <w:rFonts w:ascii="Palatino Linotype" w:hAnsi="Palatino Linotype"/>
          <w:sz w:val="22"/>
        </w:rPr>
      </w:pPr>
    </w:p>
    <w:p w14:paraId="57054E0A" w14:textId="77777777" w:rsidR="0012070A" w:rsidRPr="00094769" w:rsidRDefault="0012070A" w:rsidP="0012070A">
      <w:pPr>
        <w:spacing w:line="360" w:lineRule="auto"/>
        <w:jc w:val="both"/>
        <w:rPr>
          <w:rFonts w:ascii="Palatino Linotype" w:hAnsi="Palatino Linotype"/>
        </w:rPr>
      </w:pPr>
      <w:r w:rsidRPr="00094769">
        <w:rPr>
          <w:rFonts w:ascii="Palatino Linotype" w:hAnsi="Palatino Linotype"/>
        </w:rPr>
        <w:lastRenderedPageBreak/>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18FBFA9" w14:textId="77777777" w:rsidR="0012070A" w:rsidRPr="00094769" w:rsidRDefault="0012070A" w:rsidP="0012070A">
      <w:pPr>
        <w:spacing w:line="360" w:lineRule="auto"/>
        <w:jc w:val="both"/>
        <w:rPr>
          <w:rFonts w:ascii="Palatino Linotype" w:hAnsi="Palatino Linotype"/>
        </w:rPr>
      </w:pPr>
    </w:p>
    <w:p w14:paraId="02B86AB3"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eastAsia="Arial Unicode MS" w:hAnsi="Palatino Linotype"/>
          <w:lang w:val="es-MX"/>
        </w:rPr>
        <w:t xml:space="preserve">En ese sentido, </w:t>
      </w:r>
      <w:r w:rsidRPr="00094769">
        <w:rPr>
          <w:rFonts w:ascii="Palatino Linotype" w:hAnsi="Palatino Linotype"/>
          <w:lang w:val="es-MX"/>
        </w:rPr>
        <w:t xml:space="preserve">las </w:t>
      </w:r>
      <w:r w:rsidRPr="00094769">
        <w:rPr>
          <w:rFonts w:ascii="Palatino Linotype" w:hAnsi="Palatino Linotype"/>
          <w:b/>
          <w:lang w:val="es-MX"/>
        </w:rPr>
        <w:t xml:space="preserve">Cadenas Originales </w:t>
      </w:r>
      <w:r w:rsidRPr="00094769">
        <w:rPr>
          <w:rFonts w:ascii="Palatino Linotype" w:hAnsi="Palatino Linotype"/>
          <w:lang w:val="es-MX"/>
        </w:rPr>
        <w:t xml:space="preserve">y </w:t>
      </w:r>
      <w:r w:rsidRPr="00094769">
        <w:rPr>
          <w:rFonts w:ascii="Palatino Linotype" w:hAnsi="Palatino Linotype"/>
          <w:b/>
          <w:lang w:val="es-MX"/>
        </w:rPr>
        <w:t>Sellos</w:t>
      </w:r>
      <w:r w:rsidRPr="00094769">
        <w:rPr>
          <w:rFonts w:ascii="Palatino Linotype" w:hAnsi="Palatino Linotype"/>
          <w:lang w:val="es-MX"/>
        </w:rPr>
        <w:t xml:space="preserve"> </w:t>
      </w:r>
      <w:r w:rsidRPr="00094769">
        <w:rPr>
          <w:rFonts w:ascii="Palatino Linotype" w:hAnsi="Palatino Linotype"/>
          <w:b/>
          <w:lang w:val="es-MX"/>
        </w:rPr>
        <w:t>Digitales</w:t>
      </w:r>
      <w:r w:rsidRPr="00094769">
        <w:rPr>
          <w:rFonts w:ascii="Palatino Linotype" w:hAnsi="Palatino Linotype"/>
          <w:lang w:val="es-MX"/>
        </w:rPr>
        <w:t xml:space="preserve">, forman parte del </w:t>
      </w:r>
      <w:r w:rsidRPr="00094769">
        <w:rPr>
          <w:rFonts w:ascii="Palatino Linotype" w:hAnsi="Palatino Linotype"/>
          <w:lang w:val="es-ES_tradnl"/>
        </w:rPr>
        <w:t xml:space="preserve">certificado de sello digital, los cuales </w:t>
      </w:r>
      <w:r w:rsidRPr="00094769">
        <w:rPr>
          <w:rFonts w:ascii="Palatino Linotype" w:hAnsi="Palatino Linotype"/>
          <w:lang w:val="es-MX"/>
        </w:rPr>
        <w:t xml:space="preserve">son documentos electrónicos, mismos que de conformidad con el artículo 17-G y 29 del Código Fiscal de la Federación le permiten a la autoridad hacendaria federal garantizar una </w:t>
      </w:r>
      <w:r w:rsidRPr="00094769">
        <w:rPr>
          <w:rFonts w:ascii="Palatino Linotype" w:hAnsi="Palatino Linotype"/>
          <w:b/>
          <w:lang w:val="es-MX"/>
        </w:rPr>
        <w:t xml:space="preserve">vinculación </w:t>
      </w:r>
      <w:r w:rsidRPr="00094769">
        <w:rPr>
          <w:rFonts w:ascii="Palatino Linotype" w:hAnsi="Palatino Linotype"/>
          <w:lang w:val="es-MX"/>
        </w:rPr>
        <w:t xml:space="preserve">entre la </w:t>
      </w:r>
      <w:r w:rsidRPr="00094769">
        <w:rPr>
          <w:rFonts w:ascii="Palatino Linotype" w:hAnsi="Palatino Linotype"/>
          <w:b/>
          <w:lang w:val="es-MX"/>
        </w:rPr>
        <w:t>identidad de un sujeto o entidad</w:t>
      </w:r>
      <w:r w:rsidRPr="00094769">
        <w:rPr>
          <w:rFonts w:ascii="Palatino Linotype" w:hAnsi="Palatino Linotype"/>
          <w:lang w:val="es-MX"/>
        </w:rPr>
        <w:t xml:space="preserve"> con su clave pública, lo que hace identificable a una persona o entidad, además de que dichos certificados tienen como finalidad o propósito específico firmar digitalmente las facturas electrónicas </w:t>
      </w:r>
      <w:r w:rsidRPr="00094769">
        <w:rPr>
          <w:rFonts w:ascii="Palatino Linotype" w:hAnsi="Palatino Linotype"/>
          <w:b/>
          <w:lang w:val="es-MX"/>
        </w:rPr>
        <w:t>para acreditar la autoría de los comprobantes fiscales digitales</w:t>
      </w:r>
      <w:r w:rsidRPr="00094769">
        <w:rPr>
          <w:rFonts w:ascii="Palatino Linotype" w:hAnsi="Palatino Linotype"/>
          <w:lang w:val="es-MX"/>
        </w:rPr>
        <w:t>. En ese tenor se transcriben los artículos señalados con antelación para mejor ilustración:</w:t>
      </w:r>
    </w:p>
    <w:p w14:paraId="77E20042" w14:textId="77777777" w:rsidR="0012070A" w:rsidRPr="00094769" w:rsidRDefault="0012070A" w:rsidP="0012070A">
      <w:pPr>
        <w:spacing w:line="360" w:lineRule="auto"/>
        <w:jc w:val="both"/>
        <w:rPr>
          <w:rFonts w:ascii="Palatino Linotype" w:hAnsi="Palatino Linotype"/>
          <w:lang w:val="es-MX"/>
        </w:rPr>
      </w:pPr>
    </w:p>
    <w:p w14:paraId="3430E843" w14:textId="77777777" w:rsidR="0012070A" w:rsidRPr="00094769" w:rsidRDefault="0012070A" w:rsidP="0012070A">
      <w:pPr>
        <w:ind w:left="567" w:right="616"/>
        <w:jc w:val="both"/>
        <w:rPr>
          <w:rFonts w:ascii="Palatino Linotype" w:hAnsi="Palatino Linotype"/>
          <w:i/>
          <w:noProof/>
          <w:sz w:val="22"/>
          <w:szCs w:val="22"/>
          <w:lang w:val="es-MX"/>
        </w:rPr>
      </w:pPr>
      <w:r w:rsidRPr="00094769">
        <w:rPr>
          <w:rFonts w:ascii="Palatino Linotype" w:hAnsi="Palatino Linotype"/>
          <w:i/>
          <w:noProof/>
          <w:sz w:val="22"/>
          <w:szCs w:val="22"/>
          <w:lang w:val="es-MX"/>
        </w:rPr>
        <w:t>“</w:t>
      </w:r>
      <w:r w:rsidRPr="00094769">
        <w:rPr>
          <w:rFonts w:ascii="Palatino Linotype" w:hAnsi="Palatino Linotype"/>
          <w:b/>
          <w:i/>
          <w:noProof/>
          <w:sz w:val="22"/>
          <w:szCs w:val="22"/>
          <w:lang w:val="es-MX"/>
        </w:rPr>
        <w:t xml:space="preserve">Artículo 17-G.- </w:t>
      </w:r>
      <w:r w:rsidRPr="00094769">
        <w:rPr>
          <w:rFonts w:ascii="Palatino Linotype" w:hAnsi="Palatino Linotype"/>
          <w:i/>
          <w:noProof/>
          <w:sz w:val="22"/>
          <w:szCs w:val="22"/>
          <w:lang w:val="es-MX"/>
        </w:rPr>
        <w:t xml:space="preserve">Los certificados que emita el Servicio de Administración Tributaria para ser considerados válidos deberán contener los datos siguientes: </w:t>
      </w:r>
    </w:p>
    <w:p w14:paraId="534B1C71" w14:textId="77777777" w:rsidR="0012070A" w:rsidRPr="00094769" w:rsidRDefault="0012070A" w:rsidP="0012070A">
      <w:pPr>
        <w:ind w:left="567" w:right="616"/>
        <w:jc w:val="both"/>
        <w:rPr>
          <w:rFonts w:ascii="Palatino Linotype" w:hAnsi="Palatino Linotype"/>
          <w:i/>
          <w:noProof/>
          <w:sz w:val="22"/>
          <w:szCs w:val="22"/>
          <w:lang w:val="es-MX"/>
        </w:rPr>
      </w:pPr>
    </w:p>
    <w:p w14:paraId="038F0D8C" w14:textId="77777777" w:rsidR="0012070A" w:rsidRPr="00094769" w:rsidRDefault="0012070A" w:rsidP="005561B7">
      <w:pPr>
        <w:numPr>
          <w:ilvl w:val="0"/>
          <w:numId w:val="7"/>
        </w:numPr>
        <w:spacing w:after="160" w:line="259" w:lineRule="auto"/>
        <w:ind w:right="616"/>
        <w:jc w:val="both"/>
        <w:rPr>
          <w:rFonts w:ascii="Palatino Linotype" w:hAnsi="Palatino Linotype"/>
          <w:i/>
          <w:noProof/>
          <w:sz w:val="22"/>
          <w:szCs w:val="22"/>
          <w:lang w:val="es-MX"/>
        </w:rPr>
      </w:pPr>
      <w:r w:rsidRPr="00094769">
        <w:rPr>
          <w:rFonts w:ascii="Palatino Linotype" w:hAnsi="Palatino Linotype"/>
          <w:i/>
          <w:noProof/>
          <w:sz w:val="22"/>
          <w:szCs w:val="22"/>
          <w:lang w:val="es-MX"/>
        </w:rPr>
        <w:t>La mención de que se expiden como tales. Tratándose de certificados de sellos digitales, se deberán especificar las limitantes que tengan para su uso.</w:t>
      </w:r>
    </w:p>
    <w:p w14:paraId="220755F4" w14:textId="77777777" w:rsidR="0012070A" w:rsidRPr="00094769" w:rsidRDefault="0012070A" w:rsidP="0012070A">
      <w:pPr>
        <w:ind w:left="1422" w:right="616"/>
        <w:jc w:val="both"/>
        <w:rPr>
          <w:rFonts w:ascii="Palatino Linotype" w:hAnsi="Palatino Linotype"/>
          <w:i/>
          <w:noProof/>
          <w:sz w:val="22"/>
          <w:szCs w:val="22"/>
          <w:lang w:val="es-MX"/>
        </w:rPr>
      </w:pPr>
    </w:p>
    <w:p w14:paraId="0E793DEC" w14:textId="77777777" w:rsidR="0012070A" w:rsidRPr="00094769" w:rsidRDefault="0012070A" w:rsidP="0012070A">
      <w:pPr>
        <w:ind w:left="567" w:right="616"/>
        <w:jc w:val="both"/>
        <w:rPr>
          <w:rFonts w:ascii="Palatino Linotype" w:hAnsi="Palatino Linotype"/>
          <w:i/>
          <w:noProof/>
          <w:sz w:val="22"/>
          <w:szCs w:val="22"/>
          <w:lang w:val="es-MX"/>
        </w:rPr>
      </w:pPr>
      <w:r w:rsidRPr="00094769">
        <w:rPr>
          <w:rFonts w:ascii="Palatino Linotype" w:hAnsi="Palatino Linotype"/>
          <w:b/>
          <w:i/>
          <w:noProof/>
          <w:sz w:val="22"/>
          <w:szCs w:val="22"/>
          <w:lang w:val="es-MX"/>
        </w:rPr>
        <w:t>Artículo 29.</w:t>
      </w:r>
      <w:r w:rsidRPr="00094769">
        <w:rPr>
          <w:rFonts w:ascii="Palatino Linotype" w:hAnsi="Palatino Linotype"/>
          <w:i/>
          <w:noProof/>
          <w:sz w:val="22"/>
          <w:szCs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w:t>
      </w:r>
      <w:r w:rsidRPr="00094769">
        <w:rPr>
          <w:rFonts w:ascii="Palatino Linotype" w:hAnsi="Palatino Linotype"/>
          <w:i/>
          <w:noProof/>
          <w:sz w:val="22"/>
          <w:szCs w:val="22"/>
          <w:lang w:val="es-MX"/>
        </w:rPr>
        <w:lastRenderedPageBreak/>
        <w:t>servicios o aquéllas a las que les hubieren retenido contribuciones deberán solicitar el comprobante fiscal digital por Internet respectivo.</w:t>
      </w:r>
    </w:p>
    <w:p w14:paraId="5C4936C3" w14:textId="77777777" w:rsidR="0012070A" w:rsidRPr="00094769" w:rsidRDefault="0012070A" w:rsidP="0012070A">
      <w:pPr>
        <w:ind w:left="567" w:right="616"/>
        <w:jc w:val="both"/>
        <w:rPr>
          <w:rFonts w:ascii="Palatino Linotype" w:hAnsi="Palatino Linotype"/>
          <w:i/>
          <w:noProof/>
          <w:sz w:val="22"/>
          <w:szCs w:val="22"/>
          <w:lang w:val="es-MX"/>
        </w:rPr>
      </w:pPr>
    </w:p>
    <w:p w14:paraId="7FC6C13C" w14:textId="77777777" w:rsidR="0012070A" w:rsidRPr="00094769" w:rsidRDefault="0012070A" w:rsidP="0012070A">
      <w:pPr>
        <w:ind w:left="567" w:right="616"/>
        <w:jc w:val="both"/>
        <w:rPr>
          <w:rFonts w:ascii="Palatino Linotype" w:hAnsi="Palatino Linotype"/>
          <w:i/>
          <w:noProof/>
          <w:sz w:val="22"/>
          <w:szCs w:val="22"/>
          <w:lang w:val="es-MX"/>
        </w:rPr>
      </w:pPr>
      <w:r w:rsidRPr="00094769">
        <w:rPr>
          <w:rFonts w:ascii="Palatino Linotype" w:hAnsi="Palatino Linotype"/>
          <w:i/>
          <w:noProof/>
          <w:sz w:val="22"/>
          <w:szCs w:val="22"/>
          <w:lang w:val="es-MX"/>
        </w:rPr>
        <w:t>Los contribuyentes a que se refiere el párrafo anterior deberán cumplir con las obligaciones siguientes:</w:t>
      </w:r>
    </w:p>
    <w:p w14:paraId="06F0184E" w14:textId="77777777" w:rsidR="0012070A" w:rsidRPr="00094769" w:rsidRDefault="0012070A" w:rsidP="0012070A">
      <w:pPr>
        <w:ind w:left="567" w:right="616"/>
        <w:jc w:val="both"/>
        <w:rPr>
          <w:rFonts w:ascii="Palatino Linotype" w:hAnsi="Palatino Linotype"/>
          <w:i/>
          <w:noProof/>
          <w:sz w:val="22"/>
          <w:szCs w:val="22"/>
          <w:lang w:val="es-MX"/>
        </w:rPr>
      </w:pPr>
    </w:p>
    <w:p w14:paraId="43E12567" w14:textId="77777777" w:rsidR="0012070A" w:rsidRPr="00094769" w:rsidRDefault="0012070A" w:rsidP="0012070A">
      <w:pPr>
        <w:ind w:left="567" w:right="616"/>
        <w:jc w:val="both"/>
        <w:rPr>
          <w:rFonts w:ascii="Palatino Linotype" w:hAnsi="Palatino Linotype"/>
          <w:i/>
          <w:noProof/>
          <w:sz w:val="22"/>
          <w:szCs w:val="22"/>
          <w:lang w:val="es-MX"/>
        </w:rPr>
      </w:pPr>
      <w:r w:rsidRPr="00094769">
        <w:rPr>
          <w:rFonts w:ascii="Palatino Linotype" w:hAnsi="Palatino Linotype"/>
          <w:i/>
          <w:noProof/>
          <w:sz w:val="22"/>
          <w:szCs w:val="22"/>
          <w:lang w:val="es-MX"/>
        </w:rPr>
        <w:t>I.  (…)</w:t>
      </w:r>
    </w:p>
    <w:p w14:paraId="2F64BBAF" w14:textId="77777777" w:rsidR="0012070A" w:rsidRPr="00094769" w:rsidRDefault="0012070A" w:rsidP="0012070A">
      <w:pPr>
        <w:ind w:left="567" w:right="616"/>
        <w:jc w:val="both"/>
        <w:rPr>
          <w:rFonts w:ascii="Palatino Linotype" w:hAnsi="Palatino Linotype"/>
          <w:i/>
          <w:noProof/>
          <w:sz w:val="22"/>
          <w:szCs w:val="22"/>
          <w:lang w:val="es-MX"/>
        </w:rPr>
      </w:pPr>
      <w:r w:rsidRPr="00094769">
        <w:rPr>
          <w:rFonts w:ascii="Palatino Linotype" w:hAnsi="Palatino Linotype"/>
          <w:i/>
          <w:noProof/>
          <w:sz w:val="22"/>
          <w:szCs w:val="22"/>
          <w:lang w:val="es-MX"/>
        </w:rPr>
        <w:t>II. Tramitar ante el Servicio de Administración Tributaria el certificado para el uso de los sellos digitales.</w:t>
      </w:r>
    </w:p>
    <w:p w14:paraId="4680E531" w14:textId="77777777" w:rsidR="0012070A" w:rsidRPr="00094769" w:rsidRDefault="0012070A" w:rsidP="0012070A">
      <w:pPr>
        <w:ind w:left="567" w:right="616"/>
        <w:jc w:val="both"/>
        <w:rPr>
          <w:rFonts w:ascii="Palatino Linotype" w:hAnsi="Palatino Linotype"/>
          <w:i/>
          <w:noProof/>
          <w:sz w:val="22"/>
          <w:szCs w:val="22"/>
          <w:lang w:val="es-MX"/>
        </w:rPr>
      </w:pPr>
    </w:p>
    <w:p w14:paraId="59E5609E" w14:textId="77777777" w:rsidR="0012070A" w:rsidRPr="00094769" w:rsidRDefault="0012070A" w:rsidP="0012070A">
      <w:pPr>
        <w:ind w:left="567" w:right="616"/>
        <w:jc w:val="both"/>
        <w:rPr>
          <w:noProof/>
          <w:lang w:val="es-MX"/>
        </w:rPr>
      </w:pPr>
      <w:r w:rsidRPr="00094769">
        <w:rPr>
          <w:rFonts w:ascii="Palatino Linotype" w:hAnsi="Palatino Linotype"/>
          <w:i/>
          <w:noProof/>
          <w:sz w:val="22"/>
          <w:szCs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4FB862BE" w14:textId="77777777" w:rsidR="0012070A" w:rsidRPr="00094769" w:rsidRDefault="0012070A" w:rsidP="0012070A">
      <w:pPr>
        <w:spacing w:line="360" w:lineRule="auto"/>
        <w:jc w:val="both"/>
        <w:rPr>
          <w:rFonts w:ascii="Palatino Linotype" w:hAnsi="Palatino Linotype"/>
          <w:lang w:val="es-MX"/>
        </w:rPr>
      </w:pPr>
    </w:p>
    <w:p w14:paraId="6FB0E897"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 xml:space="preserve">Por lo que hace a los </w:t>
      </w:r>
      <w:r w:rsidRPr="00094769">
        <w:rPr>
          <w:rFonts w:ascii="Palatino Linotype" w:hAnsi="Palatino Linotype"/>
          <w:b/>
          <w:lang w:val="es-MX"/>
        </w:rPr>
        <w:t>Códigos Bidimensionales</w:t>
      </w:r>
      <w:r w:rsidRPr="00094769">
        <w:rPr>
          <w:rFonts w:ascii="Palatino Linotype" w:hAnsi="Palatino Linotype"/>
          <w:lang w:val="es-MX"/>
        </w:rPr>
        <w:t xml:space="preserve"> y los denominados </w:t>
      </w:r>
      <w:r w:rsidRPr="00094769">
        <w:rPr>
          <w:rFonts w:ascii="Palatino Linotype" w:hAnsi="Palatino Linotype"/>
          <w:b/>
          <w:lang w:val="es-MX"/>
        </w:rPr>
        <w:t>Códigos QR</w:t>
      </w:r>
      <w:r w:rsidRPr="00094769">
        <w:rPr>
          <w:rFonts w:ascii="Palatino Linotype" w:hAnsi="Palatino Linotype"/>
          <w:lang w:val="es-MX"/>
        </w:rPr>
        <w:t xml:space="preserve">, se trata </w:t>
      </w:r>
      <w:r w:rsidRPr="00094769">
        <w:rPr>
          <w:rFonts w:ascii="Palatino Linotype" w:hAnsi="Palatino Linotype"/>
          <w:lang w:val="es-ES_tradnl"/>
        </w:rPr>
        <w:t>de</w:t>
      </w:r>
      <w:r w:rsidRPr="00094769">
        <w:rPr>
          <w:rFonts w:ascii="Palatino Linotype" w:hAnsi="Palatino Linotype"/>
          <w:lang w:val="es-MX"/>
        </w:rPr>
        <w:t xml:space="preserv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w:t>
      </w:r>
      <w:r w:rsidRPr="00094769">
        <w:rPr>
          <w:rFonts w:ascii="Palatino Linotype" w:hAnsi="Palatino Linotype"/>
          <w:lang w:val="es-MX" w:eastAsia="es-MX"/>
        </w:rPr>
        <w:t>datos</w:t>
      </w:r>
      <w:r w:rsidRPr="00094769">
        <w:rPr>
          <w:rFonts w:ascii="Palatino Linotype" w:hAnsi="Palatino Linotype"/>
          <w:lang w:val="es-MX"/>
        </w:rPr>
        <w:t xml:space="preserve"> personales como lo son el </w:t>
      </w:r>
      <w:r w:rsidRPr="00094769">
        <w:rPr>
          <w:rFonts w:ascii="Palatino Linotype" w:hAnsi="Palatino Linotype"/>
          <w:b/>
          <w:lang w:val="es-MX"/>
        </w:rPr>
        <w:t>Registro Federal de Contribuyentes</w:t>
      </w:r>
      <w:r w:rsidRPr="00094769">
        <w:rPr>
          <w:rFonts w:ascii="Palatino Linotype" w:hAnsi="Palatino Linotype"/>
          <w:lang w:val="es-MX"/>
        </w:rPr>
        <w:t xml:space="preserve"> (RFC) y la </w:t>
      </w:r>
      <w:r w:rsidRPr="00094769">
        <w:rPr>
          <w:rFonts w:ascii="Palatino Linotype" w:hAnsi="Palatino Linotype"/>
          <w:b/>
          <w:lang w:val="es-MX"/>
        </w:rPr>
        <w:t>Clave Única de Registro de Población</w:t>
      </w:r>
      <w:r w:rsidRPr="00094769">
        <w:rPr>
          <w:rFonts w:ascii="Palatino Linotype" w:hAnsi="Palatino Linotype"/>
          <w:lang w:val="es-MX"/>
        </w:rPr>
        <w:t xml:space="preserve"> (CURP), por lo cual, deberán ser protegidos.</w:t>
      </w:r>
    </w:p>
    <w:p w14:paraId="70D7D353" w14:textId="77777777" w:rsidR="0012070A" w:rsidRPr="00094769" w:rsidRDefault="0012070A" w:rsidP="0012070A">
      <w:pPr>
        <w:spacing w:line="360" w:lineRule="auto"/>
        <w:jc w:val="both"/>
        <w:rPr>
          <w:rFonts w:ascii="Palatino Linotype" w:hAnsi="Palatino Linotype"/>
          <w:lang w:val="es-MX"/>
        </w:rPr>
      </w:pPr>
    </w:p>
    <w:p w14:paraId="22D31BB4" w14:textId="77777777" w:rsidR="0012070A" w:rsidRDefault="0012070A" w:rsidP="0012070A">
      <w:pPr>
        <w:spacing w:line="360" w:lineRule="auto"/>
        <w:jc w:val="both"/>
        <w:rPr>
          <w:rFonts w:ascii="Palatino Linotype" w:hAnsi="Palatino Linotype"/>
          <w:lang w:val="es-MX" w:eastAsia="es-MX"/>
        </w:rPr>
      </w:pPr>
      <w:r w:rsidRPr="00094769">
        <w:rPr>
          <w:rFonts w:ascii="Palatino Linotype" w:hAnsi="Palatino Linotype"/>
          <w:lang w:val="es-ES_tradnl"/>
        </w:rPr>
        <w:t xml:space="preserve">Por ende, en el presente caso el Sujeto Obligado debe </w:t>
      </w:r>
      <w:r w:rsidRPr="00094769">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094769">
        <w:rPr>
          <w:rFonts w:ascii="Palatino Linotype" w:hAnsi="Palatino Linotype"/>
          <w:lang w:val="es-ES_tradnl"/>
        </w:rPr>
        <w:t xml:space="preserve">el Sujeto Obligado </w:t>
      </w:r>
      <w:r w:rsidRPr="00094769">
        <w:rPr>
          <w:rFonts w:ascii="Palatino Linotype" w:hAnsi="Palatino Linotype"/>
          <w:lang w:val="es-MX" w:eastAsia="es-MX"/>
        </w:rPr>
        <w:t xml:space="preserve">cuando clasifique un documento, ya sea en todo o en parte, debe atender lo dispuesto por la Ley de la materia, siendo que dicha clasificación </w:t>
      </w:r>
      <w:r w:rsidRPr="00094769">
        <w:rPr>
          <w:rFonts w:ascii="Palatino Linotype" w:hAnsi="Palatino Linotype"/>
          <w:lang w:val="es-MX" w:eastAsia="es-MX"/>
        </w:rPr>
        <w:lastRenderedPageBreak/>
        <w:t>es un trabajo en conjunto tanto de los Servidores Públicos Habilitados, de las Unidades de Transparencia y del Comité de Transparencia d</w:t>
      </w:r>
      <w:r w:rsidRPr="00094769">
        <w:rPr>
          <w:rFonts w:ascii="Palatino Linotype" w:hAnsi="Palatino Linotype"/>
          <w:lang w:val="es-ES_tradnl"/>
        </w:rPr>
        <w:t>el Sujeto Obligado</w:t>
      </w:r>
      <w:r w:rsidRPr="00094769">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7DA884F" w14:textId="77777777" w:rsidR="0012070A" w:rsidRPr="00094769" w:rsidRDefault="0012070A" w:rsidP="0012070A">
      <w:pPr>
        <w:spacing w:line="360" w:lineRule="auto"/>
        <w:jc w:val="both"/>
        <w:rPr>
          <w:rFonts w:ascii="Palatino Linotype" w:hAnsi="Palatino Linotype"/>
          <w:lang w:val="es-MX" w:eastAsia="es-MX"/>
        </w:rPr>
      </w:pPr>
    </w:p>
    <w:p w14:paraId="35ABEFDA" w14:textId="77777777" w:rsidR="0012070A" w:rsidRPr="00094769" w:rsidRDefault="0012070A" w:rsidP="0012070A">
      <w:pPr>
        <w:spacing w:line="360" w:lineRule="auto"/>
        <w:jc w:val="both"/>
        <w:rPr>
          <w:rFonts w:ascii="Palatino Linotype" w:eastAsia="Calibri" w:hAnsi="Palatino Linotype"/>
          <w:lang w:val="es-MX"/>
        </w:rPr>
      </w:pPr>
      <w:r w:rsidRPr="00094769">
        <w:rPr>
          <w:rFonts w:ascii="Palatino Linotype" w:eastAsia="Calibri" w:hAnsi="Palatino Linotype"/>
          <w:lang w:val="es-MX"/>
        </w:rPr>
        <w:t xml:space="preserve">Así, es que </w:t>
      </w:r>
      <w:r w:rsidRPr="00094769">
        <w:rPr>
          <w:rFonts w:ascii="Palatino Linotype" w:hAnsi="Palatino Linotype"/>
          <w:lang w:val="es-ES_tradnl"/>
        </w:rPr>
        <w:t xml:space="preserve">el </w:t>
      </w:r>
      <w:r w:rsidRPr="00094769">
        <w:rPr>
          <w:rFonts w:ascii="Palatino Linotype" w:hAnsi="Palatino Linotype"/>
          <w:b/>
          <w:lang w:val="es-ES_tradnl"/>
        </w:rPr>
        <w:t>Sujeto Obligado</w:t>
      </w:r>
      <w:r w:rsidRPr="00094769">
        <w:rPr>
          <w:rFonts w:ascii="Palatino Linotype" w:hAnsi="Palatino Linotype"/>
          <w:lang w:val="es-ES_tradnl"/>
        </w:rPr>
        <w:t xml:space="preserve"> </w:t>
      </w:r>
      <w:r w:rsidRPr="00094769">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01D5E08" w14:textId="77777777" w:rsidR="0012070A" w:rsidRPr="00094769" w:rsidRDefault="0012070A" w:rsidP="0012070A">
      <w:pPr>
        <w:spacing w:line="360" w:lineRule="auto"/>
        <w:jc w:val="both"/>
        <w:rPr>
          <w:rFonts w:ascii="Palatino Linotype" w:eastAsia="Calibri" w:hAnsi="Palatino Linotype"/>
          <w:lang w:val="es-MX"/>
        </w:rPr>
      </w:pPr>
    </w:p>
    <w:p w14:paraId="21AD1899"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094769">
        <w:rPr>
          <w:rFonts w:ascii="Palatino Linotype" w:hAnsi="Palatino Linotype"/>
          <w:lang w:val="es-MX"/>
        </w:rPr>
        <w:lastRenderedPageBreak/>
        <w:t>Desclasificación de la Información, así como para la elaboración de Versiones Públicas, que literalmente expresan:</w:t>
      </w:r>
    </w:p>
    <w:p w14:paraId="08956832" w14:textId="77777777" w:rsidR="0012070A" w:rsidRPr="00094769" w:rsidRDefault="0012070A" w:rsidP="0012070A">
      <w:pPr>
        <w:rPr>
          <w:lang w:val="es-MX"/>
        </w:rPr>
      </w:pPr>
    </w:p>
    <w:p w14:paraId="66CB0BFF"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 xml:space="preserve">“Artículo 49. </w:t>
      </w:r>
      <w:r w:rsidRPr="00094769">
        <w:rPr>
          <w:rFonts w:ascii="Palatino Linotype" w:hAnsi="Palatino Linotype"/>
          <w:i/>
          <w:sz w:val="22"/>
          <w:szCs w:val="22"/>
          <w:lang w:val="es-MX" w:eastAsia="es-MX"/>
        </w:rPr>
        <w:t>Los Comités de Transparencia tendrán las siguientes atribuciones:</w:t>
      </w:r>
    </w:p>
    <w:p w14:paraId="16981A91"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VIII.</w:t>
      </w:r>
      <w:r w:rsidRPr="00094769">
        <w:rPr>
          <w:rFonts w:ascii="Palatino Linotype" w:hAnsi="Palatino Linotype"/>
          <w:i/>
          <w:sz w:val="22"/>
          <w:szCs w:val="22"/>
          <w:lang w:val="es-MX" w:eastAsia="es-MX"/>
        </w:rPr>
        <w:t xml:space="preserve"> Aprobar, modificar o revocar la clasificación de la información;</w:t>
      </w:r>
    </w:p>
    <w:p w14:paraId="643FF9DA" w14:textId="77777777" w:rsidR="0012070A" w:rsidRPr="00094769" w:rsidRDefault="0012070A" w:rsidP="0012070A">
      <w:pPr>
        <w:ind w:left="567" w:right="616"/>
        <w:jc w:val="both"/>
        <w:rPr>
          <w:rFonts w:ascii="Palatino Linotype" w:hAnsi="Palatino Linotype"/>
          <w:i/>
          <w:sz w:val="22"/>
          <w:szCs w:val="22"/>
          <w:lang w:val="es-MX" w:eastAsia="es-MX"/>
        </w:rPr>
      </w:pPr>
    </w:p>
    <w:p w14:paraId="0560FD7C"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Artículo 132.</w:t>
      </w:r>
      <w:r w:rsidRPr="00094769">
        <w:rPr>
          <w:rFonts w:ascii="Palatino Linotype" w:hAnsi="Palatino Linotype"/>
          <w:i/>
          <w:sz w:val="22"/>
          <w:szCs w:val="22"/>
          <w:lang w:val="es-MX" w:eastAsia="es-MX"/>
        </w:rPr>
        <w:t xml:space="preserve"> La clasificación de la información se llevará a cabo en el momento en que:</w:t>
      </w:r>
    </w:p>
    <w:p w14:paraId="74E936FD" w14:textId="77777777" w:rsidR="0012070A" w:rsidRPr="00094769" w:rsidRDefault="0012070A" w:rsidP="0012070A">
      <w:pPr>
        <w:ind w:left="567" w:right="616"/>
        <w:jc w:val="both"/>
        <w:rPr>
          <w:rFonts w:ascii="Palatino Linotype" w:hAnsi="Palatino Linotype"/>
          <w:b/>
          <w:i/>
          <w:sz w:val="22"/>
          <w:szCs w:val="22"/>
          <w:lang w:val="es-MX" w:eastAsia="es-MX"/>
        </w:rPr>
      </w:pPr>
    </w:p>
    <w:p w14:paraId="31EF89E9"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I.</w:t>
      </w:r>
      <w:r w:rsidRPr="00094769">
        <w:rPr>
          <w:rFonts w:ascii="Palatino Linotype" w:hAnsi="Palatino Linotype"/>
          <w:i/>
          <w:sz w:val="22"/>
          <w:szCs w:val="22"/>
          <w:lang w:val="es-MX" w:eastAsia="es-MX"/>
        </w:rPr>
        <w:t xml:space="preserve"> Se reciba una solicitud de acceso a la información;</w:t>
      </w:r>
    </w:p>
    <w:p w14:paraId="4D8A8F2D"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II.</w:t>
      </w:r>
      <w:r w:rsidRPr="00094769">
        <w:rPr>
          <w:rFonts w:ascii="Palatino Linotype" w:hAnsi="Palatino Linotype"/>
          <w:i/>
          <w:sz w:val="22"/>
          <w:szCs w:val="22"/>
          <w:lang w:val="es-MX" w:eastAsia="es-MX"/>
        </w:rPr>
        <w:t xml:space="preserve"> Se determine mediante resolución de autoridad competente; o</w:t>
      </w:r>
    </w:p>
    <w:p w14:paraId="57A3A1E4" w14:textId="77777777" w:rsidR="0012070A" w:rsidRPr="00094769" w:rsidRDefault="0012070A" w:rsidP="0012070A">
      <w:pPr>
        <w:ind w:left="567" w:right="616"/>
        <w:jc w:val="both"/>
        <w:rPr>
          <w:rFonts w:ascii="Palatino Linotype" w:hAnsi="Palatino Linotype"/>
          <w:b/>
          <w:i/>
          <w:sz w:val="22"/>
          <w:szCs w:val="22"/>
          <w:lang w:val="es-MX" w:eastAsia="es-MX"/>
        </w:rPr>
      </w:pPr>
      <w:r w:rsidRPr="00094769">
        <w:rPr>
          <w:rFonts w:ascii="Palatino Linotype" w:hAnsi="Palatino Linotype"/>
          <w:i/>
          <w:sz w:val="22"/>
          <w:szCs w:val="22"/>
          <w:lang w:val="es-MX" w:eastAsia="es-MX"/>
        </w:rPr>
        <w:t>III. Se generen versiones públicas para dar cumplimiento a las obligaciones de transparencia previstas en esta Ley.</w:t>
      </w:r>
      <w:r w:rsidRPr="00094769">
        <w:rPr>
          <w:rFonts w:ascii="Palatino Linotype" w:hAnsi="Palatino Linotype"/>
          <w:b/>
          <w:i/>
          <w:sz w:val="22"/>
          <w:szCs w:val="22"/>
          <w:lang w:val="es-MX" w:eastAsia="es-MX"/>
        </w:rPr>
        <w:t>”</w:t>
      </w:r>
    </w:p>
    <w:p w14:paraId="3B867AED" w14:textId="77777777" w:rsidR="0012070A" w:rsidRPr="00094769" w:rsidRDefault="0012070A" w:rsidP="0012070A">
      <w:pPr>
        <w:ind w:left="567" w:right="616"/>
        <w:jc w:val="both"/>
        <w:rPr>
          <w:rFonts w:ascii="Palatino Linotype" w:hAnsi="Palatino Linotype"/>
          <w:b/>
          <w:i/>
          <w:sz w:val="22"/>
          <w:szCs w:val="22"/>
          <w:lang w:val="es-MX" w:eastAsia="es-MX"/>
        </w:rPr>
      </w:pPr>
    </w:p>
    <w:p w14:paraId="31269A6F"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“Segundo.-</w:t>
      </w:r>
      <w:r w:rsidRPr="00094769">
        <w:rPr>
          <w:rFonts w:ascii="Palatino Linotype" w:hAnsi="Palatino Linotype"/>
          <w:i/>
          <w:sz w:val="22"/>
          <w:szCs w:val="22"/>
          <w:lang w:val="es-MX" w:eastAsia="es-MX"/>
        </w:rPr>
        <w:t xml:space="preserve"> Para efectos de los presentes Lineamientos Generales, se entenderá por:</w:t>
      </w:r>
    </w:p>
    <w:p w14:paraId="30FF60FA" w14:textId="77777777" w:rsidR="0012070A" w:rsidRPr="00094769" w:rsidRDefault="0012070A" w:rsidP="0012070A">
      <w:pPr>
        <w:ind w:left="567" w:right="616"/>
        <w:jc w:val="both"/>
        <w:rPr>
          <w:rFonts w:ascii="Palatino Linotype" w:hAnsi="Palatino Linotype"/>
          <w:i/>
          <w:sz w:val="22"/>
          <w:szCs w:val="22"/>
          <w:lang w:val="es-MX" w:eastAsia="es-MX"/>
        </w:rPr>
      </w:pPr>
    </w:p>
    <w:p w14:paraId="503829B1"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XVIII.</w:t>
      </w:r>
      <w:r w:rsidRPr="00094769">
        <w:rPr>
          <w:rFonts w:ascii="Palatino Linotype" w:hAnsi="Palatino Linotype"/>
          <w:i/>
          <w:sz w:val="22"/>
          <w:szCs w:val="22"/>
          <w:lang w:val="es-MX" w:eastAsia="es-MX"/>
        </w:rPr>
        <w:t xml:space="preserve"> </w:t>
      </w:r>
      <w:r w:rsidRPr="00094769">
        <w:rPr>
          <w:rFonts w:ascii="Palatino Linotype" w:hAnsi="Palatino Linotype"/>
          <w:b/>
          <w:i/>
          <w:sz w:val="22"/>
          <w:szCs w:val="22"/>
          <w:lang w:val="es-MX" w:eastAsia="es-MX"/>
        </w:rPr>
        <w:t>Versión pública:</w:t>
      </w:r>
      <w:r w:rsidRPr="00094769">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5A44119" w14:textId="77777777" w:rsidR="0012070A" w:rsidRPr="00094769" w:rsidRDefault="0012070A" w:rsidP="0012070A">
      <w:pPr>
        <w:ind w:left="567" w:right="616"/>
        <w:jc w:val="both"/>
        <w:rPr>
          <w:rFonts w:ascii="Palatino Linotype" w:hAnsi="Palatino Linotype"/>
          <w:b/>
          <w:i/>
          <w:sz w:val="22"/>
          <w:szCs w:val="22"/>
          <w:lang w:val="es-MX" w:eastAsia="es-MX"/>
        </w:rPr>
      </w:pPr>
    </w:p>
    <w:p w14:paraId="59620EBB"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Cuarto.</w:t>
      </w:r>
      <w:r w:rsidRPr="00094769">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1DC140C" w14:textId="77777777" w:rsidR="0012070A" w:rsidRPr="00094769" w:rsidRDefault="0012070A" w:rsidP="0012070A">
      <w:pPr>
        <w:ind w:left="567" w:right="616"/>
        <w:jc w:val="both"/>
        <w:rPr>
          <w:rFonts w:ascii="Palatino Linotype" w:hAnsi="Palatino Linotype"/>
          <w:i/>
          <w:sz w:val="22"/>
          <w:szCs w:val="22"/>
          <w:lang w:val="es-MX" w:eastAsia="es-MX"/>
        </w:rPr>
      </w:pPr>
    </w:p>
    <w:p w14:paraId="12F9CA5B"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13D4CF2A" w14:textId="77777777" w:rsidR="0012070A" w:rsidRPr="00094769" w:rsidRDefault="0012070A" w:rsidP="0012070A">
      <w:pPr>
        <w:ind w:left="567" w:right="616"/>
        <w:jc w:val="both"/>
        <w:rPr>
          <w:rFonts w:ascii="Palatino Linotype" w:hAnsi="Palatino Linotype"/>
          <w:b/>
          <w:i/>
          <w:sz w:val="22"/>
          <w:szCs w:val="22"/>
          <w:lang w:val="es-MX" w:eastAsia="es-MX"/>
        </w:rPr>
      </w:pPr>
    </w:p>
    <w:p w14:paraId="661C4A62"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Quinto.</w:t>
      </w:r>
      <w:r w:rsidRPr="00094769">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5E806B" w14:textId="77777777" w:rsidR="0012070A" w:rsidRPr="00094769" w:rsidRDefault="0012070A" w:rsidP="0012070A">
      <w:pPr>
        <w:ind w:left="567" w:right="616"/>
        <w:jc w:val="both"/>
        <w:rPr>
          <w:rFonts w:ascii="Palatino Linotype" w:hAnsi="Palatino Linotype"/>
          <w:b/>
          <w:i/>
          <w:sz w:val="22"/>
          <w:szCs w:val="22"/>
          <w:lang w:val="es-MX" w:eastAsia="es-MX"/>
        </w:rPr>
      </w:pPr>
    </w:p>
    <w:p w14:paraId="52717B83"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lastRenderedPageBreak/>
        <w:t>Sexto.</w:t>
      </w:r>
      <w:r w:rsidRPr="00094769">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69C26FB" w14:textId="77777777" w:rsidR="0012070A" w:rsidRPr="00094769" w:rsidRDefault="0012070A" w:rsidP="0012070A">
      <w:pPr>
        <w:ind w:left="567" w:right="616"/>
        <w:jc w:val="both"/>
        <w:rPr>
          <w:rFonts w:ascii="Palatino Linotype" w:hAnsi="Palatino Linotype"/>
          <w:i/>
          <w:sz w:val="22"/>
          <w:szCs w:val="22"/>
          <w:lang w:val="es-MX" w:eastAsia="es-MX"/>
        </w:rPr>
      </w:pPr>
    </w:p>
    <w:p w14:paraId="0F905596"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2F300C46" w14:textId="77777777" w:rsidR="0012070A" w:rsidRPr="00094769" w:rsidRDefault="0012070A" w:rsidP="0012070A">
      <w:pPr>
        <w:ind w:left="567" w:right="616"/>
        <w:jc w:val="both"/>
        <w:rPr>
          <w:rFonts w:ascii="Palatino Linotype" w:hAnsi="Palatino Linotype"/>
          <w:b/>
          <w:i/>
          <w:sz w:val="22"/>
          <w:szCs w:val="22"/>
          <w:lang w:val="es-MX" w:eastAsia="es-MX"/>
        </w:rPr>
      </w:pPr>
    </w:p>
    <w:p w14:paraId="6153966B"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Séptimo.</w:t>
      </w:r>
      <w:r w:rsidRPr="00094769">
        <w:rPr>
          <w:rFonts w:ascii="Palatino Linotype" w:hAnsi="Palatino Linotype"/>
          <w:i/>
          <w:sz w:val="22"/>
          <w:szCs w:val="22"/>
          <w:lang w:val="es-MX" w:eastAsia="es-MX"/>
        </w:rPr>
        <w:t xml:space="preserve"> La clasificación de la información se llevará a cabo en el momento en que:</w:t>
      </w:r>
    </w:p>
    <w:p w14:paraId="5EBE8187"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I.</w:t>
      </w:r>
      <w:r w:rsidRPr="00094769">
        <w:rPr>
          <w:rFonts w:ascii="Palatino Linotype" w:hAnsi="Palatino Linotype"/>
          <w:i/>
          <w:sz w:val="22"/>
          <w:szCs w:val="22"/>
          <w:lang w:val="es-MX" w:eastAsia="es-MX"/>
        </w:rPr>
        <w:t xml:space="preserve"> Se reciba una solicitud de acceso a la información;</w:t>
      </w:r>
    </w:p>
    <w:p w14:paraId="4D7BFF25" w14:textId="77777777" w:rsidR="0012070A" w:rsidRPr="00094769" w:rsidRDefault="0012070A" w:rsidP="0012070A">
      <w:pPr>
        <w:ind w:left="567" w:right="616"/>
        <w:jc w:val="both"/>
        <w:rPr>
          <w:rFonts w:ascii="Palatino Linotype" w:hAnsi="Palatino Linotype"/>
          <w:b/>
          <w:i/>
          <w:sz w:val="22"/>
          <w:szCs w:val="22"/>
          <w:lang w:val="es-MX" w:eastAsia="es-MX"/>
        </w:rPr>
      </w:pPr>
    </w:p>
    <w:p w14:paraId="28F805E2"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II.</w:t>
      </w:r>
      <w:r w:rsidRPr="00094769">
        <w:rPr>
          <w:rFonts w:ascii="Palatino Linotype" w:hAnsi="Palatino Linotype"/>
          <w:i/>
          <w:sz w:val="22"/>
          <w:szCs w:val="22"/>
          <w:lang w:val="es-MX" w:eastAsia="es-MX"/>
        </w:rPr>
        <w:t xml:space="preserve"> Se determine mediante resolución de autoridad competente, o</w:t>
      </w:r>
    </w:p>
    <w:p w14:paraId="4E0687F7"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III.</w:t>
      </w:r>
      <w:r w:rsidRPr="00094769">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6B9AF8E7" w14:textId="77777777" w:rsidR="0012070A" w:rsidRPr="00094769" w:rsidRDefault="0012070A" w:rsidP="0012070A">
      <w:pPr>
        <w:ind w:left="567" w:right="616"/>
        <w:jc w:val="both"/>
        <w:rPr>
          <w:rFonts w:ascii="Palatino Linotype" w:hAnsi="Palatino Linotype"/>
          <w:i/>
          <w:sz w:val="22"/>
          <w:szCs w:val="22"/>
          <w:lang w:val="es-MX" w:eastAsia="es-MX"/>
        </w:rPr>
      </w:pPr>
    </w:p>
    <w:p w14:paraId="334B9E85"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770D1DAB" w14:textId="77777777" w:rsidR="0012070A" w:rsidRPr="00094769" w:rsidRDefault="0012070A" w:rsidP="0012070A">
      <w:pPr>
        <w:ind w:left="567" w:right="616"/>
        <w:jc w:val="both"/>
        <w:rPr>
          <w:rFonts w:ascii="Palatino Linotype" w:hAnsi="Palatino Linotype"/>
          <w:b/>
          <w:i/>
          <w:sz w:val="22"/>
          <w:szCs w:val="22"/>
          <w:lang w:val="es-MX" w:eastAsia="es-MX"/>
        </w:rPr>
      </w:pPr>
    </w:p>
    <w:p w14:paraId="4D3822A8"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Octavo.</w:t>
      </w:r>
      <w:r w:rsidRPr="00094769">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D96527B" w14:textId="77777777" w:rsidR="0012070A" w:rsidRPr="00094769" w:rsidRDefault="0012070A" w:rsidP="0012070A">
      <w:pPr>
        <w:ind w:left="567" w:right="616"/>
        <w:jc w:val="both"/>
        <w:rPr>
          <w:rFonts w:ascii="Palatino Linotype" w:hAnsi="Palatino Linotype"/>
          <w:i/>
          <w:sz w:val="22"/>
          <w:szCs w:val="22"/>
          <w:lang w:val="es-MX" w:eastAsia="es-MX"/>
        </w:rPr>
      </w:pPr>
    </w:p>
    <w:p w14:paraId="0AE73585"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62FCD41B"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1861F0C5" w14:textId="77777777" w:rsidR="0012070A" w:rsidRPr="00094769" w:rsidRDefault="0012070A" w:rsidP="0012070A">
      <w:pPr>
        <w:ind w:left="567" w:right="616"/>
        <w:jc w:val="both"/>
        <w:rPr>
          <w:rFonts w:ascii="Palatino Linotype" w:hAnsi="Palatino Linotype"/>
          <w:i/>
          <w:sz w:val="22"/>
          <w:szCs w:val="22"/>
          <w:lang w:val="es-MX" w:eastAsia="es-MX"/>
        </w:rPr>
      </w:pPr>
    </w:p>
    <w:p w14:paraId="005E6AB2"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12FD9D3" w14:textId="77777777" w:rsidR="0012070A" w:rsidRPr="00094769" w:rsidRDefault="0012070A" w:rsidP="0012070A">
      <w:pPr>
        <w:ind w:left="567" w:right="616"/>
        <w:jc w:val="both"/>
        <w:rPr>
          <w:rFonts w:ascii="Palatino Linotype" w:hAnsi="Palatino Linotype"/>
          <w:i/>
          <w:sz w:val="22"/>
          <w:szCs w:val="22"/>
          <w:lang w:val="es-MX" w:eastAsia="es-MX"/>
        </w:rPr>
      </w:pPr>
    </w:p>
    <w:p w14:paraId="63C43F1B"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7AB5D3A9" w14:textId="77777777" w:rsidR="0012070A" w:rsidRPr="00094769" w:rsidRDefault="0012070A" w:rsidP="0012070A">
      <w:pPr>
        <w:ind w:left="567" w:right="616"/>
        <w:jc w:val="both"/>
        <w:rPr>
          <w:rFonts w:ascii="Palatino Linotype" w:hAnsi="Palatino Linotype"/>
          <w:b/>
          <w:i/>
          <w:sz w:val="22"/>
          <w:szCs w:val="22"/>
          <w:lang w:val="es-MX" w:eastAsia="es-MX"/>
        </w:rPr>
      </w:pPr>
    </w:p>
    <w:p w14:paraId="2C85E6F8"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Noveno.</w:t>
      </w:r>
      <w:r w:rsidRPr="00094769">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w:t>
      </w:r>
      <w:r w:rsidRPr="00094769">
        <w:rPr>
          <w:rFonts w:ascii="Palatino Linotype" w:hAnsi="Palatino Linotype"/>
          <w:i/>
          <w:sz w:val="22"/>
          <w:szCs w:val="22"/>
          <w:lang w:val="es-MX" w:eastAsia="es-MX"/>
        </w:rPr>
        <w:lastRenderedPageBreak/>
        <w:t>fundando y motivando la clasificación de las partes o secciones que se testen, siguiendo los procedimientos establecidos en el Capítulo IX de los presentes lineamientos.</w:t>
      </w:r>
    </w:p>
    <w:p w14:paraId="27FA7337" w14:textId="77777777" w:rsidR="0012070A" w:rsidRPr="00094769" w:rsidRDefault="0012070A" w:rsidP="0012070A">
      <w:pPr>
        <w:ind w:left="567" w:right="616"/>
        <w:jc w:val="both"/>
        <w:rPr>
          <w:rFonts w:ascii="Palatino Linotype" w:hAnsi="Palatino Linotype"/>
          <w:b/>
          <w:i/>
          <w:sz w:val="22"/>
          <w:szCs w:val="22"/>
          <w:lang w:val="es-MX" w:eastAsia="es-MX"/>
        </w:rPr>
      </w:pPr>
    </w:p>
    <w:p w14:paraId="4E22C485"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b/>
          <w:i/>
          <w:sz w:val="22"/>
          <w:szCs w:val="22"/>
          <w:lang w:val="es-MX" w:eastAsia="es-MX"/>
        </w:rPr>
        <w:t>Décimo.</w:t>
      </w:r>
      <w:r w:rsidRPr="00094769">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6D9FD5B" w14:textId="77777777" w:rsidR="0012070A" w:rsidRPr="00094769" w:rsidRDefault="0012070A" w:rsidP="0012070A">
      <w:pPr>
        <w:ind w:left="567" w:right="616"/>
        <w:jc w:val="both"/>
        <w:rPr>
          <w:rFonts w:ascii="Palatino Linotype" w:hAnsi="Palatino Linotype"/>
          <w:i/>
          <w:sz w:val="22"/>
          <w:szCs w:val="22"/>
          <w:lang w:val="es-MX" w:eastAsia="es-MX"/>
        </w:rPr>
      </w:pPr>
    </w:p>
    <w:p w14:paraId="13D95A23" w14:textId="77777777" w:rsidR="0012070A" w:rsidRPr="00094769" w:rsidRDefault="0012070A" w:rsidP="0012070A">
      <w:pPr>
        <w:ind w:left="567" w:right="616"/>
        <w:jc w:val="both"/>
        <w:rPr>
          <w:rFonts w:ascii="Palatino Linotype" w:hAnsi="Palatino Linotype"/>
          <w:i/>
          <w:sz w:val="22"/>
          <w:szCs w:val="22"/>
          <w:lang w:val="es-MX" w:eastAsia="es-MX"/>
        </w:rPr>
      </w:pPr>
      <w:r w:rsidRPr="00094769">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1463AE89" w14:textId="77777777" w:rsidR="0012070A" w:rsidRPr="00094769" w:rsidRDefault="0012070A" w:rsidP="0012070A">
      <w:pPr>
        <w:ind w:left="567" w:right="616"/>
        <w:jc w:val="both"/>
        <w:rPr>
          <w:rFonts w:ascii="Palatino Linotype" w:hAnsi="Palatino Linotype"/>
          <w:b/>
          <w:i/>
          <w:sz w:val="22"/>
          <w:szCs w:val="22"/>
          <w:lang w:val="es-MX" w:eastAsia="es-MX"/>
        </w:rPr>
      </w:pPr>
    </w:p>
    <w:p w14:paraId="4F2B6BA0" w14:textId="77777777" w:rsidR="0012070A" w:rsidRPr="00094769" w:rsidRDefault="0012070A" w:rsidP="0012070A">
      <w:pPr>
        <w:ind w:left="567" w:right="616"/>
        <w:jc w:val="both"/>
        <w:rPr>
          <w:rFonts w:ascii="Palatino Linotype" w:hAnsi="Palatino Linotype"/>
          <w:b/>
          <w:lang w:val="es-MX" w:eastAsia="es-MX"/>
        </w:rPr>
      </w:pPr>
      <w:r w:rsidRPr="00094769">
        <w:rPr>
          <w:rFonts w:ascii="Palatino Linotype" w:hAnsi="Palatino Linotype"/>
          <w:b/>
          <w:i/>
          <w:sz w:val="22"/>
          <w:szCs w:val="22"/>
          <w:lang w:val="es-MX" w:eastAsia="es-MX"/>
        </w:rPr>
        <w:t>Décimo primero.</w:t>
      </w:r>
      <w:r w:rsidRPr="00094769">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94769">
        <w:rPr>
          <w:rFonts w:ascii="Palatino Linotype" w:hAnsi="Palatino Linotype"/>
          <w:b/>
          <w:i/>
          <w:sz w:val="22"/>
          <w:szCs w:val="22"/>
          <w:lang w:val="es-MX" w:eastAsia="es-MX"/>
        </w:rPr>
        <w:t>”</w:t>
      </w:r>
    </w:p>
    <w:p w14:paraId="4FCCB942" w14:textId="77777777" w:rsidR="0012070A" w:rsidRPr="00094769" w:rsidRDefault="0012070A" w:rsidP="0012070A">
      <w:pPr>
        <w:spacing w:line="360" w:lineRule="auto"/>
        <w:jc w:val="both"/>
        <w:rPr>
          <w:rFonts w:ascii="Palatino Linotype" w:hAnsi="Palatino Linotype" w:cs="Arial"/>
          <w:i/>
          <w:lang w:val="es-MX" w:eastAsia="es-MX"/>
        </w:rPr>
      </w:pPr>
    </w:p>
    <w:p w14:paraId="7BEBF489"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094769">
        <w:rPr>
          <w:rFonts w:ascii="Palatino Linotype" w:hAnsi="Palatino Linotype"/>
          <w:lang w:val="es-ES_tradnl"/>
        </w:rPr>
        <w:t>el Sujeto Obligado</w:t>
      </w:r>
      <w:r w:rsidRPr="00094769">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6112AA0" w14:textId="77777777" w:rsidR="0012070A" w:rsidRPr="00094769" w:rsidRDefault="0012070A" w:rsidP="0012070A">
      <w:pPr>
        <w:spacing w:after="160" w:line="259" w:lineRule="auto"/>
        <w:rPr>
          <w:rFonts w:asciiTheme="minorHAnsi" w:eastAsiaTheme="minorHAnsi" w:hAnsiTheme="minorHAnsi" w:cstheme="minorBidi"/>
          <w:sz w:val="22"/>
          <w:szCs w:val="22"/>
          <w:lang w:val="es-MX" w:eastAsia="en-US"/>
        </w:rPr>
      </w:pPr>
    </w:p>
    <w:p w14:paraId="7B9D0387"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lastRenderedPageBreak/>
        <w:t>Por tanto, la fundamentación y motivación consiste en la obligación que tiene todo ente público de expresar los preceptos jurídicos aplicables al asunto motivo del acto y las razones o argumentos de su actuar.</w:t>
      </w:r>
    </w:p>
    <w:p w14:paraId="519D5637" w14:textId="77777777" w:rsidR="0012070A" w:rsidRPr="00094769" w:rsidRDefault="0012070A" w:rsidP="0012070A">
      <w:pPr>
        <w:rPr>
          <w:lang w:val="es-MX"/>
        </w:rPr>
      </w:pPr>
    </w:p>
    <w:p w14:paraId="1C0165B5"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Al respecto, el máximo tribunal del país ha establecido jurisprudencia respecto a qué debe entenderse por fundamentación y motivación, en los siguientes términos:</w:t>
      </w:r>
    </w:p>
    <w:p w14:paraId="7CA78F8A" w14:textId="77777777" w:rsidR="0012070A" w:rsidRPr="00094769" w:rsidRDefault="0012070A" w:rsidP="0012070A">
      <w:pPr>
        <w:spacing w:after="160" w:line="259" w:lineRule="auto"/>
        <w:rPr>
          <w:rFonts w:asciiTheme="minorHAnsi" w:eastAsiaTheme="minorHAnsi" w:hAnsiTheme="minorHAnsi" w:cstheme="minorBidi"/>
          <w:sz w:val="22"/>
          <w:szCs w:val="22"/>
          <w:lang w:val="es-MX" w:eastAsia="en-US"/>
        </w:rPr>
      </w:pPr>
    </w:p>
    <w:p w14:paraId="433AA994" w14:textId="77777777" w:rsidR="0012070A" w:rsidRPr="00094769" w:rsidRDefault="0012070A" w:rsidP="0012070A">
      <w:pPr>
        <w:ind w:left="567" w:right="616"/>
        <w:jc w:val="both"/>
        <w:rPr>
          <w:rFonts w:ascii="Palatino Linotype" w:hAnsi="Palatino Linotype"/>
          <w:i/>
          <w:sz w:val="22"/>
          <w:szCs w:val="22"/>
          <w:lang w:val="es-MX"/>
        </w:rPr>
      </w:pPr>
      <w:r w:rsidRPr="00094769">
        <w:rPr>
          <w:rFonts w:ascii="Palatino Linotype" w:hAnsi="Palatino Linotype"/>
          <w:b/>
          <w:i/>
          <w:sz w:val="22"/>
          <w:szCs w:val="22"/>
          <w:lang w:val="es-MX"/>
        </w:rPr>
        <w:t xml:space="preserve">FUNDAMENTACIÓN Y MOTIVACIÓN. </w:t>
      </w:r>
      <w:r w:rsidRPr="00094769">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C8863C3" w14:textId="77777777" w:rsidR="0012070A" w:rsidRPr="00094769" w:rsidRDefault="0012070A" w:rsidP="0012070A">
      <w:pPr>
        <w:ind w:left="567" w:right="616"/>
        <w:jc w:val="both"/>
        <w:rPr>
          <w:rFonts w:ascii="Palatino Linotype" w:hAnsi="Palatino Linotype"/>
          <w:i/>
          <w:sz w:val="22"/>
          <w:szCs w:val="22"/>
          <w:lang w:val="es-MX"/>
        </w:rPr>
      </w:pPr>
    </w:p>
    <w:p w14:paraId="5768173D" w14:textId="77777777" w:rsidR="0012070A" w:rsidRPr="00094769" w:rsidRDefault="0012070A" w:rsidP="0012070A">
      <w:pPr>
        <w:rPr>
          <w:lang w:val="es-MX"/>
        </w:rPr>
      </w:pPr>
    </w:p>
    <w:p w14:paraId="4F507279"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C447AB3" w14:textId="77777777" w:rsidR="0012070A" w:rsidRPr="00094769" w:rsidRDefault="0012070A" w:rsidP="0012070A">
      <w:pPr>
        <w:spacing w:line="360" w:lineRule="auto"/>
        <w:jc w:val="both"/>
        <w:rPr>
          <w:rFonts w:ascii="Palatino Linotype" w:hAnsi="Palatino Linotype"/>
          <w:lang w:val="es-MX"/>
        </w:rPr>
      </w:pPr>
    </w:p>
    <w:p w14:paraId="4A2410B3" w14:textId="77777777"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4A17D8A" w14:textId="77777777" w:rsidR="0012070A" w:rsidRPr="00094769" w:rsidRDefault="0012070A" w:rsidP="0012070A">
      <w:pPr>
        <w:rPr>
          <w:lang w:val="es-MX"/>
        </w:rPr>
      </w:pPr>
    </w:p>
    <w:p w14:paraId="225A0129" w14:textId="77777777" w:rsidR="0012070A" w:rsidRPr="00094769" w:rsidRDefault="0012070A" w:rsidP="0012070A">
      <w:pPr>
        <w:ind w:left="567" w:right="616"/>
        <w:jc w:val="both"/>
        <w:rPr>
          <w:rFonts w:ascii="Palatino Linotype" w:hAnsi="Palatino Linotype"/>
          <w:i/>
          <w:sz w:val="22"/>
          <w:szCs w:val="22"/>
          <w:lang w:val="es-MX"/>
        </w:rPr>
      </w:pPr>
      <w:r w:rsidRPr="00094769">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094769">
        <w:rPr>
          <w:rFonts w:ascii="Palatino Linotype" w:hAnsi="Palatino Linotype"/>
          <w:i/>
          <w:sz w:val="22"/>
          <w:szCs w:val="22"/>
          <w:lang w:val="es-MX"/>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w:t>
      </w:r>
      <w:r w:rsidRPr="00094769">
        <w:rPr>
          <w:rFonts w:ascii="Palatino Linotype" w:hAnsi="Palatino Linotype"/>
          <w:i/>
          <w:sz w:val="22"/>
          <w:szCs w:val="22"/>
          <w:lang w:val="es-MX"/>
        </w:rPr>
        <w:lastRenderedPageBreak/>
        <w:t>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1EB3631" w14:textId="77777777" w:rsidR="0012070A" w:rsidRPr="00094769" w:rsidRDefault="0012070A" w:rsidP="0012070A">
      <w:pPr>
        <w:spacing w:line="360" w:lineRule="auto"/>
        <w:jc w:val="both"/>
        <w:rPr>
          <w:rFonts w:ascii="Palatino Linotype" w:hAnsi="Palatino Linotype"/>
          <w:lang w:val="es-MX"/>
        </w:rPr>
      </w:pPr>
    </w:p>
    <w:p w14:paraId="678AEDC2" w14:textId="1D2E01E3" w:rsidR="0012070A" w:rsidRPr="00094769" w:rsidRDefault="0012070A" w:rsidP="0012070A">
      <w:pPr>
        <w:spacing w:line="360" w:lineRule="auto"/>
        <w:jc w:val="both"/>
        <w:rPr>
          <w:rFonts w:ascii="Palatino Linotype" w:hAnsi="Palatino Linotype"/>
          <w:lang w:val="es-MX"/>
        </w:rPr>
      </w:pPr>
      <w:r w:rsidRPr="00094769">
        <w:rPr>
          <w:rFonts w:ascii="Palatino Linotype" w:hAnsi="Palatino Linotype"/>
          <w:lang w:val="es-MX"/>
        </w:rPr>
        <w:t>En consecuencia, la fundamentación y motivación implica que</w:t>
      </w:r>
      <w:r w:rsidR="004A32AF">
        <w:rPr>
          <w:rFonts w:ascii="Palatino Linotype" w:hAnsi="Palatino Linotype"/>
          <w:lang w:val="es-MX"/>
        </w:rPr>
        <w:t>,</w:t>
      </w:r>
      <w:r w:rsidRPr="00094769">
        <w:rPr>
          <w:rFonts w:ascii="Palatino Linotype" w:hAnsi="Palatino Linotype"/>
          <w:lang w:val="es-MX"/>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7D02456" w14:textId="77777777" w:rsidR="0012070A" w:rsidRPr="00094769" w:rsidRDefault="0012070A" w:rsidP="0012070A">
      <w:pPr>
        <w:spacing w:line="360" w:lineRule="auto"/>
        <w:jc w:val="both"/>
        <w:rPr>
          <w:rFonts w:ascii="Palatino Linotype" w:hAnsi="Palatino Linotype"/>
          <w:lang w:val="es-MX"/>
        </w:rPr>
      </w:pPr>
    </w:p>
    <w:p w14:paraId="670ED08E" w14:textId="77777777" w:rsidR="0012070A" w:rsidRPr="00094769" w:rsidRDefault="0012070A" w:rsidP="0012070A">
      <w:pPr>
        <w:spacing w:line="360" w:lineRule="auto"/>
        <w:jc w:val="both"/>
        <w:rPr>
          <w:rFonts w:ascii="Palatino Linotype" w:hAnsi="Palatino Linotype"/>
        </w:rPr>
      </w:pPr>
      <w:r w:rsidRPr="00094769">
        <w:rPr>
          <w:rFonts w:ascii="Palatino Linotype" w:hAnsi="Palatino Linotype"/>
        </w:rPr>
        <w:t>Por lo tanto, la entrega de documentos en su versión pública debe acompañarse necesariamente del Acuerdo del Comité de Transparencia del Sujeto Obligado</w:t>
      </w:r>
      <w:r w:rsidRPr="00094769">
        <w:rPr>
          <w:rFonts w:ascii="Palatino Linotype" w:hAnsi="Palatino Linotype"/>
          <w:b/>
        </w:rPr>
        <w:t xml:space="preserve"> </w:t>
      </w:r>
      <w:r w:rsidRPr="00094769">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7540C62" w14:textId="77777777" w:rsidR="0012070A" w:rsidRDefault="0012070A" w:rsidP="00691D96">
      <w:pPr>
        <w:spacing w:line="360" w:lineRule="auto"/>
        <w:jc w:val="both"/>
        <w:rPr>
          <w:rFonts w:ascii="Palatino Linotype" w:hAnsi="Palatino Linotype" w:cs="Arial"/>
          <w:lang w:eastAsia="es-MX"/>
        </w:rPr>
      </w:pPr>
    </w:p>
    <w:p w14:paraId="3EE2C9CF" w14:textId="1ECF1165" w:rsidR="00691D96" w:rsidRPr="009D0958" w:rsidRDefault="00691D96" w:rsidP="00691D96">
      <w:pPr>
        <w:spacing w:line="360" w:lineRule="auto"/>
        <w:jc w:val="both"/>
        <w:rPr>
          <w:rFonts w:ascii="Palatino Linotype" w:hAnsi="Palatino Linotype"/>
        </w:rPr>
      </w:pPr>
      <w:r w:rsidRPr="009D0958">
        <w:rPr>
          <w:rFonts w:ascii="Palatino Linotype" w:hAnsi="Palatino Linotype" w:cs="Arial"/>
          <w:lang w:eastAsia="es-MX"/>
        </w:rPr>
        <w:lastRenderedPageBreak/>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sidR="0012070A">
        <w:rPr>
          <w:rFonts w:ascii="Palatino Linotype" w:hAnsi="Palatino Linotype"/>
          <w:i/>
        </w:rPr>
        <w:t>segund</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sidR="0012070A">
        <w:rPr>
          <w:rFonts w:ascii="Palatino Linotype" w:hAnsi="Palatino Linotype"/>
          <w:b/>
        </w:rPr>
        <w:t>MODIFI</w:t>
      </w:r>
      <w:r>
        <w:rPr>
          <w:rFonts w:ascii="Palatino Linotype" w:hAnsi="Palatino Linotype"/>
          <w:b/>
        </w:rPr>
        <w:t>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4A32AF" w:rsidRPr="004A32AF">
        <w:rPr>
          <w:rFonts w:ascii="Palatino Linotype" w:hAnsi="Palatino Linotype" w:cs="Arial"/>
          <w:b/>
        </w:rPr>
        <w:t>00021/IMCUFIDECOCOTI/IP/2025</w:t>
      </w:r>
      <w:r w:rsidRPr="009D0958">
        <w:rPr>
          <w:rFonts w:ascii="Palatino Linotype" w:hAnsi="Palatino Linotype" w:cs="Arial"/>
        </w:rPr>
        <w:t xml:space="preserve">, </w:t>
      </w:r>
      <w:r w:rsidRPr="009D0958">
        <w:rPr>
          <w:rFonts w:ascii="Palatino Linotype" w:hAnsi="Palatino Linotype"/>
        </w:rPr>
        <w:t>que ha sido materia del presente fallo.</w:t>
      </w:r>
    </w:p>
    <w:p w14:paraId="1D64EE61" w14:textId="77777777" w:rsidR="00691D96" w:rsidRPr="009D0958" w:rsidRDefault="00691D96" w:rsidP="00691D96">
      <w:pPr>
        <w:spacing w:line="360" w:lineRule="auto"/>
        <w:jc w:val="both"/>
        <w:rPr>
          <w:rFonts w:ascii="Palatino Linotype" w:hAnsi="Palatino Linotype"/>
        </w:rPr>
      </w:pPr>
    </w:p>
    <w:p w14:paraId="4419D375" w14:textId="77777777" w:rsidR="00691D96" w:rsidRPr="009D0958" w:rsidRDefault="00691D96" w:rsidP="00691D96">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406699C9" w14:textId="77777777" w:rsidR="00691D96" w:rsidRPr="009D0958" w:rsidRDefault="00691D96" w:rsidP="00691D96">
      <w:pPr>
        <w:spacing w:line="360" w:lineRule="auto"/>
        <w:jc w:val="both"/>
        <w:rPr>
          <w:rFonts w:ascii="Palatino Linotype" w:hAnsi="Palatino Linotype"/>
        </w:rPr>
      </w:pPr>
    </w:p>
    <w:p w14:paraId="3B267B6D" w14:textId="77777777" w:rsidR="00691D96" w:rsidRPr="009D0958" w:rsidRDefault="00691D96" w:rsidP="00691D96">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4E59E268" w14:textId="77777777" w:rsidR="00691D96" w:rsidRPr="009D0958" w:rsidRDefault="00691D96" w:rsidP="00691D96">
      <w:pPr>
        <w:rPr>
          <w:rFonts w:ascii="Palatino Linotype" w:hAnsi="Palatino Linotype"/>
          <w:lang w:val="es-ES_tradnl"/>
        </w:rPr>
      </w:pPr>
    </w:p>
    <w:p w14:paraId="694F9981" w14:textId="61B553DA" w:rsidR="00691D96" w:rsidRPr="009D0958" w:rsidRDefault="00691D96" w:rsidP="00691D96">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sidR="0012070A">
        <w:rPr>
          <w:rFonts w:ascii="Palatino Linotype" w:hAnsi="Palatino Linotype" w:cs="Arial"/>
          <w:b/>
        </w:rPr>
        <w:t>MODIFI</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4A32AF" w:rsidRPr="004A32AF">
        <w:rPr>
          <w:rFonts w:ascii="Palatino Linotype" w:hAnsi="Palatino Linotype" w:cs="Arial"/>
          <w:b/>
        </w:rPr>
        <w:t>00021/IMCUFIDECOCOTI/IP/2025</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Pr="009D0958">
        <w:rPr>
          <w:rFonts w:ascii="Palatino Linotype" w:hAnsi="Palatino Linotype" w:cs="Arial"/>
          <w:b/>
        </w:rPr>
        <w:t>QUINTO</w:t>
      </w:r>
      <w:r w:rsidRPr="009D0958">
        <w:rPr>
          <w:rFonts w:ascii="Palatino Linotype" w:hAnsi="Palatino Linotype" w:cs="Arial"/>
        </w:rPr>
        <w:t xml:space="preserve"> de esta resolución.</w:t>
      </w:r>
    </w:p>
    <w:p w14:paraId="2DC0CF05"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rPr>
      </w:pPr>
    </w:p>
    <w:p w14:paraId="58D2AE88" w14:textId="71987CC1" w:rsidR="00691D96" w:rsidRPr="009D0958" w:rsidRDefault="00691D96" w:rsidP="00691D96">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Pr="009D0958">
        <w:rPr>
          <w:rFonts w:ascii="Palatino Linotype" w:hAnsi="Palatino Linotype" w:cs="Arial"/>
          <w:b/>
        </w:rPr>
        <w:t xml:space="preserve">QUINTO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Pr>
          <w:rFonts w:ascii="Palatino Linotype" w:hAnsi="Palatino Linotype" w:cs="Arial"/>
        </w:rPr>
        <w:t xml:space="preserve"> de ser procedente en versión pública</w:t>
      </w:r>
      <w:r w:rsidR="00D93D76">
        <w:rPr>
          <w:rFonts w:ascii="Palatino Linotype" w:hAnsi="Palatino Linotype" w:cs="Arial"/>
        </w:rPr>
        <w:t>,</w:t>
      </w:r>
      <w:r>
        <w:rPr>
          <w:rFonts w:ascii="Palatino Linotype" w:hAnsi="Palatino Linotype" w:cs="Arial"/>
        </w:rPr>
        <w:t xml:space="preserve"> </w:t>
      </w:r>
      <w:r w:rsidR="00D93D76">
        <w:rPr>
          <w:rFonts w:ascii="Palatino Linotype" w:hAnsi="Palatino Linotype" w:cs="Arial"/>
        </w:rPr>
        <w:t xml:space="preserve">de </w:t>
      </w:r>
      <w:r>
        <w:rPr>
          <w:rFonts w:ascii="Palatino Linotype" w:hAnsi="Palatino Linotype" w:cs="Arial"/>
        </w:rPr>
        <w:t>lo siguiente</w:t>
      </w:r>
      <w:r w:rsidRPr="009D0958">
        <w:rPr>
          <w:rFonts w:ascii="Palatino Linotype" w:hAnsi="Palatino Linotype" w:cs="Arial"/>
        </w:rPr>
        <w:t>:</w:t>
      </w:r>
    </w:p>
    <w:p w14:paraId="257E8EB2" w14:textId="77777777" w:rsidR="00691D96" w:rsidRPr="009D0958" w:rsidRDefault="00691D96" w:rsidP="00691D96">
      <w:pPr>
        <w:spacing w:line="360" w:lineRule="auto"/>
        <w:jc w:val="both"/>
        <w:rPr>
          <w:rFonts w:ascii="Palatino Linotype" w:hAnsi="Palatino Linotype" w:cs="Arial"/>
        </w:rPr>
      </w:pPr>
    </w:p>
    <w:p w14:paraId="76214D28" w14:textId="63DB7773" w:rsidR="00D93D76" w:rsidRDefault="00D93D76" w:rsidP="005561B7">
      <w:pPr>
        <w:pStyle w:val="Prrafodelista"/>
        <w:numPr>
          <w:ilvl w:val="0"/>
          <w:numId w:val="6"/>
        </w:numPr>
        <w:spacing w:after="240" w:line="276" w:lineRule="auto"/>
        <w:jc w:val="both"/>
        <w:rPr>
          <w:rFonts w:ascii="Palatino Linotype" w:eastAsiaTheme="minorHAnsi" w:hAnsi="Palatino Linotype"/>
          <w:lang w:eastAsia="es-MX"/>
        </w:rPr>
      </w:pPr>
      <w:r>
        <w:rPr>
          <w:rFonts w:ascii="Palatino Linotype" w:eastAsiaTheme="minorHAnsi" w:hAnsi="Palatino Linotype"/>
          <w:lang w:eastAsia="es-MX"/>
        </w:rPr>
        <w:t>El o los documentos en donde conste</w:t>
      </w:r>
      <w:r w:rsidR="004A32AF">
        <w:rPr>
          <w:rFonts w:ascii="Palatino Linotype" w:eastAsiaTheme="minorHAnsi" w:hAnsi="Palatino Linotype"/>
          <w:lang w:eastAsia="es-MX"/>
        </w:rPr>
        <w:t>,</w:t>
      </w:r>
      <w:r>
        <w:rPr>
          <w:rFonts w:ascii="Palatino Linotype" w:eastAsiaTheme="minorHAnsi" w:hAnsi="Palatino Linotype"/>
          <w:lang w:eastAsia="es-MX"/>
        </w:rPr>
        <w:t xml:space="preserve"> </w:t>
      </w:r>
      <w:r w:rsidR="004A32AF">
        <w:rPr>
          <w:rFonts w:ascii="Palatino Linotype" w:eastAsiaTheme="minorHAnsi" w:hAnsi="Palatino Linotype"/>
          <w:lang w:eastAsia="es-MX"/>
        </w:rPr>
        <w:t>todo el</w:t>
      </w:r>
      <w:r w:rsidRPr="00D93D76">
        <w:rPr>
          <w:rFonts w:ascii="Palatino Linotype" w:eastAsiaTheme="minorHAnsi" w:hAnsi="Palatino Linotype"/>
          <w:lang w:eastAsia="es-MX"/>
        </w:rPr>
        <w:t xml:space="preserve"> </w:t>
      </w:r>
      <w:r w:rsidR="004A32AF">
        <w:rPr>
          <w:rFonts w:ascii="Palatino Linotype" w:eastAsiaTheme="minorHAnsi" w:hAnsi="Palatino Linotype"/>
          <w:lang w:eastAsia="es-MX"/>
        </w:rPr>
        <w:t xml:space="preserve">personal adscrito al </w:t>
      </w:r>
      <w:r w:rsidR="004A32AF" w:rsidRPr="004A32AF">
        <w:rPr>
          <w:rFonts w:ascii="Palatino Linotype" w:eastAsiaTheme="minorHAnsi" w:hAnsi="Palatino Linotype"/>
          <w:b/>
          <w:bCs/>
          <w:lang w:eastAsia="es-MX"/>
        </w:rPr>
        <w:t>Sujeto Obligado</w:t>
      </w:r>
      <w:r w:rsidRPr="00D93D76">
        <w:rPr>
          <w:rFonts w:ascii="Palatino Linotype" w:eastAsiaTheme="minorHAnsi" w:hAnsi="Palatino Linotype"/>
          <w:lang w:eastAsia="es-MX"/>
        </w:rPr>
        <w:t xml:space="preserve"> que</w:t>
      </w:r>
      <w:r w:rsidR="004A32AF">
        <w:rPr>
          <w:rFonts w:ascii="Palatino Linotype" w:eastAsiaTheme="minorHAnsi" w:hAnsi="Palatino Linotype"/>
          <w:lang w:eastAsia="es-MX"/>
        </w:rPr>
        <w:t xml:space="preserve"> labora al</w:t>
      </w:r>
      <w:bookmarkStart w:id="7" w:name="_Hlk194404031"/>
      <w:r w:rsidR="004A32AF">
        <w:rPr>
          <w:rFonts w:ascii="Palatino Linotype" w:eastAsiaTheme="minorHAnsi" w:hAnsi="Palatino Linotype"/>
          <w:lang w:eastAsia="es-MX"/>
        </w:rPr>
        <w:t xml:space="preserve"> veinticuatro de febrero de dos mil veinticinco</w:t>
      </w:r>
      <w:r>
        <w:rPr>
          <w:rFonts w:ascii="Palatino Linotype" w:eastAsiaTheme="minorHAnsi" w:hAnsi="Palatino Linotype"/>
          <w:lang w:eastAsia="es-MX"/>
        </w:rPr>
        <w:t>.</w:t>
      </w:r>
      <w:r w:rsidRPr="00D93D76">
        <w:rPr>
          <w:rFonts w:ascii="Palatino Linotype" w:eastAsiaTheme="minorHAnsi" w:hAnsi="Palatino Linotype"/>
          <w:lang w:eastAsia="es-MX"/>
        </w:rPr>
        <w:t xml:space="preserve"> </w:t>
      </w:r>
      <w:bookmarkEnd w:id="7"/>
    </w:p>
    <w:p w14:paraId="5E5E4C3F" w14:textId="77777777" w:rsidR="00691D96" w:rsidRDefault="00691D96" w:rsidP="00691D96">
      <w:pPr>
        <w:spacing w:after="240"/>
        <w:ind w:left="284" w:right="283"/>
        <w:jc w:val="both"/>
        <w:rPr>
          <w:rFonts w:ascii="Palatino Linotype" w:hAnsi="Palatino Linotype" w:cs="Arial"/>
          <w:i/>
          <w:sz w:val="23"/>
          <w:szCs w:val="23"/>
        </w:rPr>
      </w:pPr>
      <w:r w:rsidRPr="005B700B">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w:t>
      </w:r>
      <w:r w:rsidRPr="005B700B">
        <w:rPr>
          <w:rFonts w:ascii="Palatino Linotype" w:hAnsi="Palatino Linotype" w:cs="Arial"/>
          <w:i/>
          <w:sz w:val="23"/>
          <w:szCs w:val="23"/>
        </w:rPr>
        <w:lastRenderedPageBreak/>
        <w:t xml:space="preserve">Acceso a la Información Pública del Estado de México y Municipios, en el que funde y motive las razones sobre los datos que se supriman o eliminen y se ponga a disposición del </w:t>
      </w:r>
      <w:r w:rsidRPr="005B700B">
        <w:rPr>
          <w:rFonts w:ascii="Palatino Linotype" w:hAnsi="Palatino Linotype" w:cs="Arial"/>
          <w:b/>
          <w:i/>
          <w:sz w:val="23"/>
          <w:szCs w:val="23"/>
        </w:rPr>
        <w:t>Recurrente</w:t>
      </w:r>
      <w:r w:rsidRPr="005B700B">
        <w:rPr>
          <w:rFonts w:ascii="Palatino Linotype" w:hAnsi="Palatino Linotype" w:cs="Arial"/>
          <w:i/>
          <w:sz w:val="23"/>
          <w:szCs w:val="23"/>
        </w:rPr>
        <w:t>.</w:t>
      </w:r>
    </w:p>
    <w:p w14:paraId="629FE959" w14:textId="77777777" w:rsidR="00691D96" w:rsidRPr="00F269A2" w:rsidRDefault="00691D96" w:rsidP="00691D96">
      <w:pPr>
        <w:pStyle w:val="Sinespaciado"/>
      </w:pPr>
    </w:p>
    <w:p w14:paraId="2BC7DAB8"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1E8116"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szCs w:val="28"/>
          <w:lang w:val="es-ES_tradnl"/>
        </w:rPr>
      </w:pPr>
    </w:p>
    <w:p w14:paraId="064B0455" w14:textId="77777777" w:rsidR="00691D96" w:rsidRPr="009D0958" w:rsidRDefault="00691D96" w:rsidP="00691D96">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06F1F478"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b/>
          <w:szCs w:val="28"/>
        </w:rPr>
      </w:pPr>
    </w:p>
    <w:p w14:paraId="003BBC8E" w14:textId="3E21AF89" w:rsidR="002E227E" w:rsidRDefault="00691D96" w:rsidP="00691D96">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w:t>
      </w:r>
      <w:r w:rsidRPr="009D0958">
        <w:rPr>
          <w:rFonts w:ascii="Palatino Linotype" w:hAnsi="Palatino Linotype" w:cs="Arial"/>
        </w:rPr>
        <w:lastRenderedPageBreak/>
        <w:t>por el artículo 196, de la Ley de Transparencia y Acceso a la Información Pública del Estado de México y Municipios.</w:t>
      </w:r>
      <w:bookmarkEnd w:id="6"/>
    </w:p>
    <w:p w14:paraId="2AB742F9" w14:textId="77777777" w:rsidR="00691D96" w:rsidRPr="00691D96" w:rsidRDefault="00691D96" w:rsidP="00691D96">
      <w:pPr>
        <w:autoSpaceDE w:val="0"/>
        <w:autoSpaceDN w:val="0"/>
        <w:adjustRightInd w:val="0"/>
        <w:spacing w:line="360" w:lineRule="auto"/>
        <w:ind w:right="49"/>
        <w:jc w:val="both"/>
        <w:rPr>
          <w:rFonts w:ascii="Palatino Linotype" w:hAnsi="Palatino Linotype" w:cs="Arial"/>
        </w:rPr>
      </w:pPr>
    </w:p>
    <w:p w14:paraId="2C59DFB6" w14:textId="40D539D0"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01640F">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6E6B4F">
        <w:rPr>
          <w:rFonts w:ascii="Palatino Linotype" w:hAnsi="Palatino Linotype" w:cs="Arial"/>
        </w:rPr>
        <w:t>DÉCIM</w:t>
      </w:r>
      <w:r w:rsidR="00230100">
        <w:rPr>
          <w:rFonts w:ascii="Palatino Linotype" w:hAnsi="Palatino Linotype" w:cs="Arial"/>
        </w:rPr>
        <w:t>A</w:t>
      </w:r>
      <w:r w:rsidR="006E6B4F">
        <w:rPr>
          <w:rFonts w:ascii="Palatino Linotype" w:hAnsi="Palatino Linotype" w:cs="Arial"/>
        </w:rPr>
        <w:t xml:space="preserve"> </w:t>
      </w:r>
      <w:r w:rsidR="00185CD9">
        <w:rPr>
          <w:rFonts w:ascii="Palatino Linotype" w:hAnsi="Palatino Linotype" w:cs="Arial"/>
        </w:rPr>
        <w:t>QUIN</w:t>
      </w:r>
      <w:r w:rsidR="00115ABC">
        <w:rPr>
          <w:rFonts w:ascii="Palatino Linotype" w:hAnsi="Palatino Linotype" w:cs="Arial"/>
        </w:rPr>
        <w:t>T</w:t>
      </w:r>
      <w:r w:rsidR="006E6B4F">
        <w:rPr>
          <w:rFonts w:ascii="Palatino Linotype" w:hAnsi="Palatino Linotype" w:cs="Arial"/>
        </w:rPr>
        <w:t>A</w:t>
      </w:r>
      <w:r w:rsidR="00230100" w:rsidRPr="00284821">
        <w:rPr>
          <w:rFonts w:ascii="Palatino Linotype" w:hAnsi="Palatino Linotype" w:cs="Arial"/>
        </w:rPr>
        <w:t xml:space="preserve"> SESIÓN ORDINARIA CEL</w:t>
      </w:r>
      <w:r w:rsidR="00663AF3" w:rsidRPr="00284821">
        <w:rPr>
          <w:rFonts w:ascii="Palatino Linotype" w:hAnsi="Palatino Linotype" w:cs="Arial"/>
        </w:rPr>
        <w:t xml:space="preserve">EBRADA EL </w:t>
      </w:r>
      <w:r w:rsidR="00185CD9">
        <w:rPr>
          <w:rFonts w:ascii="Palatino Linotype" w:hAnsi="Palatino Linotype" w:cs="Arial"/>
        </w:rPr>
        <w:t xml:space="preserve">TREINTA </w:t>
      </w:r>
      <w:r w:rsidR="00115ABC" w:rsidRPr="00115ABC">
        <w:rPr>
          <w:rFonts w:ascii="Palatino Linotype" w:hAnsi="Palatino Linotype" w:cs="Arial"/>
        </w:rPr>
        <w:t xml:space="preserve">DE ABRIL </w:t>
      </w:r>
      <w:r w:rsidR="00115ABC" w:rsidRPr="00230100">
        <w:rPr>
          <w:rFonts w:ascii="Palatino Linotype" w:hAnsi="Palatino Linotype" w:cs="Arial"/>
        </w:rPr>
        <w:t xml:space="preserve">DOS </w:t>
      </w:r>
      <w:r w:rsidR="00230100" w:rsidRPr="00230100">
        <w:rPr>
          <w:rFonts w:ascii="Palatino Linotype" w:hAnsi="Palatino Linotype" w:cs="Arial"/>
        </w:rPr>
        <w:t>MIL VEINTICINCO</w:t>
      </w:r>
      <w:r w:rsidRPr="00374FE7">
        <w:rPr>
          <w:rFonts w:ascii="Palatino Linotype" w:eastAsiaTheme="minorHAnsi" w:hAnsi="Palatino Linotype" w:cs="Arial"/>
          <w:lang w:val="es-MX" w:eastAsia="en-US"/>
        </w:rPr>
        <w:t>, ANTE EL SECRETARIO TÉCNICO</w:t>
      </w:r>
      <w:r w:rsidR="007D0B4D">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BE68FA">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4A8E931" w:rsidR="0029071C" w:rsidRPr="003E56C9" w:rsidRDefault="0029071C" w:rsidP="003E56C9"/>
    <w:sectPr w:rsidR="0029071C" w:rsidRPr="003E56C9" w:rsidSect="0043515A">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62FC2" w14:textId="77777777" w:rsidR="003766F3" w:rsidRDefault="003766F3" w:rsidP="000B5E25">
      <w:r>
        <w:separator/>
      </w:r>
    </w:p>
  </w:endnote>
  <w:endnote w:type="continuationSeparator" w:id="0">
    <w:p w14:paraId="60373F15" w14:textId="77777777" w:rsidR="003766F3" w:rsidRDefault="003766F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561B7">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561B7">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561B7">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561B7">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EC779" w14:textId="77777777" w:rsidR="003766F3" w:rsidRDefault="003766F3" w:rsidP="000B5E25">
      <w:r>
        <w:separator/>
      </w:r>
    </w:p>
  </w:footnote>
  <w:footnote w:type="continuationSeparator" w:id="0">
    <w:p w14:paraId="476A2F02" w14:textId="77777777" w:rsidR="003766F3" w:rsidRDefault="003766F3" w:rsidP="000B5E25">
      <w:r>
        <w:continuationSeparator/>
      </w:r>
    </w:p>
  </w:footnote>
  <w:footnote w:id="1">
    <w:p w14:paraId="4AA2E1CD" w14:textId="77777777" w:rsidR="00CA53FA" w:rsidRPr="00F07740" w:rsidRDefault="00CA53F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A53FA" w:rsidRPr="00946E1F" w:rsidRDefault="00CA53F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624EBA0" w14:textId="77777777" w:rsidR="0012070A" w:rsidRDefault="0012070A" w:rsidP="0012070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hyperlink r:id="rId3">
        <w:r>
          <w:rPr>
            <w:rFonts w:ascii="Palatino Linotype" w:eastAsia="Palatino Linotype" w:hAnsi="Palatino Linotype" w:cs="Palatino Linotype"/>
            <w:color w:val="0563C1"/>
            <w:sz w:val="16"/>
            <w:szCs w:val="16"/>
            <w:u w:val="single"/>
          </w:rPr>
          <w:t>https://www.osfem.gob.mx/assets/conocenos/marco_normativo/acuerdos/2024/acuerdo_04_anexodos.pdf</w:t>
        </w:r>
      </w:hyperlink>
    </w:p>
  </w:footnote>
  <w:footnote w:id="3">
    <w:p w14:paraId="277B26A1" w14:textId="77777777" w:rsidR="004A32AF" w:rsidRPr="000B7109" w:rsidRDefault="004A32AF" w:rsidP="004A32AF">
      <w:pPr>
        <w:pStyle w:val="Textonotapie"/>
        <w:jc w:val="both"/>
        <w:rPr>
          <w:rFonts w:ascii="Palatino Linotype" w:hAnsi="Palatino Linotype"/>
          <w:i/>
          <w:sz w:val="18"/>
          <w:szCs w:val="18"/>
        </w:rPr>
      </w:pPr>
      <w:r w:rsidRPr="000B7109">
        <w:rPr>
          <w:rStyle w:val="Refdenotaalpie"/>
          <w:rFonts w:ascii="Palatino Linotype" w:hAnsi="Palatino Linotype"/>
          <w:b/>
          <w:i/>
          <w:sz w:val="18"/>
          <w:szCs w:val="18"/>
        </w:rPr>
        <w:footnoteRef/>
      </w:r>
      <w:r w:rsidRPr="000B7109">
        <w:rPr>
          <w:rFonts w:ascii="Palatino Linotype" w:hAnsi="Palatino Linotype"/>
          <w:b/>
          <w:i/>
          <w:sz w:val="18"/>
          <w:szCs w:val="18"/>
        </w:rPr>
        <w:t xml:space="preserve"> Artículo 92.</w:t>
      </w:r>
      <w:r w:rsidRPr="000B7109">
        <w:rPr>
          <w:rFonts w:ascii="Palatino Linotype" w:hAnsi="Palatino Linotype"/>
          <w:i/>
          <w:sz w:val="18"/>
          <w:szCs w:val="18"/>
        </w:rPr>
        <w:t xml:space="preserve"> (…)</w:t>
      </w:r>
    </w:p>
    <w:p w14:paraId="3A85A87C" w14:textId="77777777" w:rsidR="004A32AF" w:rsidRPr="00F265B7" w:rsidRDefault="004A32AF" w:rsidP="004A32AF">
      <w:pPr>
        <w:pStyle w:val="Textonotapie"/>
        <w:jc w:val="both"/>
        <w:rPr>
          <w:rFonts w:ascii="Palatino Linotype" w:hAnsi="Palatino Linotype"/>
          <w:bCs/>
          <w:i/>
          <w:sz w:val="18"/>
          <w:szCs w:val="18"/>
        </w:rPr>
      </w:pPr>
      <w:r w:rsidRPr="00F265B7">
        <w:rPr>
          <w:rFonts w:ascii="Palatino Linotype" w:hAnsi="Palatino Linotype"/>
          <w:b/>
          <w:bCs/>
          <w:i/>
          <w:sz w:val="18"/>
          <w:szCs w:val="18"/>
        </w:rPr>
        <w:t xml:space="preserve">VII. </w:t>
      </w:r>
      <w:r w:rsidRPr="00F265B7">
        <w:rPr>
          <w:rFonts w:ascii="Palatino Linotype" w:hAnsi="Palatino Linotype"/>
          <w:bCs/>
          <w:i/>
          <w:sz w:val="18"/>
          <w:szCs w:val="18"/>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349D6727" w14:textId="77777777" w:rsidR="004A32AF" w:rsidRDefault="004A32AF" w:rsidP="004A32AF">
      <w:pPr>
        <w:pStyle w:val="Textonotapie"/>
        <w:jc w:val="both"/>
        <w:rPr>
          <w:rFonts w:ascii="Palatino Linotype" w:hAnsi="Palatino Linotype"/>
          <w:bCs/>
          <w:i/>
          <w:sz w:val="18"/>
          <w:szCs w:val="18"/>
        </w:rPr>
      </w:pPr>
    </w:p>
    <w:p w14:paraId="158B0F4C" w14:textId="77777777" w:rsidR="004A32AF" w:rsidRPr="000B7109" w:rsidRDefault="004A32AF" w:rsidP="004A32AF">
      <w:pPr>
        <w:pStyle w:val="Textonotapie"/>
        <w:jc w:val="both"/>
        <w:rPr>
          <w:rFonts w:ascii="Palatino Linotype" w:hAnsi="Palatino Linotype"/>
          <w:i/>
          <w:sz w:val="18"/>
          <w:szCs w:val="18"/>
        </w:rPr>
      </w:pPr>
      <w:r w:rsidRPr="00F265B7">
        <w:rPr>
          <w:rFonts w:ascii="Palatino Linotype" w:hAnsi="Palatino Linotype"/>
          <w:bCs/>
          <w:i/>
          <w:sz w:val="18"/>
          <w:szCs w:val="18"/>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12D69F11" w14:textId="77777777" w:rsidR="004A32AF" w:rsidRPr="000B7109" w:rsidRDefault="004A32AF" w:rsidP="004A32AF">
      <w:pPr>
        <w:pStyle w:val="Textonotapie"/>
        <w:jc w:val="both"/>
        <w:rPr>
          <w:rFonts w:ascii="Palatino Linotype" w:hAnsi="Palatino Linotype"/>
          <w:i/>
          <w:sz w:val="18"/>
          <w:szCs w:val="18"/>
        </w:rPr>
      </w:pPr>
      <w:r w:rsidRPr="000B7109">
        <w:rPr>
          <w:rFonts w:ascii="Palatino Linotype" w:hAnsi="Palatino Linotype"/>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A53FA" w:rsidRDefault="005561B7">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7D0B18AB" w14:textId="77777777" w:rsidTr="00BA27FC">
      <w:tc>
        <w:tcPr>
          <w:tcW w:w="2551" w:type="dxa"/>
          <w:shd w:val="clear" w:color="auto" w:fill="auto"/>
          <w:vAlign w:val="center"/>
        </w:tcPr>
        <w:p w14:paraId="0E184FBC"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150A21D6"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D2218">
            <w:rPr>
              <w:rFonts w:ascii="Palatino Linotype" w:hAnsi="Palatino Linotype"/>
              <w:sz w:val="22"/>
              <w:szCs w:val="22"/>
              <w:lang w:val="es-ES_tradnl"/>
            </w:rPr>
            <w:t>2</w:t>
          </w:r>
          <w:r w:rsidR="007C181E">
            <w:rPr>
              <w:rFonts w:ascii="Palatino Linotype" w:hAnsi="Palatino Linotype"/>
              <w:sz w:val="22"/>
              <w:szCs w:val="22"/>
              <w:lang w:val="es-ES_tradnl"/>
            </w:rPr>
            <w:t>720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58149F82" w14:textId="77777777" w:rsidTr="00BA27FC">
      <w:trPr>
        <w:trHeight w:val="228"/>
      </w:trPr>
      <w:tc>
        <w:tcPr>
          <w:tcW w:w="2551" w:type="dxa"/>
          <w:shd w:val="clear" w:color="auto" w:fill="auto"/>
          <w:vAlign w:val="center"/>
        </w:tcPr>
        <w:p w14:paraId="2DBE5EC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5DBBE411" w:rsidR="00CA53FA" w:rsidRPr="0029071C" w:rsidRDefault="00FD2218" w:rsidP="00AB55A1">
          <w:pPr>
            <w:spacing w:line="276" w:lineRule="auto"/>
            <w:jc w:val="right"/>
            <w:rPr>
              <w:rFonts w:ascii="Palatino Linotype" w:hAnsi="Palatino Linotype"/>
              <w:sz w:val="22"/>
              <w:szCs w:val="22"/>
            </w:rPr>
          </w:pPr>
          <w:r w:rsidRPr="00FD2218">
            <w:rPr>
              <w:rFonts w:ascii="Palatino Linotype" w:hAnsi="Palatino Linotype"/>
              <w:sz w:val="22"/>
              <w:szCs w:val="22"/>
            </w:rPr>
            <w:t>Sistema Municipal Para el Desarrollo Integral de la Familia de Toluca</w:t>
          </w:r>
        </w:p>
      </w:tc>
    </w:tr>
    <w:tr w:rsidR="00CA53FA" w:rsidRPr="008F2CCC" w14:paraId="73D5FF2A" w14:textId="77777777" w:rsidTr="00BA27FC">
      <w:tc>
        <w:tcPr>
          <w:tcW w:w="2551" w:type="dxa"/>
          <w:shd w:val="clear" w:color="auto" w:fill="auto"/>
          <w:vAlign w:val="center"/>
        </w:tcPr>
        <w:p w14:paraId="2A38288D"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A53FA" w:rsidRPr="001779E0" w:rsidRDefault="005561B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53180D23" w14:textId="77777777" w:rsidTr="00BA27FC">
      <w:tc>
        <w:tcPr>
          <w:tcW w:w="2551" w:type="dxa"/>
          <w:shd w:val="clear" w:color="auto" w:fill="auto"/>
          <w:vAlign w:val="center"/>
        </w:tcPr>
        <w:p w14:paraId="51394AA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737549A0"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D2218">
            <w:rPr>
              <w:rFonts w:ascii="Palatino Linotype" w:hAnsi="Palatino Linotype"/>
              <w:sz w:val="22"/>
              <w:szCs w:val="22"/>
              <w:lang w:val="es-ES_tradnl"/>
            </w:rPr>
            <w:t>2</w:t>
          </w:r>
          <w:r w:rsidR="007C181E">
            <w:rPr>
              <w:rFonts w:ascii="Palatino Linotype" w:hAnsi="Palatino Linotype"/>
              <w:sz w:val="22"/>
              <w:szCs w:val="22"/>
              <w:lang w:val="es-ES_tradnl"/>
            </w:rPr>
            <w:t>720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390D27D0" w14:textId="77777777" w:rsidTr="00BA27FC">
      <w:tc>
        <w:tcPr>
          <w:tcW w:w="2551" w:type="dxa"/>
          <w:shd w:val="clear" w:color="auto" w:fill="auto"/>
          <w:vAlign w:val="center"/>
        </w:tcPr>
        <w:p w14:paraId="5CBCE46F"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057CEC7F" w:rsidR="00CA53FA" w:rsidRPr="006D30E6" w:rsidRDefault="005561B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A53FA" w:rsidRPr="008F2CCC" w14:paraId="233C19E4" w14:textId="77777777" w:rsidTr="00BA27FC">
      <w:trPr>
        <w:trHeight w:val="228"/>
      </w:trPr>
      <w:tc>
        <w:tcPr>
          <w:tcW w:w="2551" w:type="dxa"/>
          <w:shd w:val="clear" w:color="auto" w:fill="auto"/>
          <w:vAlign w:val="center"/>
        </w:tcPr>
        <w:p w14:paraId="48BD3678"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4FDA57D" w14:textId="77777777" w:rsidR="007C181E" w:rsidRDefault="007C181E" w:rsidP="00AB55A1">
          <w:pPr>
            <w:spacing w:line="276" w:lineRule="auto"/>
            <w:jc w:val="right"/>
            <w:rPr>
              <w:rFonts w:ascii="Palatino Linotype" w:hAnsi="Palatino Linotype"/>
              <w:sz w:val="22"/>
              <w:szCs w:val="22"/>
            </w:rPr>
          </w:pPr>
          <w:r w:rsidRPr="007C181E">
            <w:rPr>
              <w:rFonts w:ascii="Palatino Linotype" w:hAnsi="Palatino Linotype"/>
              <w:sz w:val="22"/>
              <w:szCs w:val="22"/>
            </w:rPr>
            <w:t xml:space="preserve">Instituto Municipal de Cultura Física </w:t>
          </w:r>
        </w:p>
        <w:p w14:paraId="1DDF869E" w14:textId="03998E88" w:rsidR="00CA53FA" w:rsidRPr="0029071C" w:rsidRDefault="007C181E" w:rsidP="00AB55A1">
          <w:pPr>
            <w:spacing w:line="276" w:lineRule="auto"/>
            <w:jc w:val="right"/>
            <w:rPr>
              <w:rFonts w:ascii="Palatino Linotype" w:hAnsi="Palatino Linotype"/>
              <w:sz w:val="22"/>
              <w:szCs w:val="22"/>
            </w:rPr>
          </w:pPr>
          <w:r w:rsidRPr="007C181E">
            <w:rPr>
              <w:rFonts w:ascii="Palatino Linotype" w:hAnsi="Palatino Linotype"/>
              <w:sz w:val="22"/>
              <w:szCs w:val="22"/>
            </w:rPr>
            <w:t>y Deporte de Cocotitlán</w:t>
          </w:r>
        </w:p>
      </w:tc>
    </w:tr>
    <w:tr w:rsidR="00CA53FA" w:rsidRPr="008F2CCC" w14:paraId="196A93C9" w14:textId="77777777" w:rsidTr="00BA27FC">
      <w:tc>
        <w:tcPr>
          <w:tcW w:w="2551" w:type="dxa"/>
          <w:shd w:val="clear" w:color="auto" w:fill="auto"/>
          <w:vAlign w:val="center"/>
        </w:tcPr>
        <w:p w14:paraId="53BA0609"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A53FA" w:rsidRPr="008F2CCC" w14:paraId="5010D2D3" w14:textId="77777777" w:rsidTr="00BA27FC">
      <w:tc>
        <w:tcPr>
          <w:tcW w:w="2551" w:type="dxa"/>
          <w:shd w:val="clear" w:color="auto" w:fill="auto"/>
          <w:vAlign w:val="center"/>
        </w:tcPr>
        <w:p w14:paraId="28B43ED1" w14:textId="77777777" w:rsidR="00CA53FA" w:rsidRPr="008F5DAE" w:rsidRDefault="00CA53F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A53FA" w:rsidRPr="00BA27FC" w:rsidRDefault="00CA53FA" w:rsidP="00BA27FC">
          <w:pPr>
            <w:spacing w:line="276" w:lineRule="auto"/>
            <w:rPr>
              <w:rFonts w:ascii="Palatino Linotype" w:hAnsi="Palatino Linotype"/>
              <w:sz w:val="14"/>
              <w:szCs w:val="22"/>
              <w:lang w:val="es-ES_tradnl"/>
            </w:rPr>
          </w:pPr>
        </w:p>
      </w:tc>
    </w:tr>
  </w:tbl>
  <w:p w14:paraId="3074D17A" w14:textId="77777777" w:rsidR="00CA53FA" w:rsidRPr="009F1AB6" w:rsidRDefault="005561B7">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visibility:visible;mso-wrap-style:square" o:bullet="t">
        <v:imagedata r:id="rId1" o:title=""/>
      </v:shape>
    </w:pict>
  </w:numPicBullet>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672BDD"/>
    <w:multiLevelType w:val="hybridMultilevel"/>
    <w:tmpl w:val="B066E6A0"/>
    <w:lvl w:ilvl="0" w:tplc="080A0007">
      <w:start w:val="1"/>
      <w:numFmt w:val="bullet"/>
      <w:lvlText w:val=""/>
      <w:lvlPicBulletId w:val="0"/>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052E6"/>
    <w:rsid w:val="000062CE"/>
    <w:rsid w:val="000120BC"/>
    <w:rsid w:val="0001640F"/>
    <w:rsid w:val="00023A5D"/>
    <w:rsid w:val="00032D08"/>
    <w:rsid w:val="0003374C"/>
    <w:rsid w:val="00036F8B"/>
    <w:rsid w:val="00037B15"/>
    <w:rsid w:val="00054E04"/>
    <w:rsid w:val="000572E9"/>
    <w:rsid w:val="00070516"/>
    <w:rsid w:val="00070547"/>
    <w:rsid w:val="00071173"/>
    <w:rsid w:val="00073BC8"/>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3D4F"/>
    <w:rsid w:val="000C43CE"/>
    <w:rsid w:val="000C49B8"/>
    <w:rsid w:val="000C5FDF"/>
    <w:rsid w:val="000C615C"/>
    <w:rsid w:val="000D3AD4"/>
    <w:rsid w:val="000E592F"/>
    <w:rsid w:val="000F16BA"/>
    <w:rsid w:val="000F48D5"/>
    <w:rsid w:val="00101AD8"/>
    <w:rsid w:val="00102570"/>
    <w:rsid w:val="0010712B"/>
    <w:rsid w:val="00107603"/>
    <w:rsid w:val="00115ABC"/>
    <w:rsid w:val="0012070A"/>
    <w:rsid w:val="00123996"/>
    <w:rsid w:val="0012510D"/>
    <w:rsid w:val="00126CCD"/>
    <w:rsid w:val="00130316"/>
    <w:rsid w:val="00137D13"/>
    <w:rsid w:val="001424E1"/>
    <w:rsid w:val="0014397A"/>
    <w:rsid w:val="00143F6E"/>
    <w:rsid w:val="00151D4C"/>
    <w:rsid w:val="00152CA2"/>
    <w:rsid w:val="001558F3"/>
    <w:rsid w:val="00170AA7"/>
    <w:rsid w:val="00185CD9"/>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1EE8"/>
    <w:rsid w:val="002777D8"/>
    <w:rsid w:val="002848F7"/>
    <w:rsid w:val="0029071C"/>
    <w:rsid w:val="0029219E"/>
    <w:rsid w:val="002934B4"/>
    <w:rsid w:val="00295B3F"/>
    <w:rsid w:val="002A040B"/>
    <w:rsid w:val="002A0AF4"/>
    <w:rsid w:val="002A4B43"/>
    <w:rsid w:val="002A676F"/>
    <w:rsid w:val="002B17F9"/>
    <w:rsid w:val="002B1A86"/>
    <w:rsid w:val="002B48AD"/>
    <w:rsid w:val="002B7930"/>
    <w:rsid w:val="002C0BE5"/>
    <w:rsid w:val="002C240F"/>
    <w:rsid w:val="002D17B8"/>
    <w:rsid w:val="002D32D2"/>
    <w:rsid w:val="002D61F7"/>
    <w:rsid w:val="002D6656"/>
    <w:rsid w:val="002D6E4B"/>
    <w:rsid w:val="002E00B6"/>
    <w:rsid w:val="002E227E"/>
    <w:rsid w:val="002E2D87"/>
    <w:rsid w:val="002E3085"/>
    <w:rsid w:val="002E4785"/>
    <w:rsid w:val="002F2080"/>
    <w:rsid w:val="002F3B20"/>
    <w:rsid w:val="00305594"/>
    <w:rsid w:val="003059E0"/>
    <w:rsid w:val="00307006"/>
    <w:rsid w:val="0030701F"/>
    <w:rsid w:val="0031472B"/>
    <w:rsid w:val="00320F38"/>
    <w:rsid w:val="00321CC2"/>
    <w:rsid w:val="0032287D"/>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766F3"/>
    <w:rsid w:val="003804E8"/>
    <w:rsid w:val="00380D3E"/>
    <w:rsid w:val="003815AB"/>
    <w:rsid w:val="00386D38"/>
    <w:rsid w:val="00391AD0"/>
    <w:rsid w:val="00396DB6"/>
    <w:rsid w:val="00397B41"/>
    <w:rsid w:val="003A1AF3"/>
    <w:rsid w:val="003A2B8C"/>
    <w:rsid w:val="003A4C68"/>
    <w:rsid w:val="003B0FAC"/>
    <w:rsid w:val="003B1C85"/>
    <w:rsid w:val="003B3537"/>
    <w:rsid w:val="003B70B0"/>
    <w:rsid w:val="003C6409"/>
    <w:rsid w:val="003E21A7"/>
    <w:rsid w:val="003E56C9"/>
    <w:rsid w:val="003F171B"/>
    <w:rsid w:val="003F424E"/>
    <w:rsid w:val="003F689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97EBF"/>
    <w:rsid w:val="004A32AF"/>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4043"/>
    <w:rsid w:val="00524A8D"/>
    <w:rsid w:val="00530C84"/>
    <w:rsid w:val="0053555D"/>
    <w:rsid w:val="0054391A"/>
    <w:rsid w:val="005472E8"/>
    <w:rsid w:val="00555C87"/>
    <w:rsid w:val="005561B7"/>
    <w:rsid w:val="005617B4"/>
    <w:rsid w:val="00563B39"/>
    <w:rsid w:val="0056568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1D96"/>
    <w:rsid w:val="0069468D"/>
    <w:rsid w:val="00694976"/>
    <w:rsid w:val="006A6362"/>
    <w:rsid w:val="006B2F26"/>
    <w:rsid w:val="006B321A"/>
    <w:rsid w:val="006B418F"/>
    <w:rsid w:val="006B7174"/>
    <w:rsid w:val="006C3931"/>
    <w:rsid w:val="006D1713"/>
    <w:rsid w:val="006D30E6"/>
    <w:rsid w:val="006D3A03"/>
    <w:rsid w:val="006E08FA"/>
    <w:rsid w:val="006E6B4F"/>
    <w:rsid w:val="006F2978"/>
    <w:rsid w:val="006F29CD"/>
    <w:rsid w:val="006F358C"/>
    <w:rsid w:val="006F5F93"/>
    <w:rsid w:val="0070129E"/>
    <w:rsid w:val="00710FED"/>
    <w:rsid w:val="00716632"/>
    <w:rsid w:val="00717A0C"/>
    <w:rsid w:val="00723B5A"/>
    <w:rsid w:val="0072658E"/>
    <w:rsid w:val="0073117F"/>
    <w:rsid w:val="00732345"/>
    <w:rsid w:val="0074342A"/>
    <w:rsid w:val="0074517D"/>
    <w:rsid w:val="007528A6"/>
    <w:rsid w:val="007532C7"/>
    <w:rsid w:val="00756F04"/>
    <w:rsid w:val="00757D60"/>
    <w:rsid w:val="00770F18"/>
    <w:rsid w:val="007764BB"/>
    <w:rsid w:val="007828DC"/>
    <w:rsid w:val="0079783C"/>
    <w:rsid w:val="007A118C"/>
    <w:rsid w:val="007A37FE"/>
    <w:rsid w:val="007A5ED4"/>
    <w:rsid w:val="007B1893"/>
    <w:rsid w:val="007B489A"/>
    <w:rsid w:val="007C181E"/>
    <w:rsid w:val="007C1D5B"/>
    <w:rsid w:val="007C3435"/>
    <w:rsid w:val="007C35A4"/>
    <w:rsid w:val="007C3E46"/>
    <w:rsid w:val="007D0B4D"/>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5D3"/>
    <w:rsid w:val="0082270E"/>
    <w:rsid w:val="0082458F"/>
    <w:rsid w:val="0083345F"/>
    <w:rsid w:val="00835035"/>
    <w:rsid w:val="008500D3"/>
    <w:rsid w:val="00852668"/>
    <w:rsid w:val="00855F8D"/>
    <w:rsid w:val="008578BF"/>
    <w:rsid w:val="008609C8"/>
    <w:rsid w:val="008660D6"/>
    <w:rsid w:val="00872C8F"/>
    <w:rsid w:val="00890836"/>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1B5F"/>
    <w:rsid w:val="008E7F32"/>
    <w:rsid w:val="008F148C"/>
    <w:rsid w:val="008F1B63"/>
    <w:rsid w:val="008F5DAE"/>
    <w:rsid w:val="00900615"/>
    <w:rsid w:val="00900C9B"/>
    <w:rsid w:val="0090126C"/>
    <w:rsid w:val="00901487"/>
    <w:rsid w:val="00911FDE"/>
    <w:rsid w:val="0091701F"/>
    <w:rsid w:val="00921551"/>
    <w:rsid w:val="009217E8"/>
    <w:rsid w:val="0092579A"/>
    <w:rsid w:val="00925B0B"/>
    <w:rsid w:val="00926C44"/>
    <w:rsid w:val="00932315"/>
    <w:rsid w:val="0093645B"/>
    <w:rsid w:val="0094195D"/>
    <w:rsid w:val="0094381A"/>
    <w:rsid w:val="0094674B"/>
    <w:rsid w:val="0094684C"/>
    <w:rsid w:val="00947E18"/>
    <w:rsid w:val="009526B5"/>
    <w:rsid w:val="009602BA"/>
    <w:rsid w:val="00961002"/>
    <w:rsid w:val="00966B66"/>
    <w:rsid w:val="00970927"/>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174A"/>
    <w:rsid w:val="009C6154"/>
    <w:rsid w:val="009C6853"/>
    <w:rsid w:val="009D2E87"/>
    <w:rsid w:val="009D39B3"/>
    <w:rsid w:val="009D7E06"/>
    <w:rsid w:val="009E0C45"/>
    <w:rsid w:val="009E0E89"/>
    <w:rsid w:val="009E15AC"/>
    <w:rsid w:val="009E1F26"/>
    <w:rsid w:val="009E68E7"/>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2EAD"/>
    <w:rsid w:val="00AC3DB9"/>
    <w:rsid w:val="00AC4902"/>
    <w:rsid w:val="00AC687D"/>
    <w:rsid w:val="00AD0EF6"/>
    <w:rsid w:val="00AD149C"/>
    <w:rsid w:val="00AD14CF"/>
    <w:rsid w:val="00AD14E8"/>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B420B"/>
    <w:rsid w:val="00BB5B89"/>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A216C"/>
    <w:rsid w:val="00CA3262"/>
    <w:rsid w:val="00CA438F"/>
    <w:rsid w:val="00CA4BF9"/>
    <w:rsid w:val="00CA53FA"/>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63FD"/>
    <w:rsid w:val="00D57210"/>
    <w:rsid w:val="00D57AED"/>
    <w:rsid w:val="00D57F74"/>
    <w:rsid w:val="00D6211C"/>
    <w:rsid w:val="00D81A9D"/>
    <w:rsid w:val="00D901D7"/>
    <w:rsid w:val="00D91535"/>
    <w:rsid w:val="00D92B4E"/>
    <w:rsid w:val="00D92BFE"/>
    <w:rsid w:val="00D93D76"/>
    <w:rsid w:val="00D96D23"/>
    <w:rsid w:val="00DA14E0"/>
    <w:rsid w:val="00DB195E"/>
    <w:rsid w:val="00DC1583"/>
    <w:rsid w:val="00DC2B31"/>
    <w:rsid w:val="00DC32DB"/>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7DA"/>
    <w:rsid w:val="00EC7868"/>
    <w:rsid w:val="00ED6373"/>
    <w:rsid w:val="00EE2FB1"/>
    <w:rsid w:val="00EE4D9C"/>
    <w:rsid w:val="00EE571A"/>
    <w:rsid w:val="00EE6265"/>
    <w:rsid w:val="00EE69E9"/>
    <w:rsid w:val="00EE70BF"/>
    <w:rsid w:val="00EE7518"/>
    <w:rsid w:val="00EE7775"/>
    <w:rsid w:val="00EF03BA"/>
    <w:rsid w:val="00EF193B"/>
    <w:rsid w:val="00F00588"/>
    <w:rsid w:val="00F17A40"/>
    <w:rsid w:val="00F23D6E"/>
    <w:rsid w:val="00F241AD"/>
    <w:rsid w:val="00F30C33"/>
    <w:rsid w:val="00F32EBF"/>
    <w:rsid w:val="00F34A32"/>
    <w:rsid w:val="00F365E4"/>
    <w:rsid w:val="00F455F1"/>
    <w:rsid w:val="00F50F2C"/>
    <w:rsid w:val="00F52DF0"/>
    <w:rsid w:val="00F565FD"/>
    <w:rsid w:val="00F570D3"/>
    <w:rsid w:val="00F62221"/>
    <w:rsid w:val="00F65CF8"/>
    <w:rsid w:val="00F712EE"/>
    <w:rsid w:val="00F73BB1"/>
    <w:rsid w:val="00F814A4"/>
    <w:rsid w:val="00F8513C"/>
    <w:rsid w:val="00F93CF4"/>
    <w:rsid w:val="00F97C38"/>
    <w:rsid w:val="00FA5CB2"/>
    <w:rsid w:val="00FA7ED5"/>
    <w:rsid w:val="00FB1441"/>
    <w:rsid w:val="00FB72DD"/>
    <w:rsid w:val="00FC05A9"/>
    <w:rsid w:val="00FC0DAE"/>
    <w:rsid w:val="00FC0EBE"/>
    <w:rsid w:val="00FC1FC5"/>
    <w:rsid w:val="00FC6F08"/>
    <w:rsid w:val="00FC7CC7"/>
    <w:rsid w:val="00FD2218"/>
    <w:rsid w:val="00FD3B73"/>
    <w:rsid w:val="00FE2FFB"/>
    <w:rsid w:val="00FE49AC"/>
    <w:rsid w:val="00FF2D02"/>
    <w:rsid w:val="00FF369E"/>
    <w:rsid w:val="00FF4563"/>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numbering" w:customStyle="1" w:styleId="Estiloimportado21">
    <w:name w:val="Estilo importado 21"/>
    <w:rsid w:val="0012070A"/>
  </w:style>
  <w:style w:type="numbering" w:customStyle="1" w:styleId="Estiloimportado11">
    <w:name w:val="Estilo importado 11"/>
    <w:qFormat/>
    <w:rsid w:val="0012070A"/>
  </w:style>
  <w:style w:type="table" w:customStyle="1" w:styleId="Tablaconcuadrcula5">
    <w:name w:val="Tabla con cuadrícula5"/>
    <w:basedOn w:val="Tablanormal"/>
    <w:next w:val="Tablaconcuadrcula"/>
    <w:uiPriority w:val="5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12070A"/>
    <w:rPr>
      <w:color w:val="605E5C"/>
      <w:shd w:val="clear" w:color="auto" w:fill="E1DFDD"/>
    </w:rPr>
  </w:style>
  <w:style w:type="numbering" w:customStyle="1" w:styleId="Sinlista3">
    <w:name w:val="Sin lista3"/>
    <w:next w:val="Sinlista"/>
    <w:uiPriority w:val="99"/>
    <w:semiHidden/>
    <w:unhideWhenUsed/>
    <w:rsid w:val="0012070A"/>
  </w:style>
  <w:style w:type="table" w:customStyle="1" w:styleId="Tablaconcuadrcula7">
    <w:name w:val="Tabla con cuadrícula7"/>
    <w:basedOn w:val="Tablanormal"/>
    <w:next w:val="Tablaconcuadrcula"/>
    <w:uiPriority w:val="3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12070A"/>
  </w:style>
  <w:style w:type="numbering" w:customStyle="1" w:styleId="Estiloimportado12">
    <w:name w:val="Estilo importado 12"/>
    <w:qFormat/>
    <w:rsid w:val="0012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osfem.gob.mx/assets/conocenos/marco_normativo/acuerdos/2024/acuerdo_04_anexodos.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DDF5-618E-441B-8E33-9BD1819F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39</Pages>
  <Words>9219</Words>
  <Characters>50708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2025-04-07T23:16:00Z</dcterms:created>
  <dcterms:modified xsi:type="dcterms:W3CDTF">2025-05-13T18:14:00Z</dcterms:modified>
</cp:coreProperties>
</file>