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F442F"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ED26B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junio de dos mil veinticinco. </w:t>
      </w:r>
    </w:p>
    <w:p w14:paraId="0EF79C5E" w14:textId="041594BC" w:rsidR="007702FD" w:rsidRPr="00ED26BE" w:rsidRDefault="004D61D1">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ED26BE">
        <w:rPr>
          <w:rFonts w:ascii="Palatino Linotype" w:eastAsia="Palatino Linotype" w:hAnsi="Palatino Linotype" w:cs="Palatino Linotype"/>
          <w:b/>
        </w:rPr>
        <w:t>VISTO</w:t>
      </w:r>
      <w:r w:rsidRPr="00ED26BE">
        <w:rPr>
          <w:rFonts w:ascii="Palatino Linotype" w:eastAsia="Palatino Linotype" w:hAnsi="Palatino Linotype" w:cs="Palatino Linotype"/>
        </w:rPr>
        <w:t xml:space="preserve"> el expediente formado con motivo del recurso de revisión </w:t>
      </w:r>
      <w:r w:rsidRPr="00ED26BE">
        <w:rPr>
          <w:rFonts w:ascii="Palatino Linotype" w:eastAsia="Palatino Linotype" w:hAnsi="Palatino Linotype" w:cs="Palatino Linotype"/>
          <w:b/>
        </w:rPr>
        <w:t>03534/INFOEM/IP/RR/2025</w:t>
      </w:r>
      <w:r w:rsidRPr="00ED26BE">
        <w:rPr>
          <w:rFonts w:ascii="Palatino Linotype" w:eastAsia="Palatino Linotype" w:hAnsi="Palatino Linotype" w:cs="Palatino Linotype"/>
        </w:rPr>
        <w:t>, interpuesto por</w:t>
      </w:r>
      <w:r w:rsidRPr="00ED26BE">
        <w:rPr>
          <w:rFonts w:ascii="Palatino Linotype" w:eastAsia="Palatino Linotype" w:hAnsi="Palatino Linotype" w:cs="Palatino Linotype"/>
          <w:b/>
        </w:rPr>
        <w:t xml:space="preserve">  </w:t>
      </w:r>
      <w:r w:rsidR="00E11BCC" w:rsidRPr="00E11BCC">
        <w:rPr>
          <w:rFonts w:ascii="Palatino Linotype" w:eastAsia="Palatino Linotype" w:hAnsi="Palatino Linotype" w:cs="Palatino Linotype"/>
          <w:b/>
        </w:rPr>
        <w:t>XXXXXXX XXXXXXXX</w:t>
      </w:r>
      <w:r w:rsidRPr="00ED26BE">
        <w:rPr>
          <w:rFonts w:ascii="Palatino Linotype" w:eastAsia="Palatino Linotype" w:hAnsi="Palatino Linotype" w:cs="Palatino Linotype"/>
          <w:b/>
        </w:rPr>
        <w:t>,</w:t>
      </w:r>
      <w:r w:rsidRPr="00ED26BE">
        <w:rPr>
          <w:rFonts w:ascii="Palatino Linotype" w:eastAsia="Palatino Linotype" w:hAnsi="Palatino Linotype" w:cs="Palatino Linotype"/>
        </w:rPr>
        <w:t xml:space="preserve"> en lo sucesivo</w:t>
      </w:r>
      <w:r w:rsidRPr="00ED26BE">
        <w:rPr>
          <w:rFonts w:ascii="Palatino Linotype" w:eastAsia="Palatino Linotype" w:hAnsi="Palatino Linotype" w:cs="Palatino Linotype"/>
          <w:b/>
        </w:rPr>
        <w:t xml:space="preserve"> </w:t>
      </w:r>
      <w:r w:rsidRPr="00ED26BE">
        <w:rPr>
          <w:rFonts w:ascii="Palatino Linotype" w:eastAsia="Palatino Linotype" w:hAnsi="Palatino Linotype" w:cs="Palatino Linotype"/>
        </w:rPr>
        <w:t xml:space="preserve">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xml:space="preserve"> en contra de la respuesta a la solicitud de información con número de folio</w:t>
      </w:r>
      <w:r w:rsidRPr="00ED26BE">
        <w:rPr>
          <w:rFonts w:ascii="Palatino Linotype" w:eastAsia="Palatino Linotype" w:hAnsi="Palatino Linotype" w:cs="Palatino Linotype"/>
          <w:b/>
        </w:rPr>
        <w:t xml:space="preserve"> 00011/OASLAPAZ/IP/2025, </w:t>
      </w:r>
      <w:r w:rsidRPr="00ED26BE">
        <w:rPr>
          <w:rFonts w:ascii="Palatino Linotype" w:eastAsia="Palatino Linotype" w:hAnsi="Palatino Linotype" w:cs="Palatino Linotype"/>
        </w:rPr>
        <w:t xml:space="preserve">por parte del </w:t>
      </w:r>
      <w:r w:rsidRPr="00ED26BE">
        <w:rPr>
          <w:rFonts w:ascii="Palatino Linotype" w:eastAsia="Palatino Linotype" w:hAnsi="Palatino Linotype" w:cs="Palatino Linotype"/>
          <w:b/>
        </w:rPr>
        <w:t xml:space="preserve">Organismo Público Descentralizado para la Prestación de Los Servicios de Agua Potable Alcantarillado y Saneamiento del Municipio de la Paz México, OPDAPAS, </w:t>
      </w:r>
      <w:r w:rsidRPr="00ED26BE">
        <w:rPr>
          <w:rFonts w:ascii="Palatino Linotype" w:eastAsia="Palatino Linotype" w:hAnsi="Palatino Linotype" w:cs="Palatino Linotype"/>
        </w:rPr>
        <w:t xml:space="preserve">en lo sucesivo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se procede a dictar la presente resolución con base en los siguientes: </w:t>
      </w:r>
    </w:p>
    <w:p w14:paraId="4C366BBC" w14:textId="77777777" w:rsidR="007702FD" w:rsidRPr="00ED26BE" w:rsidRDefault="004D61D1">
      <w:pPr>
        <w:spacing w:before="240" w:after="240" w:line="360" w:lineRule="auto"/>
        <w:jc w:val="center"/>
        <w:rPr>
          <w:rFonts w:ascii="Palatino Linotype" w:eastAsia="Palatino Linotype" w:hAnsi="Palatino Linotype" w:cs="Palatino Linotype"/>
          <w:b/>
        </w:rPr>
      </w:pPr>
      <w:r w:rsidRPr="00ED26BE">
        <w:rPr>
          <w:rFonts w:ascii="Palatino Linotype" w:eastAsia="Palatino Linotype" w:hAnsi="Palatino Linotype" w:cs="Palatino Linotype"/>
          <w:b/>
        </w:rPr>
        <w:t>I. A N T E C E D E N T E S</w:t>
      </w:r>
    </w:p>
    <w:p w14:paraId="5ECFDDDE" w14:textId="77777777" w:rsidR="007702FD" w:rsidRPr="00ED26BE" w:rsidRDefault="004D61D1">
      <w:pPr>
        <w:spacing w:before="240" w:after="240" w:line="360" w:lineRule="auto"/>
        <w:jc w:val="both"/>
        <w:rPr>
          <w:rFonts w:ascii="Palatino Linotype" w:eastAsia="Palatino Linotype" w:hAnsi="Palatino Linotype" w:cs="Palatino Linotype"/>
          <w:b/>
        </w:rPr>
      </w:pPr>
      <w:bookmarkStart w:id="2" w:name="_heading=h.gjdgxs" w:colFirst="0" w:colLast="0"/>
      <w:bookmarkEnd w:id="2"/>
      <w:r w:rsidRPr="00ED26BE">
        <w:rPr>
          <w:rFonts w:ascii="Palatino Linotype" w:eastAsia="Palatino Linotype" w:hAnsi="Palatino Linotype" w:cs="Palatino Linotype"/>
          <w:b/>
        </w:rPr>
        <w:t>1. Solicitud de acceso a la información.</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cinco de marzo de dos mil veinticinco,</w:t>
      </w:r>
      <w:r w:rsidRPr="00ED26BE">
        <w:rPr>
          <w:rFonts w:ascii="Palatino Linotype" w:eastAsia="Palatino Linotype" w:hAnsi="Palatino Linotype" w:cs="Palatino Linotype"/>
        </w:rPr>
        <w:t xml:space="preserve">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 xml:space="preserve">presentó su solicitud de acceso a la información ante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 través del Sistema de Acceso a la Información Mexiquense, en lo subsecuente el </w:t>
      </w:r>
      <w:r w:rsidRPr="00ED26BE">
        <w:rPr>
          <w:rFonts w:ascii="Palatino Linotype" w:eastAsia="Palatino Linotype" w:hAnsi="Palatino Linotype" w:cs="Palatino Linotype"/>
          <w:b/>
        </w:rPr>
        <w:t>SAIMEX;</w:t>
      </w:r>
      <w:r w:rsidRPr="00ED26BE">
        <w:rPr>
          <w:rFonts w:ascii="Palatino Linotype" w:eastAsia="Palatino Linotype" w:hAnsi="Palatino Linotype" w:cs="Palatino Linotype"/>
        </w:rPr>
        <w:t xml:space="preserve"> mediante la cual requirió lo siguiente:</w:t>
      </w:r>
    </w:p>
    <w:p w14:paraId="677F6DEE"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i/>
          <w:sz w:val="22"/>
          <w:szCs w:val="22"/>
        </w:rPr>
        <w:t xml:space="preserve"> “REQUIERO QUE ME DIGAN EL NOMBRE DE QUIEN ES EN ESTE MOMENTO EL DIRECTOR DE ADMINISTRACION Y FINANZAS O TESORERO O DIRECTOR DE ADMINISTRACION O EN SU CASO DE LOS TRES, DEL OPDAPAS LA PAZ, DE LA ACTUAL </w:t>
      </w:r>
      <w:r w:rsidRPr="00ED26BE">
        <w:rPr>
          <w:rFonts w:ascii="Palatino Linotype" w:eastAsia="Palatino Linotype" w:hAnsi="Palatino Linotype" w:cs="Palatino Linotype"/>
          <w:i/>
          <w:sz w:val="22"/>
          <w:szCs w:val="22"/>
        </w:rPr>
        <w:lastRenderedPageBreak/>
        <w:t>ADMINISTRACION 2025, DE IGUAL MANERA REQUIERO EL RECIBO DE NOMINA DE LA PRIMER QUINCENA DE ENERO DE 2025 DEL MISMO</w:t>
      </w:r>
      <w:r w:rsidRPr="00ED26BE">
        <w:rPr>
          <w:rFonts w:ascii="Palatino Linotype" w:eastAsia="Palatino Linotype" w:hAnsi="Palatino Linotype" w:cs="Palatino Linotype"/>
          <w:b/>
          <w:i/>
          <w:sz w:val="22"/>
          <w:szCs w:val="22"/>
        </w:rPr>
        <w:t>”</w:t>
      </w:r>
      <w:r w:rsidRPr="00ED26BE">
        <w:rPr>
          <w:rFonts w:ascii="Palatino Linotype" w:eastAsia="Palatino Linotype" w:hAnsi="Palatino Linotype" w:cs="Palatino Linotype"/>
          <w:i/>
          <w:sz w:val="22"/>
          <w:szCs w:val="22"/>
        </w:rPr>
        <w:t xml:space="preserve"> (sic) </w:t>
      </w:r>
    </w:p>
    <w:p w14:paraId="1EA92CF6"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ED26BE">
        <w:rPr>
          <w:rFonts w:ascii="Palatino Linotype" w:eastAsia="Palatino Linotype" w:hAnsi="Palatino Linotype" w:cs="Palatino Linotype"/>
          <w:b/>
        </w:rPr>
        <w:t>Modalidad de Entrega:</w:t>
      </w:r>
      <w:r w:rsidRPr="00ED26BE">
        <w:rPr>
          <w:rFonts w:ascii="Palatino Linotype" w:eastAsia="Palatino Linotype" w:hAnsi="Palatino Linotype" w:cs="Palatino Linotype"/>
        </w:rPr>
        <w:t xml:space="preserve"> a través del</w:t>
      </w:r>
      <w:r w:rsidRPr="00ED26BE">
        <w:rPr>
          <w:rFonts w:ascii="Palatino Linotype" w:eastAsia="Palatino Linotype" w:hAnsi="Palatino Linotype" w:cs="Palatino Linotype"/>
          <w:b/>
        </w:rPr>
        <w:t xml:space="preserve"> SAIMEX.</w:t>
      </w:r>
    </w:p>
    <w:p w14:paraId="5B2EA99D"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 xml:space="preserve">2. Respuesta. </w:t>
      </w:r>
      <w:r w:rsidRPr="00ED26BE">
        <w:rPr>
          <w:rFonts w:ascii="Palatino Linotype" w:eastAsia="Palatino Linotype" w:hAnsi="Palatino Linotype" w:cs="Palatino Linotype"/>
        </w:rPr>
        <w:t xml:space="preserve">El </w:t>
      </w:r>
      <w:r w:rsidRPr="00ED26BE">
        <w:rPr>
          <w:rFonts w:ascii="Palatino Linotype" w:eastAsia="Palatino Linotype" w:hAnsi="Palatino Linotype" w:cs="Palatino Linotype"/>
          <w:b/>
        </w:rPr>
        <w:t>veintiséis de marzo de dos mil veinticinco,</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82DDA7B" w14:textId="77777777" w:rsidR="007702FD" w:rsidRPr="00ED26BE" w:rsidRDefault="004D61D1">
      <w:pPr>
        <w:spacing w:before="240" w:after="24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“…Se </w:t>
      </w:r>
      <w:proofErr w:type="spellStart"/>
      <w:r w:rsidRPr="00ED26BE">
        <w:rPr>
          <w:rFonts w:ascii="Palatino Linotype" w:eastAsia="Palatino Linotype" w:hAnsi="Palatino Linotype" w:cs="Palatino Linotype"/>
          <w:i/>
          <w:sz w:val="22"/>
          <w:szCs w:val="22"/>
        </w:rPr>
        <w:t>envia</w:t>
      </w:r>
      <w:proofErr w:type="spellEnd"/>
      <w:r w:rsidRPr="00ED26BE">
        <w:rPr>
          <w:rFonts w:ascii="Palatino Linotype" w:eastAsia="Palatino Linotype" w:hAnsi="Palatino Linotype" w:cs="Palatino Linotype"/>
          <w:i/>
          <w:sz w:val="22"/>
          <w:szCs w:val="22"/>
        </w:rPr>
        <w:t xml:space="preserve"> respuesta a solicitud 00011 OAS LA PAZ IP 2025...” (sic)</w:t>
      </w:r>
    </w:p>
    <w:p w14:paraId="0223707C"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adjuntó lo siguiente:</w:t>
      </w:r>
    </w:p>
    <w:p w14:paraId="249F09AF"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Oficio </w:t>
      </w:r>
      <w:proofErr w:type="gramStart"/>
      <w:r w:rsidRPr="00ED26BE">
        <w:rPr>
          <w:rFonts w:ascii="Palatino Linotype" w:eastAsia="Palatino Linotype" w:hAnsi="Palatino Linotype" w:cs="Palatino Linotype"/>
        </w:rPr>
        <w:t>número  OPDAPAS</w:t>
      </w:r>
      <w:proofErr w:type="gramEnd"/>
      <w:r w:rsidRPr="00ED26BE">
        <w:rPr>
          <w:rFonts w:ascii="Palatino Linotype" w:eastAsia="Palatino Linotype" w:hAnsi="Palatino Linotype" w:cs="Palatino Linotype"/>
        </w:rPr>
        <w:t>/TRANSPARENCIA/00063/2025, del catorce de marzo de dos mil veinticinco, mediante el cual el Titular de la Unidad de Transparencia y Acceso a la Información Pública, turnó la solicitud para su atención a la persona titular de Recursos Humanos.</w:t>
      </w:r>
    </w:p>
    <w:p w14:paraId="044340BE"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Oficio número RH/OPDAPAS/LA PAZ/060/2025, del veintiuno de marzo de dos mil veinticinco, mediante el cual el Jefe de Departamento de Recursos </w:t>
      </w:r>
      <w:proofErr w:type="gramStart"/>
      <w:r w:rsidRPr="00ED26BE">
        <w:rPr>
          <w:rFonts w:ascii="Palatino Linotype" w:eastAsia="Palatino Linotype" w:hAnsi="Palatino Linotype" w:cs="Palatino Linotype"/>
        </w:rPr>
        <w:t>Humanos  refirió</w:t>
      </w:r>
      <w:proofErr w:type="gramEnd"/>
      <w:r w:rsidRPr="00ED26BE">
        <w:rPr>
          <w:rFonts w:ascii="Palatino Linotype" w:eastAsia="Palatino Linotype" w:hAnsi="Palatino Linotype" w:cs="Palatino Linotype"/>
        </w:rPr>
        <w:t xml:space="preserve"> que de acuerdo a la Ley Federal de Protección de Datos Personales, no le es permitido proporcionar datos sensibles, como el nombre, teléfono personal, el correo electrónico, entre otros, sin el consentimiento del servidor público. </w:t>
      </w:r>
    </w:p>
    <w:p w14:paraId="23176C0D"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Oficio número OPDAPAS/TRANSPARENCIA/000102/2025, del veinticuatro de marzo de dos mil veinticinco, mediante el cual el titular de la Unidad de </w:t>
      </w:r>
      <w:r w:rsidRPr="00ED26BE">
        <w:rPr>
          <w:rFonts w:ascii="Palatino Linotype" w:eastAsia="Palatino Linotype" w:hAnsi="Palatino Linotype" w:cs="Palatino Linotype"/>
        </w:rPr>
        <w:lastRenderedPageBreak/>
        <w:t>Transparencia y Acceso a la Información Pública, notifica a la persona solicitante la respuesta proporcionada por el servidor público habilitado del Departamento de Recursos Humanos.</w:t>
      </w:r>
    </w:p>
    <w:p w14:paraId="5498FCF2"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b/>
        </w:rPr>
        <w:t xml:space="preserve">3. Interposición del recurso de revisión. </w:t>
      </w:r>
      <w:r w:rsidRPr="00ED26BE">
        <w:rPr>
          <w:rFonts w:ascii="Palatino Linotype" w:eastAsia="Palatino Linotype" w:hAnsi="Palatino Linotype" w:cs="Palatino Linotype"/>
        </w:rPr>
        <w:t xml:space="preserve">Inconforme con los términos de la respuesta emitida por parte del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veintiséis de marzo de dos mil veinticinco,</w:t>
      </w:r>
      <w:r w:rsidRPr="00ED26BE">
        <w:rPr>
          <w:rFonts w:ascii="Palatino Linotype" w:eastAsia="Palatino Linotype" w:hAnsi="Palatino Linotype" w:cs="Palatino Linotype"/>
        </w:rPr>
        <w:t xml:space="preserve"> 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xml:space="preserve"> interpuso el recurso de revisión a través de </w:t>
      </w:r>
      <w:r w:rsidRPr="00ED26BE">
        <w:rPr>
          <w:rFonts w:ascii="Palatino Linotype" w:eastAsia="Palatino Linotype" w:hAnsi="Palatino Linotype" w:cs="Palatino Linotype"/>
          <w:b/>
        </w:rPr>
        <w:t xml:space="preserve">SAIMEX, </w:t>
      </w:r>
      <w:r w:rsidRPr="00ED26BE">
        <w:rPr>
          <w:rFonts w:ascii="Palatino Linotype" w:eastAsia="Palatino Linotype" w:hAnsi="Palatino Linotype" w:cs="Palatino Linotype"/>
        </w:rPr>
        <w:t>en donde se manifestó de la siguiente manera:</w:t>
      </w:r>
    </w:p>
    <w:p w14:paraId="0C2CC209" w14:textId="77777777" w:rsidR="007702FD" w:rsidRPr="00ED26BE" w:rsidRDefault="004D61D1">
      <w:pPr>
        <w:spacing w:before="240" w:after="240" w:line="360" w:lineRule="auto"/>
        <w:ind w:right="49"/>
        <w:jc w:val="both"/>
        <w:rPr>
          <w:rFonts w:ascii="Palatino Linotype" w:eastAsia="Palatino Linotype" w:hAnsi="Palatino Linotype" w:cs="Palatino Linotype"/>
          <w:b/>
        </w:rPr>
      </w:pPr>
      <w:r w:rsidRPr="00ED26BE">
        <w:rPr>
          <w:rFonts w:ascii="Palatino Linotype" w:eastAsia="Palatino Linotype" w:hAnsi="Palatino Linotype" w:cs="Palatino Linotype"/>
          <w:b/>
        </w:rPr>
        <w:t xml:space="preserve">Acto impugnado: </w:t>
      </w:r>
    </w:p>
    <w:p w14:paraId="2C1C78E3" w14:textId="77777777" w:rsidR="007702FD" w:rsidRPr="00ED26BE" w:rsidRDefault="004D61D1">
      <w:pPr>
        <w:tabs>
          <w:tab w:val="left" w:pos="2745"/>
        </w:tabs>
        <w:spacing w:before="240" w:after="24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“LA NEGATIVA A LA ENTREGA DE INFORMACION” (sic)</w:t>
      </w:r>
    </w:p>
    <w:p w14:paraId="5B5656FC" w14:textId="77777777" w:rsidR="007702FD" w:rsidRPr="00ED26BE" w:rsidRDefault="004D61D1">
      <w:pPr>
        <w:spacing w:line="360" w:lineRule="auto"/>
        <w:jc w:val="both"/>
        <w:rPr>
          <w:rFonts w:ascii="Palatino Linotype" w:eastAsia="Palatino Linotype" w:hAnsi="Palatino Linotype" w:cs="Palatino Linotype"/>
        </w:rPr>
      </w:pPr>
      <w:bookmarkStart w:id="4" w:name="_heading=h.30j0zll" w:colFirst="0" w:colLast="0"/>
      <w:bookmarkEnd w:id="4"/>
      <w:r w:rsidRPr="00ED26BE">
        <w:rPr>
          <w:rFonts w:ascii="Palatino Linotype" w:eastAsia="Palatino Linotype" w:hAnsi="Palatino Linotype" w:cs="Palatino Linotype"/>
          <w:b/>
        </w:rPr>
        <w:t>Y, Razones o motivos de inconformidad</w:t>
      </w:r>
      <w:r w:rsidRPr="00ED26BE">
        <w:rPr>
          <w:rFonts w:ascii="Palatino Linotype" w:eastAsia="Palatino Linotype" w:hAnsi="Palatino Linotype" w:cs="Palatino Linotype"/>
        </w:rPr>
        <w:t>:</w:t>
      </w:r>
    </w:p>
    <w:p w14:paraId="1A53D612" w14:textId="77777777" w:rsidR="007702FD" w:rsidRPr="00ED26BE" w:rsidRDefault="004D61D1">
      <w:pPr>
        <w:tabs>
          <w:tab w:val="left" w:pos="2745"/>
        </w:tabs>
        <w:spacing w:before="240" w:after="24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“SE ME HACE DE MUY MAL GUSTO Y UNA OFENSA AL CIUDADANO QUE ESTOS SERVIDORES PUBLICOS DE OPDAPAS LA PAZ, DIGAN QUE NO PUEDEN COMPARTIR INFORMACION PUBLICA, SE ME HACE DE VERDAD UN DESCARO QUE TODAVIA LO FUNDAMENTEN CON LA LEY, SOLICITO QUE REALICEN LA ENTREGA DE INFORMACION QUE SE LES ESTA SOLCITANDO YA QUE ES PUBLICA Y DEJEN DE PROTEJERCE PORQUE NUNCA HE ENTENDIDO PORQUE RAZON OCULTAN INFORMACION” (sic)</w:t>
      </w:r>
    </w:p>
    <w:p w14:paraId="1D481FD2" w14:textId="77777777" w:rsidR="007702FD" w:rsidRPr="00ED26BE" w:rsidRDefault="004D61D1">
      <w:pPr>
        <w:spacing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 xml:space="preserve">4. Turno. </w:t>
      </w:r>
      <w:r w:rsidRPr="00ED26B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ED26BE">
        <w:rPr>
          <w:rFonts w:ascii="Palatino Linotype" w:eastAsia="Palatino Linotype" w:hAnsi="Palatino Linotype" w:cs="Palatino Linotype"/>
        </w:rPr>
        <w:lastRenderedPageBreak/>
        <w:t xml:space="preserve">del Estado de México y Municipios, a la Comisionada </w:t>
      </w:r>
      <w:r w:rsidRPr="00ED26BE">
        <w:rPr>
          <w:rFonts w:ascii="Palatino Linotype" w:eastAsia="Palatino Linotype" w:hAnsi="Palatino Linotype" w:cs="Palatino Linotype"/>
          <w:b/>
        </w:rPr>
        <w:t xml:space="preserve">Guadalupe Ramírez Peña, </w:t>
      </w:r>
      <w:r w:rsidRPr="00ED26BE">
        <w:rPr>
          <w:rFonts w:ascii="Palatino Linotype" w:eastAsia="Palatino Linotype" w:hAnsi="Palatino Linotype" w:cs="Palatino Linotype"/>
        </w:rPr>
        <w:t xml:space="preserve">a efecto de que analizara sobre su admisión o su </w:t>
      </w:r>
      <w:proofErr w:type="spellStart"/>
      <w:r w:rsidRPr="00ED26BE">
        <w:rPr>
          <w:rFonts w:ascii="Palatino Linotype" w:eastAsia="Palatino Linotype" w:hAnsi="Palatino Linotype" w:cs="Palatino Linotype"/>
        </w:rPr>
        <w:t>desechamiento</w:t>
      </w:r>
      <w:proofErr w:type="spellEnd"/>
      <w:r w:rsidRPr="00ED26BE">
        <w:rPr>
          <w:rFonts w:ascii="Palatino Linotype" w:eastAsia="Palatino Linotype" w:hAnsi="Palatino Linotype" w:cs="Palatino Linotype"/>
        </w:rPr>
        <w:t>.</w:t>
      </w:r>
    </w:p>
    <w:p w14:paraId="72F9865D" w14:textId="77777777" w:rsidR="007702FD" w:rsidRPr="00ED26BE" w:rsidRDefault="004D61D1">
      <w:pPr>
        <w:spacing w:before="240" w:after="240" w:line="360" w:lineRule="auto"/>
        <w:jc w:val="both"/>
        <w:rPr>
          <w:rFonts w:ascii="Palatino Linotype" w:eastAsia="Palatino Linotype" w:hAnsi="Palatino Linotype" w:cs="Palatino Linotype"/>
          <w:b/>
        </w:rPr>
      </w:pPr>
      <w:bookmarkStart w:id="5" w:name="_heading=h.2s8eyo1" w:colFirst="0" w:colLast="0"/>
      <w:bookmarkEnd w:id="5"/>
      <w:r w:rsidRPr="00ED26BE">
        <w:rPr>
          <w:rFonts w:ascii="Palatino Linotype" w:eastAsia="Palatino Linotype" w:hAnsi="Palatino Linotype" w:cs="Palatino Linotype"/>
          <w:b/>
        </w:rPr>
        <w:t>5. Admisión del Recurso de revisión.</w:t>
      </w:r>
      <w:r w:rsidRPr="00ED26BE">
        <w:rPr>
          <w:rFonts w:ascii="Palatino Linotype" w:eastAsia="Palatino Linotype" w:hAnsi="Palatino Linotype" w:cs="Palatino Linotype"/>
        </w:rPr>
        <w:t xml:space="preserve"> El</w:t>
      </w:r>
      <w:r w:rsidRPr="00ED26BE">
        <w:rPr>
          <w:rFonts w:ascii="Palatino Linotype" w:eastAsia="Palatino Linotype" w:hAnsi="Palatino Linotype" w:cs="Palatino Linotype"/>
          <w:b/>
        </w:rPr>
        <w:t xml:space="preserve"> treinta y uno de marzo de dos mil veinticinco, </w:t>
      </w:r>
      <w:r w:rsidRPr="00ED26B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presentara su informe justificado.</w:t>
      </w:r>
    </w:p>
    <w:p w14:paraId="69A49E23"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6. Manifestaciones</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uno y cuatro de abril de dos mil veinticinco</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remitió, a través del SAIMEX, lo siguiente:</w:t>
      </w:r>
    </w:p>
    <w:p w14:paraId="6B538465"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Oficio número OPDAPAS/TRANSPARENCIA/00116/2025, del veintisiete de marzo de dos mil veinticinco, mediante el cual el Titular de la Unidad de Transparencia y Acceso a la Información Pública, hace del conocimiento del servidor público habilitado de la Tesorería, la interposición del recurso de revisión, para efectos de que remita contestación al mismo.</w:t>
      </w:r>
    </w:p>
    <w:p w14:paraId="7E0B152B"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Oficio número OPDAPAS/TESO-I/086/2025, del veintiocho de marzo de dos mil veinticinco, mediante el cual el Tesorero del Organismo proporcionó el nombre del </w:t>
      </w:r>
      <w:r w:rsidRPr="00ED26BE">
        <w:rPr>
          <w:rFonts w:ascii="Palatino Linotype" w:eastAsia="Palatino Linotype" w:hAnsi="Palatino Linotype" w:cs="Palatino Linotype"/>
        </w:rPr>
        <w:lastRenderedPageBreak/>
        <w:t>tesorero en funciones, y manifestó remitir su recibo de nómina de la primera quincena de enero de dos mil veinticinco.</w:t>
      </w:r>
    </w:p>
    <w:p w14:paraId="0A3803D7"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Recibo de nómina del Tesorero del Organismo de la primera quincena de marzo de dos mil veinticinco, testado.</w:t>
      </w:r>
    </w:p>
    <w:p w14:paraId="21F81444"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Oficio número OPDAPAS/TRANSPARENCIA/00121/2025, del treinta y uno de marzo de dos mil veinticinco, mediante el cual el titular de la Unidad de Transparencia y Acceso a la Información Pública, remite la información proporcionada por el servidor público habilitado.</w:t>
      </w:r>
    </w:p>
    <w:p w14:paraId="452E4148"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Oficio número RH/OPDAPAS/LA PAZ/076/2025 del dos de abril de dos mil veinticinco, mediante el cual el </w:t>
      </w:r>
      <w:proofErr w:type="gramStart"/>
      <w:r w:rsidRPr="00ED26BE">
        <w:rPr>
          <w:rFonts w:ascii="Palatino Linotype" w:eastAsia="Palatino Linotype" w:hAnsi="Palatino Linotype" w:cs="Palatino Linotype"/>
        </w:rPr>
        <w:t>Jefe</w:t>
      </w:r>
      <w:proofErr w:type="gramEnd"/>
      <w:r w:rsidRPr="00ED26BE">
        <w:rPr>
          <w:rFonts w:ascii="Palatino Linotype" w:eastAsia="Palatino Linotype" w:hAnsi="Palatino Linotype" w:cs="Palatino Linotype"/>
        </w:rPr>
        <w:t xml:space="preserve"> de Departamento de Recursos Humanos proporcionó el nombre del Tesorero en funciones, y manifestó remitir su recibo de nómina de la primera quincena de enero de dos mil veinticinco.</w:t>
      </w:r>
    </w:p>
    <w:p w14:paraId="1A8B3310"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 - Recibo de nómina del Tesorero del Organismo de la primera quincena de enero de dos mil veinticinco, testado.</w:t>
      </w:r>
    </w:p>
    <w:p w14:paraId="6932A05C"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Una vez analizada la información, se hizo del conocimiento de la persona solicitante a efecto de que manifestara lo que a su derecho estimara conveniente, siendo omisa en ejercer dicha prerrogativa.</w:t>
      </w:r>
    </w:p>
    <w:p w14:paraId="563EE86D" w14:textId="77777777" w:rsidR="007702FD" w:rsidRPr="00ED26BE" w:rsidRDefault="007702FD">
      <w:pPr>
        <w:widowControl w:val="0"/>
        <w:spacing w:line="360" w:lineRule="auto"/>
        <w:ind w:right="49"/>
        <w:jc w:val="both"/>
        <w:rPr>
          <w:rFonts w:ascii="Palatino Linotype" w:eastAsia="Palatino Linotype" w:hAnsi="Palatino Linotype" w:cs="Palatino Linotype"/>
        </w:rPr>
      </w:pPr>
    </w:p>
    <w:p w14:paraId="466772DE"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lastRenderedPageBreak/>
        <w:t xml:space="preserve">7. Cierre de instrucción. </w:t>
      </w:r>
      <w:r w:rsidRPr="00ED26B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ED26BE">
        <w:rPr>
          <w:rFonts w:ascii="Palatino Linotype" w:eastAsia="Palatino Linotype" w:hAnsi="Palatino Linotype" w:cs="Palatino Linotype"/>
          <w:b/>
        </w:rPr>
        <w:t>cuatro de junio de dos mil veinticinco</w:t>
      </w:r>
      <w:r w:rsidRPr="00ED26B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AE7D40"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8</w:t>
      </w:r>
      <w:r w:rsidRPr="00ED26BE">
        <w:rPr>
          <w:rFonts w:ascii="Palatino Linotype" w:eastAsia="Palatino Linotype" w:hAnsi="Palatino Linotype" w:cs="Palatino Linotype"/>
        </w:rPr>
        <w:t xml:space="preserve">. </w:t>
      </w:r>
      <w:r w:rsidRPr="00ED26BE">
        <w:rPr>
          <w:rFonts w:ascii="Palatino Linotype" w:eastAsia="Palatino Linotype" w:hAnsi="Palatino Linotype" w:cs="Palatino Linotype"/>
          <w:b/>
        </w:rPr>
        <w:t>Ampliación del término para resolver</w:t>
      </w:r>
      <w:r w:rsidRPr="00ED26BE">
        <w:rPr>
          <w:rFonts w:ascii="Palatino Linotype" w:eastAsia="Palatino Linotype" w:hAnsi="Palatino Linotype" w:cs="Palatino Linotype"/>
        </w:rPr>
        <w:t xml:space="preserve">. El </w:t>
      </w:r>
      <w:r w:rsidRPr="00ED26BE">
        <w:rPr>
          <w:rFonts w:ascii="Palatino Linotype" w:eastAsia="Palatino Linotype" w:hAnsi="Palatino Linotype" w:cs="Palatino Linotype"/>
          <w:b/>
        </w:rPr>
        <w:t>cuatro de junio de dos mil veinticinco</w:t>
      </w:r>
      <w:r w:rsidRPr="00ED26BE">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607C87C"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A2F46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D878FA0"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9DD68C"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3CA881" w14:textId="77777777" w:rsidR="007702FD" w:rsidRPr="00ED26BE" w:rsidRDefault="004D61D1">
      <w:pPr>
        <w:spacing w:before="240" w:after="240" w:line="360" w:lineRule="auto"/>
        <w:jc w:val="both"/>
        <w:rPr>
          <w:rFonts w:ascii="Palatino Linotype" w:eastAsia="Palatino Linotype" w:hAnsi="Palatino Linotype" w:cs="Palatino Linotype"/>
          <w:strike/>
        </w:rPr>
      </w:pPr>
      <w:r w:rsidRPr="00ED26B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0192911" w14:textId="77777777" w:rsidR="007702FD" w:rsidRPr="00ED26BE" w:rsidRDefault="004D61D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0494099" w14:textId="77777777" w:rsidR="007702FD" w:rsidRPr="00ED26BE" w:rsidRDefault="004D61D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ED26BE">
        <w:rPr>
          <w:rFonts w:ascii="Palatino Linotype" w:eastAsia="Palatino Linotype" w:hAnsi="Palatino Linotype" w:cs="Palatino Linotype"/>
        </w:rPr>
        <w:t>Actividad Procesal del interesado. Acciones u omisiones del interesado.</w:t>
      </w:r>
    </w:p>
    <w:p w14:paraId="25401C1A" w14:textId="77777777" w:rsidR="007702FD" w:rsidRPr="00ED26BE" w:rsidRDefault="004D61D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ED26BE">
        <w:rPr>
          <w:rFonts w:ascii="Palatino Linotype" w:eastAsia="Palatino Linotype" w:hAnsi="Palatino Linotype" w:cs="Palatino Linotype"/>
        </w:rPr>
        <w:t>Conducta de la Autoridad: Las Acciones u omisiones realizadas en el procedimiento. Así como si la autoridad actuó con la debida diligencia.</w:t>
      </w:r>
    </w:p>
    <w:p w14:paraId="2782E837" w14:textId="77777777" w:rsidR="007702FD" w:rsidRPr="00ED26BE" w:rsidRDefault="004D61D1">
      <w:pPr>
        <w:tabs>
          <w:tab w:val="left" w:pos="567"/>
        </w:tabs>
        <w:spacing w:before="240" w:after="240" w:line="360" w:lineRule="auto"/>
        <w:ind w:left="284"/>
        <w:jc w:val="both"/>
        <w:rPr>
          <w:rFonts w:ascii="Palatino Linotype" w:eastAsia="Palatino Linotype" w:hAnsi="Palatino Linotype" w:cs="Palatino Linotype"/>
        </w:rPr>
      </w:pPr>
      <w:r w:rsidRPr="00ED26BE">
        <w:rPr>
          <w:rFonts w:ascii="Palatino Linotype" w:eastAsia="Palatino Linotype" w:hAnsi="Palatino Linotype" w:cs="Palatino Linotype"/>
        </w:rPr>
        <w:t>d) La afectación generada en la situación jurídica de la persona involucrada en el proceso: Violación a sus derechos humanos.</w:t>
      </w:r>
    </w:p>
    <w:p w14:paraId="6413467E"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8438AC" w14:textId="77777777" w:rsidR="007702FD" w:rsidRPr="00ED26BE" w:rsidRDefault="004D61D1">
      <w:pPr>
        <w:spacing w:before="240" w:after="240" w:line="360" w:lineRule="auto"/>
        <w:jc w:val="both"/>
        <w:rPr>
          <w:rFonts w:ascii="Palatino Linotype" w:eastAsia="Palatino Linotype" w:hAnsi="Palatino Linotype" w:cs="Palatino Linotype"/>
          <w:b/>
        </w:rPr>
      </w:pPr>
      <w:r w:rsidRPr="00ED26B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D26B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D26BE">
        <w:rPr>
          <w:rFonts w:ascii="Palatino Linotype" w:eastAsia="Palatino Linotype" w:hAnsi="Palatino Linotype" w:cs="Palatino Linotype"/>
        </w:rPr>
        <w:t>, visible en la Gaceta del Seminario Judicial de la Federación con el registro digital 205635.</w:t>
      </w:r>
    </w:p>
    <w:p w14:paraId="357F03B7"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ED26BE">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64BE462A"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296AC6B" w14:textId="77777777" w:rsidR="007702FD" w:rsidRPr="00ED26BE" w:rsidRDefault="004D61D1">
      <w:pPr>
        <w:spacing w:before="120" w:after="120"/>
        <w:ind w:left="851" w:right="902"/>
        <w:jc w:val="both"/>
        <w:rPr>
          <w:rFonts w:ascii="Palatino Linotype" w:eastAsia="Palatino Linotype" w:hAnsi="Palatino Linotype" w:cs="Palatino Linotype"/>
          <w:sz w:val="22"/>
          <w:szCs w:val="22"/>
        </w:rPr>
      </w:pPr>
      <w:r w:rsidRPr="00ED26BE">
        <w:rPr>
          <w:rFonts w:ascii="Palatino Linotype" w:eastAsia="Palatino Linotype" w:hAnsi="Palatino Linotype" w:cs="Palatino Linotype"/>
          <w:sz w:val="22"/>
          <w:szCs w:val="22"/>
        </w:rPr>
        <w:t xml:space="preserve"> </w:t>
      </w: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PLAZO RAZONABLE PARA RESOLVER. DIMENSIÓN Y EFECTOS DE ESTE CONCEPTO CUANDO SE ADUCE EXCESIVA CARGA DE TRABAJO</w:t>
      </w: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sz w:val="22"/>
          <w:szCs w:val="22"/>
        </w:rPr>
        <w:t xml:space="preserve"> consultable en el Seminario Judicial de la Federación y su gaceta, con el registro digital 2002351.</w:t>
      </w:r>
    </w:p>
    <w:p w14:paraId="19618C0B" w14:textId="77777777" w:rsidR="007702FD" w:rsidRPr="00ED26BE" w:rsidRDefault="004D61D1">
      <w:pPr>
        <w:spacing w:before="120" w:after="120"/>
        <w:ind w:left="851" w:right="902"/>
        <w:jc w:val="both"/>
        <w:rPr>
          <w:rFonts w:ascii="Palatino Linotype" w:eastAsia="Palatino Linotype" w:hAnsi="Palatino Linotype" w:cs="Palatino Linotype"/>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sz w:val="22"/>
          <w:szCs w:val="22"/>
        </w:rPr>
        <w:t>, visible en el Seminario Judicial de la Federación y su gaceta, con el registro digital 2002350</w:t>
      </w:r>
      <w:r w:rsidRPr="00ED26BE">
        <w:rPr>
          <w:rFonts w:ascii="Palatino Linotype" w:eastAsia="Palatino Linotype" w:hAnsi="Palatino Linotype" w:cs="Palatino Linotype"/>
        </w:rPr>
        <w:t>.</w:t>
      </w:r>
    </w:p>
    <w:p w14:paraId="4E464F8C"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A66879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A6DCFD4" w14:textId="77777777" w:rsidR="007702FD" w:rsidRPr="00ED26BE" w:rsidRDefault="007702FD">
      <w:pPr>
        <w:spacing w:before="240" w:after="240" w:line="360" w:lineRule="auto"/>
        <w:jc w:val="both"/>
        <w:rPr>
          <w:rFonts w:ascii="Palatino Linotype" w:eastAsia="Palatino Linotype" w:hAnsi="Palatino Linotype" w:cs="Palatino Linotype"/>
        </w:rPr>
      </w:pPr>
    </w:p>
    <w:p w14:paraId="71CAD599" w14:textId="77777777" w:rsidR="007702FD" w:rsidRPr="00ED26BE" w:rsidRDefault="004D61D1">
      <w:pPr>
        <w:widowControl w:val="0"/>
        <w:spacing w:before="240" w:after="240" w:line="360" w:lineRule="auto"/>
        <w:jc w:val="center"/>
        <w:rPr>
          <w:rFonts w:ascii="Palatino Linotype" w:eastAsia="Palatino Linotype" w:hAnsi="Palatino Linotype" w:cs="Palatino Linotype"/>
          <w:b/>
        </w:rPr>
      </w:pPr>
      <w:r w:rsidRPr="00ED26BE">
        <w:rPr>
          <w:rFonts w:ascii="Palatino Linotype" w:eastAsia="Palatino Linotype" w:hAnsi="Palatino Linotype" w:cs="Palatino Linotype"/>
          <w:b/>
        </w:rPr>
        <w:lastRenderedPageBreak/>
        <w:t>II. C O N S I D E R A N D O S</w:t>
      </w:r>
    </w:p>
    <w:p w14:paraId="0D7149C4" w14:textId="6CBE06E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Primero. Competencia.</w:t>
      </w:r>
      <w:r w:rsidRPr="00ED26B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27AF5B"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ED26BE">
        <w:rPr>
          <w:rFonts w:ascii="Palatino Linotype" w:eastAsia="Palatino Linotype" w:hAnsi="Palatino Linotype" w:cs="Palatino Linotype"/>
          <w:b/>
        </w:rPr>
        <w:t>Segundo. Oportunidad y Procedibilidad del Recurso de Revisión</w:t>
      </w:r>
      <w:r w:rsidRPr="00ED26B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7F1704"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remitió </w:t>
      </w:r>
      <w:r w:rsidRPr="00ED26BE">
        <w:rPr>
          <w:rFonts w:ascii="Palatino Linotype" w:eastAsia="Palatino Linotype" w:hAnsi="Palatino Linotype" w:cs="Palatino Linotype"/>
        </w:rPr>
        <w:lastRenderedPageBreak/>
        <w:t xml:space="preserve">la respuesta a la solicitud de información el día </w:t>
      </w:r>
      <w:r w:rsidRPr="00ED26BE">
        <w:rPr>
          <w:rFonts w:ascii="Palatino Linotype" w:eastAsia="Palatino Linotype" w:hAnsi="Palatino Linotype" w:cs="Palatino Linotype"/>
          <w:b/>
        </w:rPr>
        <w:t xml:space="preserve">veintiséis de marzo de dos mil veinticinco, </w:t>
      </w:r>
      <w:r w:rsidRPr="00ED26BE">
        <w:rPr>
          <w:rFonts w:ascii="Palatino Linotype" w:eastAsia="Palatino Linotype" w:hAnsi="Palatino Linotype" w:cs="Palatino Linotype"/>
        </w:rPr>
        <w:t xml:space="preserve">mientras que el recurso de revisión interpuesto por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se tuvo por presentado el día</w:t>
      </w:r>
      <w:r w:rsidRPr="00ED26BE">
        <w:rPr>
          <w:rFonts w:ascii="Palatino Linotype" w:eastAsia="Palatino Linotype" w:hAnsi="Palatino Linotype" w:cs="Palatino Linotype"/>
          <w:b/>
        </w:rPr>
        <w:t xml:space="preserve"> veintiséis de marzo de dos mil veinticinco, </w:t>
      </w:r>
      <w:r w:rsidRPr="00ED26BE">
        <w:rPr>
          <w:rFonts w:ascii="Palatino Linotype" w:eastAsia="Palatino Linotype" w:hAnsi="Palatino Linotype" w:cs="Palatino Linotype"/>
        </w:rPr>
        <w:t>esto es, el mismo día en el que tuvo conocimiento de la respuesta impugnada. En este sentido, se concluye que el presente recurso de revisión se encuentra dentro de los márgenes temporales previstos en las disposiciones legales referidas.</w:t>
      </w:r>
    </w:p>
    <w:p w14:paraId="1DA2CFF1"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A102214"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ED26BE">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w:t>
      </w:r>
      <w:r w:rsidRPr="00ED26BE">
        <w:rPr>
          <w:rFonts w:ascii="Palatino Linotype" w:eastAsia="Palatino Linotype" w:hAnsi="Palatino Linotype" w:cs="Palatino Linotype"/>
          <w:i/>
          <w:sz w:val="22"/>
          <w:szCs w:val="22"/>
        </w:rPr>
        <w:lastRenderedPageBreak/>
        <w:t xml:space="preserve">días, por tanto, no impide que el escrito correspondiente se presente antes de iniciado ese término. De ahí </w:t>
      </w:r>
      <w:proofErr w:type="gramStart"/>
      <w:r w:rsidRPr="00ED26BE">
        <w:rPr>
          <w:rFonts w:ascii="Palatino Linotype" w:eastAsia="Palatino Linotype" w:hAnsi="Palatino Linotype" w:cs="Palatino Linotype"/>
          <w:i/>
          <w:sz w:val="22"/>
          <w:szCs w:val="22"/>
        </w:rPr>
        <w:t>que</w:t>
      </w:r>
      <w:proofErr w:type="gramEnd"/>
      <w:r w:rsidRPr="00ED26BE">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27F7FE5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Además, por cuanto hace a la procedibilidad del recurso de revisión, es de suma importancia señalar que la parte</w:t>
      </w:r>
      <w:r w:rsidRPr="00ED26BE">
        <w:rPr>
          <w:rFonts w:ascii="Palatino Linotype" w:eastAsia="Palatino Linotype" w:hAnsi="Palatino Linotype" w:cs="Palatino Linotype"/>
          <w:b/>
        </w:rPr>
        <w:t xml:space="preserve"> Recurrente</w:t>
      </w:r>
      <w:r w:rsidRPr="00ED26BE">
        <w:rPr>
          <w:rFonts w:ascii="Palatino Linotype" w:eastAsia="Palatino Linotype" w:hAnsi="Palatino Linotype" w:cs="Palatino Linotype"/>
        </w:rPr>
        <w:t xml:space="preserve">, señaló un </w:t>
      </w:r>
      <w:r w:rsidRPr="00ED26BE">
        <w:rPr>
          <w:rFonts w:ascii="Palatino Linotype" w:eastAsia="Palatino Linotype" w:hAnsi="Palatino Linotype" w:cs="Palatino Linotype"/>
          <w:b/>
        </w:rPr>
        <w:t>seudónimo</w:t>
      </w:r>
      <w:r w:rsidRPr="00ED26BE">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E5BF86"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Las solicitudes anónimas</w:t>
      </w:r>
      <w:r w:rsidRPr="00ED26BE">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5BF1690B" w14:textId="77777777" w:rsidR="007702FD" w:rsidRPr="00ED26BE" w:rsidRDefault="004D61D1">
      <w:pPr>
        <w:spacing w:before="240" w:after="240" w:line="360" w:lineRule="auto"/>
        <w:jc w:val="both"/>
        <w:rPr>
          <w:rFonts w:ascii="Palatino Linotype" w:eastAsia="Palatino Linotype" w:hAnsi="Palatino Linotype" w:cs="Palatino Linotype"/>
          <w:b/>
        </w:rPr>
      </w:pPr>
      <w:r w:rsidRPr="00ED26B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ED26BE">
        <w:rPr>
          <w:rFonts w:ascii="Palatino Linotype" w:eastAsia="Palatino Linotype" w:hAnsi="Palatino Linotype" w:cs="Palatino Linotype"/>
          <w:b/>
        </w:rPr>
        <w:t xml:space="preserve"> SAIMEX.</w:t>
      </w:r>
    </w:p>
    <w:p w14:paraId="5757C474"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ED26BE">
        <w:rPr>
          <w:rFonts w:ascii="Palatino Linotype" w:eastAsia="Palatino Linotype" w:hAnsi="Palatino Linotype" w:cs="Palatino Linotype"/>
        </w:rPr>
        <w:t xml:space="preserve">Finalmente, se advierte que resulta procedente la interposición del recurso, según lo manifestado por 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xml:space="preserve"> en sus motivos de inconformidad, de acuerdo al artículo 179, fracción I del ordenamiento legal citado, que a la letra dice: </w:t>
      </w:r>
    </w:p>
    <w:p w14:paraId="5D1880D6" w14:textId="77777777" w:rsidR="007702FD" w:rsidRPr="00ED26BE" w:rsidRDefault="004D61D1">
      <w:pPr>
        <w:tabs>
          <w:tab w:val="left" w:pos="7938"/>
        </w:tabs>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lastRenderedPageBreak/>
        <w:t>“</w:t>
      </w:r>
      <w:r w:rsidRPr="00ED26BE">
        <w:rPr>
          <w:rFonts w:ascii="Palatino Linotype" w:eastAsia="Palatino Linotype" w:hAnsi="Palatino Linotype" w:cs="Palatino Linotype"/>
          <w:b/>
          <w:i/>
          <w:sz w:val="22"/>
          <w:szCs w:val="22"/>
        </w:rPr>
        <w:t>Artículo 179.</w:t>
      </w:r>
      <w:r w:rsidRPr="00ED26B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1384C3" w14:textId="77777777" w:rsidR="007702FD" w:rsidRPr="00ED26BE" w:rsidRDefault="004D61D1">
      <w:pPr>
        <w:tabs>
          <w:tab w:val="left" w:pos="7938"/>
        </w:tabs>
        <w:spacing w:before="120" w:after="120"/>
        <w:ind w:left="1134"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La negativa a la información solicitada;</w:t>
      </w:r>
    </w:p>
    <w:p w14:paraId="57D8D959" w14:textId="77777777" w:rsidR="007702FD" w:rsidRPr="00ED26BE" w:rsidRDefault="004D61D1">
      <w:pPr>
        <w:spacing w:before="240" w:after="240" w:line="360" w:lineRule="auto"/>
        <w:jc w:val="both"/>
        <w:rPr>
          <w:rFonts w:ascii="Palatino Linotype" w:eastAsia="Palatino Linotype" w:hAnsi="Palatino Linotype" w:cs="Palatino Linotype"/>
          <w:b/>
        </w:rPr>
      </w:pPr>
      <w:r w:rsidRPr="00ED26BE">
        <w:rPr>
          <w:rFonts w:ascii="Palatino Linotype" w:eastAsia="Palatino Linotype" w:hAnsi="Palatino Linotype" w:cs="Palatino Linotype"/>
          <w:b/>
        </w:rPr>
        <w:t xml:space="preserve">Tercero. Materia de la revisión. </w:t>
      </w:r>
      <w:r w:rsidRPr="00ED26B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D26B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ED26BE">
        <w:rPr>
          <w:rFonts w:ascii="Palatino Linotype" w:eastAsia="Palatino Linotype" w:hAnsi="Palatino Linotype" w:cs="Palatino Linotype"/>
        </w:rPr>
        <w:t xml:space="preserve">de 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o en su defecto, en caso de ser procedente, ordenar la entrega de información.</w:t>
      </w:r>
    </w:p>
    <w:p w14:paraId="35170120"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ED26BE">
        <w:rPr>
          <w:rFonts w:ascii="Palatino Linotype" w:eastAsia="Palatino Linotype" w:hAnsi="Palatino Linotype" w:cs="Palatino Linotype"/>
          <w:b/>
        </w:rPr>
        <w:t xml:space="preserve">Cuarto. Estudio del asunto. </w:t>
      </w:r>
      <w:r w:rsidRPr="00ED26B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E9301A4"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Artículo 4</w:t>
      </w:r>
      <w:r w:rsidRPr="00ED26B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B2C252"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ED26B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D5CA82"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D26BE">
        <w:rPr>
          <w:rFonts w:ascii="Palatino Linotype" w:eastAsia="Palatino Linotype" w:hAnsi="Palatino Linotype" w:cs="Palatino Linotype"/>
          <w:i/>
          <w:sz w:val="22"/>
          <w:szCs w:val="22"/>
        </w:rPr>
        <w:t>.”</w:t>
      </w:r>
    </w:p>
    <w:p w14:paraId="30C6CDD8"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5D3B19B"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12.-</w:t>
      </w:r>
      <w:r w:rsidRPr="00ED26B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55174DB"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D26BE">
        <w:rPr>
          <w:rFonts w:ascii="Palatino Linotype" w:eastAsia="Palatino Linotype" w:hAnsi="Palatino Linotype" w:cs="Palatino Linotype"/>
          <w:i/>
          <w:sz w:val="22"/>
          <w:szCs w:val="22"/>
        </w:rPr>
        <w:t xml:space="preserve">. </w:t>
      </w:r>
      <w:r w:rsidRPr="00ED26B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ED26BE">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10FCBE78" w14:textId="77777777" w:rsidR="007702FD" w:rsidRPr="00ED26BE" w:rsidRDefault="004D61D1">
      <w:pPr>
        <w:spacing w:before="240" w:after="240" w:line="360" w:lineRule="auto"/>
        <w:ind w:right="-93"/>
        <w:jc w:val="both"/>
        <w:rPr>
          <w:rFonts w:ascii="Palatino Linotype" w:eastAsia="Palatino Linotype" w:hAnsi="Palatino Linotype" w:cs="Palatino Linotype"/>
        </w:rPr>
      </w:pPr>
      <w:r w:rsidRPr="00ED26B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B23AAF4" w14:textId="77777777" w:rsidR="007702FD" w:rsidRPr="00ED26BE" w:rsidRDefault="004D61D1">
      <w:pPr>
        <w:spacing w:before="240" w:after="240" w:line="360" w:lineRule="auto"/>
        <w:jc w:val="both"/>
        <w:rPr>
          <w:rFonts w:ascii="Palatino Linotype" w:eastAsia="Palatino Linotype" w:hAnsi="Palatino Linotype" w:cs="Palatino Linotype"/>
          <w:b/>
        </w:rPr>
      </w:pPr>
      <w:r w:rsidRPr="00ED26BE">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ED26BE">
        <w:rPr>
          <w:rFonts w:ascii="Palatino Linotype" w:eastAsia="Palatino Linotype" w:hAnsi="Palatino Linotype" w:cs="Palatino Linotype"/>
        </w:rPr>
        <w:t>que</w:t>
      </w:r>
      <w:proofErr w:type="gramEnd"/>
      <w:r w:rsidRPr="00ED26BE">
        <w:rPr>
          <w:rFonts w:ascii="Palatino Linotype" w:eastAsia="Palatino Linotype" w:hAnsi="Palatino Linotype" w:cs="Palatino Linotype"/>
        </w:rPr>
        <w:t xml:space="preserve"> por rubro y texto, dispone lo siguiente:</w:t>
      </w:r>
      <w:r w:rsidRPr="00ED26BE">
        <w:rPr>
          <w:rFonts w:ascii="Palatino Linotype" w:eastAsia="Palatino Linotype" w:hAnsi="Palatino Linotype" w:cs="Palatino Linotype"/>
          <w:b/>
        </w:rPr>
        <w:t xml:space="preserve"> </w:t>
      </w:r>
    </w:p>
    <w:p w14:paraId="326236AC"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 “</w:t>
      </w:r>
      <w:r w:rsidRPr="00ED26BE">
        <w:rPr>
          <w:rFonts w:ascii="Palatino Linotype" w:eastAsia="Palatino Linotype" w:hAnsi="Palatino Linotype" w:cs="Palatino Linotype"/>
          <w:b/>
          <w:i/>
          <w:sz w:val="22"/>
          <w:szCs w:val="22"/>
        </w:rPr>
        <w:t>No existe obligación de elaborar documentos ad hoc para atender las solicitudes de acceso a la información.</w:t>
      </w:r>
      <w:r w:rsidRPr="00ED26B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CD82AC4" w14:textId="77777777" w:rsidR="007702FD" w:rsidRPr="00ED26BE" w:rsidRDefault="004D61D1">
      <w:pPr>
        <w:spacing w:before="120" w:after="12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ED8995" w14:textId="77777777" w:rsidR="007702FD" w:rsidRPr="00ED26BE" w:rsidRDefault="004D61D1">
      <w:pPr>
        <w:spacing w:before="120" w:after="12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C3CDA8"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 xml:space="preserve">Artículo 3. </w:t>
      </w:r>
      <w:r w:rsidRPr="00ED26BE">
        <w:rPr>
          <w:rFonts w:ascii="Palatino Linotype" w:eastAsia="Palatino Linotype" w:hAnsi="Palatino Linotype" w:cs="Palatino Linotype"/>
          <w:i/>
          <w:sz w:val="22"/>
          <w:szCs w:val="22"/>
        </w:rPr>
        <w:t>Para los efectos de la presente Ley se entenderá por:</w:t>
      </w:r>
    </w:p>
    <w:p w14:paraId="1CB5662C"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761D6C0A"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XI. Documento:</w:t>
      </w:r>
      <w:r w:rsidRPr="00ED26BE">
        <w:rPr>
          <w:rFonts w:ascii="Palatino Linotype" w:eastAsia="Palatino Linotype" w:hAnsi="Palatino Linotype" w:cs="Palatino Linotype"/>
          <w:i/>
          <w:sz w:val="22"/>
          <w:szCs w:val="22"/>
        </w:rPr>
        <w:t xml:space="preserve"> Los expedientes, reportes, estudios, actas</w:t>
      </w:r>
      <w:r w:rsidRPr="00ED26BE">
        <w:rPr>
          <w:rFonts w:ascii="Palatino Linotype" w:eastAsia="Palatino Linotype" w:hAnsi="Palatino Linotype" w:cs="Palatino Linotype"/>
          <w:b/>
          <w:i/>
          <w:sz w:val="22"/>
          <w:szCs w:val="22"/>
        </w:rPr>
        <w:t>,</w:t>
      </w:r>
      <w:r w:rsidRPr="00ED26B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w:t>
      </w:r>
      <w:r w:rsidRPr="00ED26BE">
        <w:rPr>
          <w:rFonts w:ascii="Palatino Linotype" w:eastAsia="Palatino Linotype" w:hAnsi="Palatino Linotype" w:cs="Palatino Linotype"/>
          <w:i/>
          <w:sz w:val="22"/>
          <w:szCs w:val="22"/>
        </w:rPr>
        <w:lastRenderedPageBreak/>
        <w:t xml:space="preserve">cualquier medio, sea escrito, impreso, sonoro, visual, electrónico, informático u holográfico…” </w:t>
      </w:r>
    </w:p>
    <w:p w14:paraId="61C6B577"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2C7D8F"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sz w:val="22"/>
          <w:szCs w:val="22"/>
        </w:rPr>
        <w:t>“</w:t>
      </w:r>
      <w:r w:rsidRPr="00ED26B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D26B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D99CF0"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En </w:t>
      </w:r>
      <w:proofErr w:type="gramStart"/>
      <w:r w:rsidRPr="00ED26BE">
        <w:rPr>
          <w:rFonts w:ascii="Palatino Linotype" w:eastAsia="Palatino Linotype" w:hAnsi="Palatino Linotype" w:cs="Palatino Linotype"/>
          <w:i/>
          <w:sz w:val="22"/>
          <w:szCs w:val="22"/>
        </w:rPr>
        <w:t>consecuencia</w:t>
      </w:r>
      <w:proofErr w:type="gramEnd"/>
      <w:r w:rsidRPr="00ED26B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F664954"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D26BE">
        <w:rPr>
          <w:rFonts w:ascii="Palatino Linotype" w:eastAsia="Palatino Linotype" w:hAnsi="Palatino Linotype" w:cs="Palatino Linotype"/>
          <w:i/>
          <w:sz w:val="22"/>
          <w:szCs w:val="22"/>
        </w:rPr>
        <w:t>que</w:t>
      </w:r>
      <w:proofErr w:type="gramEnd"/>
      <w:r w:rsidRPr="00ED26BE">
        <w:rPr>
          <w:rFonts w:ascii="Palatino Linotype" w:eastAsia="Palatino Linotype" w:hAnsi="Palatino Linotype" w:cs="Palatino Linotype"/>
          <w:i/>
          <w:sz w:val="22"/>
          <w:szCs w:val="22"/>
        </w:rPr>
        <w:t xml:space="preserve"> en ejercicio de las atribuciones conferidas, sea generada por los Sujetos Obligados;</w:t>
      </w:r>
    </w:p>
    <w:p w14:paraId="3217E073"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2) Que se trate de información registrada en cualquier soporte documental, </w:t>
      </w:r>
      <w:proofErr w:type="gramStart"/>
      <w:r w:rsidRPr="00ED26BE">
        <w:rPr>
          <w:rFonts w:ascii="Palatino Linotype" w:eastAsia="Palatino Linotype" w:hAnsi="Palatino Linotype" w:cs="Palatino Linotype"/>
          <w:i/>
          <w:sz w:val="22"/>
          <w:szCs w:val="22"/>
        </w:rPr>
        <w:t>que</w:t>
      </w:r>
      <w:proofErr w:type="gramEnd"/>
      <w:r w:rsidRPr="00ED26BE">
        <w:rPr>
          <w:rFonts w:ascii="Palatino Linotype" w:eastAsia="Palatino Linotype" w:hAnsi="Palatino Linotype" w:cs="Palatino Linotype"/>
          <w:i/>
          <w:sz w:val="22"/>
          <w:szCs w:val="22"/>
        </w:rPr>
        <w:t xml:space="preserve"> en ejercicio de las atribuciones conferidas, sea administrada por los Sujetos Obligados, y</w:t>
      </w:r>
    </w:p>
    <w:p w14:paraId="590A79D0"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3) Que se trate de información registrada en cualquier soporte documental, </w:t>
      </w:r>
      <w:proofErr w:type="gramStart"/>
      <w:r w:rsidRPr="00ED26BE">
        <w:rPr>
          <w:rFonts w:ascii="Palatino Linotype" w:eastAsia="Palatino Linotype" w:hAnsi="Palatino Linotype" w:cs="Palatino Linotype"/>
          <w:i/>
          <w:sz w:val="22"/>
          <w:szCs w:val="22"/>
        </w:rPr>
        <w:t>que</w:t>
      </w:r>
      <w:proofErr w:type="gramEnd"/>
      <w:r w:rsidRPr="00ED26BE">
        <w:rPr>
          <w:rFonts w:ascii="Palatino Linotype" w:eastAsia="Palatino Linotype" w:hAnsi="Palatino Linotype" w:cs="Palatino Linotype"/>
          <w:i/>
          <w:sz w:val="22"/>
          <w:szCs w:val="22"/>
        </w:rPr>
        <w:t xml:space="preserve"> en ejercicio de las atribuciones conferidas, se encuentre en posesión de los Sujetos Obligados.”</w:t>
      </w:r>
    </w:p>
    <w:p w14:paraId="01EFF8D5" w14:textId="77777777" w:rsidR="007702FD" w:rsidRPr="00ED26BE" w:rsidRDefault="004D61D1">
      <w:pP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E29B5CE"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130830B" w14:textId="77777777" w:rsidR="007702FD" w:rsidRPr="00ED26BE" w:rsidRDefault="004D61D1">
      <w:pP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xml:space="preserve"> requirió al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le proporcione, información consistente en lo siguiente:</w:t>
      </w:r>
    </w:p>
    <w:p w14:paraId="4D201A6E" w14:textId="77777777" w:rsidR="007702FD" w:rsidRPr="00ED26BE" w:rsidRDefault="004D61D1">
      <w:pPr>
        <w:spacing w:before="240" w:after="240" w:line="360" w:lineRule="auto"/>
        <w:ind w:left="284"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1. El nombre del </w:t>
      </w:r>
      <w:proofErr w:type="gramStart"/>
      <w:r w:rsidRPr="00ED26BE">
        <w:rPr>
          <w:rFonts w:ascii="Palatino Linotype" w:eastAsia="Palatino Linotype" w:hAnsi="Palatino Linotype" w:cs="Palatino Linotype"/>
        </w:rPr>
        <w:t>Director</w:t>
      </w:r>
      <w:proofErr w:type="gramEnd"/>
      <w:r w:rsidRPr="00ED26BE">
        <w:rPr>
          <w:rFonts w:ascii="Palatino Linotype" w:eastAsia="Palatino Linotype" w:hAnsi="Palatino Linotype" w:cs="Palatino Linotype"/>
        </w:rPr>
        <w:t xml:space="preserve"> de Administración y Finanzas, o Tesorero o Director de Administración, o de los tres de ser el caso, de la administración 2025-2027.</w:t>
      </w:r>
    </w:p>
    <w:p w14:paraId="63A2DB34" w14:textId="77777777" w:rsidR="007702FD" w:rsidRPr="00ED26BE" w:rsidRDefault="004D61D1">
      <w:pPr>
        <w:spacing w:before="240" w:after="240" w:line="360" w:lineRule="auto"/>
        <w:ind w:left="284" w:right="49"/>
        <w:jc w:val="both"/>
        <w:rPr>
          <w:rFonts w:ascii="Palatino Linotype" w:eastAsia="Palatino Linotype" w:hAnsi="Palatino Linotype" w:cs="Palatino Linotype"/>
        </w:rPr>
      </w:pPr>
      <w:r w:rsidRPr="00ED26BE">
        <w:rPr>
          <w:rFonts w:ascii="Palatino Linotype" w:eastAsia="Palatino Linotype" w:hAnsi="Palatino Linotype" w:cs="Palatino Linotype"/>
        </w:rPr>
        <w:t>2. Recibo de nómina de la primera quincena de enero de dos mil veinticinco, del o los servidores públicos referidos en el punto 1.</w:t>
      </w:r>
    </w:p>
    <w:p w14:paraId="79C053A5"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respuesta, la Unidad de Transparencia por conducto del </w:t>
      </w:r>
      <w:proofErr w:type="gramStart"/>
      <w:r w:rsidRPr="00ED26BE">
        <w:rPr>
          <w:rFonts w:ascii="Palatino Linotype" w:eastAsia="Palatino Linotype" w:hAnsi="Palatino Linotype" w:cs="Palatino Linotype"/>
        </w:rPr>
        <w:t>Jefe</w:t>
      </w:r>
      <w:proofErr w:type="gramEnd"/>
      <w:r w:rsidRPr="00ED26BE">
        <w:rPr>
          <w:rFonts w:ascii="Palatino Linotype" w:eastAsia="Palatino Linotype" w:hAnsi="Palatino Linotype" w:cs="Palatino Linotype"/>
        </w:rPr>
        <w:t xml:space="preserve"> de Departamento de Recursos Humanos refirió que de acuerdo a la Ley Federal de Protección de Datos Personales, no le es permitido proporcionar datos sensibles, como el nombre, teléfono personal, el correo electrónico, entre otros, sin el consentimiento del servidor público.</w:t>
      </w:r>
    </w:p>
    <w:p w14:paraId="6255E783"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Al no estar conforme con los términos de la respuesta proporcionada por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la persona solicitante interpuso el recurso de revisión que se resuelve, mediante el cual alegó, en lo medular, la negativa en la entrega de la información.</w:t>
      </w:r>
    </w:p>
    <w:p w14:paraId="149F6F20"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Asimismo, realizó diversos planteamientos subjetivos, tales como </w:t>
      </w:r>
      <w:r w:rsidRPr="00ED26BE">
        <w:rPr>
          <w:rFonts w:ascii="Palatino Linotype" w:eastAsia="Palatino Linotype" w:hAnsi="Palatino Linotype" w:cs="Palatino Linotype"/>
          <w:i/>
        </w:rPr>
        <w:t>“SE ME HACE DE MUY MAL GUSTO Y UNA OFENSA [...] SE ME HACE DE VERDAD UN DESCARO [...] DEJEN DE PROTEJERCE PORQUE NUNCA HE ENTENDIDO PORQUE RAZON OCULTAN INFORMACION”(</w:t>
      </w:r>
      <w:r w:rsidRPr="00ED26BE">
        <w:rPr>
          <w:rFonts w:ascii="Palatino Linotype" w:eastAsia="Palatino Linotype" w:hAnsi="Palatino Linotype" w:cs="Palatino Linotype"/>
        </w:rPr>
        <w:t xml:space="preserve">sic), ante lo cual se puntualiza que </w:t>
      </w:r>
      <w:r w:rsidRPr="00ED26BE">
        <w:rPr>
          <w:rFonts w:ascii="Palatino Linotype" w:eastAsia="Palatino Linotype" w:hAnsi="Palatino Linotype" w:cs="Palatino Linotype"/>
        </w:rPr>
        <w:lastRenderedPageBreak/>
        <w:t>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4376CCA2"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Ahora bien, durante el periodo de manifestaciones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proporcionó el nombre del Tesorero en funciones, así como su recibo de nómina de la primera quincena de enero y la primera quincena de marzo de dos mil veinticinco, en aparente versión pública, información que se hizo del conocimiento de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 xml:space="preserve">fue omisa en hacer valer manifestaciones o rendir alegatos que conforme a derecho resultaran procedentes, por lo </w:t>
      </w:r>
      <w:proofErr w:type="gramStart"/>
      <w:r w:rsidRPr="00ED26BE">
        <w:rPr>
          <w:rFonts w:ascii="Palatino Linotype" w:eastAsia="Palatino Linotype" w:hAnsi="Palatino Linotype" w:cs="Palatino Linotype"/>
        </w:rPr>
        <w:t>tanto</w:t>
      </w:r>
      <w:proofErr w:type="gramEnd"/>
      <w:r w:rsidRPr="00ED26BE">
        <w:rPr>
          <w:rFonts w:ascii="Palatino Linotype" w:eastAsia="Palatino Linotype" w:hAnsi="Palatino Linotype" w:cs="Palatino Linotype"/>
        </w:rPr>
        <w:t xml:space="preserve"> se tiene por precluido su derecho.</w:t>
      </w:r>
    </w:p>
    <w:p w14:paraId="3F952A8F" w14:textId="77777777" w:rsidR="007702FD" w:rsidRPr="00ED26BE" w:rsidRDefault="004D61D1">
      <w:pPr>
        <w:spacing w:before="280" w:after="28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en contraposición con el motivo de inconformidad alegado por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 xml:space="preserve">con la finalidad de determinar si el Derecho de acceso de esta se </w:t>
      </w:r>
      <w:r w:rsidRPr="00ED26BE">
        <w:rPr>
          <w:rFonts w:ascii="Palatino Linotype" w:eastAsia="Palatino Linotype" w:hAnsi="Palatino Linotype" w:cs="Palatino Linotype"/>
        </w:rPr>
        <w:lastRenderedPageBreak/>
        <w:t>satisfizo, o en su defecto, señalar los documentos que en el ejercicio de sus atribuciones pudo haber generado, y que, de manera enunciativa más no limitativa, pudieran colmar dicho derecho, en caso de ser procedente.</w:t>
      </w:r>
    </w:p>
    <w:p w14:paraId="588E8345"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este tenor, tomando en consideración la materia de la solicitud, es oportuno referir que de conformidad con el artículo 145, </w:t>
      </w:r>
      <w:proofErr w:type="gramStart"/>
      <w:r w:rsidRPr="00ED26BE">
        <w:rPr>
          <w:rFonts w:ascii="Palatino Linotype" w:eastAsia="Palatino Linotype" w:hAnsi="Palatino Linotype" w:cs="Palatino Linotype"/>
        </w:rPr>
        <w:t>del  Reglamento</w:t>
      </w:r>
      <w:proofErr w:type="gramEnd"/>
      <w:r w:rsidRPr="00ED26BE">
        <w:rPr>
          <w:rFonts w:ascii="Palatino Linotype" w:eastAsia="Palatino Linotype" w:hAnsi="Palatino Linotype" w:cs="Palatino Linotype"/>
        </w:rPr>
        <w:t xml:space="preserve"> Orgánico Municipal de la Paz, publicado en la Gaceta Municipal número 3, del veintisiete de enero de dos mil veinticinco, el Organismo Público Descentralizado de Agua Potable, Alcantarillado y Saneamiento se integra de las siguientes unidades administrativas:</w:t>
      </w:r>
    </w:p>
    <w:p w14:paraId="6E4EC74E"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t>Artículo 145.- El Organismo Público Descentralizado de Agua Potable, Alcantarillado y Saneamiento (OPDAPAS), está integrado con las unidades administrativas siguientes:</w:t>
      </w:r>
    </w:p>
    <w:p w14:paraId="5F40E1FC"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I.- DIRECCIÓN GENERAL.</w:t>
      </w:r>
    </w:p>
    <w:p w14:paraId="572A7B0E"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13BFA141"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u w:val="single"/>
        </w:rPr>
      </w:pPr>
      <w:r w:rsidRPr="00ED26BE">
        <w:rPr>
          <w:rFonts w:ascii="Palatino Linotype" w:eastAsia="Palatino Linotype" w:hAnsi="Palatino Linotype" w:cs="Palatino Linotype"/>
          <w:b/>
          <w:i/>
          <w:sz w:val="22"/>
          <w:szCs w:val="22"/>
          <w:u w:val="single"/>
        </w:rPr>
        <w:t xml:space="preserve">II.- TESORERÍA. </w:t>
      </w:r>
    </w:p>
    <w:p w14:paraId="3999F3EF"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Coordinación de Administración y Finanzas. </w:t>
      </w:r>
    </w:p>
    <w:p w14:paraId="622FEFF0"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II.II.- Departamento de Recursos Humanos</w:t>
      </w:r>
      <w:r w:rsidRPr="00ED26BE">
        <w:rPr>
          <w:rFonts w:ascii="Palatino Linotype" w:eastAsia="Palatino Linotype" w:hAnsi="Palatino Linotype" w:cs="Palatino Linotype"/>
          <w:i/>
          <w:sz w:val="22"/>
          <w:szCs w:val="22"/>
        </w:rPr>
        <w:t xml:space="preserve">. </w:t>
      </w:r>
    </w:p>
    <w:p w14:paraId="6414BB67"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proofErr w:type="gramStart"/>
      <w:r w:rsidRPr="00ED26BE">
        <w:rPr>
          <w:rFonts w:ascii="Palatino Linotype" w:eastAsia="Palatino Linotype" w:hAnsi="Palatino Linotype" w:cs="Palatino Linotype"/>
          <w:b/>
          <w:i/>
          <w:sz w:val="22"/>
          <w:szCs w:val="22"/>
        </w:rPr>
        <w:t>II.III.-</w:t>
      </w:r>
      <w:proofErr w:type="gramEnd"/>
      <w:r w:rsidRPr="00ED26BE">
        <w:rPr>
          <w:rFonts w:ascii="Palatino Linotype" w:eastAsia="Palatino Linotype" w:hAnsi="Palatino Linotype" w:cs="Palatino Linotype"/>
          <w:i/>
          <w:sz w:val="22"/>
          <w:szCs w:val="22"/>
        </w:rPr>
        <w:t xml:space="preserve"> Departamento de Patrimonio y Parque Vehicular. </w:t>
      </w:r>
    </w:p>
    <w:p w14:paraId="0A6649DE"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II.IV</w:t>
      </w:r>
      <w:r w:rsidRPr="00ED26BE">
        <w:rPr>
          <w:rFonts w:ascii="Palatino Linotype" w:eastAsia="Palatino Linotype" w:hAnsi="Palatino Linotype" w:cs="Palatino Linotype"/>
          <w:i/>
          <w:sz w:val="22"/>
          <w:szCs w:val="22"/>
        </w:rPr>
        <w:t xml:space="preserve">.- Departamento de Adquisiciones. </w:t>
      </w:r>
    </w:p>
    <w:p w14:paraId="112C8F43"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II.V.-</w:t>
      </w:r>
      <w:r w:rsidRPr="00ED26BE">
        <w:rPr>
          <w:rFonts w:ascii="Palatino Linotype" w:eastAsia="Palatino Linotype" w:hAnsi="Palatino Linotype" w:cs="Palatino Linotype"/>
          <w:i/>
          <w:sz w:val="22"/>
          <w:szCs w:val="22"/>
        </w:rPr>
        <w:t xml:space="preserve"> Departamento de Servicios Generales. </w:t>
      </w:r>
    </w:p>
    <w:p w14:paraId="7580A6FF"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proofErr w:type="gramStart"/>
      <w:r w:rsidRPr="00ED26BE">
        <w:rPr>
          <w:rFonts w:ascii="Palatino Linotype" w:eastAsia="Palatino Linotype" w:hAnsi="Palatino Linotype" w:cs="Palatino Linotype"/>
          <w:b/>
          <w:i/>
          <w:sz w:val="22"/>
          <w:szCs w:val="22"/>
        </w:rPr>
        <w:t>II.VI.-</w:t>
      </w:r>
      <w:proofErr w:type="gramEnd"/>
      <w:r w:rsidRPr="00ED26BE">
        <w:rPr>
          <w:rFonts w:ascii="Palatino Linotype" w:eastAsia="Palatino Linotype" w:hAnsi="Palatino Linotype" w:cs="Palatino Linotype"/>
          <w:i/>
          <w:sz w:val="22"/>
          <w:szCs w:val="22"/>
        </w:rPr>
        <w:t xml:space="preserve"> Departamento de Almacén. </w:t>
      </w:r>
    </w:p>
    <w:p w14:paraId="6393848A"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III.- DIRECCIÓN DE INFRAESTRUCTURA HIDRÁULICA.</w:t>
      </w:r>
    </w:p>
    <w:p w14:paraId="2D507E5F" w14:textId="77777777" w:rsidR="007702FD" w:rsidRPr="00ED26BE" w:rsidRDefault="004D61D1">
      <w:pPr>
        <w:tabs>
          <w:tab w:val="left" w:pos="2100"/>
        </w:tabs>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i/>
          <w:sz w:val="22"/>
          <w:szCs w:val="22"/>
        </w:rPr>
        <w:tab/>
      </w:r>
    </w:p>
    <w:p w14:paraId="040CCCFF"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IV.- DIRECCIÓN DE COMERCIALIZACIÓN.</w:t>
      </w:r>
    </w:p>
    <w:p w14:paraId="7A20F4E0"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lastRenderedPageBreak/>
        <w:t>...</w:t>
      </w:r>
    </w:p>
    <w:p w14:paraId="5D5F35F3"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 xml:space="preserve">V.- DIRECCIÓN DE INFRAESTRUCTURA SANITARIA. </w:t>
      </w:r>
    </w:p>
    <w:p w14:paraId="28A59FCB"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w:t>
      </w:r>
    </w:p>
    <w:p w14:paraId="74EFF387"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Como logra vislumbrarse, en la estructura orgánica del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aprobada para la administración 2025-2027 no se contempla una Dirección de Administración y Finanzas, o una Dirección de Administración, en cambio, cuenta con una Tesorería la cual se auxilia de la Coordinación de Administración y Finanzas, así como de los departamentos de Recursos Humanos, de Patrimonio y Parque Vehicular, de Adquisiciones, de Servicios Generales, de Almacén.</w:t>
      </w:r>
    </w:p>
    <w:p w14:paraId="345E7881"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Por otro lado,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741CD73"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2736D6D" w14:textId="77777777" w:rsidR="007702FD" w:rsidRPr="00ED26BE" w:rsidRDefault="004D61D1">
      <w:pP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4139AE5D"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CE2EF5D"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En el caso particular, derivado del análisis de las constancias que obran en el expediente electrónico en el que se actúa, se advirtió que la Unidad de Transparencia, turnó la solicitud de información para su atención al Departamento de Recursos Humanos, entre cuyas atribuciones se encuentran las siguientes:</w:t>
      </w:r>
    </w:p>
    <w:p w14:paraId="0905AADD" w14:textId="77777777" w:rsidR="007702FD" w:rsidRPr="00ED26BE" w:rsidRDefault="004D61D1">
      <w:pPr>
        <w:spacing w:before="240" w:after="240" w:line="360" w:lineRule="auto"/>
        <w:ind w:left="284"/>
        <w:jc w:val="both"/>
        <w:rPr>
          <w:rFonts w:ascii="Palatino Linotype" w:eastAsia="Palatino Linotype" w:hAnsi="Palatino Linotype" w:cs="Palatino Linotype"/>
        </w:rPr>
      </w:pPr>
      <w:r w:rsidRPr="00ED26BE">
        <w:rPr>
          <w:rFonts w:ascii="Palatino Linotype" w:eastAsia="Palatino Linotype" w:hAnsi="Palatino Linotype" w:cs="Palatino Linotype"/>
        </w:rPr>
        <w:t>- Formar y llevar el control de los expedientes laborales de los servidores públicos adscritos al Organismo.</w:t>
      </w:r>
    </w:p>
    <w:p w14:paraId="39789F3A" w14:textId="77777777" w:rsidR="007702FD" w:rsidRPr="00ED26BE" w:rsidRDefault="004D61D1">
      <w:pPr>
        <w:spacing w:before="240" w:after="240" w:line="360" w:lineRule="auto"/>
        <w:ind w:left="284"/>
        <w:jc w:val="both"/>
        <w:rPr>
          <w:rFonts w:ascii="Palatino Linotype" w:eastAsia="Palatino Linotype" w:hAnsi="Palatino Linotype" w:cs="Palatino Linotype"/>
        </w:rPr>
      </w:pPr>
      <w:r w:rsidRPr="00ED26BE">
        <w:rPr>
          <w:rFonts w:ascii="Palatino Linotype" w:eastAsia="Palatino Linotype" w:hAnsi="Palatino Linotype" w:cs="Palatino Linotype"/>
        </w:rPr>
        <w:t>- Efectuar quincenalmente el pago de remuneraciones devengadas efectivamente al personal del Organismo, mediante la implementación de disposiciones y mecanismos operativos eficaces y eficientes en coordinación con la Subdirección de Recursos Humanos.</w:t>
      </w:r>
    </w:p>
    <w:p w14:paraId="63813DB9" w14:textId="77777777" w:rsidR="007702FD" w:rsidRPr="00ED26BE" w:rsidRDefault="004D61D1">
      <w:pPr>
        <w:tabs>
          <w:tab w:val="left" w:pos="3544"/>
        </w:tabs>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Con base en lo previo, se colige que el Departamento de Recursos Humanos, adscrito a la Tesorería del Organismo cuenta competencia para conocer de la información que es del interés de la persona solicitante,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7029D140" w14:textId="77777777" w:rsidR="007702FD" w:rsidRPr="00ED26BE" w:rsidRDefault="004D61D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 xml:space="preserve">En este sentido, en un primer momento el servidor público habilitado del Departamento de Recursos Humanos negó el acceso a la información bajo el argumento de que se encontraba impedido para proporcionar datos sensibles sin el consentimiento del servidor público, no obstante al momento de rendir manifestaciones, se </w:t>
      </w:r>
      <w:r w:rsidRPr="00ED26BE">
        <w:rPr>
          <w:rFonts w:ascii="Palatino Linotype" w:eastAsia="Palatino Linotype" w:hAnsi="Palatino Linotype" w:cs="Palatino Linotype"/>
          <w:b/>
          <w:u w:val="single"/>
        </w:rPr>
        <w:t>proporcionó el nombre del Tesorero en funciones,</w:t>
      </w:r>
      <w:r w:rsidRPr="00ED26BE">
        <w:rPr>
          <w:rFonts w:ascii="Palatino Linotype" w:eastAsia="Palatino Linotype" w:hAnsi="Palatino Linotype" w:cs="Palatino Linotype"/>
        </w:rPr>
        <w:t xml:space="preserve"> y su recibo de nómina de la primera quincena de enero de dos mil veinticinco, información que si bien corresponde con lo solicitado, es insuficiente para tener por satisfecha la solicitud de información por lo que se refiere al recibo de nómina del servidor público, el cual se entregó testado sin que obre en el expediente electrónico el acta del Comité de Transparencia mediante la cual se expongan, de manera fundada y motivada los motivos por los cuales se eliminaron datos de dicho soporte documental.</w:t>
      </w:r>
    </w:p>
    <w:p w14:paraId="0F4D656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Al respecto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a través de la clasificación de la información como confidencial o reservada, como se desprende del artículo 91 de la </w:t>
      </w:r>
      <w:r w:rsidRPr="00ED26BE">
        <w:rPr>
          <w:rFonts w:ascii="Palatino Linotype" w:eastAsia="Palatino Linotype" w:hAnsi="Palatino Linotype" w:cs="Palatino Linotype"/>
        </w:rPr>
        <w:lastRenderedPageBreak/>
        <w:t>Ley de Transparencia y Acceso a la Información Pública del Estado de México y Municipios, que es del tenor literal siguiente:</w:t>
      </w:r>
    </w:p>
    <w:p w14:paraId="27391D6E" w14:textId="77777777" w:rsidR="007702FD" w:rsidRPr="00ED26BE" w:rsidRDefault="004D61D1">
      <w:pPr>
        <w:spacing w:before="120" w:after="120"/>
        <w:ind w:left="851" w:right="902"/>
        <w:jc w:val="both"/>
        <w:rPr>
          <w:rFonts w:ascii="Palatino Linotype" w:eastAsia="Palatino Linotype" w:hAnsi="Palatino Linotype" w:cs="Palatino Linotype"/>
          <w:i/>
        </w:rPr>
      </w:pPr>
      <w:r w:rsidRPr="00ED26BE">
        <w:rPr>
          <w:rFonts w:ascii="Palatino Linotype" w:eastAsia="Palatino Linotype" w:hAnsi="Palatino Linotype" w:cs="Palatino Linotype"/>
          <w:b/>
          <w:i/>
        </w:rPr>
        <w:t xml:space="preserve"> “Artículo 91. </w:t>
      </w:r>
      <w:r w:rsidRPr="00ED26BE">
        <w:rPr>
          <w:rFonts w:ascii="Palatino Linotype" w:eastAsia="Palatino Linotype" w:hAnsi="Palatino Linotype" w:cs="Palatino Linotype"/>
          <w:i/>
        </w:rPr>
        <w:t xml:space="preserve">El acceso a la información pública será </w:t>
      </w:r>
      <w:proofErr w:type="gramStart"/>
      <w:r w:rsidRPr="00ED26BE">
        <w:rPr>
          <w:rFonts w:ascii="Palatino Linotype" w:eastAsia="Palatino Linotype" w:hAnsi="Palatino Linotype" w:cs="Palatino Linotype"/>
          <w:i/>
        </w:rPr>
        <w:t>restringido  excepcionalmente</w:t>
      </w:r>
      <w:proofErr w:type="gramEnd"/>
      <w:r w:rsidRPr="00ED26BE">
        <w:rPr>
          <w:rFonts w:ascii="Palatino Linotype" w:eastAsia="Palatino Linotype" w:hAnsi="Palatino Linotype" w:cs="Palatino Linotype"/>
          <w:i/>
        </w:rPr>
        <w:t>, cuando ésta sea clasificada como reservada o confidencial.”</w:t>
      </w:r>
    </w:p>
    <w:p w14:paraId="552AD116"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Sin embargo, es importante mencionar que </w:t>
      </w:r>
      <w:r w:rsidRPr="00ED26BE">
        <w:rPr>
          <w:rFonts w:ascii="Palatino Linotype" w:eastAsia="Palatino Linotype" w:hAnsi="Palatino Linotype" w:cs="Palatino Linotype"/>
          <w:b/>
          <w:u w:val="single"/>
        </w:rPr>
        <w:t>la restricción al derecho de acceso a la información implica necesariamente una clasificación</w:t>
      </w:r>
      <w:r w:rsidRPr="00ED26BE">
        <w:rPr>
          <w:rFonts w:ascii="Palatino Linotype" w:eastAsia="Palatino Linotype" w:hAnsi="Palatino Linotype" w:cs="Palatino Linotype"/>
        </w:rPr>
        <w:t>, la cual debe entenderse como el proceso mediante el cual un Sujeto Obligado determina que la información en su poder, actualiza alguno de los supuestos de reserva o confidencialidad, de conformidad con las normas aplicables.</w:t>
      </w:r>
    </w:p>
    <w:p w14:paraId="66A427C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Debe decirse que la Ley de Transparencia y Acceso a la Información Pública del Estado de México y Municipios, define como </w:t>
      </w:r>
      <w:r w:rsidRPr="00ED26BE">
        <w:rPr>
          <w:rFonts w:ascii="Palatino Linotype" w:eastAsia="Palatino Linotype" w:hAnsi="Palatino Linotype" w:cs="Palatino Linotype"/>
          <w:b/>
        </w:rPr>
        <w:t xml:space="preserve">información reservada </w:t>
      </w:r>
      <w:r w:rsidRPr="00ED26BE">
        <w:rPr>
          <w:rFonts w:ascii="Palatino Linotype" w:eastAsia="Palatino Linotype" w:hAnsi="Palatino Linotype" w:cs="Palatino Linotype"/>
        </w:rPr>
        <w:t xml:space="preserve">a la información pública clasificada con este carácter de manera temporal por las disposiciones de la Ley de la Materia, cuya divulgación puede causar daños a las  seguridad pública, cuyos supuestos se encuentran establecidos en el en el artículo 140 de la Ley de Transparencia y Acceso a la Información Pública del Estado de México y Municipios; y como </w:t>
      </w:r>
      <w:r w:rsidRPr="00ED26BE">
        <w:rPr>
          <w:rFonts w:ascii="Palatino Linotype" w:eastAsia="Palatino Linotype" w:hAnsi="Palatino Linotype" w:cs="Palatino Linotype"/>
          <w:b/>
        </w:rPr>
        <w:t>información confidencial</w:t>
      </w:r>
      <w:r w:rsidRPr="00ED26BE">
        <w:rPr>
          <w:rFonts w:ascii="Palatino Linotype" w:eastAsia="Palatino Linotype" w:hAnsi="Palatino Linotype" w:cs="Palatino Linotype"/>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w:t>
      </w:r>
      <w:r w:rsidRPr="00ED26BE">
        <w:rPr>
          <w:rFonts w:ascii="Palatino Linotype" w:eastAsia="Palatino Linotype" w:hAnsi="Palatino Linotype" w:cs="Palatino Linotype"/>
        </w:rPr>
        <w:lastRenderedPageBreak/>
        <w:t>vida privada y/o los datos personales, que no son de acceso público, cuyos supuestos se encuentran en el artículo 143 de la Ley de Transparencia y Acceso a la Información Pública del Estado de México y Municipios.</w:t>
      </w:r>
    </w:p>
    <w:p w14:paraId="429822D7" w14:textId="77777777" w:rsidR="007702FD" w:rsidRPr="00ED26BE" w:rsidRDefault="004D61D1">
      <w:pPr>
        <w:spacing w:before="280" w:after="28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t>No obstante, es de precisar que la clasificación de la información no se da por el simple mandato de la Ley, sino que es necesario que los Sujetos Obligados,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17D687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Por lo tanto, la entrega de documentos en su versión pública </w:t>
      </w:r>
      <w:r w:rsidRPr="00ED26BE">
        <w:rPr>
          <w:rFonts w:ascii="Palatino Linotype" w:eastAsia="Palatino Linotype" w:hAnsi="Palatino Linotype" w:cs="Palatino Linotype"/>
          <w:b/>
          <w:u w:val="single"/>
        </w:rPr>
        <w:t>debe acompañarse necesariamente del Acuerdo del Comité de Transparencia</w:t>
      </w:r>
      <w:r w:rsidRPr="00ED26BE">
        <w:rPr>
          <w:rFonts w:ascii="Palatino Linotype" w:eastAsia="Palatino Linotype" w:hAnsi="Palatino Linotype" w:cs="Palatino Linotype"/>
        </w:rPr>
        <w:t xml:space="preserve"> que la sustente, el cual debe estar debidamente fundado y motivado, en el que se expongan los fundamentos y razonamientos que llevaron al Sujeto Obligado a testar, suprimir o </w:t>
      </w:r>
      <w:r w:rsidRPr="00ED26BE">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como acontece en el presente caso, al haberse testado, además del Registro Federal de Contribuyentes (RFC), la Clave Única de Registro de Población (CURP), la Clave ISSEMyM y el Código QR, con los cuales se coincide al corresponder con datos personales como se detallará en el siguiente considerando; la fecha de ingreso, el monto de la deducción por concepto de la retención del Impuesto Sobre la Renta (ISR), el folio fiscal, la fecha y hora de certificación, el número de serie del SAT, la fecha y hora de emisión, el folio, la clave de la forma de pago, el método de pago, el número de serie del emisor, el sello digital del contribuyente emisor, el sello digital del SAT, y la cadena original del complemento de certificación digital del SAT, sin que se adviertan las razones por las cuales dichos datos deben ser protegidos, pues se insiste, no se entregó el acuerdo del Comité de Transparencia que sustentara de manera fundada y motivada la clasificación de los mismos, por lo tanto, no se encuentra justificada la eliminación de los mismos en el soporte documental remitido.</w:t>
      </w:r>
    </w:p>
    <w:p w14:paraId="231EBA89"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Sin perder de vista además que en el caso de la fecha de ingreso y el monto de la deducción por concepto de la retención del Impuesto Sobre la Renta (ISR), no se </w:t>
      </w:r>
      <w:r w:rsidRPr="00ED26BE">
        <w:rPr>
          <w:rFonts w:ascii="Palatino Linotype" w:eastAsia="Palatino Linotype" w:hAnsi="Palatino Linotype" w:cs="Palatino Linotype"/>
        </w:rPr>
        <w:lastRenderedPageBreak/>
        <w:t>vinculan propiamente con datos personales del servidor público, así como tampoco en el caso del folio fiscal, la fecha y hora de certificación, el número de serie del SAT, la fecha y hora de emisión, el folio, la clave de la forma de pago, el método de pago, el número de serie del emisor, por lo que no se trata de información que  reviste el carácter de confidencial, sino que se trata de elementos necesarios para darle validez al comprobante fiscal digital por internet, por concepto de nómina, al igual de las cadenas y sellos digitales, en cuyo caso, el Sujeto Obligado debe hacer un análisis con la finalidad de determinar si dichos sellos y/o cadenas pudieran contener información personal, como pudiese ser el RFC o la CURP del servidor público, siendo el único supuesto en el cual pueden clasificarse dichos datos.</w:t>
      </w:r>
    </w:p>
    <w:p w14:paraId="6CE6F0E9"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Bajo los argumentos previamente expuestos, se estima que para tener por satisfecho el Derecho de acceso de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 xml:space="preserve">es dable ordenar se haga entrega nuevamente del recibo de nómina de la primera quincena de enero de dos mil veinticinco del Tesorero en funciones, proporcionado en la etapa de manifestaciones, en versión pública, para lo cual se debe tomar en </w:t>
      </w:r>
      <w:proofErr w:type="gramStart"/>
      <w:r w:rsidRPr="00ED26BE">
        <w:rPr>
          <w:rFonts w:ascii="Palatino Linotype" w:eastAsia="Palatino Linotype" w:hAnsi="Palatino Linotype" w:cs="Palatino Linotype"/>
        </w:rPr>
        <w:t>consideración  lo</w:t>
      </w:r>
      <w:proofErr w:type="gramEnd"/>
      <w:r w:rsidRPr="00ED26BE">
        <w:rPr>
          <w:rFonts w:ascii="Palatino Linotype" w:eastAsia="Palatino Linotype" w:hAnsi="Palatino Linotype" w:cs="Palatino Linotype"/>
        </w:rPr>
        <w:t xml:space="preserve"> establecido en el considerando siguiente respecto de los datos que son susceptibles de ser clasificados.</w:t>
      </w:r>
    </w:p>
    <w:p w14:paraId="72B4FDF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 lo hasta aquí expuesto, se concluye que los motivos de inconformidad de la parte </w:t>
      </w:r>
      <w:r w:rsidRPr="00ED26BE">
        <w:rPr>
          <w:rFonts w:ascii="Palatino Linotype" w:eastAsia="Palatino Linotype" w:hAnsi="Palatino Linotype" w:cs="Palatino Linotype"/>
          <w:b/>
        </w:rPr>
        <w:t xml:space="preserve">Recurrente </w:t>
      </w:r>
      <w:r w:rsidRPr="00ED26BE">
        <w:rPr>
          <w:rFonts w:ascii="Palatino Linotype" w:eastAsia="Palatino Linotype" w:hAnsi="Palatino Linotype" w:cs="Palatino Linotype"/>
        </w:rPr>
        <w:t xml:space="preserve">devienen fundados, siendo procedente </w:t>
      </w:r>
      <w:r w:rsidRPr="00ED26BE">
        <w:rPr>
          <w:rFonts w:ascii="Palatino Linotype" w:eastAsia="Palatino Linotype" w:hAnsi="Palatino Linotype" w:cs="Palatino Linotype"/>
          <w:i/>
        </w:rPr>
        <w:t xml:space="preserve">Revocar </w:t>
      </w:r>
      <w:r w:rsidRPr="00ED26BE">
        <w:rPr>
          <w:rFonts w:ascii="Palatino Linotype" w:eastAsia="Palatino Linotype" w:hAnsi="Palatino Linotype" w:cs="Palatino Linotype"/>
        </w:rPr>
        <w:t xml:space="preserve">la respuesta proporcionada por el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en términos del artículo 186, fracción III de </w:t>
      </w:r>
      <w:r w:rsidRPr="00ED26BE">
        <w:rPr>
          <w:rFonts w:ascii="Palatino Linotype" w:eastAsia="Palatino Linotype" w:hAnsi="Palatino Linotype" w:cs="Palatino Linotype"/>
        </w:rPr>
        <w:lastRenderedPageBreak/>
        <w:t>la Ley de Transparencia y Acceso a la Información Pública del Estado de México y Municipios.</w:t>
      </w:r>
    </w:p>
    <w:p w14:paraId="24811A72" w14:textId="77777777" w:rsidR="007702FD" w:rsidRPr="00ED26BE" w:rsidRDefault="004D61D1">
      <w:pP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b/>
        </w:rPr>
        <w:t xml:space="preserve">Quinto. Versión Pública. </w:t>
      </w:r>
      <w:r w:rsidRPr="00ED26BE">
        <w:rPr>
          <w:rFonts w:ascii="Palatino Linotype" w:eastAsia="Palatino Linotype" w:hAnsi="Palatino Linotype" w:cs="Palatino Linotype"/>
        </w:rPr>
        <w:t>Como fue debidamente apuntado,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7E0562B"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4565F6D"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097AE17"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Al respecto, los artículos 3, fracciones IX, XX, XXI, XXXII, XLV; 6, 91, 132, 137, 143, fracción I, de la Ley de Transparencia y Acceso a la Información Pública del Estado de México y Municipios vigente establecen:</w:t>
      </w:r>
    </w:p>
    <w:p w14:paraId="15FE8BDD"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sz w:val="22"/>
          <w:szCs w:val="22"/>
        </w:rPr>
        <w:t> </w:t>
      </w: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Artículo 3.</w:t>
      </w:r>
      <w:r w:rsidRPr="00ED26BE">
        <w:rPr>
          <w:rFonts w:ascii="Palatino Linotype" w:eastAsia="Palatino Linotype" w:hAnsi="Palatino Linotype" w:cs="Palatino Linotype"/>
          <w:i/>
          <w:sz w:val="22"/>
          <w:szCs w:val="22"/>
        </w:rPr>
        <w:t xml:space="preserve"> Para los efectos de la presente Ley se entenderá por:</w:t>
      </w:r>
    </w:p>
    <w:p w14:paraId="61485927"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2F910C07"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IX. Datos personales</w:t>
      </w:r>
      <w:r w:rsidRPr="00ED26B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A8740BB"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61CB3E1E"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XX. Información clasificada</w:t>
      </w:r>
      <w:r w:rsidRPr="00ED26BE">
        <w:rPr>
          <w:rFonts w:ascii="Palatino Linotype" w:eastAsia="Palatino Linotype" w:hAnsi="Palatino Linotype" w:cs="Palatino Linotype"/>
          <w:i/>
          <w:sz w:val="22"/>
          <w:szCs w:val="22"/>
        </w:rPr>
        <w:t>: Aquella considerada por la presente Ley como reservada o confidencial;</w:t>
      </w:r>
    </w:p>
    <w:p w14:paraId="4D1AEC39"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XXI. Información confidencial</w:t>
      </w:r>
      <w:r w:rsidRPr="00ED26B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E5330E"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1FE46C97"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XXXII. Protección de Datos Personales</w:t>
      </w:r>
      <w:r w:rsidRPr="00ED26B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926A1CB"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7A19A06A" w14:textId="77777777" w:rsidR="007702FD" w:rsidRPr="00ED26BE" w:rsidRDefault="004D61D1">
      <w:pPr>
        <w:tabs>
          <w:tab w:val="left" w:pos="1276"/>
        </w:tabs>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XLV. Versión pública</w:t>
      </w:r>
      <w:r w:rsidRPr="00ED26B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42C0123"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Artículo 6</w:t>
      </w:r>
      <w:r w:rsidRPr="00ED26B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w:t>
      </w:r>
      <w:r w:rsidRPr="00ED26BE">
        <w:rPr>
          <w:rFonts w:ascii="Palatino Linotype" w:eastAsia="Palatino Linotype" w:hAnsi="Palatino Linotype" w:cs="Palatino Linotype"/>
          <w:i/>
          <w:sz w:val="22"/>
          <w:szCs w:val="22"/>
        </w:rPr>
        <w:lastRenderedPageBreak/>
        <w:t>procedimientos, medidas de seguridad en el tratamiento y demás disposiciones en materia de datos personales, se deberá estar a lo dispuesto en las leyes de la materia.</w:t>
      </w:r>
    </w:p>
    <w:p w14:paraId="673474A7"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626C1BCF"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91.</w:t>
      </w:r>
      <w:r w:rsidRPr="00ED26B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ED26BE">
        <w:rPr>
          <w:rFonts w:ascii="Palatino Linotype" w:eastAsia="Palatino Linotype" w:hAnsi="Palatino Linotype" w:cs="Palatino Linotype"/>
          <w:i/>
          <w:sz w:val="22"/>
          <w:szCs w:val="22"/>
        </w:rPr>
        <w:br/>
        <w:t>…</w:t>
      </w:r>
    </w:p>
    <w:p w14:paraId="6873B8AD"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132.</w:t>
      </w:r>
      <w:r w:rsidRPr="00ED26BE">
        <w:rPr>
          <w:rFonts w:ascii="Palatino Linotype" w:eastAsia="Palatino Linotype" w:hAnsi="Palatino Linotype" w:cs="Palatino Linotype"/>
          <w:i/>
          <w:sz w:val="22"/>
          <w:szCs w:val="22"/>
        </w:rPr>
        <w:t xml:space="preserve"> La clasificación de la información se llevará a cabo en el momento en que:</w:t>
      </w:r>
    </w:p>
    <w:p w14:paraId="3A80B4F1"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Se reciba una solicitud de acceso a la información;</w:t>
      </w:r>
    </w:p>
    <w:p w14:paraId="76AA5132"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xml:space="preserve"> Se determine mediante resolución de autoridad competente; o</w:t>
      </w:r>
    </w:p>
    <w:p w14:paraId="7EF9EE96"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542E168"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w:t>
      </w:r>
    </w:p>
    <w:p w14:paraId="01CE48CC"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137.</w:t>
      </w:r>
      <w:r w:rsidRPr="00ED26B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1CB70CE"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Artículo 143.</w:t>
      </w:r>
      <w:r w:rsidRPr="00ED26B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4B37F9B"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53335F4" w14:textId="77777777" w:rsidR="007702FD" w:rsidRPr="00ED26BE" w:rsidRDefault="004D61D1">
      <w:pPr>
        <w:spacing w:before="240" w:after="240" w:line="360" w:lineRule="auto"/>
        <w:ind w:right="50"/>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D26BE">
        <w:rPr>
          <w:rFonts w:ascii="Palatino Linotype" w:eastAsia="Palatino Linotype" w:hAnsi="Palatino Linotype" w:cs="Palatino Linotype"/>
          <w:b/>
        </w:rPr>
        <w:t xml:space="preserve">Sujeto </w:t>
      </w:r>
      <w:r w:rsidRPr="00ED26BE">
        <w:rPr>
          <w:rFonts w:ascii="Palatino Linotype" w:eastAsia="Palatino Linotype" w:hAnsi="Palatino Linotype" w:cs="Palatino Linotype"/>
          <w:b/>
        </w:rPr>
        <w:lastRenderedPageBreak/>
        <w:t>Obligado</w:t>
      </w:r>
      <w:r w:rsidRPr="00ED26B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8A9808C" w14:textId="77777777" w:rsidR="007702FD" w:rsidRPr="00ED26BE" w:rsidRDefault="004D61D1">
      <w:pPr>
        <w:spacing w:before="240" w:after="240" w:line="360" w:lineRule="auto"/>
        <w:ind w:right="50"/>
        <w:jc w:val="both"/>
        <w:rPr>
          <w:rFonts w:ascii="Palatino Linotype" w:eastAsia="Palatino Linotype" w:hAnsi="Palatino Linotype" w:cs="Palatino Linotype"/>
        </w:rPr>
      </w:pPr>
      <w:r w:rsidRPr="00ED26B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B54976"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w:t>
      </w:r>
      <w:r w:rsidRPr="00ED26BE">
        <w:rPr>
          <w:rFonts w:ascii="Palatino Linotype" w:eastAsia="Palatino Linotype" w:hAnsi="Palatino Linotype" w:cs="Palatino Linotype"/>
        </w:rPr>
        <w:lastRenderedPageBreak/>
        <w:t xml:space="preserve">confidenciales y por tanto deben testarse al momento de la elaboración de versiones públicas el </w:t>
      </w:r>
      <w:r w:rsidRPr="00ED26BE">
        <w:rPr>
          <w:rFonts w:ascii="Palatino Linotype" w:eastAsia="Palatino Linotype" w:hAnsi="Palatino Linotype" w:cs="Palatino Linotype"/>
          <w:b/>
        </w:rPr>
        <w:t>Registro Federal de Contribuyentes</w:t>
      </w:r>
      <w:r w:rsidRPr="00ED26BE">
        <w:rPr>
          <w:rFonts w:ascii="Palatino Linotype" w:eastAsia="Palatino Linotype" w:hAnsi="Palatino Linotype" w:cs="Palatino Linotype"/>
        </w:rPr>
        <w:t xml:space="preserve"> (RFC), la </w:t>
      </w:r>
      <w:r w:rsidRPr="00ED26BE">
        <w:rPr>
          <w:rFonts w:ascii="Palatino Linotype" w:eastAsia="Palatino Linotype" w:hAnsi="Palatino Linotype" w:cs="Palatino Linotype"/>
          <w:b/>
        </w:rPr>
        <w:t>Clave Única de Registro de Población</w:t>
      </w:r>
      <w:r w:rsidRPr="00ED26BE">
        <w:rPr>
          <w:rFonts w:ascii="Palatino Linotype" w:eastAsia="Palatino Linotype" w:hAnsi="Palatino Linotype" w:cs="Palatino Linotype"/>
        </w:rPr>
        <w:t xml:space="preserve"> (CURP), la </w:t>
      </w:r>
      <w:r w:rsidRPr="00ED26BE">
        <w:rPr>
          <w:rFonts w:ascii="Palatino Linotype" w:eastAsia="Palatino Linotype" w:hAnsi="Palatino Linotype" w:cs="Palatino Linotype"/>
          <w:b/>
        </w:rPr>
        <w:t>Clave de cualquier tipo de seguridad social</w:t>
      </w:r>
      <w:r w:rsidRPr="00ED26BE">
        <w:rPr>
          <w:rFonts w:ascii="Palatino Linotype" w:eastAsia="Palatino Linotype" w:hAnsi="Palatino Linotype" w:cs="Palatino Linotype"/>
        </w:rPr>
        <w:t xml:space="preserve"> (ISSEMYM, u otros), los </w:t>
      </w:r>
      <w:r w:rsidRPr="00ED26BE">
        <w:rPr>
          <w:rFonts w:ascii="Palatino Linotype" w:eastAsia="Palatino Linotype" w:hAnsi="Palatino Linotype" w:cs="Palatino Linotype"/>
          <w:b/>
        </w:rPr>
        <w:t>números de cuentas bancarias</w:t>
      </w:r>
      <w:r w:rsidRPr="00ED26BE">
        <w:rPr>
          <w:rFonts w:ascii="Palatino Linotype" w:eastAsia="Palatino Linotype" w:hAnsi="Palatino Linotype" w:cs="Palatino Linotype"/>
        </w:rPr>
        <w:t xml:space="preserve">, claves estandarizadas – interbancarias - (CLABES) y de tarjetas, los </w:t>
      </w:r>
      <w:r w:rsidRPr="00ED26BE">
        <w:rPr>
          <w:rFonts w:ascii="Palatino Linotype" w:eastAsia="Palatino Linotype" w:hAnsi="Palatino Linotype" w:cs="Palatino Linotype"/>
          <w:b/>
        </w:rPr>
        <w:t>préstamos o descuentos</w:t>
      </w:r>
      <w:r w:rsidRPr="00ED26BE">
        <w:rPr>
          <w:rFonts w:ascii="Palatino Linotype" w:eastAsia="Palatino Linotype" w:hAnsi="Palatino Linotype" w:cs="Palatino Linotype"/>
        </w:rPr>
        <w:t xml:space="preserve"> que se le hagan a la persona y que no tengan relación con los impuestos o la cuota por seguridad social, el</w:t>
      </w:r>
      <w:r w:rsidRPr="00ED26BE">
        <w:rPr>
          <w:rFonts w:ascii="Palatino Linotype" w:eastAsia="Palatino Linotype" w:hAnsi="Palatino Linotype" w:cs="Palatino Linotype"/>
          <w:b/>
        </w:rPr>
        <w:t xml:space="preserve"> número de empleado, </w:t>
      </w:r>
      <w:r w:rsidRPr="00ED26BE">
        <w:rPr>
          <w:rFonts w:ascii="Palatino Linotype" w:eastAsia="Palatino Linotype" w:hAnsi="Palatino Linotype" w:cs="Palatino Linotype"/>
        </w:rPr>
        <w:t>y cualquier información de carácter fiscal.</w:t>
      </w:r>
    </w:p>
    <w:p w14:paraId="7ACFFC18" w14:textId="77777777" w:rsidR="007702FD" w:rsidRPr="00ED26BE" w:rsidRDefault="004D61D1">
      <w:pPr>
        <w:spacing w:before="240" w:after="240" w:line="360" w:lineRule="auto"/>
        <w:ind w:right="50"/>
        <w:jc w:val="both"/>
        <w:rPr>
          <w:rFonts w:ascii="Palatino Linotype" w:eastAsia="Palatino Linotype" w:hAnsi="Palatino Linotype" w:cs="Palatino Linotype"/>
        </w:rPr>
      </w:pPr>
      <w:r w:rsidRPr="00ED26B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80728D2"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Por cuanto hace al </w:t>
      </w:r>
      <w:r w:rsidRPr="00ED26BE">
        <w:rPr>
          <w:rFonts w:ascii="Palatino Linotype" w:eastAsia="Palatino Linotype" w:hAnsi="Palatino Linotype" w:cs="Palatino Linotype"/>
          <w:b/>
        </w:rPr>
        <w:t>Registro Federal de Contribuyentes, RFC,</w:t>
      </w:r>
      <w:r w:rsidRPr="00ED26BE">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ED26BE">
        <w:rPr>
          <w:rFonts w:ascii="Palatino Linotype" w:eastAsia="Palatino Linotype" w:hAnsi="Palatino Linotype" w:cs="Palatino Linotype"/>
        </w:rPr>
        <w:t>homoclave</w:t>
      </w:r>
      <w:proofErr w:type="spellEnd"/>
      <w:r w:rsidRPr="00ED26BE">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65B5BCC1"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817285C"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9" w:name="_heading=h.26in1rg" w:colFirst="0" w:colLast="0"/>
      <w:bookmarkEnd w:id="9"/>
      <w:r w:rsidRPr="00ED26BE">
        <w:rPr>
          <w:rFonts w:ascii="Palatino Linotype" w:eastAsia="Palatino Linotype" w:hAnsi="Palatino Linotype" w:cs="Palatino Linotype"/>
        </w:rPr>
        <w:lastRenderedPageBreak/>
        <w:t>Lo anterior se apoya del criterio orientador con clave de control SO/019/2017, emitido por el entonces Instituto Nacional de Transparencia, Acceso a la Información y Protección de Datos Personales, INAI, el cual es del tenor literal siguiente:</w:t>
      </w:r>
    </w:p>
    <w:p w14:paraId="7B7408A4"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rPr>
        <w:t xml:space="preserve"> </w:t>
      </w:r>
      <w:r w:rsidRPr="00ED26BE">
        <w:rPr>
          <w:rFonts w:ascii="Palatino Linotype" w:eastAsia="Palatino Linotype" w:hAnsi="Palatino Linotype" w:cs="Palatino Linotype"/>
          <w:b/>
          <w:i/>
          <w:sz w:val="22"/>
          <w:szCs w:val="22"/>
        </w:rPr>
        <w:t>“Registro Federal de Contribuyentes (RFC) de personas físicas</w:t>
      </w:r>
      <w:r w:rsidRPr="00ED26B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D7C76C3"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ED26BE">
        <w:rPr>
          <w:rFonts w:ascii="Palatino Linotype" w:eastAsia="Palatino Linotype" w:hAnsi="Palatino Linotype" w:cs="Palatino Linotype"/>
        </w:rPr>
        <w:t>homoclave</w:t>
      </w:r>
      <w:proofErr w:type="spellEnd"/>
      <w:r w:rsidRPr="00ED26BE">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AE4E1F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 igual manera la </w:t>
      </w:r>
      <w:r w:rsidRPr="00ED26BE">
        <w:rPr>
          <w:rFonts w:ascii="Palatino Linotype" w:eastAsia="Palatino Linotype" w:hAnsi="Palatino Linotype" w:cs="Palatino Linotype"/>
          <w:b/>
        </w:rPr>
        <w:t>Clave Única de Registro de Población</w:t>
      </w:r>
      <w:r w:rsidRPr="00ED26BE">
        <w:rPr>
          <w:rFonts w:ascii="Palatino Linotype" w:eastAsia="Palatino Linotype" w:hAnsi="Palatino Linotype" w:cs="Palatino Linotype"/>
        </w:rPr>
        <w:t xml:space="preserve">, </w:t>
      </w:r>
      <w:r w:rsidRPr="00ED26BE">
        <w:rPr>
          <w:rFonts w:ascii="Palatino Linotype" w:eastAsia="Palatino Linotype" w:hAnsi="Palatino Linotype" w:cs="Palatino Linotype"/>
          <w:b/>
        </w:rPr>
        <w:t>CURP,</w:t>
      </w:r>
      <w:r w:rsidRPr="00ED26BE">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ED26BE">
        <w:rPr>
          <w:rFonts w:ascii="Palatino Linotype" w:eastAsia="Palatino Linotype" w:hAnsi="Palatino Linotype" w:cs="Palatino Linotype"/>
        </w:rPr>
        <w:lastRenderedPageBreak/>
        <w:t>distinguirlo del resto de los habitantes, por tal motivo, se considera que es de carácter confidencial.</w:t>
      </w:r>
    </w:p>
    <w:p w14:paraId="59BEAE3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032EE8ED"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rPr>
        <w:t xml:space="preserve"> </w:t>
      </w:r>
      <w:r w:rsidRPr="00ED26BE">
        <w:rPr>
          <w:rFonts w:ascii="Palatino Linotype" w:eastAsia="Palatino Linotype" w:hAnsi="Palatino Linotype" w:cs="Palatino Linotype"/>
          <w:b/>
          <w:i/>
          <w:sz w:val="22"/>
          <w:szCs w:val="22"/>
        </w:rPr>
        <w:t xml:space="preserve">“Clave Única de Registro de Población (CURP). </w:t>
      </w:r>
      <w:r w:rsidRPr="00ED26B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9AA7742"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Por lo que respecta a la </w:t>
      </w:r>
      <w:r w:rsidRPr="00ED26BE">
        <w:rPr>
          <w:rFonts w:ascii="Palatino Linotype" w:eastAsia="Palatino Linotype" w:hAnsi="Palatino Linotype" w:cs="Palatino Linotype"/>
          <w:b/>
        </w:rPr>
        <w:t>clave de seguridad social</w:t>
      </w:r>
      <w:r w:rsidRPr="00ED26BE">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5BADEA6E"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Respecto de los </w:t>
      </w:r>
      <w:r w:rsidRPr="00ED26BE">
        <w:rPr>
          <w:rFonts w:ascii="Palatino Linotype" w:eastAsia="Palatino Linotype" w:hAnsi="Palatino Linotype" w:cs="Palatino Linotype"/>
          <w:b/>
        </w:rPr>
        <w:t>números de cuentas bancari</w:t>
      </w:r>
      <w:r w:rsidRPr="00ED26BE">
        <w:rPr>
          <w:rFonts w:ascii="Palatino Linotype" w:eastAsia="Palatino Linotype" w:hAnsi="Palatino Linotype" w:cs="Palatino Linotype"/>
        </w:rPr>
        <w:t xml:space="preserve">as, </w:t>
      </w:r>
      <w:r w:rsidRPr="00ED26BE">
        <w:rPr>
          <w:rFonts w:ascii="Palatino Linotype" w:eastAsia="Palatino Linotype" w:hAnsi="Palatino Linotype" w:cs="Palatino Linotype"/>
          <w:b/>
        </w:rPr>
        <w:t>claves estandarizadas –interbancarias- (CLABES) y de tarjetas</w:t>
      </w:r>
      <w:r w:rsidRPr="00ED26BE">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3A076B6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w:t>
      </w:r>
      <w:r w:rsidRPr="00ED26BE">
        <w:rPr>
          <w:rFonts w:ascii="Palatino Linotype" w:eastAsia="Palatino Linotype" w:hAnsi="Palatino Linotype" w:cs="Palatino Linotype"/>
        </w:rPr>
        <w:lastRenderedPageBreak/>
        <w:t>para el acceso o consulta de información patrimonial, o para la realización de operaciones bancarias de diversa naturaleza, por lo que la difusión pública del mismo facilitaría la afectación al patrimonio del titular de la cuenta.</w:t>
      </w:r>
    </w:p>
    <w:p w14:paraId="49B14343"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06E3530"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0EFB2FB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562E2BD"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4DA14347"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Cuentas bancarias y/o CLABE interbancaria de personas físicas y morales privadas.</w:t>
      </w:r>
      <w:r w:rsidRPr="00ED26BE">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w:t>
      </w:r>
      <w:r w:rsidRPr="00ED26BE">
        <w:rPr>
          <w:rFonts w:ascii="Palatino Linotype" w:eastAsia="Palatino Linotype" w:hAnsi="Palatino Linotype" w:cs="Palatino Linotype"/>
          <w:i/>
          <w:sz w:val="22"/>
          <w:szCs w:val="22"/>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E9ED3BC"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D26BE">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E2D9E13"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10" w:name="_heading=h.35nkun2" w:colFirst="0" w:colLast="0"/>
      <w:bookmarkEnd w:id="10"/>
      <w:r w:rsidRPr="00ED26BE">
        <w:rPr>
          <w:rFonts w:ascii="Palatino Linotype" w:eastAsia="Palatino Linotype" w:hAnsi="Palatino Linotype" w:cs="Palatino Linotype"/>
        </w:rPr>
        <w:t xml:space="preserve">Por cuanto hace a los </w:t>
      </w:r>
      <w:r w:rsidRPr="00ED26BE">
        <w:rPr>
          <w:rFonts w:ascii="Palatino Linotype" w:eastAsia="Palatino Linotype" w:hAnsi="Palatino Linotype" w:cs="Palatino Linotype"/>
          <w:b/>
        </w:rPr>
        <w:t>préstamos o descuentos de carácter personal</w:t>
      </w:r>
      <w:r w:rsidRPr="00ED26BE">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67162361"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7583068"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bookmarkStart w:id="11" w:name="_heading=h.1ksv4uv" w:colFirst="0" w:colLast="0"/>
      <w:bookmarkEnd w:id="11"/>
      <w:r w:rsidRPr="00ED26BE">
        <w:rPr>
          <w:rFonts w:ascii="Palatino Linotype" w:eastAsia="Palatino Linotype" w:hAnsi="Palatino Linotype" w:cs="Palatino Linotype"/>
          <w:b/>
          <w:i/>
          <w:sz w:val="22"/>
          <w:szCs w:val="22"/>
        </w:rPr>
        <w:t xml:space="preserve">“ARTÍCULO 84. </w:t>
      </w:r>
      <w:r w:rsidRPr="00ED26BE">
        <w:rPr>
          <w:rFonts w:ascii="Palatino Linotype" w:eastAsia="Palatino Linotype" w:hAnsi="Palatino Linotype" w:cs="Palatino Linotype"/>
          <w:i/>
          <w:sz w:val="22"/>
          <w:szCs w:val="22"/>
        </w:rPr>
        <w:t>Sólo podrán hacerse retenciones, descuentos o deducciones al sueldo de los servidores públicos por concepto de:</w:t>
      </w:r>
    </w:p>
    <w:p w14:paraId="6D45DC65"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Gravámenes fiscales relacionados con el sueldo;</w:t>
      </w:r>
    </w:p>
    <w:p w14:paraId="2C250DFF"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2496BA7E"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w:t>
      </w:r>
      <w:r w:rsidRPr="00ED26BE">
        <w:rPr>
          <w:rFonts w:ascii="Palatino Linotype" w:eastAsia="Palatino Linotype" w:hAnsi="Palatino Linotype" w:cs="Palatino Linotype"/>
          <w:b/>
          <w:i/>
          <w:sz w:val="22"/>
          <w:szCs w:val="22"/>
        </w:rPr>
        <w:t>Cuotas sindicales</w:t>
      </w:r>
      <w:r w:rsidRPr="00ED26BE">
        <w:rPr>
          <w:rFonts w:ascii="Palatino Linotype" w:eastAsia="Palatino Linotype" w:hAnsi="Palatino Linotype" w:cs="Palatino Linotype"/>
          <w:i/>
          <w:sz w:val="22"/>
          <w:szCs w:val="22"/>
        </w:rPr>
        <w:t>;</w:t>
      </w:r>
    </w:p>
    <w:p w14:paraId="457D38DB"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IV.</w:t>
      </w:r>
      <w:r w:rsidRPr="00ED26BE">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6FFB1587"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lastRenderedPageBreak/>
        <w:t>V.</w:t>
      </w:r>
      <w:r w:rsidRPr="00ED26BE">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0E75D26F"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VI.</w:t>
      </w:r>
      <w:r w:rsidRPr="00ED26BE">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59169F80"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VII.</w:t>
      </w:r>
      <w:r w:rsidRPr="00ED26BE">
        <w:rPr>
          <w:rFonts w:ascii="Palatino Linotype" w:eastAsia="Palatino Linotype" w:hAnsi="Palatino Linotype" w:cs="Palatino Linotype"/>
          <w:i/>
          <w:sz w:val="22"/>
          <w:szCs w:val="22"/>
        </w:rPr>
        <w:t xml:space="preserve"> Faltas de puntualidad o de asistencia injustificadas;</w:t>
      </w:r>
    </w:p>
    <w:p w14:paraId="53F1CDA9"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VIII. Pensiones alimenticias ordenadas por la autoridad judicial;</w:t>
      </w:r>
      <w:r w:rsidRPr="00ED26BE">
        <w:rPr>
          <w:rFonts w:ascii="Palatino Linotype" w:eastAsia="Palatino Linotype" w:hAnsi="Palatino Linotype" w:cs="Palatino Linotype"/>
          <w:i/>
          <w:sz w:val="22"/>
          <w:szCs w:val="22"/>
        </w:rPr>
        <w:t xml:space="preserve"> o</w:t>
      </w:r>
    </w:p>
    <w:p w14:paraId="7E6BB644" w14:textId="77777777" w:rsidR="007702FD" w:rsidRPr="00ED26BE" w:rsidRDefault="004D61D1">
      <w:pPr>
        <w:spacing w:before="120" w:after="120"/>
        <w:ind w:left="1134"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IX. Cualquier otro convenido con instituciones de servicios y aceptado por el servidor público.</w:t>
      </w:r>
    </w:p>
    <w:p w14:paraId="053C41CC"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3B4E295"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D656629"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 este modo, los </w:t>
      </w:r>
      <w:r w:rsidRPr="00ED26BE">
        <w:rPr>
          <w:rFonts w:ascii="Palatino Linotype" w:eastAsia="Palatino Linotype" w:hAnsi="Palatino Linotype" w:cs="Palatino Linotype"/>
          <w:b/>
        </w:rPr>
        <w:t>descuentos o deducciones por cuotas sindicales</w:t>
      </w:r>
      <w:r w:rsidRPr="00ED26BE">
        <w:rPr>
          <w:rFonts w:ascii="Palatino Linotype" w:eastAsia="Palatino Linotype" w:hAnsi="Palatino Linotype" w:cs="Palatino Linotype"/>
        </w:rPr>
        <w:t xml:space="preserve">, </w:t>
      </w:r>
      <w:r w:rsidRPr="00ED26BE">
        <w:rPr>
          <w:rFonts w:ascii="Palatino Linotype" w:eastAsia="Palatino Linotype" w:hAnsi="Palatino Linotype" w:cs="Palatino Linotype"/>
          <w:b/>
        </w:rPr>
        <w:t>pensiones alimenticias</w:t>
      </w:r>
      <w:r w:rsidRPr="00ED26BE">
        <w:rPr>
          <w:rFonts w:ascii="Palatino Linotype" w:eastAsia="Palatino Linotype" w:hAnsi="Palatino Linotype" w:cs="Palatino Linotype"/>
        </w:rPr>
        <w:t xml:space="preserve"> o </w:t>
      </w:r>
      <w:r w:rsidRPr="00ED26BE">
        <w:rPr>
          <w:rFonts w:ascii="Palatino Linotype" w:eastAsia="Palatino Linotype" w:hAnsi="Palatino Linotype" w:cs="Palatino Linotype"/>
          <w:b/>
        </w:rPr>
        <w:t>créditos adquiridos con instituciones privadas</w:t>
      </w:r>
      <w:r w:rsidRPr="00ED26BE">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ED26BE">
        <w:rPr>
          <w:rFonts w:ascii="Palatino Linotype" w:eastAsia="Palatino Linotype" w:hAnsi="Palatino Linotype" w:cs="Palatino Linotype"/>
          <w:b/>
        </w:rPr>
        <w:t xml:space="preserve">es información que no es de carácter </w:t>
      </w:r>
      <w:r w:rsidRPr="00ED26BE">
        <w:rPr>
          <w:rFonts w:ascii="Palatino Linotype" w:eastAsia="Palatino Linotype" w:hAnsi="Palatino Linotype" w:cs="Palatino Linotype"/>
          <w:b/>
        </w:rPr>
        <w:lastRenderedPageBreak/>
        <w:t>público, sino que constituye información confidencial</w:t>
      </w:r>
      <w:r w:rsidRPr="00ED26BE">
        <w:rPr>
          <w:rFonts w:ascii="Palatino Linotype" w:eastAsia="Palatino Linotype" w:hAnsi="Palatino Linotype" w:cs="Palatino Linotype"/>
        </w:rPr>
        <w:t xml:space="preserve"> en virtud de que corresponde con decisiones personales, y por tanto, se debe clasificar.</w:t>
      </w:r>
    </w:p>
    <w:p w14:paraId="360D32CC"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33629859"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687B58C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Con relación al </w:t>
      </w:r>
      <w:r w:rsidRPr="00ED26BE">
        <w:rPr>
          <w:rFonts w:ascii="Palatino Linotype" w:eastAsia="Palatino Linotype" w:hAnsi="Palatino Linotype" w:cs="Palatino Linotype"/>
          <w:b/>
        </w:rPr>
        <w:t>número de empleado</w:t>
      </w:r>
      <w:r w:rsidRPr="00ED26BE">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ED26BE">
        <w:rPr>
          <w:rFonts w:ascii="Palatino Linotype" w:eastAsia="Palatino Linotype" w:hAnsi="Palatino Linotype" w:cs="Palatino Linotype"/>
          <w:vertAlign w:val="superscript"/>
        </w:rPr>
        <w:footnoteReference w:id="1"/>
      </w:r>
      <w:r w:rsidRPr="00ED26BE">
        <w:rPr>
          <w:rFonts w:ascii="Palatino Linotype" w:eastAsia="Palatino Linotype" w:hAnsi="Palatino Linotype" w:cs="Palatino Linotype"/>
        </w:rPr>
        <w:t>.</w:t>
      </w:r>
    </w:p>
    <w:p w14:paraId="5F0AEC2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w:t>
      </w:r>
      <w:r w:rsidRPr="00ED26BE">
        <w:rPr>
          <w:rFonts w:ascii="Palatino Linotype" w:eastAsia="Palatino Linotype" w:hAnsi="Palatino Linotype" w:cs="Palatino Linotype"/>
        </w:rPr>
        <w:lastRenderedPageBreak/>
        <w:t>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411307D6" w14:textId="77777777" w:rsidR="007702FD" w:rsidRPr="00ED26BE" w:rsidRDefault="004D61D1">
      <w:pPr>
        <w:tabs>
          <w:tab w:val="left" w:pos="7655"/>
        </w:tabs>
        <w:spacing w:before="120" w:after="120"/>
        <w:ind w:left="992" w:right="99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xml:space="preserve">“Número de empleado. </w:t>
      </w:r>
      <w:r w:rsidRPr="00ED26BE">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2206AE5"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0B197F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b/>
        </w:rPr>
        <w:t>De la información fiscal</w:t>
      </w:r>
      <w:r w:rsidRPr="00ED26BE">
        <w:rPr>
          <w:rFonts w:ascii="Palatino Linotype" w:eastAsia="Palatino Linotype" w:hAnsi="Palatino Linotype" w:cs="Palatino Linotype"/>
        </w:rPr>
        <w:t xml:space="preserve">: </w:t>
      </w:r>
    </w:p>
    <w:p w14:paraId="382021EB"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 xml:space="preserve">La </w:t>
      </w:r>
      <w:r w:rsidRPr="00ED26BE">
        <w:rPr>
          <w:rFonts w:ascii="Palatino Linotype" w:eastAsia="Palatino Linotype" w:hAnsi="Palatino Linotype" w:cs="Palatino Linotype"/>
          <w:b/>
        </w:rPr>
        <w:t>Cadena Original</w:t>
      </w:r>
      <w:r w:rsidRPr="00ED26BE">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43C214E1"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Los </w:t>
      </w:r>
      <w:r w:rsidRPr="00ED26BE">
        <w:rPr>
          <w:rFonts w:ascii="Palatino Linotype" w:eastAsia="Palatino Linotype" w:hAnsi="Palatino Linotype" w:cs="Palatino Linotype"/>
          <w:b/>
        </w:rPr>
        <w:t>códigos bidimensionales</w:t>
      </w:r>
      <w:r w:rsidRPr="00ED26BE">
        <w:rPr>
          <w:rFonts w:ascii="Palatino Linotype" w:eastAsia="Palatino Linotype" w:hAnsi="Palatino Linotype" w:cs="Palatino Linotype"/>
        </w:rPr>
        <w:t xml:space="preserve"> o </w:t>
      </w:r>
      <w:r w:rsidRPr="00ED26BE">
        <w:rPr>
          <w:rFonts w:ascii="Palatino Linotype" w:eastAsia="Palatino Linotype" w:hAnsi="Palatino Linotype" w:cs="Palatino Linotype"/>
          <w:b/>
        </w:rPr>
        <w:t xml:space="preserve">códigos QR, </w:t>
      </w:r>
      <w:r w:rsidRPr="00ED26BE">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analizar dicha circunstancia con la finalidad de determinar si se actualiza algún supuesto de confidencialidad.</w:t>
      </w:r>
    </w:p>
    <w:p w14:paraId="07A7DF3F"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tal sentido, si derivado del análisis efectuado por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w:t>
      </w:r>
      <w:r w:rsidRPr="00ED26BE">
        <w:rPr>
          <w:rFonts w:ascii="Palatino Linotype" w:eastAsia="Palatino Linotype" w:hAnsi="Palatino Linotype" w:cs="Palatino Linotype"/>
        </w:rPr>
        <w:lastRenderedPageBreak/>
        <w:t>más íntima de privacidad de su titular, deberá clasificarla como confidencial, de manera fundada y motivada en términos del artículo 143, fracción I de la Ley de Transparencia y Acceso a la Información Pública del Estado de México y Municipios.</w:t>
      </w:r>
    </w:p>
    <w:p w14:paraId="4E2C2FC1" w14:textId="77777777" w:rsidR="007702FD" w:rsidRPr="00ED26BE" w:rsidRDefault="004D61D1">
      <w:pPr>
        <w:spacing w:before="240" w:after="240" w:line="360" w:lineRule="auto"/>
        <w:ind w:right="50"/>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ED26BE">
        <w:rPr>
          <w:rFonts w:ascii="Palatino Linotype" w:eastAsia="Palatino Linotype" w:hAnsi="Palatino Linotype" w:cs="Palatino Linotype"/>
        </w:rPr>
        <w:t>Responsable</w:t>
      </w:r>
      <w:proofErr w:type="gramEnd"/>
      <w:r w:rsidRPr="00ED26BE">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030DDFA"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49.</w:t>
      </w:r>
      <w:r w:rsidRPr="00ED26BE">
        <w:rPr>
          <w:rFonts w:ascii="Palatino Linotype" w:eastAsia="Palatino Linotype" w:hAnsi="Palatino Linotype" w:cs="Palatino Linotype"/>
          <w:i/>
          <w:sz w:val="22"/>
          <w:szCs w:val="22"/>
        </w:rPr>
        <w:t xml:space="preserve"> </w:t>
      </w:r>
      <w:r w:rsidRPr="00ED26BE">
        <w:rPr>
          <w:rFonts w:ascii="Palatino Linotype" w:eastAsia="Palatino Linotype" w:hAnsi="Palatino Linotype" w:cs="Palatino Linotype"/>
          <w:b/>
          <w:i/>
          <w:sz w:val="22"/>
          <w:szCs w:val="22"/>
        </w:rPr>
        <w:t>Los Comités de Transparencia</w:t>
      </w:r>
      <w:r w:rsidRPr="00ED26BE">
        <w:rPr>
          <w:rFonts w:ascii="Palatino Linotype" w:eastAsia="Palatino Linotype" w:hAnsi="Palatino Linotype" w:cs="Palatino Linotype"/>
          <w:i/>
          <w:sz w:val="22"/>
          <w:szCs w:val="22"/>
        </w:rPr>
        <w:t xml:space="preserve"> tendrán las siguientes atribuciones:</w:t>
      </w:r>
    </w:p>
    <w:p w14:paraId="3DC071A6"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VIII. Aprobar, modificar o revocar la clasificación de la información</w:t>
      </w:r>
      <w:r w:rsidRPr="00ED26BE">
        <w:rPr>
          <w:rFonts w:ascii="Palatino Linotype" w:eastAsia="Palatino Linotype" w:hAnsi="Palatino Linotype" w:cs="Palatino Linotype"/>
          <w:i/>
          <w:sz w:val="22"/>
          <w:szCs w:val="22"/>
        </w:rPr>
        <w:t>…”</w:t>
      </w:r>
    </w:p>
    <w:p w14:paraId="1AD4BF21"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Artículo 53.</w:t>
      </w:r>
      <w:r w:rsidRPr="00ED26BE">
        <w:rPr>
          <w:rFonts w:ascii="Palatino Linotype" w:eastAsia="Palatino Linotype" w:hAnsi="Palatino Linotype" w:cs="Palatino Linotype"/>
          <w:i/>
          <w:sz w:val="22"/>
          <w:szCs w:val="22"/>
        </w:rPr>
        <w:t xml:space="preserve"> Las </w:t>
      </w:r>
      <w:r w:rsidRPr="00ED26BE">
        <w:rPr>
          <w:rFonts w:ascii="Palatino Linotype" w:eastAsia="Palatino Linotype" w:hAnsi="Palatino Linotype" w:cs="Palatino Linotype"/>
          <w:b/>
          <w:i/>
          <w:sz w:val="22"/>
          <w:szCs w:val="22"/>
        </w:rPr>
        <w:t>Unidades de Transparencia</w:t>
      </w:r>
      <w:r w:rsidRPr="00ED26BE">
        <w:rPr>
          <w:rFonts w:ascii="Palatino Linotype" w:eastAsia="Palatino Linotype" w:hAnsi="Palatino Linotype" w:cs="Palatino Linotype"/>
          <w:i/>
          <w:sz w:val="22"/>
          <w:szCs w:val="22"/>
        </w:rPr>
        <w:t xml:space="preserve"> tendrán las siguientes </w:t>
      </w:r>
      <w:r w:rsidRPr="00ED26BE">
        <w:rPr>
          <w:rFonts w:ascii="Palatino Linotype" w:eastAsia="Palatino Linotype" w:hAnsi="Palatino Linotype" w:cs="Palatino Linotype"/>
          <w:b/>
          <w:i/>
          <w:sz w:val="22"/>
          <w:szCs w:val="22"/>
        </w:rPr>
        <w:t>funciones</w:t>
      </w:r>
      <w:r w:rsidRPr="00ED26BE">
        <w:rPr>
          <w:rFonts w:ascii="Palatino Linotype" w:eastAsia="Palatino Linotype" w:hAnsi="Palatino Linotype" w:cs="Palatino Linotype"/>
          <w:i/>
          <w:sz w:val="22"/>
          <w:szCs w:val="22"/>
        </w:rPr>
        <w:t>:</w:t>
      </w:r>
    </w:p>
    <w:p w14:paraId="6EB515F3"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X. Presentar ante el Comité, el proyecto de clasificación de información</w:t>
      </w:r>
      <w:r w:rsidRPr="00ED26BE">
        <w:rPr>
          <w:rFonts w:ascii="Palatino Linotype" w:eastAsia="Palatino Linotype" w:hAnsi="Palatino Linotype" w:cs="Palatino Linotype"/>
          <w:i/>
          <w:sz w:val="22"/>
          <w:szCs w:val="22"/>
        </w:rPr>
        <w:t xml:space="preserve">…” </w:t>
      </w:r>
    </w:p>
    <w:p w14:paraId="3417F7A0"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“Artículo 59.</w:t>
      </w:r>
      <w:r w:rsidRPr="00ED26BE">
        <w:rPr>
          <w:rFonts w:ascii="Palatino Linotype" w:eastAsia="Palatino Linotype" w:hAnsi="Palatino Linotype" w:cs="Palatino Linotype"/>
          <w:i/>
          <w:sz w:val="22"/>
          <w:szCs w:val="22"/>
        </w:rPr>
        <w:t xml:space="preserve"> Los </w:t>
      </w:r>
      <w:r w:rsidRPr="00ED26BE">
        <w:rPr>
          <w:rFonts w:ascii="Palatino Linotype" w:eastAsia="Palatino Linotype" w:hAnsi="Palatino Linotype" w:cs="Palatino Linotype"/>
          <w:b/>
          <w:i/>
          <w:sz w:val="22"/>
          <w:szCs w:val="22"/>
        </w:rPr>
        <w:t>servidores públicos habilitados</w:t>
      </w:r>
      <w:r w:rsidRPr="00ED26BE">
        <w:rPr>
          <w:rFonts w:ascii="Palatino Linotype" w:eastAsia="Palatino Linotype" w:hAnsi="Palatino Linotype" w:cs="Palatino Linotype"/>
          <w:i/>
          <w:sz w:val="22"/>
          <w:szCs w:val="22"/>
        </w:rPr>
        <w:t xml:space="preserve"> tendrán las </w:t>
      </w:r>
      <w:r w:rsidRPr="00ED26BE">
        <w:rPr>
          <w:rFonts w:ascii="Palatino Linotype" w:eastAsia="Palatino Linotype" w:hAnsi="Palatino Linotype" w:cs="Palatino Linotype"/>
          <w:b/>
          <w:i/>
          <w:sz w:val="22"/>
          <w:szCs w:val="22"/>
        </w:rPr>
        <w:t>funciones</w:t>
      </w:r>
      <w:r w:rsidRPr="00ED26BE">
        <w:rPr>
          <w:rFonts w:ascii="Palatino Linotype" w:eastAsia="Palatino Linotype" w:hAnsi="Palatino Linotype" w:cs="Palatino Linotype"/>
          <w:i/>
          <w:sz w:val="22"/>
          <w:szCs w:val="22"/>
        </w:rPr>
        <w:t xml:space="preserve"> siguientes:</w:t>
      </w:r>
    </w:p>
    <w:p w14:paraId="168381C8"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D26BE">
        <w:rPr>
          <w:rFonts w:ascii="Palatino Linotype" w:eastAsia="Palatino Linotype" w:hAnsi="Palatino Linotype" w:cs="Palatino Linotype"/>
          <w:i/>
          <w:sz w:val="22"/>
          <w:szCs w:val="22"/>
        </w:rPr>
        <w:t>, la cual tendrá los fundamentos y argumentos en que se basa dicha propuesta…”</w:t>
      </w:r>
    </w:p>
    <w:p w14:paraId="4E16822A"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sidRPr="00ED26BE">
        <w:rPr>
          <w:rFonts w:ascii="Palatino Linotype" w:eastAsia="Palatino Linotype" w:hAnsi="Palatino Linotype" w:cs="Palatino Linotype"/>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08C5B0D"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38DDABD"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Artículo 149.</w:t>
      </w:r>
      <w:r w:rsidRPr="00ED26BE">
        <w:rPr>
          <w:rFonts w:ascii="Palatino Linotype" w:eastAsia="Palatino Linotype" w:hAnsi="Palatino Linotype" w:cs="Palatino Linotype"/>
          <w:i/>
          <w:sz w:val="22"/>
          <w:szCs w:val="22"/>
        </w:rPr>
        <w:t xml:space="preserve"> El </w:t>
      </w:r>
      <w:r w:rsidRPr="00ED26BE">
        <w:rPr>
          <w:rFonts w:ascii="Palatino Linotype" w:eastAsia="Palatino Linotype" w:hAnsi="Palatino Linotype" w:cs="Palatino Linotype"/>
          <w:b/>
          <w:i/>
          <w:sz w:val="22"/>
          <w:szCs w:val="22"/>
        </w:rPr>
        <w:t>acuerdo que clasifique la información como confidencial</w:t>
      </w:r>
      <w:r w:rsidRPr="00ED26B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40D5668" w14:textId="77777777" w:rsidR="007702FD" w:rsidRPr="00ED26BE" w:rsidRDefault="004D61D1">
      <w:pP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Es decir,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EB8B423" w14:textId="77777777" w:rsidR="007702FD" w:rsidRPr="00ED26BE" w:rsidRDefault="004D61D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ED26BE">
        <w:rPr>
          <w:rFonts w:ascii="Palatino Linotype" w:eastAsia="Palatino Linotype" w:hAnsi="Palatino Linotype" w:cs="Palatino Linotype"/>
        </w:rPr>
        <w:lastRenderedPageBreak/>
        <w:t xml:space="preserve">Asimismo, respecto a las formalidades que deberá llevar el acuerdo de clasificación que deberá emitir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3EE3932F"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xml:space="preserve"> “Quincuagésimo. </w:t>
      </w:r>
      <w:r w:rsidRPr="00ED26BE">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B923E47" w14:textId="77777777" w:rsidR="007702FD" w:rsidRPr="00ED26BE" w:rsidRDefault="004D61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xml:space="preserve">Quincuagésimo primero. </w:t>
      </w:r>
      <w:r w:rsidRPr="00ED26BE">
        <w:rPr>
          <w:rFonts w:ascii="Palatino Linotype" w:eastAsia="Palatino Linotype" w:hAnsi="Palatino Linotype" w:cs="Palatino Linotype"/>
          <w:i/>
          <w:sz w:val="22"/>
          <w:szCs w:val="22"/>
        </w:rPr>
        <w:t xml:space="preserve">Toda acta del Comité de Transparencia deberá contener: </w:t>
      </w:r>
    </w:p>
    <w:p w14:paraId="746BF937"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El número de sesión y fecha; </w:t>
      </w:r>
    </w:p>
    <w:p w14:paraId="6D44A17F"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xml:space="preserve">. El nombre del área que solicitó la clasificación de información; </w:t>
      </w:r>
    </w:p>
    <w:p w14:paraId="7CF48257"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La fundamentación legal y motivación correspondiente; </w:t>
      </w:r>
    </w:p>
    <w:p w14:paraId="4B393186"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IV</w:t>
      </w:r>
      <w:r w:rsidRPr="00ED26BE">
        <w:rPr>
          <w:rFonts w:ascii="Palatino Linotype" w:eastAsia="Palatino Linotype" w:hAnsi="Palatino Linotype" w:cs="Palatino Linotype"/>
          <w:i/>
          <w:sz w:val="22"/>
          <w:szCs w:val="22"/>
        </w:rPr>
        <w:t xml:space="preserve">. La resolución o resoluciones aprobadas; y </w:t>
      </w:r>
    </w:p>
    <w:p w14:paraId="6C2DCD80"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V</w:t>
      </w:r>
      <w:r w:rsidRPr="00ED26BE">
        <w:rPr>
          <w:rFonts w:ascii="Palatino Linotype" w:eastAsia="Palatino Linotype" w:hAnsi="Palatino Linotype" w:cs="Palatino Linotype"/>
          <w:i/>
          <w:sz w:val="22"/>
          <w:szCs w:val="22"/>
        </w:rPr>
        <w:t xml:space="preserve">. La rúbrica o firma digital de cada integrante del Comité de Transparencia. </w:t>
      </w:r>
    </w:p>
    <w:p w14:paraId="34318FF3" w14:textId="77777777" w:rsidR="007702FD" w:rsidRPr="00ED26BE" w:rsidRDefault="004D61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C6C3F35"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FC1BD9B"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Descripción de las partes o secciones reservadas, en caso de clasificación parcial</w:t>
      </w:r>
      <w:r w:rsidRPr="00ED26BE">
        <w:rPr>
          <w:rFonts w:ascii="Palatino Linotype" w:eastAsia="Palatino Linotype" w:hAnsi="Palatino Linotype" w:cs="Palatino Linotype"/>
          <w:b/>
          <w:i/>
          <w:sz w:val="22"/>
          <w:szCs w:val="22"/>
        </w:rPr>
        <w:t xml:space="preserve">; </w:t>
      </w:r>
    </w:p>
    <w:p w14:paraId="1693A5C6"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El periodo por el que mantendrá su clasificación y fecha de expiración; y </w:t>
      </w:r>
    </w:p>
    <w:p w14:paraId="394B54D4" w14:textId="77777777" w:rsidR="007702FD" w:rsidRPr="00ED26BE" w:rsidRDefault="004D61D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lastRenderedPageBreak/>
        <w:t>IV.</w:t>
      </w:r>
      <w:r w:rsidRPr="00ED26BE">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A020FD3" w14:textId="77777777" w:rsidR="007702FD" w:rsidRPr="00ED26BE" w:rsidRDefault="004D61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C25DE14" w14:textId="77777777" w:rsidR="007702FD" w:rsidRPr="00ED26BE" w:rsidRDefault="004D61D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3C58998"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C3C6E60" w14:textId="77777777" w:rsidR="007702FD" w:rsidRPr="00ED26BE" w:rsidRDefault="004D61D1">
      <w:pPr>
        <w:spacing w:before="120" w:after="12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r w:rsidRPr="00ED26BE">
        <w:rPr>
          <w:rFonts w:ascii="Palatino Linotype" w:eastAsia="Palatino Linotype" w:hAnsi="Palatino Linotype" w:cs="Palatino Linotype"/>
          <w:b/>
          <w:i/>
          <w:sz w:val="22"/>
          <w:szCs w:val="22"/>
        </w:rPr>
        <w:t>Quincuagésimo segundo</w:t>
      </w:r>
      <w:r w:rsidRPr="00ED26B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56330C3" w14:textId="77777777" w:rsidR="007702FD" w:rsidRPr="00ED26BE" w:rsidRDefault="004D61D1">
      <w:pPr>
        <w:spacing w:before="120" w:after="12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952AB83" w14:textId="77777777" w:rsidR="007702FD" w:rsidRPr="00ED26BE" w:rsidRDefault="004D61D1">
      <w:pPr>
        <w:spacing w:before="120" w:after="120"/>
        <w:ind w:left="1134"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38AB866" w14:textId="77777777" w:rsidR="007702FD" w:rsidRPr="00ED26BE" w:rsidRDefault="004D61D1">
      <w:pPr>
        <w:spacing w:before="120" w:after="120"/>
        <w:ind w:left="1134"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BD10BFB" w14:textId="77777777" w:rsidR="007702FD" w:rsidRPr="00ED26BE" w:rsidRDefault="004D61D1">
      <w:pPr>
        <w:spacing w:before="120" w:after="120"/>
        <w:ind w:left="1134"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Señalar las personas o instancias autorizadas a acceder a la información clasificada.</w:t>
      </w:r>
    </w:p>
    <w:p w14:paraId="0DC55775" w14:textId="77777777" w:rsidR="007702FD" w:rsidRPr="00ED26BE" w:rsidRDefault="004D61D1">
      <w:pPr>
        <w:spacing w:before="120" w:after="12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66B8CA9D" w14:textId="77777777" w:rsidR="007702FD" w:rsidRPr="00ED26BE" w:rsidRDefault="004D61D1">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w:t>
      </w:r>
    </w:p>
    <w:p w14:paraId="5A41E231" w14:textId="77777777" w:rsidR="007702FD" w:rsidRPr="00ED26BE" w:rsidRDefault="004D61D1">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 xml:space="preserve">Quincuagésimo cuarto. </w:t>
      </w:r>
      <w:r w:rsidRPr="00ED26BE">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D26BE">
        <w:rPr>
          <w:rFonts w:ascii="Palatino Linotype" w:eastAsia="Palatino Linotype" w:hAnsi="Palatino Linotype" w:cs="Palatino Linotype"/>
          <w:b/>
          <w:i/>
          <w:sz w:val="22"/>
          <w:szCs w:val="22"/>
        </w:rPr>
        <w:t xml:space="preserve"> </w:t>
      </w:r>
    </w:p>
    <w:p w14:paraId="2C8F66FD"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 xml:space="preserve">Quincuagésimo quinto. </w:t>
      </w:r>
      <w:r w:rsidRPr="00ED26B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D26BE">
        <w:rPr>
          <w:rFonts w:ascii="Palatino Linotype" w:eastAsia="Palatino Linotype" w:hAnsi="Palatino Linotype" w:cs="Palatino Linotype"/>
          <w:i/>
          <w:sz w:val="22"/>
          <w:szCs w:val="22"/>
        </w:rPr>
        <w:t>testado</w:t>
      </w:r>
      <w:proofErr w:type="spellEnd"/>
      <w:r w:rsidRPr="00ED26B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46ED50D" w14:textId="77777777" w:rsidR="007702FD" w:rsidRPr="00ED26BE" w:rsidRDefault="004D61D1">
      <w:pPr>
        <w:spacing w:before="120" w:after="120"/>
        <w:ind w:left="851" w:right="902"/>
        <w:jc w:val="both"/>
        <w:rPr>
          <w:rFonts w:ascii="Palatino Linotype" w:eastAsia="Palatino Linotype" w:hAnsi="Palatino Linotype" w:cs="Palatino Linotype"/>
          <w:b/>
          <w:i/>
          <w:sz w:val="22"/>
          <w:szCs w:val="22"/>
        </w:rPr>
      </w:pPr>
      <w:r w:rsidRPr="00ED26BE">
        <w:rPr>
          <w:rFonts w:ascii="Palatino Linotype" w:eastAsia="Palatino Linotype" w:hAnsi="Palatino Linotype" w:cs="Palatino Linotype"/>
          <w:b/>
          <w:i/>
          <w:sz w:val="22"/>
          <w:szCs w:val="22"/>
        </w:rPr>
        <w:t>...</w:t>
      </w:r>
    </w:p>
    <w:p w14:paraId="7AEFFEBA"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Quincuagésimo séptimo</w:t>
      </w:r>
      <w:r w:rsidRPr="00ED26B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40C2FD0"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w:t>
      </w:r>
      <w:r w:rsidRPr="00ED26B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2931D59"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w:t>
      </w:r>
      <w:r w:rsidRPr="00ED26BE">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0D9B08E" w14:textId="77777777" w:rsidR="007702FD" w:rsidRPr="00ED26BE" w:rsidRDefault="004D61D1">
      <w:pPr>
        <w:spacing w:before="120" w:after="120"/>
        <w:ind w:left="1134"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t>III</w:t>
      </w:r>
      <w:r w:rsidRPr="00ED26B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A570D87"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8AEDAFE" w14:textId="77777777" w:rsidR="007702FD" w:rsidRPr="00ED26BE" w:rsidRDefault="004D61D1">
      <w:pPr>
        <w:spacing w:before="120" w:after="120"/>
        <w:ind w:left="851" w:right="902"/>
        <w:jc w:val="both"/>
        <w:rPr>
          <w:rFonts w:ascii="Palatino Linotype" w:eastAsia="Palatino Linotype" w:hAnsi="Palatino Linotype" w:cs="Palatino Linotype"/>
          <w:i/>
          <w:sz w:val="22"/>
          <w:szCs w:val="22"/>
        </w:rPr>
      </w:pPr>
      <w:r w:rsidRPr="00ED26BE">
        <w:rPr>
          <w:rFonts w:ascii="Palatino Linotype" w:eastAsia="Palatino Linotype" w:hAnsi="Palatino Linotype" w:cs="Palatino Linotype"/>
          <w:b/>
          <w:i/>
          <w:sz w:val="22"/>
          <w:szCs w:val="22"/>
        </w:rPr>
        <w:lastRenderedPageBreak/>
        <w:t>Quincuagésimo octavo</w:t>
      </w:r>
      <w:r w:rsidRPr="00ED26BE">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7143224" w14:textId="4193C6E6" w:rsidR="007702FD" w:rsidRPr="00ED26BE" w:rsidRDefault="004D61D1">
      <w:pPr>
        <w:tabs>
          <w:tab w:val="left" w:pos="4678"/>
        </w:tabs>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41138BDB" w14:textId="77777777" w:rsidR="007702FD" w:rsidRPr="00ED26BE" w:rsidRDefault="004D61D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D26BE">
        <w:rPr>
          <w:rFonts w:ascii="Palatino Linotype" w:eastAsia="Palatino Linotype" w:hAnsi="Palatino Linotype" w:cs="Palatino Linotype"/>
          <w:b/>
        </w:rPr>
        <w:t>III. R E S U E L V E</w:t>
      </w:r>
    </w:p>
    <w:p w14:paraId="25E923BB"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12" w:name="_heading=h.lnxbz9" w:colFirst="0" w:colLast="0"/>
      <w:bookmarkEnd w:id="12"/>
      <w:r w:rsidRPr="00ED26BE">
        <w:rPr>
          <w:rFonts w:ascii="Palatino Linotype" w:eastAsia="Palatino Linotype" w:hAnsi="Palatino Linotype" w:cs="Palatino Linotype"/>
          <w:b/>
        </w:rPr>
        <w:t xml:space="preserve">Primero. </w:t>
      </w:r>
      <w:r w:rsidRPr="00ED26BE">
        <w:rPr>
          <w:rFonts w:ascii="Palatino Linotype" w:eastAsia="Palatino Linotype" w:hAnsi="Palatino Linotype" w:cs="Palatino Linotype"/>
        </w:rPr>
        <w:t>Resultan</w:t>
      </w:r>
      <w:r w:rsidRPr="00ED26BE">
        <w:rPr>
          <w:rFonts w:ascii="Palatino Linotype" w:eastAsia="Palatino Linotype" w:hAnsi="Palatino Linotype" w:cs="Palatino Linotype"/>
          <w:b/>
        </w:rPr>
        <w:t xml:space="preserve"> fundadas</w:t>
      </w:r>
      <w:r w:rsidRPr="00ED26BE">
        <w:rPr>
          <w:rFonts w:ascii="Palatino Linotype" w:eastAsia="Palatino Linotype" w:hAnsi="Palatino Linotype" w:cs="Palatino Linotype"/>
        </w:rPr>
        <w:t xml:space="preserve"> las razones o motivos de inconformidad hechos valer por la parte</w:t>
      </w:r>
      <w:r w:rsidRPr="00ED26BE">
        <w:rPr>
          <w:rFonts w:ascii="Palatino Linotype" w:eastAsia="Palatino Linotype" w:hAnsi="Palatino Linotype" w:cs="Palatino Linotype"/>
          <w:b/>
        </w:rPr>
        <w:t xml:space="preserve"> Recurrente</w:t>
      </w:r>
      <w:r w:rsidRPr="00ED26BE">
        <w:rPr>
          <w:rFonts w:ascii="Palatino Linotype" w:eastAsia="Palatino Linotype" w:hAnsi="Palatino Linotype" w:cs="Palatino Linotype"/>
        </w:rPr>
        <w:t xml:space="preserve"> en el recurso de revisión </w:t>
      </w:r>
      <w:r w:rsidRPr="00ED26BE">
        <w:rPr>
          <w:rFonts w:ascii="Palatino Linotype" w:eastAsia="Palatino Linotype" w:hAnsi="Palatino Linotype" w:cs="Palatino Linotype"/>
          <w:b/>
        </w:rPr>
        <w:t>03534/INFOEM/IP/RR/2025</w:t>
      </w:r>
      <w:r w:rsidRPr="00ED26BE">
        <w:rPr>
          <w:rFonts w:ascii="Palatino Linotype" w:eastAsia="Palatino Linotype" w:hAnsi="Palatino Linotype" w:cs="Palatino Linotype"/>
        </w:rPr>
        <w:t xml:space="preserve">; por lo que, en términos del </w:t>
      </w:r>
      <w:r w:rsidRPr="00ED26BE">
        <w:rPr>
          <w:rFonts w:ascii="Palatino Linotype" w:eastAsia="Palatino Linotype" w:hAnsi="Palatino Linotype" w:cs="Palatino Linotype"/>
          <w:b/>
        </w:rPr>
        <w:t>Considerando</w:t>
      </w:r>
      <w:r w:rsidRPr="00ED26BE">
        <w:rPr>
          <w:rFonts w:ascii="Palatino Linotype" w:eastAsia="Palatino Linotype" w:hAnsi="Palatino Linotype" w:cs="Palatino Linotype"/>
        </w:rPr>
        <w:t xml:space="preserve"> </w:t>
      </w:r>
      <w:r w:rsidRPr="00ED26BE">
        <w:rPr>
          <w:rFonts w:ascii="Palatino Linotype" w:eastAsia="Palatino Linotype" w:hAnsi="Palatino Linotype" w:cs="Palatino Linotype"/>
          <w:b/>
        </w:rPr>
        <w:t xml:space="preserve">Cuarto </w:t>
      </w:r>
      <w:r w:rsidRPr="00ED26BE">
        <w:rPr>
          <w:rFonts w:ascii="Palatino Linotype" w:eastAsia="Palatino Linotype" w:hAnsi="Palatino Linotype" w:cs="Palatino Linotype"/>
        </w:rPr>
        <w:t xml:space="preserve">de esta resolución, se </w:t>
      </w:r>
      <w:r w:rsidRPr="00ED26BE">
        <w:rPr>
          <w:rFonts w:ascii="Palatino Linotype" w:eastAsia="Palatino Linotype" w:hAnsi="Palatino Linotype" w:cs="Palatino Linotype"/>
          <w:b/>
        </w:rPr>
        <w:t xml:space="preserve">Revoca </w:t>
      </w:r>
      <w:r w:rsidRPr="00ED26BE">
        <w:rPr>
          <w:rFonts w:ascii="Palatino Linotype" w:eastAsia="Palatino Linotype" w:hAnsi="Palatino Linotype" w:cs="Palatino Linotype"/>
        </w:rPr>
        <w:t xml:space="preserve">la respuesta emitida por el </w:t>
      </w:r>
      <w:r w:rsidRPr="00ED26BE">
        <w:rPr>
          <w:rFonts w:ascii="Palatino Linotype" w:eastAsia="Palatino Linotype" w:hAnsi="Palatino Linotype" w:cs="Palatino Linotype"/>
          <w:b/>
        </w:rPr>
        <w:t xml:space="preserve">Sujeto Obligado. </w:t>
      </w:r>
    </w:p>
    <w:p w14:paraId="7C0C883C" w14:textId="77777777" w:rsidR="007702FD" w:rsidRPr="00ED26BE" w:rsidRDefault="004D61D1">
      <w:pPr>
        <w:spacing w:before="240" w:after="240" w:line="360" w:lineRule="auto"/>
        <w:ind w:right="49"/>
        <w:jc w:val="both"/>
        <w:rPr>
          <w:rFonts w:ascii="Palatino Linotype" w:eastAsia="Palatino Linotype" w:hAnsi="Palatino Linotype" w:cs="Palatino Linotype"/>
        </w:rPr>
      </w:pPr>
      <w:r w:rsidRPr="00ED26BE">
        <w:rPr>
          <w:rFonts w:ascii="Palatino Linotype" w:eastAsia="Palatino Linotype" w:hAnsi="Palatino Linotype" w:cs="Palatino Linotype"/>
          <w:b/>
        </w:rPr>
        <w:t xml:space="preserve">Segundo. </w:t>
      </w:r>
      <w:r w:rsidRPr="00ED26BE">
        <w:rPr>
          <w:rFonts w:ascii="Palatino Linotype" w:eastAsia="Palatino Linotype" w:hAnsi="Palatino Linotype" w:cs="Palatino Linotype"/>
        </w:rPr>
        <w:t xml:space="preserve">Se </w:t>
      </w:r>
      <w:r w:rsidRPr="00ED26BE">
        <w:rPr>
          <w:rFonts w:ascii="Palatino Linotype" w:eastAsia="Palatino Linotype" w:hAnsi="Palatino Linotype" w:cs="Palatino Linotype"/>
          <w:b/>
        </w:rPr>
        <w:t xml:space="preserve">Ordena </w:t>
      </w:r>
      <w:r w:rsidRPr="00ED26BE">
        <w:rPr>
          <w:rFonts w:ascii="Palatino Linotype" w:eastAsia="Palatino Linotype" w:hAnsi="Palatino Linotype" w:cs="Palatino Linotype"/>
        </w:rPr>
        <w:t xml:space="preserve">al </w:t>
      </w:r>
      <w:r w:rsidRPr="00ED26BE">
        <w:rPr>
          <w:rFonts w:ascii="Palatino Linotype" w:eastAsia="Palatino Linotype" w:hAnsi="Palatino Linotype" w:cs="Palatino Linotype"/>
          <w:b/>
        </w:rPr>
        <w:t xml:space="preserve">Sujeto Obligado, </w:t>
      </w:r>
      <w:r w:rsidRPr="00ED26BE">
        <w:rPr>
          <w:rFonts w:ascii="Palatino Linotype" w:eastAsia="Palatino Linotype" w:hAnsi="Palatino Linotype" w:cs="Palatino Linotype"/>
        </w:rPr>
        <w:t xml:space="preserve">en términos de los </w:t>
      </w:r>
      <w:r w:rsidRPr="00ED26BE">
        <w:rPr>
          <w:rFonts w:ascii="Palatino Linotype" w:eastAsia="Palatino Linotype" w:hAnsi="Palatino Linotype" w:cs="Palatino Linotype"/>
          <w:b/>
        </w:rPr>
        <w:t>Considerandos</w:t>
      </w:r>
      <w:r w:rsidRPr="00ED26BE">
        <w:rPr>
          <w:rFonts w:ascii="Palatino Linotype" w:eastAsia="Palatino Linotype" w:hAnsi="Palatino Linotype" w:cs="Palatino Linotype"/>
        </w:rPr>
        <w:t xml:space="preserve"> </w:t>
      </w:r>
      <w:proofErr w:type="gramStart"/>
      <w:r w:rsidRPr="00ED26BE">
        <w:rPr>
          <w:rFonts w:ascii="Palatino Linotype" w:eastAsia="Palatino Linotype" w:hAnsi="Palatino Linotype" w:cs="Palatino Linotype"/>
          <w:b/>
        </w:rPr>
        <w:t xml:space="preserve">Cuarto </w:t>
      </w:r>
      <w:r w:rsidRPr="00ED26BE">
        <w:rPr>
          <w:rFonts w:ascii="Palatino Linotype" w:eastAsia="Palatino Linotype" w:hAnsi="Palatino Linotype" w:cs="Palatino Linotype"/>
        </w:rPr>
        <w:t xml:space="preserve"> y</w:t>
      </w:r>
      <w:proofErr w:type="gramEnd"/>
      <w:r w:rsidRPr="00ED26BE">
        <w:rPr>
          <w:rFonts w:ascii="Palatino Linotype" w:eastAsia="Palatino Linotype" w:hAnsi="Palatino Linotype" w:cs="Palatino Linotype"/>
        </w:rPr>
        <w:t xml:space="preserve"> </w:t>
      </w:r>
      <w:r w:rsidRPr="00ED26BE">
        <w:rPr>
          <w:rFonts w:ascii="Palatino Linotype" w:eastAsia="Palatino Linotype" w:hAnsi="Palatino Linotype" w:cs="Palatino Linotype"/>
          <w:b/>
        </w:rPr>
        <w:t xml:space="preserve">Quinto </w:t>
      </w:r>
      <w:r w:rsidRPr="00ED26BE">
        <w:rPr>
          <w:rFonts w:ascii="Palatino Linotype" w:eastAsia="Palatino Linotype" w:hAnsi="Palatino Linotype" w:cs="Palatino Linotype"/>
        </w:rPr>
        <w:t xml:space="preserve">de esta resolución, haga entrega, vía </w:t>
      </w:r>
      <w:r w:rsidRPr="00ED26BE">
        <w:rPr>
          <w:rFonts w:ascii="Palatino Linotype" w:eastAsia="Palatino Linotype" w:hAnsi="Palatino Linotype" w:cs="Palatino Linotype"/>
          <w:b/>
        </w:rPr>
        <w:t>SAIMEX</w:t>
      </w:r>
      <w:r w:rsidRPr="00ED26BE">
        <w:rPr>
          <w:rFonts w:ascii="Palatino Linotype" w:eastAsia="Palatino Linotype" w:hAnsi="Palatino Linotype" w:cs="Palatino Linotype"/>
        </w:rPr>
        <w:t>, en versión pública de lo siguiente:</w:t>
      </w:r>
    </w:p>
    <w:p w14:paraId="07D354B2" w14:textId="77777777" w:rsidR="007702FD" w:rsidRPr="00ED26BE" w:rsidRDefault="004D61D1">
      <w:pPr>
        <w:pBdr>
          <w:top w:val="nil"/>
          <w:left w:val="nil"/>
          <w:bottom w:val="nil"/>
          <w:right w:val="nil"/>
          <w:between w:val="nil"/>
        </w:pBdr>
        <w:tabs>
          <w:tab w:val="left" w:pos="851"/>
        </w:tabs>
        <w:spacing w:after="240" w:line="360" w:lineRule="auto"/>
        <w:ind w:left="426"/>
        <w:jc w:val="both"/>
        <w:rPr>
          <w:rFonts w:ascii="Palatino Linotype" w:eastAsia="Palatino Linotype" w:hAnsi="Palatino Linotype" w:cs="Palatino Linotype"/>
        </w:rPr>
      </w:pPr>
      <w:r w:rsidRPr="00ED26BE">
        <w:rPr>
          <w:rFonts w:ascii="Palatino Linotype" w:eastAsia="Palatino Linotype" w:hAnsi="Palatino Linotype" w:cs="Palatino Linotype"/>
        </w:rPr>
        <w:t>1. Recibo de nómina de la primera quincena de enero de dos mil veinticinco del Tesorero proporcionado en informe justificado, en versión pública correcta.</w:t>
      </w:r>
    </w:p>
    <w:p w14:paraId="5164DD8C" w14:textId="77777777" w:rsidR="007702FD" w:rsidRPr="00ED26BE" w:rsidRDefault="004D61D1">
      <w:pPr>
        <w:pBdr>
          <w:top w:val="nil"/>
          <w:left w:val="nil"/>
          <w:bottom w:val="nil"/>
          <w:right w:val="nil"/>
          <w:between w:val="nil"/>
        </w:pBdr>
        <w:ind w:left="426"/>
        <w:jc w:val="both"/>
        <w:rPr>
          <w:rFonts w:ascii="Palatino Linotype" w:eastAsia="Palatino Linotype" w:hAnsi="Palatino Linotype" w:cs="Palatino Linotype"/>
          <w:i/>
          <w:sz w:val="20"/>
          <w:szCs w:val="20"/>
        </w:rPr>
      </w:pPr>
      <w:r w:rsidRPr="00ED26BE">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w:t>
      </w:r>
      <w:r w:rsidRPr="00ED26BE">
        <w:rPr>
          <w:rFonts w:ascii="Palatino Linotype" w:eastAsia="Palatino Linotype" w:hAnsi="Palatino Linotype" w:cs="Palatino Linotype"/>
          <w:i/>
          <w:sz w:val="20"/>
          <w:szCs w:val="20"/>
        </w:rPr>
        <w:lastRenderedPageBreak/>
        <w:t xml:space="preserve">que funde y motive las razones sobre los datos que se supriman o eliminen de los soportes documentales objeto de la versión públicas que se formule y se pongan a disposición de la parte </w:t>
      </w:r>
      <w:r w:rsidRPr="00ED26BE">
        <w:rPr>
          <w:rFonts w:ascii="Palatino Linotype" w:eastAsia="Palatino Linotype" w:hAnsi="Palatino Linotype" w:cs="Palatino Linotype"/>
          <w:b/>
          <w:i/>
          <w:sz w:val="20"/>
          <w:szCs w:val="20"/>
        </w:rPr>
        <w:t>Recurrente</w:t>
      </w:r>
      <w:r w:rsidRPr="00ED26BE">
        <w:rPr>
          <w:rFonts w:ascii="Palatino Linotype" w:eastAsia="Palatino Linotype" w:hAnsi="Palatino Linotype" w:cs="Palatino Linotype"/>
          <w:i/>
          <w:sz w:val="20"/>
          <w:szCs w:val="20"/>
        </w:rPr>
        <w:t>, mismo que igualmente hará de su conocimiento.</w:t>
      </w:r>
    </w:p>
    <w:p w14:paraId="25941622"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13" w:name="_heading=h.uht4tp5r2qbc" w:colFirst="0" w:colLast="0"/>
      <w:bookmarkEnd w:id="13"/>
      <w:r w:rsidRPr="00ED26BE">
        <w:rPr>
          <w:rFonts w:ascii="Palatino Linotype" w:eastAsia="Palatino Linotype" w:hAnsi="Palatino Linotype" w:cs="Palatino Linotype"/>
          <w:b/>
        </w:rPr>
        <w:t xml:space="preserve">Tercero. Notifíquese, </w:t>
      </w:r>
      <w:r w:rsidRPr="00ED26BE">
        <w:rPr>
          <w:rFonts w:ascii="Palatino Linotype" w:eastAsia="Palatino Linotype" w:hAnsi="Palatino Linotype" w:cs="Palatino Linotype"/>
        </w:rPr>
        <w:t xml:space="preserve">vía </w:t>
      </w:r>
      <w:r w:rsidRPr="00ED26BE">
        <w:rPr>
          <w:rFonts w:ascii="Palatino Linotype" w:eastAsia="Palatino Linotype" w:hAnsi="Palatino Linotype" w:cs="Palatino Linotype"/>
          <w:b/>
        </w:rPr>
        <w:t>SAIMEX</w:t>
      </w:r>
      <w:r w:rsidRPr="00ED26BE">
        <w:rPr>
          <w:rFonts w:ascii="Palatino Linotype" w:eastAsia="Palatino Linotype" w:hAnsi="Palatino Linotype" w:cs="Palatino Linotype"/>
        </w:rPr>
        <w:t xml:space="preserve">, al Titular de la Unidad de Transparencia del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21DAC3" w14:textId="77777777" w:rsidR="007702FD" w:rsidRPr="00ED26BE" w:rsidRDefault="004D61D1">
      <w:pPr>
        <w:spacing w:before="240" w:after="240" w:line="360" w:lineRule="auto"/>
        <w:jc w:val="both"/>
        <w:rPr>
          <w:rFonts w:ascii="Palatino Linotype" w:eastAsia="Palatino Linotype" w:hAnsi="Palatino Linotype" w:cs="Palatino Linotype"/>
        </w:rPr>
      </w:pPr>
      <w:r w:rsidRPr="00ED26B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D26BE">
        <w:rPr>
          <w:rFonts w:ascii="Palatino Linotype" w:eastAsia="Palatino Linotype" w:hAnsi="Palatino Linotype" w:cs="Palatino Linotype"/>
          <w:b/>
        </w:rPr>
        <w:t>Sujeto Obligado</w:t>
      </w:r>
      <w:r w:rsidRPr="00ED26BE">
        <w:rPr>
          <w:rFonts w:ascii="Palatino Linotype" w:eastAsia="Palatino Linotype" w:hAnsi="Palatino Linotype" w:cs="Palatino Linotype"/>
        </w:rPr>
        <w:t xml:space="preserve"> de manera fundada y motivada, podrá solicitar una ampliación de plazo para el cumplimiento de la presente resolución.</w:t>
      </w:r>
    </w:p>
    <w:p w14:paraId="56D23E75" w14:textId="77777777" w:rsidR="007702FD" w:rsidRPr="00ED26BE" w:rsidRDefault="004D61D1">
      <w:pPr>
        <w:spacing w:before="240" w:after="240" w:line="360" w:lineRule="auto"/>
        <w:jc w:val="both"/>
        <w:rPr>
          <w:rFonts w:ascii="Palatino Linotype" w:eastAsia="Palatino Linotype" w:hAnsi="Palatino Linotype" w:cs="Palatino Linotype"/>
        </w:rPr>
      </w:pPr>
      <w:bookmarkStart w:id="14" w:name="_heading=h.ot3qq6vxa08f" w:colFirst="0" w:colLast="0"/>
      <w:bookmarkEnd w:id="14"/>
      <w:r w:rsidRPr="00ED26BE">
        <w:rPr>
          <w:rFonts w:ascii="Palatino Linotype" w:eastAsia="Palatino Linotype" w:hAnsi="Palatino Linotype" w:cs="Palatino Linotype"/>
          <w:b/>
        </w:rPr>
        <w:t xml:space="preserve">Cuarto.  Notifíquese, </w:t>
      </w:r>
      <w:r w:rsidRPr="00ED26BE">
        <w:rPr>
          <w:rFonts w:ascii="Palatino Linotype" w:eastAsia="Palatino Linotype" w:hAnsi="Palatino Linotype" w:cs="Palatino Linotype"/>
        </w:rPr>
        <w:t xml:space="preserve">vía </w:t>
      </w:r>
      <w:r w:rsidRPr="00ED26BE">
        <w:rPr>
          <w:rFonts w:ascii="Palatino Linotype" w:eastAsia="Palatino Linotype" w:hAnsi="Palatino Linotype" w:cs="Palatino Linotype"/>
          <w:b/>
        </w:rPr>
        <w:t>SAIMEX</w:t>
      </w:r>
      <w:r w:rsidRPr="00ED26BE">
        <w:rPr>
          <w:rFonts w:ascii="Palatino Linotype" w:eastAsia="Palatino Linotype" w:hAnsi="Palatino Linotype" w:cs="Palatino Linotype"/>
        </w:rPr>
        <w:t xml:space="preserve"> a la parte </w:t>
      </w:r>
      <w:r w:rsidRPr="00ED26BE">
        <w:rPr>
          <w:rFonts w:ascii="Palatino Linotype" w:eastAsia="Palatino Linotype" w:hAnsi="Palatino Linotype" w:cs="Palatino Linotype"/>
          <w:b/>
        </w:rPr>
        <w:t>Recurrente</w:t>
      </w:r>
      <w:r w:rsidRPr="00ED26B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AB3039E" w14:textId="77777777" w:rsidR="007702FD" w:rsidRPr="00CB1B78" w:rsidRDefault="004D61D1">
      <w:pPr>
        <w:tabs>
          <w:tab w:val="left" w:pos="8647"/>
        </w:tabs>
        <w:spacing w:before="240" w:after="240" w:line="360" w:lineRule="auto"/>
        <w:ind w:right="51"/>
        <w:jc w:val="both"/>
        <w:rPr>
          <w:rFonts w:ascii="Palatino Linotype" w:eastAsia="Palatino Linotype" w:hAnsi="Palatino Linotype" w:cs="Palatino Linotype"/>
        </w:rPr>
      </w:pPr>
      <w:bookmarkStart w:id="15" w:name="_heading=h.fz1rcl7htz6v" w:colFirst="0" w:colLast="0"/>
      <w:bookmarkEnd w:id="15"/>
      <w:r w:rsidRPr="00ED26BE">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w:t>
      </w:r>
    </w:p>
    <w:p w14:paraId="209E9A91" w14:textId="77777777" w:rsidR="007702FD" w:rsidRPr="00CB1B78" w:rsidRDefault="007702FD">
      <w:pPr>
        <w:spacing w:line="360" w:lineRule="auto"/>
        <w:jc w:val="both"/>
        <w:rPr>
          <w:rFonts w:ascii="Palatino Linotype" w:eastAsia="Palatino Linotype" w:hAnsi="Palatino Linotype" w:cs="Palatino Linotype"/>
        </w:rPr>
      </w:pPr>
    </w:p>
    <w:p w14:paraId="7F9C822A" w14:textId="77777777" w:rsidR="007702FD" w:rsidRPr="00CB1B78" w:rsidRDefault="007702FD">
      <w:pPr>
        <w:spacing w:line="360" w:lineRule="auto"/>
        <w:jc w:val="both"/>
        <w:rPr>
          <w:rFonts w:ascii="Palatino Linotype" w:eastAsia="Palatino Linotype" w:hAnsi="Palatino Linotype" w:cs="Palatino Linotype"/>
        </w:rPr>
      </w:pPr>
    </w:p>
    <w:p w14:paraId="323A8F21" w14:textId="77777777" w:rsidR="007702FD" w:rsidRPr="00CB1B78" w:rsidRDefault="007702FD">
      <w:pPr>
        <w:spacing w:line="360" w:lineRule="auto"/>
        <w:jc w:val="both"/>
        <w:rPr>
          <w:rFonts w:ascii="Palatino Linotype" w:eastAsia="Palatino Linotype" w:hAnsi="Palatino Linotype" w:cs="Palatino Linotype"/>
        </w:rPr>
      </w:pPr>
    </w:p>
    <w:p w14:paraId="0B91A0DC" w14:textId="77777777" w:rsidR="007702FD" w:rsidRPr="00CB1B78" w:rsidRDefault="007702FD">
      <w:pPr>
        <w:spacing w:line="360" w:lineRule="auto"/>
        <w:jc w:val="both"/>
        <w:rPr>
          <w:rFonts w:ascii="Palatino Linotype" w:eastAsia="Palatino Linotype" w:hAnsi="Palatino Linotype" w:cs="Palatino Linotype"/>
        </w:rPr>
      </w:pPr>
    </w:p>
    <w:p w14:paraId="6CD4D06A" w14:textId="77777777" w:rsidR="007702FD" w:rsidRPr="00CB1B78" w:rsidRDefault="007702FD">
      <w:pPr>
        <w:spacing w:line="360" w:lineRule="auto"/>
        <w:jc w:val="both"/>
        <w:rPr>
          <w:rFonts w:ascii="Palatino Linotype" w:eastAsia="Palatino Linotype" w:hAnsi="Palatino Linotype" w:cs="Palatino Linotype"/>
        </w:rPr>
      </w:pPr>
    </w:p>
    <w:p w14:paraId="3B4C7110" w14:textId="77777777" w:rsidR="007702FD" w:rsidRPr="00CB1B78" w:rsidRDefault="007702FD">
      <w:pPr>
        <w:spacing w:line="360" w:lineRule="auto"/>
        <w:jc w:val="both"/>
        <w:rPr>
          <w:rFonts w:ascii="Palatino Linotype" w:eastAsia="Palatino Linotype" w:hAnsi="Palatino Linotype" w:cs="Palatino Linotype"/>
        </w:rPr>
      </w:pPr>
    </w:p>
    <w:p w14:paraId="7E9A44B5" w14:textId="77777777" w:rsidR="007702FD" w:rsidRPr="00CB1B78" w:rsidRDefault="007702FD">
      <w:pPr>
        <w:spacing w:line="360" w:lineRule="auto"/>
        <w:jc w:val="both"/>
        <w:rPr>
          <w:rFonts w:ascii="Palatino Linotype" w:eastAsia="Palatino Linotype" w:hAnsi="Palatino Linotype" w:cs="Palatino Linotype"/>
        </w:rPr>
      </w:pPr>
    </w:p>
    <w:p w14:paraId="7F4AC20B" w14:textId="77777777" w:rsidR="007702FD" w:rsidRPr="00CB1B78" w:rsidRDefault="007702FD">
      <w:pPr>
        <w:spacing w:line="360" w:lineRule="auto"/>
        <w:jc w:val="both"/>
        <w:rPr>
          <w:rFonts w:ascii="Palatino Linotype" w:eastAsia="Palatino Linotype" w:hAnsi="Palatino Linotype" w:cs="Palatino Linotype"/>
        </w:rPr>
      </w:pPr>
    </w:p>
    <w:p w14:paraId="72032E95" w14:textId="77777777" w:rsidR="007702FD" w:rsidRPr="00CB1B78" w:rsidRDefault="007702FD">
      <w:pPr>
        <w:spacing w:line="360" w:lineRule="auto"/>
        <w:jc w:val="both"/>
        <w:rPr>
          <w:rFonts w:ascii="Palatino Linotype" w:eastAsia="Palatino Linotype" w:hAnsi="Palatino Linotype" w:cs="Palatino Linotype"/>
        </w:rPr>
      </w:pPr>
    </w:p>
    <w:p w14:paraId="7F1EFD71" w14:textId="77777777" w:rsidR="007702FD" w:rsidRPr="00CB1B78" w:rsidRDefault="007702FD">
      <w:pPr>
        <w:spacing w:line="360" w:lineRule="auto"/>
        <w:jc w:val="both"/>
        <w:rPr>
          <w:rFonts w:ascii="Palatino Linotype" w:eastAsia="Palatino Linotype" w:hAnsi="Palatino Linotype" w:cs="Palatino Linotype"/>
        </w:rPr>
      </w:pPr>
    </w:p>
    <w:p w14:paraId="62EDC6DE" w14:textId="77777777" w:rsidR="007702FD" w:rsidRPr="00CB1B78" w:rsidRDefault="007702FD">
      <w:pPr>
        <w:spacing w:line="360" w:lineRule="auto"/>
        <w:jc w:val="both"/>
        <w:rPr>
          <w:rFonts w:ascii="Palatino Linotype" w:eastAsia="Palatino Linotype" w:hAnsi="Palatino Linotype" w:cs="Palatino Linotype"/>
        </w:rPr>
      </w:pPr>
    </w:p>
    <w:p w14:paraId="56F3255D" w14:textId="77777777" w:rsidR="007702FD" w:rsidRPr="00CB1B78" w:rsidRDefault="007702FD">
      <w:pPr>
        <w:spacing w:line="360" w:lineRule="auto"/>
        <w:jc w:val="both"/>
        <w:rPr>
          <w:rFonts w:ascii="Palatino Linotype" w:eastAsia="Palatino Linotype" w:hAnsi="Palatino Linotype" w:cs="Palatino Linotype"/>
        </w:rPr>
      </w:pPr>
    </w:p>
    <w:p w14:paraId="48ED3E25" w14:textId="77777777" w:rsidR="007702FD" w:rsidRPr="00CB1B78" w:rsidRDefault="007702FD">
      <w:pPr>
        <w:spacing w:line="360" w:lineRule="auto"/>
        <w:jc w:val="both"/>
        <w:rPr>
          <w:rFonts w:ascii="Palatino Linotype" w:eastAsia="Palatino Linotype" w:hAnsi="Palatino Linotype" w:cs="Palatino Linotype"/>
        </w:rPr>
      </w:pPr>
    </w:p>
    <w:p w14:paraId="5075F7B8" w14:textId="77777777" w:rsidR="007702FD" w:rsidRPr="00CB1B78" w:rsidRDefault="007702FD">
      <w:pPr>
        <w:spacing w:line="360" w:lineRule="auto"/>
        <w:jc w:val="both"/>
        <w:rPr>
          <w:rFonts w:ascii="Palatino Linotype" w:eastAsia="Palatino Linotype" w:hAnsi="Palatino Linotype" w:cs="Palatino Linotype"/>
        </w:rPr>
      </w:pPr>
    </w:p>
    <w:p w14:paraId="58AD255C" w14:textId="77777777" w:rsidR="007702FD" w:rsidRPr="00CB1B78" w:rsidRDefault="007702FD">
      <w:pPr>
        <w:spacing w:line="360" w:lineRule="auto"/>
        <w:jc w:val="both"/>
        <w:rPr>
          <w:rFonts w:ascii="Palatino Linotype" w:eastAsia="Palatino Linotype" w:hAnsi="Palatino Linotype" w:cs="Palatino Linotype"/>
        </w:rPr>
      </w:pPr>
    </w:p>
    <w:p w14:paraId="057F1A42" w14:textId="77777777" w:rsidR="007702FD" w:rsidRPr="00CB1B78" w:rsidRDefault="007702FD">
      <w:pPr>
        <w:spacing w:line="360" w:lineRule="auto"/>
        <w:jc w:val="center"/>
        <w:rPr>
          <w:rFonts w:ascii="Palatino Linotype" w:eastAsia="Palatino Linotype" w:hAnsi="Palatino Linotype" w:cs="Palatino Linotype"/>
        </w:rPr>
      </w:pPr>
    </w:p>
    <w:p w14:paraId="781F15AA" w14:textId="77777777" w:rsidR="007702FD" w:rsidRPr="00CB1B78" w:rsidRDefault="007702FD">
      <w:pPr>
        <w:spacing w:line="360" w:lineRule="auto"/>
        <w:jc w:val="both"/>
        <w:rPr>
          <w:rFonts w:ascii="Palatino Linotype" w:eastAsia="Palatino Linotype" w:hAnsi="Palatino Linotype" w:cs="Palatino Linotype"/>
        </w:rPr>
      </w:pPr>
    </w:p>
    <w:p w14:paraId="5B8F03BB" w14:textId="77777777" w:rsidR="007702FD" w:rsidRPr="00CB1B78" w:rsidRDefault="007702FD">
      <w:pPr>
        <w:spacing w:line="360" w:lineRule="auto"/>
        <w:jc w:val="both"/>
        <w:rPr>
          <w:rFonts w:ascii="Palatino Linotype" w:eastAsia="Palatino Linotype" w:hAnsi="Palatino Linotype" w:cs="Palatino Linotype"/>
        </w:rPr>
      </w:pPr>
    </w:p>
    <w:p w14:paraId="188F0935" w14:textId="77777777" w:rsidR="007702FD" w:rsidRPr="00CB1B78" w:rsidRDefault="007702FD">
      <w:pPr>
        <w:spacing w:line="360" w:lineRule="auto"/>
        <w:jc w:val="both"/>
        <w:rPr>
          <w:rFonts w:ascii="Palatino Linotype" w:eastAsia="Palatino Linotype" w:hAnsi="Palatino Linotype" w:cs="Palatino Linotype"/>
        </w:rPr>
      </w:pPr>
    </w:p>
    <w:p w14:paraId="4260FBCA" w14:textId="77777777" w:rsidR="007702FD" w:rsidRPr="00CB1B78" w:rsidRDefault="007702FD">
      <w:pPr>
        <w:spacing w:line="360" w:lineRule="auto"/>
        <w:jc w:val="both"/>
        <w:rPr>
          <w:rFonts w:ascii="Palatino Linotype" w:eastAsia="Palatino Linotype" w:hAnsi="Palatino Linotype" w:cs="Palatino Linotype"/>
        </w:rPr>
      </w:pPr>
    </w:p>
    <w:p w14:paraId="1DA83D71" w14:textId="77777777" w:rsidR="007702FD" w:rsidRPr="00CB1B78" w:rsidRDefault="007702FD">
      <w:pPr>
        <w:spacing w:line="360" w:lineRule="auto"/>
        <w:jc w:val="both"/>
        <w:rPr>
          <w:rFonts w:ascii="Palatino Linotype" w:eastAsia="Palatino Linotype" w:hAnsi="Palatino Linotype" w:cs="Palatino Linotype"/>
        </w:rPr>
      </w:pPr>
    </w:p>
    <w:p w14:paraId="5A49CF59" w14:textId="77777777" w:rsidR="007702FD" w:rsidRPr="00CB1B78" w:rsidRDefault="007702FD">
      <w:pPr>
        <w:spacing w:line="360" w:lineRule="auto"/>
        <w:jc w:val="both"/>
        <w:rPr>
          <w:rFonts w:ascii="Palatino Linotype" w:eastAsia="Palatino Linotype" w:hAnsi="Palatino Linotype" w:cs="Palatino Linotype"/>
        </w:rPr>
      </w:pPr>
    </w:p>
    <w:p w14:paraId="5CA4651E" w14:textId="77777777" w:rsidR="007702FD" w:rsidRPr="00CB1B78" w:rsidRDefault="007702FD">
      <w:pPr>
        <w:spacing w:line="360" w:lineRule="auto"/>
        <w:jc w:val="both"/>
        <w:rPr>
          <w:rFonts w:ascii="Palatino Linotype" w:eastAsia="Palatino Linotype" w:hAnsi="Palatino Linotype" w:cs="Palatino Linotype"/>
        </w:rPr>
      </w:pPr>
    </w:p>
    <w:p w14:paraId="29C81D4C" w14:textId="77777777" w:rsidR="007702FD" w:rsidRPr="00CB1B78" w:rsidRDefault="007702FD">
      <w:pPr>
        <w:spacing w:line="360" w:lineRule="auto"/>
        <w:jc w:val="both"/>
        <w:rPr>
          <w:rFonts w:ascii="Palatino Linotype" w:eastAsia="Palatino Linotype" w:hAnsi="Palatino Linotype" w:cs="Palatino Linotype"/>
        </w:rPr>
      </w:pPr>
    </w:p>
    <w:p w14:paraId="7D18A793" w14:textId="77777777" w:rsidR="007702FD" w:rsidRPr="00CB1B78" w:rsidRDefault="007702FD">
      <w:pPr>
        <w:spacing w:line="360" w:lineRule="auto"/>
        <w:jc w:val="both"/>
        <w:rPr>
          <w:rFonts w:ascii="Palatino Linotype" w:eastAsia="Palatino Linotype" w:hAnsi="Palatino Linotype" w:cs="Palatino Linotype"/>
        </w:rPr>
      </w:pPr>
    </w:p>
    <w:p w14:paraId="35E1B0BB" w14:textId="77777777" w:rsidR="007702FD" w:rsidRPr="00CB1B78" w:rsidRDefault="007702FD">
      <w:pPr>
        <w:spacing w:line="360" w:lineRule="auto"/>
        <w:jc w:val="both"/>
        <w:rPr>
          <w:rFonts w:ascii="Palatino Linotype" w:eastAsia="Palatino Linotype" w:hAnsi="Palatino Linotype" w:cs="Palatino Linotype"/>
        </w:rPr>
      </w:pPr>
    </w:p>
    <w:p w14:paraId="2E45D95D" w14:textId="77777777" w:rsidR="007702FD" w:rsidRPr="00CB1B78" w:rsidRDefault="007702FD">
      <w:pPr>
        <w:spacing w:line="360" w:lineRule="auto"/>
        <w:jc w:val="both"/>
        <w:rPr>
          <w:rFonts w:ascii="Palatino Linotype" w:eastAsia="Palatino Linotype" w:hAnsi="Palatino Linotype" w:cs="Palatino Linotype"/>
        </w:rPr>
      </w:pPr>
    </w:p>
    <w:sectPr w:rsidR="007702FD" w:rsidRPr="00CB1B78">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212EF" w14:textId="77777777" w:rsidR="0010575C" w:rsidRDefault="0010575C">
      <w:r>
        <w:separator/>
      </w:r>
    </w:p>
  </w:endnote>
  <w:endnote w:type="continuationSeparator" w:id="0">
    <w:p w14:paraId="73FBEB08" w14:textId="77777777" w:rsidR="0010575C" w:rsidRDefault="0010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137AC7-8511-4AEB-9E00-D94D4821C2DE}"/>
    <w:embedBold r:id="rId2" w:fontKey="{551101D3-CE28-464C-9F42-C1482ACDACF1}"/>
  </w:font>
  <w:font w:name="Cambria">
    <w:panose1 w:val="02040503050406030204"/>
    <w:charset w:val="00"/>
    <w:family w:val="roman"/>
    <w:pitch w:val="variable"/>
    <w:sig w:usb0="E00006FF" w:usb1="420024FF" w:usb2="02000000" w:usb3="00000000" w:csb0="0000019F" w:csb1="00000000"/>
    <w:embedRegular r:id="rId3" w:fontKey="{EBC0F5AE-D165-4D7F-A8E2-7B277FDBE87B}"/>
    <w:embedBold r:id="rId4" w:fontKey="{C7203A7A-4052-4B3B-8227-52CA26EC7F74}"/>
    <w:embedBoldItalic r:id="rId5" w:fontKey="{74CE92E2-56FC-45A7-83D4-D0FCA992DE2B}"/>
  </w:font>
  <w:font w:name="Georgia">
    <w:panose1 w:val="02040502050405020303"/>
    <w:charset w:val="00"/>
    <w:family w:val="roman"/>
    <w:pitch w:val="variable"/>
    <w:sig w:usb0="00000287" w:usb1="00000000" w:usb2="00000000" w:usb3="00000000" w:csb0="0000009F" w:csb1="00000000"/>
    <w:embedRegular r:id="rId6" w:fontKey="{8517071A-08A9-41B3-B96E-5B9F59DBC8A4}"/>
    <w:embedItalic r:id="rId7" w:fontKey="{6AA1733C-4440-46A7-A2A5-F69F145B183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3598943B-E852-4849-B48C-D045EED39064}"/>
  </w:font>
  <w:font w:name="Palatino Linotype">
    <w:panose1 w:val="02040502050505030304"/>
    <w:charset w:val="00"/>
    <w:family w:val="roman"/>
    <w:pitch w:val="variable"/>
    <w:sig w:usb0="E0000287" w:usb1="40000013" w:usb2="00000000" w:usb3="00000000" w:csb0="0000019F" w:csb1="00000000"/>
    <w:embedRegular r:id="rId9" w:fontKey="{B8098320-B231-4F14-BC88-8496ACFAE782}"/>
    <w:embedBold r:id="rId10" w:fontKey="{0A65C921-1A79-4FB4-BE35-144D5016B949}"/>
    <w:embedItalic r:id="rId11" w:fontKey="{D1AB32C2-8537-45F1-8D3E-D7B3F8F4D12E}"/>
    <w:embedBoldItalic r:id="rId12" w:fontKey="{42A2907A-4917-4973-9468-9812FD6154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3A09" w14:textId="77777777" w:rsidR="007702FD" w:rsidRDefault="004D61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26B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26BE">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51655D29" w14:textId="77777777" w:rsidR="007702FD" w:rsidRDefault="007702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E106" w14:textId="77777777" w:rsidR="007702FD" w:rsidRDefault="004D61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26B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26BE">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4428609F" w14:textId="77777777" w:rsidR="007702FD" w:rsidRDefault="007702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C76B7" w14:textId="77777777" w:rsidR="0010575C" w:rsidRDefault="0010575C">
      <w:r>
        <w:separator/>
      </w:r>
    </w:p>
  </w:footnote>
  <w:footnote w:type="continuationSeparator" w:id="0">
    <w:p w14:paraId="04BFA162" w14:textId="77777777" w:rsidR="0010575C" w:rsidRDefault="0010575C">
      <w:r>
        <w:continuationSeparator/>
      </w:r>
    </w:p>
  </w:footnote>
  <w:footnote w:id="1">
    <w:p w14:paraId="10465146" w14:textId="77777777" w:rsidR="007702FD" w:rsidRDefault="004D61D1">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38BD" w14:textId="77777777" w:rsidR="007702FD" w:rsidRDefault="004D61D1">
    <w:pPr>
      <w:rPr>
        <w:rFonts w:ascii="Cambria" w:eastAsia="Cambria" w:hAnsi="Cambria" w:cs="Cambria"/>
        <w:color w:val="000000"/>
      </w:rPr>
    </w:pPr>
    <w:r>
      <w:rPr>
        <w:noProof/>
      </w:rPr>
      <w:drawing>
        <wp:anchor distT="0" distB="0" distL="0" distR="0" simplePos="0" relativeHeight="251658240" behindDoc="1" locked="0" layoutInCell="1" hidden="0" allowOverlap="1" wp14:anchorId="5101C600" wp14:editId="4C15D600">
          <wp:simplePos x="0" y="0"/>
          <wp:positionH relativeFrom="column">
            <wp:posOffset>-1080092</wp:posOffset>
          </wp:positionH>
          <wp:positionV relativeFrom="paragraph">
            <wp:posOffset>-488263</wp:posOffset>
          </wp:positionV>
          <wp:extent cx="7809865" cy="10165715"/>
          <wp:effectExtent l="0" t="0" r="0" b="0"/>
          <wp:wrapNone/>
          <wp:docPr id="2083296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8"/>
      <w:tblW w:w="5953" w:type="dxa"/>
      <w:tblInd w:w="3261" w:type="dxa"/>
      <w:tblLayout w:type="fixed"/>
      <w:tblLook w:val="0400" w:firstRow="0" w:lastRow="0" w:firstColumn="0" w:lastColumn="0" w:noHBand="0" w:noVBand="1"/>
    </w:tblPr>
    <w:tblGrid>
      <w:gridCol w:w="2489"/>
      <w:gridCol w:w="3464"/>
    </w:tblGrid>
    <w:tr w:rsidR="007702FD" w14:paraId="6B2C3839" w14:textId="77777777">
      <w:tc>
        <w:tcPr>
          <w:tcW w:w="2489" w:type="dxa"/>
          <w:shd w:val="clear" w:color="auto" w:fill="auto"/>
        </w:tcPr>
        <w:p w14:paraId="468A95BC" w14:textId="77777777" w:rsidR="007702FD" w:rsidRDefault="004D61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D9F166D" w14:textId="77777777" w:rsidR="007702FD" w:rsidRDefault="004D61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03534/INFOEM/IP/RR/2025</w:t>
          </w:r>
        </w:p>
      </w:tc>
    </w:tr>
    <w:tr w:rsidR="007702FD" w14:paraId="7FCC7BB9" w14:textId="77777777">
      <w:trPr>
        <w:trHeight w:val="228"/>
      </w:trPr>
      <w:tc>
        <w:tcPr>
          <w:tcW w:w="2489" w:type="dxa"/>
          <w:shd w:val="clear" w:color="auto" w:fill="auto"/>
          <w:vAlign w:val="center"/>
        </w:tcPr>
        <w:p w14:paraId="1A75E0BD" w14:textId="77777777" w:rsidR="007702FD" w:rsidRDefault="004D61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73B7A38" w14:textId="77777777" w:rsidR="007702FD" w:rsidRDefault="004D61D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la Paz México, OPDAPAS</w:t>
          </w:r>
        </w:p>
      </w:tc>
    </w:tr>
    <w:tr w:rsidR="007702FD" w14:paraId="2C2F1D09" w14:textId="77777777">
      <w:tc>
        <w:tcPr>
          <w:tcW w:w="2489" w:type="dxa"/>
          <w:shd w:val="clear" w:color="auto" w:fill="auto"/>
          <w:vAlign w:val="center"/>
        </w:tcPr>
        <w:p w14:paraId="62B3700D" w14:textId="77777777" w:rsidR="007702FD" w:rsidRDefault="004D61D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DE88B4" w14:textId="77777777" w:rsidR="007702FD" w:rsidRDefault="004D61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79AC3A" w14:textId="77777777" w:rsidR="007702FD" w:rsidRDefault="004D61D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42C2" w14:textId="77777777" w:rsidR="007702FD" w:rsidRDefault="004D61D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CBF9C55" wp14:editId="5DDD5D04">
          <wp:simplePos x="0" y="0"/>
          <wp:positionH relativeFrom="column">
            <wp:posOffset>-1080118</wp:posOffset>
          </wp:positionH>
          <wp:positionV relativeFrom="paragraph">
            <wp:posOffset>-369893</wp:posOffset>
          </wp:positionV>
          <wp:extent cx="7809865" cy="10165715"/>
          <wp:effectExtent l="0" t="0" r="0" b="0"/>
          <wp:wrapNone/>
          <wp:docPr id="20832964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9"/>
      <w:tblW w:w="5953" w:type="dxa"/>
      <w:tblInd w:w="3261" w:type="dxa"/>
      <w:tblLayout w:type="fixed"/>
      <w:tblLook w:val="0400" w:firstRow="0" w:lastRow="0" w:firstColumn="0" w:lastColumn="0" w:noHBand="0" w:noVBand="1"/>
    </w:tblPr>
    <w:tblGrid>
      <w:gridCol w:w="2489"/>
      <w:gridCol w:w="3464"/>
    </w:tblGrid>
    <w:tr w:rsidR="007702FD" w14:paraId="741F64E4" w14:textId="77777777">
      <w:tc>
        <w:tcPr>
          <w:tcW w:w="2489" w:type="dxa"/>
          <w:shd w:val="clear" w:color="auto" w:fill="auto"/>
        </w:tcPr>
        <w:p w14:paraId="73EA063B" w14:textId="77777777" w:rsidR="007702FD" w:rsidRDefault="004D61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3FE0C01" w14:textId="77777777" w:rsidR="007702FD" w:rsidRDefault="004D61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03534/INFOEM/IP/RR/2025</w:t>
          </w:r>
        </w:p>
      </w:tc>
    </w:tr>
    <w:tr w:rsidR="007702FD" w14:paraId="768C49F8" w14:textId="77777777">
      <w:tc>
        <w:tcPr>
          <w:tcW w:w="2489" w:type="dxa"/>
          <w:shd w:val="clear" w:color="auto" w:fill="auto"/>
        </w:tcPr>
        <w:p w14:paraId="736E79A2" w14:textId="77777777" w:rsidR="007702FD" w:rsidRDefault="004D61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703D30F6" w14:textId="000A29CA" w:rsidR="007702FD" w:rsidRDefault="00E11BC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w:t>
          </w:r>
        </w:p>
      </w:tc>
    </w:tr>
    <w:tr w:rsidR="007702FD" w14:paraId="5AD50F8E" w14:textId="77777777">
      <w:trPr>
        <w:trHeight w:val="228"/>
      </w:trPr>
      <w:tc>
        <w:tcPr>
          <w:tcW w:w="2489" w:type="dxa"/>
          <w:shd w:val="clear" w:color="auto" w:fill="auto"/>
          <w:vAlign w:val="center"/>
        </w:tcPr>
        <w:p w14:paraId="7EFEB1FD" w14:textId="77777777" w:rsidR="007702FD" w:rsidRDefault="004D61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BFF43B4" w14:textId="77777777" w:rsidR="007702FD" w:rsidRDefault="004D61D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la Paz México, OPDAPAS</w:t>
          </w:r>
        </w:p>
      </w:tc>
    </w:tr>
    <w:tr w:rsidR="007702FD" w14:paraId="21D69E92" w14:textId="77777777">
      <w:tc>
        <w:tcPr>
          <w:tcW w:w="2489" w:type="dxa"/>
          <w:shd w:val="clear" w:color="auto" w:fill="auto"/>
          <w:vAlign w:val="center"/>
        </w:tcPr>
        <w:p w14:paraId="3AC29925" w14:textId="77777777" w:rsidR="007702FD" w:rsidRDefault="004D61D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67A031F" w14:textId="77777777" w:rsidR="007702FD" w:rsidRDefault="004D61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8E0681" w14:textId="77777777" w:rsidR="007702FD" w:rsidRDefault="007702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40A9F"/>
    <w:multiLevelType w:val="multilevel"/>
    <w:tmpl w:val="34A88AF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9CF494C"/>
    <w:multiLevelType w:val="multilevel"/>
    <w:tmpl w:val="4A5C410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2FD"/>
    <w:rsid w:val="0010575C"/>
    <w:rsid w:val="003067D9"/>
    <w:rsid w:val="003F3D33"/>
    <w:rsid w:val="004D61D1"/>
    <w:rsid w:val="007702FD"/>
    <w:rsid w:val="00CB1B78"/>
    <w:rsid w:val="00E11BCC"/>
    <w:rsid w:val="00ED26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FB9EA"/>
  <w15:docId w15:val="{FFB226EC-05FF-47D8-A4A9-025BA387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0"/>
    <w:tblPr>
      <w:tblStyleRowBandSize w:val="1"/>
      <w:tblStyleColBandSize w:val="1"/>
      <w:tblCellMar>
        <w:left w:w="115" w:type="dxa"/>
        <w:right w:w="115" w:type="dxa"/>
      </w:tblCellMar>
    </w:tblPr>
  </w:style>
  <w:style w:type="table" w:customStyle="1" w:styleId="a0">
    <w:basedOn w:val="TableNormalf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0"/>
    <w:tblPr>
      <w:tblStyleRowBandSize w:val="1"/>
      <w:tblStyleColBandSize w:val="1"/>
      <w:tblCellMar>
        <w:left w:w="115" w:type="dxa"/>
        <w:right w:w="115" w:type="dxa"/>
      </w:tblCellMar>
    </w:tblPr>
  </w:style>
  <w:style w:type="table" w:customStyle="1" w:styleId="a2">
    <w:basedOn w:val="TableNormalf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
    <w:tblPr>
      <w:tblStyleRowBandSize w:val="1"/>
      <w:tblStyleColBandSize w:val="1"/>
      <w:tblCellMar>
        <w:left w:w="115" w:type="dxa"/>
        <w:right w:w="115" w:type="dxa"/>
      </w:tblCellMar>
    </w:tblPr>
  </w:style>
  <w:style w:type="table" w:customStyle="1" w:styleId="a4">
    <w:basedOn w:val="TableNormalf"/>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e"/>
    <w:tblPr>
      <w:tblStyleRowBandSize w:val="1"/>
      <w:tblStyleColBandSize w:val="1"/>
      <w:tblCellMar>
        <w:left w:w="108" w:type="dxa"/>
        <w:right w:w="108" w:type="dxa"/>
      </w:tblCellMar>
    </w:tblPr>
  </w:style>
  <w:style w:type="table" w:customStyle="1" w:styleId="a6">
    <w:basedOn w:val="TableNormale"/>
    <w:tblPr>
      <w:tblStyleRowBandSize w:val="1"/>
      <w:tblStyleColBandSize w:val="1"/>
      <w:tblCellMar>
        <w:left w:w="108" w:type="dxa"/>
        <w:right w:w="108" w:type="dxa"/>
      </w:tblCellMar>
    </w:tblPr>
  </w:style>
  <w:style w:type="table" w:customStyle="1" w:styleId="a7">
    <w:basedOn w:val="TableNormale"/>
    <w:tblPr>
      <w:tblStyleRowBandSize w:val="1"/>
      <w:tblStyleColBandSize w:val="1"/>
      <w:tblCellMar>
        <w:left w:w="108" w:type="dxa"/>
        <w:right w:w="108" w:type="dxa"/>
      </w:tblCellMar>
    </w:tblPr>
  </w:style>
  <w:style w:type="table" w:customStyle="1" w:styleId="a8">
    <w:basedOn w:val="TableNormale"/>
    <w:tblPr>
      <w:tblStyleRowBandSize w:val="1"/>
      <w:tblStyleColBandSize w:val="1"/>
      <w:tblCellMar>
        <w:left w:w="108" w:type="dxa"/>
        <w:right w:w="108" w:type="dxa"/>
      </w:tblCellMar>
    </w:tblPr>
  </w:style>
  <w:style w:type="table" w:customStyle="1" w:styleId="a9">
    <w:basedOn w:val="TableNormale"/>
    <w:tblPr>
      <w:tblStyleRowBandSize w:val="1"/>
      <w:tblStyleColBandSize w:val="1"/>
      <w:tblCellMar>
        <w:left w:w="108" w:type="dxa"/>
        <w:right w:w="108" w:type="dxa"/>
      </w:tblCellMar>
    </w:tblPr>
  </w:style>
  <w:style w:type="table" w:customStyle="1" w:styleId="aa">
    <w:basedOn w:val="TableNormale"/>
    <w:tblPr>
      <w:tblStyleRowBandSize w:val="1"/>
      <w:tblStyleColBandSize w:val="1"/>
      <w:tblCellMar>
        <w:left w:w="115" w:type="dxa"/>
        <w:right w:w="115" w:type="dxa"/>
      </w:tblCellMar>
    </w:tblPr>
  </w:style>
  <w:style w:type="table" w:customStyle="1" w:styleId="ab">
    <w:basedOn w:val="TableNormale"/>
    <w:tblPr>
      <w:tblStyleRowBandSize w:val="1"/>
      <w:tblStyleColBandSize w:val="1"/>
      <w:tblCellMar>
        <w:left w:w="115" w:type="dxa"/>
        <w:right w:w="115" w:type="dxa"/>
      </w:tblCellMar>
    </w:tblPr>
  </w:style>
  <w:style w:type="table" w:customStyle="1" w:styleId="ac">
    <w:basedOn w:val="TableNormald"/>
    <w:tblPr>
      <w:tblStyleRowBandSize w:val="1"/>
      <w:tblStyleColBandSize w:val="1"/>
      <w:tblCellMar>
        <w:left w:w="108" w:type="dxa"/>
        <w:right w:w="108" w:type="dxa"/>
      </w:tblCellMar>
    </w:tblPr>
  </w:style>
  <w:style w:type="table" w:customStyle="1" w:styleId="ad">
    <w:basedOn w:val="TableNormald"/>
    <w:tblPr>
      <w:tblStyleRowBandSize w:val="1"/>
      <w:tblStyleColBandSize w:val="1"/>
      <w:tblCellMar>
        <w:left w:w="115" w:type="dxa"/>
        <w:right w:w="115" w:type="dxa"/>
      </w:tblCellMar>
    </w:tblPr>
  </w:style>
  <w:style w:type="table" w:customStyle="1" w:styleId="ae">
    <w:basedOn w:val="TableNormald"/>
    <w:tblPr>
      <w:tblStyleRowBandSize w:val="1"/>
      <w:tblStyleColBandSize w:val="1"/>
      <w:tblCellMar>
        <w:left w:w="115" w:type="dxa"/>
        <w:right w:w="115" w:type="dxa"/>
      </w:tblCellMar>
    </w:tblPr>
  </w:style>
  <w:style w:type="table" w:customStyle="1" w:styleId="af">
    <w:basedOn w:val="TableNormalc"/>
    <w:tblPr>
      <w:tblStyleRowBandSize w:val="1"/>
      <w:tblStyleColBandSize w:val="1"/>
      <w:tblCellMar>
        <w:left w:w="115" w:type="dxa"/>
        <w:right w:w="115" w:type="dxa"/>
      </w:tblCellMar>
    </w:tblPr>
  </w:style>
  <w:style w:type="table" w:customStyle="1" w:styleId="af0">
    <w:basedOn w:val="TableNormalc"/>
    <w:tblPr>
      <w:tblStyleRowBandSize w:val="1"/>
      <w:tblStyleColBandSize w:val="1"/>
      <w:tblCellMar>
        <w:left w:w="115" w:type="dxa"/>
        <w:right w:w="115" w:type="dxa"/>
      </w:tblCellMar>
    </w:tblPr>
  </w:style>
  <w:style w:type="table" w:customStyle="1" w:styleId="af1">
    <w:basedOn w:val="TableNormalc"/>
    <w:tblPr>
      <w:tblStyleRowBandSize w:val="1"/>
      <w:tblStyleColBandSize w:val="1"/>
      <w:tblCellMar>
        <w:left w:w="115" w:type="dxa"/>
        <w:right w:w="115" w:type="dxa"/>
      </w:tblCellMar>
    </w:tblPr>
  </w:style>
  <w:style w:type="table" w:customStyle="1" w:styleId="af2">
    <w:basedOn w:val="TableNormalb"/>
    <w:tblPr>
      <w:tblStyleRowBandSize w:val="1"/>
      <w:tblStyleColBandSize w:val="1"/>
      <w:tblCellMar>
        <w:left w:w="115" w:type="dxa"/>
        <w:right w:w="115" w:type="dxa"/>
      </w:tblCellMar>
    </w:tblPr>
  </w:style>
  <w:style w:type="table" w:customStyle="1" w:styleId="af3">
    <w:basedOn w:val="TableNormalb"/>
    <w:tblPr>
      <w:tblStyleRowBandSize w:val="1"/>
      <w:tblStyleColBandSize w:val="1"/>
      <w:tblCellMar>
        <w:left w:w="115" w:type="dxa"/>
        <w:right w:w="115" w:type="dxa"/>
      </w:tblCellMar>
    </w:tblPr>
  </w:style>
  <w:style w:type="table" w:customStyle="1" w:styleId="af4">
    <w:basedOn w:val="TableNormala"/>
    <w:tblPr>
      <w:tblStyleRowBandSize w:val="1"/>
      <w:tblStyleColBandSize w:val="1"/>
      <w:tblCellMar>
        <w:left w:w="115" w:type="dxa"/>
        <w:right w:w="115" w:type="dxa"/>
      </w:tblCellMar>
    </w:tblPr>
  </w:style>
  <w:style w:type="table" w:customStyle="1" w:styleId="af5">
    <w:basedOn w:val="TableNormala"/>
    <w:tblPr>
      <w:tblStyleRowBandSize w:val="1"/>
      <w:tblStyleColBandSize w:val="1"/>
      <w:tblCellMar>
        <w:left w:w="115" w:type="dxa"/>
        <w:right w:w="115" w:type="dxa"/>
      </w:tblCellMar>
    </w:tblPr>
  </w:style>
  <w:style w:type="table" w:customStyle="1" w:styleId="af6">
    <w:basedOn w:val="TableNormal9"/>
    <w:tblPr>
      <w:tblStyleRowBandSize w:val="1"/>
      <w:tblStyleColBandSize w:val="1"/>
      <w:tblCellMar>
        <w:left w:w="115" w:type="dxa"/>
        <w:right w:w="115" w:type="dxa"/>
      </w:tblCellMar>
    </w:tblPr>
  </w:style>
  <w:style w:type="table" w:customStyle="1" w:styleId="af7">
    <w:basedOn w:val="TableNormal9"/>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8"/>
    <w:tblPr>
      <w:tblStyleRowBandSize w:val="1"/>
      <w:tblStyleColBandSize w:val="1"/>
      <w:tblCellMar>
        <w:left w:w="115" w:type="dxa"/>
        <w:right w:w="115" w:type="dxa"/>
      </w:tblCellMar>
    </w:tblPr>
  </w:style>
  <w:style w:type="table" w:customStyle="1" w:styleId="af9">
    <w:basedOn w:val="TableNormal8"/>
    <w:tblPr>
      <w:tblStyleRowBandSize w:val="1"/>
      <w:tblStyleColBandSize w:val="1"/>
      <w:tblCellMar>
        <w:left w:w="115" w:type="dxa"/>
        <w:right w:w="115" w:type="dxa"/>
      </w:tblCellMar>
    </w:tblPr>
  </w:style>
  <w:style w:type="table" w:customStyle="1" w:styleId="afa">
    <w:basedOn w:val="TableNormal7"/>
    <w:tblPr>
      <w:tblStyleRowBandSize w:val="1"/>
      <w:tblStyleColBandSize w:val="1"/>
      <w:tblCellMar>
        <w:left w:w="115" w:type="dxa"/>
        <w:right w:w="115" w:type="dxa"/>
      </w:tblCellMar>
    </w:tblPr>
  </w:style>
  <w:style w:type="table" w:customStyle="1" w:styleId="afb">
    <w:basedOn w:val="TableNormal7"/>
    <w:tblPr>
      <w:tblStyleRowBandSize w:val="1"/>
      <w:tblStyleColBandSize w:val="1"/>
      <w:tblCellMar>
        <w:left w:w="115" w:type="dxa"/>
        <w:right w:w="115" w:type="dxa"/>
      </w:tblCellMar>
    </w:tblPr>
  </w:style>
  <w:style w:type="table" w:customStyle="1" w:styleId="afc">
    <w:basedOn w:val="TableNormal6"/>
    <w:tblPr>
      <w:tblStyleRowBandSize w:val="1"/>
      <w:tblStyleColBandSize w:val="1"/>
      <w:tblCellMar>
        <w:left w:w="115" w:type="dxa"/>
        <w:right w:w="115" w:type="dxa"/>
      </w:tblCellMar>
    </w:tblPr>
  </w:style>
  <w:style w:type="table" w:customStyle="1" w:styleId="afd">
    <w:basedOn w:val="TableNormal6"/>
    <w:tblPr>
      <w:tblStyleRowBandSize w:val="1"/>
      <w:tblStyleColBandSize w:val="1"/>
      <w:tblCellMar>
        <w:left w:w="115" w:type="dxa"/>
        <w:right w:w="115"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5"/>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CF50DF"/>
    <w:pPr>
      <w:numPr>
        <w:numId w:val="2"/>
      </w:numPr>
      <w:contextualSpacing/>
    </w:pPr>
    <w:rPr>
      <w:lang w:eastAsia="es-ES"/>
    </w:r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d5BX0Y9fRai3/hELjrKJhlhrA==">CgMxLjAyCWguM3JkY3JqbjIOaC5kYWozajJ4bzZxNjYyCGguZ2pkZ3hzMgloLjNkeTZ2a20yCWguMzBqMHpsbDIJaC4yczhleW8xMghoLnR5amN3dDIJaC4zem55c2g3MgloLjJldDkycDAyCWguMjZpbjFyZzIJaC4zNW5rdW4yMgloLjFrc3Y0dXYyCGgubG54Yno5Mg5oLnVodDR0cDVyMnFiYzIOaC5vdDNxcTZ2eGEwOGYyDmguZnoxcmNsN2h0ejZ2OAByITFpeEFmbHI0T241bzIyWG1wMFhMYklPZm1fX3QyRksz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11610</Words>
  <Characters>63860</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2025-06-20T19:21:00Z</cp:lastPrinted>
  <dcterms:created xsi:type="dcterms:W3CDTF">2025-06-27T19:19:00Z</dcterms:created>
  <dcterms:modified xsi:type="dcterms:W3CDTF">2025-06-27T19:19:00Z</dcterms:modified>
</cp:coreProperties>
</file>