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876D5" w14:textId="77777777" w:rsidR="00AF356B" w:rsidRPr="00560332" w:rsidRDefault="001E295A">
      <w:pPr>
        <w:spacing w:line="360" w:lineRule="auto"/>
        <w:ind w:right="49"/>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Pr="00560332">
        <w:rPr>
          <w:rFonts w:ascii="Palatino Linotype" w:eastAsia="Palatino Linotype" w:hAnsi="Palatino Linotype" w:cs="Palatino Linotype"/>
          <w:b/>
          <w:sz w:val="22"/>
          <w:szCs w:val="22"/>
        </w:rPr>
        <w:t>veintisiete de agosto de dos mil veinticinco.</w:t>
      </w:r>
    </w:p>
    <w:p w14:paraId="07E3719F" w14:textId="77777777" w:rsidR="00AF356B" w:rsidRPr="00560332" w:rsidRDefault="00AF356B">
      <w:pPr>
        <w:spacing w:line="360" w:lineRule="auto"/>
        <w:ind w:right="49"/>
        <w:jc w:val="both"/>
        <w:rPr>
          <w:rFonts w:ascii="Palatino Linotype" w:eastAsia="Palatino Linotype" w:hAnsi="Palatino Linotype" w:cs="Palatino Linotype"/>
          <w:sz w:val="22"/>
          <w:szCs w:val="22"/>
        </w:rPr>
      </w:pPr>
    </w:p>
    <w:p w14:paraId="3B8A82A1" w14:textId="77777777" w:rsidR="00AF356B" w:rsidRPr="00560332" w:rsidRDefault="001E295A">
      <w:pPr>
        <w:spacing w:line="360" w:lineRule="auto"/>
        <w:ind w:right="49"/>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b/>
          <w:sz w:val="22"/>
          <w:szCs w:val="22"/>
        </w:rPr>
        <w:t xml:space="preserve">VISTO </w:t>
      </w:r>
      <w:r w:rsidRPr="00560332">
        <w:rPr>
          <w:rFonts w:ascii="Palatino Linotype" w:eastAsia="Palatino Linotype" w:hAnsi="Palatino Linotype" w:cs="Palatino Linotype"/>
          <w:sz w:val="22"/>
          <w:szCs w:val="22"/>
        </w:rPr>
        <w:t xml:space="preserve">el expediente relativo al recurso de revisión </w:t>
      </w:r>
      <w:r w:rsidRPr="00560332">
        <w:rPr>
          <w:rFonts w:ascii="Palatino Linotype" w:eastAsia="Palatino Linotype" w:hAnsi="Palatino Linotype" w:cs="Palatino Linotype"/>
          <w:b/>
          <w:sz w:val="22"/>
          <w:szCs w:val="22"/>
        </w:rPr>
        <w:t xml:space="preserve">04889/INFOEM/IP/RR/2025, </w:t>
      </w:r>
      <w:r w:rsidRPr="00560332">
        <w:rPr>
          <w:rFonts w:ascii="Palatino Linotype" w:eastAsia="Palatino Linotype" w:hAnsi="Palatino Linotype" w:cs="Palatino Linotype"/>
          <w:sz w:val="22"/>
          <w:szCs w:val="22"/>
        </w:rPr>
        <w:t xml:space="preserve">interpuesto por un Usuario que no proporcionó su nombre, en lo sucesivo la parte </w:t>
      </w:r>
      <w:r w:rsidRPr="00560332">
        <w:rPr>
          <w:rFonts w:ascii="Palatino Linotype" w:eastAsia="Palatino Linotype" w:hAnsi="Palatino Linotype" w:cs="Palatino Linotype"/>
          <w:b/>
          <w:sz w:val="22"/>
          <w:szCs w:val="22"/>
        </w:rPr>
        <w:t>Recurrente</w:t>
      </w:r>
      <w:r w:rsidRPr="00560332">
        <w:rPr>
          <w:rFonts w:ascii="Palatino Linotype" w:eastAsia="Palatino Linotype" w:hAnsi="Palatino Linotype" w:cs="Palatino Linotype"/>
          <w:sz w:val="22"/>
          <w:szCs w:val="22"/>
        </w:rPr>
        <w:t xml:space="preserve">, en contra de la respuesta a la solicitud de información por parte del </w:t>
      </w:r>
      <w:r w:rsidRPr="00560332">
        <w:rPr>
          <w:rFonts w:ascii="Palatino Linotype" w:eastAsia="Palatino Linotype" w:hAnsi="Palatino Linotype" w:cs="Palatino Linotype"/>
          <w:b/>
          <w:sz w:val="22"/>
          <w:szCs w:val="22"/>
        </w:rPr>
        <w:t>Ayuntamiento de Toluca</w:t>
      </w:r>
      <w:r w:rsidRPr="00560332">
        <w:rPr>
          <w:rFonts w:ascii="Palatino Linotype" w:eastAsia="Palatino Linotype" w:hAnsi="Palatino Linotype" w:cs="Palatino Linotype"/>
          <w:sz w:val="22"/>
          <w:szCs w:val="22"/>
        </w:rPr>
        <w:t xml:space="preserve">, en lo sucesivo el </w:t>
      </w:r>
      <w:r w:rsidRPr="00560332">
        <w:rPr>
          <w:rFonts w:ascii="Palatino Linotype" w:eastAsia="Palatino Linotype" w:hAnsi="Palatino Linotype" w:cs="Palatino Linotype"/>
          <w:b/>
          <w:sz w:val="22"/>
          <w:szCs w:val="22"/>
        </w:rPr>
        <w:t xml:space="preserve">Sujeto Obligado; </w:t>
      </w:r>
      <w:r w:rsidRPr="00560332">
        <w:rPr>
          <w:rFonts w:ascii="Palatino Linotype" w:eastAsia="Palatino Linotype" w:hAnsi="Palatino Linotype" w:cs="Palatino Linotype"/>
          <w:sz w:val="22"/>
          <w:szCs w:val="22"/>
        </w:rPr>
        <w:t>se procede a dictar la presente resolución, con base en lo siguiente.</w:t>
      </w:r>
    </w:p>
    <w:p w14:paraId="4BC23839" w14:textId="77777777" w:rsidR="00AF356B" w:rsidRPr="00560332" w:rsidRDefault="00AF356B">
      <w:pPr>
        <w:spacing w:line="360" w:lineRule="auto"/>
        <w:ind w:right="49"/>
        <w:jc w:val="both"/>
        <w:rPr>
          <w:rFonts w:ascii="Palatino Linotype" w:eastAsia="Palatino Linotype" w:hAnsi="Palatino Linotype" w:cs="Palatino Linotype"/>
          <w:sz w:val="22"/>
          <w:szCs w:val="22"/>
        </w:rPr>
      </w:pPr>
    </w:p>
    <w:p w14:paraId="74F3C576" w14:textId="77777777" w:rsidR="00AF356B" w:rsidRPr="00560332" w:rsidRDefault="001E295A">
      <w:pPr>
        <w:spacing w:line="360" w:lineRule="auto"/>
        <w:ind w:right="49"/>
        <w:jc w:val="center"/>
        <w:rPr>
          <w:rFonts w:ascii="Palatino Linotype" w:eastAsia="Palatino Linotype" w:hAnsi="Palatino Linotype" w:cs="Palatino Linotype"/>
          <w:b/>
          <w:sz w:val="22"/>
          <w:szCs w:val="22"/>
        </w:rPr>
      </w:pPr>
      <w:r w:rsidRPr="00560332">
        <w:rPr>
          <w:rFonts w:ascii="Palatino Linotype" w:eastAsia="Palatino Linotype" w:hAnsi="Palatino Linotype" w:cs="Palatino Linotype"/>
          <w:b/>
          <w:sz w:val="22"/>
          <w:szCs w:val="22"/>
        </w:rPr>
        <w:t>I.</w:t>
      </w:r>
      <w:r w:rsidRPr="00560332">
        <w:rPr>
          <w:rFonts w:ascii="Palatino Linotype" w:eastAsia="Palatino Linotype" w:hAnsi="Palatino Linotype" w:cs="Palatino Linotype"/>
          <w:b/>
          <w:sz w:val="22"/>
          <w:szCs w:val="22"/>
        </w:rPr>
        <w:tab/>
        <w:t>A N T E C E D E N T E S</w:t>
      </w:r>
    </w:p>
    <w:p w14:paraId="46EB2924" w14:textId="77777777" w:rsidR="00AF356B" w:rsidRPr="00560332" w:rsidRDefault="00AF356B">
      <w:pPr>
        <w:spacing w:line="360" w:lineRule="auto"/>
        <w:ind w:right="49"/>
        <w:jc w:val="both"/>
        <w:rPr>
          <w:rFonts w:ascii="Palatino Linotype" w:eastAsia="Palatino Linotype" w:hAnsi="Palatino Linotype" w:cs="Palatino Linotype"/>
          <w:sz w:val="22"/>
          <w:szCs w:val="22"/>
        </w:rPr>
      </w:pPr>
    </w:p>
    <w:p w14:paraId="46962BDC" w14:textId="77777777" w:rsidR="00AF356B" w:rsidRPr="00560332" w:rsidRDefault="001E295A">
      <w:pPr>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b/>
          <w:sz w:val="22"/>
          <w:szCs w:val="22"/>
        </w:rPr>
        <w:t>1.</w:t>
      </w:r>
      <w:r w:rsidRPr="00560332">
        <w:rPr>
          <w:rFonts w:ascii="Palatino Linotype" w:eastAsia="Palatino Linotype" w:hAnsi="Palatino Linotype" w:cs="Palatino Linotype"/>
          <w:sz w:val="22"/>
          <w:szCs w:val="22"/>
        </w:rPr>
        <w:t xml:space="preserve"> </w:t>
      </w:r>
      <w:r w:rsidRPr="00560332">
        <w:rPr>
          <w:rFonts w:ascii="Palatino Linotype" w:eastAsia="Palatino Linotype" w:hAnsi="Palatino Linotype" w:cs="Palatino Linotype"/>
          <w:b/>
          <w:sz w:val="22"/>
          <w:szCs w:val="22"/>
        </w:rPr>
        <w:t>Solicitud de Acceso a la Información. El siete de marzo de dos mil veinticinco</w:t>
      </w:r>
      <w:r w:rsidRPr="00560332">
        <w:rPr>
          <w:rFonts w:ascii="Palatino Linotype" w:eastAsia="Palatino Linotype" w:hAnsi="Palatino Linotype" w:cs="Palatino Linotype"/>
          <w:sz w:val="22"/>
          <w:szCs w:val="22"/>
        </w:rPr>
        <w:t xml:space="preserve">, </w:t>
      </w:r>
      <w:r w:rsidRPr="00560332">
        <w:rPr>
          <w:rFonts w:ascii="Palatino Linotype" w:eastAsia="Palatino Linotype" w:hAnsi="Palatino Linotype" w:cs="Palatino Linotype"/>
          <w:b/>
          <w:sz w:val="22"/>
          <w:szCs w:val="22"/>
        </w:rPr>
        <w:t>LA PARTE</w:t>
      </w:r>
      <w:r w:rsidRPr="00560332">
        <w:rPr>
          <w:rFonts w:ascii="Palatino Linotype" w:eastAsia="Palatino Linotype" w:hAnsi="Palatino Linotype" w:cs="Palatino Linotype"/>
          <w:sz w:val="22"/>
          <w:szCs w:val="22"/>
        </w:rPr>
        <w:t xml:space="preserve"> </w:t>
      </w:r>
      <w:r w:rsidRPr="00560332">
        <w:rPr>
          <w:rFonts w:ascii="Palatino Linotype" w:eastAsia="Palatino Linotype" w:hAnsi="Palatino Linotype" w:cs="Palatino Linotype"/>
          <w:b/>
          <w:sz w:val="22"/>
          <w:szCs w:val="22"/>
        </w:rPr>
        <w:t>RECURRENTE</w:t>
      </w:r>
      <w:r w:rsidRPr="00560332">
        <w:rPr>
          <w:rFonts w:ascii="Palatino Linotype" w:eastAsia="Palatino Linotype" w:hAnsi="Palatino Linotype" w:cs="Palatino Linotype"/>
          <w:sz w:val="22"/>
          <w:szCs w:val="22"/>
        </w:rPr>
        <w:t xml:space="preserve"> formuló solicitud de acceso a información pública a través del </w:t>
      </w:r>
      <w:r w:rsidRPr="00560332">
        <w:rPr>
          <w:rFonts w:ascii="Palatino Linotype" w:eastAsia="Palatino Linotype" w:hAnsi="Palatino Linotype" w:cs="Palatino Linotype"/>
          <w:b/>
          <w:sz w:val="22"/>
          <w:szCs w:val="22"/>
        </w:rPr>
        <w:t>SAIMEX</w:t>
      </w:r>
      <w:r w:rsidRPr="00560332">
        <w:rPr>
          <w:rFonts w:ascii="Palatino Linotype" w:eastAsia="Palatino Linotype" w:hAnsi="Palatino Linotype" w:cs="Palatino Linotype"/>
          <w:sz w:val="22"/>
          <w:szCs w:val="22"/>
        </w:rPr>
        <w:t>, en la que requirió lo siguiente:</w:t>
      </w:r>
    </w:p>
    <w:p w14:paraId="0A1D7257" w14:textId="77777777" w:rsidR="00AF356B" w:rsidRPr="00560332" w:rsidRDefault="00AF356B">
      <w:pPr>
        <w:spacing w:line="360" w:lineRule="auto"/>
        <w:jc w:val="both"/>
        <w:rPr>
          <w:rFonts w:ascii="Palatino Linotype" w:eastAsia="Palatino Linotype" w:hAnsi="Palatino Linotype" w:cs="Palatino Linotype"/>
          <w:sz w:val="22"/>
          <w:szCs w:val="22"/>
        </w:rPr>
      </w:pPr>
    </w:p>
    <w:p w14:paraId="26B817CC" w14:textId="77777777" w:rsidR="00AF356B" w:rsidRPr="00560332" w:rsidRDefault="001E295A">
      <w:pPr>
        <w:numPr>
          <w:ilvl w:val="0"/>
          <w:numId w:val="2"/>
        </w:numPr>
        <w:pBdr>
          <w:top w:val="nil"/>
          <w:left w:val="nil"/>
          <w:bottom w:val="nil"/>
          <w:right w:val="nil"/>
          <w:between w:val="nil"/>
        </w:pBdr>
        <w:spacing w:line="360" w:lineRule="auto"/>
        <w:ind w:left="426" w:right="49"/>
        <w:jc w:val="both"/>
        <w:rPr>
          <w:rFonts w:ascii="Palatino Linotype" w:eastAsia="Palatino Linotype" w:hAnsi="Palatino Linotype" w:cs="Palatino Linotype"/>
          <w:b/>
          <w:sz w:val="22"/>
          <w:szCs w:val="22"/>
        </w:rPr>
      </w:pPr>
      <w:bookmarkStart w:id="0" w:name="_heading=h.3znysh7" w:colFirst="0" w:colLast="0"/>
      <w:bookmarkEnd w:id="0"/>
      <w:r w:rsidRPr="00560332">
        <w:rPr>
          <w:rFonts w:ascii="Palatino Linotype" w:eastAsia="Palatino Linotype" w:hAnsi="Palatino Linotype" w:cs="Palatino Linotype"/>
          <w:b/>
          <w:sz w:val="22"/>
          <w:szCs w:val="22"/>
        </w:rPr>
        <w:t>01045/TOLUCA/IP/2025</w:t>
      </w:r>
    </w:p>
    <w:p w14:paraId="7F75BCAE" w14:textId="77777777" w:rsidR="00AF356B" w:rsidRPr="00560332" w:rsidRDefault="001E295A">
      <w:pPr>
        <w:spacing w:line="360" w:lineRule="auto"/>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b/>
          <w:sz w:val="22"/>
          <w:szCs w:val="22"/>
        </w:rPr>
        <w:tab/>
        <w:t>“</w:t>
      </w:r>
      <w:r w:rsidRPr="00560332">
        <w:rPr>
          <w:rFonts w:ascii="Palatino Linotype" w:eastAsia="Palatino Linotype" w:hAnsi="Palatino Linotype" w:cs="Palatino Linotype"/>
          <w:i/>
          <w:sz w:val="22"/>
          <w:szCs w:val="22"/>
        </w:rPr>
        <w:t xml:space="preserve">el programa y </w:t>
      </w:r>
      <w:proofErr w:type="spellStart"/>
      <w:r w:rsidRPr="00560332">
        <w:rPr>
          <w:rFonts w:ascii="Palatino Linotype" w:eastAsia="Palatino Linotype" w:hAnsi="Palatino Linotype" w:cs="Palatino Linotype"/>
          <w:i/>
          <w:sz w:val="22"/>
          <w:szCs w:val="22"/>
        </w:rPr>
        <w:t>estartegias</w:t>
      </w:r>
      <w:proofErr w:type="spellEnd"/>
      <w:r w:rsidRPr="00560332">
        <w:rPr>
          <w:rFonts w:ascii="Palatino Linotype" w:eastAsia="Palatino Linotype" w:hAnsi="Palatino Linotype" w:cs="Palatino Linotype"/>
          <w:i/>
          <w:sz w:val="22"/>
          <w:szCs w:val="22"/>
        </w:rPr>
        <w:t xml:space="preserve"> de </w:t>
      </w:r>
      <w:proofErr w:type="spellStart"/>
      <w:r w:rsidRPr="00560332">
        <w:rPr>
          <w:rFonts w:ascii="Palatino Linotype" w:eastAsia="Palatino Linotype" w:hAnsi="Palatino Linotype" w:cs="Palatino Linotype"/>
          <w:i/>
          <w:sz w:val="22"/>
          <w:szCs w:val="22"/>
        </w:rPr>
        <w:t>seguirdad</w:t>
      </w:r>
      <w:proofErr w:type="spellEnd"/>
      <w:r w:rsidRPr="00560332">
        <w:rPr>
          <w:rFonts w:ascii="Palatino Linotype" w:eastAsia="Palatino Linotype" w:hAnsi="Palatino Linotype" w:cs="Palatino Linotype"/>
          <w:i/>
          <w:sz w:val="22"/>
          <w:szCs w:val="22"/>
        </w:rPr>
        <w:t xml:space="preserve"> </w:t>
      </w:r>
      <w:proofErr w:type="spellStart"/>
      <w:r w:rsidRPr="00560332">
        <w:rPr>
          <w:rFonts w:ascii="Palatino Linotype" w:eastAsia="Palatino Linotype" w:hAnsi="Palatino Linotype" w:cs="Palatino Linotype"/>
          <w:i/>
          <w:sz w:val="22"/>
          <w:szCs w:val="22"/>
        </w:rPr>
        <w:t>dle</w:t>
      </w:r>
      <w:proofErr w:type="spellEnd"/>
      <w:r w:rsidRPr="00560332">
        <w:rPr>
          <w:rFonts w:ascii="Palatino Linotype" w:eastAsia="Palatino Linotype" w:hAnsi="Palatino Linotype" w:cs="Palatino Linotype"/>
          <w:i/>
          <w:sz w:val="22"/>
          <w:szCs w:val="22"/>
        </w:rPr>
        <w:t xml:space="preserve"> municipio para reducir la penosa inseguridad que </w:t>
      </w:r>
      <w:proofErr w:type="spellStart"/>
      <w:r w:rsidRPr="00560332">
        <w:rPr>
          <w:rFonts w:ascii="Palatino Linotype" w:eastAsia="Palatino Linotype" w:hAnsi="Palatino Linotype" w:cs="Palatino Linotype"/>
          <w:i/>
          <w:sz w:val="22"/>
          <w:szCs w:val="22"/>
        </w:rPr>
        <w:t>incrmento</w:t>
      </w:r>
      <w:proofErr w:type="spellEnd"/>
      <w:r w:rsidRPr="00560332">
        <w:rPr>
          <w:rFonts w:ascii="Palatino Linotype" w:eastAsia="Palatino Linotype" w:hAnsi="Palatino Linotype" w:cs="Palatino Linotype"/>
          <w:i/>
          <w:sz w:val="22"/>
          <w:szCs w:val="22"/>
        </w:rPr>
        <w:t xml:space="preserve"> cada vez </w:t>
      </w:r>
      <w:proofErr w:type="spellStart"/>
      <w:r w:rsidRPr="00560332">
        <w:rPr>
          <w:rFonts w:ascii="Palatino Linotype" w:eastAsia="Palatino Linotype" w:hAnsi="Palatino Linotype" w:cs="Palatino Linotype"/>
          <w:i/>
          <w:sz w:val="22"/>
          <w:szCs w:val="22"/>
        </w:rPr>
        <w:t>mas</w:t>
      </w:r>
      <w:proofErr w:type="spellEnd"/>
      <w:r w:rsidRPr="00560332">
        <w:rPr>
          <w:rFonts w:ascii="Palatino Linotype" w:eastAsia="Palatino Linotype" w:hAnsi="Palatino Linotype" w:cs="Palatino Linotype"/>
          <w:i/>
          <w:sz w:val="22"/>
          <w:szCs w:val="22"/>
        </w:rPr>
        <w:t xml:space="preserve"> a partir del primero de enero de este año el expediente del comisario y sus directores </w:t>
      </w:r>
      <w:proofErr w:type="spellStart"/>
      <w:r w:rsidRPr="00560332">
        <w:rPr>
          <w:rFonts w:ascii="Palatino Linotype" w:eastAsia="Palatino Linotype" w:hAnsi="Palatino Linotype" w:cs="Palatino Linotype"/>
          <w:i/>
          <w:sz w:val="22"/>
          <w:szCs w:val="22"/>
        </w:rPr>
        <w:t>opreactivos</w:t>
      </w:r>
      <w:proofErr w:type="spellEnd"/>
      <w:r w:rsidRPr="00560332">
        <w:rPr>
          <w:rFonts w:ascii="Palatino Linotype" w:eastAsia="Palatino Linotype" w:hAnsi="Palatino Linotype" w:cs="Palatino Linotype"/>
          <w:i/>
          <w:sz w:val="22"/>
          <w:szCs w:val="22"/>
        </w:rPr>
        <w:t xml:space="preserve"> </w:t>
      </w:r>
      <w:proofErr w:type="spellStart"/>
      <w:r w:rsidRPr="00560332">
        <w:rPr>
          <w:rFonts w:ascii="Palatino Linotype" w:eastAsia="Palatino Linotype" w:hAnsi="Palatino Linotype" w:cs="Palatino Linotype"/>
          <w:i/>
          <w:sz w:val="22"/>
          <w:szCs w:val="22"/>
        </w:rPr>
        <w:t>apra</w:t>
      </w:r>
      <w:proofErr w:type="spellEnd"/>
      <w:r w:rsidRPr="00560332">
        <w:rPr>
          <w:rFonts w:ascii="Palatino Linotype" w:eastAsia="Palatino Linotype" w:hAnsi="Palatino Linotype" w:cs="Palatino Linotype"/>
          <w:i/>
          <w:sz w:val="22"/>
          <w:szCs w:val="22"/>
        </w:rPr>
        <w:t xml:space="preserve"> ver si tienen la capacidad del cargo”</w:t>
      </w:r>
    </w:p>
    <w:p w14:paraId="62D45BAA" w14:textId="77777777" w:rsidR="00AF356B" w:rsidRPr="00560332" w:rsidRDefault="00AF356B">
      <w:pPr>
        <w:spacing w:line="360" w:lineRule="auto"/>
        <w:ind w:left="567" w:right="843"/>
        <w:jc w:val="both"/>
        <w:rPr>
          <w:rFonts w:ascii="Palatino Linotype" w:eastAsia="Palatino Linotype" w:hAnsi="Palatino Linotype" w:cs="Palatino Linotype"/>
          <w:i/>
          <w:sz w:val="22"/>
          <w:szCs w:val="22"/>
        </w:rPr>
      </w:pPr>
    </w:p>
    <w:p w14:paraId="07CD7DBA" w14:textId="77777777" w:rsidR="00AF356B" w:rsidRPr="00560332" w:rsidRDefault="001E295A">
      <w:pPr>
        <w:spacing w:line="360" w:lineRule="auto"/>
        <w:ind w:right="49"/>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b/>
          <w:sz w:val="22"/>
          <w:szCs w:val="22"/>
        </w:rPr>
        <w:t>Modalidad elegida para la entrega de la información:</w:t>
      </w:r>
      <w:r w:rsidRPr="00560332">
        <w:rPr>
          <w:rFonts w:ascii="Palatino Linotype" w:eastAsia="Palatino Linotype" w:hAnsi="Palatino Linotype" w:cs="Palatino Linotype"/>
          <w:sz w:val="22"/>
          <w:szCs w:val="22"/>
        </w:rPr>
        <w:t xml:space="preserve"> a través del Sistema de Acceso a la Información Mexiquense (SAIMEX).</w:t>
      </w:r>
    </w:p>
    <w:p w14:paraId="715CEA6F" w14:textId="77777777" w:rsidR="00AF356B" w:rsidRPr="00560332" w:rsidRDefault="00AF356B">
      <w:pPr>
        <w:spacing w:line="360" w:lineRule="auto"/>
        <w:jc w:val="both"/>
        <w:rPr>
          <w:rFonts w:ascii="Palatino Linotype" w:eastAsia="Palatino Linotype" w:hAnsi="Palatino Linotype" w:cs="Palatino Linotype"/>
          <w:sz w:val="22"/>
          <w:szCs w:val="22"/>
        </w:rPr>
      </w:pPr>
    </w:p>
    <w:p w14:paraId="149AA86D" w14:textId="77777777" w:rsidR="00AF356B" w:rsidRPr="00560332" w:rsidRDefault="001E295A">
      <w:pPr>
        <w:widowControl w:val="0"/>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b/>
          <w:sz w:val="22"/>
          <w:szCs w:val="22"/>
        </w:rPr>
        <w:lastRenderedPageBreak/>
        <w:t>2. Respuesta.</w:t>
      </w:r>
      <w:r w:rsidRPr="00560332">
        <w:rPr>
          <w:rFonts w:ascii="Palatino Linotype" w:eastAsia="Palatino Linotype" w:hAnsi="Palatino Linotype" w:cs="Palatino Linotype"/>
          <w:sz w:val="22"/>
          <w:szCs w:val="22"/>
        </w:rPr>
        <w:t xml:space="preserve"> El </w:t>
      </w:r>
      <w:r w:rsidRPr="00560332">
        <w:rPr>
          <w:rFonts w:ascii="Palatino Linotype" w:eastAsia="Palatino Linotype" w:hAnsi="Palatino Linotype" w:cs="Palatino Linotype"/>
          <w:b/>
          <w:sz w:val="22"/>
          <w:szCs w:val="22"/>
        </w:rPr>
        <w:t>treinta y uno</w:t>
      </w:r>
      <w:r w:rsidRPr="00560332">
        <w:rPr>
          <w:rFonts w:ascii="Palatino Linotype" w:eastAsia="Palatino Linotype" w:hAnsi="Palatino Linotype" w:cs="Palatino Linotype"/>
          <w:sz w:val="22"/>
          <w:szCs w:val="22"/>
        </w:rPr>
        <w:t xml:space="preserve"> </w:t>
      </w:r>
      <w:r w:rsidRPr="00560332">
        <w:rPr>
          <w:rFonts w:ascii="Palatino Linotype" w:eastAsia="Palatino Linotype" w:hAnsi="Palatino Linotype" w:cs="Palatino Linotype"/>
          <w:b/>
          <w:sz w:val="22"/>
          <w:szCs w:val="22"/>
        </w:rPr>
        <w:t>de marzo de dos mil veinticinco</w:t>
      </w:r>
      <w:r w:rsidRPr="00560332">
        <w:rPr>
          <w:rFonts w:ascii="Palatino Linotype" w:eastAsia="Palatino Linotype" w:hAnsi="Palatino Linotype" w:cs="Palatino Linotype"/>
          <w:sz w:val="22"/>
          <w:szCs w:val="22"/>
        </w:rPr>
        <w:t>, el Sujeto Obligado dio respuesta a la solicitud, en los siguientes términos:</w:t>
      </w:r>
    </w:p>
    <w:p w14:paraId="0C3C1A11" w14:textId="77777777" w:rsidR="00AF356B" w:rsidRPr="00560332" w:rsidRDefault="00AF356B">
      <w:pPr>
        <w:widowControl w:val="0"/>
        <w:spacing w:line="360" w:lineRule="auto"/>
        <w:jc w:val="both"/>
        <w:rPr>
          <w:rFonts w:ascii="Palatino Linotype" w:eastAsia="Palatino Linotype" w:hAnsi="Palatino Linotype" w:cs="Palatino Linotype"/>
          <w:sz w:val="22"/>
          <w:szCs w:val="22"/>
        </w:rPr>
      </w:pPr>
    </w:p>
    <w:p w14:paraId="78C0C80D" w14:textId="77777777" w:rsidR="00AF356B" w:rsidRPr="00560332" w:rsidRDefault="001E295A">
      <w:pPr>
        <w:widowControl w:val="0"/>
        <w:spacing w:line="360" w:lineRule="auto"/>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6C79EAD" w14:textId="77777777" w:rsidR="00AF356B" w:rsidRPr="00560332" w:rsidRDefault="001E295A">
      <w:pPr>
        <w:widowControl w:val="0"/>
        <w:spacing w:line="360" w:lineRule="auto"/>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En atención a la solicitud con folio 01405/TOLUCA/IP/2025, me permito adjuntar al presente la respuesta correspondiente. Sin más por el momento, reciba un saludo.</w:t>
      </w:r>
    </w:p>
    <w:p w14:paraId="031F0162" w14:textId="77777777" w:rsidR="00AF356B" w:rsidRPr="00560332" w:rsidRDefault="001E295A">
      <w:pPr>
        <w:widowControl w:val="0"/>
        <w:spacing w:line="360" w:lineRule="auto"/>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ATENTAMENTE</w:t>
      </w:r>
    </w:p>
    <w:p w14:paraId="5784B85C" w14:textId="77777777" w:rsidR="00AF356B" w:rsidRPr="00560332" w:rsidRDefault="001E295A">
      <w:pPr>
        <w:widowControl w:val="0"/>
        <w:spacing w:line="360" w:lineRule="auto"/>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Dr. Nahum Miguel Mendoza Morales” (sic)</w:t>
      </w:r>
    </w:p>
    <w:p w14:paraId="19A17E43" w14:textId="77777777" w:rsidR="00AF356B" w:rsidRPr="00560332" w:rsidRDefault="00AF356B">
      <w:pPr>
        <w:widowControl w:val="0"/>
        <w:spacing w:line="360" w:lineRule="auto"/>
        <w:jc w:val="both"/>
        <w:rPr>
          <w:rFonts w:ascii="Palatino Linotype" w:eastAsia="Palatino Linotype" w:hAnsi="Palatino Linotype" w:cs="Palatino Linotype"/>
          <w:sz w:val="22"/>
          <w:szCs w:val="22"/>
        </w:rPr>
      </w:pPr>
    </w:p>
    <w:p w14:paraId="63759CD7" w14:textId="77777777" w:rsidR="00AF356B" w:rsidRPr="00560332" w:rsidRDefault="001E295A">
      <w:pPr>
        <w:widowControl w:val="0"/>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Asimismo, adjuntó los documentos electrónicos denominados </w:t>
      </w:r>
      <w:r w:rsidRPr="00560332">
        <w:rPr>
          <w:rFonts w:ascii="Palatino Linotype" w:eastAsia="Palatino Linotype" w:hAnsi="Palatino Linotype" w:cs="Palatino Linotype"/>
          <w:b/>
          <w:sz w:val="22"/>
          <w:szCs w:val="22"/>
        </w:rPr>
        <w:t>AYON MONSALVE JORGE ALBERTO.pdf; ALVAREZ OROZCO JOSE LUIS.pdf; SAIMEX 01405 (2).</w:t>
      </w:r>
      <w:proofErr w:type="spellStart"/>
      <w:r w:rsidRPr="00560332">
        <w:rPr>
          <w:rFonts w:ascii="Palatino Linotype" w:eastAsia="Palatino Linotype" w:hAnsi="Palatino Linotype" w:cs="Palatino Linotype"/>
          <w:b/>
          <w:sz w:val="22"/>
          <w:szCs w:val="22"/>
        </w:rPr>
        <w:t>pdf</w:t>
      </w:r>
      <w:proofErr w:type="spellEnd"/>
      <w:r w:rsidRPr="00560332">
        <w:rPr>
          <w:rFonts w:ascii="Palatino Linotype" w:eastAsia="Palatino Linotype" w:hAnsi="Palatino Linotype" w:cs="Palatino Linotype"/>
          <w:b/>
          <w:i/>
          <w:sz w:val="22"/>
          <w:szCs w:val="22"/>
        </w:rPr>
        <w:t xml:space="preserve">, </w:t>
      </w:r>
      <w:r w:rsidRPr="00560332">
        <w:rPr>
          <w:rFonts w:ascii="Palatino Linotype" w:eastAsia="Palatino Linotype" w:hAnsi="Palatino Linotype" w:cs="Palatino Linotype"/>
          <w:sz w:val="22"/>
          <w:szCs w:val="22"/>
        </w:rPr>
        <w:t>cuyo contenido será analizado en el Considerando Correspondiente.</w:t>
      </w:r>
    </w:p>
    <w:p w14:paraId="320ECF67" w14:textId="77777777" w:rsidR="00AF356B" w:rsidRPr="00560332" w:rsidRDefault="00AF356B">
      <w:pPr>
        <w:widowControl w:val="0"/>
        <w:spacing w:line="360" w:lineRule="auto"/>
        <w:jc w:val="both"/>
        <w:rPr>
          <w:rFonts w:ascii="Palatino Linotype" w:eastAsia="Palatino Linotype" w:hAnsi="Palatino Linotype" w:cs="Palatino Linotype"/>
          <w:sz w:val="22"/>
          <w:szCs w:val="22"/>
        </w:rPr>
      </w:pPr>
    </w:p>
    <w:p w14:paraId="7D378073" w14:textId="77777777" w:rsidR="00AF356B" w:rsidRPr="00560332" w:rsidRDefault="001E295A">
      <w:pPr>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b/>
          <w:sz w:val="22"/>
          <w:szCs w:val="22"/>
        </w:rPr>
        <w:t xml:space="preserve">3. Del Recurso de Revisión. </w:t>
      </w:r>
      <w:r w:rsidRPr="00560332">
        <w:rPr>
          <w:rFonts w:ascii="Palatino Linotype" w:eastAsia="Palatino Linotype" w:hAnsi="Palatino Linotype" w:cs="Palatino Linotype"/>
          <w:sz w:val="22"/>
          <w:szCs w:val="22"/>
        </w:rPr>
        <w:t>Inconforme con la respuesta del</w:t>
      </w:r>
      <w:r w:rsidRPr="00560332">
        <w:rPr>
          <w:rFonts w:ascii="Palatino Linotype" w:eastAsia="Palatino Linotype" w:hAnsi="Palatino Linotype" w:cs="Palatino Linotype"/>
          <w:b/>
          <w:sz w:val="22"/>
          <w:szCs w:val="22"/>
        </w:rPr>
        <w:t xml:space="preserve"> SUJETO OBLIGADO, </w:t>
      </w:r>
      <w:r w:rsidRPr="00560332">
        <w:rPr>
          <w:rFonts w:ascii="Palatino Linotype" w:eastAsia="Palatino Linotype" w:hAnsi="Palatino Linotype" w:cs="Palatino Linotype"/>
          <w:sz w:val="22"/>
          <w:szCs w:val="22"/>
        </w:rPr>
        <w:t xml:space="preserve">el </w:t>
      </w:r>
      <w:r w:rsidRPr="00560332">
        <w:rPr>
          <w:rFonts w:ascii="Palatino Linotype" w:eastAsia="Palatino Linotype" w:hAnsi="Palatino Linotype" w:cs="Palatino Linotype"/>
          <w:b/>
          <w:sz w:val="22"/>
          <w:szCs w:val="22"/>
        </w:rPr>
        <w:t>veintiocho</w:t>
      </w:r>
      <w:r w:rsidRPr="00560332">
        <w:rPr>
          <w:rFonts w:ascii="Palatino Linotype" w:eastAsia="Palatino Linotype" w:hAnsi="Palatino Linotype" w:cs="Palatino Linotype"/>
          <w:sz w:val="22"/>
          <w:szCs w:val="22"/>
        </w:rPr>
        <w:t xml:space="preserve"> </w:t>
      </w:r>
      <w:r w:rsidRPr="00560332">
        <w:rPr>
          <w:rFonts w:ascii="Palatino Linotype" w:eastAsia="Palatino Linotype" w:hAnsi="Palatino Linotype" w:cs="Palatino Linotype"/>
          <w:b/>
          <w:sz w:val="22"/>
          <w:szCs w:val="22"/>
        </w:rPr>
        <w:t xml:space="preserve">de abril de dos mil veinticinco, LA PARTE RECURRENTE </w:t>
      </w:r>
      <w:r w:rsidRPr="00560332">
        <w:rPr>
          <w:rFonts w:ascii="Palatino Linotype" w:eastAsia="Palatino Linotype" w:hAnsi="Palatino Linotype" w:cs="Palatino Linotype"/>
          <w:sz w:val="22"/>
          <w:szCs w:val="22"/>
        </w:rPr>
        <w:t xml:space="preserve">interpuso el recurso de revisión, mediante el cual y manifestó lo siguiente: </w:t>
      </w:r>
    </w:p>
    <w:p w14:paraId="5547BA68" w14:textId="77777777" w:rsidR="00AF356B" w:rsidRPr="00560332" w:rsidRDefault="00AF356B">
      <w:pPr>
        <w:spacing w:line="360" w:lineRule="auto"/>
        <w:jc w:val="both"/>
        <w:rPr>
          <w:rFonts w:ascii="Palatino Linotype" w:eastAsia="Palatino Linotype" w:hAnsi="Palatino Linotype" w:cs="Palatino Linotype"/>
          <w:sz w:val="22"/>
          <w:szCs w:val="22"/>
        </w:rPr>
      </w:pPr>
    </w:p>
    <w:p w14:paraId="3BC700B9" w14:textId="77777777" w:rsidR="00AF356B" w:rsidRPr="00560332" w:rsidRDefault="001E295A">
      <w:pPr>
        <w:numPr>
          <w:ilvl w:val="0"/>
          <w:numId w:val="9"/>
        </w:numPr>
        <w:pBdr>
          <w:top w:val="nil"/>
          <w:left w:val="nil"/>
          <w:bottom w:val="nil"/>
          <w:right w:val="nil"/>
          <w:between w:val="nil"/>
        </w:pBdr>
        <w:spacing w:line="360" w:lineRule="auto"/>
        <w:ind w:right="560"/>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b/>
          <w:i/>
          <w:sz w:val="22"/>
          <w:szCs w:val="22"/>
        </w:rPr>
        <w:t>Acto Impugnado:</w:t>
      </w:r>
      <w:r w:rsidRPr="00560332">
        <w:rPr>
          <w:rFonts w:ascii="Palatino Linotype" w:eastAsia="Palatino Linotype" w:hAnsi="Palatino Linotype" w:cs="Palatino Linotype"/>
          <w:i/>
          <w:sz w:val="22"/>
          <w:szCs w:val="22"/>
        </w:rPr>
        <w:t xml:space="preserve"> “El sujeto obligado con atiende el </w:t>
      </w:r>
      <w:proofErr w:type="spellStart"/>
      <w:r w:rsidRPr="00560332">
        <w:rPr>
          <w:rFonts w:ascii="Palatino Linotype" w:eastAsia="Palatino Linotype" w:hAnsi="Palatino Linotype" w:cs="Palatino Linotype"/>
          <w:i/>
          <w:sz w:val="22"/>
          <w:szCs w:val="22"/>
        </w:rPr>
        <w:t>saimex</w:t>
      </w:r>
      <w:proofErr w:type="spellEnd"/>
      <w:r w:rsidRPr="00560332">
        <w:rPr>
          <w:rFonts w:ascii="Palatino Linotype" w:eastAsia="Palatino Linotype" w:hAnsi="Palatino Linotype" w:cs="Palatino Linotype"/>
          <w:i/>
          <w:sz w:val="22"/>
          <w:szCs w:val="22"/>
        </w:rPr>
        <w:t>”.</w:t>
      </w:r>
    </w:p>
    <w:p w14:paraId="5C7383FC" w14:textId="77777777" w:rsidR="00AF356B" w:rsidRPr="00560332" w:rsidRDefault="001E295A">
      <w:pPr>
        <w:numPr>
          <w:ilvl w:val="0"/>
          <w:numId w:val="9"/>
        </w:numPr>
        <w:pBdr>
          <w:top w:val="nil"/>
          <w:left w:val="nil"/>
          <w:bottom w:val="nil"/>
          <w:right w:val="nil"/>
          <w:between w:val="nil"/>
        </w:pBdr>
        <w:spacing w:line="360" w:lineRule="auto"/>
        <w:ind w:right="560"/>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b/>
          <w:i/>
          <w:sz w:val="22"/>
          <w:szCs w:val="22"/>
        </w:rPr>
        <w:t>Motivo de inconformidad:</w:t>
      </w:r>
      <w:r w:rsidRPr="00560332">
        <w:rPr>
          <w:rFonts w:ascii="Palatino Linotype" w:eastAsia="Palatino Linotype" w:hAnsi="Palatino Linotype" w:cs="Palatino Linotype"/>
          <w:i/>
          <w:sz w:val="22"/>
          <w:szCs w:val="22"/>
        </w:rPr>
        <w:t xml:space="preserve"> “no se atiende el </w:t>
      </w:r>
      <w:proofErr w:type="spellStart"/>
      <w:r w:rsidRPr="00560332">
        <w:rPr>
          <w:rFonts w:ascii="Palatino Linotype" w:eastAsia="Palatino Linotype" w:hAnsi="Palatino Linotype" w:cs="Palatino Linotype"/>
          <w:i/>
          <w:sz w:val="22"/>
          <w:szCs w:val="22"/>
        </w:rPr>
        <w:t>saimex</w:t>
      </w:r>
      <w:proofErr w:type="spellEnd"/>
      <w:r w:rsidRPr="00560332">
        <w:rPr>
          <w:rFonts w:ascii="Palatino Linotype" w:eastAsia="Palatino Linotype" w:hAnsi="Palatino Linotype" w:cs="Palatino Linotype"/>
          <w:i/>
          <w:sz w:val="22"/>
          <w:szCs w:val="22"/>
        </w:rPr>
        <w:t xml:space="preserve"> solo entrega una parte y </w:t>
      </w:r>
      <w:proofErr w:type="spellStart"/>
      <w:r w:rsidRPr="00560332">
        <w:rPr>
          <w:rFonts w:ascii="Palatino Linotype" w:eastAsia="Palatino Linotype" w:hAnsi="Palatino Linotype" w:cs="Palatino Linotype"/>
          <w:i/>
          <w:sz w:val="22"/>
          <w:szCs w:val="22"/>
        </w:rPr>
        <w:t>esta</w:t>
      </w:r>
      <w:proofErr w:type="spellEnd"/>
      <w:r w:rsidRPr="00560332">
        <w:rPr>
          <w:rFonts w:ascii="Palatino Linotype" w:eastAsia="Palatino Linotype" w:hAnsi="Palatino Linotype" w:cs="Palatino Linotype"/>
          <w:i/>
          <w:sz w:val="22"/>
          <w:szCs w:val="22"/>
        </w:rPr>
        <w:t xml:space="preserve"> incompleto </w:t>
      </w:r>
      <w:proofErr w:type="spellStart"/>
      <w:r w:rsidRPr="00560332">
        <w:rPr>
          <w:rFonts w:ascii="Palatino Linotype" w:eastAsia="Palatino Linotype" w:hAnsi="Palatino Linotype" w:cs="Palatino Linotype"/>
          <w:i/>
          <w:sz w:val="22"/>
          <w:szCs w:val="22"/>
        </w:rPr>
        <w:t>loq</w:t>
      </w:r>
      <w:proofErr w:type="spellEnd"/>
      <w:r w:rsidRPr="00560332">
        <w:rPr>
          <w:rFonts w:ascii="Palatino Linotype" w:eastAsia="Palatino Linotype" w:hAnsi="Palatino Linotype" w:cs="Palatino Linotype"/>
          <w:i/>
          <w:sz w:val="22"/>
          <w:szCs w:val="22"/>
        </w:rPr>
        <w:t xml:space="preserve"> </w:t>
      </w:r>
      <w:proofErr w:type="spellStart"/>
      <w:r w:rsidRPr="00560332">
        <w:rPr>
          <w:rFonts w:ascii="Palatino Linotype" w:eastAsia="Palatino Linotype" w:hAnsi="Palatino Linotype" w:cs="Palatino Linotype"/>
          <w:i/>
          <w:sz w:val="22"/>
          <w:szCs w:val="22"/>
        </w:rPr>
        <w:t>ue</w:t>
      </w:r>
      <w:proofErr w:type="spellEnd"/>
      <w:r w:rsidRPr="00560332">
        <w:rPr>
          <w:rFonts w:ascii="Palatino Linotype" w:eastAsia="Palatino Linotype" w:hAnsi="Palatino Linotype" w:cs="Palatino Linotype"/>
          <w:i/>
          <w:sz w:val="22"/>
          <w:szCs w:val="22"/>
        </w:rPr>
        <w:t xml:space="preserve"> entrega y falta información.”.</w:t>
      </w:r>
    </w:p>
    <w:p w14:paraId="569B3F06" w14:textId="77777777" w:rsidR="00AF356B" w:rsidRPr="00560332" w:rsidRDefault="00AF356B">
      <w:pPr>
        <w:spacing w:line="360" w:lineRule="auto"/>
        <w:ind w:left="142" w:right="560"/>
        <w:jc w:val="both"/>
        <w:rPr>
          <w:rFonts w:ascii="Palatino Linotype" w:eastAsia="Palatino Linotype" w:hAnsi="Palatino Linotype" w:cs="Palatino Linotype"/>
          <w:i/>
          <w:sz w:val="22"/>
          <w:szCs w:val="22"/>
        </w:rPr>
      </w:pPr>
    </w:p>
    <w:p w14:paraId="1CCDB946" w14:textId="77777777" w:rsidR="00AF356B" w:rsidRPr="00560332" w:rsidRDefault="001E295A">
      <w:pPr>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b/>
          <w:sz w:val="22"/>
          <w:szCs w:val="22"/>
        </w:rPr>
        <w:t xml:space="preserve">4. Turno. </w:t>
      </w:r>
      <w:r w:rsidRPr="00560332">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560332">
        <w:rPr>
          <w:rFonts w:ascii="Palatino Linotype" w:eastAsia="Palatino Linotype" w:hAnsi="Palatino Linotype" w:cs="Palatino Linotype"/>
          <w:b/>
          <w:sz w:val="22"/>
          <w:szCs w:val="22"/>
        </w:rPr>
        <w:t>04889/INFOEM/IP/RR/2025</w:t>
      </w:r>
      <w:r w:rsidRPr="00560332">
        <w:rPr>
          <w:rFonts w:ascii="Palatino Linotype" w:eastAsia="Palatino Linotype" w:hAnsi="Palatino Linotype" w:cs="Palatino Linotype"/>
          <w:sz w:val="22"/>
          <w:szCs w:val="22"/>
        </w:rPr>
        <w:t xml:space="preserve">, se turnó por el sistema electrónico del Instituto de Transparencia, </w:t>
      </w:r>
      <w:r w:rsidRPr="00560332">
        <w:rPr>
          <w:rFonts w:ascii="Palatino Linotype" w:eastAsia="Palatino Linotype" w:hAnsi="Palatino Linotype" w:cs="Palatino Linotype"/>
          <w:sz w:val="22"/>
          <w:szCs w:val="22"/>
        </w:rPr>
        <w:lastRenderedPageBreak/>
        <w:t xml:space="preserve">Acceso a la Información Pública y Protección de Datos Personales del Estado de México y Municipios, a la Comisionada </w:t>
      </w:r>
      <w:r w:rsidRPr="00560332">
        <w:rPr>
          <w:rFonts w:ascii="Palatino Linotype" w:eastAsia="Palatino Linotype" w:hAnsi="Palatino Linotype" w:cs="Palatino Linotype"/>
          <w:b/>
          <w:sz w:val="22"/>
          <w:szCs w:val="22"/>
        </w:rPr>
        <w:t>Guadalupe Ramírez Peña</w:t>
      </w:r>
      <w:r w:rsidRPr="00560332">
        <w:rPr>
          <w:rFonts w:ascii="Palatino Linotype" w:eastAsia="Palatino Linotype" w:hAnsi="Palatino Linotype" w:cs="Palatino Linotype"/>
          <w:sz w:val="22"/>
          <w:szCs w:val="22"/>
        </w:rPr>
        <w:t>, para su análisis, estudio, elaboración del proyecto y presentación ante el Pleno de este Instituto.</w:t>
      </w:r>
    </w:p>
    <w:p w14:paraId="1B498215" w14:textId="77777777" w:rsidR="00AF356B" w:rsidRPr="00560332" w:rsidRDefault="00AF356B">
      <w:pPr>
        <w:spacing w:line="360" w:lineRule="auto"/>
        <w:jc w:val="both"/>
        <w:rPr>
          <w:rFonts w:ascii="Palatino Linotype" w:eastAsia="Palatino Linotype" w:hAnsi="Palatino Linotype" w:cs="Palatino Linotype"/>
          <w:sz w:val="22"/>
          <w:szCs w:val="22"/>
        </w:rPr>
      </w:pPr>
    </w:p>
    <w:p w14:paraId="6E101653" w14:textId="77777777" w:rsidR="00AF356B" w:rsidRPr="00560332" w:rsidRDefault="001E295A">
      <w:pPr>
        <w:spacing w:line="360" w:lineRule="auto"/>
        <w:jc w:val="both"/>
        <w:rPr>
          <w:rFonts w:ascii="Palatino Linotype" w:eastAsia="Palatino Linotype" w:hAnsi="Palatino Linotype" w:cs="Palatino Linotype"/>
          <w:b/>
          <w:sz w:val="22"/>
          <w:szCs w:val="22"/>
        </w:rPr>
      </w:pPr>
      <w:r w:rsidRPr="00560332">
        <w:rPr>
          <w:rFonts w:ascii="Palatino Linotype" w:eastAsia="Palatino Linotype" w:hAnsi="Palatino Linotype" w:cs="Palatino Linotype"/>
          <w:b/>
          <w:sz w:val="22"/>
          <w:szCs w:val="22"/>
        </w:rPr>
        <w:t xml:space="preserve">5. Admisión. </w:t>
      </w:r>
      <w:r w:rsidRPr="00560332">
        <w:rPr>
          <w:rFonts w:ascii="Palatino Linotype" w:eastAsia="Palatino Linotype" w:hAnsi="Palatino Linotype" w:cs="Palatino Linotype"/>
          <w:sz w:val="22"/>
          <w:szCs w:val="22"/>
        </w:rPr>
        <w:t xml:space="preserve">El </w:t>
      </w:r>
      <w:r w:rsidRPr="00560332">
        <w:rPr>
          <w:rFonts w:ascii="Palatino Linotype" w:eastAsia="Palatino Linotype" w:hAnsi="Palatino Linotype" w:cs="Palatino Linotype"/>
          <w:b/>
          <w:sz w:val="22"/>
          <w:szCs w:val="22"/>
        </w:rPr>
        <w:t>dos</w:t>
      </w:r>
      <w:r w:rsidRPr="00560332">
        <w:rPr>
          <w:rFonts w:ascii="Palatino Linotype" w:eastAsia="Palatino Linotype" w:hAnsi="Palatino Linotype" w:cs="Palatino Linotype"/>
          <w:sz w:val="22"/>
          <w:szCs w:val="22"/>
        </w:rPr>
        <w:t xml:space="preserve"> </w:t>
      </w:r>
      <w:r w:rsidRPr="00560332">
        <w:rPr>
          <w:rFonts w:ascii="Palatino Linotype" w:eastAsia="Palatino Linotype" w:hAnsi="Palatino Linotype" w:cs="Palatino Linotype"/>
          <w:b/>
          <w:sz w:val="22"/>
          <w:szCs w:val="22"/>
        </w:rPr>
        <w:t>de mayo de dos mil veinticinco</w:t>
      </w:r>
      <w:r w:rsidRPr="00560332">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w:t>
      </w:r>
      <w:r w:rsidRPr="00560332">
        <w:rPr>
          <w:rFonts w:ascii="Palatino Linotype" w:eastAsia="Palatino Linotype" w:hAnsi="Palatino Linotype" w:cs="Palatino Linotype"/>
          <w:b/>
          <w:sz w:val="22"/>
          <w:szCs w:val="22"/>
        </w:rPr>
        <w:t>.</w:t>
      </w:r>
    </w:p>
    <w:p w14:paraId="7A355EEB" w14:textId="77777777" w:rsidR="00AF356B" w:rsidRPr="00560332" w:rsidRDefault="00AF356B">
      <w:pPr>
        <w:spacing w:line="360" w:lineRule="auto"/>
        <w:jc w:val="both"/>
        <w:rPr>
          <w:rFonts w:ascii="Palatino Linotype" w:eastAsia="Palatino Linotype" w:hAnsi="Palatino Linotype" w:cs="Palatino Linotype"/>
          <w:b/>
          <w:sz w:val="22"/>
          <w:szCs w:val="22"/>
        </w:rPr>
      </w:pPr>
    </w:p>
    <w:p w14:paraId="6C874572" w14:textId="77777777" w:rsidR="00AF356B" w:rsidRPr="00560332" w:rsidRDefault="001E295A">
      <w:pPr>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b/>
          <w:sz w:val="22"/>
          <w:szCs w:val="22"/>
        </w:rPr>
        <w:t>6. Manifestaciones.</w:t>
      </w:r>
      <w:r w:rsidRPr="00560332">
        <w:rPr>
          <w:rFonts w:ascii="Palatino Linotype" w:eastAsia="Palatino Linotype" w:hAnsi="Palatino Linotype" w:cs="Palatino Linotype"/>
          <w:sz w:val="22"/>
          <w:szCs w:val="22"/>
        </w:rPr>
        <w:t xml:space="preserve"> De las constancias que obran en el expediente electrónico del SAIMEX, se advierte que el Sujeto Obligado remitió el informe justificado el </w:t>
      </w:r>
      <w:r w:rsidRPr="00560332">
        <w:rPr>
          <w:rFonts w:ascii="Palatino Linotype" w:eastAsia="Palatino Linotype" w:hAnsi="Palatino Linotype" w:cs="Palatino Linotype"/>
          <w:b/>
          <w:sz w:val="22"/>
          <w:szCs w:val="22"/>
        </w:rPr>
        <w:t>catorce de mayo de dos mil veinticinco</w:t>
      </w:r>
      <w:r w:rsidRPr="00560332">
        <w:rPr>
          <w:rFonts w:ascii="Palatino Linotype" w:eastAsia="Palatino Linotype" w:hAnsi="Palatino Linotype" w:cs="Palatino Linotype"/>
          <w:sz w:val="22"/>
          <w:szCs w:val="22"/>
        </w:rPr>
        <w:t xml:space="preserve">, a través del documento electrónico </w:t>
      </w:r>
      <w:r w:rsidRPr="00560332">
        <w:rPr>
          <w:rFonts w:ascii="Palatino Linotype" w:eastAsia="Palatino Linotype" w:hAnsi="Palatino Linotype" w:cs="Palatino Linotype"/>
          <w:b/>
          <w:sz w:val="22"/>
          <w:szCs w:val="22"/>
        </w:rPr>
        <w:t xml:space="preserve">denominado RR 4889.pdf, mediante el cual se ratifica la respuesta inicial, </w:t>
      </w:r>
      <w:r w:rsidRPr="00560332">
        <w:rPr>
          <w:rFonts w:ascii="Palatino Linotype" w:eastAsia="Palatino Linotype" w:hAnsi="Palatino Linotype" w:cs="Palatino Linotype"/>
          <w:sz w:val="22"/>
          <w:szCs w:val="22"/>
        </w:rPr>
        <w:t xml:space="preserve">cuyo contenido se puso a disposición del Recurrente el </w:t>
      </w:r>
      <w:r w:rsidRPr="00560332">
        <w:rPr>
          <w:rFonts w:ascii="Palatino Linotype" w:eastAsia="Palatino Linotype" w:hAnsi="Palatino Linotype" w:cs="Palatino Linotype"/>
          <w:b/>
          <w:sz w:val="22"/>
          <w:szCs w:val="22"/>
        </w:rPr>
        <w:t>catorce de agosto de dos mil veinticinco</w:t>
      </w:r>
      <w:r w:rsidRPr="00560332">
        <w:rPr>
          <w:rFonts w:ascii="Palatino Linotype" w:eastAsia="Palatino Linotype" w:hAnsi="Palatino Linotype" w:cs="Palatino Linotype"/>
          <w:sz w:val="22"/>
          <w:szCs w:val="22"/>
        </w:rPr>
        <w:t>.</w:t>
      </w:r>
    </w:p>
    <w:p w14:paraId="1C800BCB" w14:textId="77777777" w:rsidR="00AF356B" w:rsidRPr="00560332" w:rsidRDefault="00AF356B">
      <w:pPr>
        <w:spacing w:line="360" w:lineRule="auto"/>
        <w:jc w:val="both"/>
        <w:rPr>
          <w:rFonts w:ascii="Palatino Linotype" w:eastAsia="Palatino Linotype" w:hAnsi="Palatino Linotype" w:cs="Palatino Linotype"/>
          <w:sz w:val="22"/>
          <w:szCs w:val="22"/>
        </w:rPr>
      </w:pPr>
    </w:p>
    <w:p w14:paraId="77513B71" w14:textId="77777777" w:rsidR="00AF356B" w:rsidRPr="00560332" w:rsidRDefault="001E295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b/>
          <w:sz w:val="22"/>
          <w:szCs w:val="22"/>
        </w:rPr>
        <w:t>7. Ampliación de plazo. El catorce de agosto de dos mil veinticinco</w:t>
      </w:r>
      <w:r w:rsidRPr="00560332">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14:paraId="02624FF2" w14:textId="77777777" w:rsidR="00AF356B" w:rsidRPr="00560332" w:rsidRDefault="00AF356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0A1ADFD" w14:textId="77777777" w:rsidR="00AF356B" w:rsidRPr="00560332" w:rsidRDefault="001E295A">
      <w:pPr>
        <w:spacing w:line="360" w:lineRule="auto"/>
        <w:ind w:right="49"/>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59C89CC" w14:textId="77777777" w:rsidR="00AF356B" w:rsidRPr="00560332" w:rsidRDefault="001E295A">
      <w:pPr>
        <w:spacing w:line="360" w:lineRule="auto"/>
        <w:ind w:right="49"/>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 </w:t>
      </w:r>
    </w:p>
    <w:p w14:paraId="015F1B26" w14:textId="77777777" w:rsidR="00AF356B" w:rsidRPr="00560332" w:rsidRDefault="001E295A">
      <w:pPr>
        <w:spacing w:line="360" w:lineRule="auto"/>
        <w:ind w:right="49"/>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w:t>
      </w:r>
      <w:r w:rsidRPr="00560332">
        <w:rPr>
          <w:rFonts w:ascii="Palatino Linotype" w:eastAsia="Palatino Linotype" w:hAnsi="Palatino Linotype" w:cs="Palatino Linotype"/>
          <w:sz w:val="22"/>
          <w:szCs w:val="22"/>
        </w:rPr>
        <w:lastRenderedPageBreak/>
        <w:t>conforme a los parámetros establecidos por diversos órganos jurisdiccionales federales, aplicables también en procedimientos análogos, como el que nos ocupa.</w:t>
      </w:r>
    </w:p>
    <w:p w14:paraId="38A13195" w14:textId="77777777" w:rsidR="00AF356B" w:rsidRPr="00560332" w:rsidRDefault="001E295A">
      <w:pPr>
        <w:spacing w:line="360" w:lineRule="auto"/>
        <w:ind w:right="49"/>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 </w:t>
      </w:r>
    </w:p>
    <w:p w14:paraId="1AF8047D" w14:textId="77777777" w:rsidR="00AF356B" w:rsidRPr="00560332" w:rsidRDefault="001E295A">
      <w:pPr>
        <w:spacing w:line="360" w:lineRule="auto"/>
        <w:ind w:right="49"/>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7D0E8CE" w14:textId="77777777" w:rsidR="00AF356B" w:rsidRPr="00560332" w:rsidRDefault="00AF356B">
      <w:pPr>
        <w:spacing w:line="360" w:lineRule="auto"/>
        <w:ind w:right="49"/>
        <w:jc w:val="both"/>
        <w:rPr>
          <w:rFonts w:ascii="Palatino Linotype" w:eastAsia="Palatino Linotype" w:hAnsi="Palatino Linotype" w:cs="Palatino Linotype"/>
          <w:sz w:val="22"/>
          <w:szCs w:val="22"/>
        </w:rPr>
      </w:pPr>
    </w:p>
    <w:p w14:paraId="648005EB" w14:textId="77777777" w:rsidR="00AF356B" w:rsidRPr="00560332" w:rsidRDefault="001E295A">
      <w:pPr>
        <w:spacing w:line="360" w:lineRule="auto"/>
        <w:ind w:right="49"/>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E6FF578" w14:textId="77777777" w:rsidR="00AF356B" w:rsidRPr="00560332" w:rsidRDefault="00AF356B">
      <w:pPr>
        <w:spacing w:line="360" w:lineRule="auto"/>
        <w:ind w:right="49"/>
        <w:jc w:val="both"/>
        <w:rPr>
          <w:rFonts w:ascii="Palatino Linotype" w:eastAsia="Palatino Linotype" w:hAnsi="Palatino Linotype" w:cs="Palatino Linotype"/>
          <w:sz w:val="22"/>
          <w:szCs w:val="22"/>
        </w:rPr>
      </w:pPr>
    </w:p>
    <w:p w14:paraId="4828C20D" w14:textId="77777777" w:rsidR="00AF356B" w:rsidRPr="00560332" w:rsidRDefault="001E295A">
      <w:pPr>
        <w:spacing w:line="360" w:lineRule="auto"/>
        <w:ind w:right="49"/>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5EA9552C" w14:textId="77777777" w:rsidR="00AF356B" w:rsidRPr="00560332" w:rsidRDefault="00AF356B">
      <w:pPr>
        <w:spacing w:line="360" w:lineRule="auto"/>
        <w:ind w:right="49"/>
        <w:jc w:val="both"/>
        <w:rPr>
          <w:rFonts w:ascii="Palatino Linotype" w:eastAsia="Palatino Linotype" w:hAnsi="Palatino Linotype" w:cs="Palatino Linotype"/>
          <w:sz w:val="22"/>
          <w:szCs w:val="22"/>
        </w:rPr>
      </w:pPr>
    </w:p>
    <w:p w14:paraId="21355AC5" w14:textId="77777777" w:rsidR="00AF356B" w:rsidRPr="00560332" w:rsidRDefault="001E295A">
      <w:pPr>
        <w:tabs>
          <w:tab w:val="left" w:pos="709"/>
        </w:tabs>
        <w:spacing w:line="360" w:lineRule="auto"/>
        <w:ind w:left="567" w:right="560"/>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b/>
          <w:sz w:val="22"/>
          <w:szCs w:val="22"/>
        </w:rPr>
        <w:t>a)    Complejidad del asunto:</w:t>
      </w:r>
      <w:r w:rsidRPr="00560332">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16E7EC9E" w14:textId="77777777" w:rsidR="00AF356B" w:rsidRPr="00560332" w:rsidRDefault="001E295A">
      <w:pPr>
        <w:tabs>
          <w:tab w:val="left" w:pos="709"/>
        </w:tabs>
        <w:spacing w:line="360" w:lineRule="auto"/>
        <w:ind w:left="567" w:right="560"/>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b/>
          <w:sz w:val="22"/>
          <w:szCs w:val="22"/>
        </w:rPr>
        <w:t>b)   Actividad Procesal del interesado</w:t>
      </w:r>
      <w:r w:rsidRPr="00560332">
        <w:rPr>
          <w:rFonts w:ascii="Palatino Linotype" w:eastAsia="Palatino Linotype" w:hAnsi="Palatino Linotype" w:cs="Palatino Linotype"/>
          <w:sz w:val="22"/>
          <w:szCs w:val="22"/>
        </w:rPr>
        <w:t>: Acciones u omisiones del interesado.</w:t>
      </w:r>
    </w:p>
    <w:p w14:paraId="5A6D33F3" w14:textId="77777777" w:rsidR="00AF356B" w:rsidRPr="00560332" w:rsidRDefault="001E295A">
      <w:pPr>
        <w:tabs>
          <w:tab w:val="left" w:pos="851"/>
        </w:tabs>
        <w:spacing w:line="360" w:lineRule="auto"/>
        <w:ind w:left="567" w:right="560"/>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b/>
          <w:sz w:val="22"/>
          <w:szCs w:val="22"/>
        </w:rPr>
        <w:t>c)  Conducta de la Autoridad:</w:t>
      </w:r>
      <w:r w:rsidRPr="00560332">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2A6EE737" w14:textId="77777777" w:rsidR="00AF356B" w:rsidRPr="00560332" w:rsidRDefault="001E295A">
      <w:pPr>
        <w:tabs>
          <w:tab w:val="left" w:pos="851"/>
        </w:tabs>
        <w:spacing w:line="360" w:lineRule="auto"/>
        <w:ind w:left="567" w:right="560"/>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b/>
          <w:sz w:val="22"/>
          <w:szCs w:val="22"/>
        </w:rPr>
        <w:t>d) La afectación generada en la situación jurídica de la persona involucrada en el proceso:</w:t>
      </w:r>
      <w:r w:rsidRPr="00560332">
        <w:rPr>
          <w:rFonts w:ascii="Palatino Linotype" w:eastAsia="Palatino Linotype" w:hAnsi="Palatino Linotype" w:cs="Palatino Linotype"/>
          <w:sz w:val="22"/>
          <w:szCs w:val="22"/>
        </w:rPr>
        <w:t xml:space="preserve"> Violación a sus derechos humanos.</w:t>
      </w:r>
    </w:p>
    <w:p w14:paraId="7BA8FF12" w14:textId="77777777" w:rsidR="00AF356B" w:rsidRPr="00560332" w:rsidRDefault="00AF356B">
      <w:pPr>
        <w:spacing w:line="360" w:lineRule="auto"/>
        <w:ind w:right="49"/>
        <w:jc w:val="both"/>
        <w:rPr>
          <w:rFonts w:ascii="Palatino Linotype" w:eastAsia="Palatino Linotype" w:hAnsi="Palatino Linotype" w:cs="Palatino Linotype"/>
          <w:sz w:val="22"/>
          <w:szCs w:val="22"/>
        </w:rPr>
      </w:pPr>
    </w:p>
    <w:p w14:paraId="1D4E4A6E" w14:textId="77777777" w:rsidR="00AF356B" w:rsidRPr="00560332" w:rsidRDefault="001E295A">
      <w:pPr>
        <w:spacing w:line="360" w:lineRule="auto"/>
        <w:ind w:right="49"/>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De modo que, cuando se trate de un asunto excepcional, por alguna o todas las características mencionadas o bien, cuando el ingreso de asuntos al órgano jurisdiccional o cuasi </w:t>
      </w:r>
      <w:r w:rsidRPr="00560332">
        <w:rPr>
          <w:rFonts w:ascii="Palatino Linotype" w:eastAsia="Palatino Linotype" w:hAnsi="Palatino Linotype" w:cs="Palatino Linotype"/>
          <w:sz w:val="22"/>
          <w:szCs w:val="22"/>
        </w:rPr>
        <w:lastRenderedPageBreak/>
        <w:t>jurisdiccional respectivo supere notoriamente al que podría considerarse normal, debe concluirse que es una excluyente de responsabilidad en relación con la actuación del funcionario, como ha acontecido en el caso que nos ocupa.</w:t>
      </w:r>
    </w:p>
    <w:p w14:paraId="5F8A1F39" w14:textId="77777777" w:rsidR="00AF356B" w:rsidRPr="00560332" w:rsidRDefault="001E295A">
      <w:pPr>
        <w:spacing w:line="360" w:lineRule="auto"/>
        <w:ind w:right="49"/>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 </w:t>
      </w:r>
    </w:p>
    <w:p w14:paraId="50DCAF90" w14:textId="77777777" w:rsidR="00AF356B" w:rsidRPr="00560332" w:rsidRDefault="001E295A">
      <w:pPr>
        <w:spacing w:line="360" w:lineRule="auto"/>
        <w:ind w:right="49"/>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560332">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560332">
        <w:rPr>
          <w:rFonts w:ascii="Palatino Linotype" w:eastAsia="Palatino Linotype" w:hAnsi="Palatino Linotype" w:cs="Palatino Linotype"/>
          <w:sz w:val="22"/>
          <w:szCs w:val="22"/>
        </w:rPr>
        <w:t>, visible en la Gaceta del Seminario Judicial de la Federación con el registro digital 205635.</w:t>
      </w:r>
    </w:p>
    <w:p w14:paraId="3D4809B2" w14:textId="77777777" w:rsidR="00AF356B" w:rsidRPr="00560332" w:rsidRDefault="001E295A">
      <w:pPr>
        <w:spacing w:line="360" w:lineRule="auto"/>
        <w:ind w:right="49"/>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 </w:t>
      </w:r>
    </w:p>
    <w:p w14:paraId="0FA8B81A" w14:textId="77777777" w:rsidR="00AF356B" w:rsidRPr="00560332" w:rsidRDefault="001E295A">
      <w:pPr>
        <w:spacing w:line="360" w:lineRule="auto"/>
        <w:ind w:right="49"/>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6AB6708" w14:textId="77777777" w:rsidR="00AF356B" w:rsidRPr="00560332" w:rsidRDefault="00AF356B">
      <w:pPr>
        <w:spacing w:line="360" w:lineRule="auto"/>
        <w:ind w:right="49"/>
        <w:jc w:val="both"/>
        <w:rPr>
          <w:rFonts w:ascii="Palatino Linotype" w:eastAsia="Palatino Linotype" w:hAnsi="Palatino Linotype" w:cs="Palatino Linotype"/>
          <w:sz w:val="22"/>
          <w:szCs w:val="22"/>
        </w:rPr>
      </w:pPr>
    </w:p>
    <w:p w14:paraId="089C707B" w14:textId="77777777" w:rsidR="00AF356B" w:rsidRPr="00560332" w:rsidRDefault="001E295A">
      <w:pPr>
        <w:spacing w:line="360" w:lineRule="auto"/>
        <w:ind w:right="49"/>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7493D89A" w14:textId="77777777" w:rsidR="00AF356B" w:rsidRPr="00560332" w:rsidRDefault="00AF356B">
      <w:pPr>
        <w:spacing w:line="360" w:lineRule="auto"/>
        <w:ind w:right="49"/>
        <w:jc w:val="both"/>
        <w:rPr>
          <w:rFonts w:ascii="Palatino Linotype" w:eastAsia="Palatino Linotype" w:hAnsi="Palatino Linotype" w:cs="Palatino Linotype"/>
          <w:sz w:val="22"/>
          <w:szCs w:val="22"/>
        </w:rPr>
      </w:pPr>
    </w:p>
    <w:p w14:paraId="66E97571" w14:textId="77777777" w:rsidR="00AF356B" w:rsidRPr="00560332" w:rsidRDefault="001E295A">
      <w:pPr>
        <w:spacing w:line="360" w:lineRule="auto"/>
        <w:ind w:left="567" w:right="560"/>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b/>
          <w:sz w:val="22"/>
          <w:szCs w:val="22"/>
        </w:rPr>
        <w:lastRenderedPageBreak/>
        <w:t xml:space="preserve"> “PLAZO RAZONABLE PARA RESOLVER. DIMENSIÓN Y EFECTOS DE ESTE CONCEPTO CUANDO SE ADUCE EXCESIVA CARGA DE TRABAJO.”</w:t>
      </w:r>
      <w:r w:rsidRPr="00560332">
        <w:rPr>
          <w:rFonts w:ascii="Palatino Linotype" w:eastAsia="Palatino Linotype" w:hAnsi="Palatino Linotype" w:cs="Palatino Linotype"/>
          <w:sz w:val="22"/>
          <w:szCs w:val="22"/>
        </w:rPr>
        <w:t xml:space="preserve"> consultable en el Seminario Judicial de la Federación y su gaceta, con el registro digital 2002351.</w:t>
      </w:r>
    </w:p>
    <w:p w14:paraId="254B66AA" w14:textId="77777777" w:rsidR="00AF356B" w:rsidRPr="00560332" w:rsidRDefault="001E295A">
      <w:pPr>
        <w:spacing w:line="360" w:lineRule="auto"/>
        <w:ind w:left="567" w:right="560"/>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560332">
        <w:rPr>
          <w:rFonts w:ascii="Palatino Linotype" w:eastAsia="Palatino Linotype" w:hAnsi="Palatino Linotype" w:cs="Palatino Linotype"/>
          <w:sz w:val="22"/>
          <w:szCs w:val="22"/>
        </w:rPr>
        <w:t xml:space="preserve"> visible en el Seminario Judicial de la Federación y su gaceta, con el registro digital 2002350.</w:t>
      </w:r>
    </w:p>
    <w:p w14:paraId="58AE4FD6" w14:textId="77777777" w:rsidR="00AF356B" w:rsidRPr="00560332" w:rsidRDefault="00AF356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239BAE8" w14:textId="77777777" w:rsidR="00AF356B" w:rsidRPr="00560332" w:rsidRDefault="001E295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de carácter excepcional. </w:t>
      </w:r>
    </w:p>
    <w:p w14:paraId="6BC41AEA" w14:textId="77777777" w:rsidR="00AF356B" w:rsidRPr="00560332" w:rsidRDefault="00AF356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D496B88" w14:textId="77777777" w:rsidR="00AF356B" w:rsidRPr="00560332" w:rsidRDefault="001E295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b/>
          <w:sz w:val="22"/>
          <w:szCs w:val="22"/>
        </w:rPr>
        <w:t>8. Cierre de instrucción</w:t>
      </w:r>
      <w:r w:rsidRPr="00560332">
        <w:rPr>
          <w:rFonts w:ascii="Palatino Linotype" w:eastAsia="Palatino Linotype" w:hAnsi="Palatino Linotype" w:cs="Palatino Linotype"/>
          <w:sz w:val="22"/>
          <w:szCs w:val="22"/>
        </w:rPr>
        <w:t xml:space="preserve">. En fecha </w:t>
      </w:r>
      <w:r w:rsidRPr="00560332">
        <w:rPr>
          <w:rFonts w:ascii="Palatino Linotype" w:eastAsia="Palatino Linotype" w:hAnsi="Palatino Linotype" w:cs="Palatino Linotype"/>
          <w:b/>
          <w:sz w:val="22"/>
          <w:szCs w:val="22"/>
        </w:rPr>
        <w:t>veinte</w:t>
      </w:r>
      <w:r w:rsidRPr="00560332">
        <w:rPr>
          <w:rFonts w:ascii="Palatino Linotype" w:eastAsia="Palatino Linotype" w:hAnsi="Palatino Linotype" w:cs="Palatino Linotype"/>
          <w:sz w:val="22"/>
          <w:szCs w:val="22"/>
        </w:rPr>
        <w:t xml:space="preserve"> </w:t>
      </w:r>
      <w:r w:rsidRPr="00560332">
        <w:rPr>
          <w:rFonts w:ascii="Palatino Linotype" w:eastAsia="Palatino Linotype" w:hAnsi="Palatino Linotype" w:cs="Palatino Linotype"/>
          <w:b/>
          <w:sz w:val="22"/>
          <w:szCs w:val="22"/>
        </w:rPr>
        <w:t>de agosto de dos mil veinticinco</w:t>
      </w:r>
      <w:r w:rsidRPr="00560332">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 </w:t>
      </w:r>
    </w:p>
    <w:p w14:paraId="64AF293B" w14:textId="77777777" w:rsidR="00AF356B" w:rsidRPr="00560332" w:rsidRDefault="00AF356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ECD9AB2" w14:textId="77777777" w:rsidR="00AF356B" w:rsidRPr="00560332" w:rsidRDefault="001E295A">
      <w:pPr>
        <w:spacing w:line="360" w:lineRule="auto"/>
        <w:ind w:right="49"/>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20B46579" w14:textId="77777777" w:rsidR="00AF356B" w:rsidRPr="00560332" w:rsidRDefault="00AF356B">
      <w:pPr>
        <w:spacing w:line="360" w:lineRule="auto"/>
        <w:ind w:right="49"/>
        <w:jc w:val="both"/>
        <w:rPr>
          <w:rFonts w:ascii="Palatino Linotype" w:eastAsia="Palatino Linotype" w:hAnsi="Palatino Linotype" w:cs="Palatino Linotype"/>
          <w:sz w:val="22"/>
          <w:szCs w:val="22"/>
        </w:rPr>
      </w:pPr>
    </w:p>
    <w:p w14:paraId="43A59F62" w14:textId="77777777" w:rsidR="00AF356B" w:rsidRPr="00560332" w:rsidRDefault="00AF356B">
      <w:pPr>
        <w:spacing w:line="360" w:lineRule="auto"/>
        <w:ind w:right="49"/>
        <w:jc w:val="both"/>
        <w:rPr>
          <w:rFonts w:ascii="Palatino Linotype" w:eastAsia="Palatino Linotype" w:hAnsi="Palatino Linotype" w:cs="Palatino Linotype"/>
          <w:sz w:val="22"/>
          <w:szCs w:val="22"/>
        </w:rPr>
      </w:pPr>
    </w:p>
    <w:p w14:paraId="43E056EE" w14:textId="77777777" w:rsidR="00AF356B" w:rsidRPr="00560332" w:rsidRDefault="001E295A">
      <w:pPr>
        <w:spacing w:line="360" w:lineRule="auto"/>
        <w:ind w:right="49"/>
        <w:jc w:val="center"/>
        <w:rPr>
          <w:rFonts w:ascii="Palatino Linotype" w:eastAsia="Palatino Linotype" w:hAnsi="Palatino Linotype" w:cs="Palatino Linotype"/>
          <w:b/>
          <w:sz w:val="22"/>
          <w:szCs w:val="22"/>
        </w:rPr>
      </w:pPr>
      <w:r w:rsidRPr="00560332">
        <w:rPr>
          <w:rFonts w:ascii="Palatino Linotype" w:eastAsia="Palatino Linotype" w:hAnsi="Palatino Linotype" w:cs="Palatino Linotype"/>
          <w:b/>
          <w:sz w:val="22"/>
          <w:szCs w:val="22"/>
        </w:rPr>
        <w:t>II.</w:t>
      </w:r>
      <w:r w:rsidRPr="00560332">
        <w:rPr>
          <w:rFonts w:ascii="Palatino Linotype" w:eastAsia="Palatino Linotype" w:hAnsi="Palatino Linotype" w:cs="Palatino Linotype"/>
          <w:b/>
          <w:sz w:val="22"/>
          <w:szCs w:val="22"/>
        </w:rPr>
        <w:tab/>
        <w:t>C O N S I D E R A N D O:</w:t>
      </w:r>
    </w:p>
    <w:p w14:paraId="1073CA9F" w14:textId="77777777" w:rsidR="00AF356B" w:rsidRPr="00560332" w:rsidRDefault="00AF356B">
      <w:pPr>
        <w:spacing w:line="360" w:lineRule="auto"/>
        <w:ind w:right="49"/>
        <w:jc w:val="both"/>
        <w:rPr>
          <w:rFonts w:ascii="Palatino Linotype" w:eastAsia="Palatino Linotype" w:hAnsi="Palatino Linotype" w:cs="Palatino Linotype"/>
          <w:sz w:val="22"/>
          <w:szCs w:val="22"/>
        </w:rPr>
      </w:pPr>
    </w:p>
    <w:p w14:paraId="4530E74A" w14:textId="77777777" w:rsidR="00AF356B" w:rsidRPr="00560332" w:rsidRDefault="001E295A">
      <w:pPr>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b/>
          <w:sz w:val="22"/>
          <w:szCs w:val="22"/>
        </w:rPr>
        <w:t>Primero. Competencia.</w:t>
      </w:r>
      <w:r w:rsidRPr="0056033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w:t>
      </w:r>
      <w:r w:rsidRPr="00560332">
        <w:rPr>
          <w:rFonts w:ascii="Palatino Linotype" w:eastAsia="Palatino Linotype" w:hAnsi="Palatino Linotype" w:cs="Palatino Linotype"/>
          <w:sz w:val="22"/>
          <w:szCs w:val="22"/>
        </w:rPr>
        <w:lastRenderedPageBreak/>
        <w:t>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025DE33" w14:textId="77777777" w:rsidR="00AF356B" w:rsidRPr="00560332" w:rsidRDefault="001E295A">
      <w:pPr>
        <w:spacing w:before="240" w:after="240"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b/>
          <w:sz w:val="22"/>
          <w:szCs w:val="22"/>
        </w:rPr>
        <w:t xml:space="preserve">Segundo. Oportunidad y Procedibilidad del Recurso de Revisión. </w:t>
      </w:r>
      <w:r w:rsidRPr="00560332">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7C9F59C" w14:textId="77777777" w:rsidR="00AF356B" w:rsidRPr="00560332" w:rsidRDefault="001E295A">
      <w:pPr>
        <w:spacing w:before="240" w:after="240"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29E04C86" w14:textId="77777777" w:rsidR="00AF356B" w:rsidRPr="00560332" w:rsidRDefault="001E295A">
      <w:pPr>
        <w:spacing w:line="360" w:lineRule="auto"/>
        <w:ind w:left="851" w:right="900"/>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b/>
          <w:i/>
          <w:sz w:val="22"/>
          <w:szCs w:val="22"/>
        </w:rPr>
        <w:t xml:space="preserve">“Artículo 178. </w:t>
      </w:r>
      <w:r w:rsidRPr="00560332">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CE4734B" w14:textId="77777777" w:rsidR="00AF356B" w:rsidRPr="00560332" w:rsidRDefault="001E295A">
      <w:pPr>
        <w:spacing w:before="240" w:after="240" w:line="360" w:lineRule="auto"/>
        <w:ind w:right="49"/>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560332">
        <w:rPr>
          <w:rFonts w:ascii="Palatino Linotype" w:eastAsia="Palatino Linotype" w:hAnsi="Palatino Linotype" w:cs="Palatino Linotype"/>
          <w:b/>
          <w:sz w:val="22"/>
          <w:szCs w:val="22"/>
        </w:rPr>
        <w:t>SUJETO OBLIGADO</w:t>
      </w:r>
      <w:r w:rsidRPr="00560332">
        <w:rPr>
          <w:rFonts w:ascii="Palatino Linotype" w:eastAsia="Palatino Linotype" w:hAnsi="Palatino Linotype" w:cs="Palatino Linotype"/>
          <w:sz w:val="22"/>
          <w:szCs w:val="22"/>
        </w:rPr>
        <w:t xml:space="preserve"> remitió la </w:t>
      </w:r>
      <w:r w:rsidRPr="00560332">
        <w:rPr>
          <w:rFonts w:ascii="Palatino Linotype" w:eastAsia="Palatino Linotype" w:hAnsi="Palatino Linotype" w:cs="Palatino Linotype"/>
          <w:sz w:val="22"/>
          <w:szCs w:val="22"/>
        </w:rPr>
        <w:lastRenderedPageBreak/>
        <w:t xml:space="preserve">respuesta a la solicitud de información el día </w:t>
      </w:r>
      <w:r w:rsidRPr="00560332">
        <w:rPr>
          <w:rFonts w:ascii="Palatino Linotype" w:eastAsia="Palatino Linotype" w:hAnsi="Palatino Linotype" w:cs="Palatino Linotype"/>
          <w:b/>
          <w:sz w:val="22"/>
          <w:szCs w:val="22"/>
        </w:rPr>
        <w:t xml:space="preserve">treinta y uno de marzo de dos mil veinticinco, </w:t>
      </w:r>
      <w:r w:rsidRPr="00560332">
        <w:rPr>
          <w:rFonts w:ascii="Palatino Linotype" w:eastAsia="Palatino Linotype" w:hAnsi="Palatino Linotype" w:cs="Palatino Linotype"/>
          <w:sz w:val="22"/>
          <w:szCs w:val="22"/>
        </w:rPr>
        <w:t xml:space="preserve">mientras que el recurso de revisión interpuesto por la parte </w:t>
      </w:r>
      <w:r w:rsidRPr="00560332">
        <w:rPr>
          <w:rFonts w:ascii="Palatino Linotype" w:eastAsia="Palatino Linotype" w:hAnsi="Palatino Linotype" w:cs="Palatino Linotype"/>
          <w:b/>
          <w:sz w:val="22"/>
          <w:szCs w:val="22"/>
        </w:rPr>
        <w:t>RECURRENTE</w:t>
      </w:r>
      <w:r w:rsidRPr="00560332">
        <w:rPr>
          <w:rFonts w:ascii="Palatino Linotype" w:eastAsia="Palatino Linotype" w:hAnsi="Palatino Linotype" w:cs="Palatino Linotype"/>
          <w:sz w:val="22"/>
          <w:szCs w:val="22"/>
        </w:rPr>
        <w:t xml:space="preserve">, se tuvo por presentado el </w:t>
      </w:r>
      <w:r w:rsidRPr="00560332">
        <w:rPr>
          <w:rFonts w:ascii="Palatino Linotype" w:eastAsia="Palatino Linotype" w:hAnsi="Palatino Linotype" w:cs="Palatino Linotype"/>
          <w:b/>
          <w:sz w:val="22"/>
          <w:szCs w:val="22"/>
        </w:rPr>
        <w:t>veintiocho de abril del año dos mil veinticinco</w:t>
      </w:r>
      <w:r w:rsidRPr="00560332">
        <w:rPr>
          <w:rFonts w:ascii="Palatino Linotype" w:eastAsia="Palatino Linotype" w:hAnsi="Palatino Linotype" w:cs="Palatino Linotype"/>
          <w:sz w:val="22"/>
          <w:szCs w:val="22"/>
        </w:rPr>
        <w:t xml:space="preserve">; esto es, al </w:t>
      </w:r>
      <w:r w:rsidRPr="00560332">
        <w:rPr>
          <w:rFonts w:ascii="Palatino Linotype" w:eastAsia="Palatino Linotype" w:hAnsi="Palatino Linotype" w:cs="Palatino Linotype"/>
          <w:b/>
          <w:sz w:val="22"/>
          <w:szCs w:val="22"/>
        </w:rPr>
        <w:t>décimo quinto</w:t>
      </w:r>
      <w:r w:rsidRPr="00560332">
        <w:rPr>
          <w:rFonts w:ascii="Palatino Linotype" w:eastAsia="Palatino Linotype" w:hAnsi="Palatino Linotype" w:cs="Palatino Linotype"/>
          <w:sz w:val="22"/>
          <w:szCs w:val="22"/>
        </w:rPr>
        <w:t xml:space="preserve"> </w:t>
      </w:r>
      <w:r w:rsidRPr="00560332">
        <w:rPr>
          <w:rFonts w:ascii="Palatino Linotype" w:eastAsia="Palatino Linotype" w:hAnsi="Palatino Linotype" w:cs="Palatino Linotype"/>
          <w:b/>
          <w:sz w:val="22"/>
          <w:szCs w:val="22"/>
        </w:rPr>
        <w:t xml:space="preserve">día hábil </w:t>
      </w:r>
      <w:r w:rsidRPr="00560332">
        <w:rPr>
          <w:rFonts w:ascii="Palatino Linotype" w:eastAsia="Palatino Linotype" w:hAnsi="Palatino Linotype" w:cs="Palatino Linotype"/>
          <w:sz w:val="22"/>
          <w:szCs w:val="22"/>
        </w:rPr>
        <w:t>siguiente al que se tuvo conocimiento de la respuesta respectivamente.</w:t>
      </w:r>
    </w:p>
    <w:p w14:paraId="0327CA15" w14:textId="77777777" w:rsidR="00AF356B" w:rsidRPr="00560332" w:rsidRDefault="001E295A">
      <w:pPr>
        <w:spacing w:before="240" w:after="240"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Por cuanto hace a la procedibilidad del recurso de revisión, es de suma importancia señalar que la parte </w:t>
      </w:r>
      <w:r w:rsidRPr="00560332">
        <w:rPr>
          <w:rFonts w:ascii="Palatino Linotype" w:eastAsia="Palatino Linotype" w:hAnsi="Palatino Linotype" w:cs="Palatino Linotype"/>
          <w:b/>
          <w:sz w:val="22"/>
          <w:szCs w:val="22"/>
        </w:rPr>
        <w:t>RECURRENTE</w:t>
      </w:r>
      <w:r w:rsidRPr="00560332">
        <w:rPr>
          <w:rFonts w:ascii="Palatino Linotype" w:eastAsia="Palatino Linotype" w:hAnsi="Palatino Linotype" w:cs="Palatino Linotype"/>
          <w:sz w:val="22"/>
          <w:szCs w:val="22"/>
        </w:rPr>
        <w:t>, no proporcionó su nombre</w:t>
      </w:r>
      <w:r w:rsidRPr="00560332">
        <w:rPr>
          <w:rFonts w:ascii="Palatino Linotype" w:eastAsia="Palatino Linotype" w:hAnsi="Palatino Linotype" w:cs="Palatino Linotype"/>
          <w:b/>
          <w:sz w:val="22"/>
          <w:szCs w:val="22"/>
        </w:rPr>
        <w:t>,</w:t>
      </w:r>
      <w:r w:rsidRPr="00560332">
        <w:rPr>
          <w:rFonts w:ascii="Palatino Linotype" w:eastAsia="Palatino Linotype" w:hAnsi="Palatino Linotype" w:cs="Palatino Linotype"/>
          <w:sz w:val="22"/>
          <w:szCs w:val="22"/>
        </w:rPr>
        <w:t xml:space="preserve"> como se advierte en el detalle de seguimiento del SAIMEX, no obstante el no proporcionar nombre</w:t>
      </w:r>
      <w:r w:rsidRPr="00560332">
        <w:rPr>
          <w:rFonts w:ascii="Palatino Linotype" w:eastAsia="Palatino Linotype" w:hAnsi="Palatino Linotype" w:cs="Palatino Linotype"/>
          <w:strike/>
          <w:sz w:val="22"/>
          <w:szCs w:val="22"/>
        </w:rPr>
        <w:t xml:space="preserve"> </w:t>
      </w:r>
      <w:r w:rsidRPr="00560332">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8804632" w14:textId="77777777" w:rsidR="00AF356B" w:rsidRPr="00560332" w:rsidRDefault="001E295A">
      <w:pPr>
        <w:spacing w:before="240" w:after="240"/>
        <w:ind w:left="851" w:right="902"/>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w:t>
      </w:r>
      <w:r w:rsidRPr="00560332">
        <w:rPr>
          <w:rFonts w:ascii="Palatino Linotype" w:eastAsia="Palatino Linotype" w:hAnsi="Palatino Linotype" w:cs="Palatino Linotype"/>
          <w:b/>
          <w:i/>
          <w:sz w:val="22"/>
          <w:szCs w:val="22"/>
        </w:rPr>
        <w:t xml:space="preserve">Las solicitudes </w:t>
      </w:r>
      <w:r w:rsidRPr="00560332">
        <w:rPr>
          <w:rFonts w:ascii="Palatino Linotype" w:eastAsia="Palatino Linotype" w:hAnsi="Palatino Linotype" w:cs="Palatino Linotype"/>
          <w:i/>
          <w:sz w:val="22"/>
          <w:szCs w:val="22"/>
        </w:rPr>
        <w:t xml:space="preserve">anónimas, con </w:t>
      </w:r>
      <w:r w:rsidRPr="00560332">
        <w:rPr>
          <w:rFonts w:ascii="Palatino Linotype" w:eastAsia="Palatino Linotype" w:hAnsi="Palatino Linotype" w:cs="Palatino Linotype"/>
          <w:b/>
          <w:i/>
          <w:sz w:val="22"/>
          <w:szCs w:val="22"/>
        </w:rPr>
        <w:t>nombre incompleto o seudónimo</w:t>
      </w:r>
      <w:r w:rsidRPr="00560332">
        <w:rPr>
          <w:rFonts w:ascii="Palatino Linotype" w:eastAsia="Palatino Linotype" w:hAnsi="Palatino Linotype" w:cs="Palatino Linotype"/>
          <w:i/>
          <w:sz w:val="22"/>
          <w:szCs w:val="22"/>
        </w:rPr>
        <w:t xml:space="preserve"> </w:t>
      </w:r>
      <w:r w:rsidRPr="00560332">
        <w:rPr>
          <w:rFonts w:ascii="Palatino Linotype" w:eastAsia="Palatino Linotype" w:hAnsi="Palatino Linotype" w:cs="Palatino Linotype"/>
          <w:b/>
          <w:i/>
          <w:sz w:val="22"/>
          <w:szCs w:val="22"/>
        </w:rPr>
        <w:t>serán procedentes para su trámite por parte del sujeto obligado ante quien se presente</w:t>
      </w:r>
      <w:r w:rsidRPr="00560332">
        <w:rPr>
          <w:rFonts w:ascii="Palatino Linotype" w:eastAsia="Palatino Linotype" w:hAnsi="Palatino Linotype" w:cs="Palatino Linotype"/>
          <w:i/>
          <w:sz w:val="22"/>
          <w:szCs w:val="22"/>
        </w:rPr>
        <w:t>. No podrá requerirse información adicional con motivo del nombre proporcionado por el solicitante."(Sic)</w:t>
      </w:r>
    </w:p>
    <w:p w14:paraId="5C11B957" w14:textId="77777777" w:rsidR="00AF356B" w:rsidRPr="00560332" w:rsidRDefault="001E295A">
      <w:pPr>
        <w:spacing w:before="240" w:after="240" w:line="360" w:lineRule="auto"/>
        <w:ind w:right="49"/>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F0032E5" w14:textId="77777777" w:rsidR="00AF356B" w:rsidRPr="00560332" w:rsidRDefault="001E295A">
      <w:pPr>
        <w:spacing w:before="240" w:after="240"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V  de la ley de la materia, que a la letra dice:</w:t>
      </w:r>
    </w:p>
    <w:p w14:paraId="35AD516F" w14:textId="77777777" w:rsidR="00AF356B" w:rsidRPr="00560332" w:rsidRDefault="001E295A">
      <w:pPr>
        <w:spacing w:line="360" w:lineRule="auto"/>
        <w:ind w:left="851" w:right="1041"/>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w:t>
      </w:r>
      <w:r w:rsidRPr="00560332">
        <w:rPr>
          <w:rFonts w:ascii="Palatino Linotype" w:eastAsia="Palatino Linotype" w:hAnsi="Palatino Linotype" w:cs="Palatino Linotype"/>
          <w:b/>
          <w:i/>
          <w:sz w:val="22"/>
          <w:szCs w:val="22"/>
        </w:rPr>
        <w:t xml:space="preserve">Artículo 179. </w:t>
      </w:r>
      <w:r w:rsidRPr="00560332">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5519EBC9" w14:textId="77777777" w:rsidR="00AF356B" w:rsidRPr="00560332" w:rsidRDefault="001E295A">
      <w:pPr>
        <w:spacing w:line="360" w:lineRule="auto"/>
        <w:ind w:left="851" w:right="1041"/>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lastRenderedPageBreak/>
        <w:t>…</w:t>
      </w:r>
    </w:p>
    <w:p w14:paraId="5E775D67" w14:textId="77777777" w:rsidR="00AF356B" w:rsidRPr="00560332" w:rsidRDefault="001E295A">
      <w:pPr>
        <w:spacing w:line="360" w:lineRule="auto"/>
        <w:ind w:left="851" w:right="1041"/>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V. La entrega de información incompleta </w:t>
      </w:r>
    </w:p>
    <w:p w14:paraId="24471B07" w14:textId="77777777" w:rsidR="00AF356B" w:rsidRPr="00560332" w:rsidRDefault="001E295A">
      <w:pPr>
        <w:spacing w:line="360" w:lineRule="auto"/>
        <w:ind w:left="851" w:right="1041"/>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w:t>
      </w:r>
    </w:p>
    <w:p w14:paraId="56E49084" w14:textId="77777777" w:rsidR="00AF356B" w:rsidRPr="00560332" w:rsidRDefault="001E295A">
      <w:pPr>
        <w:spacing w:before="240" w:after="240"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b/>
          <w:sz w:val="22"/>
          <w:szCs w:val="22"/>
        </w:rPr>
        <w:t xml:space="preserve">Tercero. Materia de la revisión. </w:t>
      </w:r>
      <w:r w:rsidRPr="00560332">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560332">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560332">
        <w:rPr>
          <w:rFonts w:ascii="Palatino Linotype" w:eastAsia="Palatino Linotype" w:hAnsi="Palatino Linotype" w:cs="Palatino Linotype"/>
          <w:sz w:val="22"/>
          <w:szCs w:val="22"/>
        </w:rPr>
        <w:t xml:space="preserve">de la parte </w:t>
      </w:r>
      <w:r w:rsidRPr="00560332">
        <w:rPr>
          <w:rFonts w:ascii="Palatino Linotype" w:eastAsia="Palatino Linotype" w:hAnsi="Palatino Linotype" w:cs="Palatino Linotype"/>
          <w:b/>
          <w:sz w:val="22"/>
          <w:szCs w:val="22"/>
        </w:rPr>
        <w:t>Recurrente</w:t>
      </w:r>
      <w:r w:rsidRPr="00560332">
        <w:rPr>
          <w:rFonts w:ascii="Palatino Linotype" w:eastAsia="Palatino Linotype" w:hAnsi="Palatino Linotype" w:cs="Palatino Linotype"/>
          <w:sz w:val="22"/>
          <w:szCs w:val="22"/>
        </w:rPr>
        <w:t>, o en su defecto, en caso de ser procedente, ordenar la entrega de información.</w:t>
      </w:r>
    </w:p>
    <w:p w14:paraId="198901E8" w14:textId="77777777" w:rsidR="00AF356B" w:rsidRPr="00560332" w:rsidRDefault="001E295A">
      <w:pPr>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b/>
          <w:sz w:val="22"/>
          <w:szCs w:val="22"/>
        </w:rPr>
        <w:t xml:space="preserve">Cuarto. Estudio del asunto. </w:t>
      </w:r>
      <w:r w:rsidRPr="00560332">
        <w:rPr>
          <w:rFonts w:ascii="Palatino Linotype" w:eastAsia="Palatino Linotype" w:hAnsi="Palatino Linotype" w:cs="Palatino Linotype"/>
          <w:sz w:val="22"/>
          <w:szCs w:val="22"/>
        </w:rPr>
        <w:t xml:space="preserve">En principio, es conveniente analizar si la respuesta como el informe justificado del </w:t>
      </w:r>
      <w:r w:rsidRPr="00560332">
        <w:rPr>
          <w:rFonts w:ascii="Palatino Linotype" w:eastAsia="Palatino Linotype" w:hAnsi="Palatino Linotype" w:cs="Palatino Linotype"/>
          <w:b/>
          <w:sz w:val="22"/>
          <w:szCs w:val="22"/>
        </w:rPr>
        <w:t>SUJETO OBLIGADO</w:t>
      </w:r>
      <w:r w:rsidRPr="00560332">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381ACE9D" w14:textId="77777777" w:rsidR="00AF356B" w:rsidRPr="00560332" w:rsidRDefault="00AF356B">
      <w:pPr>
        <w:spacing w:line="360" w:lineRule="auto"/>
        <w:jc w:val="both"/>
        <w:rPr>
          <w:rFonts w:ascii="Palatino Linotype" w:eastAsia="Palatino Linotype" w:hAnsi="Palatino Linotype" w:cs="Palatino Linotype"/>
          <w:sz w:val="22"/>
          <w:szCs w:val="22"/>
        </w:rPr>
      </w:pPr>
    </w:p>
    <w:p w14:paraId="777532C0" w14:textId="77777777" w:rsidR="00AF356B" w:rsidRPr="00560332" w:rsidRDefault="001E295A">
      <w:pPr>
        <w:spacing w:line="276" w:lineRule="auto"/>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w:t>
      </w:r>
      <w:r w:rsidRPr="00560332">
        <w:rPr>
          <w:rFonts w:ascii="Palatino Linotype" w:eastAsia="Palatino Linotype" w:hAnsi="Palatino Linotype" w:cs="Palatino Linotype"/>
          <w:b/>
          <w:i/>
          <w:sz w:val="22"/>
          <w:szCs w:val="22"/>
        </w:rPr>
        <w:t>Artículo 4</w:t>
      </w:r>
      <w:r w:rsidRPr="00560332">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628E828" w14:textId="77777777" w:rsidR="00AF356B" w:rsidRPr="00560332" w:rsidRDefault="001E295A">
      <w:pPr>
        <w:spacing w:line="276" w:lineRule="auto"/>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560332">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w:t>
      </w:r>
      <w:r w:rsidRPr="00560332">
        <w:rPr>
          <w:rFonts w:ascii="Palatino Linotype" w:eastAsia="Palatino Linotype" w:hAnsi="Palatino Linotype" w:cs="Palatino Linotype"/>
          <w:i/>
          <w:sz w:val="22"/>
          <w:szCs w:val="22"/>
        </w:rPr>
        <w:lastRenderedPageBreak/>
        <w:t>Transparencia y Acceso a la Información Pública del Estado de México y Municipios 29 como reservada temporalmente por razones de interés público, en los términos de las causas legítimas y estrictamente necesarias previstas por esta Ley.</w:t>
      </w:r>
    </w:p>
    <w:p w14:paraId="4A5F42D6" w14:textId="77777777" w:rsidR="00AF356B" w:rsidRPr="00560332" w:rsidRDefault="001E295A">
      <w:pPr>
        <w:spacing w:line="276" w:lineRule="auto"/>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560332">
        <w:rPr>
          <w:rFonts w:ascii="Palatino Linotype" w:eastAsia="Palatino Linotype" w:hAnsi="Palatino Linotype" w:cs="Palatino Linotype"/>
          <w:i/>
          <w:sz w:val="22"/>
          <w:szCs w:val="22"/>
        </w:rPr>
        <w:t>.”</w:t>
      </w:r>
    </w:p>
    <w:p w14:paraId="4393F2B2" w14:textId="77777777" w:rsidR="00AF356B" w:rsidRPr="00560332" w:rsidRDefault="00AF356B">
      <w:pPr>
        <w:spacing w:line="276" w:lineRule="auto"/>
        <w:jc w:val="both"/>
        <w:rPr>
          <w:rFonts w:ascii="Palatino Linotype" w:eastAsia="Palatino Linotype" w:hAnsi="Palatino Linotype" w:cs="Palatino Linotype"/>
          <w:sz w:val="22"/>
          <w:szCs w:val="22"/>
        </w:rPr>
      </w:pPr>
    </w:p>
    <w:p w14:paraId="1DD2602C" w14:textId="77777777" w:rsidR="00AF356B" w:rsidRPr="00560332" w:rsidRDefault="001E295A">
      <w:pPr>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AC032BB" w14:textId="77777777" w:rsidR="00AF356B" w:rsidRPr="00560332" w:rsidRDefault="00AF356B">
      <w:pPr>
        <w:spacing w:line="360" w:lineRule="auto"/>
        <w:jc w:val="both"/>
        <w:rPr>
          <w:rFonts w:ascii="Palatino Linotype" w:eastAsia="Palatino Linotype" w:hAnsi="Palatino Linotype" w:cs="Palatino Linotype"/>
          <w:sz w:val="22"/>
          <w:szCs w:val="22"/>
        </w:rPr>
      </w:pPr>
    </w:p>
    <w:p w14:paraId="2A66F2FF" w14:textId="77777777" w:rsidR="00AF356B" w:rsidRPr="00560332" w:rsidRDefault="001E295A">
      <w:pPr>
        <w:spacing w:line="276" w:lineRule="auto"/>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b/>
          <w:i/>
          <w:sz w:val="22"/>
          <w:szCs w:val="22"/>
        </w:rPr>
        <w:t>“Artículo 12.-</w:t>
      </w:r>
      <w:r w:rsidRPr="00560332">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A84E9EB" w14:textId="77777777" w:rsidR="00AF356B" w:rsidRPr="00560332" w:rsidRDefault="00AF356B">
      <w:pPr>
        <w:spacing w:line="276" w:lineRule="auto"/>
        <w:ind w:left="567" w:right="616"/>
        <w:jc w:val="both"/>
        <w:rPr>
          <w:rFonts w:ascii="Palatino Linotype" w:eastAsia="Palatino Linotype" w:hAnsi="Palatino Linotype" w:cs="Palatino Linotype"/>
          <w:i/>
          <w:sz w:val="22"/>
          <w:szCs w:val="22"/>
        </w:rPr>
      </w:pPr>
    </w:p>
    <w:p w14:paraId="680EA892" w14:textId="77777777" w:rsidR="00AF356B" w:rsidRPr="00560332" w:rsidRDefault="001E295A">
      <w:pPr>
        <w:spacing w:line="276" w:lineRule="auto"/>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560332">
        <w:rPr>
          <w:rFonts w:ascii="Palatino Linotype" w:eastAsia="Palatino Linotype" w:hAnsi="Palatino Linotype" w:cs="Palatino Linotype"/>
          <w:i/>
          <w:sz w:val="22"/>
          <w:szCs w:val="22"/>
        </w:rPr>
        <w:t xml:space="preserve">. </w:t>
      </w:r>
      <w:r w:rsidRPr="00560332">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1565DED4" w14:textId="77777777" w:rsidR="00AF356B" w:rsidRPr="00560332" w:rsidRDefault="00AF356B">
      <w:pPr>
        <w:spacing w:line="360" w:lineRule="auto"/>
        <w:ind w:right="-93"/>
        <w:jc w:val="both"/>
        <w:rPr>
          <w:rFonts w:ascii="Palatino Linotype" w:eastAsia="Palatino Linotype" w:hAnsi="Palatino Linotype" w:cs="Palatino Linotype"/>
          <w:sz w:val="22"/>
          <w:szCs w:val="22"/>
        </w:rPr>
      </w:pPr>
    </w:p>
    <w:p w14:paraId="0022332D" w14:textId="77777777" w:rsidR="00AF356B" w:rsidRPr="00560332" w:rsidRDefault="001E295A">
      <w:pPr>
        <w:spacing w:line="360" w:lineRule="auto"/>
        <w:ind w:right="-93"/>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3B11F5C1" w14:textId="77777777" w:rsidR="00AF356B" w:rsidRPr="00560332" w:rsidRDefault="00AF356B">
      <w:pPr>
        <w:spacing w:line="360" w:lineRule="auto"/>
        <w:ind w:right="-93"/>
        <w:jc w:val="both"/>
        <w:rPr>
          <w:rFonts w:ascii="Palatino Linotype" w:eastAsia="Palatino Linotype" w:hAnsi="Palatino Linotype" w:cs="Palatino Linotype"/>
          <w:sz w:val="22"/>
          <w:szCs w:val="22"/>
        </w:rPr>
      </w:pPr>
    </w:p>
    <w:p w14:paraId="3B0DADA1" w14:textId="77777777" w:rsidR="00AF356B" w:rsidRPr="00560332" w:rsidRDefault="001E295A">
      <w:pPr>
        <w:spacing w:line="360" w:lineRule="auto"/>
        <w:ind w:right="-93"/>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560332">
        <w:rPr>
          <w:rFonts w:ascii="Palatino Linotype" w:eastAsia="Palatino Linotype" w:hAnsi="Palatino Linotype" w:cs="Palatino Linotype"/>
          <w:b/>
          <w:sz w:val="22"/>
          <w:szCs w:val="22"/>
        </w:rPr>
        <w:t xml:space="preserve"> </w:t>
      </w:r>
    </w:p>
    <w:p w14:paraId="16CACA6A" w14:textId="77777777" w:rsidR="00AF356B" w:rsidRPr="00560332" w:rsidRDefault="00AF356B">
      <w:pPr>
        <w:spacing w:line="360" w:lineRule="auto"/>
        <w:jc w:val="both"/>
        <w:rPr>
          <w:rFonts w:ascii="Palatino Linotype" w:eastAsia="Palatino Linotype" w:hAnsi="Palatino Linotype" w:cs="Palatino Linotype"/>
          <w:b/>
          <w:sz w:val="22"/>
          <w:szCs w:val="22"/>
        </w:rPr>
      </w:pPr>
    </w:p>
    <w:p w14:paraId="7CC3FE93" w14:textId="77777777" w:rsidR="00AF356B" w:rsidRPr="00560332" w:rsidRDefault="001E295A">
      <w:pP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w:t>
      </w:r>
      <w:r w:rsidRPr="00560332">
        <w:rPr>
          <w:rFonts w:ascii="Palatino Linotype" w:eastAsia="Palatino Linotype" w:hAnsi="Palatino Linotype" w:cs="Palatino Linotype"/>
          <w:b/>
          <w:i/>
          <w:sz w:val="22"/>
          <w:szCs w:val="22"/>
        </w:rPr>
        <w:t>No existe obligación de elaborar documentos ad hoc para atender las solicitudes de acceso a la información.</w:t>
      </w:r>
      <w:r w:rsidRPr="00560332">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60A44D8" w14:textId="77777777" w:rsidR="00AF356B" w:rsidRPr="00560332" w:rsidRDefault="00AF356B">
      <w:pPr>
        <w:spacing w:line="360" w:lineRule="auto"/>
        <w:ind w:right="-93"/>
        <w:jc w:val="both"/>
        <w:rPr>
          <w:rFonts w:ascii="Palatino Linotype" w:eastAsia="Palatino Linotype" w:hAnsi="Palatino Linotype" w:cs="Palatino Linotype"/>
          <w:sz w:val="22"/>
          <w:szCs w:val="22"/>
        </w:rPr>
      </w:pPr>
    </w:p>
    <w:p w14:paraId="52FFB443" w14:textId="77777777" w:rsidR="00AF356B" w:rsidRPr="00560332" w:rsidRDefault="001E295A">
      <w:pPr>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6B3451C" w14:textId="77777777" w:rsidR="00AF356B" w:rsidRPr="00560332" w:rsidRDefault="00AF356B">
      <w:pPr>
        <w:spacing w:line="360" w:lineRule="auto"/>
        <w:jc w:val="both"/>
        <w:rPr>
          <w:rFonts w:ascii="Palatino Linotype" w:eastAsia="Palatino Linotype" w:hAnsi="Palatino Linotype" w:cs="Palatino Linotype"/>
          <w:sz w:val="22"/>
          <w:szCs w:val="22"/>
        </w:rPr>
      </w:pPr>
    </w:p>
    <w:p w14:paraId="166F03B0" w14:textId="77777777" w:rsidR="00AF356B" w:rsidRPr="00560332" w:rsidRDefault="001E295A">
      <w:pPr>
        <w:spacing w:line="360" w:lineRule="auto"/>
        <w:ind w:right="49"/>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BED3979" w14:textId="77777777" w:rsidR="00AF356B" w:rsidRPr="00560332" w:rsidRDefault="00AF356B">
      <w:pPr>
        <w:spacing w:line="360" w:lineRule="auto"/>
        <w:ind w:right="49"/>
        <w:jc w:val="both"/>
        <w:rPr>
          <w:rFonts w:ascii="Palatino Linotype" w:eastAsia="Palatino Linotype" w:hAnsi="Palatino Linotype" w:cs="Palatino Linotype"/>
          <w:sz w:val="22"/>
          <w:szCs w:val="22"/>
        </w:rPr>
      </w:pPr>
    </w:p>
    <w:p w14:paraId="16C2BC30" w14:textId="77777777" w:rsidR="00AF356B" w:rsidRPr="00560332" w:rsidRDefault="001E295A">
      <w:pPr>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7BA4020" w14:textId="77777777" w:rsidR="00AF356B" w:rsidRPr="00560332" w:rsidRDefault="00AF356B">
      <w:pPr>
        <w:spacing w:line="360" w:lineRule="auto"/>
        <w:ind w:left="567" w:right="616"/>
        <w:jc w:val="both"/>
        <w:rPr>
          <w:rFonts w:ascii="Palatino Linotype" w:eastAsia="Palatino Linotype" w:hAnsi="Palatino Linotype" w:cs="Palatino Linotype"/>
          <w:i/>
          <w:sz w:val="22"/>
          <w:szCs w:val="22"/>
        </w:rPr>
      </w:pPr>
    </w:p>
    <w:p w14:paraId="4F3AD86D" w14:textId="77777777" w:rsidR="00AF356B" w:rsidRPr="00560332" w:rsidRDefault="001E295A">
      <w:pP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w:t>
      </w:r>
      <w:r w:rsidRPr="00560332">
        <w:rPr>
          <w:rFonts w:ascii="Palatino Linotype" w:eastAsia="Palatino Linotype" w:hAnsi="Palatino Linotype" w:cs="Palatino Linotype"/>
          <w:b/>
          <w:i/>
          <w:sz w:val="22"/>
          <w:szCs w:val="22"/>
        </w:rPr>
        <w:t xml:space="preserve">Artículo 3. </w:t>
      </w:r>
      <w:r w:rsidRPr="00560332">
        <w:rPr>
          <w:rFonts w:ascii="Palatino Linotype" w:eastAsia="Palatino Linotype" w:hAnsi="Palatino Linotype" w:cs="Palatino Linotype"/>
          <w:i/>
          <w:sz w:val="22"/>
          <w:szCs w:val="22"/>
        </w:rPr>
        <w:t>Para los efectos de la presente Ley se entenderá por:</w:t>
      </w:r>
    </w:p>
    <w:p w14:paraId="1F8DAE68" w14:textId="77777777" w:rsidR="00AF356B" w:rsidRPr="00560332" w:rsidRDefault="001E295A">
      <w:pP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w:t>
      </w:r>
    </w:p>
    <w:p w14:paraId="19689956" w14:textId="77777777" w:rsidR="00AF356B" w:rsidRPr="00560332" w:rsidRDefault="001E295A">
      <w:pP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b/>
          <w:i/>
          <w:sz w:val="22"/>
          <w:szCs w:val="22"/>
        </w:rPr>
        <w:t>XI. Documento:</w:t>
      </w:r>
      <w:r w:rsidRPr="00560332">
        <w:rPr>
          <w:rFonts w:ascii="Palatino Linotype" w:eastAsia="Palatino Linotype" w:hAnsi="Palatino Linotype" w:cs="Palatino Linotype"/>
          <w:i/>
          <w:sz w:val="22"/>
          <w:szCs w:val="22"/>
        </w:rPr>
        <w:t xml:space="preserve"> Los expedientes, reportes, estudios, actas</w:t>
      </w:r>
      <w:r w:rsidRPr="00560332">
        <w:rPr>
          <w:rFonts w:ascii="Palatino Linotype" w:eastAsia="Palatino Linotype" w:hAnsi="Palatino Linotype" w:cs="Palatino Linotype"/>
          <w:b/>
          <w:i/>
          <w:sz w:val="22"/>
          <w:szCs w:val="22"/>
        </w:rPr>
        <w:t>,</w:t>
      </w:r>
      <w:r w:rsidRPr="00560332">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CCF2BA4" w14:textId="77777777" w:rsidR="00AF356B" w:rsidRPr="00560332" w:rsidRDefault="00AF356B">
      <w:pPr>
        <w:spacing w:line="360" w:lineRule="auto"/>
        <w:ind w:left="851" w:right="899"/>
        <w:jc w:val="both"/>
        <w:rPr>
          <w:rFonts w:ascii="Palatino Linotype" w:eastAsia="Palatino Linotype" w:hAnsi="Palatino Linotype" w:cs="Palatino Linotype"/>
          <w:sz w:val="22"/>
          <w:szCs w:val="22"/>
        </w:rPr>
      </w:pPr>
    </w:p>
    <w:p w14:paraId="12CA23A6" w14:textId="77777777" w:rsidR="00AF356B" w:rsidRPr="00560332" w:rsidRDefault="001E295A">
      <w:pPr>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FC64E73" w14:textId="77777777" w:rsidR="00AF356B" w:rsidRPr="00560332" w:rsidRDefault="00AF356B">
      <w:pPr>
        <w:spacing w:line="360" w:lineRule="auto"/>
        <w:jc w:val="both"/>
        <w:rPr>
          <w:rFonts w:ascii="Palatino Linotype" w:eastAsia="Palatino Linotype" w:hAnsi="Palatino Linotype" w:cs="Palatino Linotype"/>
          <w:sz w:val="22"/>
          <w:szCs w:val="22"/>
        </w:rPr>
      </w:pPr>
    </w:p>
    <w:p w14:paraId="25BC85FE" w14:textId="77777777" w:rsidR="00AF356B" w:rsidRPr="00560332" w:rsidRDefault="001E295A">
      <w:pPr>
        <w:ind w:left="567" w:right="616"/>
        <w:jc w:val="both"/>
        <w:rPr>
          <w:rFonts w:ascii="Palatino Linotype" w:eastAsia="Palatino Linotype" w:hAnsi="Palatino Linotype" w:cs="Palatino Linotype"/>
          <w:b/>
          <w:i/>
          <w:sz w:val="22"/>
          <w:szCs w:val="22"/>
        </w:rPr>
      </w:pPr>
      <w:r w:rsidRPr="00560332">
        <w:rPr>
          <w:rFonts w:ascii="Palatino Linotype" w:eastAsia="Palatino Linotype" w:hAnsi="Palatino Linotype" w:cs="Palatino Linotype"/>
          <w:b/>
          <w:sz w:val="22"/>
          <w:szCs w:val="22"/>
        </w:rPr>
        <w:t>“</w:t>
      </w:r>
      <w:r w:rsidRPr="00560332">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560332">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w:t>
      </w:r>
      <w:r w:rsidRPr="00560332">
        <w:rPr>
          <w:rFonts w:ascii="Palatino Linotype" w:eastAsia="Palatino Linotype" w:hAnsi="Palatino Linotype" w:cs="Palatino Linotype"/>
          <w:i/>
          <w:sz w:val="22"/>
          <w:szCs w:val="22"/>
        </w:rPr>
        <w:lastRenderedPageBreak/>
        <w:t>del ejercicio de sus funciones de derecho público, sin importar su fuente, soporte o fecha de elaboración.</w:t>
      </w:r>
    </w:p>
    <w:p w14:paraId="4C6D309F" w14:textId="77777777" w:rsidR="00AF356B" w:rsidRPr="00560332" w:rsidRDefault="001E295A">
      <w:pP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3EF2B51" w14:textId="77777777" w:rsidR="00AF356B" w:rsidRPr="00560332" w:rsidRDefault="001E295A">
      <w:pP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595D76F3" w14:textId="77777777" w:rsidR="00AF356B" w:rsidRPr="00560332" w:rsidRDefault="001E295A">
      <w:pPr>
        <w:ind w:left="567" w:right="616"/>
        <w:jc w:val="both"/>
        <w:rPr>
          <w:rFonts w:ascii="Palatino Linotype" w:eastAsia="Palatino Linotype" w:hAnsi="Palatino Linotype" w:cs="Palatino Linotype"/>
          <w:b/>
          <w:i/>
          <w:sz w:val="22"/>
          <w:szCs w:val="22"/>
        </w:rPr>
      </w:pPr>
      <w:r w:rsidRPr="00560332">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71A92EC7" w14:textId="77777777" w:rsidR="00AF356B" w:rsidRPr="00560332" w:rsidRDefault="001E295A">
      <w:pPr>
        <w:ind w:left="567" w:right="616"/>
        <w:jc w:val="both"/>
        <w:rPr>
          <w:rFonts w:ascii="Palatino Linotype" w:eastAsia="Palatino Linotype" w:hAnsi="Palatino Linotype" w:cs="Palatino Linotype"/>
          <w:b/>
          <w:i/>
          <w:sz w:val="22"/>
          <w:szCs w:val="22"/>
        </w:rPr>
      </w:pPr>
      <w:r w:rsidRPr="00560332">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027474B8" w14:textId="77777777" w:rsidR="00AF356B" w:rsidRPr="00560332" w:rsidRDefault="00AF356B">
      <w:pPr>
        <w:tabs>
          <w:tab w:val="left" w:pos="8647"/>
        </w:tabs>
        <w:spacing w:line="360" w:lineRule="auto"/>
        <w:jc w:val="both"/>
        <w:rPr>
          <w:rFonts w:ascii="Palatino Linotype" w:eastAsia="Palatino Linotype" w:hAnsi="Palatino Linotype" w:cs="Palatino Linotype"/>
          <w:b/>
          <w:sz w:val="22"/>
          <w:szCs w:val="22"/>
        </w:rPr>
      </w:pPr>
    </w:p>
    <w:p w14:paraId="48AE6406" w14:textId="77777777" w:rsidR="00AF356B" w:rsidRPr="00560332" w:rsidRDefault="001E295A">
      <w:pPr>
        <w:spacing w:after="240" w:line="360" w:lineRule="auto"/>
        <w:jc w:val="both"/>
        <w:rPr>
          <w:rFonts w:ascii="Palatino Linotype" w:eastAsia="Palatino Linotype" w:hAnsi="Palatino Linotype" w:cs="Palatino Linotype"/>
          <w:b/>
          <w:sz w:val="22"/>
          <w:szCs w:val="22"/>
        </w:rPr>
      </w:pPr>
      <w:r w:rsidRPr="00560332">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Pr="00560332">
        <w:rPr>
          <w:rFonts w:ascii="Palatino Linotype" w:eastAsia="Palatino Linotype" w:hAnsi="Palatino Linotype" w:cs="Palatino Linotype"/>
          <w:b/>
          <w:sz w:val="22"/>
          <w:szCs w:val="22"/>
        </w:rPr>
        <w:t>Ayuntamiento de Toluca lo siguiente:</w:t>
      </w:r>
    </w:p>
    <w:p w14:paraId="65402853" w14:textId="77777777" w:rsidR="00AF356B" w:rsidRPr="00560332" w:rsidRDefault="001E295A">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60332">
        <w:rPr>
          <w:rFonts w:ascii="Palatino Linotype" w:eastAsia="Palatino Linotype" w:hAnsi="Palatino Linotype" w:cs="Palatino Linotype"/>
          <w:b/>
          <w:sz w:val="22"/>
          <w:szCs w:val="22"/>
        </w:rPr>
        <w:t>Programa y estrategias de seguridad de municipio para reducir la inseguridad, del uno de enero al siete de marzo de dos mil veinticinco</w:t>
      </w:r>
    </w:p>
    <w:p w14:paraId="6957E971" w14:textId="77777777" w:rsidR="00AF356B" w:rsidRPr="00560332" w:rsidRDefault="001E295A">
      <w:pPr>
        <w:numPr>
          <w:ilvl w:val="0"/>
          <w:numId w:val="3"/>
        </w:numPr>
        <w:pBdr>
          <w:top w:val="nil"/>
          <w:left w:val="nil"/>
          <w:bottom w:val="nil"/>
          <w:right w:val="nil"/>
          <w:between w:val="nil"/>
        </w:pBdr>
        <w:spacing w:after="240" w:line="360" w:lineRule="auto"/>
        <w:jc w:val="both"/>
        <w:rPr>
          <w:rFonts w:ascii="Palatino Linotype" w:eastAsia="Palatino Linotype" w:hAnsi="Palatino Linotype" w:cs="Palatino Linotype"/>
          <w:b/>
          <w:sz w:val="22"/>
          <w:szCs w:val="22"/>
        </w:rPr>
      </w:pPr>
      <w:r w:rsidRPr="00560332">
        <w:rPr>
          <w:rFonts w:ascii="Palatino Linotype" w:eastAsia="Palatino Linotype" w:hAnsi="Palatino Linotype" w:cs="Palatino Linotype"/>
          <w:b/>
          <w:sz w:val="22"/>
          <w:szCs w:val="22"/>
        </w:rPr>
        <w:t xml:space="preserve">Expediente del Comisario y de sus Directores Operativos  </w:t>
      </w:r>
    </w:p>
    <w:p w14:paraId="6CA38677" w14:textId="77777777" w:rsidR="00AF356B" w:rsidRPr="00560332" w:rsidRDefault="00AF356B">
      <w:pPr>
        <w:ind w:left="567" w:right="843"/>
        <w:jc w:val="both"/>
        <w:rPr>
          <w:rFonts w:ascii="Palatino Linotype" w:eastAsia="Palatino Linotype" w:hAnsi="Palatino Linotype" w:cs="Palatino Linotype"/>
          <w:i/>
          <w:sz w:val="22"/>
          <w:szCs w:val="22"/>
        </w:rPr>
      </w:pPr>
    </w:p>
    <w:p w14:paraId="586A6B14" w14:textId="77777777" w:rsidR="00AF356B" w:rsidRPr="00560332" w:rsidRDefault="001E295A">
      <w:pPr>
        <w:spacing w:line="360" w:lineRule="auto"/>
        <w:ind w:right="-7"/>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El Sujeto Obligado en su respuesta entregó los siguientes documentos electrónicos:</w:t>
      </w:r>
    </w:p>
    <w:p w14:paraId="059AD52E" w14:textId="77777777" w:rsidR="00AF356B" w:rsidRPr="00560332" w:rsidRDefault="001E295A">
      <w:pPr>
        <w:numPr>
          <w:ilvl w:val="0"/>
          <w:numId w:val="4"/>
        </w:num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b/>
          <w:sz w:val="22"/>
          <w:szCs w:val="22"/>
        </w:rPr>
        <w:t>AYON MONSALVE JORGE ALBERTO.pdf;</w:t>
      </w:r>
      <w:r w:rsidRPr="00560332">
        <w:rPr>
          <w:rFonts w:ascii="Palatino Linotype" w:eastAsia="Palatino Linotype" w:hAnsi="Palatino Linotype" w:cs="Palatino Linotype"/>
          <w:sz w:val="22"/>
          <w:szCs w:val="22"/>
        </w:rPr>
        <w:t xml:space="preserve"> Documento que se integra por 5 páginas que contiene la ficha curricular, certificado de no deudor alimentario moroso; aviso de movimiento de alta; constancia de no inhabilitación y Título de Licenciado en Administración Militar de Jorge Alberto </w:t>
      </w:r>
      <w:proofErr w:type="spellStart"/>
      <w:r w:rsidRPr="00560332">
        <w:rPr>
          <w:rFonts w:ascii="Palatino Linotype" w:eastAsia="Palatino Linotype" w:hAnsi="Palatino Linotype" w:cs="Palatino Linotype"/>
          <w:sz w:val="22"/>
          <w:szCs w:val="22"/>
        </w:rPr>
        <w:t>Ayon</w:t>
      </w:r>
      <w:proofErr w:type="spellEnd"/>
      <w:r w:rsidRPr="00560332">
        <w:rPr>
          <w:rFonts w:ascii="Palatino Linotype" w:eastAsia="Palatino Linotype" w:hAnsi="Palatino Linotype" w:cs="Palatino Linotype"/>
          <w:sz w:val="22"/>
          <w:szCs w:val="22"/>
        </w:rPr>
        <w:t xml:space="preserve"> Monsalve. </w:t>
      </w:r>
    </w:p>
    <w:p w14:paraId="1FF1034E" w14:textId="77777777" w:rsidR="00AF356B" w:rsidRPr="00560332" w:rsidRDefault="001E295A">
      <w:pPr>
        <w:numPr>
          <w:ilvl w:val="0"/>
          <w:numId w:val="4"/>
        </w:numPr>
        <w:pBdr>
          <w:top w:val="nil"/>
          <w:left w:val="nil"/>
          <w:bottom w:val="nil"/>
          <w:right w:val="nil"/>
          <w:between w:val="nil"/>
        </w:pBdr>
        <w:spacing w:line="360" w:lineRule="auto"/>
        <w:ind w:right="-7"/>
        <w:jc w:val="both"/>
        <w:rPr>
          <w:rFonts w:ascii="Palatino Linotype" w:eastAsia="Palatino Linotype" w:hAnsi="Palatino Linotype" w:cs="Palatino Linotype"/>
          <w:b/>
          <w:sz w:val="22"/>
          <w:szCs w:val="22"/>
        </w:rPr>
      </w:pPr>
      <w:r w:rsidRPr="00560332">
        <w:rPr>
          <w:rFonts w:ascii="Palatino Linotype" w:eastAsia="Palatino Linotype" w:hAnsi="Palatino Linotype" w:cs="Palatino Linotype"/>
          <w:b/>
          <w:sz w:val="22"/>
          <w:szCs w:val="22"/>
        </w:rPr>
        <w:t xml:space="preserve">ALVAREZ OROZCO JOSE LUIS.pdf: </w:t>
      </w:r>
      <w:r w:rsidRPr="00560332">
        <w:rPr>
          <w:rFonts w:ascii="Palatino Linotype" w:eastAsia="Palatino Linotype" w:hAnsi="Palatino Linotype" w:cs="Palatino Linotype"/>
          <w:sz w:val="22"/>
          <w:szCs w:val="22"/>
        </w:rPr>
        <w:t>Documento que se integra por 5 páginas que contiene la ficha curricular, certificado de no deudor alimentario moroso; aviso de movimiento de alta; constancia de no inhabilitación y Título de Licenciado en Derecho de José Luis Álvarez Orozco.</w:t>
      </w:r>
    </w:p>
    <w:p w14:paraId="7C1886A6" w14:textId="77777777" w:rsidR="00AF356B" w:rsidRPr="00560332" w:rsidRDefault="001E295A">
      <w:pPr>
        <w:numPr>
          <w:ilvl w:val="0"/>
          <w:numId w:val="4"/>
        </w:numPr>
        <w:pBdr>
          <w:top w:val="nil"/>
          <w:left w:val="nil"/>
          <w:bottom w:val="nil"/>
          <w:right w:val="nil"/>
          <w:between w:val="nil"/>
        </w:pBdr>
        <w:spacing w:line="360" w:lineRule="auto"/>
        <w:ind w:right="-7"/>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b/>
          <w:sz w:val="22"/>
          <w:szCs w:val="22"/>
        </w:rPr>
        <w:lastRenderedPageBreak/>
        <w:t>SAIMEX 01405 (2).</w:t>
      </w:r>
      <w:proofErr w:type="spellStart"/>
      <w:r w:rsidRPr="00560332">
        <w:rPr>
          <w:rFonts w:ascii="Palatino Linotype" w:eastAsia="Palatino Linotype" w:hAnsi="Palatino Linotype" w:cs="Palatino Linotype"/>
          <w:b/>
          <w:sz w:val="22"/>
          <w:szCs w:val="22"/>
        </w:rPr>
        <w:t>pdf</w:t>
      </w:r>
      <w:proofErr w:type="spellEnd"/>
      <w:r w:rsidRPr="00560332">
        <w:rPr>
          <w:rFonts w:ascii="Palatino Linotype" w:eastAsia="Palatino Linotype" w:hAnsi="Palatino Linotype" w:cs="Palatino Linotype"/>
          <w:b/>
          <w:sz w:val="22"/>
          <w:szCs w:val="22"/>
        </w:rPr>
        <w:t xml:space="preserve">: </w:t>
      </w:r>
      <w:r w:rsidRPr="00560332">
        <w:rPr>
          <w:rFonts w:ascii="Palatino Linotype" w:eastAsia="Palatino Linotype" w:hAnsi="Palatino Linotype" w:cs="Palatino Linotype"/>
          <w:sz w:val="22"/>
          <w:szCs w:val="22"/>
        </w:rPr>
        <w:t>Documento que se integra de tres páginas que contiene ficha curricular de Alberto Antonio Corona Garrido.</w:t>
      </w:r>
    </w:p>
    <w:p w14:paraId="53F27ACD" w14:textId="77777777" w:rsidR="00AF356B" w:rsidRPr="00560332" w:rsidRDefault="00AF356B">
      <w:pPr>
        <w:spacing w:line="360" w:lineRule="auto"/>
        <w:ind w:right="-7"/>
        <w:jc w:val="both"/>
        <w:rPr>
          <w:rFonts w:ascii="Palatino Linotype" w:eastAsia="Palatino Linotype" w:hAnsi="Palatino Linotype" w:cs="Palatino Linotype"/>
          <w:sz w:val="22"/>
          <w:szCs w:val="22"/>
        </w:rPr>
      </w:pPr>
    </w:p>
    <w:p w14:paraId="185DE4EA" w14:textId="77777777" w:rsidR="00AF356B" w:rsidRPr="00560332" w:rsidRDefault="001E295A">
      <w:pPr>
        <w:pBdr>
          <w:top w:val="nil"/>
          <w:left w:val="nil"/>
          <w:bottom w:val="nil"/>
          <w:right w:val="nil"/>
          <w:between w:val="nil"/>
        </w:pBdr>
        <w:spacing w:line="360" w:lineRule="auto"/>
        <w:ind w:right="49"/>
        <w:jc w:val="both"/>
      </w:pPr>
      <w:r w:rsidRPr="00560332">
        <w:rPr>
          <w:rFonts w:ascii="Palatino Linotype" w:eastAsia="Palatino Linotype" w:hAnsi="Palatino Linotype" w:cs="Palatino Linotype"/>
          <w:sz w:val="22"/>
          <w:szCs w:val="22"/>
        </w:rPr>
        <w:t>Dicho lo anterior, en principio es de recordar que, quien dio atención a la solicitud de información fue la Dirección General de Administración y el Titular de la Dirección General de Seguridad y Protección situación por la que, de acuerdo con el artículo 162 de la Ley de Transparencia y Acceso a la Información Pública del Estado de México y Municipios, se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w:t>
      </w:r>
    </w:p>
    <w:p w14:paraId="6523A1B3" w14:textId="77777777" w:rsidR="00AF356B" w:rsidRPr="00560332" w:rsidRDefault="00AF356B">
      <w:pPr>
        <w:spacing w:line="360" w:lineRule="auto"/>
      </w:pPr>
    </w:p>
    <w:p w14:paraId="22FF2ED0" w14:textId="77777777" w:rsidR="00AF356B" w:rsidRPr="00560332" w:rsidRDefault="001E295A">
      <w:pPr>
        <w:pBdr>
          <w:top w:val="nil"/>
          <w:left w:val="nil"/>
          <w:bottom w:val="nil"/>
          <w:right w:val="nil"/>
          <w:between w:val="nil"/>
        </w:pBdr>
        <w:spacing w:line="360" w:lineRule="auto"/>
        <w:jc w:val="both"/>
      </w:pPr>
      <w:r w:rsidRPr="00560332">
        <w:rPr>
          <w:rFonts w:ascii="Palatino Linotype" w:eastAsia="Palatino Linotype" w:hAnsi="Palatino Linotype" w:cs="Palatino Linotype"/>
          <w:sz w:val="22"/>
          <w:szCs w:val="22"/>
        </w:rPr>
        <w:t xml:space="preserve">En ese sentido, según Jarquín, Soledad (2019), en el “Diccionario de Transparencia y Acceso a la Información Pública” (p. 68), </w:t>
      </w:r>
      <w:r w:rsidRPr="00560332">
        <w:rPr>
          <w:rFonts w:ascii="Palatino Linotype" w:eastAsia="Palatino Linotype" w:hAnsi="Palatino Linotype" w:cs="Palatino Linotype"/>
          <w:b/>
          <w:sz w:val="22"/>
          <w:szCs w:val="22"/>
        </w:rPr>
        <w:t>la búsqueda exhaustiva</w:t>
      </w:r>
      <w:r w:rsidRPr="00560332">
        <w:rPr>
          <w:rFonts w:ascii="Palatino Linotype" w:eastAsia="Palatino Linotype" w:hAnsi="Palatino Linotype" w:cs="Palatino Linotype"/>
          <w:sz w:val="22"/>
          <w:szCs w:val="22"/>
        </w:rPr>
        <w:t xml:space="preserve"> es la obligación del área administrativa del Sujeto Obligado que cuenta o puede contar con la información requerida, la cual consiste en localizar toda aquella que atienda la solicitud, hasta agotar por completo las posibilidades de indagación.</w:t>
      </w:r>
    </w:p>
    <w:p w14:paraId="32B3B2C9" w14:textId="77777777" w:rsidR="00AF356B" w:rsidRPr="00560332" w:rsidRDefault="00AF356B">
      <w:pPr>
        <w:spacing w:line="360" w:lineRule="auto"/>
      </w:pPr>
    </w:p>
    <w:p w14:paraId="32DE9EF7" w14:textId="77777777" w:rsidR="00AF356B" w:rsidRPr="00560332" w:rsidRDefault="001E295A">
      <w:pPr>
        <w:pBdr>
          <w:top w:val="nil"/>
          <w:left w:val="nil"/>
          <w:bottom w:val="nil"/>
          <w:right w:val="nil"/>
          <w:between w:val="nil"/>
        </w:pBdr>
        <w:spacing w:line="360" w:lineRule="auto"/>
        <w:ind w:right="49"/>
        <w:jc w:val="both"/>
      </w:pPr>
      <w:r w:rsidRPr="00560332">
        <w:rPr>
          <w:rFonts w:ascii="Palatino Linotype" w:eastAsia="Palatino Linotype" w:hAnsi="Palatino Linotype" w:cs="Palatino Linotype"/>
          <w:sz w:val="22"/>
          <w:szCs w:val="22"/>
        </w:rPr>
        <w:t xml:space="preserve">Por ello, es de referir que el Ente Recurrido turnó la solicitud de información a la unidad administrativa competente, la cual de conformidad con el Código Reglamentario del </w:t>
      </w:r>
      <w:r w:rsidRPr="00560332">
        <w:rPr>
          <w:rFonts w:ascii="Palatino Linotype" w:eastAsia="Palatino Linotype" w:hAnsi="Palatino Linotype" w:cs="Palatino Linotype"/>
          <w:b/>
          <w:sz w:val="22"/>
          <w:szCs w:val="22"/>
        </w:rPr>
        <w:t>Sujeto Obligado</w:t>
      </w:r>
      <w:r w:rsidRPr="00560332">
        <w:rPr>
          <w:rFonts w:ascii="Palatino Linotype" w:eastAsia="Palatino Linotype" w:hAnsi="Palatino Linotype" w:cs="Palatino Linotype"/>
          <w:sz w:val="22"/>
          <w:szCs w:val="22"/>
        </w:rPr>
        <w:t>, cuenta con las siguientes atribuciones: </w:t>
      </w:r>
    </w:p>
    <w:p w14:paraId="21852A52" w14:textId="77777777" w:rsidR="00AF356B" w:rsidRPr="00560332" w:rsidRDefault="00AF356B"/>
    <w:p w14:paraId="0CB5554C" w14:textId="77777777" w:rsidR="00AF356B" w:rsidRPr="00560332" w:rsidRDefault="001E295A">
      <w:pPr>
        <w:pBdr>
          <w:top w:val="nil"/>
          <w:left w:val="nil"/>
          <w:bottom w:val="nil"/>
          <w:right w:val="nil"/>
          <w:between w:val="nil"/>
        </w:pBdr>
        <w:ind w:left="567" w:right="560"/>
        <w:jc w:val="center"/>
      </w:pPr>
      <w:r w:rsidRPr="00560332">
        <w:rPr>
          <w:rFonts w:ascii="Palatino Linotype" w:eastAsia="Palatino Linotype" w:hAnsi="Palatino Linotype" w:cs="Palatino Linotype"/>
          <w:b/>
          <w:i/>
          <w:sz w:val="22"/>
          <w:szCs w:val="22"/>
        </w:rPr>
        <w:t>DE LA DIRECCIÓN GENERAL DE ADMINISTRACIÓN</w:t>
      </w:r>
    </w:p>
    <w:p w14:paraId="2395FF5B" w14:textId="77777777" w:rsidR="00AF356B" w:rsidRPr="00560332" w:rsidRDefault="001E295A">
      <w:pPr>
        <w:pBdr>
          <w:top w:val="nil"/>
          <w:left w:val="nil"/>
          <w:bottom w:val="nil"/>
          <w:right w:val="nil"/>
          <w:between w:val="nil"/>
        </w:pBdr>
        <w:ind w:left="567" w:right="560"/>
        <w:jc w:val="both"/>
      </w:pPr>
      <w:r w:rsidRPr="00560332">
        <w:rPr>
          <w:rFonts w:ascii="Palatino Linotype" w:eastAsia="Palatino Linotype" w:hAnsi="Palatino Linotype" w:cs="Palatino Linotype"/>
          <w:i/>
          <w:sz w:val="22"/>
          <w:szCs w:val="22"/>
        </w:rPr>
        <w:t>“</w:t>
      </w:r>
      <w:r w:rsidRPr="00560332">
        <w:rPr>
          <w:rFonts w:ascii="Palatino Linotype" w:eastAsia="Palatino Linotype" w:hAnsi="Palatino Linotype" w:cs="Palatino Linotype"/>
          <w:b/>
          <w:i/>
          <w:sz w:val="22"/>
          <w:szCs w:val="22"/>
        </w:rPr>
        <w:t>Artículo 3.40</w:t>
      </w:r>
      <w:r w:rsidRPr="00560332">
        <w:rPr>
          <w:rFonts w:ascii="Palatino Linotype" w:eastAsia="Palatino Linotype" w:hAnsi="Palatino Linotype" w:cs="Palatino Linotype"/>
          <w:i/>
          <w:sz w:val="22"/>
          <w:szCs w:val="22"/>
        </w:rPr>
        <w:t>. La o el titular de la Dirección General de Administración, tiene las siguientes atribuciones:</w:t>
      </w:r>
    </w:p>
    <w:p w14:paraId="4C72091E" w14:textId="77777777" w:rsidR="00AF356B" w:rsidRPr="00560332" w:rsidRDefault="001E295A">
      <w:pPr>
        <w:pBdr>
          <w:top w:val="nil"/>
          <w:left w:val="nil"/>
          <w:bottom w:val="nil"/>
          <w:right w:val="nil"/>
          <w:between w:val="nil"/>
        </w:pBdr>
        <w:ind w:left="567" w:right="560"/>
        <w:jc w:val="both"/>
      </w:pPr>
      <w:r w:rsidRPr="00560332">
        <w:rPr>
          <w:rFonts w:ascii="Palatino Linotype" w:eastAsia="Palatino Linotype" w:hAnsi="Palatino Linotype" w:cs="Palatino Linotype"/>
          <w:i/>
          <w:sz w:val="22"/>
          <w:szCs w:val="22"/>
        </w:rPr>
        <w:t>I. Coordinar y dirigir los sistemas de reclutamiento, selección, contratación e inducción y desarrollo de personal;</w:t>
      </w:r>
    </w:p>
    <w:p w14:paraId="4DD4B38B" w14:textId="77777777" w:rsidR="00AF356B" w:rsidRPr="00560332" w:rsidRDefault="001E295A">
      <w:pPr>
        <w:pBdr>
          <w:top w:val="nil"/>
          <w:left w:val="nil"/>
          <w:bottom w:val="nil"/>
          <w:right w:val="nil"/>
          <w:between w:val="nil"/>
        </w:pBdr>
        <w:ind w:left="567" w:right="560"/>
        <w:jc w:val="both"/>
      </w:pPr>
      <w:r w:rsidRPr="00560332">
        <w:rPr>
          <w:rFonts w:ascii="Palatino Linotype" w:eastAsia="Palatino Linotype" w:hAnsi="Palatino Linotype" w:cs="Palatino Linotype"/>
          <w:i/>
          <w:sz w:val="22"/>
          <w:szCs w:val="22"/>
        </w:rPr>
        <w:lastRenderedPageBreak/>
        <w:t>III. Autorizar las altas, bajas, cambios, permisos, licencias, comisiones del personal entre otras, para su trámite y efectos;</w:t>
      </w:r>
    </w:p>
    <w:p w14:paraId="73F8A7B2" w14:textId="77777777" w:rsidR="00AF356B" w:rsidRPr="00560332" w:rsidRDefault="001E295A">
      <w:pPr>
        <w:pBdr>
          <w:top w:val="nil"/>
          <w:left w:val="nil"/>
          <w:bottom w:val="nil"/>
          <w:right w:val="nil"/>
          <w:between w:val="nil"/>
        </w:pBdr>
        <w:ind w:left="567" w:right="560"/>
        <w:jc w:val="both"/>
      </w:pPr>
      <w:r w:rsidRPr="00560332">
        <w:rPr>
          <w:rFonts w:ascii="Palatino Linotype" w:eastAsia="Palatino Linotype" w:hAnsi="Palatino Linotype" w:cs="Palatino Linotype"/>
          <w:i/>
          <w:sz w:val="22"/>
          <w:szCs w:val="22"/>
        </w:rPr>
        <w:t>…</w:t>
      </w:r>
    </w:p>
    <w:p w14:paraId="25464D74" w14:textId="77777777" w:rsidR="00AF356B" w:rsidRPr="00560332" w:rsidRDefault="001E295A">
      <w:pPr>
        <w:pBdr>
          <w:top w:val="nil"/>
          <w:left w:val="nil"/>
          <w:bottom w:val="nil"/>
          <w:right w:val="nil"/>
          <w:between w:val="nil"/>
        </w:pBdr>
        <w:ind w:left="567" w:right="560"/>
        <w:jc w:val="center"/>
      </w:pPr>
      <w:r w:rsidRPr="00560332">
        <w:rPr>
          <w:rFonts w:ascii="Palatino Linotype" w:eastAsia="Palatino Linotype" w:hAnsi="Palatino Linotype" w:cs="Palatino Linotype"/>
          <w:b/>
          <w:i/>
          <w:sz w:val="22"/>
          <w:szCs w:val="22"/>
        </w:rPr>
        <w:t>DE LA DIRECCIÓN DE RECURSOS HUMANOS</w:t>
      </w:r>
    </w:p>
    <w:p w14:paraId="1516234D" w14:textId="77777777" w:rsidR="00AF356B" w:rsidRPr="00560332" w:rsidRDefault="001E295A">
      <w:pPr>
        <w:pBdr>
          <w:top w:val="nil"/>
          <w:left w:val="nil"/>
          <w:bottom w:val="nil"/>
          <w:right w:val="nil"/>
          <w:between w:val="nil"/>
        </w:pBdr>
        <w:ind w:left="567" w:right="560"/>
        <w:jc w:val="both"/>
      </w:pPr>
      <w:r w:rsidRPr="00560332">
        <w:rPr>
          <w:rFonts w:ascii="Palatino Linotype" w:eastAsia="Palatino Linotype" w:hAnsi="Palatino Linotype" w:cs="Palatino Linotype"/>
          <w:b/>
          <w:i/>
          <w:sz w:val="22"/>
          <w:szCs w:val="22"/>
        </w:rPr>
        <w:t>Artículo 3.42</w:t>
      </w:r>
      <w:r w:rsidRPr="00560332">
        <w:rPr>
          <w:rFonts w:ascii="Palatino Linotype" w:eastAsia="Palatino Linotype" w:hAnsi="Palatino Linotype" w:cs="Palatino Linotype"/>
          <w:i/>
          <w:sz w:val="22"/>
          <w:szCs w:val="22"/>
        </w:rPr>
        <w:t>. La o el titular de la Dirección de Recursos Humanos cuenta con las siguientes atribuciones: </w:t>
      </w:r>
    </w:p>
    <w:p w14:paraId="0D54F161" w14:textId="77777777" w:rsidR="00AF356B" w:rsidRPr="00560332" w:rsidRDefault="001E295A">
      <w:pPr>
        <w:pBdr>
          <w:top w:val="nil"/>
          <w:left w:val="nil"/>
          <w:bottom w:val="nil"/>
          <w:right w:val="nil"/>
          <w:between w:val="nil"/>
        </w:pBdr>
        <w:ind w:left="567" w:right="560"/>
        <w:jc w:val="both"/>
      </w:pPr>
      <w:r w:rsidRPr="00560332">
        <w:rPr>
          <w:rFonts w:ascii="Palatino Linotype" w:eastAsia="Palatino Linotype" w:hAnsi="Palatino Linotype" w:cs="Palatino Linotype"/>
          <w:i/>
          <w:sz w:val="22"/>
          <w:szCs w:val="22"/>
        </w:rPr>
        <w:t>I. Elaborar, operar y mejorar los procedimientos administrativos de control para la selección, reclutamiento, contratación, escalafón, capacitación, retiro, sanción, comisión y desarrollo del personal al servicio del Municipio;</w:t>
      </w:r>
    </w:p>
    <w:p w14:paraId="0EBCD6C1" w14:textId="77777777" w:rsidR="00AF356B" w:rsidRPr="00560332" w:rsidRDefault="001E295A">
      <w:pPr>
        <w:pBdr>
          <w:top w:val="nil"/>
          <w:left w:val="nil"/>
          <w:bottom w:val="nil"/>
          <w:right w:val="nil"/>
          <w:between w:val="nil"/>
        </w:pBdr>
        <w:ind w:left="567" w:right="560"/>
        <w:jc w:val="both"/>
      </w:pPr>
      <w:r w:rsidRPr="00560332">
        <w:rPr>
          <w:rFonts w:ascii="Palatino Linotype" w:eastAsia="Palatino Linotype" w:hAnsi="Palatino Linotype" w:cs="Palatino Linotype"/>
          <w:i/>
          <w:sz w:val="22"/>
          <w:szCs w:val="22"/>
        </w:rPr>
        <w:t>… </w:t>
      </w:r>
    </w:p>
    <w:p w14:paraId="7D876CA5" w14:textId="77777777" w:rsidR="00AF356B" w:rsidRPr="00560332" w:rsidRDefault="001E295A">
      <w:pPr>
        <w:pBdr>
          <w:top w:val="nil"/>
          <w:left w:val="nil"/>
          <w:bottom w:val="nil"/>
          <w:right w:val="nil"/>
          <w:between w:val="nil"/>
        </w:pBdr>
        <w:ind w:left="567" w:right="560"/>
        <w:jc w:val="both"/>
      </w:pPr>
      <w:r w:rsidRPr="00560332">
        <w:rPr>
          <w:rFonts w:ascii="Palatino Linotype" w:eastAsia="Palatino Linotype" w:hAnsi="Palatino Linotype" w:cs="Palatino Linotype"/>
          <w:i/>
          <w:sz w:val="22"/>
          <w:szCs w:val="22"/>
        </w:rPr>
        <w:t>IV. Aplicar las disposiciones legales laborales que rigen al personal del Ayuntamiento;</w:t>
      </w:r>
    </w:p>
    <w:p w14:paraId="4F600188" w14:textId="77777777" w:rsidR="00AF356B" w:rsidRPr="00560332" w:rsidRDefault="001E295A">
      <w:pPr>
        <w:pBdr>
          <w:top w:val="nil"/>
          <w:left w:val="nil"/>
          <w:bottom w:val="nil"/>
          <w:right w:val="nil"/>
          <w:between w:val="nil"/>
        </w:pBdr>
        <w:ind w:left="567" w:right="560"/>
        <w:jc w:val="both"/>
      </w:pPr>
      <w:r w:rsidRPr="00560332">
        <w:rPr>
          <w:rFonts w:ascii="Palatino Linotype" w:eastAsia="Palatino Linotype" w:hAnsi="Palatino Linotype" w:cs="Palatino Linotype"/>
          <w:i/>
          <w:sz w:val="22"/>
          <w:szCs w:val="22"/>
        </w:rPr>
        <w:t>V. Registrar las altas, reingresos, bajas, cambios de categoría y adscripción, permisos y licencias por incapacidad, entre otras, del personal, y su correcta aplicación;</w:t>
      </w:r>
    </w:p>
    <w:p w14:paraId="3127A788" w14:textId="77777777" w:rsidR="00AF356B" w:rsidRPr="00560332" w:rsidRDefault="001E295A">
      <w:pPr>
        <w:pBdr>
          <w:top w:val="nil"/>
          <w:left w:val="nil"/>
          <w:bottom w:val="nil"/>
          <w:right w:val="nil"/>
          <w:between w:val="nil"/>
        </w:pBdr>
        <w:ind w:left="567" w:right="560"/>
        <w:jc w:val="both"/>
      </w:pPr>
      <w:r w:rsidRPr="00560332">
        <w:rPr>
          <w:rFonts w:ascii="Palatino Linotype" w:eastAsia="Palatino Linotype" w:hAnsi="Palatino Linotype" w:cs="Palatino Linotype"/>
          <w:i/>
          <w:sz w:val="22"/>
          <w:szCs w:val="22"/>
        </w:rPr>
        <w:t>…”</w:t>
      </w:r>
    </w:p>
    <w:p w14:paraId="5952E02D" w14:textId="77777777" w:rsidR="00AF356B" w:rsidRPr="00560332" w:rsidRDefault="001E295A">
      <w:pPr>
        <w:pBdr>
          <w:top w:val="nil"/>
          <w:left w:val="nil"/>
          <w:bottom w:val="nil"/>
          <w:right w:val="nil"/>
          <w:between w:val="nil"/>
        </w:pBdr>
        <w:ind w:left="567" w:right="560"/>
        <w:jc w:val="both"/>
      </w:pPr>
      <w:r w:rsidRPr="00560332">
        <w:rPr>
          <w:rFonts w:ascii="Palatino Linotype" w:eastAsia="Palatino Linotype" w:hAnsi="Palatino Linotype" w:cs="Palatino Linotype"/>
          <w:i/>
          <w:sz w:val="22"/>
          <w:szCs w:val="22"/>
        </w:rPr>
        <w:t>(Énfasis Añadido)</w:t>
      </w:r>
    </w:p>
    <w:p w14:paraId="5B6EFB08" w14:textId="77777777" w:rsidR="00AF356B" w:rsidRPr="00560332" w:rsidRDefault="00AF356B"/>
    <w:p w14:paraId="4BA15632" w14:textId="77777777" w:rsidR="00AF356B" w:rsidRPr="00560332" w:rsidRDefault="00AF356B"/>
    <w:p w14:paraId="07749269" w14:textId="77777777" w:rsidR="00AF356B" w:rsidRPr="00560332" w:rsidRDefault="00AF356B"/>
    <w:p w14:paraId="1E217C3F" w14:textId="77777777" w:rsidR="00AF356B" w:rsidRPr="00560332" w:rsidRDefault="001E295A">
      <w:pPr>
        <w:ind w:left="567" w:right="843"/>
        <w:jc w:val="both"/>
        <w:rPr>
          <w:rFonts w:ascii="Palatino Linotype" w:eastAsia="Palatino Linotype" w:hAnsi="Palatino Linotype" w:cs="Palatino Linotype"/>
          <w:b/>
          <w:i/>
          <w:sz w:val="22"/>
          <w:szCs w:val="22"/>
        </w:rPr>
      </w:pPr>
      <w:r w:rsidRPr="00560332">
        <w:rPr>
          <w:rFonts w:ascii="Palatino Linotype" w:eastAsia="Palatino Linotype" w:hAnsi="Palatino Linotype" w:cs="Palatino Linotype"/>
          <w:b/>
          <w:i/>
          <w:sz w:val="22"/>
          <w:szCs w:val="22"/>
        </w:rPr>
        <w:t xml:space="preserve">SECCIÓN SÉPTIMA </w:t>
      </w:r>
    </w:p>
    <w:p w14:paraId="05A835E9" w14:textId="77777777" w:rsidR="00AF356B" w:rsidRPr="00560332" w:rsidRDefault="001E295A">
      <w:pPr>
        <w:ind w:left="567" w:right="843"/>
        <w:jc w:val="both"/>
        <w:rPr>
          <w:rFonts w:ascii="Palatino Linotype" w:eastAsia="Palatino Linotype" w:hAnsi="Palatino Linotype" w:cs="Palatino Linotype"/>
          <w:b/>
          <w:i/>
          <w:sz w:val="22"/>
          <w:szCs w:val="22"/>
        </w:rPr>
      </w:pPr>
      <w:r w:rsidRPr="00560332">
        <w:rPr>
          <w:rFonts w:ascii="Palatino Linotype" w:eastAsia="Palatino Linotype" w:hAnsi="Palatino Linotype" w:cs="Palatino Linotype"/>
          <w:b/>
          <w:i/>
          <w:sz w:val="22"/>
          <w:szCs w:val="22"/>
        </w:rPr>
        <w:t xml:space="preserve">DE LA DIRECCIÓN GENERAL DE SEGURIDAD Y PROTECCIÓN </w:t>
      </w:r>
    </w:p>
    <w:p w14:paraId="2128E7E4" w14:textId="77777777" w:rsidR="00AF356B" w:rsidRPr="00560332" w:rsidRDefault="001E295A">
      <w:pPr>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Artículo 3.31. La o el titular de la Dirección General de Seguridad y Protección tiene las siguientes atribuciones:</w:t>
      </w:r>
    </w:p>
    <w:p w14:paraId="3954CACE" w14:textId="77777777" w:rsidR="00AF356B" w:rsidRPr="00560332" w:rsidRDefault="00AF356B">
      <w:pPr>
        <w:ind w:left="567" w:right="843"/>
        <w:jc w:val="both"/>
        <w:rPr>
          <w:rFonts w:ascii="Palatino Linotype" w:eastAsia="Palatino Linotype" w:hAnsi="Palatino Linotype" w:cs="Palatino Linotype"/>
          <w:i/>
          <w:sz w:val="22"/>
          <w:szCs w:val="22"/>
        </w:rPr>
      </w:pPr>
    </w:p>
    <w:p w14:paraId="04F5046D" w14:textId="77777777" w:rsidR="00AF356B" w:rsidRPr="00560332" w:rsidRDefault="001E295A">
      <w:pPr>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I. Salvaguardar la integridad y derechos de las personas, así́ como preservar las libertades, el orden y la paz públicos; </w:t>
      </w:r>
    </w:p>
    <w:p w14:paraId="46B776EE" w14:textId="77777777" w:rsidR="00AF356B" w:rsidRPr="00560332" w:rsidRDefault="001E295A">
      <w:pPr>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II. Garantizar la protección de las propiedades y posesiones de las personas dentro del Municipio; </w:t>
      </w:r>
    </w:p>
    <w:p w14:paraId="075A5E2F" w14:textId="77777777" w:rsidR="00AF356B" w:rsidRPr="00560332" w:rsidRDefault="001E295A">
      <w:pPr>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III. Organizar, operar, supervisar y controlar el cuerpo de seguridad pública municipal; </w:t>
      </w:r>
    </w:p>
    <w:p w14:paraId="30DBDCC2" w14:textId="77777777" w:rsidR="00AF356B" w:rsidRPr="00560332" w:rsidRDefault="001E295A">
      <w:pPr>
        <w:ind w:left="567" w:right="843"/>
        <w:jc w:val="both"/>
        <w:rPr>
          <w:rFonts w:ascii="Palatino Linotype" w:eastAsia="Palatino Linotype" w:hAnsi="Palatino Linotype" w:cs="Palatino Linotype"/>
          <w:b/>
          <w:i/>
          <w:sz w:val="22"/>
          <w:szCs w:val="22"/>
        </w:rPr>
      </w:pPr>
      <w:r w:rsidRPr="00560332">
        <w:rPr>
          <w:rFonts w:ascii="Palatino Linotype" w:eastAsia="Palatino Linotype" w:hAnsi="Palatino Linotype" w:cs="Palatino Linotype"/>
          <w:b/>
          <w:i/>
          <w:sz w:val="22"/>
          <w:szCs w:val="22"/>
        </w:rPr>
        <w:t>IV. Otorgar la seguridad pública en el Municipio;</w:t>
      </w:r>
    </w:p>
    <w:p w14:paraId="7DB0D457" w14:textId="77777777" w:rsidR="00AF356B" w:rsidRPr="00560332" w:rsidRDefault="001E295A">
      <w:pPr>
        <w:ind w:left="567" w:right="843"/>
        <w:jc w:val="both"/>
        <w:rPr>
          <w:rFonts w:ascii="Palatino Linotype" w:eastAsia="Palatino Linotype" w:hAnsi="Palatino Linotype" w:cs="Palatino Linotype"/>
          <w:b/>
          <w:i/>
          <w:sz w:val="22"/>
          <w:szCs w:val="22"/>
        </w:rPr>
      </w:pPr>
      <w:r w:rsidRPr="00560332">
        <w:rPr>
          <w:rFonts w:ascii="Palatino Linotype" w:eastAsia="Palatino Linotype" w:hAnsi="Palatino Linotype" w:cs="Palatino Linotype"/>
          <w:b/>
          <w:i/>
          <w:sz w:val="22"/>
          <w:szCs w:val="22"/>
        </w:rPr>
        <w:t xml:space="preserve">V. Proponer el proyecto de Programa Municipal de Seguridad Pública; </w:t>
      </w:r>
    </w:p>
    <w:p w14:paraId="03CF13F5" w14:textId="77777777" w:rsidR="00AF356B" w:rsidRPr="00560332" w:rsidRDefault="001E295A">
      <w:pPr>
        <w:ind w:left="567" w:right="843"/>
        <w:jc w:val="both"/>
        <w:rPr>
          <w:rFonts w:ascii="Palatino Linotype" w:eastAsia="Palatino Linotype" w:hAnsi="Palatino Linotype" w:cs="Palatino Linotype"/>
          <w:b/>
          <w:i/>
          <w:sz w:val="22"/>
          <w:szCs w:val="22"/>
        </w:rPr>
      </w:pPr>
      <w:r w:rsidRPr="00560332">
        <w:rPr>
          <w:rFonts w:ascii="Palatino Linotype" w:eastAsia="Palatino Linotype" w:hAnsi="Palatino Linotype" w:cs="Palatino Linotype"/>
          <w:b/>
          <w:i/>
          <w:sz w:val="22"/>
          <w:szCs w:val="22"/>
        </w:rPr>
        <w:t xml:space="preserve">VI. Instrumentar programas de seguridad pública considerando en todo momento la participación de los vecinos, habitantes y autoridades auxiliares municipales; </w:t>
      </w:r>
    </w:p>
    <w:p w14:paraId="3A3D4558" w14:textId="77777777" w:rsidR="00AF356B" w:rsidRPr="00560332" w:rsidRDefault="001E295A">
      <w:pPr>
        <w:ind w:left="567" w:right="843"/>
        <w:jc w:val="both"/>
        <w:rPr>
          <w:rFonts w:ascii="Palatino Linotype" w:eastAsia="Palatino Linotype" w:hAnsi="Palatino Linotype" w:cs="Palatino Linotype"/>
          <w:b/>
          <w:i/>
          <w:sz w:val="22"/>
          <w:szCs w:val="22"/>
        </w:rPr>
      </w:pPr>
      <w:r w:rsidRPr="00560332">
        <w:rPr>
          <w:rFonts w:ascii="Palatino Linotype" w:eastAsia="Palatino Linotype" w:hAnsi="Palatino Linotype" w:cs="Palatino Linotype"/>
          <w:b/>
          <w:i/>
          <w:sz w:val="22"/>
          <w:szCs w:val="22"/>
        </w:rPr>
        <w:t xml:space="preserve">VII. Establecer mecanismos de coordinación con organismos federales, estatales y municipales, tendientes a intercambiar acciones y programas para el desarrollo de las funciones de seguridad pública y vial; </w:t>
      </w:r>
    </w:p>
    <w:p w14:paraId="5B9A024E" w14:textId="77777777" w:rsidR="00AF356B" w:rsidRPr="00560332" w:rsidRDefault="001E295A">
      <w:pPr>
        <w:ind w:left="567" w:right="843"/>
        <w:jc w:val="both"/>
        <w:rPr>
          <w:rFonts w:ascii="Palatino Linotype" w:eastAsia="Palatino Linotype" w:hAnsi="Palatino Linotype" w:cs="Palatino Linotype"/>
          <w:b/>
          <w:i/>
          <w:sz w:val="22"/>
          <w:szCs w:val="22"/>
        </w:rPr>
      </w:pPr>
      <w:r w:rsidRPr="00560332">
        <w:rPr>
          <w:rFonts w:ascii="Palatino Linotype" w:eastAsia="Palatino Linotype" w:hAnsi="Palatino Linotype" w:cs="Palatino Linotype"/>
          <w:b/>
          <w:i/>
          <w:sz w:val="22"/>
          <w:szCs w:val="22"/>
        </w:rPr>
        <w:t xml:space="preserve">VIII. Vigilar la ejecución de programas, proyectos y acciones en materia de seguridad pública, así́ como de tránsito y vialidad; </w:t>
      </w:r>
    </w:p>
    <w:p w14:paraId="3E575329" w14:textId="77777777" w:rsidR="00AF356B" w:rsidRPr="00560332" w:rsidRDefault="001E295A">
      <w:pPr>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lastRenderedPageBreak/>
        <w:t xml:space="preserve">IX. Proporcionar elementos de seguridad pública en los eventos públicos de competencia municipal; </w:t>
      </w:r>
    </w:p>
    <w:p w14:paraId="371E2A28" w14:textId="77777777" w:rsidR="00AF356B" w:rsidRPr="00560332" w:rsidRDefault="001E295A">
      <w:pPr>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X. Auxiliar a las autoridades federales, estatales y municipales en el desarrollo de los procesos electorales; </w:t>
      </w:r>
    </w:p>
    <w:p w14:paraId="1B440757" w14:textId="77777777" w:rsidR="00AF356B" w:rsidRPr="00560332" w:rsidRDefault="001E295A">
      <w:pPr>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XI. Poner a disposición de las autoridades respectivas a las personas que infrinjan los ordenamientos legales de carácter federal, estatal o municipal; </w:t>
      </w:r>
    </w:p>
    <w:p w14:paraId="1BDA6109" w14:textId="77777777" w:rsidR="00AF356B" w:rsidRPr="00560332" w:rsidRDefault="001E295A">
      <w:pPr>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XII. Colaborar en el ámbito de su competencia en operativos que involucren a transporte público de pasajeros; </w:t>
      </w:r>
    </w:p>
    <w:p w14:paraId="23C9543D" w14:textId="77777777" w:rsidR="00AF356B" w:rsidRPr="00560332" w:rsidRDefault="001E295A">
      <w:pPr>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XIII. Generar informes y estadística sobre actividades delictivas en el municipio; </w:t>
      </w:r>
    </w:p>
    <w:p w14:paraId="7DB163F3" w14:textId="77777777" w:rsidR="00AF356B" w:rsidRPr="00560332" w:rsidRDefault="001E295A">
      <w:pPr>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XIV. Vigilar el cumplimiento de las disposiciones legales en materia de tránsito y coordinarse con las instancias de tránsito federal, estatal o municipal, para la realización de operativos conjuntos; </w:t>
      </w:r>
    </w:p>
    <w:p w14:paraId="19545F89" w14:textId="77777777" w:rsidR="00AF356B" w:rsidRPr="00560332" w:rsidRDefault="001E295A">
      <w:pPr>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XV. Implementar las medidas conducentes para la administración, vigilancia y control del tránsito en las vías públicas y en la infraestructura ciclista de jurisdicción municipal; </w:t>
      </w:r>
    </w:p>
    <w:p w14:paraId="54E1C0CB" w14:textId="77777777" w:rsidR="00AF356B" w:rsidRPr="00560332" w:rsidRDefault="001E295A">
      <w:pPr>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XVI. Establecer las restricciones para el tránsito de vehículos automotores y no motorizados en la vía pública municipal, con el propósito de mejorar la circulación, preservar el medio ambiente, salvaguardar la seguridad de las personas, sus bienes, el orden público y en apoyo a los programas en materia ciclista y de peatonalización para el impulso del desarrollo económico, cultural y educativo; </w:t>
      </w:r>
    </w:p>
    <w:p w14:paraId="73AE0429" w14:textId="77777777" w:rsidR="00AF356B" w:rsidRPr="00560332" w:rsidRDefault="001E295A">
      <w:pPr>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XVII. Sancionar, a través de las agentes de tránsito, a los conductores de vehículos que infrinjan el Reglamento de Tránsito, el Bando Municipal de Toluca y el presente Código Reglamentario Municipal de Toluca; </w:t>
      </w:r>
    </w:p>
    <w:p w14:paraId="75E27F9E" w14:textId="77777777" w:rsidR="00AF356B" w:rsidRPr="00560332" w:rsidRDefault="001E295A">
      <w:pPr>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XVIII. Resguardar, liberar y depurar documentos, placas de circulación o vehículos retenidos para garantizar el pago de infracciones; </w:t>
      </w:r>
    </w:p>
    <w:p w14:paraId="0D46D1CE" w14:textId="77777777" w:rsidR="00AF356B" w:rsidRPr="00560332" w:rsidRDefault="001E295A">
      <w:pPr>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XIX. Expedir constancia de no infracción, a solicitud de las o los interesados, previa verificación en archivos de los departamentos a su cargo, de que no existe infracción vigente de documentos o placas solicitadas; </w:t>
      </w:r>
    </w:p>
    <w:p w14:paraId="70EB739F" w14:textId="77777777" w:rsidR="00AF356B" w:rsidRPr="00560332" w:rsidRDefault="001E295A">
      <w:pPr>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XX. Coordinar y supervisar las actividades de los agentes de tránsito; </w:t>
      </w:r>
    </w:p>
    <w:p w14:paraId="13BF85EA" w14:textId="77777777" w:rsidR="00AF356B" w:rsidRPr="00560332" w:rsidRDefault="001E295A">
      <w:pPr>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XXI. Realizar acciones relativas a la prestación y operación de los servicios públicos de vialidad, infraestructura ciclista y dispositivos de control de tránsito en el municipio; </w:t>
      </w:r>
    </w:p>
    <w:p w14:paraId="35810BE5" w14:textId="77777777" w:rsidR="00AF356B" w:rsidRPr="00560332" w:rsidRDefault="001E295A">
      <w:pPr>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XXII. Gestionar y coordinar la implementación de proyectos de vialidad, infraestructura ciclista y transporte, estableciendo los mecanismos de comunicación con instituciones públicas y privadas; </w:t>
      </w:r>
    </w:p>
    <w:p w14:paraId="32B21846" w14:textId="77777777" w:rsidR="00AF356B" w:rsidRPr="00560332" w:rsidRDefault="001E295A">
      <w:pPr>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XXIII. Proponer, solicitar o implementar cambios de sentido en la circulación, adecuaciones geométricas, semaforización de intersecciones e instalación de reductores de velocidad previo estudio que justifique las medidas; </w:t>
      </w:r>
    </w:p>
    <w:p w14:paraId="755A053A" w14:textId="77777777" w:rsidR="00AF356B" w:rsidRPr="00560332" w:rsidRDefault="001E295A">
      <w:pPr>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XXIV. Expedir o negar la autorización del uso de vías públicas para la realización de actividades de particulares, como son el cierre u obstrucción de vialidades, </w:t>
      </w:r>
      <w:r w:rsidRPr="00560332">
        <w:rPr>
          <w:rFonts w:ascii="Palatino Linotype" w:eastAsia="Palatino Linotype" w:hAnsi="Palatino Linotype" w:cs="Palatino Linotype"/>
          <w:i/>
          <w:sz w:val="22"/>
          <w:szCs w:val="22"/>
        </w:rPr>
        <w:lastRenderedPageBreak/>
        <w:t xml:space="preserve">funcionamiento de juegos mecánicos, actividades comerciales, deportivas, culturales o maniobras de carga y descarga y el servicio público de transporte. El pago de derechos por el uso de la vía pública será de conformidad con lo establecido en el artículo 154 del Código Financiero del Estado de México y Municipios; </w:t>
      </w:r>
    </w:p>
    <w:p w14:paraId="19876D12" w14:textId="77777777" w:rsidR="00AF356B" w:rsidRPr="00560332" w:rsidRDefault="001E295A">
      <w:pPr>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XXV. Vigilar y mantener la operación del sistema municipal de semáforos; así́ como del Sistema del Centro de Control de Tránsito y Vialidad; </w:t>
      </w:r>
    </w:p>
    <w:p w14:paraId="7B700DB3" w14:textId="77777777" w:rsidR="00AF356B" w:rsidRPr="00560332" w:rsidRDefault="001E295A">
      <w:pPr>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XXVI. Operar el servicio telefónico de emergencia; </w:t>
      </w:r>
    </w:p>
    <w:p w14:paraId="14CA74C8" w14:textId="77777777" w:rsidR="00AF356B" w:rsidRPr="00560332" w:rsidRDefault="001E295A">
      <w:pPr>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XXVII. Auxiliarse de las cámaras de vigilancia en la vía pública para la emisión de alertas viales y control de tránsito, así́ como las acciones relativas a la optimización del uso de las vías; </w:t>
      </w:r>
    </w:p>
    <w:p w14:paraId="35EECDBC" w14:textId="77777777" w:rsidR="00AF356B" w:rsidRPr="00560332" w:rsidRDefault="001E295A">
      <w:pPr>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XXVIII. Dictaminar sobre la instalación, retiro o reubicación de paraderos de autobuses, cobertizos, casetas telefónicas, </w:t>
      </w:r>
      <w:proofErr w:type="spellStart"/>
      <w:r w:rsidRPr="00560332">
        <w:rPr>
          <w:rFonts w:ascii="Palatino Linotype" w:eastAsia="Palatino Linotype" w:hAnsi="Palatino Linotype" w:cs="Palatino Linotype"/>
          <w:i/>
          <w:sz w:val="22"/>
          <w:szCs w:val="22"/>
        </w:rPr>
        <w:t>estacionómetros</w:t>
      </w:r>
      <w:proofErr w:type="spellEnd"/>
      <w:r w:rsidRPr="00560332">
        <w:rPr>
          <w:rFonts w:ascii="Palatino Linotype" w:eastAsia="Palatino Linotype" w:hAnsi="Palatino Linotype" w:cs="Palatino Linotype"/>
          <w:i/>
          <w:sz w:val="22"/>
          <w:szCs w:val="22"/>
        </w:rPr>
        <w:t xml:space="preserve"> o puestos de periódicos que se ubiquen en la vía pública; </w:t>
      </w:r>
    </w:p>
    <w:p w14:paraId="25577E2A" w14:textId="77777777" w:rsidR="00AF356B" w:rsidRPr="00560332" w:rsidRDefault="001E295A">
      <w:pPr>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XXIX. Proporcionar las facilidades necesarias para el estacionamiento de vehículos particulares en los que viajen personas con discapacidad, cuando cuenten con la calcomanía o placa correspondiente, en zonas de estacionamiento restringido y cuando no se afecte de manera sustancial el tránsito; </w:t>
      </w:r>
    </w:p>
    <w:p w14:paraId="288FD512" w14:textId="77777777" w:rsidR="00AF356B" w:rsidRPr="00560332" w:rsidRDefault="001E295A">
      <w:pPr>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XXX. Coadyuvar en la implementación de programas de educación vial en coordinación con las diferentes instituciones educativas y sociales; </w:t>
      </w:r>
    </w:p>
    <w:p w14:paraId="30EDD5C7" w14:textId="77777777" w:rsidR="00AF356B" w:rsidRPr="00560332" w:rsidRDefault="001E295A">
      <w:pPr>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XXXI. Atender y resolver las quejas del público sobre la prestación del servicio de los agentes de tránsito, vialidad y personal que labora en esa dependencia; </w:t>
      </w:r>
    </w:p>
    <w:p w14:paraId="2F2EFCA6" w14:textId="77777777" w:rsidR="00AF356B" w:rsidRPr="00560332" w:rsidRDefault="001E295A">
      <w:pPr>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XXXII. Atender, en el ámbito de su competencia, y en su caso turnar a la autoridad correspondiente las quejas e inconformidades presentadas por la población relacionadas con el servicio del transporte público concesionado, así́ como por los diferentes factores que afectan la operación de las vialidades, implementando las medidas y acciones que para tal efecto sean necesarias; </w:t>
      </w:r>
    </w:p>
    <w:p w14:paraId="389F3F7A" w14:textId="77777777" w:rsidR="00AF356B" w:rsidRPr="00560332" w:rsidRDefault="001E295A">
      <w:pPr>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XXXIII. Constituir las Comisiones del Servicio Profesional de Carrera; y de Honor y Justicia, las cuales tendrán las atribuciones que la ley de la materia determina; </w:t>
      </w:r>
    </w:p>
    <w:p w14:paraId="5052F69F" w14:textId="77777777" w:rsidR="00AF356B" w:rsidRPr="00560332" w:rsidRDefault="001E295A">
      <w:pPr>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XXXIV. Instrumentar el sistema municipal de formación y capacitación de las y los agentes de seguridad pública, tránsito y vialidad así́ como de los aspirantes a ingresar al servicio; XXXV. Aplicar las sanciones disciplinarias a las o los agentes de seguridad pública, tránsito y vialidad, conforme a los ordenamientos legales aplicables; </w:t>
      </w:r>
    </w:p>
    <w:p w14:paraId="19CC20A9" w14:textId="77777777" w:rsidR="00AF356B" w:rsidRPr="00560332" w:rsidRDefault="001E295A">
      <w:pPr>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XXXVI. Aplicar a las y los integrantes del cuerpo policiaco municipal, las evaluaciones de control de confianza, así como, vigilar que éstos obtengan el certificado único policial; </w:t>
      </w:r>
    </w:p>
    <w:p w14:paraId="470DA047" w14:textId="77777777" w:rsidR="00AF356B" w:rsidRPr="00560332" w:rsidRDefault="001E295A">
      <w:pPr>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XXXVII. Establecer estrategias para el diseño de información visual y de señalamientos horizontales y verticales de carácter informativo, preventivo y restrictivo en materia de control de tránsito y vialidad; </w:t>
      </w:r>
    </w:p>
    <w:p w14:paraId="70CA9610" w14:textId="77777777" w:rsidR="00AF356B" w:rsidRPr="00560332" w:rsidRDefault="001E295A">
      <w:pPr>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XXXVIII. Coordinar la implementación y operación de los programas en materia de protección civil; y </w:t>
      </w:r>
    </w:p>
    <w:p w14:paraId="26EBCE96" w14:textId="77777777" w:rsidR="00AF356B" w:rsidRPr="00560332" w:rsidRDefault="001E295A">
      <w:pPr>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lastRenderedPageBreak/>
        <w:t xml:space="preserve">XL. Las demás que le confieran otros ordenamientos jurídicos, el H. Ayuntamiento y el presidente municipal. </w:t>
      </w:r>
    </w:p>
    <w:p w14:paraId="3F612430" w14:textId="77777777" w:rsidR="00AF356B" w:rsidRPr="00560332" w:rsidRDefault="00AF356B">
      <w:pPr>
        <w:ind w:left="567" w:right="843"/>
        <w:jc w:val="both"/>
        <w:rPr>
          <w:rFonts w:ascii="Palatino Linotype" w:eastAsia="Palatino Linotype" w:hAnsi="Palatino Linotype" w:cs="Palatino Linotype"/>
          <w:i/>
          <w:sz w:val="22"/>
          <w:szCs w:val="22"/>
        </w:rPr>
      </w:pPr>
    </w:p>
    <w:p w14:paraId="0CB61B29" w14:textId="77777777" w:rsidR="00AF356B" w:rsidRPr="00560332" w:rsidRDefault="001E295A">
      <w:pPr>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La Dirección General de Seguridad y Protección para el cumplimiento de sus atribuciones, se auxiliará de la Dirección de Prevención Comunitaria, de la Dirección de Desarrollo Policial, de la Dirección de Sustentabilidad Vial, de la Dirección de Inteligencia, de la Dirección Operativa, de la Dirección de Desarrollo Tecnológico, de la Dirección Jurídica, de la Coordinación de Protección Civil y Bomberos, y de la Coordinación Administrativa.</w:t>
      </w:r>
    </w:p>
    <w:p w14:paraId="413C9F94" w14:textId="77777777" w:rsidR="00AF356B" w:rsidRPr="00560332" w:rsidRDefault="00AF356B"/>
    <w:p w14:paraId="4DC2C6A2" w14:textId="77777777" w:rsidR="00AF356B" w:rsidRPr="00560332" w:rsidRDefault="00AF356B"/>
    <w:p w14:paraId="444B14D6" w14:textId="77777777" w:rsidR="00AF356B" w:rsidRPr="00560332" w:rsidRDefault="001E295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Es así que, se colige que quien dio atención a la solicitud de información, fueron las unidades administrativas competentes.</w:t>
      </w:r>
    </w:p>
    <w:p w14:paraId="0F6B235F" w14:textId="77777777" w:rsidR="00AF356B" w:rsidRPr="00560332" w:rsidRDefault="00AF356B">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1C38ADE2" w14:textId="77777777" w:rsidR="00AF356B" w:rsidRPr="00560332" w:rsidRDefault="001E295A">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560332">
        <w:rPr>
          <w:rFonts w:ascii="Palatino Linotype" w:eastAsia="Palatino Linotype" w:hAnsi="Palatino Linotype" w:cs="Palatino Linotype"/>
          <w:b/>
          <w:sz w:val="22"/>
          <w:szCs w:val="22"/>
        </w:rPr>
        <w:t>Estrategias de seguridad.</w:t>
      </w:r>
    </w:p>
    <w:p w14:paraId="45737DAF" w14:textId="77777777" w:rsidR="00AF356B" w:rsidRPr="00560332" w:rsidRDefault="00AF356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AA98075" w14:textId="77777777" w:rsidR="00AF356B" w:rsidRPr="00560332" w:rsidRDefault="001E295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Sobre este punto, es necesario señalar  que el Sujeto Obligado fue omiso en realizar un pronunciamiento. Sin embargo, es necesario puntualizar que una estrategia de seguridad pública es un conjunto planificado de acciones, políticas, programas y medidas que diseñan los gobiernos (locales, regionales o nacionales) para prevenir, reducir y controlar la violencia, el crimen y otras amenazas a la seguridad de la población, es decir, dan cuenta de manera pormenorizada de las acciones a realizar por un gobierno, por lo tanto, resulta pertinente señalar que para este punto en particular, podrá invocarse la reserva bajo el supuesto previsto en la fracción I del artículo</w:t>
      </w:r>
      <w:r w:rsidRPr="00560332">
        <w:rPr>
          <w:rFonts w:ascii="Palatino Linotype" w:eastAsia="Palatino Linotype" w:hAnsi="Palatino Linotype" w:cs="Palatino Linotype"/>
          <w:i/>
          <w:sz w:val="22"/>
          <w:szCs w:val="22"/>
        </w:rPr>
        <w:t xml:space="preserve"> </w:t>
      </w:r>
      <w:r w:rsidRPr="00560332">
        <w:rPr>
          <w:rFonts w:ascii="Palatino Linotype" w:eastAsia="Palatino Linotype" w:hAnsi="Palatino Linotype" w:cs="Palatino Linotype"/>
          <w:sz w:val="22"/>
          <w:szCs w:val="22"/>
        </w:rPr>
        <w:t>140 de la Ley de Transparencia y Acceso a la Información Pública del Estado de México y Municipios, que a la letra dice lo siguiente.</w:t>
      </w:r>
    </w:p>
    <w:p w14:paraId="53B1F932" w14:textId="77777777" w:rsidR="00AF356B" w:rsidRPr="00560332" w:rsidRDefault="00AF356B">
      <w:pPr>
        <w:pBdr>
          <w:top w:val="nil"/>
          <w:left w:val="nil"/>
          <w:bottom w:val="nil"/>
          <w:right w:val="nil"/>
          <w:between w:val="nil"/>
        </w:pBdr>
        <w:spacing w:line="276" w:lineRule="auto"/>
        <w:jc w:val="both"/>
      </w:pPr>
    </w:p>
    <w:p w14:paraId="6DB1D432" w14:textId="77777777" w:rsidR="00AF356B" w:rsidRPr="00560332" w:rsidRDefault="001E295A">
      <w:pPr>
        <w:pBdr>
          <w:top w:val="nil"/>
          <w:left w:val="nil"/>
          <w:bottom w:val="nil"/>
          <w:right w:val="nil"/>
          <w:between w:val="nil"/>
        </w:pBdr>
        <w:ind w:left="851" w:right="567"/>
        <w:jc w:val="center"/>
      </w:pPr>
      <w:r w:rsidRPr="00560332">
        <w:rPr>
          <w:rFonts w:ascii="Palatino Linotype" w:eastAsia="Palatino Linotype" w:hAnsi="Palatino Linotype" w:cs="Palatino Linotype"/>
          <w:b/>
          <w:i/>
          <w:sz w:val="22"/>
          <w:szCs w:val="22"/>
        </w:rPr>
        <w:t>“Capítulo II</w:t>
      </w:r>
    </w:p>
    <w:p w14:paraId="5A26649E" w14:textId="77777777" w:rsidR="00AF356B" w:rsidRPr="00560332" w:rsidRDefault="001E295A">
      <w:pPr>
        <w:pBdr>
          <w:top w:val="nil"/>
          <w:left w:val="nil"/>
          <w:bottom w:val="nil"/>
          <w:right w:val="nil"/>
          <w:between w:val="nil"/>
        </w:pBdr>
        <w:spacing w:before="240" w:after="160"/>
        <w:ind w:left="851" w:right="567"/>
        <w:jc w:val="center"/>
      </w:pPr>
      <w:r w:rsidRPr="00560332">
        <w:rPr>
          <w:rFonts w:ascii="Palatino Linotype" w:eastAsia="Palatino Linotype" w:hAnsi="Palatino Linotype" w:cs="Palatino Linotype"/>
          <w:b/>
          <w:i/>
          <w:sz w:val="22"/>
          <w:szCs w:val="22"/>
        </w:rPr>
        <w:t>De la Información Reservada</w:t>
      </w:r>
    </w:p>
    <w:p w14:paraId="0DEEF551" w14:textId="77777777" w:rsidR="00AF356B" w:rsidRPr="00560332" w:rsidRDefault="001E295A">
      <w:pPr>
        <w:pBdr>
          <w:top w:val="nil"/>
          <w:left w:val="nil"/>
          <w:bottom w:val="nil"/>
          <w:right w:val="nil"/>
          <w:between w:val="nil"/>
        </w:pBdr>
        <w:spacing w:before="240" w:after="160"/>
        <w:ind w:left="851" w:right="567"/>
        <w:jc w:val="both"/>
      </w:pPr>
      <w:r w:rsidRPr="00560332">
        <w:rPr>
          <w:rFonts w:ascii="Palatino Linotype" w:eastAsia="Palatino Linotype" w:hAnsi="Palatino Linotype" w:cs="Palatino Linotype"/>
          <w:b/>
          <w:i/>
          <w:sz w:val="22"/>
          <w:szCs w:val="22"/>
        </w:rPr>
        <w:lastRenderedPageBreak/>
        <w:t>Artículo 140.</w:t>
      </w:r>
      <w:r w:rsidRPr="00560332">
        <w:rPr>
          <w:rFonts w:ascii="Palatino Linotype" w:eastAsia="Palatino Linotype" w:hAnsi="Palatino Linotype" w:cs="Palatino Linotype"/>
          <w:i/>
          <w:sz w:val="22"/>
          <w:szCs w:val="22"/>
        </w:rPr>
        <w:t xml:space="preserve"> El acceso a la información pública será restringido excepcionalmente, cuando por razones de interés público, ésta sea clasificada como reservada, conforme a los criterios siguientes:</w:t>
      </w:r>
    </w:p>
    <w:p w14:paraId="2345D7D4" w14:textId="77777777" w:rsidR="00AF356B" w:rsidRPr="00560332" w:rsidRDefault="001E295A">
      <w:pPr>
        <w:pBdr>
          <w:top w:val="nil"/>
          <w:left w:val="nil"/>
          <w:bottom w:val="nil"/>
          <w:right w:val="nil"/>
          <w:between w:val="nil"/>
        </w:pBdr>
        <w:spacing w:before="240" w:after="160"/>
        <w:ind w:left="851" w:right="567"/>
        <w:jc w:val="both"/>
      </w:pPr>
      <w:r w:rsidRPr="00560332">
        <w:rPr>
          <w:rFonts w:ascii="Palatino Linotype" w:eastAsia="Palatino Linotype" w:hAnsi="Palatino Linotype" w:cs="Palatino Linotype"/>
          <w:b/>
          <w:i/>
          <w:sz w:val="22"/>
          <w:szCs w:val="22"/>
        </w:rPr>
        <w:t>I.</w:t>
      </w:r>
      <w:r w:rsidRPr="00560332">
        <w:rPr>
          <w:rFonts w:ascii="Palatino Linotype" w:eastAsia="Palatino Linotype" w:hAnsi="Palatino Linotype" w:cs="Palatino Linotype"/>
          <w:i/>
          <w:sz w:val="22"/>
          <w:szCs w:val="22"/>
        </w:rPr>
        <w:t xml:space="preserve"> Comprometa la seguridad pública y cuente con un propósito genuino y un efecto demostrable;</w:t>
      </w:r>
    </w:p>
    <w:p w14:paraId="4975AAB8" w14:textId="77777777" w:rsidR="00AF356B" w:rsidRPr="00560332" w:rsidRDefault="001E295A">
      <w:pPr>
        <w:pBdr>
          <w:top w:val="nil"/>
          <w:left w:val="nil"/>
          <w:bottom w:val="nil"/>
          <w:right w:val="nil"/>
          <w:between w:val="nil"/>
        </w:pBdr>
        <w:spacing w:line="360" w:lineRule="auto"/>
        <w:jc w:val="both"/>
      </w:pPr>
      <w:r w:rsidRPr="00560332">
        <w:rPr>
          <w:rFonts w:ascii="Palatino Linotype" w:eastAsia="Palatino Linotype" w:hAnsi="Palatino Linotype" w:cs="Palatino Linotype"/>
          <w:sz w:val="22"/>
          <w:szCs w:val="22"/>
        </w:rPr>
        <w:t>Ello bajo las formalidades establecidas en líneas anteriores respecto del acuerdo de clasificación.</w:t>
      </w:r>
    </w:p>
    <w:p w14:paraId="4223325B" w14:textId="77777777" w:rsidR="00AF356B" w:rsidRPr="00560332" w:rsidRDefault="00AF356B">
      <w:pPr>
        <w:spacing w:line="360" w:lineRule="auto"/>
      </w:pPr>
    </w:p>
    <w:p w14:paraId="5B4F9AE8" w14:textId="77777777" w:rsidR="00AF356B" w:rsidRPr="00560332" w:rsidRDefault="001E295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Para tal efecto, debe vincularse con el numeral décimo octavo de los Lineamientos Generales en Materia de Clasificación y Desclasificación de la Información, así como para la Elaboración de Versiones Públicas, el cual establece que se considera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lo cual en este caso puede suceder con la divulgación de las estrategias, las cuales indudablemente darían cuenta de las acciones e incluso especificaciones respecto de la función de la seguridad pública.</w:t>
      </w:r>
    </w:p>
    <w:p w14:paraId="17F6ABEC" w14:textId="77777777" w:rsidR="00AF356B" w:rsidRPr="00560332" w:rsidRDefault="00AF356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D2E36F4" w14:textId="77777777" w:rsidR="00AF356B" w:rsidRPr="00560332" w:rsidRDefault="001E295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En consecuencia, la información requerida por el particular no puede ser de conocimiento público, ya que integra acciones de la Dirección de Seguridad Pública para la reducción de inseguridad, por lo que se ORDENA al Sujeto Obligado emitir a través del Comité de Transparencia el Acuerdo mediante el cual se clasifique como información reservada el programa y estrategias de seguridad de la presente administración al siete de marzo de dos mil veinticinco.</w:t>
      </w:r>
    </w:p>
    <w:p w14:paraId="20FF0DA7" w14:textId="77777777" w:rsidR="00AF356B" w:rsidRPr="00560332" w:rsidRDefault="00AF356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3BB7F6E" w14:textId="77777777" w:rsidR="00AF356B" w:rsidRPr="00560332" w:rsidRDefault="001E295A">
      <w:pPr>
        <w:pBdr>
          <w:top w:val="nil"/>
          <w:left w:val="nil"/>
          <w:bottom w:val="nil"/>
          <w:right w:val="nil"/>
          <w:between w:val="nil"/>
        </w:pBdr>
        <w:spacing w:line="360" w:lineRule="auto"/>
        <w:ind w:right="49"/>
        <w:jc w:val="both"/>
        <w:rPr>
          <w:b/>
        </w:rPr>
      </w:pPr>
      <w:r w:rsidRPr="00560332">
        <w:rPr>
          <w:rFonts w:ascii="Palatino Linotype" w:eastAsia="Palatino Linotype" w:hAnsi="Palatino Linotype" w:cs="Palatino Linotype"/>
          <w:b/>
          <w:sz w:val="22"/>
          <w:szCs w:val="22"/>
        </w:rPr>
        <w:t>Del expediente de personal.</w:t>
      </w:r>
    </w:p>
    <w:p w14:paraId="7B148EE7" w14:textId="77777777" w:rsidR="00AF356B" w:rsidRPr="00560332" w:rsidRDefault="001E295A">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lastRenderedPageBreak/>
        <w:t xml:space="preserve"> Sobre el tema, resulta conveniente traer a colación el artículo 47, de la Ley del Trabajo de los Servidores Públicos del Estado de México y Municipios, el cual establece, que para ingresar al servicio público se requiere, entre otros, presentar una solicitud utilizando la forma oficial que se autorice por la dependencia correspondiente tal como se observa a continuación: </w:t>
      </w:r>
    </w:p>
    <w:p w14:paraId="5EBB1C24" w14:textId="77777777" w:rsidR="00AF356B" w:rsidRPr="00560332" w:rsidRDefault="00AF356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B338464" w14:textId="77777777" w:rsidR="00AF356B" w:rsidRPr="00560332" w:rsidRDefault="001E295A">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“ARTÍCULO 47. Para ingresar al servicio público se requiere: </w:t>
      </w:r>
    </w:p>
    <w:p w14:paraId="126ADF13" w14:textId="77777777" w:rsidR="00AF356B" w:rsidRPr="00560332" w:rsidRDefault="001E295A">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560332">
        <w:rPr>
          <w:rFonts w:ascii="Palatino Linotype" w:eastAsia="Palatino Linotype" w:hAnsi="Palatino Linotype" w:cs="Palatino Linotype"/>
          <w:b/>
          <w:i/>
          <w:sz w:val="22"/>
          <w:szCs w:val="22"/>
        </w:rPr>
        <w:t xml:space="preserve">I. Presentar una solicitud utilizando la forma oficial que se autorice por la institución pública o dependencia correspondiente; </w:t>
      </w:r>
    </w:p>
    <w:p w14:paraId="28FCA136" w14:textId="77777777" w:rsidR="00AF356B" w:rsidRPr="00560332" w:rsidRDefault="001E295A">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560332">
        <w:rPr>
          <w:rFonts w:ascii="Palatino Linotype" w:eastAsia="Palatino Linotype" w:hAnsi="Palatino Linotype" w:cs="Palatino Linotype"/>
          <w:b/>
          <w:i/>
          <w:sz w:val="22"/>
          <w:szCs w:val="22"/>
        </w:rPr>
        <w:t xml:space="preserve">II. Ser de nacionalidad mexicana, con la excepción prevista en el artículo 17 de la presente ley; </w:t>
      </w:r>
    </w:p>
    <w:p w14:paraId="7EC16F21" w14:textId="77777777" w:rsidR="00AF356B" w:rsidRPr="00560332" w:rsidRDefault="001E295A">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560332">
        <w:rPr>
          <w:rFonts w:ascii="Palatino Linotype" w:eastAsia="Palatino Linotype" w:hAnsi="Palatino Linotype" w:cs="Palatino Linotype"/>
          <w:b/>
          <w:i/>
          <w:sz w:val="22"/>
          <w:szCs w:val="22"/>
        </w:rPr>
        <w:t xml:space="preserve">III. Estar en pleno ejercicio de sus derechos civiles y políticos, en su caso; </w:t>
      </w:r>
    </w:p>
    <w:p w14:paraId="5DD12F03" w14:textId="77777777" w:rsidR="00AF356B" w:rsidRPr="00560332" w:rsidRDefault="001E295A">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560332">
        <w:rPr>
          <w:rFonts w:ascii="Palatino Linotype" w:eastAsia="Palatino Linotype" w:hAnsi="Palatino Linotype" w:cs="Palatino Linotype"/>
          <w:b/>
          <w:i/>
          <w:sz w:val="22"/>
          <w:szCs w:val="22"/>
        </w:rPr>
        <w:t xml:space="preserve">IV. Acreditar, cuando proceda, el cumplimiento de la Ley del Servicio Militar Nacional; </w:t>
      </w:r>
    </w:p>
    <w:p w14:paraId="3D0560D4" w14:textId="77777777" w:rsidR="00AF356B" w:rsidRPr="00560332" w:rsidRDefault="001E295A">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560332">
        <w:rPr>
          <w:rFonts w:ascii="Palatino Linotype" w:eastAsia="Palatino Linotype" w:hAnsi="Palatino Linotype" w:cs="Palatino Linotype"/>
          <w:b/>
          <w:i/>
          <w:sz w:val="22"/>
          <w:szCs w:val="22"/>
        </w:rPr>
        <w:t xml:space="preserve">V. Derogada. </w:t>
      </w:r>
    </w:p>
    <w:p w14:paraId="12607D95" w14:textId="77777777" w:rsidR="00AF356B" w:rsidRPr="00560332" w:rsidRDefault="001E295A">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560332">
        <w:rPr>
          <w:rFonts w:ascii="Palatino Linotype" w:eastAsia="Palatino Linotype" w:hAnsi="Palatino Linotype" w:cs="Palatino Linotype"/>
          <w:b/>
          <w:i/>
          <w:sz w:val="22"/>
          <w:szCs w:val="22"/>
        </w:rPr>
        <w:t xml:space="preserve">VI. No haber sido separado anteriormente del servicio por las causas previstas en el artículo 93 de la presente ley; </w:t>
      </w:r>
    </w:p>
    <w:p w14:paraId="1ABE8B6E" w14:textId="77777777" w:rsidR="00AF356B" w:rsidRPr="00560332" w:rsidRDefault="001E295A">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560332">
        <w:rPr>
          <w:rFonts w:ascii="Palatino Linotype" w:eastAsia="Palatino Linotype" w:hAnsi="Palatino Linotype" w:cs="Palatino Linotype"/>
          <w:b/>
          <w:i/>
          <w:sz w:val="22"/>
          <w:szCs w:val="22"/>
        </w:rPr>
        <w:t xml:space="preserve">VII. Tener buena salud, lo que se comprobará con los certificados médicos correspondientes, en la forma en que se establezca en cada institución pública; </w:t>
      </w:r>
    </w:p>
    <w:p w14:paraId="1AF7CDAF" w14:textId="77777777" w:rsidR="00AF356B" w:rsidRPr="00560332" w:rsidRDefault="001E295A">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560332">
        <w:rPr>
          <w:rFonts w:ascii="Palatino Linotype" w:eastAsia="Palatino Linotype" w:hAnsi="Palatino Linotype" w:cs="Palatino Linotype"/>
          <w:b/>
          <w:i/>
          <w:sz w:val="22"/>
          <w:szCs w:val="22"/>
        </w:rPr>
        <w:t xml:space="preserve">VIII. Cumplir con los requisitos que se establezcan para los diferentes puestos; </w:t>
      </w:r>
    </w:p>
    <w:p w14:paraId="2F9A7A6F" w14:textId="77777777" w:rsidR="00AF356B" w:rsidRPr="00560332" w:rsidRDefault="001E295A">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560332">
        <w:rPr>
          <w:rFonts w:ascii="Palatino Linotype" w:eastAsia="Palatino Linotype" w:hAnsi="Palatino Linotype" w:cs="Palatino Linotype"/>
          <w:b/>
          <w:i/>
          <w:sz w:val="22"/>
          <w:szCs w:val="22"/>
        </w:rPr>
        <w:t xml:space="preserve">IX. Acreditar por medio de los exámenes correspondientes los conocimientos y aptitudes necesarios para el desempeño del puesto; y </w:t>
      </w:r>
    </w:p>
    <w:p w14:paraId="5457AF38" w14:textId="77777777" w:rsidR="00AF356B" w:rsidRPr="00560332" w:rsidRDefault="001E295A">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560332">
        <w:rPr>
          <w:rFonts w:ascii="Palatino Linotype" w:eastAsia="Palatino Linotype" w:hAnsi="Palatino Linotype" w:cs="Palatino Linotype"/>
          <w:b/>
          <w:i/>
          <w:sz w:val="22"/>
          <w:szCs w:val="22"/>
        </w:rPr>
        <w:t xml:space="preserve">X. No estar inhabilitado para el ejercicio del servicio público. </w:t>
      </w:r>
    </w:p>
    <w:p w14:paraId="42E9C857" w14:textId="77777777" w:rsidR="00AF356B" w:rsidRPr="00560332" w:rsidRDefault="001E295A">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560332">
        <w:rPr>
          <w:rFonts w:ascii="Palatino Linotype" w:eastAsia="Palatino Linotype" w:hAnsi="Palatino Linotype" w:cs="Palatino Linotype"/>
          <w:b/>
          <w:i/>
          <w:sz w:val="22"/>
          <w:szCs w:val="22"/>
        </w:rPr>
        <w:t xml:space="preserve">XI. Presentar certificado expedido por la Unidad del Registro de Deudores Alimentarios Morosos en el que conste, si se encuentra inscrito o no en el mismo. </w:t>
      </w:r>
    </w:p>
    <w:p w14:paraId="1DB79902" w14:textId="77777777" w:rsidR="00AF356B" w:rsidRPr="00560332" w:rsidRDefault="00AF356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2775AEAE" w14:textId="77777777" w:rsidR="00AF356B" w:rsidRPr="00560332" w:rsidRDefault="001E295A">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68BB1197" w14:textId="77777777" w:rsidR="00AF356B" w:rsidRPr="00560332" w:rsidRDefault="00AF356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B9EB986" w14:textId="77777777" w:rsidR="00AF356B" w:rsidRPr="00560332" w:rsidRDefault="001E295A">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sz w:val="22"/>
          <w:szCs w:val="22"/>
        </w:rPr>
        <w:lastRenderedPageBreak/>
        <w:t xml:space="preserve">Es así que, sobre el expediente del personal de los Sujetos Obligados, resulta oportuno traer a contexto el contenido del artículo 98 fracción XVII, de la Ley anteriormente mencionada que refiere que son obligaciones de las instituciones públicas, el </w:t>
      </w:r>
      <w:r w:rsidRPr="00560332">
        <w:rPr>
          <w:rFonts w:ascii="Palatino Linotype" w:eastAsia="Palatino Linotype" w:hAnsi="Palatino Linotype" w:cs="Palatino Linotype"/>
          <w:b/>
          <w:sz w:val="22"/>
          <w:szCs w:val="22"/>
          <w:u w:val="single"/>
        </w:rPr>
        <w:t>integrar los expedientes de los servidores públicos</w:t>
      </w:r>
      <w:r w:rsidRPr="00560332">
        <w:rPr>
          <w:rFonts w:ascii="Palatino Linotype" w:eastAsia="Palatino Linotype" w:hAnsi="Palatino Linotype" w:cs="Palatino Linotype"/>
          <w:sz w:val="22"/>
          <w:szCs w:val="22"/>
        </w:rPr>
        <w:t xml:space="preserve"> y proporcionar las constancias que éstos soliciten para el trámite de los asuntos de su interés en los términos que señalen los ordenamientos respectivos, se inserta su contenido íntegro:</w:t>
      </w:r>
    </w:p>
    <w:p w14:paraId="43404A8E" w14:textId="77777777" w:rsidR="00AF356B" w:rsidRPr="00560332" w:rsidRDefault="001E295A">
      <w:pPr>
        <w:pBdr>
          <w:top w:val="nil"/>
          <w:left w:val="nil"/>
          <w:bottom w:val="nil"/>
          <w:right w:val="nil"/>
          <w:between w:val="nil"/>
        </w:pBdr>
        <w:ind w:left="567" w:right="616"/>
        <w:jc w:val="center"/>
        <w:rPr>
          <w:rFonts w:ascii="Palatino Linotype" w:eastAsia="Palatino Linotype" w:hAnsi="Palatino Linotype" w:cs="Palatino Linotype"/>
          <w:b/>
          <w:i/>
          <w:sz w:val="22"/>
          <w:szCs w:val="22"/>
        </w:rPr>
      </w:pPr>
      <w:r w:rsidRPr="00560332">
        <w:rPr>
          <w:rFonts w:ascii="Palatino Linotype" w:eastAsia="Palatino Linotype" w:hAnsi="Palatino Linotype" w:cs="Palatino Linotype"/>
          <w:b/>
          <w:i/>
          <w:sz w:val="22"/>
          <w:szCs w:val="22"/>
        </w:rPr>
        <w:t>“TITULO CUARTO</w:t>
      </w:r>
    </w:p>
    <w:p w14:paraId="1479139D" w14:textId="77777777" w:rsidR="00AF356B" w:rsidRPr="00560332" w:rsidRDefault="001E295A">
      <w:pPr>
        <w:pBdr>
          <w:top w:val="nil"/>
          <w:left w:val="nil"/>
          <w:bottom w:val="nil"/>
          <w:right w:val="nil"/>
          <w:between w:val="nil"/>
        </w:pBdr>
        <w:ind w:left="567" w:right="616"/>
        <w:jc w:val="center"/>
        <w:rPr>
          <w:rFonts w:ascii="Palatino Linotype" w:eastAsia="Palatino Linotype" w:hAnsi="Palatino Linotype" w:cs="Palatino Linotype"/>
          <w:b/>
          <w:i/>
          <w:sz w:val="22"/>
          <w:szCs w:val="22"/>
        </w:rPr>
      </w:pPr>
      <w:r w:rsidRPr="00560332">
        <w:rPr>
          <w:rFonts w:ascii="Palatino Linotype" w:eastAsia="Palatino Linotype" w:hAnsi="Palatino Linotype" w:cs="Palatino Linotype"/>
          <w:b/>
          <w:i/>
          <w:sz w:val="22"/>
          <w:szCs w:val="22"/>
        </w:rPr>
        <w:t>De las Obligaciones de las Instituciones Públicas</w:t>
      </w:r>
    </w:p>
    <w:p w14:paraId="03F22257" w14:textId="77777777" w:rsidR="00AF356B" w:rsidRPr="00560332" w:rsidRDefault="001E295A">
      <w:pPr>
        <w:pBdr>
          <w:top w:val="nil"/>
          <w:left w:val="nil"/>
          <w:bottom w:val="nil"/>
          <w:right w:val="nil"/>
          <w:between w:val="nil"/>
        </w:pBdr>
        <w:ind w:left="567" w:right="616"/>
        <w:jc w:val="center"/>
        <w:rPr>
          <w:rFonts w:ascii="Palatino Linotype" w:eastAsia="Palatino Linotype" w:hAnsi="Palatino Linotype" w:cs="Palatino Linotype"/>
          <w:b/>
          <w:i/>
          <w:sz w:val="22"/>
          <w:szCs w:val="22"/>
        </w:rPr>
      </w:pPr>
      <w:r w:rsidRPr="00560332">
        <w:rPr>
          <w:rFonts w:ascii="Palatino Linotype" w:eastAsia="Palatino Linotype" w:hAnsi="Palatino Linotype" w:cs="Palatino Linotype"/>
          <w:b/>
          <w:i/>
          <w:sz w:val="22"/>
          <w:szCs w:val="22"/>
        </w:rPr>
        <w:t>CAPITULO I</w:t>
      </w:r>
    </w:p>
    <w:p w14:paraId="7B1C0ED6" w14:textId="77777777" w:rsidR="00AF356B" w:rsidRPr="00560332" w:rsidRDefault="001E295A">
      <w:pPr>
        <w:pBdr>
          <w:top w:val="nil"/>
          <w:left w:val="nil"/>
          <w:bottom w:val="nil"/>
          <w:right w:val="nil"/>
          <w:between w:val="nil"/>
        </w:pBdr>
        <w:ind w:left="567" w:right="616"/>
        <w:jc w:val="center"/>
        <w:rPr>
          <w:rFonts w:ascii="Palatino Linotype" w:eastAsia="Palatino Linotype" w:hAnsi="Palatino Linotype" w:cs="Palatino Linotype"/>
          <w:b/>
          <w:i/>
          <w:sz w:val="22"/>
          <w:szCs w:val="22"/>
        </w:rPr>
      </w:pPr>
      <w:r w:rsidRPr="00560332">
        <w:rPr>
          <w:rFonts w:ascii="Palatino Linotype" w:eastAsia="Palatino Linotype" w:hAnsi="Palatino Linotype" w:cs="Palatino Linotype"/>
          <w:b/>
          <w:i/>
          <w:sz w:val="22"/>
          <w:szCs w:val="22"/>
        </w:rPr>
        <w:t>De las Obligaciones en General</w:t>
      </w:r>
    </w:p>
    <w:p w14:paraId="7E722086" w14:textId="77777777" w:rsidR="00AF356B" w:rsidRPr="00560332" w:rsidRDefault="001E295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ARTÍCULO 98. Son obligaciones de las instituciones públicas:</w:t>
      </w:r>
    </w:p>
    <w:p w14:paraId="7B56AD63" w14:textId="77777777" w:rsidR="00AF356B" w:rsidRPr="00560332" w:rsidRDefault="001E295A">
      <w:pPr>
        <w:pBdr>
          <w:top w:val="nil"/>
          <w:left w:val="nil"/>
          <w:bottom w:val="nil"/>
          <w:right w:val="nil"/>
          <w:between w:val="nil"/>
        </w:pBdr>
        <w:ind w:left="567" w:right="616"/>
        <w:jc w:val="both"/>
        <w:rPr>
          <w:rFonts w:ascii="Palatino Linotype" w:eastAsia="Palatino Linotype" w:hAnsi="Palatino Linotype" w:cs="Palatino Linotype"/>
          <w:b/>
          <w:i/>
          <w:sz w:val="22"/>
          <w:szCs w:val="22"/>
        </w:rPr>
      </w:pPr>
      <w:r w:rsidRPr="00560332">
        <w:rPr>
          <w:rFonts w:ascii="Palatino Linotype" w:eastAsia="Palatino Linotype" w:hAnsi="Palatino Linotype" w:cs="Palatino Linotype"/>
          <w:b/>
          <w:i/>
          <w:sz w:val="22"/>
          <w:szCs w:val="22"/>
        </w:rPr>
        <w:t>…</w:t>
      </w:r>
    </w:p>
    <w:p w14:paraId="4746A0C8" w14:textId="77777777" w:rsidR="00AF356B" w:rsidRPr="00560332" w:rsidRDefault="001E295A">
      <w:pPr>
        <w:pBdr>
          <w:top w:val="nil"/>
          <w:left w:val="nil"/>
          <w:bottom w:val="nil"/>
          <w:right w:val="nil"/>
          <w:between w:val="nil"/>
        </w:pBdr>
        <w:ind w:left="567" w:right="616"/>
        <w:jc w:val="both"/>
        <w:rPr>
          <w:rFonts w:ascii="Palatino Linotype" w:eastAsia="Palatino Linotype" w:hAnsi="Palatino Linotype" w:cs="Palatino Linotype"/>
          <w:b/>
          <w:i/>
          <w:sz w:val="22"/>
          <w:szCs w:val="22"/>
        </w:rPr>
      </w:pPr>
      <w:r w:rsidRPr="00560332">
        <w:rPr>
          <w:rFonts w:ascii="Palatino Linotype" w:eastAsia="Palatino Linotype" w:hAnsi="Palatino Linotype" w:cs="Palatino Linotype"/>
          <w:b/>
          <w:i/>
          <w:sz w:val="22"/>
          <w:szCs w:val="22"/>
        </w:rPr>
        <w:t xml:space="preserve">XVII. Integrar los expedientes de los servidores públicos </w:t>
      </w:r>
      <w:r w:rsidRPr="00560332">
        <w:rPr>
          <w:rFonts w:ascii="Palatino Linotype" w:eastAsia="Palatino Linotype" w:hAnsi="Palatino Linotype" w:cs="Palatino Linotype"/>
          <w:i/>
          <w:sz w:val="22"/>
          <w:szCs w:val="22"/>
        </w:rPr>
        <w:t>y proporcionar las constancias que éstos soliciten para el trámite de los asuntos de su interés en los términos que señalen los ordenamientos respectivos.</w:t>
      </w:r>
    </w:p>
    <w:p w14:paraId="7B92EF32" w14:textId="77777777" w:rsidR="00AF356B" w:rsidRPr="00560332" w:rsidRDefault="001E295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w:t>
      </w:r>
    </w:p>
    <w:p w14:paraId="4EEF4980" w14:textId="77777777" w:rsidR="00AF356B" w:rsidRPr="00560332" w:rsidRDefault="00AF356B">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sz w:val="22"/>
          <w:szCs w:val="22"/>
        </w:rPr>
      </w:pPr>
    </w:p>
    <w:p w14:paraId="4CE3828D" w14:textId="77777777" w:rsidR="00AF356B" w:rsidRPr="00560332" w:rsidRDefault="001E295A">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Con lo expuesto hasta este punto, se tiene la obligación de integrar el expediente de personal, donde obran todos aquellos documentos que se relacionan con cada uno de los servidores públicos, así como los documentos que amparen que se cumplieron los requisitos establecidos en el artículo 47 de la Ley en Materia.</w:t>
      </w:r>
    </w:p>
    <w:p w14:paraId="4F1426E6" w14:textId="77777777" w:rsidR="00AF356B" w:rsidRPr="00560332" w:rsidRDefault="00AF356B">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532530ED" w14:textId="77777777" w:rsidR="00AF356B" w:rsidRPr="00560332" w:rsidRDefault="001E295A">
      <w:pPr>
        <w:tabs>
          <w:tab w:val="left" w:pos="709"/>
        </w:tabs>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Ahora bien, tocante a los </w:t>
      </w:r>
      <w:r w:rsidRPr="00560332">
        <w:rPr>
          <w:rFonts w:ascii="Palatino Linotype" w:eastAsia="Palatino Linotype" w:hAnsi="Palatino Linotype" w:cs="Palatino Linotype"/>
          <w:i/>
          <w:sz w:val="22"/>
          <w:szCs w:val="22"/>
        </w:rPr>
        <w:t>documentos que integran los expedientes</w:t>
      </w:r>
      <w:r w:rsidRPr="00560332">
        <w:rPr>
          <w:rFonts w:ascii="Palatino Linotype" w:eastAsia="Palatino Linotype" w:hAnsi="Palatino Linotype" w:cs="Palatino Linotype"/>
          <w:b/>
          <w:sz w:val="22"/>
          <w:szCs w:val="22"/>
        </w:rPr>
        <w:t xml:space="preserve"> </w:t>
      </w:r>
      <w:r w:rsidRPr="00560332">
        <w:rPr>
          <w:rFonts w:ascii="Palatino Linotype" w:eastAsia="Palatino Linotype" w:hAnsi="Palatino Linotype" w:cs="Palatino Linotype"/>
          <w:sz w:val="22"/>
          <w:szCs w:val="22"/>
        </w:rPr>
        <w:t>solicitados por la parte</w:t>
      </w:r>
      <w:r w:rsidRPr="00560332">
        <w:rPr>
          <w:rFonts w:ascii="Palatino Linotype" w:eastAsia="Palatino Linotype" w:hAnsi="Palatino Linotype" w:cs="Palatino Linotype"/>
          <w:b/>
          <w:sz w:val="22"/>
          <w:szCs w:val="22"/>
        </w:rPr>
        <w:t xml:space="preserve"> Recurrente</w:t>
      </w:r>
      <w:r w:rsidRPr="00560332">
        <w:rPr>
          <w:rFonts w:ascii="Palatino Linotype" w:eastAsia="Palatino Linotype" w:hAnsi="Palatino Linotype" w:cs="Palatino Linotype"/>
          <w:sz w:val="22"/>
          <w:szCs w:val="22"/>
        </w:rPr>
        <w:t>, se procede a señalar los requisitos generales contenidos en los articulados 47, 48 y 49, de la Ley del Trabado de los Servidores Públicos del Estado de México y Municipios, así como el documento idóneo con el que se pudiera acreditar, siendo estos los siguientes:</w:t>
      </w:r>
    </w:p>
    <w:p w14:paraId="54D2D91A" w14:textId="77777777" w:rsidR="00AF356B" w:rsidRPr="00560332" w:rsidRDefault="00AF356B">
      <w:pPr>
        <w:rPr>
          <w:rFonts w:ascii="Palatino Linotype" w:eastAsia="Palatino Linotype" w:hAnsi="Palatino Linotype" w:cs="Palatino Linotype"/>
          <w:sz w:val="22"/>
          <w:szCs w:val="22"/>
        </w:rPr>
      </w:pPr>
    </w:p>
    <w:tbl>
      <w:tblPr>
        <w:tblStyle w:val="af6"/>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7"/>
        <w:gridCol w:w="2607"/>
        <w:gridCol w:w="2410"/>
      </w:tblGrid>
      <w:tr w:rsidR="001E295A" w:rsidRPr="00560332" w14:paraId="42E7599E" w14:textId="77777777">
        <w:trPr>
          <w:tblHeader/>
        </w:trPr>
        <w:tc>
          <w:tcPr>
            <w:tcW w:w="3767" w:type="dxa"/>
            <w:shd w:val="clear" w:color="auto" w:fill="DBEEF3"/>
            <w:vAlign w:val="center"/>
          </w:tcPr>
          <w:p w14:paraId="37DF8E97" w14:textId="77777777" w:rsidR="00AF356B" w:rsidRPr="00560332" w:rsidRDefault="001E295A">
            <w:pPr>
              <w:tabs>
                <w:tab w:val="left" w:pos="284"/>
                <w:tab w:val="left" w:pos="426"/>
              </w:tabs>
              <w:ind w:right="49"/>
              <w:jc w:val="center"/>
              <w:rPr>
                <w:rFonts w:ascii="Palatino Linotype" w:eastAsia="Palatino Linotype" w:hAnsi="Palatino Linotype" w:cs="Palatino Linotype"/>
                <w:b/>
              </w:rPr>
            </w:pPr>
            <w:r w:rsidRPr="00560332">
              <w:rPr>
                <w:rFonts w:ascii="Palatino Linotype" w:eastAsia="Palatino Linotype" w:hAnsi="Palatino Linotype" w:cs="Palatino Linotype"/>
                <w:b/>
              </w:rPr>
              <w:lastRenderedPageBreak/>
              <w:t>Requisito establecido en la Ley del Trabajo de los Servidores Públicos del Estado y Municipios</w:t>
            </w:r>
          </w:p>
        </w:tc>
        <w:tc>
          <w:tcPr>
            <w:tcW w:w="2607" w:type="dxa"/>
            <w:shd w:val="clear" w:color="auto" w:fill="DBEEF3"/>
            <w:vAlign w:val="center"/>
          </w:tcPr>
          <w:p w14:paraId="166E1006" w14:textId="77777777" w:rsidR="00AF356B" w:rsidRPr="00560332" w:rsidRDefault="001E295A">
            <w:pPr>
              <w:tabs>
                <w:tab w:val="left" w:pos="284"/>
                <w:tab w:val="left" w:pos="426"/>
              </w:tabs>
              <w:ind w:right="49"/>
              <w:jc w:val="center"/>
              <w:rPr>
                <w:rFonts w:ascii="Palatino Linotype" w:eastAsia="Palatino Linotype" w:hAnsi="Palatino Linotype" w:cs="Palatino Linotype"/>
                <w:b/>
              </w:rPr>
            </w:pPr>
            <w:r w:rsidRPr="00560332">
              <w:rPr>
                <w:rFonts w:ascii="Palatino Linotype" w:eastAsia="Palatino Linotype" w:hAnsi="Palatino Linotype" w:cs="Palatino Linotype"/>
                <w:b/>
              </w:rPr>
              <w:t>Documento que lo acredita</w:t>
            </w:r>
          </w:p>
        </w:tc>
        <w:tc>
          <w:tcPr>
            <w:tcW w:w="2410" w:type="dxa"/>
            <w:shd w:val="clear" w:color="auto" w:fill="DBEEF3"/>
            <w:vAlign w:val="center"/>
          </w:tcPr>
          <w:p w14:paraId="17696F81" w14:textId="77777777" w:rsidR="00AF356B" w:rsidRPr="00560332" w:rsidRDefault="001E295A">
            <w:pPr>
              <w:tabs>
                <w:tab w:val="left" w:pos="284"/>
                <w:tab w:val="left" w:pos="426"/>
              </w:tabs>
              <w:ind w:right="49"/>
              <w:jc w:val="center"/>
              <w:rPr>
                <w:rFonts w:ascii="Palatino Linotype" w:eastAsia="Palatino Linotype" w:hAnsi="Palatino Linotype" w:cs="Palatino Linotype"/>
                <w:b/>
              </w:rPr>
            </w:pPr>
            <w:r w:rsidRPr="00560332">
              <w:rPr>
                <w:rFonts w:ascii="Palatino Linotype" w:eastAsia="Palatino Linotype" w:hAnsi="Palatino Linotype" w:cs="Palatino Linotype"/>
                <w:b/>
              </w:rPr>
              <w:t>Clasificación de la Información</w:t>
            </w:r>
          </w:p>
        </w:tc>
      </w:tr>
      <w:tr w:rsidR="001E295A" w:rsidRPr="00560332" w14:paraId="7AE2883C" w14:textId="77777777">
        <w:tc>
          <w:tcPr>
            <w:tcW w:w="3767" w:type="dxa"/>
            <w:vAlign w:val="center"/>
          </w:tcPr>
          <w:p w14:paraId="4065CD41" w14:textId="77777777" w:rsidR="00AF356B" w:rsidRPr="00560332" w:rsidRDefault="001E295A">
            <w:pPr>
              <w:tabs>
                <w:tab w:val="left" w:pos="284"/>
                <w:tab w:val="left" w:pos="426"/>
              </w:tabs>
              <w:ind w:right="49"/>
              <w:jc w:val="both"/>
              <w:rPr>
                <w:rFonts w:ascii="Palatino Linotype" w:eastAsia="Palatino Linotype" w:hAnsi="Palatino Linotype" w:cs="Palatino Linotype"/>
              </w:rPr>
            </w:pPr>
            <w:r w:rsidRPr="00560332">
              <w:rPr>
                <w:rFonts w:ascii="Palatino Linotype" w:eastAsia="Palatino Linotype" w:hAnsi="Palatino Linotype" w:cs="Palatino Linotype"/>
              </w:rPr>
              <w:t>Presentar una solicitud utilizando la forma oficial que se autorice por la institución pública o dependencia correspondiente.</w:t>
            </w:r>
          </w:p>
        </w:tc>
        <w:tc>
          <w:tcPr>
            <w:tcW w:w="2607" w:type="dxa"/>
            <w:vAlign w:val="center"/>
          </w:tcPr>
          <w:p w14:paraId="1C7FFBB3" w14:textId="77777777" w:rsidR="00AF356B" w:rsidRPr="00560332" w:rsidRDefault="001E295A">
            <w:pPr>
              <w:tabs>
                <w:tab w:val="left" w:pos="284"/>
                <w:tab w:val="left" w:pos="426"/>
              </w:tabs>
              <w:ind w:right="49"/>
              <w:jc w:val="both"/>
              <w:rPr>
                <w:rFonts w:ascii="Palatino Linotype" w:eastAsia="Palatino Linotype" w:hAnsi="Palatino Linotype" w:cs="Palatino Linotype"/>
              </w:rPr>
            </w:pPr>
            <w:r w:rsidRPr="00560332">
              <w:rPr>
                <w:rFonts w:ascii="Palatino Linotype" w:eastAsia="Palatino Linotype" w:hAnsi="Palatino Linotype" w:cs="Palatino Linotype"/>
              </w:rPr>
              <w:t>Solicitud de empleo, ficha curricular, currículum vitae o documento análogo</w:t>
            </w:r>
          </w:p>
        </w:tc>
        <w:tc>
          <w:tcPr>
            <w:tcW w:w="2410" w:type="dxa"/>
            <w:vAlign w:val="center"/>
          </w:tcPr>
          <w:p w14:paraId="74E7C7A2" w14:textId="77777777" w:rsidR="00AF356B" w:rsidRPr="00560332" w:rsidRDefault="001E295A">
            <w:pPr>
              <w:tabs>
                <w:tab w:val="left" w:pos="284"/>
                <w:tab w:val="left" w:pos="426"/>
              </w:tabs>
              <w:ind w:right="49"/>
              <w:jc w:val="center"/>
              <w:rPr>
                <w:rFonts w:ascii="Palatino Linotype" w:eastAsia="Palatino Linotype" w:hAnsi="Palatino Linotype" w:cs="Palatino Linotype"/>
              </w:rPr>
            </w:pPr>
            <w:r w:rsidRPr="00560332">
              <w:rPr>
                <w:rFonts w:ascii="Palatino Linotype" w:eastAsia="Palatino Linotype" w:hAnsi="Palatino Linotype" w:cs="Palatino Linotype"/>
              </w:rPr>
              <w:t>En versión Pública.</w:t>
            </w:r>
          </w:p>
        </w:tc>
      </w:tr>
      <w:tr w:rsidR="001E295A" w:rsidRPr="00560332" w14:paraId="3EC962AE" w14:textId="77777777">
        <w:trPr>
          <w:trHeight w:val="517"/>
        </w:trPr>
        <w:tc>
          <w:tcPr>
            <w:tcW w:w="3767" w:type="dxa"/>
            <w:vAlign w:val="center"/>
          </w:tcPr>
          <w:p w14:paraId="5F9165B3" w14:textId="77777777" w:rsidR="00AF356B" w:rsidRPr="00560332" w:rsidRDefault="001E295A">
            <w:pPr>
              <w:tabs>
                <w:tab w:val="left" w:pos="284"/>
                <w:tab w:val="left" w:pos="426"/>
              </w:tabs>
              <w:ind w:right="49"/>
              <w:jc w:val="both"/>
              <w:rPr>
                <w:rFonts w:ascii="Palatino Linotype" w:eastAsia="Palatino Linotype" w:hAnsi="Palatino Linotype" w:cs="Palatino Linotype"/>
              </w:rPr>
            </w:pPr>
            <w:r w:rsidRPr="00560332">
              <w:rPr>
                <w:rFonts w:ascii="Palatino Linotype" w:eastAsia="Palatino Linotype" w:hAnsi="Palatino Linotype" w:cs="Palatino Linotype"/>
              </w:rPr>
              <w:t>Ser de nacionalidad mexicana.</w:t>
            </w:r>
          </w:p>
        </w:tc>
        <w:tc>
          <w:tcPr>
            <w:tcW w:w="2607" w:type="dxa"/>
            <w:vAlign w:val="center"/>
          </w:tcPr>
          <w:p w14:paraId="67F76043" w14:textId="77777777" w:rsidR="00AF356B" w:rsidRPr="00560332" w:rsidRDefault="001E295A">
            <w:pPr>
              <w:tabs>
                <w:tab w:val="left" w:pos="284"/>
                <w:tab w:val="left" w:pos="426"/>
              </w:tabs>
              <w:ind w:right="49"/>
              <w:jc w:val="both"/>
              <w:rPr>
                <w:rFonts w:ascii="Palatino Linotype" w:eastAsia="Palatino Linotype" w:hAnsi="Palatino Linotype" w:cs="Palatino Linotype"/>
              </w:rPr>
            </w:pPr>
            <w:r w:rsidRPr="00560332">
              <w:rPr>
                <w:rFonts w:ascii="Palatino Linotype" w:eastAsia="Palatino Linotype" w:hAnsi="Palatino Linotype" w:cs="Palatino Linotype"/>
              </w:rPr>
              <w:t>Acta de nacimiento</w:t>
            </w:r>
          </w:p>
        </w:tc>
        <w:tc>
          <w:tcPr>
            <w:tcW w:w="2410" w:type="dxa"/>
            <w:vAlign w:val="center"/>
          </w:tcPr>
          <w:p w14:paraId="1834DB2F" w14:textId="77777777" w:rsidR="00AF356B" w:rsidRPr="00560332" w:rsidRDefault="001E295A">
            <w:pPr>
              <w:tabs>
                <w:tab w:val="left" w:pos="284"/>
                <w:tab w:val="left" w:pos="426"/>
              </w:tabs>
              <w:ind w:right="49"/>
              <w:jc w:val="center"/>
              <w:rPr>
                <w:rFonts w:ascii="Palatino Linotype" w:eastAsia="Palatino Linotype" w:hAnsi="Palatino Linotype" w:cs="Palatino Linotype"/>
              </w:rPr>
            </w:pPr>
            <w:r w:rsidRPr="00560332">
              <w:rPr>
                <w:rFonts w:ascii="Palatino Linotype" w:eastAsia="Palatino Linotype" w:hAnsi="Palatino Linotype" w:cs="Palatino Linotype"/>
              </w:rPr>
              <w:t>Confidencial</w:t>
            </w:r>
          </w:p>
        </w:tc>
      </w:tr>
      <w:tr w:rsidR="001E295A" w:rsidRPr="00560332" w14:paraId="5E2D97DE" w14:textId="77777777">
        <w:tc>
          <w:tcPr>
            <w:tcW w:w="3767" w:type="dxa"/>
            <w:vAlign w:val="center"/>
          </w:tcPr>
          <w:p w14:paraId="4EDB876D" w14:textId="77777777" w:rsidR="00AF356B" w:rsidRPr="00560332" w:rsidRDefault="001E295A">
            <w:pPr>
              <w:tabs>
                <w:tab w:val="left" w:pos="284"/>
                <w:tab w:val="left" w:pos="426"/>
              </w:tabs>
              <w:ind w:right="49"/>
              <w:jc w:val="both"/>
              <w:rPr>
                <w:rFonts w:ascii="Palatino Linotype" w:eastAsia="Palatino Linotype" w:hAnsi="Palatino Linotype" w:cs="Palatino Linotype"/>
              </w:rPr>
            </w:pPr>
            <w:r w:rsidRPr="00560332">
              <w:rPr>
                <w:rFonts w:ascii="Palatino Linotype" w:eastAsia="Palatino Linotype" w:hAnsi="Palatino Linotype" w:cs="Palatino Linotype"/>
              </w:rPr>
              <w:t>Estar en pleno ejercicio de sus derechos civiles y políticos.</w:t>
            </w:r>
          </w:p>
        </w:tc>
        <w:tc>
          <w:tcPr>
            <w:tcW w:w="2607" w:type="dxa"/>
            <w:vAlign w:val="center"/>
          </w:tcPr>
          <w:p w14:paraId="56E72EBF" w14:textId="77777777" w:rsidR="00AF356B" w:rsidRPr="00560332" w:rsidRDefault="001E295A">
            <w:pPr>
              <w:tabs>
                <w:tab w:val="left" w:pos="284"/>
                <w:tab w:val="left" w:pos="426"/>
              </w:tabs>
              <w:ind w:right="49"/>
              <w:jc w:val="both"/>
              <w:rPr>
                <w:rFonts w:ascii="Palatino Linotype" w:eastAsia="Palatino Linotype" w:hAnsi="Palatino Linotype" w:cs="Palatino Linotype"/>
              </w:rPr>
            </w:pPr>
            <w:r w:rsidRPr="00560332">
              <w:rPr>
                <w:rFonts w:ascii="Palatino Linotype" w:eastAsia="Palatino Linotype" w:hAnsi="Palatino Linotype" w:cs="Palatino Linotype"/>
              </w:rPr>
              <w:t>Derogado</w:t>
            </w:r>
          </w:p>
        </w:tc>
        <w:tc>
          <w:tcPr>
            <w:tcW w:w="2410" w:type="dxa"/>
            <w:vAlign w:val="center"/>
          </w:tcPr>
          <w:p w14:paraId="7DF94088" w14:textId="77777777" w:rsidR="00AF356B" w:rsidRPr="00560332" w:rsidRDefault="001E295A">
            <w:pPr>
              <w:tabs>
                <w:tab w:val="left" w:pos="284"/>
                <w:tab w:val="left" w:pos="426"/>
              </w:tabs>
              <w:ind w:right="49"/>
              <w:jc w:val="center"/>
              <w:rPr>
                <w:rFonts w:ascii="Palatino Linotype" w:eastAsia="Palatino Linotype" w:hAnsi="Palatino Linotype" w:cs="Palatino Linotype"/>
              </w:rPr>
            </w:pPr>
            <w:r w:rsidRPr="00560332">
              <w:rPr>
                <w:rFonts w:ascii="Palatino Linotype" w:eastAsia="Palatino Linotype" w:hAnsi="Palatino Linotype" w:cs="Palatino Linotype"/>
              </w:rPr>
              <w:t>N/A</w:t>
            </w:r>
          </w:p>
        </w:tc>
      </w:tr>
      <w:tr w:rsidR="001E295A" w:rsidRPr="00560332" w14:paraId="26B9F54B" w14:textId="77777777">
        <w:tc>
          <w:tcPr>
            <w:tcW w:w="3767" w:type="dxa"/>
            <w:vAlign w:val="center"/>
          </w:tcPr>
          <w:p w14:paraId="1628003C" w14:textId="77777777" w:rsidR="00AF356B" w:rsidRPr="00560332" w:rsidRDefault="001E295A">
            <w:pPr>
              <w:tabs>
                <w:tab w:val="left" w:pos="284"/>
                <w:tab w:val="left" w:pos="426"/>
              </w:tabs>
              <w:ind w:right="49"/>
              <w:jc w:val="both"/>
              <w:rPr>
                <w:rFonts w:ascii="Palatino Linotype" w:eastAsia="Palatino Linotype" w:hAnsi="Palatino Linotype" w:cs="Palatino Linotype"/>
              </w:rPr>
            </w:pPr>
            <w:r w:rsidRPr="00560332">
              <w:rPr>
                <w:rFonts w:ascii="Palatino Linotype" w:eastAsia="Palatino Linotype" w:hAnsi="Palatino Linotype" w:cs="Palatino Linotype"/>
              </w:rPr>
              <w:t>Acreditar, cuando proceda, el cumplimiento de la Ley del Servicio Militar Nacional.</w:t>
            </w:r>
          </w:p>
        </w:tc>
        <w:tc>
          <w:tcPr>
            <w:tcW w:w="2607" w:type="dxa"/>
            <w:vAlign w:val="center"/>
          </w:tcPr>
          <w:p w14:paraId="179DB672" w14:textId="77777777" w:rsidR="00AF356B" w:rsidRPr="00560332" w:rsidRDefault="001E295A">
            <w:pPr>
              <w:tabs>
                <w:tab w:val="left" w:pos="284"/>
                <w:tab w:val="left" w:pos="426"/>
              </w:tabs>
              <w:ind w:right="49"/>
              <w:jc w:val="both"/>
              <w:rPr>
                <w:rFonts w:ascii="Palatino Linotype" w:eastAsia="Palatino Linotype" w:hAnsi="Palatino Linotype" w:cs="Palatino Linotype"/>
              </w:rPr>
            </w:pPr>
            <w:r w:rsidRPr="00560332">
              <w:rPr>
                <w:rFonts w:ascii="Palatino Linotype" w:eastAsia="Palatino Linotype" w:hAnsi="Palatino Linotype" w:cs="Palatino Linotype"/>
              </w:rPr>
              <w:t>Cartilla de Servicio Militar</w:t>
            </w:r>
          </w:p>
        </w:tc>
        <w:tc>
          <w:tcPr>
            <w:tcW w:w="2410" w:type="dxa"/>
            <w:vAlign w:val="center"/>
          </w:tcPr>
          <w:p w14:paraId="186CF32E" w14:textId="77777777" w:rsidR="00AF356B" w:rsidRPr="00560332" w:rsidRDefault="001E295A">
            <w:pPr>
              <w:tabs>
                <w:tab w:val="left" w:pos="284"/>
                <w:tab w:val="left" w:pos="426"/>
              </w:tabs>
              <w:ind w:right="49"/>
              <w:jc w:val="center"/>
              <w:rPr>
                <w:rFonts w:ascii="Palatino Linotype" w:eastAsia="Palatino Linotype" w:hAnsi="Palatino Linotype" w:cs="Palatino Linotype"/>
              </w:rPr>
            </w:pPr>
            <w:r w:rsidRPr="00560332">
              <w:rPr>
                <w:rFonts w:ascii="Palatino Linotype" w:eastAsia="Palatino Linotype" w:hAnsi="Palatino Linotype" w:cs="Palatino Linotype"/>
              </w:rPr>
              <w:t>Confidencial</w:t>
            </w:r>
          </w:p>
        </w:tc>
      </w:tr>
      <w:tr w:rsidR="001E295A" w:rsidRPr="00560332" w14:paraId="283802D1" w14:textId="77777777">
        <w:tc>
          <w:tcPr>
            <w:tcW w:w="3767" w:type="dxa"/>
            <w:vAlign w:val="center"/>
          </w:tcPr>
          <w:p w14:paraId="4703FFF5" w14:textId="77777777" w:rsidR="00AF356B" w:rsidRPr="00560332" w:rsidRDefault="001E295A">
            <w:pPr>
              <w:tabs>
                <w:tab w:val="left" w:pos="284"/>
                <w:tab w:val="left" w:pos="426"/>
              </w:tabs>
              <w:ind w:right="49"/>
              <w:jc w:val="both"/>
              <w:rPr>
                <w:rFonts w:ascii="Palatino Linotype" w:eastAsia="Palatino Linotype" w:hAnsi="Palatino Linotype" w:cs="Palatino Linotype"/>
              </w:rPr>
            </w:pPr>
            <w:r w:rsidRPr="00560332">
              <w:rPr>
                <w:rFonts w:ascii="Palatino Linotype" w:eastAsia="Palatino Linotype" w:hAnsi="Palatino Linotype" w:cs="Palatino Linotype"/>
              </w:rPr>
              <w:t>No haber sido separado anteriormente del servicio por las causas previstas en el artículo 93 de la presente ley.</w:t>
            </w:r>
          </w:p>
        </w:tc>
        <w:tc>
          <w:tcPr>
            <w:tcW w:w="2607" w:type="dxa"/>
            <w:vAlign w:val="center"/>
          </w:tcPr>
          <w:p w14:paraId="7F7F3F4E" w14:textId="77777777" w:rsidR="00AF356B" w:rsidRPr="00560332" w:rsidRDefault="001E295A">
            <w:pPr>
              <w:tabs>
                <w:tab w:val="left" w:pos="284"/>
                <w:tab w:val="left" w:pos="426"/>
              </w:tabs>
              <w:ind w:right="49"/>
              <w:jc w:val="both"/>
              <w:rPr>
                <w:rFonts w:ascii="Palatino Linotype" w:eastAsia="Palatino Linotype" w:hAnsi="Palatino Linotype" w:cs="Palatino Linotype"/>
              </w:rPr>
            </w:pPr>
            <w:r w:rsidRPr="00560332">
              <w:rPr>
                <w:rFonts w:ascii="Palatino Linotype" w:eastAsia="Palatino Linotype" w:hAnsi="Palatino Linotype" w:cs="Palatino Linotype"/>
              </w:rPr>
              <w:t>Manifestación bajo protesta de decir verdad.</w:t>
            </w:r>
          </w:p>
        </w:tc>
        <w:tc>
          <w:tcPr>
            <w:tcW w:w="2410" w:type="dxa"/>
            <w:vAlign w:val="center"/>
          </w:tcPr>
          <w:p w14:paraId="4FAC835A" w14:textId="77777777" w:rsidR="00AF356B" w:rsidRPr="00560332" w:rsidRDefault="001E295A">
            <w:pPr>
              <w:tabs>
                <w:tab w:val="left" w:pos="284"/>
                <w:tab w:val="left" w:pos="426"/>
              </w:tabs>
              <w:ind w:right="49"/>
              <w:jc w:val="center"/>
              <w:rPr>
                <w:rFonts w:ascii="Palatino Linotype" w:eastAsia="Palatino Linotype" w:hAnsi="Palatino Linotype" w:cs="Palatino Linotype"/>
              </w:rPr>
            </w:pPr>
            <w:r w:rsidRPr="00560332">
              <w:rPr>
                <w:rFonts w:ascii="Palatino Linotype" w:eastAsia="Palatino Linotype" w:hAnsi="Palatino Linotype" w:cs="Palatino Linotype"/>
              </w:rPr>
              <w:t>Documento íntegro</w:t>
            </w:r>
          </w:p>
        </w:tc>
      </w:tr>
      <w:tr w:rsidR="001E295A" w:rsidRPr="00560332" w14:paraId="1E9E4758" w14:textId="77777777">
        <w:tc>
          <w:tcPr>
            <w:tcW w:w="3767" w:type="dxa"/>
            <w:vAlign w:val="center"/>
          </w:tcPr>
          <w:p w14:paraId="07D0CDB7" w14:textId="77777777" w:rsidR="00AF356B" w:rsidRPr="00560332" w:rsidRDefault="001E295A">
            <w:pPr>
              <w:tabs>
                <w:tab w:val="left" w:pos="284"/>
                <w:tab w:val="left" w:pos="426"/>
              </w:tabs>
              <w:ind w:right="49"/>
              <w:jc w:val="both"/>
              <w:rPr>
                <w:rFonts w:ascii="Palatino Linotype" w:eastAsia="Palatino Linotype" w:hAnsi="Palatino Linotype" w:cs="Palatino Linotype"/>
              </w:rPr>
            </w:pPr>
            <w:r w:rsidRPr="00560332">
              <w:rPr>
                <w:rFonts w:ascii="Palatino Linotype" w:eastAsia="Palatino Linotype" w:hAnsi="Palatino Linotype" w:cs="Palatino Linotype"/>
              </w:rPr>
              <w:t>Tener buena salud, lo que se comprobará con los certificados médicos.</w:t>
            </w:r>
          </w:p>
        </w:tc>
        <w:tc>
          <w:tcPr>
            <w:tcW w:w="2607" w:type="dxa"/>
            <w:vAlign w:val="center"/>
          </w:tcPr>
          <w:p w14:paraId="7070AB63" w14:textId="77777777" w:rsidR="00AF356B" w:rsidRPr="00560332" w:rsidRDefault="001E295A">
            <w:pPr>
              <w:tabs>
                <w:tab w:val="left" w:pos="284"/>
                <w:tab w:val="left" w:pos="426"/>
              </w:tabs>
              <w:ind w:right="49"/>
              <w:jc w:val="both"/>
              <w:rPr>
                <w:rFonts w:ascii="Palatino Linotype" w:eastAsia="Palatino Linotype" w:hAnsi="Palatino Linotype" w:cs="Palatino Linotype"/>
              </w:rPr>
            </w:pPr>
            <w:r w:rsidRPr="00560332">
              <w:rPr>
                <w:rFonts w:ascii="Palatino Linotype" w:eastAsia="Palatino Linotype" w:hAnsi="Palatino Linotype" w:cs="Palatino Linotype"/>
              </w:rPr>
              <w:t>Certificado Médico</w:t>
            </w:r>
          </w:p>
        </w:tc>
        <w:tc>
          <w:tcPr>
            <w:tcW w:w="2410" w:type="dxa"/>
            <w:vAlign w:val="center"/>
          </w:tcPr>
          <w:p w14:paraId="2D6BE0DD" w14:textId="77777777" w:rsidR="00AF356B" w:rsidRPr="00560332" w:rsidRDefault="001E295A">
            <w:pPr>
              <w:tabs>
                <w:tab w:val="left" w:pos="284"/>
                <w:tab w:val="left" w:pos="426"/>
              </w:tabs>
              <w:ind w:right="49"/>
              <w:jc w:val="center"/>
              <w:rPr>
                <w:rFonts w:ascii="Palatino Linotype" w:eastAsia="Palatino Linotype" w:hAnsi="Palatino Linotype" w:cs="Palatino Linotype"/>
              </w:rPr>
            </w:pPr>
            <w:r w:rsidRPr="00560332">
              <w:rPr>
                <w:rFonts w:ascii="Palatino Linotype" w:eastAsia="Palatino Linotype" w:hAnsi="Palatino Linotype" w:cs="Palatino Linotype"/>
              </w:rPr>
              <w:t>Confidencial</w:t>
            </w:r>
          </w:p>
        </w:tc>
      </w:tr>
      <w:tr w:rsidR="001E295A" w:rsidRPr="00560332" w14:paraId="1C52AE2C" w14:textId="77777777">
        <w:tc>
          <w:tcPr>
            <w:tcW w:w="3767" w:type="dxa"/>
            <w:vAlign w:val="center"/>
          </w:tcPr>
          <w:p w14:paraId="3923B244" w14:textId="77777777" w:rsidR="00AF356B" w:rsidRPr="00560332" w:rsidRDefault="001E295A">
            <w:pPr>
              <w:tabs>
                <w:tab w:val="left" w:pos="284"/>
                <w:tab w:val="left" w:pos="426"/>
              </w:tabs>
              <w:ind w:right="49"/>
              <w:jc w:val="both"/>
              <w:rPr>
                <w:rFonts w:ascii="Palatino Linotype" w:eastAsia="Palatino Linotype" w:hAnsi="Palatino Linotype" w:cs="Palatino Linotype"/>
              </w:rPr>
            </w:pPr>
            <w:r w:rsidRPr="00560332">
              <w:rPr>
                <w:rFonts w:ascii="Palatino Linotype" w:eastAsia="Palatino Linotype" w:hAnsi="Palatino Linotype" w:cs="Palatino Linotype"/>
              </w:rPr>
              <w:t>Cumplir con los requisitos que se establezcan para los diferentes puestos.</w:t>
            </w:r>
          </w:p>
        </w:tc>
        <w:tc>
          <w:tcPr>
            <w:tcW w:w="2607" w:type="dxa"/>
            <w:vAlign w:val="center"/>
          </w:tcPr>
          <w:p w14:paraId="297AB67E" w14:textId="77777777" w:rsidR="00AF356B" w:rsidRPr="00560332" w:rsidRDefault="001E295A">
            <w:pPr>
              <w:tabs>
                <w:tab w:val="left" w:pos="284"/>
                <w:tab w:val="left" w:pos="426"/>
              </w:tabs>
              <w:ind w:right="49"/>
              <w:jc w:val="both"/>
              <w:rPr>
                <w:rFonts w:ascii="Palatino Linotype" w:eastAsia="Palatino Linotype" w:hAnsi="Palatino Linotype" w:cs="Palatino Linotype"/>
              </w:rPr>
            </w:pPr>
            <w:r w:rsidRPr="00560332">
              <w:rPr>
                <w:rFonts w:ascii="Palatino Linotype" w:eastAsia="Palatino Linotype" w:hAnsi="Palatino Linotype" w:cs="Palatino Linotype"/>
              </w:rPr>
              <w:t>En este caso, son aplicables los documentos previstos por la Ley Orgánica Municipal del Estado de México y Municipios, en virtud de que se trata de ayuntamientos.</w:t>
            </w:r>
          </w:p>
        </w:tc>
        <w:tc>
          <w:tcPr>
            <w:tcW w:w="2410" w:type="dxa"/>
            <w:vAlign w:val="center"/>
          </w:tcPr>
          <w:p w14:paraId="63B7C6CE" w14:textId="77777777" w:rsidR="00AF356B" w:rsidRPr="00560332" w:rsidRDefault="001E295A">
            <w:pPr>
              <w:tabs>
                <w:tab w:val="left" w:pos="284"/>
                <w:tab w:val="left" w:pos="426"/>
              </w:tabs>
              <w:ind w:right="49"/>
              <w:jc w:val="center"/>
              <w:rPr>
                <w:rFonts w:ascii="Palatino Linotype" w:eastAsia="Palatino Linotype" w:hAnsi="Palatino Linotype" w:cs="Palatino Linotype"/>
              </w:rPr>
            </w:pPr>
            <w:r w:rsidRPr="00560332">
              <w:rPr>
                <w:rFonts w:ascii="Palatino Linotype" w:eastAsia="Palatino Linotype" w:hAnsi="Palatino Linotype" w:cs="Palatino Linotype"/>
              </w:rPr>
              <w:t>Documento íntegro</w:t>
            </w:r>
          </w:p>
        </w:tc>
      </w:tr>
      <w:tr w:rsidR="001E295A" w:rsidRPr="00560332" w14:paraId="7BD21DD5" w14:textId="77777777">
        <w:tc>
          <w:tcPr>
            <w:tcW w:w="3767" w:type="dxa"/>
            <w:vAlign w:val="center"/>
          </w:tcPr>
          <w:p w14:paraId="2AF07F97" w14:textId="77777777" w:rsidR="00AF356B" w:rsidRPr="00560332" w:rsidRDefault="001E295A">
            <w:pPr>
              <w:tabs>
                <w:tab w:val="left" w:pos="284"/>
                <w:tab w:val="left" w:pos="426"/>
              </w:tabs>
              <w:ind w:right="49"/>
              <w:jc w:val="both"/>
              <w:rPr>
                <w:rFonts w:ascii="Palatino Linotype" w:eastAsia="Palatino Linotype" w:hAnsi="Palatino Linotype" w:cs="Palatino Linotype"/>
              </w:rPr>
            </w:pPr>
            <w:r w:rsidRPr="00560332">
              <w:rPr>
                <w:rFonts w:ascii="Palatino Linotype" w:eastAsia="Palatino Linotype" w:hAnsi="Palatino Linotype" w:cs="Palatino Linotype"/>
              </w:rPr>
              <w:t xml:space="preserve">Acreditar por medio de los exámenes correspondientes los conocimientos y aptitudes </w:t>
            </w:r>
            <w:r w:rsidRPr="00560332">
              <w:rPr>
                <w:rFonts w:ascii="Palatino Linotype" w:eastAsia="Palatino Linotype" w:hAnsi="Palatino Linotype" w:cs="Palatino Linotype"/>
              </w:rPr>
              <w:lastRenderedPageBreak/>
              <w:t>necesarios para el desempeño del puesto.</w:t>
            </w:r>
          </w:p>
        </w:tc>
        <w:tc>
          <w:tcPr>
            <w:tcW w:w="2607" w:type="dxa"/>
            <w:vAlign w:val="center"/>
          </w:tcPr>
          <w:p w14:paraId="675B80C5" w14:textId="77777777" w:rsidR="00AF356B" w:rsidRPr="00560332" w:rsidRDefault="001E295A">
            <w:pPr>
              <w:tabs>
                <w:tab w:val="left" w:pos="284"/>
                <w:tab w:val="left" w:pos="426"/>
              </w:tabs>
              <w:ind w:right="49"/>
              <w:jc w:val="both"/>
              <w:rPr>
                <w:rFonts w:ascii="Palatino Linotype" w:eastAsia="Palatino Linotype" w:hAnsi="Palatino Linotype" w:cs="Palatino Linotype"/>
              </w:rPr>
            </w:pPr>
            <w:r w:rsidRPr="00560332">
              <w:rPr>
                <w:rFonts w:ascii="Palatino Linotype" w:eastAsia="Palatino Linotype" w:hAnsi="Palatino Linotype" w:cs="Palatino Linotype"/>
              </w:rPr>
              <w:lastRenderedPageBreak/>
              <w:t xml:space="preserve">El documento obtenido por haber acreditado los </w:t>
            </w:r>
            <w:r w:rsidRPr="00560332">
              <w:rPr>
                <w:rFonts w:ascii="Palatino Linotype" w:eastAsia="Palatino Linotype" w:hAnsi="Palatino Linotype" w:cs="Palatino Linotype"/>
              </w:rPr>
              <w:lastRenderedPageBreak/>
              <w:t>exámenes de oposición o de conocimientos o aptitudes necesarios para ejercer el cargo.</w:t>
            </w:r>
          </w:p>
        </w:tc>
        <w:tc>
          <w:tcPr>
            <w:tcW w:w="2410" w:type="dxa"/>
            <w:vAlign w:val="center"/>
          </w:tcPr>
          <w:p w14:paraId="3C67F942" w14:textId="77777777" w:rsidR="00AF356B" w:rsidRPr="00560332" w:rsidRDefault="001E295A">
            <w:pPr>
              <w:tabs>
                <w:tab w:val="left" w:pos="284"/>
                <w:tab w:val="left" w:pos="426"/>
              </w:tabs>
              <w:ind w:right="49"/>
              <w:jc w:val="center"/>
              <w:rPr>
                <w:rFonts w:ascii="Palatino Linotype" w:eastAsia="Palatino Linotype" w:hAnsi="Palatino Linotype" w:cs="Palatino Linotype"/>
              </w:rPr>
            </w:pPr>
            <w:r w:rsidRPr="00560332">
              <w:rPr>
                <w:rFonts w:ascii="Palatino Linotype" w:eastAsia="Palatino Linotype" w:hAnsi="Palatino Linotype" w:cs="Palatino Linotype"/>
              </w:rPr>
              <w:lastRenderedPageBreak/>
              <w:t>En versión Pública.</w:t>
            </w:r>
          </w:p>
        </w:tc>
      </w:tr>
      <w:tr w:rsidR="001E295A" w:rsidRPr="00560332" w14:paraId="40A326CA" w14:textId="77777777">
        <w:tc>
          <w:tcPr>
            <w:tcW w:w="3767" w:type="dxa"/>
            <w:vAlign w:val="center"/>
          </w:tcPr>
          <w:p w14:paraId="46CF71CF" w14:textId="77777777" w:rsidR="00AF356B" w:rsidRPr="00560332" w:rsidRDefault="001E295A">
            <w:pPr>
              <w:tabs>
                <w:tab w:val="left" w:pos="284"/>
                <w:tab w:val="left" w:pos="426"/>
              </w:tabs>
              <w:ind w:right="49"/>
              <w:jc w:val="both"/>
              <w:rPr>
                <w:rFonts w:ascii="Palatino Linotype" w:eastAsia="Palatino Linotype" w:hAnsi="Palatino Linotype" w:cs="Palatino Linotype"/>
              </w:rPr>
            </w:pPr>
            <w:r w:rsidRPr="00560332">
              <w:rPr>
                <w:rFonts w:ascii="Palatino Linotype" w:eastAsia="Palatino Linotype" w:hAnsi="Palatino Linotype" w:cs="Palatino Linotype"/>
              </w:rPr>
              <w:t>No estar inhabilitado para el ejercicio del servicio público.</w:t>
            </w:r>
          </w:p>
        </w:tc>
        <w:tc>
          <w:tcPr>
            <w:tcW w:w="2607" w:type="dxa"/>
            <w:vAlign w:val="center"/>
          </w:tcPr>
          <w:p w14:paraId="1F4DEEBD" w14:textId="77777777" w:rsidR="00AF356B" w:rsidRPr="00560332" w:rsidRDefault="001E295A">
            <w:pPr>
              <w:tabs>
                <w:tab w:val="left" w:pos="284"/>
                <w:tab w:val="left" w:pos="426"/>
              </w:tabs>
              <w:ind w:right="49"/>
              <w:jc w:val="both"/>
              <w:rPr>
                <w:rFonts w:ascii="Palatino Linotype" w:eastAsia="Palatino Linotype" w:hAnsi="Palatino Linotype" w:cs="Palatino Linotype"/>
              </w:rPr>
            </w:pPr>
            <w:r w:rsidRPr="00560332">
              <w:rPr>
                <w:rFonts w:ascii="Palatino Linotype" w:eastAsia="Palatino Linotype" w:hAnsi="Palatino Linotype" w:cs="Palatino Linotype"/>
              </w:rPr>
              <w:t>Constancia de no inhabilitación.</w:t>
            </w:r>
          </w:p>
        </w:tc>
        <w:tc>
          <w:tcPr>
            <w:tcW w:w="2410" w:type="dxa"/>
            <w:vAlign w:val="center"/>
          </w:tcPr>
          <w:p w14:paraId="0BCC88A7" w14:textId="77777777" w:rsidR="00AF356B" w:rsidRPr="00560332" w:rsidRDefault="001E295A">
            <w:pPr>
              <w:tabs>
                <w:tab w:val="left" w:pos="284"/>
                <w:tab w:val="left" w:pos="426"/>
              </w:tabs>
              <w:ind w:right="49"/>
              <w:jc w:val="center"/>
              <w:rPr>
                <w:rFonts w:ascii="Palatino Linotype" w:eastAsia="Palatino Linotype" w:hAnsi="Palatino Linotype" w:cs="Palatino Linotype"/>
              </w:rPr>
            </w:pPr>
            <w:r w:rsidRPr="00560332">
              <w:rPr>
                <w:rFonts w:ascii="Palatino Linotype" w:eastAsia="Palatino Linotype" w:hAnsi="Palatino Linotype" w:cs="Palatino Linotype"/>
              </w:rPr>
              <w:t>Documento íntegro</w:t>
            </w:r>
          </w:p>
        </w:tc>
      </w:tr>
      <w:tr w:rsidR="001E295A" w:rsidRPr="00560332" w14:paraId="72543AEE" w14:textId="77777777">
        <w:tc>
          <w:tcPr>
            <w:tcW w:w="3767" w:type="dxa"/>
            <w:vAlign w:val="center"/>
          </w:tcPr>
          <w:p w14:paraId="4E13EF18" w14:textId="77777777" w:rsidR="00AF356B" w:rsidRPr="00560332" w:rsidRDefault="001E295A">
            <w:pPr>
              <w:tabs>
                <w:tab w:val="left" w:pos="284"/>
                <w:tab w:val="left" w:pos="426"/>
              </w:tabs>
              <w:ind w:right="49"/>
              <w:jc w:val="both"/>
              <w:rPr>
                <w:rFonts w:ascii="Palatino Linotype" w:eastAsia="Palatino Linotype" w:hAnsi="Palatino Linotype" w:cs="Palatino Linotype"/>
              </w:rPr>
            </w:pPr>
            <w:r w:rsidRPr="00560332">
              <w:rPr>
                <w:rFonts w:ascii="Palatino Linotype" w:eastAsia="Palatino Linotype" w:hAnsi="Palatino Linotype" w:cs="Palatino Linotype"/>
              </w:rPr>
              <w:t>Presentar certificado expedido por la Unidad del Registro de Deudores Alimentarios Morosos en el que conste, si se encuentra inscrito o no en el mismo.</w:t>
            </w:r>
          </w:p>
        </w:tc>
        <w:tc>
          <w:tcPr>
            <w:tcW w:w="2607" w:type="dxa"/>
            <w:vAlign w:val="center"/>
          </w:tcPr>
          <w:p w14:paraId="6DC85225" w14:textId="77777777" w:rsidR="00AF356B" w:rsidRPr="00560332" w:rsidRDefault="001E295A">
            <w:pPr>
              <w:tabs>
                <w:tab w:val="left" w:pos="284"/>
                <w:tab w:val="left" w:pos="426"/>
              </w:tabs>
              <w:ind w:right="49"/>
              <w:jc w:val="both"/>
              <w:rPr>
                <w:rFonts w:ascii="Palatino Linotype" w:eastAsia="Palatino Linotype" w:hAnsi="Palatino Linotype" w:cs="Palatino Linotype"/>
              </w:rPr>
            </w:pPr>
            <w:r w:rsidRPr="00560332">
              <w:rPr>
                <w:rFonts w:ascii="Palatino Linotype" w:eastAsia="Palatino Linotype" w:hAnsi="Palatino Linotype" w:cs="Palatino Linotype"/>
              </w:rPr>
              <w:t>Certificado de No Deudor Alimentario Moroso.</w:t>
            </w:r>
          </w:p>
        </w:tc>
        <w:tc>
          <w:tcPr>
            <w:tcW w:w="2410" w:type="dxa"/>
            <w:vAlign w:val="center"/>
          </w:tcPr>
          <w:p w14:paraId="39043AE5" w14:textId="77777777" w:rsidR="00AF356B" w:rsidRPr="00560332" w:rsidRDefault="001E295A">
            <w:pPr>
              <w:tabs>
                <w:tab w:val="left" w:pos="284"/>
                <w:tab w:val="left" w:pos="426"/>
              </w:tabs>
              <w:ind w:right="49"/>
              <w:jc w:val="center"/>
              <w:rPr>
                <w:rFonts w:ascii="Palatino Linotype" w:eastAsia="Palatino Linotype" w:hAnsi="Palatino Linotype" w:cs="Palatino Linotype"/>
              </w:rPr>
            </w:pPr>
            <w:r w:rsidRPr="00560332">
              <w:rPr>
                <w:rFonts w:ascii="Palatino Linotype" w:eastAsia="Palatino Linotype" w:hAnsi="Palatino Linotype" w:cs="Palatino Linotype"/>
              </w:rPr>
              <w:t>En versión Pública.</w:t>
            </w:r>
          </w:p>
        </w:tc>
      </w:tr>
      <w:tr w:rsidR="001E295A" w:rsidRPr="00560332" w14:paraId="639D9FD4" w14:textId="77777777">
        <w:tc>
          <w:tcPr>
            <w:tcW w:w="3767" w:type="dxa"/>
            <w:shd w:val="clear" w:color="auto" w:fill="auto"/>
            <w:vAlign w:val="center"/>
          </w:tcPr>
          <w:p w14:paraId="2465B134" w14:textId="77777777" w:rsidR="00AF356B" w:rsidRPr="00560332" w:rsidRDefault="001E295A">
            <w:pPr>
              <w:tabs>
                <w:tab w:val="left" w:pos="284"/>
                <w:tab w:val="left" w:pos="426"/>
              </w:tabs>
              <w:ind w:right="49"/>
              <w:jc w:val="both"/>
              <w:rPr>
                <w:rFonts w:ascii="Palatino Linotype" w:eastAsia="Palatino Linotype" w:hAnsi="Palatino Linotype" w:cs="Palatino Linotype"/>
              </w:rPr>
            </w:pPr>
            <w:r w:rsidRPr="00560332">
              <w:rPr>
                <w:rFonts w:ascii="Palatino Linotype" w:eastAsia="Palatino Linotype" w:hAnsi="Palatino Linotype" w:cs="Palatino Linotype"/>
              </w:rPr>
              <w:t>Para iniciar la prestación de los servicios</w:t>
            </w:r>
          </w:p>
        </w:tc>
        <w:tc>
          <w:tcPr>
            <w:tcW w:w="2607" w:type="dxa"/>
            <w:shd w:val="clear" w:color="auto" w:fill="auto"/>
            <w:vAlign w:val="center"/>
          </w:tcPr>
          <w:p w14:paraId="6C4BCB5D" w14:textId="77777777" w:rsidR="00AF356B" w:rsidRPr="00560332" w:rsidRDefault="001E295A">
            <w:pPr>
              <w:tabs>
                <w:tab w:val="left" w:pos="284"/>
                <w:tab w:val="left" w:pos="426"/>
              </w:tabs>
              <w:ind w:right="49"/>
              <w:jc w:val="both"/>
              <w:rPr>
                <w:rFonts w:ascii="Palatino Linotype" w:eastAsia="Palatino Linotype" w:hAnsi="Palatino Linotype" w:cs="Palatino Linotype"/>
              </w:rPr>
            </w:pPr>
            <w:r w:rsidRPr="00560332">
              <w:rPr>
                <w:rFonts w:ascii="Palatino Linotype" w:eastAsia="Palatino Linotype" w:hAnsi="Palatino Linotype" w:cs="Palatino Linotype"/>
              </w:rPr>
              <w:t>Nombramiento, contrato o formato único de Movimientos de Personal.</w:t>
            </w:r>
          </w:p>
        </w:tc>
        <w:tc>
          <w:tcPr>
            <w:tcW w:w="2410" w:type="dxa"/>
            <w:vAlign w:val="center"/>
          </w:tcPr>
          <w:p w14:paraId="32C5A6D2" w14:textId="77777777" w:rsidR="00AF356B" w:rsidRPr="00560332" w:rsidRDefault="001E295A">
            <w:pPr>
              <w:tabs>
                <w:tab w:val="left" w:pos="284"/>
                <w:tab w:val="left" w:pos="426"/>
              </w:tabs>
              <w:ind w:right="49"/>
              <w:jc w:val="center"/>
              <w:rPr>
                <w:rFonts w:ascii="Palatino Linotype" w:eastAsia="Palatino Linotype" w:hAnsi="Palatino Linotype" w:cs="Palatino Linotype"/>
              </w:rPr>
            </w:pPr>
            <w:r w:rsidRPr="00560332">
              <w:rPr>
                <w:rFonts w:ascii="Palatino Linotype" w:eastAsia="Palatino Linotype" w:hAnsi="Palatino Linotype" w:cs="Palatino Linotype"/>
              </w:rPr>
              <w:t>En versión Pública.</w:t>
            </w:r>
          </w:p>
        </w:tc>
      </w:tr>
    </w:tbl>
    <w:p w14:paraId="3109642E" w14:textId="77777777" w:rsidR="00AF356B" w:rsidRPr="00560332" w:rsidRDefault="00AF356B">
      <w:pPr>
        <w:tabs>
          <w:tab w:val="left" w:pos="8222"/>
        </w:tabs>
        <w:spacing w:line="360" w:lineRule="auto"/>
        <w:ind w:right="49"/>
        <w:jc w:val="both"/>
        <w:rPr>
          <w:rFonts w:ascii="Palatino Linotype" w:eastAsia="Palatino Linotype" w:hAnsi="Palatino Linotype" w:cs="Palatino Linotype"/>
          <w:sz w:val="22"/>
          <w:szCs w:val="22"/>
        </w:rPr>
      </w:pPr>
    </w:p>
    <w:p w14:paraId="5054FC38" w14:textId="77777777" w:rsidR="00AF356B" w:rsidRPr="00560332" w:rsidRDefault="00AF356B">
      <w:pPr>
        <w:tabs>
          <w:tab w:val="left" w:pos="8222"/>
        </w:tabs>
        <w:spacing w:line="360" w:lineRule="auto"/>
        <w:ind w:right="49"/>
        <w:jc w:val="both"/>
        <w:rPr>
          <w:rFonts w:ascii="Palatino Linotype" w:eastAsia="Palatino Linotype" w:hAnsi="Palatino Linotype" w:cs="Palatino Linotype"/>
          <w:sz w:val="22"/>
          <w:szCs w:val="22"/>
        </w:rPr>
      </w:pPr>
    </w:p>
    <w:p w14:paraId="675CE36E" w14:textId="77777777" w:rsidR="00AF356B" w:rsidRPr="00560332" w:rsidRDefault="001E295A">
      <w:pPr>
        <w:tabs>
          <w:tab w:val="left" w:pos="8222"/>
        </w:tabs>
        <w:spacing w:line="360" w:lineRule="auto"/>
        <w:ind w:right="49"/>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Para el caso del Director de Seguridad Pública, de acuerdo a la Ley de Seguridad del Estado de México establece los siguientes requisitos para ostentar el cargo:</w:t>
      </w:r>
    </w:p>
    <w:p w14:paraId="718DF329" w14:textId="77777777" w:rsidR="00AF356B" w:rsidRPr="00560332" w:rsidRDefault="00AF356B">
      <w:pPr>
        <w:tabs>
          <w:tab w:val="left" w:pos="8222"/>
        </w:tabs>
        <w:spacing w:line="360" w:lineRule="auto"/>
        <w:ind w:right="49"/>
        <w:jc w:val="both"/>
        <w:rPr>
          <w:rFonts w:ascii="Palatino Linotype" w:eastAsia="Palatino Linotype" w:hAnsi="Palatino Linotype" w:cs="Palatino Linotype"/>
          <w:sz w:val="22"/>
          <w:szCs w:val="22"/>
        </w:rPr>
      </w:pPr>
    </w:p>
    <w:p w14:paraId="6DB663ED" w14:textId="77777777" w:rsidR="00AF356B" w:rsidRPr="00560332" w:rsidRDefault="001E295A">
      <w:pPr>
        <w:tabs>
          <w:tab w:val="left" w:pos="8222"/>
        </w:tabs>
        <w:spacing w:line="360" w:lineRule="auto"/>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Artículo 22 Bis. Para ocupar el cargo de Director de Seguridad Pública Municipal o su equivalente, se deberán satisfacer los requisitos siguientes: </w:t>
      </w:r>
    </w:p>
    <w:p w14:paraId="09247B01" w14:textId="77777777" w:rsidR="00AF356B" w:rsidRPr="00560332" w:rsidRDefault="001E295A">
      <w:pPr>
        <w:tabs>
          <w:tab w:val="left" w:pos="8222"/>
        </w:tabs>
        <w:spacing w:line="360" w:lineRule="auto"/>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I. Ser ciudadano o ciudadana del Estado de México, preferentemente vecino del municipio, en pleno goce de sus derechos civiles y políticos; </w:t>
      </w:r>
    </w:p>
    <w:p w14:paraId="578F8B3C" w14:textId="77777777" w:rsidR="00AF356B" w:rsidRPr="00560332" w:rsidRDefault="001E295A">
      <w:pPr>
        <w:tabs>
          <w:tab w:val="left" w:pos="8222"/>
        </w:tabs>
        <w:spacing w:line="360" w:lineRule="auto"/>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lastRenderedPageBreak/>
        <w:t xml:space="preserve">II. No estar inhabilitado o inhabilitada para desempeñar cargo, empleo, o comisión pública; </w:t>
      </w:r>
    </w:p>
    <w:p w14:paraId="38DD6DA4" w14:textId="77777777" w:rsidR="00AF356B" w:rsidRPr="00560332" w:rsidRDefault="001E295A">
      <w:pPr>
        <w:tabs>
          <w:tab w:val="left" w:pos="8222"/>
        </w:tabs>
        <w:spacing w:line="360" w:lineRule="auto"/>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III. No haber sido condenado o condenada por delito doloso que amerite pena privativa de libertad; </w:t>
      </w:r>
    </w:p>
    <w:p w14:paraId="21C3F530" w14:textId="77777777" w:rsidR="00AF356B" w:rsidRPr="00560332" w:rsidRDefault="001E295A">
      <w:pPr>
        <w:tabs>
          <w:tab w:val="left" w:pos="8222"/>
        </w:tabs>
        <w:spacing w:line="360" w:lineRule="auto"/>
        <w:ind w:left="567" w:right="843"/>
        <w:jc w:val="both"/>
        <w:rPr>
          <w:rFonts w:ascii="Palatino Linotype" w:eastAsia="Palatino Linotype" w:hAnsi="Palatino Linotype" w:cs="Palatino Linotype"/>
          <w:b/>
          <w:i/>
          <w:sz w:val="22"/>
          <w:szCs w:val="22"/>
        </w:rPr>
      </w:pPr>
      <w:r w:rsidRPr="00560332">
        <w:rPr>
          <w:rFonts w:ascii="Palatino Linotype" w:eastAsia="Palatino Linotype" w:hAnsi="Palatino Linotype" w:cs="Palatino Linotype"/>
          <w:b/>
          <w:i/>
          <w:sz w:val="22"/>
          <w:szCs w:val="22"/>
        </w:rPr>
        <w:t xml:space="preserve">IV. Tener título de Licenciatura, y contar con certificación o especialización como mando en seguridad pública expedida por la Universidad Mexiquense de Seguridad, y contar con experiencia mínima de un año en la materia. </w:t>
      </w:r>
    </w:p>
    <w:p w14:paraId="75A1E649" w14:textId="77777777" w:rsidR="00AF356B" w:rsidRPr="00560332" w:rsidRDefault="001E295A">
      <w:pPr>
        <w:tabs>
          <w:tab w:val="left" w:pos="8222"/>
        </w:tabs>
        <w:spacing w:line="360" w:lineRule="auto"/>
        <w:ind w:left="567"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V. Someterse y aprobar las evaluaciones de certificación y control de confianza diseñadas por el Centro de Control de Confianza del Estado de México, específicamente para el desempeño del cargo de titulares de la Dirección de Seguridad Pública Municipal, para su ingreso y permanencia.</w:t>
      </w:r>
    </w:p>
    <w:p w14:paraId="5F0C7308" w14:textId="77777777" w:rsidR="00AF356B" w:rsidRPr="00560332" w:rsidRDefault="00AF356B">
      <w:pPr>
        <w:tabs>
          <w:tab w:val="left" w:pos="8222"/>
        </w:tabs>
        <w:spacing w:line="360" w:lineRule="auto"/>
        <w:ind w:left="567" w:right="843"/>
        <w:jc w:val="both"/>
        <w:rPr>
          <w:rFonts w:ascii="Palatino Linotype" w:eastAsia="Palatino Linotype" w:hAnsi="Palatino Linotype" w:cs="Palatino Linotype"/>
          <w:i/>
          <w:sz w:val="22"/>
          <w:szCs w:val="22"/>
        </w:rPr>
      </w:pPr>
    </w:p>
    <w:p w14:paraId="7BA5E520" w14:textId="77777777" w:rsidR="00AF356B" w:rsidRPr="00560332" w:rsidRDefault="001E295A">
      <w:pPr>
        <w:tabs>
          <w:tab w:val="left" w:pos="8222"/>
        </w:tabs>
        <w:spacing w:line="360" w:lineRule="auto"/>
        <w:ind w:left="567" w:right="843"/>
        <w:jc w:val="both"/>
        <w:rPr>
          <w:rFonts w:ascii="Palatino Linotype" w:eastAsia="Palatino Linotype" w:hAnsi="Palatino Linotype" w:cs="Palatino Linotype"/>
          <w:b/>
          <w:i/>
          <w:sz w:val="20"/>
          <w:szCs w:val="20"/>
        </w:rPr>
      </w:pPr>
      <w:r w:rsidRPr="00560332">
        <w:rPr>
          <w:rFonts w:ascii="Palatino Linotype" w:eastAsia="Palatino Linotype" w:hAnsi="Palatino Linotype" w:cs="Palatino Linotype"/>
          <w:b/>
          <w:i/>
          <w:sz w:val="22"/>
          <w:szCs w:val="22"/>
        </w:rPr>
        <w:t>Para ocupar el cargo de mandos medios de jerarquía inmediata inferior a la persona titular de la Dirección de Seguridad Pública Municipal o equivalente, se deberá cumplir con los requisitos previstos en el presente artículo, así como solicitar y conocer, de manera previa a su nombramiento, la opinión no vinculante de la Secretaría.</w:t>
      </w:r>
    </w:p>
    <w:p w14:paraId="2653FA0F" w14:textId="77777777" w:rsidR="00AF356B" w:rsidRPr="00560332" w:rsidRDefault="00AF356B">
      <w:pPr>
        <w:tabs>
          <w:tab w:val="left" w:pos="8222"/>
        </w:tabs>
        <w:spacing w:line="360" w:lineRule="auto"/>
        <w:ind w:right="49"/>
        <w:jc w:val="both"/>
        <w:rPr>
          <w:rFonts w:ascii="Palatino Linotype" w:eastAsia="Palatino Linotype" w:hAnsi="Palatino Linotype" w:cs="Palatino Linotype"/>
          <w:sz w:val="22"/>
          <w:szCs w:val="22"/>
        </w:rPr>
      </w:pPr>
    </w:p>
    <w:p w14:paraId="7EACC79E" w14:textId="77777777" w:rsidR="00AF356B" w:rsidRPr="00560332" w:rsidRDefault="001E295A">
      <w:pPr>
        <w:tabs>
          <w:tab w:val="left" w:pos="8222"/>
        </w:tabs>
        <w:spacing w:line="360" w:lineRule="auto"/>
        <w:ind w:right="49"/>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Es así que, la normatividad vigente, establece los requisitos que deben cumplir, de manera general, los servidores públicos para el ingreso al servicio público y, de manera específica los Directores de Seguridad Pública y los servidores públicos de mandos medios de jerarquía inmediata inferior. Esto último cobra puntual relevancia en el caso que se resuelve, ya que el Particular solicitó información respecto al Titular de la Dirección de Seguridad y de los Directores de la misma, siendo que dichos servidores públicos deben cumplir con los requisitos que establece el artículo citado, entre los que se encuentra el Título de Licenciatura.</w:t>
      </w:r>
    </w:p>
    <w:p w14:paraId="4573051D" w14:textId="77777777" w:rsidR="00AF356B" w:rsidRPr="00560332" w:rsidRDefault="00AF356B">
      <w:pPr>
        <w:tabs>
          <w:tab w:val="left" w:pos="8222"/>
        </w:tabs>
        <w:spacing w:line="360" w:lineRule="auto"/>
        <w:ind w:right="49"/>
        <w:jc w:val="both"/>
        <w:rPr>
          <w:rFonts w:ascii="Palatino Linotype" w:eastAsia="Palatino Linotype" w:hAnsi="Palatino Linotype" w:cs="Palatino Linotype"/>
          <w:sz w:val="22"/>
          <w:szCs w:val="22"/>
        </w:rPr>
      </w:pPr>
    </w:p>
    <w:p w14:paraId="6898082B" w14:textId="77777777" w:rsidR="00AF356B" w:rsidRPr="00560332" w:rsidRDefault="001E295A">
      <w:pPr>
        <w:tabs>
          <w:tab w:val="left" w:pos="8222"/>
        </w:tabs>
        <w:spacing w:line="360" w:lineRule="auto"/>
        <w:ind w:right="49"/>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lastRenderedPageBreak/>
        <w:t>El Sujeto Obligado entregó la siguiente información:</w:t>
      </w:r>
    </w:p>
    <w:p w14:paraId="2B7E4346" w14:textId="77777777" w:rsidR="00AF356B" w:rsidRPr="00560332" w:rsidRDefault="00AF356B">
      <w:pPr>
        <w:tabs>
          <w:tab w:val="left" w:pos="8222"/>
        </w:tabs>
        <w:spacing w:line="360" w:lineRule="auto"/>
        <w:ind w:right="49"/>
        <w:jc w:val="both"/>
        <w:rPr>
          <w:rFonts w:ascii="Palatino Linotype" w:eastAsia="Palatino Linotype" w:hAnsi="Palatino Linotype" w:cs="Palatino Linotype"/>
          <w:sz w:val="22"/>
          <w:szCs w:val="22"/>
        </w:rPr>
      </w:pPr>
    </w:p>
    <w:tbl>
      <w:tblPr>
        <w:tblStyle w:val="af7"/>
        <w:tblW w:w="921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4"/>
        <w:gridCol w:w="1210"/>
        <w:gridCol w:w="1945"/>
        <w:gridCol w:w="1565"/>
        <w:gridCol w:w="1465"/>
        <w:gridCol w:w="1377"/>
      </w:tblGrid>
      <w:tr w:rsidR="001E295A" w:rsidRPr="00560332" w14:paraId="0D0A7921" w14:textId="77777777">
        <w:tc>
          <w:tcPr>
            <w:tcW w:w="1654" w:type="dxa"/>
            <w:shd w:val="clear" w:color="auto" w:fill="DBEEF3"/>
          </w:tcPr>
          <w:p w14:paraId="25E78C41" w14:textId="77777777" w:rsidR="00AF356B" w:rsidRPr="00560332" w:rsidRDefault="001E295A">
            <w:pPr>
              <w:ind w:right="49"/>
              <w:jc w:val="both"/>
              <w:rPr>
                <w:rFonts w:ascii="Palatino Linotype" w:eastAsia="Palatino Linotype" w:hAnsi="Palatino Linotype" w:cs="Palatino Linotype"/>
                <w:b/>
                <w:sz w:val="20"/>
                <w:szCs w:val="20"/>
              </w:rPr>
            </w:pPr>
            <w:r w:rsidRPr="00560332">
              <w:rPr>
                <w:rFonts w:ascii="Palatino Linotype" w:eastAsia="Palatino Linotype" w:hAnsi="Palatino Linotype" w:cs="Palatino Linotype"/>
                <w:b/>
                <w:sz w:val="20"/>
                <w:szCs w:val="20"/>
              </w:rPr>
              <w:t>Servidor público / Cargo</w:t>
            </w:r>
          </w:p>
        </w:tc>
        <w:tc>
          <w:tcPr>
            <w:tcW w:w="1210" w:type="dxa"/>
            <w:shd w:val="clear" w:color="auto" w:fill="DBEEF3"/>
          </w:tcPr>
          <w:p w14:paraId="3EFC5974" w14:textId="77777777" w:rsidR="00AF356B" w:rsidRPr="00560332" w:rsidRDefault="001E295A">
            <w:pPr>
              <w:ind w:right="49"/>
              <w:jc w:val="both"/>
              <w:rPr>
                <w:rFonts w:ascii="Palatino Linotype" w:eastAsia="Palatino Linotype" w:hAnsi="Palatino Linotype" w:cs="Palatino Linotype"/>
                <w:b/>
                <w:sz w:val="20"/>
                <w:szCs w:val="20"/>
              </w:rPr>
            </w:pPr>
            <w:r w:rsidRPr="00560332">
              <w:rPr>
                <w:rFonts w:ascii="Palatino Linotype" w:eastAsia="Palatino Linotype" w:hAnsi="Palatino Linotype" w:cs="Palatino Linotype"/>
                <w:b/>
                <w:sz w:val="20"/>
                <w:szCs w:val="20"/>
              </w:rPr>
              <w:t xml:space="preserve">Ficha Curricular </w:t>
            </w:r>
          </w:p>
        </w:tc>
        <w:tc>
          <w:tcPr>
            <w:tcW w:w="1945" w:type="dxa"/>
            <w:shd w:val="clear" w:color="auto" w:fill="DBEEF3"/>
          </w:tcPr>
          <w:p w14:paraId="720087B0" w14:textId="77777777" w:rsidR="00AF356B" w:rsidRPr="00560332" w:rsidRDefault="001E295A">
            <w:pPr>
              <w:ind w:right="49"/>
              <w:jc w:val="both"/>
              <w:rPr>
                <w:rFonts w:ascii="Palatino Linotype" w:eastAsia="Palatino Linotype" w:hAnsi="Palatino Linotype" w:cs="Palatino Linotype"/>
                <w:b/>
                <w:sz w:val="20"/>
                <w:szCs w:val="20"/>
              </w:rPr>
            </w:pPr>
            <w:r w:rsidRPr="00560332">
              <w:rPr>
                <w:rFonts w:ascii="Palatino Linotype" w:eastAsia="Palatino Linotype" w:hAnsi="Palatino Linotype" w:cs="Palatino Linotype"/>
                <w:b/>
                <w:sz w:val="20"/>
                <w:szCs w:val="20"/>
              </w:rPr>
              <w:t xml:space="preserve">Comprobante de estudios </w:t>
            </w:r>
          </w:p>
        </w:tc>
        <w:tc>
          <w:tcPr>
            <w:tcW w:w="1565" w:type="dxa"/>
            <w:shd w:val="clear" w:color="auto" w:fill="DBEEF3"/>
          </w:tcPr>
          <w:p w14:paraId="19624EE5" w14:textId="77777777" w:rsidR="00AF356B" w:rsidRPr="00560332" w:rsidRDefault="001E295A">
            <w:pPr>
              <w:ind w:right="49"/>
              <w:jc w:val="both"/>
              <w:rPr>
                <w:rFonts w:ascii="Palatino Linotype" w:eastAsia="Palatino Linotype" w:hAnsi="Palatino Linotype" w:cs="Palatino Linotype"/>
                <w:b/>
                <w:sz w:val="20"/>
                <w:szCs w:val="20"/>
              </w:rPr>
            </w:pPr>
            <w:r w:rsidRPr="00560332">
              <w:rPr>
                <w:rFonts w:ascii="Palatino Linotype" w:eastAsia="Palatino Linotype" w:hAnsi="Palatino Linotype" w:cs="Palatino Linotype"/>
                <w:b/>
                <w:sz w:val="20"/>
                <w:szCs w:val="20"/>
              </w:rPr>
              <w:t xml:space="preserve">Constancia de no Inhabilitación </w:t>
            </w:r>
          </w:p>
        </w:tc>
        <w:tc>
          <w:tcPr>
            <w:tcW w:w="1465" w:type="dxa"/>
            <w:shd w:val="clear" w:color="auto" w:fill="DBEEF3"/>
          </w:tcPr>
          <w:p w14:paraId="6B7966A7" w14:textId="77777777" w:rsidR="00AF356B" w:rsidRPr="00560332" w:rsidRDefault="001E295A">
            <w:pPr>
              <w:ind w:right="49"/>
              <w:jc w:val="both"/>
              <w:rPr>
                <w:rFonts w:ascii="Palatino Linotype" w:eastAsia="Palatino Linotype" w:hAnsi="Palatino Linotype" w:cs="Palatino Linotype"/>
                <w:b/>
                <w:sz w:val="20"/>
                <w:szCs w:val="20"/>
              </w:rPr>
            </w:pPr>
            <w:r w:rsidRPr="00560332">
              <w:rPr>
                <w:rFonts w:ascii="Palatino Linotype" w:eastAsia="Palatino Linotype" w:hAnsi="Palatino Linotype" w:cs="Palatino Linotype"/>
                <w:b/>
                <w:sz w:val="20"/>
                <w:szCs w:val="20"/>
              </w:rPr>
              <w:t xml:space="preserve">Aviso de movimientos </w:t>
            </w:r>
          </w:p>
          <w:p w14:paraId="2B640F1A" w14:textId="77777777" w:rsidR="00AF356B" w:rsidRPr="00560332" w:rsidRDefault="001E295A">
            <w:pPr>
              <w:ind w:right="49"/>
              <w:jc w:val="both"/>
              <w:rPr>
                <w:rFonts w:ascii="Palatino Linotype" w:eastAsia="Palatino Linotype" w:hAnsi="Palatino Linotype" w:cs="Palatino Linotype"/>
                <w:b/>
                <w:sz w:val="20"/>
                <w:szCs w:val="20"/>
              </w:rPr>
            </w:pPr>
            <w:r w:rsidRPr="00560332">
              <w:rPr>
                <w:rFonts w:ascii="Palatino Linotype" w:eastAsia="Palatino Linotype" w:hAnsi="Palatino Linotype" w:cs="Palatino Linotype"/>
                <w:b/>
                <w:sz w:val="20"/>
                <w:szCs w:val="20"/>
              </w:rPr>
              <w:t>(Alta ISSEMyM)</w:t>
            </w:r>
          </w:p>
        </w:tc>
        <w:tc>
          <w:tcPr>
            <w:tcW w:w="1377" w:type="dxa"/>
            <w:shd w:val="clear" w:color="auto" w:fill="DBEEF3"/>
          </w:tcPr>
          <w:p w14:paraId="38A42ACB" w14:textId="77777777" w:rsidR="00AF356B" w:rsidRPr="00560332" w:rsidRDefault="001E295A">
            <w:pPr>
              <w:ind w:right="49"/>
              <w:jc w:val="both"/>
              <w:rPr>
                <w:rFonts w:ascii="Palatino Linotype" w:eastAsia="Palatino Linotype" w:hAnsi="Palatino Linotype" w:cs="Palatino Linotype"/>
                <w:b/>
                <w:sz w:val="20"/>
                <w:szCs w:val="20"/>
              </w:rPr>
            </w:pPr>
            <w:r w:rsidRPr="00560332">
              <w:rPr>
                <w:rFonts w:ascii="Palatino Linotype" w:eastAsia="Palatino Linotype" w:hAnsi="Palatino Linotype" w:cs="Palatino Linotype"/>
                <w:b/>
                <w:sz w:val="20"/>
                <w:szCs w:val="20"/>
              </w:rPr>
              <w:t xml:space="preserve">Certificado de no deudor Alimentario Moroso </w:t>
            </w:r>
          </w:p>
        </w:tc>
      </w:tr>
      <w:tr w:rsidR="001E295A" w:rsidRPr="00560332" w14:paraId="65D3388D" w14:textId="77777777">
        <w:tc>
          <w:tcPr>
            <w:tcW w:w="1654" w:type="dxa"/>
          </w:tcPr>
          <w:p w14:paraId="65D5901F" w14:textId="77777777" w:rsidR="00AF356B" w:rsidRPr="00560332" w:rsidRDefault="001E295A">
            <w:pPr>
              <w:ind w:right="49"/>
              <w:jc w:val="both"/>
              <w:rPr>
                <w:rFonts w:ascii="Palatino Linotype" w:eastAsia="Palatino Linotype" w:hAnsi="Palatino Linotype" w:cs="Palatino Linotype"/>
                <w:sz w:val="20"/>
                <w:szCs w:val="20"/>
              </w:rPr>
            </w:pPr>
            <w:r w:rsidRPr="00560332">
              <w:rPr>
                <w:rFonts w:ascii="Palatino Linotype" w:eastAsia="Palatino Linotype" w:hAnsi="Palatino Linotype" w:cs="Palatino Linotype"/>
                <w:sz w:val="22"/>
                <w:szCs w:val="22"/>
              </w:rPr>
              <w:t xml:space="preserve">Jorge Alberto </w:t>
            </w:r>
            <w:proofErr w:type="spellStart"/>
            <w:r w:rsidRPr="00560332">
              <w:rPr>
                <w:rFonts w:ascii="Palatino Linotype" w:eastAsia="Palatino Linotype" w:hAnsi="Palatino Linotype" w:cs="Palatino Linotype"/>
                <w:sz w:val="22"/>
                <w:szCs w:val="22"/>
              </w:rPr>
              <w:t>Ayon</w:t>
            </w:r>
            <w:proofErr w:type="spellEnd"/>
            <w:r w:rsidRPr="00560332">
              <w:rPr>
                <w:rFonts w:ascii="Palatino Linotype" w:eastAsia="Palatino Linotype" w:hAnsi="Palatino Linotype" w:cs="Palatino Linotype"/>
                <w:sz w:val="22"/>
                <w:szCs w:val="22"/>
              </w:rPr>
              <w:t xml:space="preserve"> Monsalve</w:t>
            </w:r>
          </w:p>
        </w:tc>
        <w:tc>
          <w:tcPr>
            <w:tcW w:w="1210" w:type="dxa"/>
          </w:tcPr>
          <w:p w14:paraId="4D06EAC0" w14:textId="77777777" w:rsidR="00AF356B" w:rsidRPr="00560332" w:rsidRDefault="001E295A">
            <w:pPr>
              <w:ind w:right="49"/>
              <w:jc w:val="both"/>
              <w:rPr>
                <w:rFonts w:ascii="Palatino Linotype" w:eastAsia="Palatino Linotype" w:hAnsi="Palatino Linotype" w:cs="Palatino Linotype"/>
                <w:sz w:val="20"/>
                <w:szCs w:val="20"/>
              </w:rPr>
            </w:pPr>
            <w:r w:rsidRPr="00560332">
              <w:rPr>
                <w:rFonts w:ascii="Palatino Linotype" w:eastAsia="Palatino Linotype" w:hAnsi="Palatino Linotype" w:cs="Palatino Linotype"/>
                <w:sz w:val="20"/>
                <w:szCs w:val="20"/>
              </w:rPr>
              <w:t>Entregó ficha curricular.</w:t>
            </w:r>
          </w:p>
        </w:tc>
        <w:tc>
          <w:tcPr>
            <w:tcW w:w="1945" w:type="dxa"/>
          </w:tcPr>
          <w:p w14:paraId="1D689A66" w14:textId="77777777" w:rsidR="00AF356B" w:rsidRPr="00560332" w:rsidRDefault="001E295A">
            <w:pPr>
              <w:ind w:right="49"/>
              <w:jc w:val="both"/>
              <w:rPr>
                <w:rFonts w:ascii="Palatino Linotype" w:eastAsia="Palatino Linotype" w:hAnsi="Palatino Linotype" w:cs="Palatino Linotype"/>
                <w:sz w:val="20"/>
                <w:szCs w:val="20"/>
              </w:rPr>
            </w:pPr>
            <w:r w:rsidRPr="00560332">
              <w:rPr>
                <w:rFonts w:ascii="Palatino Linotype" w:eastAsia="Palatino Linotype" w:hAnsi="Palatino Linotype" w:cs="Palatino Linotype"/>
                <w:sz w:val="20"/>
                <w:szCs w:val="20"/>
              </w:rPr>
              <w:t>Título de licenciatura</w:t>
            </w:r>
          </w:p>
        </w:tc>
        <w:tc>
          <w:tcPr>
            <w:tcW w:w="1565" w:type="dxa"/>
          </w:tcPr>
          <w:p w14:paraId="50F7FBF1" w14:textId="77777777" w:rsidR="00AF356B" w:rsidRPr="00560332" w:rsidRDefault="001E295A">
            <w:pPr>
              <w:ind w:right="49"/>
              <w:jc w:val="both"/>
              <w:rPr>
                <w:rFonts w:ascii="Palatino Linotype" w:eastAsia="Palatino Linotype" w:hAnsi="Palatino Linotype" w:cs="Palatino Linotype"/>
                <w:sz w:val="20"/>
                <w:szCs w:val="20"/>
              </w:rPr>
            </w:pPr>
            <w:r w:rsidRPr="00560332">
              <w:rPr>
                <w:rFonts w:ascii="Palatino Linotype" w:eastAsia="Palatino Linotype" w:hAnsi="Palatino Linotype" w:cs="Palatino Linotype"/>
                <w:sz w:val="20"/>
                <w:szCs w:val="20"/>
              </w:rPr>
              <w:t>Entregó constancia</w:t>
            </w:r>
          </w:p>
        </w:tc>
        <w:tc>
          <w:tcPr>
            <w:tcW w:w="1465" w:type="dxa"/>
          </w:tcPr>
          <w:p w14:paraId="548931EE" w14:textId="77777777" w:rsidR="00AF356B" w:rsidRPr="00560332" w:rsidRDefault="001E295A">
            <w:pPr>
              <w:ind w:right="49"/>
              <w:jc w:val="both"/>
              <w:rPr>
                <w:rFonts w:ascii="Palatino Linotype" w:eastAsia="Palatino Linotype" w:hAnsi="Palatino Linotype" w:cs="Palatino Linotype"/>
                <w:sz w:val="20"/>
                <w:szCs w:val="20"/>
              </w:rPr>
            </w:pPr>
            <w:r w:rsidRPr="00560332">
              <w:rPr>
                <w:rFonts w:ascii="Palatino Linotype" w:eastAsia="Palatino Linotype" w:hAnsi="Palatino Linotype" w:cs="Palatino Linotype"/>
                <w:sz w:val="20"/>
                <w:szCs w:val="20"/>
              </w:rPr>
              <w:t>Entregó movimiento de alta</w:t>
            </w:r>
          </w:p>
        </w:tc>
        <w:tc>
          <w:tcPr>
            <w:tcW w:w="1377" w:type="dxa"/>
          </w:tcPr>
          <w:p w14:paraId="2E4D4816" w14:textId="77777777" w:rsidR="00AF356B" w:rsidRPr="00560332" w:rsidRDefault="001E295A">
            <w:pPr>
              <w:ind w:right="49"/>
              <w:jc w:val="both"/>
              <w:rPr>
                <w:rFonts w:ascii="Palatino Linotype" w:eastAsia="Palatino Linotype" w:hAnsi="Palatino Linotype" w:cs="Palatino Linotype"/>
                <w:sz w:val="20"/>
                <w:szCs w:val="20"/>
              </w:rPr>
            </w:pPr>
            <w:r w:rsidRPr="00560332">
              <w:rPr>
                <w:rFonts w:ascii="Palatino Linotype" w:eastAsia="Palatino Linotype" w:hAnsi="Palatino Linotype" w:cs="Palatino Linotype"/>
                <w:sz w:val="20"/>
                <w:szCs w:val="20"/>
              </w:rPr>
              <w:t>Entregó certificado de no deudor alimentario moroso.</w:t>
            </w:r>
          </w:p>
        </w:tc>
      </w:tr>
      <w:tr w:rsidR="001E295A" w:rsidRPr="00560332" w14:paraId="32074C16" w14:textId="77777777">
        <w:tc>
          <w:tcPr>
            <w:tcW w:w="1654" w:type="dxa"/>
          </w:tcPr>
          <w:p w14:paraId="732D5AC7" w14:textId="77777777" w:rsidR="00AF356B" w:rsidRPr="00560332" w:rsidRDefault="001E295A">
            <w:pPr>
              <w:ind w:right="49"/>
              <w:jc w:val="both"/>
              <w:rPr>
                <w:rFonts w:ascii="Palatino Linotype" w:eastAsia="Palatino Linotype" w:hAnsi="Palatino Linotype" w:cs="Palatino Linotype"/>
                <w:sz w:val="20"/>
                <w:szCs w:val="20"/>
              </w:rPr>
            </w:pPr>
            <w:r w:rsidRPr="00560332">
              <w:rPr>
                <w:rFonts w:ascii="Palatino Linotype" w:eastAsia="Palatino Linotype" w:hAnsi="Palatino Linotype" w:cs="Palatino Linotype"/>
                <w:sz w:val="22"/>
                <w:szCs w:val="22"/>
              </w:rPr>
              <w:t>José Luis Álvarez Orozco</w:t>
            </w:r>
          </w:p>
        </w:tc>
        <w:tc>
          <w:tcPr>
            <w:tcW w:w="1210" w:type="dxa"/>
          </w:tcPr>
          <w:p w14:paraId="2E00712A" w14:textId="77777777" w:rsidR="00AF356B" w:rsidRPr="00560332" w:rsidRDefault="001E295A">
            <w:pPr>
              <w:ind w:right="49"/>
              <w:jc w:val="both"/>
              <w:rPr>
                <w:rFonts w:ascii="Palatino Linotype" w:eastAsia="Palatino Linotype" w:hAnsi="Palatino Linotype" w:cs="Palatino Linotype"/>
                <w:sz w:val="20"/>
                <w:szCs w:val="20"/>
              </w:rPr>
            </w:pPr>
            <w:r w:rsidRPr="00560332">
              <w:rPr>
                <w:rFonts w:ascii="Palatino Linotype" w:eastAsia="Palatino Linotype" w:hAnsi="Palatino Linotype" w:cs="Palatino Linotype"/>
                <w:sz w:val="20"/>
                <w:szCs w:val="20"/>
              </w:rPr>
              <w:t>Entregó ficha curricular.</w:t>
            </w:r>
          </w:p>
        </w:tc>
        <w:tc>
          <w:tcPr>
            <w:tcW w:w="1945" w:type="dxa"/>
          </w:tcPr>
          <w:p w14:paraId="62022F3F" w14:textId="77777777" w:rsidR="00AF356B" w:rsidRPr="00560332" w:rsidRDefault="001E295A">
            <w:pPr>
              <w:ind w:right="49"/>
              <w:jc w:val="both"/>
              <w:rPr>
                <w:rFonts w:ascii="Palatino Linotype" w:eastAsia="Palatino Linotype" w:hAnsi="Palatino Linotype" w:cs="Palatino Linotype"/>
                <w:sz w:val="20"/>
                <w:szCs w:val="20"/>
              </w:rPr>
            </w:pPr>
            <w:r w:rsidRPr="00560332">
              <w:rPr>
                <w:rFonts w:ascii="Palatino Linotype" w:eastAsia="Palatino Linotype" w:hAnsi="Palatino Linotype" w:cs="Palatino Linotype"/>
                <w:sz w:val="20"/>
                <w:szCs w:val="20"/>
              </w:rPr>
              <w:t>Título de licenciatura</w:t>
            </w:r>
          </w:p>
        </w:tc>
        <w:tc>
          <w:tcPr>
            <w:tcW w:w="1565" w:type="dxa"/>
          </w:tcPr>
          <w:p w14:paraId="08DB7FAC" w14:textId="77777777" w:rsidR="00AF356B" w:rsidRPr="00560332" w:rsidRDefault="001E295A">
            <w:pPr>
              <w:ind w:right="49"/>
              <w:jc w:val="both"/>
              <w:rPr>
                <w:rFonts w:ascii="Palatino Linotype" w:eastAsia="Palatino Linotype" w:hAnsi="Palatino Linotype" w:cs="Palatino Linotype"/>
                <w:sz w:val="20"/>
                <w:szCs w:val="20"/>
              </w:rPr>
            </w:pPr>
            <w:r w:rsidRPr="00560332">
              <w:rPr>
                <w:rFonts w:ascii="Palatino Linotype" w:eastAsia="Palatino Linotype" w:hAnsi="Palatino Linotype" w:cs="Palatino Linotype"/>
                <w:sz w:val="20"/>
                <w:szCs w:val="20"/>
              </w:rPr>
              <w:t>Entregó constancia</w:t>
            </w:r>
          </w:p>
        </w:tc>
        <w:tc>
          <w:tcPr>
            <w:tcW w:w="1465" w:type="dxa"/>
          </w:tcPr>
          <w:p w14:paraId="67BD9FA8" w14:textId="77777777" w:rsidR="00AF356B" w:rsidRPr="00560332" w:rsidRDefault="001E295A">
            <w:pPr>
              <w:ind w:right="49"/>
              <w:jc w:val="both"/>
              <w:rPr>
                <w:rFonts w:ascii="Palatino Linotype" w:eastAsia="Palatino Linotype" w:hAnsi="Palatino Linotype" w:cs="Palatino Linotype"/>
                <w:sz w:val="20"/>
                <w:szCs w:val="20"/>
              </w:rPr>
            </w:pPr>
            <w:r w:rsidRPr="00560332">
              <w:rPr>
                <w:rFonts w:ascii="Palatino Linotype" w:eastAsia="Palatino Linotype" w:hAnsi="Palatino Linotype" w:cs="Palatino Linotype"/>
                <w:sz w:val="20"/>
                <w:szCs w:val="20"/>
              </w:rPr>
              <w:t>Entregó movimiento de alta</w:t>
            </w:r>
          </w:p>
        </w:tc>
        <w:tc>
          <w:tcPr>
            <w:tcW w:w="1377" w:type="dxa"/>
          </w:tcPr>
          <w:p w14:paraId="70A2D661" w14:textId="77777777" w:rsidR="00AF356B" w:rsidRPr="00560332" w:rsidRDefault="001E295A">
            <w:pPr>
              <w:ind w:right="49"/>
              <w:jc w:val="both"/>
              <w:rPr>
                <w:rFonts w:ascii="Palatino Linotype" w:eastAsia="Palatino Linotype" w:hAnsi="Palatino Linotype" w:cs="Palatino Linotype"/>
                <w:sz w:val="20"/>
                <w:szCs w:val="20"/>
              </w:rPr>
            </w:pPr>
            <w:r w:rsidRPr="00560332">
              <w:rPr>
                <w:rFonts w:ascii="Palatino Linotype" w:eastAsia="Palatino Linotype" w:hAnsi="Palatino Linotype" w:cs="Palatino Linotype"/>
                <w:sz w:val="20"/>
                <w:szCs w:val="20"/>
              </w:rPr>
              <w:t>Entregó certificado de no deudor alimentario moroso.</w:t>
            </w:r>
          </w:p>
        </w:tc>
      </w:tr>
      <w:tr w:rsidR="001E295A" w:rsidRPr="00560332" w14:paraId="2DF58A10" w14:textId="77777777">
        <w:tc>
          <w:tcPr>
            <w:tcW w:w="1654" w:type="dxa"/>
          </w:tcPr>
          <w:p w14:paraId="5CFEC3C7" w14:textId="77777777" w:rsidR="00AF356B" w:rsidRPr="00560332" w:rsidRDefault="001E295A">
            <w:pPr>
              <w:ind w:right="49"/>
              <w:jc w:val="both"/>
              <w:rPr>
                <w:rFonts w:ascii="Palatino Linotype" w:eastAsia="Palatino Linotype" w:hAnsi="Palatino Linotype" w:cs="Palatino Linotype"/>
                <w:sz w:val="20"/>
                <w:szCs w:val="20"/>
              </w:rPr>
            </w:pPr>
            <w:r w:rsidRPr="00560332">
              <w:rPr>
                <w:rFonts w:ascii="Palatino Linotype" w:eastAsia="Palatino Linotype" w:hAnsi="Palatino Linotype" w:cs="Palatino Linotype"/>
                <w:sz w:val="22"/>
                <w:szCs w:val="22"/>
              </w:rPr>
              <w:t>Alberto Antonio Corona Garrido</w:t>
            </w:r>
          </w:p>
        </w:tc>
        <w:tc>
          <w:tcPr>
            <w:tcW w:w="1210" w:type="dxa"/>
          </w:tcPr>
          <w:p w14:paraId="34A996B0" w14:textId="77777777" w:rsidR="00AF356B" w:rsidRPr="00560332" w:rsidRDefault="001E295A">
            <w:pPr>
              <w:ind w:right="49"/>
              <w:jc w:val="both"/>
              <w:rPr>
                <w:rFonts w:ascii="Palatino Linotype" w:eastAsia="Palatino Linotype" w:hAnsi="Palatino Linotype" w:cs="Palatino Linotype"/>
                <w:sz w:val="20"/>
                <w:szCs w:val="20"/>
              </w:rPr>
            </w:pPr>
            <w:r w:rsidRPr="00560332">
              <w:rPr>
                <w:rFonts w:ascii="Palatino Linotype" w:eastAsia="Palatino Linotype" w:hAnsi="Palatino Linotype" w:cs="Palatino Linotype"/>
                <w:sz w:val="20"/>
                <w:szCs w:val="20"/>
              </w:rPr>
              <w:t xml:space="preserve">Entregó ficha curricular. </w:t>
            </w:r>
          </w:p>
        </w:tc>
        <w:tc>
          <w:tcPr>
            <w:tcW w:w="1945" w:type="dxa"/>
          </w:tcPr>
          <w:p w14:paraId="6906BF44" w14:textId="77777777" w:rsidR="00AF356B" w:rsidRPr="00560332" w:rsidRDefault="001E295A">
            <w:pPr>
              <w:ind w:right="49"/>
              <w:jc w:val="both"/>
              <w:rPr>
                <w:rFonts w:ascii="Palatino Linotype" w:eastAsia="Palatino Linotype" w:hAnsi="Palatino Linotype" w:cs="Palatino Linotype"/>
                <w:sz w:val="20"/>
                <w:szCs w:val="20"/>
              </w:rPr>
            </w:pPr>
            <w:r w:rsidRPr="00560332">
              <w:rPr>
                <w:rFonts w:ascii="Palatino Linotype" w:eastAsia="Palatino Linotype" w:hAnsi="Palatino Linotype" w:cs="Palatino Linotype"/>
                <w:sz w:val="20"/>
                <w:szCs w:val="20"/>
              </w:rPr>
              <w:t>-</w:t>
            </w:r>
          </w:p>
        </w:tc>
        <w:tc>
          <w:tcPr>
            <w:tcW w:w="1565" w:type="dxa"/>
          </w:tcPr>
          <w:p w14:paraId="42E49208" w14:textId="77777777" w:rsidR="00AF356B" w:rsidRPr="00560332" w:rsidRDefault="001E295A">
            <w:pPr>
              <w:ind w:right="49"/>
              <w:jc w:val="both"/>
              <w:rPr>
                <w:rFonts w:ascii="Palatino Linotype" w:eastAsia="Palatino Linotype" w:hAnsi="Palatino Linotype" w:cs="Palatino Linotype"/>
                <w:sz w:val="20"/>
                <w:szCs w:val="20"/>
              </w:rPr>
            </w:pPr>
            <w:r w:rsidRPr="00560332">
              <w:rPr>
                <w:rFonts w:ascii="Palatino Linotype" w:eastAsia="Palatino Linotype" w:hAnsi="Palatino Linotype" w:cs="Palatino Linotype"/>
                <w:sz w:val="20"/>
                <w:szCs w:val="20"/>
              </w:rPr>
              <w:t>-</w:t>
            </w:r>
          </w:p>
        </w:tc>
        <w:tc>
          <w:tcPr>
            <w:tcW w:w="1465" w:type="dxa"/>
          </w:tcPr>
          <w:p w14:paraId="55C3202F" w14:textId="77777777" w:rsidR="00AF356B" w:rsidRPr="00560332" w:rsidRDefault="001E295A">
            <w:pPr>
              <w:ind w:right="49"/>
              <w:jc w:val="both"/>
              <w:rPr>
                <w:rFonts w:ascii="Palatino Linotype" w:eastAsia="Palatino Linotype" w:hAnsi="Palatino Linotype" w:cs="Palatino Linotype"/>
                <w:sz w:val="20"/>
                <w:szCs w:val="20"/>
              </w:rPr>
            </w:pPr>
            <w:r w:rsidRPr="00560332">
              <w:rPr>
                <w:rFonts w:ascii="Palatino Linotype" w:eastAsia="Palatino Linotype" w:hAnsi="Palatino Linotype" w:cs="Palatino Linotype"/>
                <w:sz w:val="20"/>
                <w:szCs w:val="20"/>
              </w:rPr>
              <w:t>-</w:t>
            </w:r>
          </w:p>
        </w:tc>
        <w:tc>
          <w:tcPr>
            <w:tcW w:w="1377" w:type="dxa"/>
          </w:tcPr>
          <w:p w14:paraId="39B69EC4" w14:textId="77777777" w:rsidR="00AF356B" w:rsidRPr="00560332" w:rsidRDefault="001E295A">
            <w:pPr>
              <w:ind w:right="49"/>
              <w:jc w:val="both"/>
              <w:rPr>
                <w:rFonts w:ascii="Palatino Linotype" w:eastAsia="Palatino Linotype" w:hAnsi="Palatino Linotype" w:cs="Palatino Linotype"/>
                <w:sz w:val="20"/>
                <w:szCs w:val="20"/>
              </w:rPr>
            </w:pPr>
            <w:r w:rsidRPr="00560332">
              <w:rPr>
                <w:rFonts w:ascii="Palatino Linotype" w:eastAsia="Palatino Linotype" w:hAnsi="Palatino Linotype" w:cs="Palatino Linotype"/>
                <w:sz w:val="20"/>
                <w:szCs w:val="20"/>
              </w:rPr>
              <w:t>-</w:t>
            </w:r>
          </w:p>
        </w:tc>
      </w:tr>
    </w:tbl>
    <w:p w14:paraId="3FBE5EE1" w14:textId="77777777" w:rsidR="00AF356B" w:rsidRPr="00560332" w:rsidRDefault="00AF356B">
      <w:pPr>
        <w:tabs>
          <w:tab w:val="left" w:pos="8222"/>
        </w:tabs>
        <w:spacing w:line="360" w:lineRule="auto"/>
        <w:ind w:right="49"/>
        <w:jc w:val="both"/>
        <w:rPr>
          <w:rFonts w:ascii="Palatino Linotype" w:eastAsia="Palatino Linotype" w:hAnsi="Palatino Linotype" w:cs="Palatino Linotype"/>
          <w:sz w:val="22"/>
          <w:szCs w:val="22"/>
        </w:rPr>
      </w:pPr>
    </w:p>
    <w:p w14:paraId="054ABA21" w14:textId="77777777" w:rsidR="00AF356B" w:rsidRPr="00560332" w:rsidRDefault="00AF356B">
      <w:pPr>
        <w:tabs>
          <w:tab w:val="left" w:pos="8222"/>
        </w:tabs>
        <w:spacing w:line="360" w:lineRule="auto"/>
        <w:ind w:right="49"/>
        <w:jc w:val="both"/>
        <w:rPr>
          <w:rFonts w:ascii="Palatino Linotype" w:eastAsia="Palatino Linotype" w:hAnsi="Palatino Linotype" w:cs="Palatino Linotype"/>
          <w:sz w:val="22"/>
          <w:szCs w:val="22"/>
        </w:rPr>
      </w:pPr>
    </w:p>
    <w:p w14:paraId="1ED3360B" w14:textId="77777777" w:rsidR="00AF356B" w:rsidRPr="00560332" w:rsidRDefault="001E295A">
      <w:pPr>
        <w:tabs>
          <w:tab w:val="left" w:pos="8222"/>
        </w:tabs>
        <w:spacing w:line="360" w:lineRule="auto"/>
        <w:ind w:right="49"/>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De este modo, es de referir que es de interés público de la ciudadanía, conocer que los trabajadores gubernamentales cumplen con todos los requisitos establecidos en la normatividad respectiva, pues solo así, se puede saber, si los empleados, son aptos para ocupar determinados puestos; por otra parte, la publicidad de la información ayuda a rendir cuentas a la población, respecto a que las dependencias gubernamentales cumplen con lo establecido en los ordenamientos jurídicos, ya que permite a las personas verificar que una Dependencia o Ayuntamiento, contrata a servidores públicos capaces e idóneos para cumplir con sus funciones y cumplen con los requisitos respectivos.</w:t>
      </w:r>
    </w:p>
    <w:p w14:paraId="27CD045C" w14:textId="77777777" w:rsidR="00AF356B" w:rsidRPr="00560332" w:rsidRDefault="00AF356B">
      <w:pPr>
        <w:tabs>
          <w:tab w:val="left" w:pos="8222"/>
        </w:tabs>
        <w:spacing w:line="360" w:lineRule="auto"/>
        <w:ind w:right="49"/>
        <w:jc w:val="both"/>
        <w:rPr>
          <w:rFonts w:ascii="Palatino Linotype" w:eastAsia="Palatino Linotype" w:hAnsi="Palatino Linotype" w:cs="Palatino Linotype"/>
          <w:sz w:val="22"/>
          <w:szCs w:val="22"/>
        </w:rPr>
      </w:pPr>
    </w:p>
    <w:p w14:paraId="7F2D1862" w14:textId="77777777" w:rsidR="00AF356B" w:rsidRPr="00560332" w:rsidRDefault="001E295A">
      <w:pPr>
        <w:tabs>
          <w:tab w:val="left" w:pos="8222"/>
        </w:tabs>
        <w:spacing w:line="360" w:lineRule="auto"/>
        <w:ind w:right="49"/>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lastRenderedPageBreak/>
        <w:t>En atención a lo anterior, se procede al análisis pormenorizado de las documentales que conforman los expedientes laborales del personal para efecto de determinar la procedencia de su entrega:</w:t>
      </w:r>
    </w:p>
    <w:p w14:paraId="000D5513" w14:textId="77777777" w:rsidR="00AF356B" w:rsidRPr="00560332" w:rsidRDefault="00AF356B">
      <w:pPr>
        <w:pBdr>
          <w:top w:val="nil"/>
          <w:left w:val="nil"/>
          <w:bottom w:val="nil"/>
          <w:right w:val="nil"/>
          <w:between w:val="nil"/>
        </w:pBdr>
        <w:ind w:left="720" w:hanging="360"/>
        <w:rPr>
          <w:rFonts w:ascii="Palatino Linotype" w:eastAsia="Palatino Linotype" w:hAnsi="Palatino Linotype" w:cs="Palatino Linotype"/>
          <w:b/>
          <w:sz w:val="22"/>
          <w:szCs w:val="22"/>
        </w:rPr>
      </w:pPr>
    </w:p>
    <w:p w14:paraId="1A857BEB" w14:textId="77777777" w:rsidR="00AF356B" w:rsidRPr="00560332" w:rsidRDefault="001E295A">
      <w:pPr>
        <w:numPr>
          <w:ilvl w:val="0"/>
          <w:numId w:val="6"/>
        </w:numPr>
        <w:pBdr>
          <w:top w:val="nil"/>
          <w:left w:val="nil"/>
          <w:bottom w:val="nil"/>
          <w:right w:val="nil"/>
          <w:between w:val="nil"/>
        </w:pBdr>
        <w:rPr>
          <w:rFonts w:ascii="Palatino Linotype" w:eastAsia="Palatino Linotype" w:hAnsi="Palatino Linotype" w:cs="Palatino Linotype"/>
          <w:b/>
          <w:sz w:val="22"/>
          <w:szCs w:val="22"/>
        </w:rPr>
      </w:pPr>
      <w:r w:rsidRPr="00560332">
        <w:rPr>
          <w:rFonts w:ascii="Palatino Linotype" w:eastAsia="Palatino Linotype" w:hAnsi="Palatino Linotype" w:cs="Palatino Linotype"/>
          <w:b/>
          <w:sz w:val="22"/>
          <w:szCs w:val="22"/>
        </w:rPr>
        <w:t xml:space="preserve">Currículum vitae </w:t>
      </w:r>
    </w:p>
    <w:p w14:paraId="0DEF9AD3" w14:textId="77777777" w:rsidR="00AF356B" w:rsidRPr="00560332" w:rsidRDefault="00AF356B">
      <w:pPr>
        <w:pBdr>
          <w:top w:val="nil"/>
          <w:left w:val="nil"/>
          <w:bottom w:val="nil"/>
          <w:right w:val="nil"/>
          <w:between w:val="nil"/>
        </w:pBdr>
        <w:ind w:left="720" w:hanging="360"/>
        <w:rPr>
          <w:rFonts w:ascii="Palatino Linotype" w:eastAsia="Palatino Linotype" w:hAnsi="Palatino Linotype" w:cs="Palatino Linotype"/>
          <w:b/>
          <w:sz w:val="22"/>
          <w:szCs w:val="22"/>
        </w:rPr>
      </w:pPr>
    </w:p>
    <w:p w14:paraId="3C13577B" w14:textId="77777777" w:rsidR="00AF356B" w:rsidRPr="00560332" w:rsidRDefault="001E295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Respecto a este punto de análisis, es el documento que contiene la información relacionada con la trayectoria académica, profesional y laboral de un Servidor Público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 del cual se desprende el último cargo que ocupó.</w:t>
      </w:r>
    </w:p>
    <w:p w14:paraId="4D0FCE43" w14:textId="77777777" w:rsidR="00AF356B" w:rsidRPr="00560332" w:rsidRDefault="001E295A">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En ese orden de ideas, si bien, el documento referido es elaborado por cada persona sin ninguna validez oficial, el cual tiene como objetivo que las personas conozcan la trayectoria de quien lo presenta, situación que toma mayor relevancia al tratarse de aquel que ostenta un cargo en la administración; por lo que, existe un interés público para dar a conocer su contenido, pues transparenta que el personal que labora para el </w:t>
      </w:r>
      <w:r w:rsidRPr="00560332">
        <w:rPr>
          <w:rFonts w:ascii="Palatino Linotype" w:eastAsia="Palatino Linotype" w:hAnsi="Palatino Linotype" w:cs="Palatino Linotype"/>
          <w:b/>
          <w:sz w:val="22"/>
          <w:szCs w:val="22"/>
        </w:rPr>
        <w:t> Sujeto Obligado</w:t>
      </w:r>
      <w:r w:rsidRPr="00560332">
        <w:rPr>
          <w:rFonts w:ascii="Palatino Linotype" w:eastAsia="Palatino Linotype" w:hAnsi="Palatino Linotype" w:cs="Palatino Linotype"/>
          <w:sz w:val="22"/>
          <w:szCs w:val="22"/>
        </w:rPr>
        <w:t xml:space="preserve"> cuenta con las capacidades, conocimientos y experiencia necesaria para el cabal cumplimiento de sus funciones. </w:t>
      </w:r>
    </w:p>
    <w:p w14:paraId="7268BA07" w14:textId="77777777" w:rsidR="00AF356B" w:rsidRPr="00560332" w:rsidRDefault="001E295A">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Lo que se sustenta, con lo señalado por el entonces Instituto Nacional de Transparencia Acceso a la Información y Protección de Datos Personales, en su criterio orientador 03/2009 que indica que una de las 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14:paraId="36B588A4" w14:textId="77777777" w:rsidR="00AF356B" w:rsidRPr="00560332" w:rsidRDefault="001E295A">
      <w:pPr>
        <w:pBdr>
          <w:top w:val="nil"/>
          <w:left w:val="nil"/>
          <w:bottom w:val="nil"/>
          <w:right w:val="nil"/>
          <w:between w:val="nil"/>
        </w:pBdr>
        <w:spacing w:before="240" w:after="240" w:line="276" w:lineRule="auto"/>
        <w:ind w:left="851" w:right="618"/>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i/>
          <w:sz w:val="22"/>
          <w:szCs w:val="22"/>
        </w:rPr>
        <w:lastRenderedPageBreak/>
        <w:t>“</w:t>
      </w:r>
      <w:proofErr w:type="spellStart"/>
      <w:r w:rsidRPr="00560332">
        <w:rPr>
          <w:rFonts w:ascii="Palatino Linotype" w:eastAsia="Palatino Linotype" w:hAnsi="Palatino Linotype" w:cs="Palatino Linotype"/>
          <w:b/>
          <w:i/>
          <w:sz w:val="22"/>
          <w:szCs w:val="22"/>
        </w:rPr>
        <w:t>Curriculum</w:t>
      </w:r>
      <w:proofErr w:type="spellEnd"/>
      <w:r w:rsidRPr="00560332">
        <w:rPr>
          <w:rFonts w:ascii="Palatino Linotype" w:eastAsia="Palatino Linotype" w:hAnsi="Palatino Linotype" w:cs="Palatino Linotype"/>
          <w:b/>
          <w:i/>
          <w:sz w:val="22"/>
          <w:szCs w:val="22"/>
        </w:rPr>
        <w:t xml:space="preserve"> Vitae de servidores públicos. Es obligación de los sujetos obligados otorgar acceso a versiones públicas de los mismos ante una solicitud de acceso. </w:t>
      </w:r>
      <w:r w:rsidRPr="00560332">
        <w:rPr>
          <w:rFonts w:ascii="Palatino Linotype" w:eastAsia="Palatino Linotype" w:hAnsi="Palatino Linotype" w:cs="Palatino Linotype"/>
          <w:i/>
          <w:sz w:val="22"/>
          <w:szCs w:val="22"/>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560332">
        <w:rPr>
          <w:rFonts w:ascii="Palatino Linotype" w:eastAsia="Palatino Linotype" w:hAnsi="Palatino Linotype" w:cs="Palatino Linotype"/>
          <w:i/>
          <w:sz w:val="22"/>
          <w:szCs w:val="22"/>
        </w:rPr>
        <w:t>curriculum</w:t>
      </w:r>
      <w:proofErr w:type="spellEnd"/>
      <w:r w:rsidRPr="00560332">
        <w:rPr>
          <w:rFonts w:ascii="Palatino Linotype" w:eastAsia="Palatino Linotype" w:hAnsi="Palatino Linotype" w:cs="Palatino Linotype"/>
          <w:i/>
          <w:sz w:val="22"/>
          <w:szCs w:val="22"/>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560332">
        <w:rPr>
          <w:rFonts w:ascii="Palatino Linotype" w:eastAsia="Palatino Linotype" w:hAnsi="Palatino Linotype" w:cs="Palatino Linotype"/>
          <w:i/>
          <w:sz w:val="22"/>
          <w:szCs w:val="22"/>
        </w:rPr>
        <w:t>curriculum</w:t>
      </w:r>
      <w:proofErr w:type="spellEnd"/>
      <w:r w:rsidRPr="00560332">
        <w:rPr>
          <w:rFonts w:ascii="Palatino Linotype" w:eastAsia="Palatino Linotype" w:hAnsi="Palatino Linotype" w:cs="Palatino Linotype"/>
          <w:i/>
          <w:sz w:val="22"/>
          <w:szCs w:val="22"/>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6D47DD35" w14:textId="77777777" w:rsidR="00AF356B" w:rsidRPr="00560332" w:rsidRDefault="001E295A">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En esa tesitura, debe apuntarse que esta constituye una obligación de transparencia, pues el </w:t>
      </w:r>
      <w:r w:rsidRPr="00560332">
        <w:rPr>
          <w:rFonts w:ascii="Palatino Linotype" w:eastAsia="Palatino Linotype" w:hAnsi="Palatino Linotype" w:cs="Palatino Linotype"/>
          <w:b/>
          <w:sz w:val="22"/>
          <w:szCs w:val="22"/>
        </w:rPr>
        <w:t>Sujeto Obligado</w:t>
      </w:r>
      <w:r w:rsidRPr="00560332">
        <w:rPr>
          <w:rFonts w:ascii="Palatino Linotype" w:eastAsia="Palatino Linotype" w:hAnsi="Palatino Linotype" w:cs="Palatino Linotype"/>
          <w:sz w:val="22"/>
          <w:szCs w:val="22"/>
        </w:rPr>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14:paraId="78FE2E17" w14:textId="77777777" w:rsidR="00AF356B" w:rsidRPr="00560332" w:rsidRDefault="001E295A">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i/>
          <w:sz w:val="22"/>
          <w:szCs w:val="22"/>
        </w:rPr>
        <w:t>“</w:t>
      </w:r>
      <w:r w:rsidRPr="00560332">
        <w:rPr>
          <w:rFonts w:ascii="Palatino Linotype" w:eastAsia="Palatino Linotype" w:hAnsi="Palatino Linotype" w:cs="Palatino Linotype"/>
          <w:b/>
          <w:i/>
          <w:sz w:val="22"/>
          <w:szCs w:val="22"/>
        </w:rPr>
        <w:t>Artículo 92</w:t>
      </w:r>
      <w:r w:rsidRPr="00560332">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A3B21AA" w14:textId="77777777" w:rsidR="00AF356B" w:rsidRPr="00560332" w:rsidRDefault="001E295A">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i/>
          <w:sz w:val="22"/>
          <w:szCs w:val="22"/>
        </w:rPr>
        <w:lastRenderedPageBreak/>
        <w:t>...</w:t>
      </w:r>
    </w:p>
    <w:p w14:paraId="59875398" w14:textId="77777777" w:rsidR="00AF356B" w:rsidRPr="00560332" w:rsidRDefault="001E295A">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b/>
          <w:i/>
          <w:sz w:val="22"/>
          <w:szCs w:val="22"/>
        </w:rPr>
        <w:t>XXI. La información curricular, desde el nivel de jefe de departamento o equivalente, hasta el titular del sujeto obligado</w:t>
      </w:r>
      <w:r w:rsidRPr="00560332">
        <w:rPr>
          <w:rFonts w:ascii="Palatino Linotype" w:eastAsia="Palatino Linotype" w:hAnsi="Palatino Linotype" w:cs="Palatino Linotype"/>
          <w:i/>
          <w:sz w:val="22"/>
          <w:szCs w:val="22"/>
        </w:rPr>
        <w:t xml:space="preserve">, así como, en su caso, las sanciones administrativas de que haya sido objeto” </w:t>
      </w:r>
    </w:p>
    <w:p w14:paraId="379ECA15" w14:textId="77777777" w:rsidR="00AF356B" w:rsidRPr="00560332" w:rsidRDefault="001E295A">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i/>
          <w:sz w:val="22"/>
          <w:szCs w:val="22"/>
        </w:rPr>
        <w:t>(Énfasis añadido)</w:t>
      </w:r>
    </w:p>
    <w:p w14:paraId="61BB55A1" w14:textId="77777777" w:rsidR="00AF356B" w:rsidRPr="00560332" w:rsidRDefault="001E295A">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Como se aprecia en el dispositivo legal citado, lo sujetos obligados deben publicar la información curricular de los(as) servidores(as) públicos(as) y/o personas que desempeñen actualmente un empleo, cargo o comisión y/o ejerzan actos de autoridad en el </w:t>
      </w:r>
      <w:r w:rsidRPr="00560332">
        <w:rPr>
          <w:rFonts w:ascii="Palatino Linotype" w:eastAsia="Palatino Linotype" w:hAnsi="Palatino Linotype" w:cs="Palatino Linotype"/>
          <w:b/>
          <w:sz w:val="22"/>
          <w:szCs w:val="22"/>
        </w:rPr>
        <w:t xml:space="preserve">Sujeto Obligado, </w:t>
      </w:r>
      <w:r w:rsidRPr="00560332">
        <w:rPr>
          <w:rFonts w:ascii="Palatino Linotype" w:eastAsia="Palatino Linotype" w:hAnsi="Palatino Linotype" w:cs="Palatino Linotype"/>
          <w:sz w:val="22"/>
          <w:szCs w:val="22"/>
        </w:rPr>
        <w:t>como se apreció en la cita, debe precisarse que dicha circunstancia no es</w:t>
      </w:r>
      <w:r w:rsidRPr="00560332">
        <w:rPr>
          <w:rFonts w:ascii="Palatino Linotype" w:eastAsia="Palatino Linotype" w:hAnsi="Palatino Linotype" w:cs="Palatino Linotype"/>
          <w:b/>
          <w:sz w:val="22"/>
          <w:szCs w:val="22"/>
        </w:rPr>
        <w:t xml:space="preserve"> </w:t>
      </w:r>
      <w:r w:rsidRPr="00560332">
        <w:rPr>
          <w:rFonts w:ascii="Palatino Linotype" w:eastAsia="Palatino Linotype" w:hAnsi="Palatino Linotype" w:cs="Palatino Linotype"/>
          <w:sz w:val="22"/>
          <w:szCs w:val="22"/>
        </w:rPr>
        <w:t>óbice para que se encuentre impedido a contar con dicha información respecto de todos los servidores públicos con los que tenga una relación laboral.</w:t>
      </w:r>
    </w:p>
    <w:p w14:paraId="6AD0DEB2" w14:textId="77777777" w:rsidR="00AF356B" w:rsidRPr="00560332" w:rsidRDefault="001E295A">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De lo anterior, se desprende que una de las formas en que los ciudadanos pueden evaluar las aptitudes para desempeñar un cargo público determinado, es mediante la publicidad de ciertos datos contenidos en la ficha curricular, tales como: la trayectoria académica, profesional, laboral, así como todos aquellos que acrediten su capacidad, habilidades y pericia para ocupar el puesto público. Lo anterior, para favorecer la rendición de cuentas, pues la publicidad de lo anterior tiene como fin verificar el correcto desempeño de los sujetos obligados, no obstante, al no hacer entrega de este, resulta procedente ordenar previa búsqueda exhaustiva y razonable el Currículum Vitae, Ficha Curricular, Solicitud de empleo o documento análogo de los servidores públicos adscritos al Organismo.</w:t>
      </w:r>
    </w:p>
    <w:p w14:paraId="69FC515E" w14:textId="77777777" w:rsidR="00AF356B" w:rsidRPr="00560332" w:rsidRDefault="001E295A">
      <w:pPr>
        <w:spacing w:line="360" w:lineRule="auto"/>
        <w:jc w:val="both"/>
        <w:rPr>
          <w:rFonts w:ascii="Palatino Linotype" w:eastAsia="Palatino Linotype" w:hAnsi="Palatino Linotype" w:cs="Palatino Linotype"/>
          <w:b/>
          <w:sz w:val="22"/>
          <w:szCs w:val="22"/>
        </w:rPr>
      </w:pPr>
      <w:r w:rsidRPr="00560332">
        <w:rPr>
          <w:rFonts w:ascii="Palatino Linotype" w:eastAsia="Palatino Linotype" w:hAnsi="Palatino Linotype" w:cs="Palatino Linotype"/>
          <w:sz w:val="22"/>
          <w:szCs w:val="22"/>
        </w:rPr>
        <w:t>●</w:t>
      </w:r>
      <w:r w:rsidRPr="00560332">
        <w:rPr>
          <w:rFonts w:ascii="Palatino Linotype" w:eastAsia="Palatino Linotype" w:hAnsi="Palatino Linotype" w:cs="Palatino Linotype"/>
          <w:sz w:val="22"/>
          <w:szCs w:val="22"/>
        </w:rPr>
        <w:tab/>
      </w:r>
      <w:r w:rsidRPr="00560332">
        <w:rPr>
          <w:rFonts w:ascii="Palatino Linotype" w:eastAsia="Palatino Linotype" w:hAnsi="Palatino Linotype" w:cs="Palatino Linotype"/>
          <w:b/>
          <w:sz w:val="22"/>
          <w:szCs w:val="22"/>
        </w:rPr>
        <w:t>Documento que acredite la nacionalidad (acta de nacimiento)</w:t>
      </w:r>
    </w:p>
    <w:p w14:paraId="0FCA62FC" w14:textId="77777777" w:rsidR="00AF356B" w:rsidRPr="00560332" w:rsidRDefault="001E295A">
      <w:pPr>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Dentro de la fracción II del artículo 47 de la Ley del Trabajo de los Servidores Públicos del Estado de México, el requisito consiste en ser de nacionalidad mexicana, por lo que el documento que colmaría este punto de la solicitud de manera enunciativa más no limitativa sería el acta de nacimiento, es por ello que conviene precisar que las actas emitidas por el </w:t>
      </w:r>
      <w:r w:rsidRPr="00560332">
        <w:rPr>
          <w:rFonts w:ascii="Palatino Linotype" w:eastAsia="Palatino Linotype" w:hAnsi="Palatino Linotype" w:cs="Palatino Linotype"/>
          <w:sz w:val="22"/>
          <w:szCs w:val="22"/>
        </w:rPr>
        <w:lastRenderedPageBreak/>
        <w:t xml:space="preserve">Registro Civil dan cuenta de un atributo de la personalidad, tal como lo establece el artículo 2.3 del Código Civil del Estado México. En ese orden de ideas, el artículo 3.5 del citado Código Civil establece que el estado civil de las personas sólo se comprueba con las constancias relativas del Registro Civil, tal como lo es el Acta de Nacimiento. </w:t>
      </w:r>
    </w:p>
    <w:p w14:paraId="62441D3C" w14:textId="77777777" w:rsidR="00AF356B" w:rsidRPr="00560332" w:rsidRDefault="001E295A">
      <w:pPr>
        <w:spacing w:before="240" w:after="240"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Ahora bien, de acuerdo con el Formato Único del Acta de Nacimiento publicado por la Secretaría de Gobernación en el enlace </w:t>
      </w:r>
      <w:hyperlink r:id="rId8">
        <w:r w:rsidRPr="00560332">
          <w:rPr>
            <w:rFonts w:ascii="Palatino Linotype" w:eastAsia="Palatino Linotype" w:hAnsi="Palatino Linotype" w:cs="Palatino Linotype"/>
            <w:sz w:val="22"/>
            <w:szCs w:val="22"/>
            <w:u w:val="single"/>
          </w:rPr>
          <w:t>http://www.diputados.gob.mx/documentos/N_Acta_Nacimiento.pdf</w:t>
        </w:r>
      </w:hyperlink>
      <w:r w:rsidRPr="00560332">
        <w:rPr>
          <w:rFonts w:ascii="Palatino Linotype" w:eastAsia="Palatino Linotype" w:hAnsi="Palatino Linotype" w:cs="Palatino Linotype"/>
          <w:sz w:val="22"/>
          <w:szCs w:val="22"/>
        </w:rPr>
        <w:t xml:space="preserve"> , se advierte que el Acta de Nacimiento se componte de quince elementos siendo los siguientes: </w:t>
      </w:r>
    </w:p>
    <w:p w14:paraId="6A226FC5" w14:textId="77777777" w:rsidR="00AF356B" w:rsidRPr="00560332" w:rsidRDefault="001E295A">
      <w:pPr>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a) Folio de Impresión.</w:t>
      </w:r>
    </w:p>
    <w:p w14:paraId="4626C4C3" w14:textId="77777777" w:rsidR="00AF356B" w:rsidRPr="00560332" w:rsidRDefault="001E295A">
      <w:pPr>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b) Denominación del Documento.</w:t>
      </w:r>
    </w:p>
    <w:p w14:paraId="585751C4" w14:textId="77777777" w:rsidR="00AF356B" w:rsidRPr="00560332" w:rsidRDefault="001E295A">
      <w:pPr>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c) Identificador Electrónico. </w:t>
      </w:r>
    </w:p>
    <w:p w14:paraId="28E8BFBF" w14:textId="77777777" w:rsidR="00AF356B" w:rsidRPr="00560332" w:rsidRDefault="001E295A">
      <w:pPr>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d) Elementos del Registro. </w:t>
      </w:r>
    </w:p>
    <w:p w14:paraId="0410B950" w14:textId="77777777" w:rsidR="00AF356B" w:rsidRPr="00560332" w:rsidRDefault="001E295A">
      <w:pPr>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e) Datos de la Persona Registrada. </w:t>
      </w:r>
    </w:p>
    <w:p w14:paraId="10A1EB03" w14:textId="77777777" w:rsidR="00AF356B" w:rsidRPr="00560332" w:rsidRDefault="001E295A">
      <w:pPr>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f) Datos de Filiación de la Persona Registrada. </w:t>
      </w:r>
    </w:p>
    <w:p w14:paraId="2EC1875E" w14:textId="77777777" w:rsidR="00AF356B" w:rsidRPr="00560332" w:rsidRDefault="001E295A">
      <w:pPr>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g) Anotaciones Marginales. </w:t>
      </w:r>
    </w:p>
    <w:p w14:paraId="5172DA3E" w14:textId="77777777" w:rsidR="00AF356B" w:rsidRPr="00560332" w:rsidRDefault="001E295A">
      <w:pPr>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h) Certificación. </w:t>
      </w:r>
    </w:p>
    <w:p w14:paraId="3E2B6619" w14:textId="77777777" w:rsidR="00AF356B" w:rsidRPr="00560332" w:rsidRDefault="001E295A">
      <w:pPr>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i) Código Bidimensional QR que contiene información encriptada del acta. </w:t>
      </w:r>
    </w:p>
    <w:p w14:paraId="21F8A44D" w14:textId="77777777" w:rsidR="00AF356B" w:rsidRPr="00560332" w:rsidRDefault="001E295A">
      <w:pPr>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j) Leyenda “Soy México” </w:t>
      </w:r>
    </w:p>
    <w:p w14:paraId="5AC3E1EE" w14:textId="77777777" w:rsidR="00AF356B" w:rsidRPr="00560332" w:rsidRDefault="001E295A">
      <w:pPr>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k) Firma Electrónica Avanzada. </w:t>
      </w:r>
    </w:p>
    <w:p w14:paraId="27BF5E00" w14:textId="77777777" w:rsidR="00AF356B" w:rsidRPr="00560332" w:rsidRDefault="001E295A">
      <w:pPr>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l) Firma y datos de la autoridad emisora. </w:t>
      </w:r>
    </w:p>
    <w:p w14:paraId="7385E71C" w14:textId="77777777" w:rsidR="00AF356B" w:rsidRPr="00560332" w:rsidRDefault="001E295A">
      <w:pPr>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m) Código QR. </w:t>
      </w:r>
    </w:p>
    <w:p w14:paraId="73001774" w14:textId="77777777" w:rsidR="00AF356B" w:rsidRPr="00560332" w:rsidRDefault="001E295A">
      <w:pPr>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n) Código de Verificación.</w:t>
      </w:r>
    </w:p>
    <w:p w14:paraId="6590A7C3" w14:textId="77777777" w:rsidR="00AF356B" w:rsidRPr="00560332" w:rsidRDefault="001E295A">
      <w:pPr>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o) Leyenda de instrucciones para la verificación del documento. </w:t>
      </w:r>
    </w:p>
    <w:p w14:paraId="7980CFF5" w14:textId="77777777" w:rsidR="00AF356B" w:rsidRPr="00560332" w:rsidRDefault="001E295A">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lastRenderedPageBreak/>
        <w:t xml:space="preserve">Como se advierte del análisis de los apartados d) elementos de registro, e) datos de la persona registrada y f) datos de filiación de la persona registrada, el Acta de Nacimiento, contiene la Clave Única de Registro de Población (CURP) de la persona registrada y de las personas que detenten la filiación, número de certificado que expide la Secretaría de Salud para acreditar el nacimiento de una persona, sexo, fecha de nacimiento, lugar de nacimiento, entre otros. </w:t>
      </w:r>
    </w:p>
    <w:p w14:paraId="5DB6EE53" w14:textId="77777777" w:rsidR="00AF356B" w:rsidRPr="00560332" w:rsidRDefault="001E295A">
      <w:pPr>
        <w:spacing w:before="240" w:after="240"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Dada esta relevancia, al ser el acta de nacimiento un documento mediante el cual se le otorga identidad a una persona, además de tratarse de información que no se encuentra relacionada con el ejercicio de un cargo público, sino con el ejercicio de los derechos personales de su titular, se estima que dicho documento debe ser clasificado como información confidencial en su totalidad, al considerar que actualiza la causal de clasificación establecida en el artículo 143, fracción I, de la Ley de Transparencia y Acceso a la Información Pública del Estado de México y Municipios.</w:t>
      </w:r>
    </w:p>
    <w:p w14:paraId="4DE1DDF6" w14:textId="77777777" w:rsidR="00AF356B" w:rsidRPr="00560332" w:rsidRDefault="001E295A">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60332">
        <w:rPr>
          <w:rFonts w:ascii="Palatino Linotype" w:eastAsia="Palatino Linotype" w:hAnsi="Palatino Linotype" w:cs="Palatino Linotype"/>
          <w:b/>
          <w:sz w:val="22"/>
          <w:szCs w:val="22"/>
        </w:rPr>
        <w:t>Certificado de no antecedentes penales.</w:t>
      </w:r>
    </w:p>
    <w:p w14:paraId="6D0D1136" w14:textId="77777777" w:rsidR="00AF356B" w:rsidRPr="00560332" w:rsidRDefault="001E295A">
      <w:pPr>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Para abordar este punto, conviene hacer mención que el</w:t>
      </w:r>
      <w:r w:rsidRPr="00560332">
        <w:rPr>
          <w:rFonts w:ascii="Palatino Linotype" w:eastAsia="Palatino Linotype" w:hAnsi="Palatino Linotype" w:cs="Palatino Linotype"/>
          <w:b/>
          <w:sz w:val="22"/>
          <w:szCs w:val="22"/>
        </w:rPr>
        <w:t xml:space="preserve"> Sujeto Obligado </w:t>
      </w:r>
      <w:r w:rsidRPr="00560332">
        <w:rPr>
          <w:rFonts w:ascii="Palatino Linotype" w:eastAsia="Palatino Linotype" w:hAnsi="Palatino Linotype" w:cs="Palatino Linotype"/>
          <w:sz w:val="22"/>
          <w:szCs w:val="22"/>
        </w:rPr>
        <w:t>omitió emitir un pronunciamiento sobre la existencia de este documento, por consiguiente, es dable afirmar que no se emitió en apego a los principios de congruencia y exhaustividad, consagrados en el contenido del Criterio Orientador 02/2017 emitido por el entonces Instituto Nacional de Transparencia, Acceso a la Información y Protección de Datos Personales (INAI).</w:t>
      </w:r>
    </w:p>
    <w:p w14:paraId="295A4592" w14:textId="77777777" w:rsidR="00AF356B" w:rsidRPr="00560332" w:rsidRDefault="00AF356B">
      <w:pPr>
        <w:spacing w:line="360" w:lineRule="auto"/>
        <w:rPr>
          <w:rFonts w:ascii="Palatino Linotype" w:eastAsia="Palatino Linotype" w:hAnsi="Palatino Linotype" w:cs="Palatino Linotype"/>
          <w:sz w:val="22"/>
          <w:szCs w:val="22"/>
        </w:rPr>
      </w:pPr>
    </w:p>
    <w:p w14:paraId="072BBCBF" w14:textId="77777777" w:rsidR="00AF356B" w:rsidRPr="00560332" w:rsidRDefault="001E295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En tal tesitura, se advierte que mediante el Decreto Número 109, publicado en el periódico oficial “Gaceta de Gobierno” el 3 de agosto de 2016, se derogó la fracción V del artículo 47 de la Ley del Trabajo de los servidores públicos del Estado y Municipios, por lo que derivado de esta reforma ya no se mandata a las personas que deseen ingresar al servicio público a presentar el documento en el que acrediten “no contar con antecedentes penales por delitos intencionales”, lo anterior en virtud de que se contempla como una forma de discriminación, </w:t>
      </w:r>
      <w:r w:rsidRPr="00560332">
        <w:rPr>
          <w:rFonts w:ascii="Palatino Linotype" w:eastAsia="Palatino Linotype" w:hAnsi="Palatino Linotype" w:cs="Palatino Linotype"/>
          <w:sz w:val="22"/>
          <w:szCs w:val="22"/>
        </w:rPr>
        <w:lastRenderedPageBreak/>
        <w:t>dicha premisa encuentra sustento en el dictamen que obra en la exposición de motivos de dicho decreto, mismo que se inserta a continuación: </w:t>
      </w:r>
    </w:p>
    <w:p w14:paraId="33F4A289" w14:textId="77777777" w:rsidR="00AF356B" w:rsidRPr="00560332" w:rsidRDefault="00AF356B">
      <w:pPr>
        <w:rPr>
          <w:rFonts w:ascii="Palatino Linotype" w:eastAsia="Palatino Linotype" w:hAnsi="Palatino Linotype" w:cs="Palatino Linotype"/>
          <w:sz w:val="22"/>
          <w:szCs w:val="22"/>
        </w:rPr>
      </w:pPr>
    </w:p>
    <w:p w14:paraId="4B0C2F9F" w14:textId="77777777" w:rsidR="00AF356B" w:rsidRPr="00560332" w:rsidRDefault="001E295A">
      <w:pPr>
        <w:pBdr>
          <w:top w:val="nil"/>
          <w:left w:val="nil"/>
          <w:bottom w:val="nil"/>
          <w:right w:val="nil"/>
          <w:between w:val="nil"/>
        </w:pBdr>
        <w:ind w:left="567" w:right="851"/>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i/>
          <w:sz w:val="22"/>
          <w:szCs w:val="22"/>
        </w:rPr>
        <w:t> “</w:t>
      </w:r>
      <w:r w:rsidRPr="00560332">
        <w:rPr>
          <w:rFonts w:ascii="Palatino Linotype" w:eastAsia="Palatino Linotype" w:hAnsi="Palatino Linotype" w:cs="Palatino Linotype"/>
          <w:b/>
          <w:i/>
          <w:sz w:val="22"/>
          <w:szCs w:val="22"/>
          <w:u w:val="single"/>
        </w:rPr>
        <w:t>Por otra parte, como se menciona en la iniciativa de decreto, reconocemos que el artículo 47 de la Ley del Trabajo para los Servidores Públicos del Estado y Municipios contempla una forma de discriminación que se traduce en lo dispuesto por su fracción V, en virtud que  dicho precepto establece como requisito para ingresar al servicio público el no contar con antecedentes penales por delitos intencionales</w:t>
      </w:r>
      <w:r w:rsidRPr="00560332">
        <w:rPr>
          <w:rFonts w:ascii="Palatino Linotype" w:eastAsia="Palatino Linotype" w:hAnsi="Palatino Linotype" w:cs="Palatino Linotype"/>
          <w:i/>
          <w:sz w:val="22"/>
          <w:szCs w:val="22"/>
        </w:rPr>
        <w:t>, lo que se traduce en una violación de derecho y libertades consagrados en nuestra Carta Magna y en la propia Ley Federal para Prevenir y Eliminar la Discriminación, específicamente en su artículo 1, fracción III.</w:t>
      </w:r>
    </w:p>
    <w:p w14:paraId="2D8BB60A" w14:textId="77777777" w:rsidR="00AF356B" w:rsidRPr="00560332" w:rsidRDefault="001E295A">
      <w:pPr>
        <w:pBdr>
          <w:top w:val="nil"/>
          <w:left w:val="nil"/>
          <w:bottom w:val="nil"/>
          <w:right w:val="nil"/>
          <w:between w:val="nil"/>
        </w:pBdr>
        <w:ind w:left="567" w:right="851"/>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b/>
          <w:i/>
          <w:sz w:val="22"/>
          <w:szCs w:val="22"/>
          <w:u w:val="single"/>
        </w:rPr>
        <w:t>Por ello, resulta procedente derogar la fracción del citado precepto normativo de la Ley del Trabajo de los Servidores Públicos del Estado y Municipios, y suprimir este requisito, y de esta manera, no se distinga negativamente a las personas que deseen ingresar a laborar al  servicio público, ya que quienes hayan compurgado una pena son aptos de reinserción social y deben contar con la oportunidad de obtener  un trabajo que les permita ejercer una forma digna de vida, sin ningún tipo de distinción o discriminación y con ello garantizar el pleno respeto de sus derechos de igualdad y trabajo…</w:t>
      </w:r>
      <w:r w:rsidRPr="00560332">
        <w:rPr>
          <w:rFonts w:ascii="Palatino Linotype" w:eastAsia="Palatino Linotype" w:hAnsi="Palatino Linotype" w:cs="Palatino Linotype"/>
          <w:i/>
          <w:sz w:val="22"/>
          <w:szCs w:val="22"/>
        </w:rPr>
        <w:t>” (Énfasis añadido)</w:t>
      </w:r>
    </w:p>
    <w:p w14:paraId="63D357DA" w14:textId="77777777" w:rsidR="00AF356B" w:rsidRPr="00560332" w:rsidRDefault="00AF356B">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3DDE2534" w14:textId="77777777" w:rsidR="00AF356B" w:rsidRPr="00560332" w:rsidRDefault="001E295A">
      <w:pPr>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En tal caso, es a partir de la publicación de la derogación de este precepto legal en el periódico oficial “Gaceta de Gobierno”, que la obligación de requerir a los servidores públicos el documento referido como condicionante para ingresar al servicio público es inexistente. No obstante lo anterior, debe tenerse en cuenta que el artículo 47 de la Ley del Trabajo de los Servidores Públicos del Estado y Municipios, refiere en la fracción III que para ingresar al servicio público, se requiere, estar en pleno ejercicio de sus derechos civiles y políticos, en su caso. </w:t>
      </w:r>
    </w:p>
    <w:p w14:paraId="0E462205" w14:textId="77777777" w:rsidR="00AF356B" w:rsidRPr="00560332" w:rsidRDefault="00AF356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393E366" w14:textId="77777777" w:rsidR="00AF356B" w:rsidRPr="00560332" w:rsidRDefault="001E295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Bajo este orden de ideas, se tiene que en el caso particular, si bien es cierto, la presentación del certificado de no antecedentes penales ya no es una condicionante para ingresar al servicio público, no menos cierto es que como se refirió anteriormente, el artículo 47 fracción III de la Ley del Trabajo de los Servidores Públicos del Estado de México y Municipios, contempla la </w:t>
      </w:r>
      <w:r w:rsidRPr="00560332">
        <w:rPr>
          <w:rFonts w:ascii="Palatino Linotype" w:eastAsia="Palatino Linotype" w:hAnsi="Palatino Linotype" w:cs="Palatino Linotype"/>
          <w:sz w:val="22"/>
          <w:szCs w:val="22"/>
        </w:rPr>
        <w:lastRenderedPageBreak/>
        <w:t xml:space="preserve">acreditación del ejercicio de los derechos civiles y políticos, el cual se puede acreditar de manera enunciativa más no limitativa, mediante el informe o certificado de no antecedentes penales, por lo que al no contar con un pronunciamiento por parte del </w:t>
      </w:r>
      <w:r w:rsidRPr="00560332">
        <w:rPr>
          <w:rFonts w:ascii="Palatino Linotype" w:eastAsia="Palatino Linotype" w:hAnsi="Palatino Linotype" w:cs="Palatino Linotype"/>
          <w:b/>
          <w:sz w:val="22"/>
          <w:szCs w:val="22"/>
        </w:rPr>
        <w:t>Sujeto Obligado</w:t>
      </w:r>
      <w:r w:rsidRPr="00560332">
        <w:rPr>
          <w:rFonts w:ascii="Palatino Linotype" w:eastAsia="Palatino Linotype" w:hAnsi="Palatino Linotype" w:cs="Palatino Linotype"/>
          <w:sz w:val="22"/>
          <w:szCs w:val="22"/>
        </w:rPr>
        <w:t xml:space="preserve"> en el sentido de la existencia de este documento, resulta procedente ordenar la entrega de los informe o certificado de no antecedentes penales de los servidores públicos adscritos al Organismo; sin embargo, para el caso de que estos no obren en los archivos del Sujeto Obligado porque no se posean y/o administren, bastará con que así lo haga del conocimiento de la parte </w:t>
      </w:r>
      <w:r w:rsidRPr="00560332">
        <w:rPr>
          <w:rFonts w:ascii="Palatino Linotype" w:eastAsia="Palatino Linotype" w:hAnsi="Palatino Linotype" w:cs="Palatino Linotype"/>
          <w:b/>
          <w:sz w:val="22"/>
          <w:szCs w:val="22"/>
        </w:rPr>
        <w:t xml:space="preserve">Recurrente </w:t>
      </w:r>
      <w:r w:rsidRPr="00560332">
        <w:rPr>
          <w:rFonts w:ascii="Palatino Linotype" w:eastAsia="Palatino Linotype" w:hAnsi="Palatino Linotype" w:cs="Palatino Linotype"/>
          <w:sz w:val="22"/>
          <w:szCs w:val="22"/>
        </w:rPr>
        <w:t xml:space="preserve">en términos de lo señalado por el segundo párrafo del artículo 19 de la Ley de Transparencia y Acceso a la Información Pública del Estado de México y Municipios. </w:t>
      </w:r>
    </w:p>
    <w:p w14:paraId="4B8781C4" w14:textId="77777777" w:rsidR="00AF356B" w:rsidRPr="00560332" w:rsidRDefault="00AF356B">
      <w:pPr>
        <w:pBdr>
          <w:top w:val="nil"/>
          <w:left w:val="nil"/>
          <w:bottom w:val="nil"/>
          <w:right w:val="nil"/>
          <w:between w:val="nil"/>
        </w:pBdr>
        <w:spacing w:line="276" w:lineRule="auto"/>
        <w:ind w:left="720" w:right="51"/>
        <w:jc w:val="both"/>
        <w:rPr>
          <w:rFonts w:ascii="Palatino Linotype" w:eastAsia="Palatino Linotype" w:hAnsi="Palatino Linotype" w:cs="Palatino Linotype"/>
          <w:b/>
          <w:sz w:val="22"/>
          <w:szCs w:val="22"/>
        </w:rPr>
      </w:pPr>
    </w:p>
    <w:p w14:paraId="288A2182" w14:textId="77777777" w:rsidR="00AF356B" w:rsidRPr="00560332" w:rsidRDefault="001E295A">
      <w:pPr>
        <w:numPr>
          <w:ilvl w:val="0"/>
          <w:numId w:val="5"/>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560332">
        <w:rPr>
          <w:rFonts w:ascii="Palatino Linotype" w:eastAsia="Palatino Linotype" w:hAnsi="Palatino Linotype" w:cs="Palatino Linotype"/>
          <w:b/>
          <w:sz w:val="22"/>
          <w:szCs w:val="22"/>
        </w:rPr>
        <w:t xml:space="preserve">Constancia o certificado médico </w:t>
      </w:r>
    </w:p>
    <w:p w14:paraId="563441E1" w14:textId="77777777" w:rsidR="00AF356B" w:rsidRPr="00560332" w:rsidRDefault="001E295A">
      <w:pPr>
        <w:spacing w:line="360" w:lineRule="auto"/>
        <w:ind w:right="51"/>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En principio, es de señalar que cualquier información que dé cuenta del estado de salud de una persona,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den cuenta del estado de salud, ya sea físico o mental.</w:t>
      </w:r>
    </w:p>
    <w:p w14:paraId="2DD043C9" w14:textId="77777777" w:rsidR="00AF356B" w:rsidRPr="00560332" w:rsidRDefault="001E295A">
      <w:pPr>
        <w:spacing w:before="240" w:after="240" w:line="360" w:lineRule="auto"/>
        <w:ind w:right="51"/>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De tales circunstancias, se considera que la información contenida en el certificado médico únicamente identifica el estado de salud físico y mental de los servidores públicos, lo cual guarda el carácter confidencial, en términos del artículo 143, fracción I, de la Ley de Transparencia y Acceso a la Información Pública del Estado de México y Municipios.</w:t>
      </w:r>
    </w:p>
    <w:p w14:paraId="29C530D7" w14:textId="77777777" w:rsidR="00AF356B" w:rsidRPr="00560332" w:rsidRDefault="001E295A">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60332">
        <w:rPr>
          <w:rFonts w:ascii="Palatino Linotype" w:eastAsia="Palatino Linotype" w:hAnsi="Palatino Linotype" w:cs="Palatino Linotype"/>
          <w:b/>
          <w:sz w:val="22"/>
          <w:szCs w:val="22"/>
        </w:rPr>
        <w:t>Cartilla militar.</w:t>
      </w:r>
    </w:p>
    <w:p w14:paraId="0CEF7223" w14:textId="77777777" w:rsidR="00AF356B" w:rsidRPr="00560332" w:rsidRDefault="001E295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Respecto del cumplimiento a la Ley del Servicios Militar Nacional se tiene que el artículo 1º de esta Ley establece que el servicio de las armas para todos los mexicanos por nacimiento o </w:t>
      </w:r>
      <w:r w:rsidRPr="00560332">
        <w:rPr>
          <w:rFonts w:ascii="Palatino Linotype" w:eastAsia="Palatino Linotype" w:hAnsi="Palatino Linotype" w:cs="Palatino Linotype"/>
          <w:sz w:val="22"/>
          <w:szCs w:val="22"/>
        </w:rPr>
        <w:lastRenderedPageBreak/>
        <w:t>naturalización es obligatorio y de orden público. Asimismo, el artículo 151 del Reglamento de la Ley establece que la cartilla de identificación que acredita la identidad y el cumplimiento de los deberes militares contendrán lo siguiente:</w:t>
      </w:r>
    </w:p>
    <w:p w14:paraId="58FA6DDF" w14:textId="77777777" w:rsidR="00AF356B" w:rsidRPr="00560332" w:rsidRDefault="001E295A">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b/>
          <w:i/>
          <w:sz w:val="22"/>
          <w:szCs w:val="22"/>
        </w:rPr>
        <w:t>“ARTÍCULO 151.-</w:t>
      </w:r>
      <w:r w:rsidRPr="00560332">
        <w:rPr>
          <w:rFonts w:ascii="Palatino Linotype" w:eastAsia="Palatino Linotype" w:hAnsi="Palatino Linotype" w:cs="Palatino Linotype"/>
          <w:i/>
          <w:sz w:val="22"/>
          <w:szCs w:val="22"/>
        </w:rPr>
        <w:t xml:space="preserve"> Una vez inscritos los mexicanos, se les expedirá gratuitamente la cartilla de identificación que acreditará su identidad y el cumplimiento de sus deberes militares, y contendrá:</w:t>
      </w:r>
    </w:p>
    <w:p w14:paraId="1A55F6F4" w14:textId="77777777" w:rsidR="00AF356B" w:rsidRPr="00560332" w:rsidRDefault="001E295A">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I.- Un retrato de frente;</w:t>
      </w:r>
    </w:p>
    <w:p w14:paraId="6EEFBA8A" w14:textId="77777777" w:rsidR="00AF356B" w:rsidRPr="00560332" w:rsidRDefault="001E295A">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II.- Sus generales (nombre y apellidos paterno y materno, edad, ocupación, estado civil y domicilio);</w:t>
      </w:r>
    </w:p>
    <w:p w14:paraId="7DD44068" w14:textId="77777777" w:rsidR="00AF356B" w:rsidRPr="00560332" w:rsidRDefault="001E295A">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III.- Matrícula;</w:t>
      </w:r>
    </w:p>
    <w:p w14:paraId="52B7D4C9" w14:textId="77777777" w:rsidR="00AF356B" w:rsidRPr="00560332" w:rsidRDefault="001E295A">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IV.- Clase a que pertenece;</w:t>
      </w:r>
    </w:p>
    <w:p w14:paraId="716AF85C" w14:textId="77777777" w:rsidR="00AF356B" w:rsidRPr="00560332" w:rsidRDefault="001E295A">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V.- Corporación a que se le destine;</w:t>
      </w:r>
    </w:p>
    <w:p w14:paraId="2FC6DD5B" w14:textId="77777777" w:rsidR="00AF356B" w:rsidRPr="00560332" w:rsidRDefault="001E295A">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VI.- Unidad a la que deba incorporarse en caso de movilización;</w:t>
      </w:r>
    </w:p>
    <w:p w14:paraId="7B26B051" w14:textId="77777777" w:rsidR="00AF356B" w:rsidRPr="00560332" w:rsidRDefault="001E295A">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VII.- Firma de la autoridad que la expida;</w:t>
      </w:r>
    </w:p>
    <w:p w14:paraId="1646FF7A" w14:textId="77777777" w:rsidR="00AF356B" w:rsidRPr="00560332" w:rsidRDefault="001E295A">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VIII.- Firma del interesado, si sabe hacerlo;</w:t>
      </w:r>
    </w:p>
    <w:p w14:paraId="3CC39C19" w14:textId="77777777" w:rsidR="00AF356B" w:rsidRPr="00560332" w:rsidRDefault="001E295A">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IX.- Sello de la Junta Municipal de Reclutamiento o Consulado;</w:t>
      </w:r>
    </w:p>
    <w:p w14:paraId="37484E70" w14:textId="77777777" w:rsidR="00AF356B" w:rsidRPr="00560332" w:rsidRDefault="001E295A">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X.- Huella digital.</w:t>
      </w:r>
    </w:p>
    <w:p w14:paraId="6BF5F2FB" w14:textId="77777777" w:rsidR="00AF356B" w:rsidRPr="00560332" w:rsidRDefault="001E295A">
      <w:pPr>
        <w:spacing w:before="240" w:after="240"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Mientras que el artículo 17 y 18 del Reglamento de la Ley del Servicio Militar, rezan así:</w:t>
      </w:r>
    </w:p>
    <w:p w14:paraId="55776E49" w14:textId="77777777" w:rsidR="00AF356B" w:rsidRPr="00560332" w:rsidRDefault="001E295A">
      <w:pPr>
        <w:spacing w:line="276" w:lineRule="auto"/>
        <w:ind w:left="567" w:right="902"/>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b/>
          <w:i/>
          <w:sz w:val="22"/>
          <w:szCs w:val="22"/>
        </w:rPr>
        <w:t>“ARTÍCULO 17.</w:t>
      </w:r>
      <w:r w:rsidRPr="00560332">
        <w:rPr>
          <w:rFonts w:ascii="Palatino Linotype" w:eastAsia="Palatino Linotype" w:hAnsi="Palatino Linotype" w:cs="Palatino Linotype"/>
          <w:i/>
          <w:sz w:val="22"/>
          <w:szCs w:val="22"/>
        </w:rPr>
        <w:t>- La inscripción de cada mexicano se hará una sola vez, entregándole gratuitamente una cartilla de identificación según modelo número uno.</w:t>
      </w:r>
    </w:p>
    <w:p w14:paraId="61CEBDF6" w14:textId="77777777" w:rsidR="00AF356B" w:rsidRPr="00560332" w:rsidRDefault="001E295A">
      <w:pPr>
        <w:spacing w:line="276" w:lineRule="auto"/>
        <w:ind w:left="567" w:right="902"/>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w:t>
      </w:r>
      <w:r w:rsidRPr="00560332">
        <w:rPr>
          <w:rFonts w:ascii="Palatino Linotype" w:eastAsia="Palatino Linotype" w:hAnsi="Palatino Linotype" w:cs="Palatino Linotype"/>
          <w:b/>
          <w:i/>
          <w:sz w:val="22"/>
          <w:szCs w:val="22"/>
        </w:rPr>
        <w:t>ARTÍCULO 18.-</w:t>
      </w:r>
      <w:r w:rsidRPr="00560332">
        <w:rPr>
          <w:rFonts w:ascii="Palatino Linotype" w:eastAsia="Palatino Linotype" w:hAnsi="Palatino Linotype" w:cs="Palatino Linotype"/>
          <w:i/>
          <w:sz w:val="22"/>
          <w:szCs w:val="22"/>
        </w:rPr>
        <w:t> Una vez hecha la inscripción ante las juntas municipales de reclutamiento o consulados y como consecuencia inmediata, se formarán en dichas oficinas los siguientes documentos:</w:t>
      </w:r>
    </w:p>
    <w:p w14:paraId="535A5F3B" w14:textId="77777777" w:rsidR="00AF356B" w:rsidRPr="00560332" w:rsidRDefault="001E295A">
      <w:pPr>
        <w:spacing w:line="276" w:lineRule="auto"/>
        <w:ind w:left="567" w:right="902"/>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b/>
          <w:i/>
          <w:sz w:val="22"/>
          <w:szCs w:val="22"/>
        </w:rPr>
        <w:t>I.-</w:t>
      </w:r>
      <w:r w:rsidRPr="00560332">
        <w:rPr>
          <w:rFonts w:ascii="Palatino Linotype" w:eastAsia="Palatino Linotype" w:hAnsi="Palatino Linotype" w:cs="Palatino Linotype"/>
          <w:i/>
          <w:sz w:val="22"/>
          <w:szCs w:val="22"/>
        </w:rPr>
        <w:t> Cartilla de identificación que se entregará al interesado...” </w:t>
      </w:r>
    </w:p>
    <w:p w14:paraId="4D04449B" w14:textId="77777777" w:rsidR="00AF356B" w:rsidRPr="00560332" w:rsidRDefault="001E295A">
      <w:pPr>
        <w:spacing w:before="240" w:after="240" w:line="360" w:lineRule="auto"/>
        <w:ind w:right="49"/>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De los preceptos legales trascritos, se obtiene que el documento que permite acreditar la inscripción de cada mexicano, en cumplimiento a la Ley del Servicio Militar, lo es la cartilla de identificación que se entrega al interesado.</w:t>
      </w:r>
    </w:p>
    <w:p w14:paraId="37C8D6E9" w14:textId="77777777" w:rsidR="00AF356B" w:rsidRPr="00560332" w:rsidRDefault="001E295A">
      <w:pPr>
        <w:spacing w:line="360" w:lineRule="auto"/>
        <w:ind w:right="49"/>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lastRenderedPageBreak/>
        <w:t>La cual contiene entre otra información, el retrato de frente; sus generales (nombre y apellidos paterno y materno, edad, ocupación, estado civil y domicilio); matrícula; clase a que pertenece; corporación a que se le destine; unidad a la que deba incorporarse en caso de movilización; firma de la autoridad que la expida; firma del interesado, si sabe hacerlo; sello de la Junta Municipal de Reclutamiento o Consulado; y huella digital, por lo que se puede observar, el dato que puede considerarse de interés público es el nombre del servidor público, puesto que el resto consiste en información que no abona a la transparencia ni a la correcta rendición de cuentas de los sujetos obligados, pues es relativa a la relación que se tiene en cuanto a la obligación de realizar el servicios militar, y no así de las funciones que ejerza como servidor público, por lo que dicho documento debe tener el mismo tratamiento que el acta de nacimiento, es decir su clasificación total, motivo por el cual, de contar con este documento, se deberá clasificar mediante el acuerdo del Comité de Transparencia en su totalidad.</w:t>
      </w:r>
    </w:p>
    <w:p w14:paraId="2EE97200" w14:textId="77777777" w:rsidR="00AF356B" w:rsidRPr="00560332" w:rsidRDefault="001E295A">
      <w:pPr>
        <w:numPr>
          <w:ilvl w:val="0"/>
          <w:numId w:val="5"/>
        </w:numPr>
        <w:pBdr>
          <w:top w:val="nil"/>
          <w:left w:val="nil"/>
          <w:bottom w:val="nil"/>
          <w:right w:val="nil"/>
          <w:between w:val="nil"/>
        </w:pBdr>
        <w:spacing w:before="240" w:after="240" w:line="360" w:lineRule="auto"/>
        <w:jc w:val="both"/>
        <w:rPr>
          <w:rFonts w:ascii="Palatino Linotype" w:eastAsia="Palatino Linotype" w:hAnsi="Palatino Linotype" w:cs="Palatino Linotype"/>
          <w:b/>
          <w:sz w:val="22"/>
          <w:szCs w:val="22"/>
        </w:rPr>
      </w:pPr>
      <w:r w:rsidRPr="00560332">
        <w:rPr>
          <w:rFonts w:ascii="Palatino Linotype" w:eastAsia="Palatino Linotype" w:hAnsi="Palatino Linotype" w:cs="Palatino Linotype"/>
          <w:b/>
          <w:sz w:val="22"/>
          <w:szCs w:val="22"/>
        </w:rPr>
        <w:t>Constancia de no inhabilitación.</w:t>
      </w:r>
    </w:p>
    <w:p w14:paraId="4CC73D2C" w14:textId="77777777" w:rsidR="00AF356B" w:rsidRPr="00560332" w:rsidRDefault="001E295A">
      <w:pPr>
        <w:spacing w:before="240" w:after="240"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Al respecto dicho documento se encuentra regulado en el artículo 27 y 28 de la Ley General de Responsabilidades Administrativas, 28 de la Ley de Responsabilidades Administrativas, 28 quinto párrafo de la Ley de Responsabilidades Administrativas del Estado de México, con relación al 47, fracción X de la Ley del Trabajo de los Servidores públicos del Estado de México y Municipios. </w:t>
      </w:r>
    </w:p>
    <w:p w14:paraId="12828C4A" w14:textId="77777777" w:rsidR="00AF356B" w:rsidRPr="00560332" w:rsidRDefault="001E295A">
      <w:pPr>
        <w:spacing w:before="240" w:after="240"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Es el documento que expide la Secretaría de la Contraloría del Estado de México por medio del sistema electrónico extranet </w:t>
      </w:r>
      <w:hyperlink r:id="rId9">
        <w:r w:rsidRPr="00560332">
          <w:rPr>
            <w:rFonts w:ascii="Palatino Linotype" w:eastAsia="Palatino Linotype" w:hAnsi="Palatino Linotype" w:cs="Palatino Linotype"/>
            <w:sz w:val="22"/>
            <w:szCs w:val="22"/>
            <w:u w:val="single"/>
          </w:rPr>
          <w:t>www.secogem.gob.mx/constancias/</w:t>
        </w:r>
      </w:hyperlink>
      <w:r w:rsidRPr="00560332">
        <w:rPr>
          <w:rFonts w:ascii="Palatino Linotype" w:eastAsia="Palatino Linotype" w:hAnsi="Palatino Linotype" w:cs="Palatino Linotype"/>
          <w:sz w:val="22"/>
          <w:szCs w:val="22"/>
        </w:rPr>
        <w:t xml:space="preserve"> en el cual se informa si las personas físicas cuentan con alguna sanción o inhabilitación para ocupar un empleo, cargo o comisión de carácter público. </w:t>
      </w:r>
    </w:p>
    <w:p w14:paraId="354CBB6A" w14:textId="77777777" w:rsidR="00AF356B" w:rsidRPr="00560332" w:rsidRDefault="001E295A">
      <w:pPr>
        <w:spacing w:before="240" w:after="240"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Por lo anterior, toda vez que este documento es generado en ejercicio de funciones del </w:t>
      </w:r>
      <w:r w:rsidRPr="00560332">
        <w:rPr>
          <w:rFonts w:ascii="Palatino Linotype" w:eastAsia="Palatino Linotype" w:hAnsi="Palatino Linotype" w:cs="Palatino Linotype"/>
          <w:b/>
          <w:sz w:val="22"/>
          <w:szCs w:val="22"/>
        </w:rPr>
        <w:t>Sujeto Obligado</w:t>
      </w:r>
      <w:r w:rsidRPr="00560332">
        <w:rPr>
          <w:rFonts w:ascii="Palatino Linotype" w:eastAsia="Palatino Linotype" w:hAnsi="Palatino Linotype" w:cs="Palatino Linotype"/>
          <w:sz w:val="22"/>
          <w:szCs w:val="22"/>
        </w:rPr>
        <w:t xml:space="preserve">, es de naturaleza pública, sin embargo, no pasa desapercibido mencionar que puede </w:t>
      </w:r>
      <w:r w:rsidRPr="00560332">
        <w:rPr>
          <w:rFonts w:ascii="Palatino Linotype" w:eastAsia="Palatino Linotype" w:hAnsi="Palatino Linotype" w:cs="Palatino Linotype"/>
          <w:sz w:val="22"/>
          <w:szCs w:val="22"/>
        </w:rPr>
        <w:lastRenderedPageBreak/>
        <w:t>contener datos que actualizan la causal prevista en la fracción I del artículo 143 de la Ley de Transparencia del Estado de México y Municipios, por lo tanto, deberá ser proporcionado en versión pública.</w:t>
      </w:r>
    </w:p>
    <w:p w14:paraId="5BBEA4C0" w14:textId="77777777" w:rsidR="00AF356B" w:rsidRPr="00560332" w:rsidRDefault="001E295A">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560332">
        <w:rPr>
          <w:rFonts w:ascii="Palatino Linotype" w:eastAsia="Palatino Linotype" w:hAnsi="Palatino Linotype" w:cs="Palatino Linotype"/>
          <w:b/>
          <w:sz w:val="22"/>
          <w:szCs w:val="22"/>
        </w:rPr>
        <w:t xml:space="preserve">Certificado de no deudor alimentario moroso </w:t>
      </w:r>
    </w:p>
    <w:p w14:paraId="3BC35263" w14:textId="77777777" w:rsidR="00AF356B" w:rsidRPr="00560332" w:rsidRDefault="001E295A">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Por lo que hace los certificados de no deudor alimentario moroso, es de indicar que la Ley General de los Derechos de las Niñas, Niños y Adolescentes </w:t>
      </w:r>
      <w:hyperlink r:id="rId10">
        <w:r w:rsidRPr="00560332">
          <w:rPr>
            <w:rFonts w:ascii="Palatino Linotype" w:eastAsia="Palatino Linotype" w:hAnsi="Palatino Linotype" w:cs="Palatino Linotype"/>
            <w:sz w:val="22"/>
            <w:szCs w:val="22"/>
            <w:u w:val="single"/>
          </w:rPr>
          <w:t>https://www.diputados.gob.mx/LeyesBiblio/pdf/LGDNNA.pdf</w:t>
        </w:r>
      </w:hyperlink>
      <w:r w:rsidRPr="00560332">
        <w:rPr>
          <w:rFonts w:ascii="Palatino Linotype" w:eastAsia="Palatino Linotype" w:hAnsi="Palatino Linotype" w:cs="Palatino Linotype"/>
          <w:sz w:val="22"/>
          <w:szCs w:val="22"/>
        </w:rPr>
        <w:t xml:space="preserve"> en sus artículos 1, 13, 18 y 46, regula de manera enunciativa y no limitativa, entre otros derechos, garantizar el pleno ejercicio, respeto, protección y promoción de los derechos humanos, derecho a la vida, a la paz, a la supervivencia y al desarrollo, el recibir alimentos para lograr el sano desarrollo del menor en su ámbito, bio-psico-social, y establece como obligación de los progenitores para con sus hijos, el proporcionarles, apoyo, cuidados, educación y protección a su salud.</w:t>
      </w:r>
    </w:p>
    <w:p w14:paraId="4F3C6460" w14:textId="77777777" w:rsidR="00AF356B" w:rsidRPr="00560332" w:rsidRDefault="00AF356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AE38A7E" w14:textId="77777777" w:rsidR="00AF356B" w:rsidRPr="00560332" w:rsidRDefault="001E295A">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De ahí que, se crea el Registro Nacional de Obligaciones Alimentarias cuyo objeto es concentrar la información de deudores y acreedores de obligaciones alimentarias, a fin de dar efectiva protección y restitución de los derechos de niñas, niños y adolescentes. Los Tribunales Superiores de las entidades federativas y de la Ciudad de México suministrarán, intercambiarán, sistematizarán, consultarán, analizarán y actualizarán, la información que se genere sobre el incumplimiento de las obligaciones alimentarias en el ámbito de sus competencias utilizando los sistemas e instrumentos tecnológicos del Sistema Nacional DIF para que con ella integre al Registro Nacional de Obligaciones.</w:t>
      </w:r>
    </w:p>
    <w:p w14:paraId="6644F8E2" w14:textId="77777777" w:rsidR="00AF356B" w:rsidRPr="00560332" w:rsidRDefault="00AF356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F0CF2A1" w14:textId="77777777" w:rsidR="00AF356B" w:rsidRPr="00560332" w:rsidRDefault="001E295A">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La calidad de deudor moroso se difundirá en el Registro Nacional de Obligaciones Alimentarias, el cual, será público con base en lo dispuesto en la Ley General de Protección de Datos Personales en Posesión de Sujetos Obligados. Es de recalcar que las Autoridades de los </w:t>
      </w:r>
      <w:r w:rsidRPr="00560332">
        <w:rPr>
          <w:rFonts w:ascii="Palatino Linotype" w:eastAsia="Palatino Linotype" w:hAnsi="Palatino Linotype" w:cs="Palatino Linotype"/>
          <w:sz w:val="22"/>
          <w:szCs w:val="22"/>
        </w:rPr>
        <w:lastRenderedPageBreak/>
        <w:t>tres órdenes de gobierno (Federal, Estatal y Municipal) en el ámbito de sus competencias, dispondrán lo necesario a fin de establecer como requisito la presentación del certificado de no inscripción en el Registro Nacional de Obligaciones Alimentarias; es decir, la denominación que se le dio fue el de Registro de Deudores Alimentarios Morosos, ya que, la palabra moroso deriva de mora; la mora es el retraso en el cumplimiento de las obligaciones y se incurre en ella desde el momento en que feneció el plazo que se señaló para el cumplimiento de una obligación.</w:t>
      </w:r>
    </w:p>
    <w:p w14:paraId="2EC50659" w14:textId="77777777" w:rsidR="00AF356B" w:rsidRPr="00560332" w:rsidRDefault="00AF356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791418C" w14:textId="77777777" w:rsidR="00AF356B" w:rsidRPr="00560332" w:rsidRDefault="001E295A">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Al respecto, en el Proyecto de Decreto por el que se Reforman y Adicionan Diversas Disposiciones para crear el Registro de Deudores Alimentarios del Estado de México, disponible en la dirección electrónica </w:t>
      </w:r>
      <w:hyperlink r:id="rId11">
        <w:r w:rsidRPr="00560332">
          <w:rPr>
            <w:rFonts w:ascii="Palatino Linotype" w:eastAsia="Palatino Linotype" w:hAnsi="Palatino Linotype" w:cs="Palatino Linotype"/>
            <w:sz w:val="22"/>
            <w:szCs w:val="22"/>
            <w:u w:val="single"/>
          </w:rPr>
          <w:t>https://legislacion.edomex.gob.mx/sites/legislacion.edomex.gob.mx/files/files/pdf/gct/2014/nov144.PDF</w:t>
        </w:r>
      </w:hyperlink>
      <w:r w:rsidRPr="00560332">
        <w:rPr>
          <w:rFonts w:ascii="Palatino Linotype" w:eastAsia="Palatino Linotype" w:hAnsi="Palatino Linotype" w:cs="Palatino Linotype"/>
          <w:sz w:val="22"/>
          <w:szCs w:val="22"/>
        </w:rPr>
        <w:t xml:space="preserve">, advierte lo siguiente: </w:t>
      </w:r>
    </w:p>
    <w:p w14:paraId="7A8C810E" w14:textId="77777777" w:rsidR="00AF356B" w:rsidRPr="00560332" w:rsidRDefault="00AF356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B3FF72F" w14:textId="77777777" w:rsidR="00AF356B" w:rsidRPr="00560332" w:rsidRDefault="001E295A">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“4.146 Bis.- El área del Registro de Deudores Alimentarios Morosos, es una unidad administrativa del Registro Civil. Actos inscribibles en el Registro de Deudores Alimentarios Morosos. </w:t>
      </w:r>
    </w:p>
    <w:p w14:paraId="5FFAC513" w14:textId="77777777" w:rsidR="00AF356B" w:rsidRPr="00560332" w:rsidRDefault="001E295A">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4.146 Ter.- En el Registro de Deudores Alimentarios Morosos se inscriben a las personas que el Juez de lo Familiar determina en términos del artículo 4.136 del presente Código. </w:t>
      </w:r>
    </w:p>
    <w:p w14:paraId="3267659C" w14:textId="77777777" w:rsidR="00AF356B" w:rsidRPr="00560332" w:rsidRDefault="001E295A">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Serán objeto de registro los empleadores que incumplan una orden de descuento para alimentos ordenada por el órgano jurisdiccional.</w:t>
      </w:r>
    </w:p>
    <w:p w14:paraId="43B1E73D" w14:textId="77777777" w:rsidR="00AF356B" w:rsidRPr="00560332" w:rsidRDefault="00AF356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1B00F9A3" w14:textId="77777777" w:rsidR="00AF356B" w:rsidRPr="00560332" w:rsidRDefault="001E295A">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De los datos que contendrá el Registro de Deudores Alimentarios Morosos </w:t>
      </w:r>
    </w:p>
    <w:p w14:paraId="0F7599F7" w14:textId="77777777" w:rsidR="00AF356B" w:rsidRPr="00560332" w:rsidRDefault="001E295A">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Artículo. 4.146 </w:t>
      </w:r>
      <w:proofErr w:type="spellStart"/>
      <w:r w:rsidRPr="00560332">
        <w:rPr>
          <w:rFonts w:ascii="Palatino Linotype" w:eastAsia="Palatino Linotype" w:hAnsi="Palatino Linotype" w:cs="Palatino Linotype"/>
          <w:i/>
          <w:sz w:val="22"/>
          <w:szCs w:val="22"/>
        </w:rPr>
        <w:t>Quáter</w:t>
      </w:r>
      <w:proofErr w:type="spellEnd"/>
      <w:r w:rsidRPr="00560332">
        <w:rPr>
          <w:rFonts w:ascii="Palatino Linotype" w:eastAsia="Palatino Linotype" w:hAnsi="Palatino Linotype" w:cs="Palatino Linotype"/>
          <w:i/>
          <w:sz w:val="22"/>
          <w:szCs w:val="22"/>
        </w:rPr>
        <w:t xml:space="preserve">.- El Registro de Deudores Alimentarios Morosos contendrá: </w:t>
      </w:r>
    </w:p>
    <w:p w14:paraId="2DA0519A" w14:textId="77777777" w:rsidR="00AF356B" w:rsidRPr="00560332" w:rsidRDefault="001E295A">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I. Nombre y Clave Única del Registro de Población del deudor alimentario; </w:t>
      </w:r>
    </w:p>
    <w:p w14:paraId="7A67559C" w14:textId="77777777" w:rsidR="00AF356B" w:rsidRPr="00560332" w:rsidRDefault="001E295A">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II. Nombre del acreedor o acreedores alimentarios; </w:t>
      </w:r>
    </w:p>
    <w:p w14:paraId="694C4B9D" w14:textId="77777777" w:rsidR="00AF356B" w:rsidRPr="00560332" w:rsidRDefault="001E295A">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III. Datos del acta que acredite el vínculo entre deudor y acreedor alimentario, en su caso; </w:t>
      </w:r>
    </w:p>
    <w:p w14:paraId="2EFDAF50" w14:textId="77777777" w:rsidR="00AF356B" w:rsidRPr="00560332" w:rsidRDefault="001E295A">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IV. Monto de la pensión decretada o convenida, en su caso, número de pagos incumplidos y monto del adeudo alimentario; </w:t>
      </w:r>
    </w:p>
    <w:p w14:paraId="553B4B68" w14:textId="77777777" w:rsidR="00AF356B" w:rsidRPr="00560332" w:rsidRDefault="001E295A">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lastRenderedPageBreak/>
        <w:t xml:space="preserve">V. Órgano jurisdiccional que ordenó el registro; </w:t>
      </w:r>
    </w:p>
    <w:p w14:paraId="5EC8A939" w14:textId="77777777" w:rsidR="00AF356B" w:rsidRPr="00560332" w:rsidRDefault="001E295A">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VI. Datos del expediente jurisdiccional de la que deriva su inscripción. </w:t>
      </w:r>
    </w:p>
    <w:p w14:paraId="5310E4BF" w14:textId="77777777" w:rsidR="00AF356B" w:rsidRPr="00560332" w:rsidRDefault="00AF356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4A244296" w14:textId="77777777" w:rsidR="00AF356B" w:rsidRPr="00560332" w:rsidRDefault="001E295A">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Una vez hecha la inscripción a que se refiere el párrafo anterior se girará oficio al Instituto de la Función Registral del Estado de México, a efecto de que se anote el certificado de deudor alimentario en los folios reales de que sea propietario el deudor alimentario. El Instituto de la Función Registral informará al Registro Civil si fue procedente la anotación, en cuyo caso dará aviso al Juez del conocimiento para que el acreedor alimentario haga cobrable las cantidades adeudadas en la vía judicial respectiva.</w:t>
      </w:r>
    </w:p>
    <w:p w14:paraId="6C1B4E1B" w14:textId="77777777" w:rsidR="00AF356B" w:rsidRPr="00560332" w:rsidRDefault="00AF356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6E9044F0" w14:textId="77777777" w:rsidR="00AF356B" w:rsidRPr="00560332" w:rsidRDefault="001E295A">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Datos del Certificado expedido por la Unidad del Registro de Deudores Alimentarios Morosos </w:t>
      </w:r>
    </w:p>
    <w:p w14:paraId="2FB19104" w14:textId="77777777" w:rsidR="00AF356B" w:rsidRPr="00560332" w:rsidRDefault="001E295A">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Artículo 4.146 Quinquies.- El Certificado expedido por la Unidad del Registro de Deudores Alimentarios Morosos contendrá lo siguiente: </w:t>
      </w:r>
    </w:p>
    <w:p w14:paraId="4A151A99" w14:textId="77777777" w:rsidR="00AF356B" w:rsidRPr="00560332" w:rsidRDefault="001E295A">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I. Nombre y Clave Única de Registro de Población del solicitante; </w:t>
      </w:r>
    </w:p>
    <w:p w14:paraId="26AA38C0" w14:textId="77777777" w:rsidR="00AF356B" w:rsidRPr="00560332" w:rsidRDefault="001E295A">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II. La información sobre su inscripción o no en el registro de deudores alimentarios morosos.</w:t>
      </w:r>
    </w:p>
    <w:p w14:paraId="6B4FD711" w14:textId="77777777" w:rsidR="00AF356B" w:rsidRPr="00560332" w:rsidRDefault="00AF356B">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70FAA5A7" w14:textId="77777777" w:rsidR="00AF356B" w:rsidRPr="00560332" w:rsidRDefault="001E295A">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De ser el caso que el solicitante se encuentre inscrito en el registro, la constancia incluirá además lo siguiente:</w:t>
      </w:r>
    </w:p>
    <w:p w14:paraId="5AB1E8E2" w14:textId="77777777" w:rsidR="00AF356B" w:rsidRPr="00560332" w:rsidRDefault="001E295A">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I. Número de acreedores alimentarios;</w:t>
      </w:r>
    </w:p>
    <w:p w14:paraId="7640119F" w14:textId="77777777" w:rsidR="00AF356B" w:rsidRPr="00560332" w:rsidRDefault="001E295A">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II. Monto de la pensión alimenticia decretada o convenida;</w:t>
      </w:r>
    </w:p>
    <w:p w14:paraId="12F0F3B4" w14:textId="77777777" w:rsidR="00AF356B" w:rsidRPr="00560332" w:rsidRDefault="001E295A">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III. Órgano jurisdiccional que ordenó el registro;</w:t>
      </w:r>
    </w:p>
    <w:p w14:paraId="40C20C71" w14:textId="77777777" w:rsidR="00AF356B" w:rsidRPr="00560332" w:rsidRDefault="001E295A">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IV. Datos del expediente jurisdiccional de la que deriva su inscripción.</w:t>
      </w:r>
    </w:p>
    <w:p w14:paraId="6F6432E6" w14:textId="77777777" w:rsidR="00AF356B" w:rsidRPr="00560332" w:rsidRDefault="001E295A">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El Certificado a que se refiere el presente artículo será expedido el mismo día hábil de su solicitud…”</w:t>
      </w:r>
    </w:p>
    <w:p w14:paraId="72019850" w14:textId="77777777" w:rsidR="00AF356B" w:rsidRPr="00560332" w:rsidRDefault="00AF356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23D3185" w14:textId="77777777" w:rsidR="00AF356B" w:rsidRPr="00560332" w:rsidRDefault="001E295A">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Ahora bien, respecto a aquellos servidores públicos que se encuentren o no inscritos en dicho registro, procede su entrega en versión pública, ya que al ser un requisito sine qua non para ingresar al servicio público, se convierte en información que da certeza a la ciudadanía de que el Servidor Público que ostenta un cargo cumplió con los requisitos señalados en la Ley del </w:t>
      </w:r>
      <w:r w:rsidRPr="00560332">
        <w:rPr>
          <w:rFonts w:ascii="Palatino Linotype" w:eastAsia="Palatino Linotype" w:hAnsi="Palatino Linotype" w:cs="Palatino Linotype"/>
          <w:sz w:val="22"/>
          <w:szCs w:val="22"/>
        </w:rPr>
        <w:lastRenderedPageBreak/>
        <w:t xml:space="preserve">Trabajo de los Servidores Públicos del Estado y Municipios. Ahora, no pasa desapercibido, que el Certificado de No Deudor Alimentario pudiera contener información confidencial, como lo es de manera enunciativa más no limitativa el CURP y el RFC; por lo tanto, no procede su clasificación total sino su entrega en versión pública. </w:t>
      </w:r>
    </w:p>
    <w:p w14:paraId="40A189EB" w14:textId="77777777" w:rsidR="00AF356B" w:rsidRPr="00560332" w:rsidRDefault="00AF356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034C49B" w14:textId="77777777" w:rsidR="00AF356B" w:rsidRPr="00560332" w:rsidRDefault="001E295A">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Es por lo anteriormente expuesto, que el Sujeto Obligado en su respuesta, entregó parcialmente la información que obra en los expedientes de personal; sin embargo, se advierte que estos se encuentran incompletos, ya que no hay pronunciamiento de los documentos faltantes, de manera enunciativa más no limitativa, certificado de no antecedentes penales, examen de control y confianza, certificado médico, documento que acredite nacionalidad, entre otros, de los cuales algunos son susceptibles de clasificarse en su totalidad como confidenciales.</w:t>
      </w:r>
    </w:p>
    <w:p w14:paraId="536725AE" w14:textId="77777777" w:rsidR="00AF356B" w:rsidRPr="00560332" w:rsidRDefault="00AF356B">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371D66F8" w14:textId="77777777" w:rsidR="00AF356B" w:rsidRPr="00560332" w:rsidRDefault="001E295A">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Ahora bien, el Sujeto Obligado entregó información únicamente de tres servidores públicos, por lo que es necesario señalar que el Recurrente solicitó información del Comisario y los Directores Operativos, para lo cual es necesario traer a contexto que la Dirección de Seguridad y Protección para el cumplimiento de sus atribuciones, se auxilia de las siguientes unidades:</w:t>
      </w:r>
    </w:p>
    <w:p w14:paraId="7E03FB00" w14:textId="77777777" w:rsidR="00AF356B" w:rsidRPr="00560332" w:rsidRDefault="001E295A">
      <w:pPr>
        <w:numPr>
          <w:ilvl w:val="0"/>
          <w:numId w:val="7"/>
        </w:numPr>
        <w:pBdr>
          <w:top w:val="nil"/>
          <w:left w:val="nil"/>
          <w:bottom w:val="nil"/>
          <w:right w:val="nil"/>
          <w:between w:val="nil"/>
        </w:pBdr>
        <w:ind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Dirección de Prevención Comunitaria, </w:t>
      </w:r>
    </w:p>
    <w:p w14:paraId="79C13711" w14:textId="77777777" w:rsidR="00AF356B" w:rsidRPr="00560332" w:rsidRDefault="001E295A">
      <w:pPr>
        <w:numPr>
          <w:ilvl w:val="0"/>
          <w:numId w:val="7"/>
        </w:numPr>
        <w:pBdr>
          <w:top w:val="nil"/>
          <w:left w:val="nil"/>
          <w:bottom w:val="nil"/>
          <w:right w:val="nil"/>
          <w:between w:val="nil"/>
        </w:pBdr>
        <w:ind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Dirección de Desarrollo Policial, </w:t>
      </w:r>
    </w:p>
    <w:p w14:paraId="046A81FD" w14:textId="77777777" w:rsidR="00AF356B" w:rsidRPr="00560332" w:rsidRDefault="001E295A">
      <w:pPr>
        <w:numPr>
          <w:ilvl w:val="0"/>
          <w:numId w:val="7"/>
        </w:numPr>
        <w:pBdr>
          <w:top w:val="nil"/>
          <w:left w:val="nil"/>
          <w:bottom w:val="nil"/>
          <w:right w:val="nil"/>
          <w:between w:val="nil"/>
        </w:pBdr>
        <w:ind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Dirección de Sustentabilidad Vial</w:t>
      </w:r>
    </w:p>
    <w:p w14:paraId="05096F4D" w14:textId="77777777" w:rsidR="00AF356B" w:rsidRPr="00560332" w:rsidRDefault="001E295A">
      <w:pPr>
        <w:numPr>
          <w:ilvl w:val="0"/>
          <w:numId w:val="7"/>
        </w:numPr>
        <w:pBdr>
          <w:top w:val="nil"/>
          <w:left w:val="nil"/>
          <w:bottom w:val="nil"/>
          <w:right w:val="nil"/>
          <w:between w:val="nil"/>
        </w:pBdr>
        <w:ind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Dirección de Inteligencia, </w:t>
      </w:r>
    </w:p>
    <w:p w14:paraId="55FF8CC7" w14:textId="77777777" w:rsidR="00AF356B" w:rsidRPr="00560332" w:rsidRDefault="001E295A">
      <w:pPr>
        <w:numPr>
          <w:ilvl w:val="0"/>
          <w:numId w:val="7"/>
        </w:numPr>
        <w:pBdr>
          <w:top w:val="nil"/>
          <w:left w:val="nil"/>
          <w:bottom w:val="nil"/>
          <w:right w:val="nil"/>
          <w:between w:val="nil"/>
        </w:pBdr>
        <w:ind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Dirección Operativa, </w:t>
      </w:r>
    </w:p>
    <w:p w14:paraId="47C883C9" w14:textId="77777777" w:rsidR="00AF356B" w:rsidRPr="00560332" w:rsidRDefault="001E295A">
      <w:pPr>
        <w:numPr>
          <w:ilvl w:val="0"/>
          <w:numId w:val="7"/>
        </w:numPr>
        <w:pBdr>
          <w:top w:val="nil"/>
          <w:left w:val="nil"/>
          <w:bottom w:val="nil"/>
          <w:right w:val="nil"/>
          <w:between w:val="nil"/>
        </w:pBdr>
        <w:ind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Dirección de Desarrollo Tecnológico, </w:t>
      </w:r>
    </w:p>
    <w:p w14:paraId="72749986" w14:textId="77777777" w:rsidR="00AF356B" w:rsidRPr="00560332" w:rsidRDefault="001E295A">
      <w:pPr>
        <w:numPr>
          <w:ilvl w:val="0"/>
          <w:numId w:val="7"/>
        </w:numPr>
        <w:pBdr>
          <w:top w:val="nil"/>
          <w:left w:val="nil"/>
          <w:bottom w:val="nil"/>
          <w:right w:val="nil"/>
          <w:between w:val="nil"/>
        </w:pBdr>
        <w:ind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Dirección Jurídica, </w:t>
      </w:r>
    </w:p>
    <w:p w14:paraId="7E328BE8" w14:textId="77777777" w:rsidR="00AF356B" w:rsidRPr="00560332" w:rsidRDefault="001E295A">
      <w:pPr>
        <w:numPr>
          <w:ilvl w:val="0"/>
          <w:numId w:val="7"/>
        </w:numPr>
        <w:pBdr>
          <w:top w:val="nil"/>
          <w:left w:val="nil"/>
          <w:bottom w:val="nil"/>
          <w:right w:val="nil"/>
          <w:between w:val="nil"/>
        </w:pBdr>
        <w:ind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Coordinación de Protección Civil y Bomberos, </w:t>
      </w:r>
    </w:p>
    <w:p w14:paraId="742E4893" w14:textId="77777777" w:rsidR="00AF356B" w:rsidRPr="00560332" w:rsidRDefault="001E295A">
      <w:pPr>
        <w:numPr>
          <w:ilvl w:val="0"/>
          <w:numId w:val="7"/>
        </w:numPr>
        <w:pBdr>
          <w:top w:val="nil"/>
          <w:left w:val="nil"/>
          <w:bottom w:val="nil"/>
          <w:right w:val="nil"/>
          <w:between w:val="nil"/>
        </w:pBdr>
        <w:ind w:right="843"/>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Coordinación Administrativa.</w:t>
      </w:r>
    </w:p>
    <w:p w14:paraId="2EA33500" w14:textId="77777777" w:rsidR="00AF356B" w:rsidRPr="00560332" w:rsidRDefault="00AF356B">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463515BE" w14:textId="77777777" w:rsidR="00AF356B" w:rsidRPr="00560332" w:rsidRDefault="001E295A">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Información que se corrobora con lo que tiene publicado el Sujeto Obligado en el IPOMEX, apartado remuneraciones ya que se advierte que la Dirección General de Seguridad y </w:t>
      </w:r>
      <w:r w:rsidRPr="00560332">
        <w:rPr>
          <w:rFonts w:ascii="Palatino Linotype" w:eastAsia="Palatino Linotype" w:hAnsi="Palatino Linotype" w:cs="Palatino Linotype"/>
          <w:sz w:val="22"/>
          <w:szCs w:val="22"/>
        </w:rPr>
        <w:lastRenderedPageBreak/>
        <w:t xml:space="preserve">Protección cuenta con diversos Directores de Área, por lo que, se ORDENA realizar una búsqueda exhaustiva y razonable a efecto de localizar y poner a disposición del Recurrente los expedientes de personal de los servidores públicos con cargo de Director, adscritos a la Dirección General de Seguridad y Protección </w:t>
      </w:r>
    </w:p>
    <w:p w14:paraId="7D900491" w14:textId="77777777" w:rsidR="00AF356B" w:rsidRPr="00560332" w:rsidRDefault="00AF356B">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190C3A1F" w14:textId="77777777" w:rsidR="00AF356B" w:rsidRPr="00560332" w:rsidRDefault="001E295A">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Para la elaboración de versiones públicas, el Sujeto Obligado estará a lo dispuesto en el Considerando QUINTO de la presente resolución.</w:t>
      </w:r>
    </w:p>
    <w:p w14:paraId="051E6C17" w14:textId="77777777" w:rsidR="00AF356B" w:rsidRPr="00560332" w:rsidRDefault="00AF356B">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7B256400" w14:textId="77777777" w:rsidR="00AF356B" w:rsidRPr="00560332" w:rsidRDefault="001E295A">
      <w:pPr>
        <w:tabs>
          <w:tab w:val="left" w:pos="567"/>
        </w:tabs>
        <w:spacing w:line="360" w:lineRule="auto"/>
        <w:jc w:val="both"/>
        <w:rPr>
          <w:rFonts w:ascii="Palatino Linotype" w:eastAsia="Palatino Linotype" w:hAnsi="Palatino Linotype" w:cs="Palatino Linotype"/>
          <w:b/>
          <w:sz w:val="22"/>
          <w:szCs w:val="22"/>
        </w:rPr>
      </w:pPr>
      <w:r w:rsidRPr="00560332">
        <w:rPr>
          <w:rFonts w:ascii="Palatino Linotype" w:eastAsia="Palatino Linotype" w:hAnsi="Palatino Linotype" w:cs="Palatino Linotype"/>
          <w:b/>
          <w:sz w:val="22"/>
          <w:szCs w:val="22"/>
        </w:rPr>
        <w:t xml:space="preserve">De la  vista a la Dirección General de Protección de Datos Personales. </w:t>
      </w:r>
    </w:p>
    <w:p w14:paraId="647A564C" w14:textId="77777777" w:rsidR="00AF356B" w:rsidRPr="00560332" w:rsidRDefault="00AF356B">
      <w:pPr>
        <w:tabs>
          <w:tab w:val="left" w:pos="567"/>
        </w:tabs>
        <w:spacing w:line="360" w:lineRule="auto"/>
        <w:jc w:val="both"/>
        <w:rPr>
          <w:rFonts w:ascii="Palatino Linotype" w:eastAsia="Palatino Linotype" w:hAnsi="Palatino Linotype" w:cs="Palatino Linotype"/>
          <w:b/>
          <w:sz w:val="22"/>
          <w:szCs w:val="22"/>
        </w:rPr>
      </w:pPr>
    </w:p>
    <w:p w14:paraId="444D9D04" w14:textId="77777777" w:rsidR="00AF356B" w:rsidRPr="00560332" w:rsidRDefault="001E295A">
      <w:pPr>
        <w:tabs>
          <w:tab w:val="left" w:pos="567"/>
        </w:tabs>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Ahora bien, de la información proporcionada en respuesta, se logra advertir que el Sujeto Obligado dejó visibles datos personales confidenciales, como la CURP; número de seguridad social; RFC; firma en título, circunstancia que vulnera lo previsto en el artículo 143, fracción I, de la Ley de Transparencia y Acceso a la Información Pública del Estado de México y Municipios, por los argumentos expuestos anteriormente.</w:t>
      </w:r>
    </w:p>
    <w:p w14:paraId="708D8282" w14:textId="77777777" w:rsidR="00AF356B" w:rsidRPr="00560332" w:rsidRDefault="00AF356B">
      <w:pPr>
        <w:pBdr>
          <w:top w:val="nil"/>
          <w:left w:val="nil"/>
          <w:bottom w:val="nil"/>
          <w:right w:val="nil"/>
          <w:between w:val="nil"/>
        </w:pBdr>
        <w:tabs>
          <w:tab w:val="left" w:pos="567"/>
        </w:tabs>
        <w:spacing w:line="360" w:lineRule="auto"/>
        <w:ind w:left="720"/>
        <w:jc w:val="both"/>
        <w:rPr>
          <w:rFonts w:ascii="Palatino Linotype" w:eastAsia="Palatino Linotype" w:hAnsi="Palatino Linotype" w:cs="Palatino Linotype"/>
          <w:sz w:val="22"/>
          <w:szCs w:val="22"/>
        </w:rPr>
      </w:pPr>
    </w:p>
    <w:p w14:paraId="7FD4B02E" w14:textId="77777777" w:rsidR="00AF356B" w:rsidRPr="00560332" w:rsidRDefault="001E295A">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Por lo que, se considera procedente dar vista a la Dirección General de Protección de Datos Personales de este Instituto con fundamento en el artículo 24, fracciones XI, XII y XIII del Reglamento Interior del Instituto de Transparencia, Acceso a la Información Pública y Protección de Datos Personales del Estado de México y Municipios, a fin de que determine lo correspondiente.</w:t>
      </w:r>
    </w:p>
    <w:p w14:paraId="1D77D7C3" w14:textId="77777777" w:rsidR="00AF356B" w:rsidRPr="00560332" w:rsidRDefault="00AF356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99D21D8" w14:textId="77777777" w:rsidR="00AF356B" w:rsidRPr="00560332" w:rsidRDefault="001E295A">
      <w:pPr>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b/>
          <w:sz w:val="22"/>
          <w:szCs w:val="22"/>
        </w:rPr>
        <w:t xml:space="preserve">Quinto. Versión Pública. </w:t>
      </w:r>
      <w:r w:rsidRPr="00560332">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3C281251" w14:textId="77777777" w:rsidR="00AF356B" w:rsidRPr="00560332" w:rsidRDefault="00AF356B">
      <w:pPr>
        <w:spacing w:line="360" w:lineRule="auto"/>
        <w:jc w:val="both"/>
        <w:rPr>
          <w:rFonts w:ascii="Palatino Linotype" w:eastAsia="Palatino Linotype" w:hAnsi="Palatino Linotype" w:cs="Palatino Linotype"/>
          <w:sz w:val="22"/>
          <w:szCs w:val="22"/>
        </w:rPr>
      </w:pPr>
    </w:p>
    <w:p w14:paraId="685385C4" w14:textId="77777777" w:rsidR="00AF356B" w:rsidRPr="00560332" w:rsidRDefault="001E295A">
      <w:pPr>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 </w:t>
      </w:r>
    </w:p>
    <w:p w14:paraId="673F8FF6" w14:textId="77777777" w:rsidR="00AF356B" w:rsidRPr="00560332" w:rsidRDefault="00AF356B">
      <w:pPr>
        <w:spacing w:line="360" w:lineRule="auto"/>
        <w:jc w:val="both"/>
        <w:rPr>
          <w:rFonts w:ascii="Palatino Linotype" w:eastAsia="Palatino Linotype" w:hAnsi="Palatino Linotype" w:cs="Palatino Linotype"/>
          <w:sz w:val="22"/>
          <w:szCs w:val="22"/>
        </w:rPr>
      </w:pPr>
    </w:p>
    <w:p w14:paraId="0C82AF74" w14:textId="77777777" w:rsidR="00AF356B" w:rsidRPr="00560332" w:rsidRDefault="001E295A">
      <w:pPr>
        <w:spacing w:line="360" w:lineRule="auto"/>
        <w:ind w:right="50"/>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Lo anterior, de conformidad con lo que señalan los artículos 3 fracciones IX, XX, XXI y XLV, 91, 132 fracciones II y III, y 143 de la Ley de Transparencia y Acceso a la Información Pública del Estado de México y Municipios que establecen: </w:t>
      </w:r>
    </w:p>
    <w:p w14:paraId="0C91BBE0" w14:textId="77777777" w:rsidR="00AF356B" w:rsidRPr="00560332" w:rsidRDefault="00AF356B">
      <w:pPr>
        <w:spacing w:line="360" w:lineRule="auto"/>
        <w:ind w:right="50"/>
        <w:jc w:val="both"/>
        <w:rPr>
          <w:rFonts w:ascii="Palatino Linotype" w:eastAsia="Palatino Linotype" w:hAnsi="Palatino Linotype" w:cs="Palatino Linotype"/>
          <w:sz w:val="22"/>
          <w:szCs w:val="22"/>
        </w:rPr>
      </w:pPr>
    </w:p>
    <w:p w14:paraId="4DE145D5" w14:textId="77777777" w:rsidR="00AF356B" w:rsidRPr="00560332" w:rsidRDefault="001E295A">
      <w:pP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w:t>
      </w:r>
      <w:r w:rsidRPr="00560332">
        <w:rPr>
          <w:rFonts w:ascii="Palatino Linotype" w:eastAsia="Palatino Linotype" w:hAnsi="Palatino Linotype" w:cs="Palatino Linotype"/>
          <w:b/>
          <w:i/>
          <w:sz w:val="22"/>
          <w:szCs w:val="22"/>
        </w:rPr>
        <w:t>Artículo 3.</w:t>
      </w:r>
      <w:r w:rsidRPr="00560332">
        <w:rPr>
          <w:rFonts w:ascii="Palatino Linotype" w:eastAsia="Palatino Linotype" w:hAnsi="Palatino Linotype" w:cs="Palatino Linotype"/>
          <w:i/>
          <w:sz w:val="22"/>
          <w:szCs w:val="22"/>
        </w:rPr>
        <w:t xml:space="preserve"> Para los efectos de la presente Ley se entenderá por:</w:t>
      </w:r>
    </w:p>
    <w:p w14:paraId="5640E4D4" w14:textId="77777777" w:rsidR="00AF356B" w:rsidRPr="00560332" w:rsidRDefault="001E295A">
      <w:pP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w:t>
      </w:r>
    </w:p>
    <w:p w14:paraId="12977ACD" w14:textId="77777777" w:rsidR="00AF356B" w:rsidRPr="00560332" w:rsidRDefault="001E295A">
      <w:pP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584EBF85" w14:textId="77777777" w:rsidR="00AF356B" w:rsidRPr="00560332" w:rsidRDefault="001E295A">
      <w:pP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XX. Información clasificada: Aquella considerada por la presente Ley como reservada o confidencial;</w:t>
      </w:r>
    </w:p>
    <w:p w14:paraId="6016423B" w14:textId="77777777" w:rsidR="00AF356B" w:rsidRPr="00560332" w:rsidRDefault="001E295A">
      <w:pP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0F7C75F" w14:textId="77777777" w:rsidR="00AF356B" w:rsidRPr="00560332" w:rsidRDefault="001E295A">
      <w:pP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4CA85D9B" w14:textId="77777777" w:rsidR="00AF356B" w:rsidRPr="00560332" w:rsidRDefault="001E295A">
      <w:pP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w:t>
      </w:r>
    </w:p>
    <w:p w14:paraId="721BD1D5" w14:textId="77777777" w:rsidR="00AF356B" w:rsidRPr="00560332" w:rsidRDefault="001E295A">
      <w:pP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b/>
          <w:i/>
          <w:sz w:val="22"/>
          <w:szCs w:val="22"/>
        </w:rPr>
        <w:t>Artículo 91.</w:t>
      </w:r>
      <w:r w:rsidRPr="00560332">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304DC002" w14:textId="77777777" w:rsidR="00AF356B" w:rsidRPr="00560332" w:rsidRDefault="001E295A">
      <w:pP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b/>
          <w:i/>
          <w:sz w:val="22"/>
          <w:szCs w:val="22"/>
        </w:rPr>
        <w:t>Artículo 132.</w:t>
      </w:r>
      <w:r w:rsidRPr="00560332">
        <w:rPr>
          <w:rFonts w:ascii="Palatino Linotype" w:eastAsia="Palatino Linotype" w:hAnsi="Palatino Linotype" w:cs="Palatino Linotype"/>
          <w:i/>
          <w:sz w:val="22"/>
          <w:szCs w:val="22"/>
        </w:rPr>
        <w:t xml:space="preserve"> La clasificación de la información se llevará a cabo en el momento en que:</w:t>
      </w:r>
    </w:p>
    <w:p w14:paraId="31CBC84C" w14:textId="77777777" w:rsidR="00AF356B" w:rsidRPr="00560332" w:rsidRDefault="001E295A">
      <w:pPr>
        <w:tabs>
          <w:tab w:val="left" w:pos="1134"/>
        </w:tabs>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I. Se reciba una solicitud de acceso a la información;</w:t>
      </w:r>
    </w:p>
    <w:p w14:paraId="71CFCE98" w14:textId="77777777" w:rsidR="00AF356B" w:rsidRPr="00560332" w:rsidRDefault="001E295A">
      <w:pPr>
        <w:tabs>
          <w:tab w:val="left" w:pos="1134"/>
        </w:tabs>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II. Se determine mediante resolución de autoridad competente; o</w:t>
      </w:r>
    </w:p>
    <w:p w14:paraId="4C3585E5" w14:textId="77777777" w:rsidR="00AF356B" w:rsidRPr="00560332" w:rsidRDefault="001E295A">
      <w:pPr>
        <w:tabs>
          <w:tab w:val="left" w:pos="1134"/>
        </w:tabs>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III. Se generen versiones públicas para dar cumplimiento a las obligaciones de transparencia previstas en esta Ley.</w:t>
      </w:r>
    </w:p>
    <w:p w14:paraId="3C5E7297" w14:textId="77777777" w:rsidR="00AF356B" w:rsidRPr="00560332" w:rsidRDefault="001E295A">
      <w:pP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w:t>
      </w:r>
    </w:p>
    <w:p w14:paraId="0E5EE0E0" w14:textId="77777777" w:rsidR="00AF356B" w:rsidRPr="00560332" w:rsidRDefault="001E295A">
      <w:pP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b/>
          <w:i/>
          <w:sz w:val="22"/>
          <w:szCs w:val="22"/>
        </w:rPr>
        <w:t>Artículo 143</w:t>
      </w:r>
      <w:r w:rsidRPr="00560332">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68E5B8EE" w14:textId="77777777" w:rsidR="00AF356B" w:rsidRPr="00560332" w:rsidRDefault="001E295A">
      <w:pP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lastRenderedPageBreak/>
        <w:t>I. Se refiera a la información privada y los datos personales concernientes a una persona física o jurídico colectiva identificada o identificable;</w:t>
      </w:r>
    </w:p>
    <w:p w14:paraId="4FF46E35" w14:textId="77777777" w:rsidR="00AF356B" w:rsidRPr="00560332" w:rsidRDefault="001E295A">
      <w:pP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6F34C8BC" w14:textId="77777777" w:rsidR="00AF356B" w:rsidRPr="00560332" w:rsidRDefault="001E295A">
      <w:pP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5705BA33" w14:textId="77777777" w:rsidR="00AF356B" w:rsidRPr="00560332" w:rsidRDefault="001E295A">
      <w:pP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11C51192" w14:textId="77777777" w:rsidR="00AF356B" w:rsidRPr="00560332" w:rsidRDefault="001E295A">
      <w:pP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503FB5C0" w14:textId="77777777" w:rsidR="00AF356B" w:rsidRPr="00560332" w:rsidRDefault="00AF356B">
      <w:pPr>
        <w:ind w:left="567" w:right="616"/>
        <w:jc w:val="both"/>
        <w:rPr>
          <w:rFonts w:ascii="Palatino Linotype" w:eastAsia="Palatino Linotype" w:hAnsi="Palatino Linotype" w:cs="Palatino Linotype"/>
          <w:i/>
          <w:sz w:val="22"/>
          <w:szCs w:val="22"/>
        </w:rPr>
      </w:pPr>
    </w:p>
    <w:p w14:paraId="372C6AEE" w14:textId="77777777" w:rsidR="00AF356B" w:rsidRPr="00560332" w:rsidRDefault="001E295A">
      <w:pPr>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E0F00AE" w14:textId="77777777" w:rsidR="00AF356B" w:rsidRPr="00560332" w:rsidRDefault="00AF356B">
      <w:pPr>
        <w:spacing w:line="360" w:lineRule="auto"/>
        <w:jc w:val="both"/>
        <w:rPr>
          <w:rFonts w:ascii="Palatino Linotype" w:eastAsia="Palatino Linotype" w:hAnsi="Palatino Linotype" w:cs="Palatino Linotype"/>
          <w:sz w:val="22"/>
          <w:szCs w:val="22"/>
        </w:rPr>
      </w:pPr>
    </w:p>
    <w:p w14:paraId="6099F358" w14:textId="77777777" w:rsidR="00AF356B" w:rsidRPr="00560332" w:rsidRDefault="001E295A">
      <w:pPr>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Entre los datos personales que se localizan en las documentales que se ordena entregar, se encuentran los siguientes:</w:t>
      </w:r>
    </w:p>
    <w:p w14:paraId="0D195289" w14:textId="77777777" w:rsidR="00AF356B" w:rsidRPr="00560332" w:rsidRDefault="00AF356B">
      <w:pPr>
        <w:spacing w:line="360" w:lineRule="auto"/>
        <w:jc w:val="both"/>
        <w:rPr>
          <w:rFonts w:ascii="Palatino Linotype" w:eastAsia="Palatino Linotype" w:hAnsi="Palatino Linotype" w:cs="Palatino Linotype"/>
          <w:sz w:val="22"/>
          <w:szCs w:val="22"/>
        </w:rPr>
      </w:pPr>
    </w:p>
    <w:p w14:paraId="1F8003E6" w14:textId="77777777" w:rsidR="00AF356B" w:rsidRPr="00560332" w:rsidRDefault="001E295A">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sidRPr="00560332">
        <w:rPr>
          <w:rFonts w:ascii="Palatino Linotype" w:eastAsia="Palatino Linotype" w:hAnsi="Palatino Linotype" w:cs="Palatino Linotype"/>
          <w:b/>
          <w:sz w:val="22"/>
          <w:szCs w:val="22"/>
        </w:rPr>
        <w:t>Registro Federal de Contribuyentes</w:t>
      </w:r>
      <w:r w:rsidRPr="00560332">
        <w:rPr>
          <w:rFonts w:ascii="Palatino Linotype" w:eastAsia="Palatino Linotype" w:hAnsi="Palatino Linotype" w:cs="Palatino Linotype"/>
          <w:sz w:val="22"/>
          <w:szCs w:val="22"/>
        </w:rPr>
        <w:t xml:space="preserve"> (RFC), la </w:t>
      </w:r>
      <w:r w:rsidRPr="00560332">
        <w:rPr>
          <w:rFonts w:ascii="Palatino Linotype" w:eastAsia="Palatino Linotype" w:hAnsi="Palatino Linotype" w:cs="Palatino Linotype"/>
          <w:b/>
          <w:sz w:val="22"/>
          <w:szCs w:val="22"/>
        </w:rPr>
        <w:t>Clave Única de Registro de Población</w:t>
      </w:r>
      <w:r w:rsidRPr="00560332">
        <w:rPr>
          <w:rFonts w:ascii="Palatino Linotype" w:eastAsia="Palatino Linotype" w:hAnsi="Palatino Linotype" w:cs="Palatino Linotype"/>
          <w:sz w:val="22"/>
          <w:szCs w:val="22"/>
        </w:rPr>
        <w:t xml:space="preserve"> (CURP) y la </w:t>
      </w:r>
      <w:r w:rsidRPr="00560332">
        <w:rPr>
          <w:rFonts w:ascii="Palatino Linotype" w:eastAsia="Palatino Linotype" w:hAnsi="Palatino Linotype" w:cs="Palatino Linotype"/>
          <w:b/>
          <w:sz w:val="22"/>
          <w:szCs w:val="22"/>
        </w:rPr>
        <w:t>Clave de cualquier tipo de seguridad social</w:t>
      </w:r>
      <w:r w:rsidRPr="00560332">
        <w:rPr>
          <w:rFonts w:ascii="Palatino Linotype" w:eastAsia="Palatino Linotype" w:hAnsi="Palatino Linotype" w:cs="Palatino Linotype"/>
          <w:sz w:val="22"/>
          <w:szCs w:val="22"/>
        </w:rPr>
        <w:t xml:space="preserve"> </w:t>
      </w:r>
      <w:r w:rsidRPr="00560332">
        <w:rPr>
          <w:rFonts w:ascii="Palatino Linotype" w:eastAsia="Palatino Linotype" w:hAnsi="Palatino Linotype" w:cs="Palatino Linotype"/>
          <w:sz w:val="22"/>
          <w:szCs w:val="22"/>
        </w:rPr>
        <w:lastRenderedPageBreak/>
        <w:t>(ISSEMYM, u otros), así como, el</w:t>
      </w:r>
      <w:r w:rsidRPr="00560332">
        <w:rPr>
          <w:rFonts w:ascii="Palatino Linotype" w:eastAsia="Palatino Linotype" w:hAnsi="Palatino Linotype" w:cs="Palatino Linotype"/>
          <w:b/>
          <w:sz w:val="22"/>
          <w:szCs w:val="22"/>
        </w:rPr>
        <w:t xml:space="preserve"> número de empleado </w:t>
      </w:r>
      <w:r w:rsidRPr="00560332">
        <w:rPr>
          <w:rFonts w:ascii="Palatino Linotype" w:eastAsia="Palatino Linotype" w:hAnsi="Palatino Linotype" w:cs="Palatino Linotype"/>
          <w:sz w:val="22"/>
          <w:szCs w:val="22"/>
        </w:rPr>
        <w:t>y cualquier información de carácter fiscal, bajo las siguientes consideraciones. </w:t>
      </w:r>
    </w:p>
    <w:p w14:paraId="0D2255E4" w14:textId="77777777" w:rsidR="00AF356B" w:rsidRPr="00560332" w:rsidRDefault="001E295A">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En cuanto al RFC, este constituye un dato personal, ya que para su obtención es necesario acreditar ante la autoridad fiscal previamente la identidad de la persona, su fecha de nacimiento, entre otros aspectos.</w:t>
      </w:r>
    </w:p>
    <w:p w14:paraId="7945BC4E" w14:textId="77777777" w:rsidR="00AF356B" w:rsidRPr="00560332" w:rsidRDefault="00AF356B">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p>
    <w:p w14:paraId="0355EA2F" w14:textId="77777777" w:rsidR="00AF356B" w:rsidRPr="00560332" w:rsidRDefault="001E295A">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205CBA4" w14:textId="77777777" w:rsidR="00AF356B" w:rsidRPr="00560332" w:rsidRDefault="001E295A">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Lo anterior era compartido por el entonces Instituto Nacional de Transparencia, Acceso a la Información y Protección de Datos (INAI) a través del Criterio orientador 19/17, el cual es del tenor literal siguiente:</w:t>
      </w:r>
    </w:p>
    <w:p w14:paraId="03621FC2" w14:textId="77777777" w:rsidR="00AF356B" w:rsidRPr="00560332" w:rsidRDefault="001E295A">
      <w:pPr>
        <w:pBdr>
          <w:top w:val="nil"/>
          <w:left w:val="nil"/>
          <w:bottom w:val="nil"/>
          <w:right w:val="nil"/>
          <w:between w:val="nil"/>
        </w:pBdr>
        <w:spacing w:before="240" w:after="240"/>
        <w:ind w:left="851" w:right="616"/>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i/>
          <w:sz w:val="22"/>
          <w:szCs w:val="22"/>
        </w:rPr>
        <w:t>“</w:t>
      </w:r>
      <w:r w:rsidRPr="00560332">
        <w:rPr>
          <w:rFonts w:ascii="Palatino Linotype" w:eastAsia="Palatino Linotype" w:hAnsi="Palatino Linotype" w:cs="Palatino Linotype"/>
          <w:b/>
          <w:i/>
          <w:sz w:val="22"/>
          <w:szCs w:val="22"/>
        </w:rPr>
        <w:t xml:space="preserve">Registro Federal de Contribuyentes (RFC) de personas físicas. </w:t>
      </w:r>
      <w:r w:rsidRPr="00560332">
        <w:rPr>
          <w:rFonts w:ascii="Palatino Linotype" w:eastAsia="Palatino Linotype" w:hAnsi="Palatino Linotype" w:cs="Palatino Linotype"/>
          <w:i/>
          <w:sz w:val="22"/>
          <w:szCs w:val="22"/>
        </w:rPr>
        <w:t>El RFC es una clave de carácter fiscal, única e irrepetible, que permite identificar al titular, su edad y fecha de nacimiento, por lo que es un dato personal de carácter confidencial.” (Sic)</w:t>
      </w:r>
    </w:p>
    <w:p w14:paraId="66690C66" w14:textId="77777777" w:rsidR="00AF356B" w:rsidRPr="00560332" w:rsidRDefault="001E295A">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Así, el RFC se vincula al nombre de su titular y permite identificar la edad de la persona, su fecha de nacimiento, así como su </w:t>
      </w:r>
      <w:proofErr w:type="spellStart"/>
      <w:r w:rsidRPr="00560332">
        <w:rPr>
          <w:rFonts w:ascii="Palatino Linotype" w:eastAsia="Palatino Linotype" w:hAnsi="Palatino Linotype" w:cs="Palatino Linotype"/>
          <w:sz w:val="22"/>
          <w:szCs w:val="22"/>
        </w:rPr>
        <w:t>homoclave</w:t>
      </w:r>
      <w:proofErr w:type="spellEnd"/>
      <w:r w:rsidRPr="00560332">
        <w:rPr>
          <w:rFonts w:ascii="Palatino Linotype" w:eastAsia="Palatino Linotype" w:hAnsi="Palatino Linotype" w:cs="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670D845D" w14:textId="77777777" w:rsidR="00AF356B" w:rsidRPr="00560332" w:rsidRDefault="001E295A">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lastRenderedPageBreak/>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C9BBF6D" w14:textId="77777777" w:rsidR="00AF356B" w:rsidRPr="00560332" w:rsidRDefault="001E295A">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Argumento que era compartido por el entonces Instituto Nacional de Transparencia, Acceso a la Información y Protección de Datos (INAI)</w:t>
      </w:r>
      <w:r w:rsidRPr="00560332">
        <w:rPr>
          <w:rFonts w:ascii="Palatino Linotype" w:eastAsia="Palatino Linotype" w:hAnsi="Palatino Linotype" w:cs="Palatino Linotype"/>
          <w:b/>
          <w:sz w:val="22"/>
          <w:szCs w:val="22"/>
        </w:rPr>
        <w:t xml:space="preserve">, conforme al </w:t>
      </w:r>
      <w:r w:rsidRPr="00560332">
        <w:rPr>
          <w:rFonts w:ascii="Palatino Linotype" w:eastAsia="Palatino Linotype" w:hAnsi="Palatino Linotype" w:cs="Palatino Linotype"/>
          <w:sz w:val="22"/>
          <w:szCs w:val="22"/>
        </w:rPr>
        <w:t>criterio orientador número 18/17, el cual refiere: </w:t>
      </w:r>
    </w:p>
    <w:p w14:paraId="4E0B71B1" w14:textId="77777777" w:rsidR="00AF356B" w:rsidRPr="00560332" w:rsidRDefault="00AF356B">
      <w:pPr>
        <w:spacing w:before="240" w:after="240" w:line="360" w:lineRule="auto"/>
        <w:rPr>
          <w:rFonts w:ascii="Palatino Linotype" w:eastAsia="Palatino Linotype" w:hAnsi="Palatino Linotype" w:cs="Palatino Linotype"/>
          <w:sz w:val="22"/>
          <w:szCs w:val="22"/>
        </w:rPr>
      </w:pPr>
    </w:p>
    <w:p w14:paraId="28157CE0" w14:textId="77777777" w:rsidR="00AF356B" w:rsidRPr="00560332" w:rsidRDefault="001E295A">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i/>
          <w:sz w:val="22"/>
          <w:szCs w:val="22"/>
        </w:rPr>
        <w:t>“</w:t>
      </w:r>
      <w:r w:rsidRPr="00560332">
        <w:rPr>
          <w:rFonts w:ascii="Palatino Linotype" w:eastAsia="Palatino Linotype" w:hAnsi="Palatino Linotype" w:cs="Palatino Linotype"/>
          <w:b/>
          <w:i/>
          <w:sz w:val="22"/>
          <w:szCs w:val="22"/>
        </w:rPr>
        <w:t xml:space="preserve">Clave Única de Registro de Población (CURP). </w:t>
      </w:r>
      <w:r w:rsidRPr="00560332">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5B647497" w14:textId="77777777" w:rsidR="00AF356B" w:rsidRPr="00560332" w:rsidRDefault="001E295A">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orientador número 15/10 emitido por el entonces Instituto Federal de Transparencia y Acceso a la Información (INAI, cuyo texto y sentido literal es el siguiente:</w:t>
      </w:r>
    </w:p>
    <w:p w14:paraId="37D9AF2E" w14:textId="77777777" w:rsidR="00AF356B" w:rsidRPr="00560332" w:rsidRDefault="001E295A">
      <w:pPr>
        <w:pBdr>
          <w:top w:val="nil"/>
          <w:left w:val="nil"/>
          <w:bottom w:val="nil"/>
          <w:right w:val="nil"/>
          <w:between w:val="nil"/>
        </w:pBdr>
        <w:spacing w:before="240" w:after="240"/>
        <w:ind w:left="851" w:right="616"/>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i/>
          <w:sz w:val="22"/>
          <w:szCs w:val="22"/>
        </w:rPr>
        <w:t>“</w:t>
      </w:r>
      <w:r w:rsidRPr="00560332">
        <w:rPr>
          <w:rFonts w:ascii="Palatino Linotype" w:eastAsia="Palatino Linotype" w:hAnsi="Palatino Linotype" w:cs="Palatino Linotype"/>
          <w:b/>
          <w:i/>
          <w:sz w:val="22"/>
          <w:szCs w:val="22"/>
        </w:rPr>
        <w:t>El número de ficha de identificación única de los trabajadores es información de carácter confidencial.</w:t>
      </w:r>
      <w:r w:rsidRPr="00560332">
        <w:rPr>
          <w:rFonts w:ascii="Palatino Linotype" w:eastAsia="Palatino Linotype" w:hAnsi="Palatino Linotype" w:cs="Palatino Linotype"/>
          <w:i/>
          <w:sz w:val="22"/>
          <w:szCs w:val="22"/>
        </w:rPr>
        <w:t xml:space="preserve"> </w:t>
      </w:r>
      <w:r w:rsidRPr="00560332">
        <w:rPr>
          <w:rFonts w:ascii="Palatino Linotype" w:eastAsia="Palatino Linotype" w:hAnsi="Palatino Linotype" w:cs="Palatino Linotype"/>
          <w:i/>
          <w:sz w:val="22"/>
          <w:szCs w:val="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560332">
        <w:rPr>
          <w:rFonts w:ascii="Palatino Linotype" w:eastAsia="Palatino Linotype" w:hAnsi="Palatino Linotype" w:cs="Palatino Linotype"/>
          <w:i/>
          <w:sz w:val="22"/>
          <w:szCs w:val="22"/>
        </w:rPr>
        <w:t xml:space="preserve">, </w:t>
      </w:r>
      <w:r w:rsidRPr="00560332">
        <w:rPr>
          <w:rFonts w:ascii="Palatino Linotype" w:eastAsia="Palatino Linotype" w:hAnsi="Palatino Linotype" w:cs="Palatino Linotype"/>
          <w:i/>
          <w:sz w:val="22"/>
          <w:szCs w:val="22"/>
          <w:u w:val="single"/>
        </w:rPr>
        <w:t>dicha información es susceptible de clasificarse con el carácter de confidencial</w:t>
      </w:r>
      <w:r w:rsidRPr="00560332">
        <w:rPr>
          <w:rFonts w:ascii="Palatino Linotype" w:eastAsia="Palatino Linotype" w:hAnsi="Palatino Linotype" w:cs="Palatino Linotype"/>
          <w:i/>
          <w:sz w:val="22"/>
          <w:szCs w:val="22"/>
        </w:rPr>
        <w:t xml:space="preserve">, en términos de lo establecido en el artículo 18, fracción II de la Ley Federal </w:t>
      </w:r>
      <w:r w:rsidRPr="00560332">
        <w:rPr>
          <w:rFonts w:ascii="Palatino Linotype" w:eastAsia="Palatino Linotype" w:hAnsi="Palatino Linotype" w:cs="Palatino Linotype"/>
          <w:i/>
          <w:sz w:val="22"/>
          <w:szCs w:val="22"/>
        </w:rPr>
        <w:lastRenderedPageBreak/>
        <w:t>de Transparencia y Acceso a la Información Pública Gubernamental, en virtud de que a través de la misma es posible conocer información personal de su titular.” (Sic)</w:t>
      </w:r>
    </w:p>
    <w:p w14:paraId="352247E3" w14:textId="77777777" w:rsidR="00AF356B" w:rsidRPr="00560332" w:rsidRDefault="001E295A">
      <w:pPr>
        <w:numPr>
          <w:ilvl w:val="0"/>
          <w:numId w:val="8"/>
        </w:num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b/>
          <w:sz w:val="22"/>
          <w:szCs w:val="22"/>
        </w:rPr>
        <w:t>Fotografía de servidores públicos</w:t>
      </w:r>
      <w:r w:rsidRPr="00560332">
        <w:rPr>
          <w:rFonts w:ascii="Palatino Linotype" w:eastAsia="Palatino Linotype" w:hAnsi="Palatino Linotype" w:cs="Palatino Linotype"/>
          <w:sz w:val="22"/>
          <w:szCs w:val="22"/>
        </w:rPr>
        <w:t>: </w:t>
      </w:r>
    </w:p>
    <w:p w14:paraId="7F2C9093" w14:textId="77777777" w:rsidR="00AF356B" w:rsidRPr="00560332" w:rsidRDefault="001E295A">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6BB351AF" w14:textId="77777777" w:rsidR="00AF356B" w:rsidRPr="00560332" w:rsidRDefault="001E295A">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59519132" w14:textId="77777777" w:rsidR="00AF356B" w:rsidRPr="00560332" w:rsidRDefault="001E295A">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293C174A" w14:textId="77777777" w:rsidR="00AF356B" w:rsidRPr="00560332" w:rsidRDefault="001E295A">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lastRenderedPageBreak/>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0156297C" w14:textId="77777777" w:rsidR="00AF356B" w:rsidRPr="00560332" w:rsidRDefault="001E295A">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618224FB" w14:textId="77777777" w:rsidR="00AF356B" w:rsidRPr="00560332" w:rsidRDefault="001E295A">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58D18E18" w14:textId="77777777" w:rsidR="00AF356B" w:rsidRPr="00560332" w:rsidRDefault="001E295A">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lastRenderedPageBreak/>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7A451D03" w14:textId="77777777" w:rsidR="00AF356B" w:rsidRPr="00560332" w:rsidRDefault="001E295A">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4876E451" w14:textId="77777777" w:rsidR="00AF356B" w:rsidRPr="00560332" w:rsidRDefault="001E295A">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b/>
          <w:sz w:val="22"/>
          <w:szCs w:val="22"/>
        </w:rPr>
        <w:t>Firma del titular en Título profesional:</w:t>
      </w:r>
      <w:r w:rsidRPr="00560332">
        <w:rPr>
          <w:rFonts w:ascii="Palatino Linotype" w:eastAsia="Palatino Linotype" w:hAnsi="Palatino Linotype" w:cs="Palatino Linotype"/>
          <w:sz w:val="22"/>
          <w:szCs w:val="22"/>
        </w:rPr>
        <w:t xml:space="preserve"> 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w:t>
      </w:r>
    </w:p>
    <w:p w14:paraId="1421C461" w14:textId="77777777" w:rsidR="00AF356B" w:rsidRPr="00560332" w:rsidRDefault="001E295A">
      <w:pPr>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 xml:space="preserve">Por otro lado, es de destacar que los artículos Quincuagésimo, Quincuagésimo primero, Quincuagésimo segundo, de los Lineamientos Generales en Materia de Clasificación y Desclasificación de la Información, así como para la Elaboración de Versiones Públicas </w:t>
      </w:r>
      <w:r w:rsidRPr="00560332">
        <w:rPr>
          <w:rFonts w:ascii="Palatino Linotype" w:eastAsia="Palatino Linotype" w:hAnsi="Palatino Linotype" w:cs="Palatino Linotype"/>
          <w:sz w:val="22"/>
          <w:szCs w:val="22"/>
        </w:rPr>
        <w:lastRenderedPageBreak/>
        <w:t>vigentes a la fecha de la solicitud señalan las formalidades que deberá llevar el acuerdo de clasificación que deberá emitir el Sujeto Obligado, siendo estas las siguientes:</w:t>
      </w:r>
    </w:p>
    <w:p w14:paraId="6E77859E" w14:textId="77777777" w:rsidR="00AF356B" w:rsidRPr="00560332" w:rsidRDefault="00AF356B">
      <w:pPr>
        <w:spacing w:line="360" w:lineRule="auto"/>
        <w:jc w:val="both"/>
        <w:rPr>
          <w:rFonts w:ascii="Palatino Linotype" w:eastAsia="Palatino Linotype" w:hAnsi="Palatino Linotype" w:cs="Palatino Linotype"/>
          <w:sz w:val="22"/>
          <w:szCs w:val="22"/>
        </w:rPr>
      </w:pPr>
    </w:p>
    <w:p w14:paraId="7A4DEA11" w14:textId="77777777" w:rsidR="00AF356B" w:rsidRPr="00560332" w:rsidRDefault="001E295A">
      <w:pP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 “</w:t>
      </w:r>
      <w:r w:rsidRPr="00560332">
        <w:rPr>
          <w:rFonts w:ascii="Palatino Linotype" w:eastAsia="Palatino Linotype" w:hAnsi="Palatino Linotype" w:cs="Palatino Linotype"/>
          <w:b/>
          <w:i/>
          <w:sz w:val="22"/>
          <w:szCs w:val="22"/>
        </w:rPr>
        <w:t>Quincuagésimo</w:t>
      </w:r>
      <w:r w:rsidRPr="00560332">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A198F21" w14:textId="77777777" w:rsidR="00AF356B" w:rsidRPr="00560332" w:rsidRDefault="001E295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b/>
          <w:i/>
          <w:sz w:val="22"/>
          <w:szCs w:val="22"/>
        </w:rPr>
        <w:t>Quincuagésimo primero.</w:t>
      </w:r>
      <w:r w:rsidRPr="00560332">
        <w:rPr>
          <w:rFonts w:ascii="Palatino Linotype" w:eastAsia="Palatino Linotype" w:hAnsi="Palatino Linotype" w:cs="Palatino Linotype"/>
          <w:i/>
          <w:sz w:val="22"/>
          <w:szCs w:val="22"/>
        </w:rPr>
        <w:t xml:space="preserve"> Toda acta del Comité de Transparencia deberá contener: </w:t>
      </w:r>
    </w:p>
    <w:p w14:paraId="6194AFB1" w14:textId="77777777" w:rsidR="00AF356B" w:rsidRPr="00560332" w:rsidRDefault="001E295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I. El número de sesión y fecha; </w:t>
      </w:r>
    </w:p>
    <w:p w14:paraId="2024F6D0" w14:textId="77777777" w:rsidR="00AF356B" w:rsidRPr="00560332" w:rsidRDefault="001E295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II. El nombre del área que solicitó la clasificación de información; </w:t>
      </w:r>
    </w:p>
    <w:p w14:paraId="451D576A" w14:textId="77777777" w:rsidR="00AF356B" w:rsidRPr="00560332" w:rsidRDefault="001E295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III. La fundamentación legal y motivación correspondiente; </w:t>
      </w:r>
    </w:p>
    <w:p w14:paraId="11AF4CC9" w14:textId="77777777" w:rsidR="00AF356B" w:rsidRPr="00560332" w:rsidRDefault="001E295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IV. La resolución o resoluciones aprobadas; y </w:t>
      </w:r>
    </w:p>
    <w:p w14:paraId="0D21753E" w14:textId="77777777" w:rsidR="00AF356B" w:rsidRPr="00560332" w:rsidRDefault="001E295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V. La rúbrica o firma digital de cada integrante del Comité de Transparencia. </w:t>
      </w:r>
    </w:p>
    <w:p w14:paraId="579B842B" w14:textId="77777777" w:rsidR="00AF356B" w:rsidRPr="00560332" w:rsidRDefault="001E295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042A4BC1" w14:textId="77777777" w:rsidR="00AF356B" w:rsidRPr="00560332" w:rsidRDefault="001E295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I. Los motivos y razonamientos que sustenten la confirmación o modificación de la prueba de daño;</w:t>
      </w:r>
    </w:p>
    <w:p w14:paraId="65A8CE54" w14:textId="77777777" w:rsidR="00AF356B" w:rsidRPr="00560332" w:rsidRDefault="001E295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II. Descripción de las partes o secciones reservadas, en caso de clasificación parcial; </w:t>
      </w:r>
    </w:p>
    <w:p w14:paraId="18005498" w14:textId="77777777" w:rsidR="00AF356B" w:rsidRPr="00560332" w:rsidRDefault="001E295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III. El periodo por el que mantendrá su clasificación y fecha de expiración; y </w:t>
      </w:r>
    </w:p>
    <w:p w14:paraId="5FBA0A28" w14:textId="77777777" w:rsidR="00AF356B" w:rsidRPr="00560332" w:rsidRDefault="001E295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7F24908C" w14:textId="77777777" w:rsidR="00AF356B" w:rsidRPr="00560332" w:rsidRDefault="001E295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38CA39E7" w14:textId="77777777" w:rsidR="00AF356B" w:rsidRPr="00560332" w:rsidRDefault="001E295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411C3440" w14:textId="77777777" w:rsidR="00AF356B" w:rsidRPr="00560332" w:rsidRDefault="001E295A">
      <w:pP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b/>
          <w:i/>
          <w:sz w:val="22"/>
          <w:szCs w:val="22"/>
        </w:rPr>
        <w:t>Quincuagésimo segundo.</w:t>
      </w:r>
      <w:r w:rsidRPr="00560332">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20D5337" w14:textId="77777777" w:rsidR="00AF356B" w:rsidRPr="00560332" w:rsidRDefault="001E295A">
      <w:pP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043E4844" w14:textId="77777777" w:rsidR="00AF356B" w:rsidRPr="00560332" w:rsidRDefault="001E295A">
      <w:pP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6466FFBD" w14:textId="77777777" w:rsidR="00AF356B" w:rsidRPr="00560332" w:rsidRDefault="001E295A">
      <w:pP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5E6DE7D9" w14:textId="77777777" w:rsidR="00AF356B" w:rsidRPr="00560332" w:rsidRDefault="001E295A">
      <w:pP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lastRenderedPageBreak/>
        <w:t>III. Señalar las personas o instancias autorizadas a acceder a la información clasificada.</w:t>
      </w:r>
    </w:p>
    <w:p w14:paraId="39646924" w14:textId="77777777" w:rsidR="00AF356B" w:rsidRPr="00560332" w:rsidRDefault="001E295A">
      <w:pP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5C2266D7" w14:textId="77777777" w:rsidR="00AF356B" w:rsidRPr="00560332" w:rsidRDefault="00AF356B">
      <w:pPr>
        <w:spacing w:line="360" w:lineRule="auto"/>
        <w:jc w:val="both"/>
        <w:rPr>
          <w:rFonts w:ascii="Palatino Linotype" w:eastAsia="Palatino Linotype" w:hAnsi="Palatino Linotype" w:cs="Palatino Linotype"/>
          <w:sz w:val="22"/>
          <w:szCs w:val="22"/>
        </w:rPr>
      </w:pPr>
    </w:p>
    <w:p w14:paraId="2ED01B00" w14:textId="77777777" w:rsidR="00AF356B" w:rsidRPr="00560332" w:rsidRDefault="001E295A">
      <w:pPr>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00A8A120" w14:textId="77777777" w:rsidR="00AF356B" w:rsidRPr="00560332" w:rsidRDefault="00AF356B">
      <w:pPr>
        <w:spacing w:line="360" w:lineRule="auto"/>
        <w:jc w:val="both"/>
        <w:rPr>
          <w:rFonts w:ascii="Palatino Linotype" w:eastAsia="Palatino Linotype" w:hAnsi="Palatino Linotype" w:cs="Palatino Linotype"/>
          <w:sz w:val="22"/>
          <w:szCs w:val="22"/>
        </w:rPr>
      </w:pPr>
    </w:p>
    <w:p w14:paraId="6039FF19" w14:textId="77777777" w:rsidR="00AF356B" w:rsidRPr="00560332" w:rsidRDefault="001E295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w:t>
      </w:r>
      <w:r w:rsidRPr="00560332">
        <w:rPr>
          <w:rFonts w:ascii="Palatino Linotype" w:eastAsia="Palatino Linotype" w:hAnsi="Palatino Linotype" w:cs="Palatino Linotype"/>
          <w:b/>
          <w:i/>
          <w:sz w:val="22"/>
          <w:szCs w:val="22"/>
        </w:rPr>
        <w:t>Quincuagésimo cuarto.</w:t>
      </w:r>
      <w:r w:rsidRPr="00560332">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2BFC3DF2" w14:textId="77777777" w:rsidR="00AF356B" w:rsidRPr="00560332" w:rsidRDefault="001E295A">
      <w:pP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b/>
          <w:i/>
          <w:sz w:val="22"/>
          <w:szCs w:val="22"/>
        </w:rPr>
        <w:t>Quincuagésimo quinto.</w:t>
      </w:r>
      <w:r w:rsidRPr="00560332">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560332">
        <w:rPr>
          <w:rFonts w:ascii="Palatino Linotype" w:eastAsia="Palatino Linotype" w:hAnsi="Palatino Linotype" w:cs="Palatino Linotype"/>
          <w:i/>
          <w:sz w:val="22"/>
          <w:szCs w:val="22"/>
        </w:rPr>
        <w:t>testado</w:t>
      </w:r>
      <w:proofErr w:type="spellEnd"/>
      <w:r w:rsidRPr="00560332">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6E14662" w14:textId="77777777" w:rsidR="00AF356B" w:rsidRPr="00560332" w:rsidRDefault="001E295A">
      <w:pP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w:t>
      </w:r>
    </w:p>
    <w:p w14:paraId="0B55CC6F" w14:textId="77777777" w:rsidR="00AF356B" w:rsidRPr="00560332" w:rsidRDefault="001E295A">
      <w:pP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b/>
          <w:i/>
          <w:sz w:val="22"/>
          <w:szCs w:val="22"/>
        </w:rPr>
        <w:t>Quincuagésimo séptimo.</w:t>
      </w:r>
      <w:r w:rsidRPr="00560332">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759085F4" w14:textId="77777777" w:rsidR="00AF356B" w:rsidRPr="00560332" w:rsidRDefault="001E295A">
      <w:pP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446FD45B" w14:textId="77777777" w:rsidR="00AF356B" w:rsidRPr="00560332" w:rsidRDefault="001E295A">
      <w:pP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1132847F" w14:textId="77777777" w:rsidR="00AF356B" w:rsidRPr="00560332" w:rsidRDefault="001E295A">
      <w:pP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A11C305" w14:textId="77777777" w:rsidR="00AF356B" w:rsidRPr="00560332" w:rsidRDefault="001E295A">
      <w:pP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76736A35" w14:textId="77777777" w:rsidR="00AF356B" w:rsidRPr="00560332" w:rsidRDefault="001E295A">
      <w:pPr>
        <w:ind w:left="567" w:right="616"/>
        <w:jc w:val="both"/>
        <w:rPr>
          <w:rFonts w:ascii="Palatino Linotype" w:eastAsia="Palatino Linotype" w:hAnsi="Palatino Linotype" w:cs="Palatino Linotype"/>
          <w:i/>
          <w:sz w:val="22"/>
          <w:szCs w:val="22"/>
        </w:rPr>
      </w:pPr>
      <w:r w:rsidRPr="00560332">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44BE79D3" w14:textId="77777777" w:rsidR="00AF356B" w:rsidRPr="00560332" w:rsidRDefault="00AF356B">
      <w:pPr>
        <w:spacing w:line="360" w:lineRule="auto"/>
        <w:ind w:left="567" w:right="616"/>
        <w:jc w:val="both"/>
        <w:rPr>
          <w:rFonts w:ascii="Palatino Linotype" w:eastAsia="Palatino Linotype" w:hAnsi="Palatino Linotype" w:cs="Palatino Linotype"/>
          <w:i/>
          <w:sz w:val="22"/>
          <w:szCs w:val="22"/>
        </w:rPr>
      </w:pPr>
    </w:p>
    <w:p w14:paraId="5A54762F" w14:textId="77777777" w:rsidR="00AF356B" w:rsidRPr="00560332" w:rsidRDefault="001E295A">
      <w:pPr>
        <w:spacing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7546BD71" w14:textId="77777777" w:rsidR="00AF356B" w:rsidRPr="00560332" w:rsidRDefault="001E295A">
      <w:pPr>
        <w:spacing w:before="240" w:after="240"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sz w:val="22"/>
          <w:szCs w:val="22"/>
        </w:rPr>
        <w:t>Por lo anteriormente expuesto y con fundamento en lo prescrito en los artículos 5 párrafos trigésimo noveno, cuadragésimo y cuadragésimo primero de la Constitución Política del Estado Libre y Soberano de México; 2, fracción II; 29, 36 fracciones I y II; 176, 178, 181, 185 y 186 fracción III de la Ley de Transparencia y Acceso a la Información Pública del Estado de México y Municipios, este Pleno:</w:t>
      </w:r>
    </w:p>
    <w:p w14:paraId="35DE861F" w14:textId="77777777" w:rsidR="00AF356B" w:rsidRPr="00560332" w:rsidRDefault="001E295A">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sz w:val="22"/>
          <w:szCs w:val="22"/>
        </w:rPr>
      </w:pPr>
      <w:r w:rsidRPr="00560332">
        <w:rPr>
          <w:rFonts w:ascii="Palatino Linotype" w:eastAsia="Palatino Linotype" w:hAnsi="Palatino Linotype" w:cs="Palatino Linotype"/>
          <w:b/>
          <w:sz w:val="22"/>
          <w:szCs w:val="22"/>
        </w:rPr>
        <w:t>R E S U E L V E:</w:t>
      </w:r>
    </w:p>
    <w:p w14:paraId="34CC26A8" w14:textId="77777777" w:rsidR="00AF356B" w:rsidRPr="00560332" w:rsidRDefault="001E295A">
      <w:pPr>
        <w:spacing w:before="240" w:after="240" w:line="360" w:lineRule="auto"/>
        <w:jc w:val="both"/>
        <w:rPr>
          <w:rFonts w:ascii="Palatino Linotype" w:eastAsia="Palatino Linotype" w:hAnsi="Palatino Linotype" w:cs="Palatino Linotype"/>
          <w:b/>
          <w:sz w:val="22"/>
          <w:szCs w:val="22"/>
        </w:rPr>
      </w:pPr>
      <w:r w:rsidRPr="00560332">
        <w:rPr>
          <w:rFonts w:ascii="Palatino Linotype" w:eastAsia="Palatino Linotype" w:hAnsi="Palatino Linotype" w:cs="Palatino Linotype"/>
          <w:b/>
          <w:sz w:val="22"/>
          <w:szCs w:val="22"/>
        </w:rPr>
        <w:t xml:space="preserve">Primero. </w:t>
      </w:r>
      <w:r w:rsidRPr="00560332">
        <w:rPr>
          <w:rFonts w:ascii="Palatino Linotype" w:eastAsia="Palatino Linotype" w:hAnsi="Palatino Linotype" w:cs="Palatino Linotype"/>
          <w:sz w:val="22"/>
          <w:szCs w:val="22"/>
        </w:rPr>
        <w:t>Resultan</w:t>
      </w:r>
      <w:r w:rsidRPr="00560332">
        <w:rPr>
          <w:rFonts w:ascii="Palatino Linotype" w:eastAsia="Palatino Linotype" w:hAnsi="Palatino Linotype" w:cs="Palatino Linotype"/>
          <w:b/>
          <w:sz w:val="22"/>
          <w:szCs w:val="22"/>
        </w:rPr>
        <w:t xml:space="preserve"> parcialmente fundados </w:t>
      </w:r>
      <w:r w:rsidRPr="00560332">
        <w:rPr>
          <w:rFonts w:ascii="Palatino Linotype" w:eastAsia="Palatino Linotype" w:hAnsi="Palatino Linotype" w:cs="Palatino Linotype"/>
          <w:sz w:val="22"/>
          <w:szCs w:val="22"/>
        </w:rPr>
        <w:t xml:space="preserve">los motivos de inconformidad hechos valer por </w:t>
      </w:r>
      <w:r w:rsidRPr="00560332">
        <w:rPr>
          <w:rFonts w:ascii="Palatino Linotype" w:eastAsia="Palatino Linotype" w:hAnsi="Palatino Linotype" w:cs="Palatino Linotype"/>
          <w:b/>
          <w:sz w:val="22"/>
          <w:szCs w:val="22"/>
        </w:rPr>
        <w:t>la parte Recurrente</w:t>
      </w:r>
      <w:r w:rsidRPr="00560332">
        <w:rPr>
          <w:rFonts w:ascii="Palatino Linotype" w:eastAsia="Palatino Linotype" w:hAnsi="Palatino Linotype" w:cs="Palatino Linotype"/>
          <w:sz w:val="22"/>
          <w:szCs w:val="22"/>
        </w:rPr>
        <w:t xml:space="preserve"> en el Recurso de Revisión</w:t>
      </w:r>
      <w:r w:rsidRPr="00560332">
        <w:rPr>
          <w:rFonts w:ascii="Palatino Linotype" w:eastAsia="Palatino Linotype" w:hAnsi="Palatino Linotype" w:cs="Palatino Linotype"/>
          <w:b/>
          <w:sz w:val="22"/>
          <w:szCs w:val="22"/>
        </w:rPr>
        <w:t xml:space="preserve"> 04889/INFOEM/IP/RR/2025, </w:t>
      </w:r>
      <w:r w:rsidRPr="00560332">
        <w:rPr>
          <w:rFonts w:ascii="Palatino Linotype" w:eastAsia="Palatino Linotype" w:hAnsi="Palatino Linotype" w:cs="Palatino Linotype"/>
          <w:sz w:val="22"/>
          <w:szCs w:val="22"/>
        </w:rPr>
        <w:t>por lo que</w:t>
      </w:r>
      <w:r w:rsidRPr="00560332">
        <w:rPr>
          <w:rFonts w:ascii="Palatino Linotype" w:eastAsia="Palatino Linotype" w:hAnsi="Palatino Linotype" w:cs="Palatino Linotype"/>
          <w:b/>
          <w:sz w:val="22"/>
          <w:szCs w:val="22"/>
        </w:rPr>
        <w:t xml:space="preserve">, en términos del Considerando Cuarto </w:t>
      </w:r>
      <w:r w:rsidRPr="00560332">
        <w:rPr>
          <w:rFonts w:ascii="Palatino Linotype" w:eastAsia="Palatino Linotype" w:hAnsi="Palatino Linotype" w:cs="Palatino Linotype"/>
          <w:sz w:val="22"/>
          <w:szCs w:val="22"/>
        </w:rPr>
        <w:t>de la presente resolución</w:t>
      </w:r>
      <w:r w:rsidRPr="00560332">
        <w:rPr>
          <w:rFonts w:ascii="Palatino Linotype" w:eastAsia="Palatino Linotype" w:hAnsi="Palatino Linotype" w:cs="Palatino Linotype"/>
          <w:b/>
          <w:sz w:val="22"/>
          <w:szCs w:val="22"/>
        </w:rPr>
        <w:t>, se MODIFICA l</w:t>
      </w:r>
      <w:r w:rsidRPr="00560332">
        <w:rPr>
          <w:rFonts w:ascii="Palatino Linotype" w:eastAsia="Palatino Linotype" w:hAnsi="Palatino Linotype" w:cs="Palatino Linotype"/>
          <w:sz w:val="22"/>
          <w:szCs w:val="22"/>
        </w:rPr>
        <w:t>a respuesta del</w:t>
      </w:r>
      <w:r w:rsidRPr="00560332">
        <w:rPr>
          <w:rFonts w:ascii="Palatino Linotype" w:eastAsia="Palatino Linotype" w:hAnsi="Palatino Linotype" w:cs="Palatino Linotype"/>
          <w:b/>
          <w:sz w:val="22"/>
          <w:szCs w:val="22"/>
        </w:rPr>
        <w:t xml:space="preserve"> Sujeto Obligado.</w:t>
      </w:r>
    </w:p>
    <w:p w14:paraId="16F3DB3E" w14:textId="77777777" w:rsidR="00AF356B" w:rsidRPr="00560332" w:rsidRDefault="001E295A">
      <w:pPr>
        <w:spacing w:before="240" w:after="240" w:line="360" w:lineRule="auto"/>
        <w:jc w:val="both"/>
        <w:rPr>
          <w:rFonts w:ascii="Palatino Linotype" w:eastAsia="Palatino Linotype" w:hAnsi="Palatino Linotype" w:cs="Palatino Linotype"/>
          <w:b/>
          <w:sz w:val="22"/>
          <w:szCs w:val="22"/>
        </w:rPr>
      </w:pPr>
      <w:bookmarkStart w:id="1" w:name="_heading=h.j3ppyxwlb1s2" w:colFirst="0" w:colLast="0"/>
      <w:bookmarkEnd w:id="1"/>
      <w:r w:rsidRPr="00560332">
        <w:rPr>
          <w:rFonts w:ascii="Palatino Linotype" w:eastAsia="Palatino Linotype" w:hAnsi="Palatino Linotype" w:cs="Palatino Linotype"/>
          <w:b/>
          <w:sz w:val="22"/>
          <w:szCs w:val="22"/>
        </w:rPr>
        <w:t xml:space="preserve">Segundo. Se Ordena al Sujeto Obligado </w:t>
      </w:r>
      <w:r w:rsidRPr="00560332">
        <w:rPr>
          <w:rFonts w:ascii="Palatino Linotype" w:eastAsia="Palatino Linotype" w:hAnsi="Palatino Linotype" w:cs="Palatino Linotype"/>
          <w:sz w:val="22"/>
          <w:szCs w:val="22"/>
        </w:rPr>
        <w:t>que en términos de los</w:t>
      </w:r>
      <w:r w:rsidRPr="00560332">
        <w:rPr>
          <w:rFonts w:ascii="Palatino Linotype" w:eastAsia="Palatino Linotype" w:hAnsi="Palatino Linotype" w:cs="Palatino Linotype"/>
          <w:b/>
          <w:sz w:val="22"/>
          <w:szCs w:val="22"/>
        </w:rPr>
        <w:t xml:space="preserve"> Considerandos Cuarto y Quinto </w:t>
      </w:r>
      <w:r w:rsidRPr="00560332">
        <w:rPr>
          <w:rFonts w:ascii="Palatino Linotype" w:eastAsia="Palatino Linotype" w:hAnsi="Palatino Linotype" w:cs="Palatino Linotype"/>
          <w:sz w:val="22"/>
          <w:szCs w:val="22"/>
        </w:rPr>
        <w:t xml:space="preserve">de esta resolución, haga entrega a </w:t>
      </w:r>
      <w:r w:rsidRPr="00560332">
        <w:rPr>
          <w:rFonts w:ascii="Palatino Linotype" w:eastAsia="Palatino Linotype" w:hAnsi="Palatino Linotype" w:cs="Palatino Linotype"/>
          <w:b/>
          <w:sz w:val="22"/>
          <w:szCs w:val="22"/>
        </w:rPr>
        <w:t xml:space="preserve">la parte Recurrente a través del SAIMEX, </w:t>
      </w:r>
      <w:r w:rsidRPr="00560332">
        <w:rPr>
          <w:rFonts w:ascii="Palatino Linotype" w:eastAsia="Palatino Linotype" w:hAnsi="Palatino Linotype" w:cs="Palatino Linotype"/>
          <w:sz w:val="22"/>
          <w:szCs w:val="22"/>
        </w:rPr>
        <w:t xml:space="preserve">en versión pública, la siguiente información: </w:t>
      </w:r>
    </w:p>
    <w:p w14:paraId="242E95B1" w14:textId="77777777" w:rsidR="00AF356B" w:rsidRPr="00560332" w:rsidRDefault="001E295A">
      <w:pPr>
        <w:numPr>
          <w:ilvl w:val="0"/>
          <w:numId w:val="1"/>
        </w:numPr>
        <w:pBdr>
          <w:top w:val="nil"/>
          <w:left w:val="nil"/>
          <w:bottom w:val="nil"/>
          <w:right w:val="nil"/>
          <w:between w:val="nil"/>
        </w:pBdr>
        <w:ind w:left="993" w:right="843"/>
        <w:jc w:val="both"/>
        <w:rPr>
          <w:rFonts w:ascii="Palatino Linotype" w:eastAsia="Palatino Linotype" w:hAnsi="Palatino Linotype" w:cs="Palatino Linotype"/>
          <w:b/>
          <w:sz w:val="22"/>
          <w:szCs w:val="22"/>
        </w:rPr>
      </w:pPr>
      <w:r w:rsidRPr="00560332">
        <w:rPr>
          <w:rFonts w:ascii="Palatino Linotype" w:eastAsia="Palatino Linotype" w:hAnsi="Palatino Linotype" w:cs="Palatino Linotype"/>
          <w:b/>
          <w:sz w:val="22"/>
          <w:szCs w:val="22"/>
        </w:rPr>
        <w:lastRenderedPageBreak/>
        <w:t>Acuerdo del Comité de Transparencia mediante el cual se clasifique como información reservada el programa y estrategias de seguridad de la presente administración del uno de enero al siete de marzo de dos mil veinticinco.</w:t>
      </w:r>
    </w:p>
    <w:p w14:paraId="2A317BAC" w14:textId="77777777" w:rsidR="00AF356B" w:rsidRPr="00560332" w:rsidRDefault="001E295A">
      <w:pPr>
        <w:numPr>
          <w:ilvl w:val="0"/>
          <w:numId w:val="1"/>
        </w:numPr>
        <w:pBdr>
          <w:top w:val="nil"/>
          <w:left w:val="nil"/>
          <w:bottom w:val="nil"/>
          <w:right w:val="nil"/>
          <w:between w:val="nil"/>
        </w:pBdr>
        <w:ind w:left="993" w:right="843"/>
        <w:jc w:val="both"/>
        <w:rPr>
          <w:rFonts w:ascii="Palatino Linotype" w:eastAsia="Palatino Linotype" w:hAnsi="Palatino Linotype" w:cs="Palatino Linotype"/>
          <w:b/>
          <w:sz w:val="22"/>
          <w:szCs w:val="22"/>
        </w:rPr>
      </w:pPr>
      <w:r w:rsidRPr="00560332">
        <w:rPr>
          <w:rFonts w:ascii="Palatino Linotype" w:eastAsia="Palatino Linotype" w:hAnsi="Palatino Linotype" w:cs="Palatino Linotype"/>
          <w:b/>
          <w:sz w:val="22"/>
          <w:szCs w:val="22"/>
        </w:rPr>
        <w:t>Información faltante de los expedientes de personal del Director de Seguridad Pública y los Servidores Públicos referidos en la respuesta.</w:t>
      </w:r>
    </w:p>
    <w:p w14:paraId="47623D31" w14:textId="77777777" w:rsidR="00AF356B" w:rsidRPr="00560332" w:rsidRDefault="001E295A">
      <w:pPr>
        <w:numPr>
          <w:ilvl w:val="0"/>
          <w:numId w:val="1"/>
        </w:numPr>
        <w:pBdr>
          <w:top w:val="nil"/>
          <w:left w:val="nil"/>
          <w:bottom w:val="nil"/>
          <w:right w:val="nil"/>
          <w:between w:val="nil"/>
        </w:pBdr>
        <w:ind w:left="993" w:right="843"/>
        <w:jc w:val="both"/>
        <w:rPr>
          <w:rFonts w:ascii="Palatino Linotype" w:eastAsia="Palatino Linotype" w:hAnsi="Palatino Linotype" w:cs="Palatino Linotype"/>
          <w:b/>
          <w:sz w:val="22"/>
          <w:szCs w:val="22"/>
        </w:rPr>
      </w:pPr>
      <w:r w:rsidRPr="00560332">
        <w:rPr>
          <w:rFonts w:ascii="Palatino Linotype" w:eastAsia="Palatino Linotype" w:hAnsi="Palatino Linotype" w:cs="Palatino Linotype"/>
          <w:b/>
          <w:sz w:val="22"/>
          <w:szCs w:val="22"/>
        </w:rPr>
        <w:t>Expediente de personal de las y los Directores de Área faltantes, en funciones al siete de marzo de dos mil veinticinco.</w:t>
      </w:r>
    </w:p>
    <w:p w14:paraId="1ED25420" w14:textId="77777777" w:rsidR="00AF356B" w:rsidRPr="00560332" w:rsidRDefault="00AF356B">
      <w:pPr>
        <w:pBdr>
          <w:top w:val="nil"/>
          <w:left w:val="nil"/>
          <w:bottom w:val="nil"/>
          <w:right w:val="nil"/>
          <w:between w:val="nil"/>
        </w:pBdr>
        <w:ind w:left="284" w:right="560"/>
        <w:jc w:val="both"/>
        <w:rPr>
          <w:rFonts w:ascii="Palatino Linotype" w:eastAsia="Palatino Linotype" w:hAnsi="Palatino Linotype" w:cs="Palatino Linotype"/>
          <w:i/>
          <w:sz w:val="22"/>
          <w:szCs w:val="22"/>
        </w:rPr>
      </w:pPr>
    </w:p>
    <w:p w14:paraId="05F20281" w14:textId="77777777" w:rsidR="00AF356B" w:rsidRPr="00560332" w:rsidRDefault="00AF356B">
      <w:pPr>
        <w:pBdr>
          <w:top w:val="nil"/>
          <w:left w:val="nil"/>
          <w:bottom w:val="nil"/>
          <w:right w:val="nil"/>
          <w:between w:val="nil"/>
        </w:pBdr>
        <w:ind w:left="284" w:right="560"/>
        <w:jc w:val="both"/>
        <w:rPr>
          <w:rFonts w:ascii="Palatino Linotype" w:eastAsia="Palatino Linotype" w:hAnsi="Palatino Linotype" w:cs="Palatino Linotype"/>
          <w:i/>
          <w:sz w:val="22"/>
          <w:szCs w:val="22"/>
        </w:rPr>
      </w:pPr>
    </w:p>
    <w:p w14:paraId="3056CF27" w14:textId="77777777" w:rsidR="00AF356B" w:rsidRPr="00560332" w:rsidRDefault="001E295A">
      <w:pPr>
        <w:pBdr>
          <w:top w:val="nil"/>
          <w:left w:val="nil"/>
          <w:bottom w:val="nil"/>
          <w:right w:val="nil"/>
          <w:between w:val="nil"/>
        </w:pBdr>
        <w:ind w:left="284" w:right="560"/>
        <w:jc w:val="both"/>
        <w:rPr>
          <w:rFonts w:ascii="Palatino Linotype" w:eastAsia="Palatino Linotype" w:hAnsi="Palatino Linotype" w:cs="Palatino Linotype"/>
          <w:i/>
          <w:sz w:val="22"/>
          <w:szCs w:val="22"/>
        </w:rPr>
      </w:pPr>
      <w:bookmarkStart w:id="2" w:name="_heading=h.76qtgdehd14i" w:colFirst="0" w:colLast="0"/>
      <w:bookmarkEnd w:id="2"/>
      <w:r w:rsidRPr="00560332">
        <w:rPr>
          <w:rFonts w:ascii="Palatino Linotype" w:eastAsia="Palatino Linotype" w:hAnsi="Palatino Linotype" w:cs="Palatino Linotype"/>
          <w:i/>
          <w:sz w:val="22"/>
          <w:szCs w:val="22"/>
        </w:rPr>
        <w:t>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 en el que se incluyan los fundamentos y motivos de la clasificación en su totalidad como información confidencial las documentales correspondientes.</w:t>
      </w:r>
    </w:p>
    <w:p w14:paraId="0D55DF2A" w14:textId="77777777" w:rsidR="00AF356B" w:rsidRPr="00560332" w:rsidRDefault="00AF356B">
      <w:pPr>
        <w:pBdr>
          <w:top w:val="nil"/>
          <w:left w:val="nil"/>
          <w:bottom w:val="nil"/>
          <w:right w:val="nil"/>
          <w:between w:val="nil"/>
        </w:pBdr>
        <w:ind w:left="284" w:right="560"/>
        <w:jc w:val="both"/>
        <w:rPr>
          <w:rFonts w:ascii="Palatino Linotype" w:eastAsia="Palatino Linotype" w:hAnsi="Palatino Linotype" w:cs="Palatino Linotype"/>
          <w:i/>
          <w:sz w:val="22"/>
          <w:szCs w:val="22"/>
        </w:rPr>
      </w:pPr>
    </w:p>
    <w:p w14:paraId="325F197D" w14:textId="77777777" w:rsidR="00AF356B" w:rsidRPr="00560332" w:rsidRDefault="001E295A">
      <w:pPr>
        <w:spacing w:before="240" w:after="240"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b/>
          <w:sz w:val="22"/>
          <w:szCs w:val="22"/>
        </w:rPr>
        <w:t xml:space="preserve">Tercero.  Notifíquese vía SAIMEX, </w:t>
      </w:r>
      <w:r w:rsidRPr="00560332">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56191FA" w14:textId="77777777" w:rsidR="00AF356B" w:rsidRPr="00560332" w:rsidRDefault="001E295A">
      <w:pPr>
        <w:spacing w:before="240" w:after="240" w:line="360" w:lineRule="auto"/>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b/>
          <w:sz w:val="22"/>
          <w:szCs w:val="22"/>
        </w:rPr>
        <w:t xml:space="preserve">Cuarto. </w:t>
      </w:r>
      <w:r w:rsidRPr="00560332">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560332">
        <w:rPr>
          <w:rFonts w:ascii="Palatino Linotype" w:eastAsia="Palatino Linotype" w:hAnsi="Palatino Linotype" w:cs="Palatino Linotype"/>
          <w:b/>
          <w:sz w:val="22"/>
          <w:szCs w:val="22"/>
        </w:rPr>
        <w:t>Sujeto Obligado</w:t>
      </w:r>
      <w:r w:rsidRPr="00560332">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0B29D4D4" w14:textId="77777777" w:rsidR="00AF356B" w:rsidRPr="00560332" w:rsidRDefault="001E295A">
      <w:pPr>
        <w:spacing w:line="360" w:lineRule="auto"/>
        <w:jc w:val="both"/>
        <w:rPr>
          <w:rFonts w:ascii="Palatino Linotype" w:eastAsia="Palatino Linotype" w:hAnsi="Palatino Linotype" w:cs="Palatino Linotype"/>
          <w:sz w:val="22"/>
          <w:szCs w:val="22"/>
        </w:rPr>
      </w:pPr>
      <w:bookmarkStart w:id="3" w:name="_heading=h.tyjcwt" w:colFirst="0" w:colLast="0"/>
      <w:bookmarkEnd w:id="3"/>
      <w:r w:rsidRPr="00560332">
        <w:rPr>
          <w:rFonts w:ascii="Palatino Linotype" w:eastAsia="Palatino Linotype" w:hAnsi="Palatino Linotype" w:cs="Palatino Linotype"/>
          <w:b/>
          <w:sz w:val="22"/>
          <w:szCs w:val="22"/>
        </w:rPr>
        <w:lastRenderedPageBreak/>
        <w:t xml:space="preserve">Quinto. Notifíquese vía SAIMEX, </w:t>
      </w:r>
      <w:r w:rsidRPr="00560332">
        <w:rPr>
          <w:rFonts w:ascii="Palatino Linotype" w:eastAsia="Palatino Linotype" w:hAnsi="Palatino Linotype" w:cs="Palatino Linotype"/>
          <w:sz w:val="22"/>
          <w:szCs w:val="22"/>
        </w:rPr>
        <w:t>a</w:t>
      </w:r>
      <w:r w:rsidRPr="00560332">
        <w:rPr>
          <w:rFonts w:ascii="Palatino Linotype" w:eastAsia="Palatino Linotype" w:hAnsi="Palatino Linotype" w:cs="Palatino Linotype"/>
          <w:b/>
          <w:sz w:val="22"/>
          <w:szCs w:val="22"/>
        </w:rPr>
        <w:t xml:space="preserve"> la parte Recurrente</w:t>
      </w:r>
      <w:r w:rsidRPr="00560332">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w:t>
      </w:r>
    </w:p>
    <w:p w14:paraId="5ED6748C" w14:textId="77777777" w:rsidR="00AF356B" w:rsidRPr="00560332" w:rsidRDefault="001E295A">
      <w:pPr>
        <w:spacing w:before="240" w:after="240" w:line="360" w:lineRule="auto"/>
        <w:ind w:right="49"/>
        <w:jc w:val="both"/>
        <w:rPr>
          <w:rFonts w:ascii="Palatino Linotype" w:eastAsia="Palatino Linotype" w:hAnsi="Palatino Linotype" w:cs="Palatino Linotype"/>
          <w:sz w:val="22"/>
          <w:szCs w:val="22"/>
        </w:rPr>
      </w:pPr>
      <w:r w:rsidRPr="00560332">
        <w:rPr>
          <w:rFonts w:ascii="Palatino Linotype" w:eastAsia="Palatino Linotype" w:hAnsi="Palatino Linotype" w:cs="Palatino Linotype"/>
          <w:b/>
          <w:sz w:val="22"/>
          <w:szCs w:val="22"/>
        </w:rPr>
        <w:t>Sexto.</w:t>
      </w:r>
      <w:r w:rsidRPr="00560332">
        <w:rPr>
          <w:rFonts w:ascii="Palatino Linotype" w:eastAsia="Palatino Linotype" w:hAnsi="Palatino Linotype" w:cs="Palatino Linotype"/>
          <w:sz w:val="22"/>
          <w:szCs w:val="22"/>
        </w:rPr>
        <w:t xml:space="preserve"> </w:t>
      </w:r>
      <w:r w:rsidRPr="00560332">
        <w:rPr>
          <w:rFonts w:ascii="Palatino Linotype" w:eastAsia="Palatino Linotype" w:hAnsi="Palatino Linotype" w:cs="Palatino Linotype"/>
          <w:b/>
          <w:sz w:val="22"/>
          <w:szCs w:val="22"/>
        </w:rPr>
        <w:t xml:space="preserve">Gírese </w:t>
      </w:r>
      <w:r w:rsidRPr="00560332">
        <w:rPr>
          <w:rFonts w:ascii="Palatino Linotype" w:eastAsia="Palatino Linotype" w:hAnsi="Palatino Linotype" w:cs="Palatino Linotype"/>
          <w:sz w:val="22"/>
          <w:szCs w:val="22"/>
        </w:rPr>
        <w:t xml:space="preserve">oficio a la Dirección General de Protección de Datos Personales de este Instituto para hacer de su conocimiento la presente resolución, a fin de que en ejercicio de sus atribuciones y de conformidad con el artículo 82 de la Ley de Protección de Datos Personales en Posesión de Sujetos Obligados del Estado de México y Municipios, determine lo conducente, en términos de lo señalado en el </w:t>
      </w:r>
      <w:r w:rsidRPr="00560332">
        <w:rPr>
          <w:rFonts w:ascii="Palatino Linotype" w:eastAsia="Palatino Linotype" w:hAnsi="Palatino Linotype" w:cs="Palatino Linotype"/>
          <w:b/>
          <w:sz w:val="22"/>
          <w:szCs w:val="22"/>
        </w:rPr>
        <w:t>Considerando Cuarto</w:t>
      </w:r>
      <w:r w:rsidRPr="00560332">
        <w:rPr>
          <w:rFonts w:ascii="Palatino Linotype" w:eastAsia="Palatino Linotype" w:hAnsi="Palatino Linotype" w:cs="Palatino Linotype"/>
          <w:sz w:val="22"/>
          <w:szCs w:val="22"/>
        </w:rPr>
        <w:t xml:space="preserve"> de la presente resolución.</w:t>
      </w:r>
    </w:p>
    <w:p w14:paraId="64420D27" w14:textId="0172AFE0" w:rsidR="00AF356B" w:rsidRPr="001E295A" w:rsidRDefault="001E295A">
      <w:pPr>
        <w:spacing w:line="360" w:lineRule="auto"/>
        <w:ind w:right="-93"/>
        <w:jc w:val="both"/>
        <w:rPr>
          <w:rFonts w:ascii="Palatino Linotype" w:eastAsia="Palatino Linotype" w:hAnsi="Palatino Linotype" w:cs="Palatino Linotype"/>
          <w:sz w:val="22"/>
          <w:szCs w:val="22"/>
        </w:rPr>
      </w:pPr>
      <w:bookmarkStart w:id="4" w:name="_heading=h.jl0dlasot4f" w:colFirst="0" w:colLast="0"/>
      <w:bookmarkEnd w:id="4"/>
      <w:r w:rsidRPr="00560332">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EMITIENDO VOTO PARTICULAR, SHARON CRISTINA MORALES MARTÍNEZ, LUIS GUSTAVO PARRA NORIEGA, EMITIENDO VOTO PARTICULAR, Y GUADALUPE RAMÍREZ PEÑA, EMITIENDO VOTO PARTICULAR; EN LA TRIGÉSIMA SESIÓN ORDINARIA CELEBRADA EL VEINTISIETE DE AGOSTO DE DOS MIL VEINTICINCO, ANTE EL SECRETARIO TÉCNICO DEL PLENO ALEXIS TAPIA RAMÍREZ.</w:t>
      </w:r>
    </w:p>
    <w:p w14:paraId="54FF7964" w14:textId="77777777" w:rsidR="00AF356B" w:rsidRPr="001E295A" w:rsidRDefault="00AF356B">
      <w:pPr>
        <w:spacing w:line="360" w:lineRule="auto"/>
        <w:ind w:right="-93"/>
        <w:jc w:val="both"/>
        <w:rPr>
          <w:rFonts w:ascii="Palatino Linotype" w:eastAsia="Palatino Linotype" w:hAnsi="Palatino Linotype" w:cs="Palatino Linotype"/>
          <w:sz w:val="22"/>
          <w:szCs w:val="22"/>
        </w:rPr>
      </w:pPr>
    </w:p>
    <w:p w14:paraId="67E0E491" w14:textId="77777777" w:rsidR="00AF356B" w:rsidRPr="001E295A" w:rsidRDefault="00AF356B">
      <w:pPr>
        <w:spacing w:line="360" w:lineRule="auto"/>
        <w:ind w:right="-93"/>
        <w:jc w:val="both"/>
        <w:rPr>
          <w:rFonts w:ascii="Palatino Linotype" w:eastAsia="Palatino Linotype" w:hAnsi="Palatino Linotype" w:cs="Palatino Linotype"/>
          <w:sz w:val="22"/>
          <w:szCs w:val="22"/>
        </w:rPr>
      </w:pPr>
    </w:p>
    <w:p w14:paraId="39AD7674" w14:textId="77777777" w:rsidR="00AF356B" w:rsidRPr="001E295A" w:rsidRDefault="00AF356B">
      <w:pPr>
        <w:spacing w:line="360" w:lineRule="auto"/>
        <w:ind w:right="-93"/>
        <w:jc w:val="both"/>
        <w:rPr>
          <w:rFonts w:ascii="Palatino Linotype" w:eastAsia="Palatino Linotype" w:hAnsi="Palatino Linotype" w:cs="Palatino Linotype"/>
          <w:sz w:val="22"/>
          <w:szCs w:val="22"/>
        </w:rPr>
      </w:pPr>
    </w:p>
    <w:p w14:paraId="4EA60992" w14:textId="77777777" w:rsidR="00AF356B" w:rsidRPr="001E295A" w:rsidRDefault="00AF356B">
      <w:pPr>
        <w:spacing w:line="360" w:lineRule="auto"/>
        <w:ind w:right="-93"/>
        <w:jc w:val="both"/>
        <w:rPr>
          <w:rFonts w:ascii="Palatino Linotype" w:eastAsia="Palatino Linotype" w:hAnsi="Palatino Linotype" w:cs="Palatino Linotype"/>
          <w:sz w:val="22"/>
          <w:szCs w:val="22"/>
        </w:rPr>
      </w:pPr>
    </w:p>
    <w:p w14:paraId="52CA002D" w14:textId="77777777" w:rsidR="00AF356B" w:rsidRPr="001E295A" w:rsidRDefault="00AF356B">
      <w:pPr>
        <w:spacing w:line="360" w:lineRule="auto"/>
        <w:ind w:right="-93"/>
        <w:jc w:val="both"/>
        <w:rPr>
          <w:rFonts w:ascii="Palatino Linotype" w:eastAsia="Palatino Linotype" w:hAnsi="Palatino Linotype" w:cs="Palatino Linotype"/>
          <w:sz w:val="22"/>
          <w:szCs w:val="22"/>
        </w:rPr>
      </w:pPr>
    </w:p>
    <w:p w14:paraId="2A75ABE5" w14:textId="77777777" w:rsidR="00AF356B" w:rsidRPr="001E295A" w:rsidRDefault="00AF356B">
      <w:pPr>
        <w:spacing w:line="360" w:lineRule="auto"/>
        <w:ind w:right="-93"/>
        <w:jc w:val="both"/>
        <w:rPr>
          <w:rFonts w:ascii="Palatino Linotype" w:eastAsia="Palatino Linotype" w:hAnsi="Palatino Linotype" w:cs="Palatino Linotype"/>
          <w:sz w:val="22"/>
          <w:szCs w:val="22"/>
        </w:rPr>
      </w:pPr>
    </w:p>
    <w:p w14:paraId="7F503918" w14:textId="77777777" w:rsidR="00AF356B" w:rsidRPr="001E295A" w:rsidRDefault="00AF356B">
      <w:pPr>
        <w:spacing w:line="360" w:lineRule="auto"/>
        <w:ind w:right="-93"/>
        <w:jc w:val="both"/>
        <w:rPr>
          <w:rFonts w:ascii="Palatino Linotype" w:eastAsia="Palatino Linotype" w:hAnsi="Palatino Linotype" w:cs="Palatino Linotype"/>
          <w:sz w:val="22"/>
          <w:szCs w:val="22"/>
        </w:rPr>
      </w:pPr>
    </w:p>
    <w:p w14:paraId="43AB43CE" w14:textId="77777777" w:rsidR="00AF356B" w:rsidRPr="001E295A" w:rsidRDefault="00AF356B">
      <w:pPr>
        <w:spacing w:line="360" w:lineRule="auto"/>
        <w:ind w:right="-93"/>
        <w:jc w:val="both"/>
        <w:rPr>
          <w:rFonts w:ascii="Palatino Linotype" w:eastAsia="Palatino Linotype" w:hAnsi="Palatino Linotype" w:cs="Palatino Linotype"/>
          <w:sz w:val="22"/>
          <w:szCs w:val="22"/>
        </w:rPr>
      </w:pPr>
    </w:p>
    <w:p w14:paraId="1C5519DE" w14:textId="77777777" w:rsidR="00AF356B" w:rsidRPr="001E295A" w:rsidRDefault="00AF356B">
      <w:pPr>
        <w:spacing w:line="360" w:lineRule="auto"/>
        <w:ind w:right="-93"/>
        <w:jc w:val="both"/>
        <w:rPr>
          <w:rFonts w:ascii="Palatino Linotype" w:eastAsia="Palatino Linotype" w:hAnsi="Palatino Linotype" w:cs="Palatino Linotype"/>
          <w:sz w:val="22"/>
          <w:szCs w:val="22"/>
        </w:rPr>
      </w:pPr>
    </w:p>
    <w:p w14:paraId="07CE1FEF" w14:textId="77777777" w:rsidR="00AF356B" w:rsidRPr="001E295A" w:rsidRDefault="00AF356B">
      <w:pPr>
        <w:spacing w:line="360" w:lineRule="auto"/>
        <w:ind w:right="-93"/>
        <w:jc w:val="both"/>
        <w:rPr>
          <w:rFonts w:ascii="Palatino Linotype" w:eastAsia="Palatino Linotype" w:hAnsi="Palatino Linotype" w:cs="Palatino Linotype"/>
          <w:sz w:val="22"/>
          <w:szCs w:val="22"/>
        </w:rPr>
      </w:pPr>
    </w:p>
    <w:p w14:paraId="09ABD5D7" w14:textId="77777777" w:rsidR="00AF356B" w:rsidRPr="001E295A" w:rsidRDefault="00AF356B">
      <w:pPr>
        <w:spacing w:line="360" w:lineRule="auto"/>
        <w:ind w:right="-93"/>
        <w:jc w:val="both"/>
        <w:rPr>
          <w:rFonts w:ascii="Palatino Linotype" w:eastAsia="Palatino Linotype" w:hAnsi="Palatino Linotype" w:cs="Palatino Linotype"/>
          <w:sz w:val="22"/>
          <w:szCs w:val="22"/>
        </w:rPr>
      </w:pPr>
    </w:p>
    <w:p w14:paraId="20374D8F" w14:textId="77777777" w:rsidR="00AF356B" w:rsidRPr="001E295A" w:rsidRDefault="00AF356B">
      <w:pPr>
        <w:spacing w:line="360" w:lineRule="auto"/>
        <w:ind w:right="-93"/>
        <w:jc w:val="both"/>
        <w:rPr>
          <w:rFonts w:ascii="Palatino Linotype" w:eastAsia="Palatino Linotype" w:hAnsi="Palatino Linotype" w:cs="Palatino Linotype"/>
          <w:sz w:val="22"/>
          <w:szCs w:val="22"/>
        </w:rPr>
      </w:pPr>
    </w:p>
    <w:p w14:paraId="04A72020" w14:textId="77777777" w:rsidR="00AF356B" w:rsidRPr="001E295A" w:rsidRDefault="00AF356B">
      <w:pPr>
        <w:spacing w:line="360" w:lineRule="auto"/>
        <w:ind w:right="-93"/>
        <w:jc w:val="both"/>
        <w:rPr>
          <w:rFonts w:ascii="Palatino Linotype" w:eastAsia="Palatino Linotype" w:hAnsi="Palatino Linotype" w:cs="Palatino Linotype"/>
          <w:sz w:val="22"/>
          <w:szCs w:val="22"/>
        </w:rPr>
      </w:pPr>
    </w:p>
    <w:p w14:paraId="1A880F71" w14:textId="77777777" w:rsidR="00AF356B" w:rsidRPr="001E295A" w:rsidRDefault="00AF356B">
      <w:pPr>
        <w:spacing w:line="360" w:lineRule="auto"/>
        <w:ind w:right="-93"/>
        <w:jc w:val="both"/>
        <w:rPr>
          <w:rFonts w:ascii="Palatino Linotype" w:eastAsia="Palatino Linotype" w:hAnsi="Palatino Linotype" w:cs="Palatino Linotype"/>
          <w:sz w:val="22"/>
          <w:szCs w:val="22"/>
        </w:rPr>
      </w:pPr>
    </w:p>
    <w:p w14:paraId="70C53525" w14:textId="77777777" w:rsidR="00AF356B" w:rsidRPr="001E295A" w:rsidRDefault="00AF356B">
      <w:pPr>
        <w:spacing w:line="360" w:lineRule="auto"/>
        <w:ind w:right="-93"/>
        <w:jc w:val="both"/>
        <w:rPr>
          <w:rFonts w:ascii="Palatino Linotype" w:eastAsia="Palatino Linotype" w:hAnsi="Palatino Linotype" w:cs="Palatino Linotype"/>
          <w:sz w:val="22"/>
          <w:szCs w:val="22"/>
        </w:rPr>
      </w:pPr>
    </w:p>
    <w:p w14:paraId="5894B723" w14:textId="77777777" w:rsidR="00AF356B" w:rsidRPr="001E295A" w:rsidRDefault="00AF356B">
      <w:pPr>
        <w:spacing w:line="360" w:lineRule="auto"/>
        <w:ind w:right="-93"/>
        <w:jc w:val="both"/>
        <w:rPr>
          <w:rFonts w:ascii="Palatino Linotype" w:eastAsia="Palatino Linotype" w:hAnsi="Palatino Linotype" w:cs="Palatino Linotype"/>
          <w:sz w:val="22"/>
          <w:szCs w:val="22"/>
        </w:rPr>
      </w:pPr>
    </w:p>
    <w:p w14:paraId="5C42ACBA" w14:textId="77777777" w:rsidR="00AF356B" w:rsidRPr="001E295A" w:rsidRDefault="00AF356B">
      <w:pPr>
        <w:spacing w:line="360" w:lineRule="auto"/>
        <w:ind w:right="-93"/>
        <w:jc w:val="both"/>
        <w:rPr>
          <w:rFonts w:ascii="Palatino Linotype" w:eastAsia="Palatino Linotype" w:hAnsi="Palatino Linotype" w:cs="Palatino Linotype"/>
          <w:sz w:val="22"/>
          <w:szCs w:val="22"/>
        </w:rPr>
      </w:pPr>
    </w:p>
    <w:p w14:paraId="04E954CF" w14:textId="77777777" w:rsidR="00AF356B" w:rsidRPr="001E295A" w:rsidRDefault="00AF356B">
      <w:pPr>
        <w:spacing w:line="360" w:lineRule="auto"/>
        <w:ind w:right="-93"/>
        <w:jc w:val="both"/>
        <w:rPr>
          <w:rFonts w:ascii="Palatino Linotype" w:eastAsia="Palatino Linotype" w:hAnsi="Palatino Linotype" w:cs="Palatino Linotype"/>
          <w:sz w:val="22"/>
          <w:szCs w:val="22"/>
        </w:rPr>
      </w:pPr>
    </w:p>
    <w:p w14:paraId="066738A2" w14:textId="77777777" w:rsidR="00AF356B" w:rsidRPr="001E295A" w:rsidRDefault="00AF356B">
      <w:pPr>
        <w:spacing w:line="360" w:lineRule="auto"/>
        <w:ind w:right="49"/>
        <w:jc w:val="both"/>
        <w:rPr>
          <w:rFonts w:ascii="Palatino Linotype" w:eastAsia="Palatino Linotype" w:hAnsi="Palatino Linotype" w:cs="Palatino Linotype"/>
          <w:sz w:val="22"/>
          <w:szCs w:val="22"/>
        </w:rPr>
      </w:pPr>
    </w:p>
    <w:sectPr w:rsidR="00AF356B" w:rsidRPr="001E295A">
      <w:headerReference w:type="default" r:id="rId12"/>
      <w:footerReference w:type="default" r:id="rId13"/>
      <w:headerReference w:type="first" r:id="rId14"/>
      <w:footerReference w:type="first" r:id="rId15"/>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E89D6" w14:textId="77777777" w:rsidR="00455621" w:rsidRDefault="00455621">
      <w:r>
        <w:separator/>
      </w:r>
    </w:p>
  </w:endnote>
  <w:endnote w:type="continuationSeparator" w:id="0">
    <w:p w14:paraId="71E5053F" w14:textId="77777777" w:rsidR="00455621" w:rsidRDefault="00455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333F1" w14:textId="77777777" w:rsidR="00AF356B" w:rsidRDefault="001E295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560332">
      <w:rPr>
        <w:b/>
        <w:noProof/>
        <w:color w:val="000000"/>
      </w:rPr>
      <w:t>49</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560332">
      <w:rPr>
        <w:b/>
        <w:noProof/>
        <w:color w:val="000000"/>
      </w:rPr>
      <w:t>52</w:t>
    </w:r>
    <w:r>
      <w:rPr>
        <w:b/>
        <w:color w:val="000000"/>
      </w:rPr>
      <w:fldChar w:fldCharType="end"/>
    </w:r>
  </w:p>
  <w:p w14:paraId="376C533B" w14:textId="77777777" w:rsidR="00AF356B" w:rsidRDefault="00AF356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373D1" w14:textId="77777777" w:rsidR="00AF356B" w:rsidRDefault="001E295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560332">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560332">
      <w:rPr>
        <w:b/>
        <w:noProof/>
        <w:color w:val="000000"/>
      </w:rPr>
      <w:t>52</w:t>
    </w:r>
    <w:r>
      <w:rPr>
        <w:b/>
        <w:color w:val="000000"/>
      </w:rPr>
      <w:fldChar w:fldCharType="end"/>
    </w:r>
  </w:p>
  <w:p w14:paraId="2E7F0C8B" w14:textId="77777777" w:rsidR="00AF356B" w:rsidRDefault="00AF356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2EBD5" w14:textId="77777777" w:rsidR="00455621" w:rsidRDefault="00455621">
      <w:r>
        <w:separator/>
      </w:r>
    </w:p>
  </w:footnote>
  <w:footnote w:type="continuationSeparator" w:id="0">
    <w:p w14:paraId="3434B9FB" w14:textId="77777777" w:rsidR="00455621" w:rsidRDefault="00455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BD73" w14:textId="77777777" w:rsidR="00AF356B" w:rsidRDefault="001E295A">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2268DF2F" wp14:editId="2C46C3A6">
          <wp:simplePos x="0" y="0"/>
          <wp:positionH relativeFrom="column">
            <wp:posOffset>0</wp:posOffset>
          </wp:positionH>
          <wp:positionV relativeFrom="paragraph">
            <wp:posOffset>-401953</wp:posOffset>
          </wp:positionV>
          <wp:extent cx="7809876" cy="10165823"/>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8"/>
      <w:tblW w:w="5603" w:type="dxa"/>
      <w:tblInd w:w="3611" w:type="dxa"/>
      <w:tblLayout w:type="fixed"/>
      <w:tblLook w:val="0400" w:firstRow="0" w:lastRow="0" w:firstColumn="0" w:lastColumn="0" w:noHBand="0" w:noVBand="1"/>
    </w:tblPr>
    <w:tblGrid>
      <w:gridCol w:w="2551"/>
      <w:gridCol w:w="3052"/>
    </w:tblGrid>
    <w:tr w:rsidR="00AF356B" w14:paraId="3452D204" w14:textId="77777777">
      <w:tc>
        <w:tcPr>
          <w:tcW w:w="2551" w:type="dxa"/>
          <w:vAlign w:val="center"/>
        </w:tcPr>
        <w:p w14:paraId="34FEB1CE" w14:textId="77777777" w:rsidR="00AF356B" w:rsidRDefault="001E295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29F7FB30" w14:textId="77777777" w:rsidR="00AF356B" w:rsidRDefault="00AF356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296C21A0" w14:textId="77777777" w:rsidR="00AF356B" w:rsidRDefault="001E295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04889/INFOEM/IP/RR/2025</w:t>
          </w:r>
        </w:p>
      </w:tc>
    </w:tr>
    <w:tr w:rsidR="00AF356B" w14:paraId="0CCDAB44" w14:textId="77777777">
      <w:trPr>
        <w:trHeight w:val="217"/>
      </w:trPr>
      <w:tc>
        <w:tcPr>
          <w:tcW w:w="2551" w:type="dxa"/>
          <w:vAlign w:val="center"/>
        </w:tcPr>
        <w:p w14:paraId="684FA397" w14:textId="77777777" w:rsidR="00AF356B" w:rsidRDefault="001E295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5243C447" w14:textId="77777777" w:rsidR="00AF356B" w:rsidRDefault="001E295A">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Ayuntamiento de Toluca</w:t>
          </w:r>
        </w:p>
      </w:tc>
    </w:tr>
    <w:tr w:rsidR="00AF356B" w14:paraId="3127A288" w14:textId="77777777">
      <w:tc>
        <w:tcPr>
          <w:tcW w:w="2551" w:type="dxa"/>
          <w:vAlign w:val="center"/>
        </w:tcPr>
        <w:p w14:paraId="49301084" w14:textId="77777777" w:rsidR="00AF356B" w:rsidRDefault="001E295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53F6765D" w14:textId="77777777" w:rsidR="00AF356B" w:rsidRDefault="001E295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5892FF97" w14:textId="77777777" w:rsidR="00AF356B" w:rsidRDefault="00AF356B">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15C5F" w14:textId="77777777" w:rsidR="00AF356B" w:rsidRDefault="001E295A">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31CC8C46" wp14:editId="0F2E3286">
          <wp:simplePos x="0" y="0"/>
          <wp:positionH relativeFrom="column">
            <wp:posOffset>-929004</wp:posOffset>
          </wp:positionH>
          <wp:positionV relativeFrom="paragraph">
            <wp:posOffset>-644524</wp:posOffset>
          </wp:positionV>
          <wp:extent cx="7809865" cy="10165715"/>
          <wp:effectExtent l="0" t="0" r="0" b="0"/>
          <wp:wrapNone/>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9"/>
      <w:tblW w:w="5603" w:type="dxa"/>
      <w:tblInd w:w="3611" w:type="dxa"/>
      <w:tblLayout w:type="fixed"/>
      <w:tblLook w:val="0400" w:firstRow="0" w:lastRow="0" w:firstColumn="0" w:lastColumn="0" w:noHBand="0" w:noVBand="1"/>
    </w:tblPr>
    <w:tblGrid>
      <w:gridCol w:w="2551"/>
      <w:gridCol w:w="3052"/>
    </w:tblGrid>
    <w:tr w:rsidR="00AF356B" w14:paraId="27604732" w14:textId="77777777">
      <w:tc>
        <w:tcPr>
          <w:tcW w:w="2551" w:type="dxa"/>
          <w:vAlign w:val="center"/>
        </w:tcPr>
        <w:p w14:paraId="1EC15EC3" w14:textId="77777777" w:rsidR="00AF356B" w:rsidRDefault="001E295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7B5D25CB" w14:textId="77777777" w:rsidR="00AF356B" w:rsidRDefault="00AF356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3F7FDD79" w14:textId="77777777" w:rsidR="00AF356B" w:rsidRDefault="001E295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2"/>
            </w:rPr>
            <w:t>04889/INFOEM/IP/RR/2025</w:t>
          </w:r>
        </w:p>
      </w:tc>
    </w:tr>
    <w:tr w:rsidR="00AF356B" w14:paraId="7E7BFA12" w14:textId="77777777">
      <w:tc>
        <w:tcPr>
          <w:tcW w:w="2551" w:type="dxa"/>
          <w:vAlign w:val="center"/>
        </w:tcPr>
        <w:p w14:paraId="339813A5" w14:textId="77777777" w:rsidR="00AF356B" w:rsidRDefault="001E295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6C36698B" w14:textId="77777777" w:rsidR="00AF356B" w:rsidRDefault="00AF356B">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r>
    <w:tr w:rsidR="00AF356B" w14:paraId="2C4FAD71" w14:textId="77777777">
      <w:trPr>
        <w:trHeight w:val="152"/>
      </w:trPr>
      <w:tc>
        <w:tcPr>
          <w:tcW w:w="2551" w:type="dxa"/>
          <w:vAlign w:val="center"/>
        </w:tcPr>
        <w:p w14:paraId="7535790D" w14:textId="77777777" w:rsidR="00AF356B" w:rsidRDefault="001E295A">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1F71D2F3" w14:textId="77777777" w:rsidR="00AF356B" w:rsidRDefault="00AF356B">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6CB6650E" w14:textId="77777777" w:rsidR="00AF356B" w:rsidRDefault="001E295A">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2"/>
            </w:rPr>
            <w:t>Ayuntamiento de Toluca</w:t>
          </w:r>
        </w:p>
      </w:tc>
    </w:tr>
    <w:tr w:rsidR="00AF356B" w14:paraId="238C34C4" w14:textId="77777777">
      <w:tc>
        <w:tcPr>
          <w:tcW w:w="2551" w:type="dxa"/>
          <w:vAlign w:val="center"/>
        </w:tcPr>
        <w:p w14:paraId="07BD9C80" w14:textId="77777777" w:rsidR="00AF356B" w:rsidRDefault="001E295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102982D1" w14:textId="77777777" w:rsidR="00AF356B" w:rsidRDefault="001E295A">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54D0F674" w14:textId="77777777" w:rsidR="00AF356B" w:rsidRDefault="001E295A">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315C2"/>
    <w:multiLevelType w:val="multilevel"/>
    <w:tmpl w:val="B00E93E6"/>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2F05FD"/>
    <w:multiLevelType w:val="multilevel"/>
    <w:tmpl w:val="D7BE4F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42917ED"/>
    <w:multiLevelType w:val="multilevel"/>
    <w:tmpl w:val="43FCAE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725E6F"/>
    <w:multiLevelType w:val="multilevel"/>
    <w:tmpl w:val="1564F2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B5C779A"/>
    <w:multiLevelType w:val="multilevel"/>
    <w:tmpl w:val="2B92E8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02E6C51"/>
    <w:multiLevelType w:val="multilevel"/>
    <w:tmpl w:val="6456A9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91A01F4"/>
    <w:multiLevelType w:val="multilevel"/>
    <w:tmpl w:val="5372C4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B1C3693"/>
    <w:multiLevelType w:val="multilevel"/>
    <w:tmpl w:val="D5F4A6D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7C051837"/>
    <w:multiLevelType w:val="multilevel"/>
    <w:tmpl w:val="54825A1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7"/>
  </w:num>
  <w:num w:numId="2">
    <w:abstractNumId w:val="4"/>
  </w:num>
  <w:num w:numId="3">
    <w:abstractNumId w:val="6"/>
  </w:num>
  <w:num w:numId="4">
    <w:abstractNumId w:val="2"/>
  </w:num>
  <w:num w:numId="5">
    <w:abstractNumId w:val="0"/>
  </w:num>
  <w:num w:numId="6">
    <w:abstractNumId w:val="3"/>
  </w:num>
  <w:num w:numId="7">
    <w:abstractNumId w:val="8"/>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6B"/>
    <w:rsid w:val="001E295A"/>
    <w:rsid w:val="002409B5"/>
    <w:rsid w:val="00455621"/>
    <w:rsid w:val="00560332"/>
    <w:rsid w:val="00A1489C"/>
    <w:rsid w:val="00A81697"/>
    <w:rsid w:val="00AF35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F9C25"/>
  <w15:docId w15:val="{13C73A7F-5170-41ED-B924-21DF5BB4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top w:w="15" w:type="dxa"/>
        <w:left w:w="115" w:type="dxa"/>
        <w:bottom w:w="15" w:type="dxa"/>
        <w:right w:w="115" w:type="dxa"/>
      </w:tblCellMar>
    </w:tblPr>
  </w:style>
  <w:style w:type="table" w:customStyle="1" w:styleId="a4">
    <w:basedOn w:val="TableNormal4"/>
    <w:tblPr>
      <w:tblStyleRowBandSize w:val="1"/>
      <w:tblStyleColBandSize w:val="1"/>
      <w:tblCellMar>
        <w:top w:w="15" w:type="dxa"/>
        <w:left w:w="115" w:type="dxa"/>
        <w:bottom w:w="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top w:w="15" w:type="dxa"/>
        <w:left w:w="115" w:type="dxa"/>
        <w:bottom w:w="15" w:type="dxa"/>
        <w:right w:w="115" w:type="dxa"/>
      </w:tblCellMar>
    </w:tblPr>
  </w:style>
  <w:style w:type="table" w:customStyle="1" w:styleId="aa">
    <w:basedOn w:val="TableNormal3"/>
    <w:tblPr>
      <w:tblStyleRowBandSize w:val="1"/>
      <w:tblStyleColBandSize w:val="1"/>
      <w:tblCellMar>
        <w:top w:w="15" w:type="dxa"/>
        <w:left w:w="115" w:type="dxa"/>
        <w:bottom w:w="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top w:w="15" w:type="dxa"/>
        <w:left w:w="115" w:type="dxa"/>
        <w:bottom w:w="15" w:type="dxa"/>
        <w:right w:w="115" w:type="dxa"/>
      </w:tblCellMar>
    </w:tblPr>
  </w:style>
  <w:style w:type="table" w:customStyle="1" w:styleId="af2">
    <w:basedOn w:val="TableNormal2"/>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5"/>
      </w:numPr>
      <w:contextualSpacing/>
    </w:p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top w:w="15" w:type="dxa"/>
        <w:left w:w="115" w:type="dxa"/>
        <w:bottom w:w="15" w:type="dxa"/>
        <w:right w:w="115" w:type="dxa"/>
      </w:tblCellMar>
    </w:tblPr>
  </w:style>
  <w:style w:type="table" w:customStyle="1" w:styleId="af5">
    <w:basedOn w:val="TableNormal1"/>
    <w:tblPr>
      <w:tblStyleRowBandSize w:val="1"/>
      <w:tblStyleColBandSize w:val="1"/>
      <w:tblCellMar>
        <w:top w:w="15" w:type="dxa"/>
        <w:left w:w="115" w:type="dxa"/>
        <w:bottom w:w="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top w:w="15" w:type="dxa"/>
        <w:left w:w="115" w:type="dxa"/>
        <w:bottom w:w="15" w:type="dxa"/>
        <w:right w:w="115" w:type="dxa"/>
      </w:tblCellMar>
    </w:tblPr>
  </w:style>
  <w:style w:type="table" w:customStyle="1" w:styleId="af9">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diputados.gob.mx/documentos/N_Acta_Nacimiento.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cion.edomex.gob.mx/sites/legislacion.edomex.gob.mx/files/files/pdf/gct/2014/nov144.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iputados.gob.mx/LeyesBiblio/pdf/LGDNNA.pdf" TargetMode="External"/><Relationship Id="rId4" Type="http://schemas.openxmlformats.org/officeDocument/2006/relationships/settings" Target="settings.xml"/><Relationship Id="rId9" Type="http://schemas.openxmlformats.org/officeDocument/2006/relationships/hyperlink" Target="http://www.secogem.gob.mx/constancia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pTvp5Y8gDfWJqhNv7JtZ/TQpA==">CgMxLjAyCWguM3pueXNoNzIOaC5qM3BweXh3bGIxczIyDmguNzZxdGdkZWhkMTRpMghoLnR5amN3dDINaC5qbDBkbGFzb3Q0ZjgAciExbVd4NUpyYnpXanJyTzFGdVYtc3BIM0R0bXppcnJFOFg=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52</Pages>
  <Words>14677</Words>
  <Characters>80728</Characters>
  <Application>Microsoft Office Word</Application>
  <DocSecurity>0</DocSecurity>
  <Lines>672</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2025-08-29T20:13:00Z</cp:lastPrinted>
  <dcterms:created xsi:type="dcterms:W3CDTF">2025-09-05T20:11:00Z</dcterms:created>
  <dcterms:modified xsi:type="dcterms:W3CDTF">2025-09-05T20:11:00Z</dcterms:modified>
</cp:coreProperties>
</file>