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026" w:rsidRPr="00AE6FBA" w:rsidRDefault="00BB4038"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0" w:name="_heading=h.ysebmfcoxr5m" w:colFirst="0" w:colLast="0"/>
      <w:bookmarkEnd w:id="0"/>
      <w:r w:rsidRPr="00AE6FBA">
        <w:rPr>
          <w:rFonts w:ascii="Palatino Linotype" w:eastAsia="Palatino Linotype" w:hAnsi="Palatino Linotype" w:cs="Palatino Linotype"/>
          <w:color w:val="000000" w:themeColor="text1"/>
        </w:rPr>
        <w:t>R</w:t>
      </w:r>
      <w:bookmarkStart w:id="1" w:name="_GoBack"/>
      <w:bookmarkEnd w:id="1"/>
      <w:r w:rsidRPr="00AE6FBA">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1F4337">
        <w:rPr>
          <w:rFonts w:ascii="Palatino Linotype" w:eastAsia="Palatino Linotype" w:hAnsi="Palatino Linotype" w:cs="Palatino Linotype"/>
          <w:b/>
          <w:color w:val="000000" w:themeColor="text1"/>
        </w:rPr>
        <w:t>de fecha</w:t>
      </w:r>
      <w:r w:rsidRPr="00AE6FBA">
        <w:rPr>
          <w:rFonts w:ascii="Palatino Linotype" w:eastAsia="Palatino Linotype" w:hAnsi="Palatino Linotype" w:cs="Palatino Linotype"/>
          <w:b/>
          <w:color w:val="000000" w:themeColor="text1"/>
        </w:rPr>
        <w:t xml:space="preserve"> veinticinco (25) de junio de dos mil veinticinco</w:t>
      </w:r>
      <w:r w:rsidRPr="00AE6FBA">
        <w:rPr>
          <w:rFonts w:ascii="Palatino Linotype" w:eastAsia="Palatino Linotype" w:hAnsi="Palatino Linotype" w:cs="Palatino Linotype"/>
          <w:color w:val="000000" w:themeColor="text1"/>
        </w:rPr>
        <w:t xml:space="preserve">. </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2" w:name="_heading=h.d6lexfthyzjq" w:colFirst="0" w:colLast="0"/>
      <w:bookmarkEnd w:id="2"/>
      <w:r w:rsidRPr="00AE6FBA">
        <w:rPr>
          <w:rFonts w:ascii="Palatino Linotype" w:eastAsia="Palatino Linotype" w:hAnsi="Palatino Linotype" w:cs="Palatino Linotype"/>
          <w:b/>
          <w:color w:val="000000" w:themeColor="text1"/>
        </w:rPr>
        <w:t xml:space="preserve">VISTO </w:t>
      </w:r>
      <w:r w:rsidRPr="00AE6FBA">
        <w:rPr>
          <w:rFonts w:ascii="Palatino Linotype" w:eastAsia="Palatino Linotype" w:hAnsi="Palatino Linotype" w:cs="Palatino Linotype"/>
          <w:color w:val="000000" w:themeColor="text1"/>
        </w:rPr>
        <w:t xml:space="preserve">el expediente electrónico formado con motivo del Recurso de Revisión </w:t>
      </w:r>
      <w:r w:rsidRPr="00AE6FBA">
        <w:rPr>
          <w:rFonts w:ascii="Palatino Linotype" w:eastAsia="Palatino Linotype" w:hAnsi="Palatino Linotype" w:cs="Palatino Linotype"/>
          <w:b/>
          <w:color w:val="000000" w:themeColor="text1"/>
        </w:rPr>
        <w:t>04843/INFOEM/IP/RR/2025</w:t>
      </w:r>
      <w:r w:rsidRPr="00AE6FBA">
        <w:rPr>
          <w:rFonts w:ascii="Palatino Linotype" w:eastAsia="Palatino Linotype" w:hAnsi="Palatino Linotype" w:cs="Palatino Linotype"/>
          <w:color w:val="000000" w:themeColor="text1"/>
        </w:rPr>
        <w:t xml:space="preserve">, promovido por </w:t>
      </w:r>
      <w:r w:rsidRPr="00AE6FBA">
        <w:rPr>
          <w:rFonts w:ascii="Palatino Linotype" w:eastAsia="Palatino Linotype" w:hAnsi="Palatino Linotype" w:cs="Palatino Linotype"/>
          <w:b/>
          <w:color w:val="000000" w:themeColor="text1"/>
        </w:rPr>
        <w:t>una persona que no proporcionó datos de identificación</w:t>
      </w:r>
      <w:r w:rsidRPr="00AE6FBA">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AE6FBA">
        <w:rPr>
          <w:rFonts w:ascii="Palatino Linotype" w:eastAsia="Palatino Linotype" w:hAnsi="Palatino Linotype" w:cs="Palatino Linotype"/>
          <w:b/>
          <w:color w:val="000000" w:themeColor="text1"/>
        </w:rPr>
        <w:t>EL RECURRENTE</w:t>
      </w:r>
      <w:r w:rsidRPr="00AE6FBA">
        <w:rPr>
          <w:rFonts w:ascii="Palatino Linotype" w:eastAsia="Palatino Linotype" w:hAnsi="Palatino Linotype" w:cs="Palatino Linotype"/>
          <w:color w:val="000000" w:themeColor="text1"/>
        </w:rPr>
        <w:t xml:space="preserve">, en contra de la respuesta del </w:t>
      </w:r>
      <w:r w:rsidRPr="00AE6FBA">
        <w:rPr>
          <w:rFonts w:ascii="Palatino Linotype" w:eastAsia="Palatino Linotype" w:hAnsi="Palatino Linotype" w:cs="Palatino Linotype"/>
          <w:b/>
          <w:color w:val="000000" w:themeColor="text1"/>
        </w:rPr>
        <w:t>Ayuntamiento de Atlacomulco</w:t>
      </w:r>
      <w:r w:rsidRPr="00AE6FBA">
        <w:rPr>
          <w:rFonts w:ascii="Palatino Linotype" w:eastAsia="Palatino Linotype" w:hAnsi="Palatino Linotype" w:cs="Palatino Linotype"/>
          <w:color w:val="000000" w:themeColor="text1"/>
        </w:rPr>
        <w:t xml:space="preserve">, en lo sucesivo </w:t>
      </w:r>
      <w:r w:rsidRPr="00AE6FBA">
        <w:rPr>
          <w:rFonts w:ascii="Palatino Linotype" w:eastAsia="Palatino Linotype" w:hAnsi="Palatino Linotype" w:cs="Palatino Linotype"/>
          <w:b/>
          <w:color w:val="000000" w:themeColor="text1"/>
        </w:rPr>
        <w:t>EL SUJETO OBLIGADO</w:t>
      </w:r>
      <w:r w:rsidRPr="00AE6FBA">
        <w:rPr>
          <w:rFonts w:ascii="Palatino Linotype" w:eastAsia="Palatino Linotype" w:hAnsi="Palatino Linotype" w:cs="Palatino Linotype"/>
          <w:color w:val="000000" w:themeColor="text1"/>
        </w:rPr>
        <w:t>, se procede a dictar la presente resolución, con base en los siguientes:</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b/>
          <w:color w:val="000000" w:themeColor="text1"/>
        </w:rPr>
        <w:t>A N T E C E D E N T E S</w:t>
      </w:r>
    </w:p>
    <w:p w:rsidR="00133026" w:rsidRPr="00AE6FBA" w:rsidRDefault="00133026" w:rsidP="00BB4038">
      <w:pPr>
        <w:spacing w:line="360" w:lineRule="auto"/>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El </w:t>
      </w:r>
      <w:r w:rsidRPr="00AE6FBA">
        <w:rPr>
          <w:rFonts w:ascii="Palatino Linotype" w:eastAsia="Palatino Linotype" w:hAnsi="Palatino Linotype" w:cs="Palatino Linotype"/>
          <w:b/>
          <w:color w:val="000000" w:themeColor="text1"/>
        </w:rPr>
        <w:t xml:space="preserve">veintisiete de marzo de dos mil veinticinco, </w:t>
      </w:r>
      <w:r w:rsidRPr="00AE6FBA">
        <w:rPr>
          <w:rFonts w:ascii="Palatino Linotype" w:eastAsia="Palatino Linotype" w:hAnsi="Palatino Linotype" w:cs="Palatino Linotype"/>
          <w:color w:val="000000" w:themeColor="text1"/>
        </w:rPr>
        <w:t xml:space="preserve">se presentó ante el </w:t>
      </w:r>
      <w:r w:rsidRPr="00AE6FBA">
        <w:rPr>
          <w:rFonts w:ascii="Palatino Linotype" w:eastAsia="Palatino Linotype" w:hAnsi="Palatino Linotype" w:cs="Palatino Linotype"/>
          <w:b/>
          <w:color w:val="000000" w:themeColor="text1"/>
        </w:rPr>
        <w:t>SUJETO OBLIGADO</w:t>
      </w:r>
      <w:r w:rsidRPr="00AE6FBA">
        <w:rPr>
          <w:rFonts w:ascii="Palatino Linotype" w:eastAsia="Palatino Linotype" w:hAnsi="Palatino Linotype" w:cs="Palatino Linotype"/>
          <w:color w:val="000000" w:themeColor="text1"/>
        </w:rPr>
        <w:t xml:space="preserve"> vía </w:t>
      </w:r>
      <w:r w:rsidRPr="00AE6FBA">
        <w:rPr>
          <w:rFonts w:ascii="Palatino Linotype" w:eastAsia="Palatino Linotype" w:hAnsi="Palatino Linotype" w:cs="Palatino Linotype"/>
          <w:b/>
          <w:color w:val="000000" w:themeColor="text1"/>
        </w:rPr>
        <w:t>SAIMEX</w:t>
      </w:r>
      <w:r w:rsidRPr="00AE6FBA">
        <w:rPr>
          <w:rFonts w:ascii="Palatino Linotype" w:eastAsia="Palatino Linotype" w:hAnsi="Palatino Linotype" w:cs="Palatino Linotype"/>
          <w:color w:val="000000" w:themeColor="text1"/>
        </w:rPr>
        <w:t>, la solicitud de información pública registrada con el número</w:t>
      </w:r>
      <w:r w:rsidRPr="00AE6FBA">
        <w:rPr>
          <w:rFonts w:ascii="Palatino Linotype" w:eastAsia="Palatino Linotype" w:hAnsi="Palatino Linotype" w:cs="Palatino Linotype"/>
          <w:b/>
          <w:color w:val="000000" w:themeColor="text1"/>
        </w:rPr>
        <w:t xml:space="preserve"> 00263/ATLACOM/IP/2025, </w:t>
      </w:r>
      <w:r w:rsidRPr="00AE6FBA">
        <w:rPr>
          <w:rFonts w:ascii="Palatino Linotype" w:eastAsia="Palatino Linotype" w:hAnsi="Palatino Linotype" w:cs="Palatino Linotype"/>
          <w:color w:val="000000" w:themeColor="text1"/>
        </w:rPr>
        <w:t>mediante el cual se solicitó la siguiente información:</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strike/>
          <w:color w:val="000000" w:themeColor="text1"/>
        </w:rPr>
      </w:pP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“DESGLOSE DEL ESTATUS A LA FECHA DE LA PETICION DEL EXPEDIENTE DE OBRA RELACIONADA A LA REMODELACIÓN DE LOS SANITARIOS EN EL MUNICIPIO DE ATLACOMULCO: 1.- A UN COSTADO DEL ESTADIO Y 2.- A UN COSTADO DE LA CANCHA SINTETICA Y QUE OCUPA LA OFICINA DE LA CONTRALORIA MUNICIPAL REQUIERO QUE SE ESPECIFIQUE NOMBRE DE LA EMPRESA O RAZON SOCIAL, FALLO DEL CONTRATO, COSTOS, FACTURA, NOMBRE DEL REPRESENTANTE DE LA MISMA.”(Sic.)</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BB4038"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133026" w:rsidRPr="00AE6FBA" w:rsidRDefault="00BB4038" w:rsidP="00BB4038">
      <w:pPr>
        <w:numPr>
          <w:ilvl w:val="0"/>
          <w:numId w:val="1"/>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color w:val="000000" w:themeColor="text1"/>
        </w:rPr>
        <w:t>Modalidad de entrega</w:t>
      </w:r>
      <w:r w:rsidRPr="00AE6FBA">
        <w:rPr>
          <w:rFonts w:ascii="Palatino Linotype" w:eastAsia="Palatino Linotype" w:hAnsi="Palatino Linotype" w:cs="Palatino Linotype"/>
          <w:color w:val="000000" w:themeColor="text1"/>
        </w:rPr>
        <w:t>: Vía SAIMEX.</w:t>
      </w: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lastRenderedPageBreak/>
        <w:t xml:space="preserve">El </w:t>
      </w:r>
      <w:r w:rsidRPr="00AE6FBA">
        <w:rPr>
          <w:rFonts w:ascii="Palatino Linotype" w:eastAsia="Palatino Linotype" w:hAnsi="Palatino Linotype" w:cs="Palatino Linotype"/>
          <w:b/>
          <w:color w:val="000000" w:themeColor="text1"/>
        </w:rPr>
        <w:t xml:space="preserve">veinticuatro de abril de dos mil veinticinco, </w:t>
      </w:r>
      <w:r w:rsidRPr="00AE6FBA">
        <w:rPr>
          <w:rFonts w:ascii="Palatino Linotype" w:eastAsia="Palatino Linotype" w:hAnsi="Palatino Linotype" w:cs="Palatino Linotype"/>
          <w:color w:val="000000" w:themeColor="text1"/>
        </w:rPr>
        <w:t xml:space="preserve">el </w:t>
      </w:r>
      <w:r w:rsidRPr="00AE6FBA">
        <w:rPr>
          <w:rFonts w:ascii="Palatino Linotype" w:eastAsia="Palatino Linotype" w:hAnsi="Palatino Linotype" w:cs="Palatino Linotype"/>
          <w:b/>
          <w:color w:val="000000" w:themeColor="text1"/>
        </w:rPr>
        <w:t xml:space="preserve">SUJETO OBLIGADO </w:t>
      </w:r>
      <w:r w:rsidRPr="00AE6FBA">
        <w:rPr>
          <w:rFonts w:ascii="Palatino Linotype" w:eastAsia="Palatino Linotype" w:hAnsi="Palatino Linotype" w:cs="Palatino Linotype"/>
          <w:color w:val="000000" w:themeColor="text1"/>
        </w:rPr>
        <w:t>dio respuesta, en los siguientes términos:</w:t>
      </w:r>
    </w:p>
    <w:p w:rsidR="00133026" w:rsidRPr="00AE6FBA" w:rsidRDefault="00BB4038" w:rsidP="00BB4038">
      <w:pP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“En respuesta a la solicitud, recibida, nos permitimos hacer de su conocimiento que con fundamento en el artículo 52, fracciones: II, V y VI de la Ley de Transparencia y Acceso a la Información Pública del Estado de México y Municipios, le contestamos que:</w:t>
      </w:r>
    </w:p>
    <w:p w:rsidR="00133026" w:rsidRPr="00AE6FBA" w:rsidRDefault="00133026" w:rsidP="00BB4038">
      <w:pPr>
        <w:jc w:val="both"/>
        <w:rPr>
          <w:rFonts w:ascii="Palatino Linotype" w:eastAsia="Palatino Linotype" w:hAnsi="Palatino Linotype" w:cs="Palatino Linotype"/>
          <w:i/>
          <w:color w:val="000000" w:themeColor="text1"/>
        </w:rPr>
      </w:pPr>
    </w:p>
    <w:p w:rsidR="00133026" w:rsidRPr="00AE6FBA" w:rsidRDefault="00BB4038" w:rsidP="00BB4038">
      <w:pP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Se atiende solicitud de información” (Sic)</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color w:val="000000" w:themeColor="text1"/>
        </w:rPr>
      </w:pP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Se adjuntaron los siguientes archivos electrónicos:</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color w:val="000000" w:themeColor="text1"/>
        </w:rPr>
      </w:pPr>
    </w:p>
    <w:p w:rsidR="001B099F" w:rsidRPr="00AE6FBA" w:rsidRDefault="001B099F" w:rsidP="00BB4038">
      <w:pPr>
        <w:pBdr>
          <w:top w:val="nil"/>
          <w:left w:val="nil"/>
          <w:bottom w:val="nil"/>
          <w:right w:val="nil"/>
          <w:between w:val="nil"/>
        </w:pBdr>
        <w:jc w:val="both"/>
        <w:rPr>
          <w:rFonts w:ascii="Palatino Linotype" w:eastAsia="Palatino Linotype" w:hAnsi="Palatino Linotype" w:cs="Palatino Linotype"/>
          <w:color w:val="000000" w:themeColor="text1"/>
        </w:rPr>
      </w:pPr>
    </w:p>
    <w:p w:rsidR="00133026" w:rsidRPr="00AE6FBA" w:rsidRDefault="00BB4038" w:rsidP="00BB4038">
      <w:pPr>
        <w:numPr>
          <w:ilvl w:val="0"/>
          <w:numId w:val="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b/>
          <w:color w:val="000000" w:themeColor="text1"/>
        </w:rPr>
        <w:t>DOP_0263_RESPUESTA_001.pdf</w:t>
      </w:r>
      <w:r w:rsidRPr="00AE6FBA">
        <w:rPr>
          <w:rFonts w:ascii="Palatino Linotype" w:eastAsia="Palatino Linotype" w:hAnsi="Palatino Linotype" w:cs="Palatino Linotype"/>
          <w:color w:val="000000" w:themeColor="text1"/>
        </w:rPr>
        <w:t>: Constante del oficio DOP/0263/04/2025, de fecha ocho de abril de dos mil veinticinco, signado por el Director de Obras Públicas, cu</w:t>
      </w:r>
      <w:r w:rsidR="001B099F" w:rsidRPr="00AE6FBA">
        <w:rPr>
          <w:rFonts w:ascii="Palatino Linotype" w:eastAsia="Palatino Linotype" w:hAnsi="Palatino Linotype" w:cs="Palatino Linotype"/>
          <w:color w:val="000000" w:themeColor="text1"/>
        </w:rPr>
        <w:t xml:space="preserve">yo contenido es, el siguiente: </w:t>
      </w:r>
    </w:p>
    <w:p w:rsidR="001B099F" w:rsidRPr="00AE6FBA" w:rsidRDefault="001B099F" w:rsidP="001B099F">
      <w:pPr>
        <w:pBdr>
          <w:top w:val="nil"/>
          <w:left w:val="nil"/>
          <w:bottom w:val="nil"/>
          <w:right w:val="nil"/>
          <w:between w:val="nil"/>
        </w:pBdr>
        <w:jc w:val="both"/>
        <w:rPr>
          <w:rFonts w:ascii="Palatino Linotype" w:eastAsia="Palatino Linotype" w:hAnsi="Palatino Linotype" w:cs="Palatino Linotype"/>
          <w:b/>
          <w:color w:val="000000" w:themeColor="text1"/>
        </w:rPr>
      </w:pP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b/>
          <w:color w:val="000000" w:themeColor="text1"/>
        </w:rPr>
      </w:pPr>
    </w:p>
    <w:p w:rsidR="00133026" w:rsidRPr="00AE6FBA" w:rsidRDefault="00BB4038" w:rsidP="00BB4038">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“…Atendiendo a lo anterior adjunto la información solicitada.</w:t>
      </w:r>
    </w:p>
    <w:p w:rsidR="00133026" w:rsidRPr="00AE6FBA" w:rsidRDefault="00133026" w:rsidP="00BB4038">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p>
    <w:p w:rsidR="00133026" w:rsidRPr="00AE6FBA" w:rsidRDefault="00BB4038" w:rsidP="00BB4038">
      <w:pPr>
        <w:pBdr>
          <w:top w:val="nil"/>
          <w:left w:val="nil"/>
          <w:bottom w:val="nil"/>
          <w:right w:val="nil"/>
          <w:between w:val="nil"/>
        </w:pBdr>
        <w:tabs>
          <w:tab w:val="left" w:pos="8222"/>
        </w:tabs>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noProof/>
          <w:color w:val="000000" w:themeColor="text1"/>
        </w:rPr>
        <w:drawing>
          <wp:inline distT="0" distB="0" distL="0" distR="0">
            <wp:extent cx="5615796" cy="3272790"/>
            <wp:effectExtent l="0" t="0" r="4445" b="381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24172" cy="3277671"/>
                    </a:xfrm>
                    <a:prstGeom prst="rect">
                      <a:avLst/>
                    </a:prstGeom>
                    <a:ln/>
                  </pic:spPr>
                </pic:pic>
              </a:graphicData>
            </a:graphic>
          </wp:inline>
        </w:drawing>
      </w:r>
    </w:p>
    <w:p w:rsidR="00133026" w:rsidRPr="00AE6FBA" w:rsidRDefault="00133026" w:rsidP="00BB4038">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p>
    <w:p w:rsidR="00133026" w:rsidRPr="00AE6FBA" w:rsidRDefault="00BB4038" w:rsidP="00BB4038">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lastRenderedPageBreak/>
        <w:t>Respecto de las facturas estas están en proceso de incorporación al expediente único de obra” (Sic.)</w:t>
      </w:r>
    </w:p>
    <w:p w:rsidR="00133026" w:rsidRPr="00AE6FBA" w:rsidRDefault="00133026" w:rsidP="00BB4038">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p>
    <w:p w:rsidR="001B099F" w:rsidRPr="00AE6FBA" w:rsidRDefault="001B099F" w:rsidP="00BB4038">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p>
    <w:p w:rsidR="00133026" w:rsidRPr="00AE6FBA" w:rsidRDefault="00BB4038" w:rsidP="00BB4038">
      <w:pPr>
        <w:numPr>
          <w:ilvl w:val="0"/>
          <w:numId w:val="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b/>
          <w:color w:val="000000" w:themeColor="text1"/>
        </w:rPr>
        <w:t>0263_RESP_UT_2025.pdf</w:t>
      </w:r>
      <w:r w:rsidRPr="00AE6FBA">
        <w:rPr>
          <w:rFonts w:ascii="Palatino Linotype" w:eastAsia="Palatino Linotype" w:hAnsi="Palatino Linotype" w:cs="Palatino Linotype"/>
          <w:color w:val="000000" w:themeColor="text1"/>
        </w:rPr>
        <w:t>: Oficio de fecha veinticuatro de abril de dos mil veinticinco, signado por el titular de la Unidad de Transparencia, cu</w:t>
      </w:r>
      <w:r w:rsidR="001B099F" w:rsidRPr="00AE6FBA">
        <w:rPr>
          <w:rFonts w:ascii="Palatino Linotype" w:eastAsia="Palatino Linotype" w:hAnsi="Palatino Linotype" w:cs="Palatino Linotype"/>
          <w:color w:val="000000" w:themeColor="text1"/>
        </w:rPr>
        <w:t xml:space="preserve">yo contenido es, el siguiente: </w:t>
      </w:r>
    </w:p>
    <w:p w:rsidR="001B099F" w:rsidRPr="00AE6FBA" w:rsidRDefault="001B099F" w:rsidP="001B099F">
      <w:pPr>
        <w:pBdr>
          <w:top w:val="nil"/>
          <w:left w:val="nil"/>
          <w:bottom w:val="nil"/>
          <w:right w:val="nil"/>
          <w:between w:val="nil"/>
        </w:pBdr>
        <w:jc w:val="both"/>
        <w:rPr>
          <w:rFonts w:ascii="Palatino Linotype" w:eastAsia="Palatino Linotype" w:hAnsi="Palatino Linotype" w:cs="Palatino Linotype"/>
          <w:b/>
          <w:color w:val="000000" w:themeColor="text1"/>
        </w:rPr>
      </w:pPr>
    </w:p>
    <w:p w:rsidR="00133026" w:rsidRPr="00AE6FBA" w:rsidRDefault="00BB4038" w:rsidP="00BB4038">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“…Se le informa que la solicitud de información fue turnada a los Servidores Públicos Habilitados conforme a la Ley de la materia; atento a ello, la fracción II del artículo 53 y el análogo 162 de la Ley en mención facultan a la Unidad de Transparencia a recibir, tramitar y dar respuesta a las solicitudes de información…</w:t>
      </w:r>
    </w:p>
    <w:p w:rsidR="001B099F" w:rsidRPr="00AE6FBA" w:rsidRDefault="001B099F" w:rsidP="00BB4038">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p>
    <w:p w:rsidR="00133026" w:rsidRPr="00AE6FBA" w:rsidRDefault="00133026" w:rsidP="00BB4038">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p>
    <w:p w:rsidR="00133026" w:rsidRPr="00AE6FBA" w:rsidRDefault="00BB4038" w:rsidP="00BB4038">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…En tal virtud, se remitieron a esta unidad de Transparencia el oficio del área a la que fue turnada la solicitud, mismo que se anexa al presente…”</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El </w:t>
      </w:r>
      <w:r w:rsidRPr="00AE6FBA">
        <w:rPr>
          <w:rFonts w:ascii="Palatino Linotype" w:eastAsia="Palatino Linotype" w:hAnsi="Palatino Linotype" w:cs="Palatino Linotype"/>
          <w:b/>
          <w:color w:val="000000" w:themeColor="text1"/>
        </w:rPr>
        <w:t>diez de marzo de dos mil veinticinco</w:t>
      </w:r>
      <w:r w:rsidRPr="00AE6FBA">
        <w:rPr>
          <w:rFonts w:ascii="Palatino Linotype" w:eastAsia="Palatino Linotype" w:hAnsi="Palatino Linotype" w:cs="Palatino Linotype"/>
          <w:color w:val="000000" w:themeColor="text1"/>
        </w:rPr>
        <w:t xml:space="preserve">, el Solicitante interpuso </w:t>
      </w:r>
      <w:r w:rsidRPr="00AE6FBA">
        <w:rPr>
          <w:rFonts w:ascii="Palatino Linotype" w:eastAsia="Palatino Linotype" w:hAnsi="Palatino Linotype" w:cs="Palatino Linotype"/>
          <w:b/>
          <w:color w:val="000000" w:themeColor="text1"/>
        </w:rPr>
        <w:t xml:space="preserve">RECURSO DE REVISIÓN 04843/INFOEM/IP/RR/2025, </w:t>
      </w:r>
      <w:r w:rsidRPr="00AE6FBA">
        <w:rPr>
          <w:rFonts w:ascii="Palatino Linotype" w:eastAsia="Palatino Linotype" w:hAnsi="Palatino Linotype" w:cs="Palatino Linotype"/>
          <w:color w:val="000000" w:themeColor="text1"/>
        </w:rPr>
        <w:t xml:space="preserve">en contra de la respuesta emitida por el </w:t>
      </w:r>
      <w:r w:rsidRPr="00AE6FBA">
        <w:rPr>
          <w:rFonts w:ascii="Palatino Linotype" w:eastAsia="Palatino Linotype" w:hAnsi="Palatino Linotype" w:cs="Palatino Linotype"/>
          <w:b/>
          <w:color w:val="000000" w:themeColor="text1"/>
        </w:rPr>
        <w:t>SUJETO OBLIGADO</w:t>
      </w:r>
      <w:r w:rsidRPr="00AE6FBA">
        <w:rPr>
          <w:rFonts w:ascii="Palatino Linotype" w:eastAsia="Palatino Linotype" w:hAnsi="Palatino Linotype" w:cs="Palatino Linotype"/>
          <w:color w:val="000000" w:themeColor="text1"/>
        </w:rPr>
        <w:t>, señalando las siguientes razones o motivos de inconformidad:</w:t>
      </w:r>
    </w:p>
    <w:p w:rsidR="001B099F" w:rsidRPr="00AE6FBA" w:rsidRDefault="001B099F" w:rsidP="001B099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1F4337" w:rsidRDefault="00BB4038" w:rsidP="001F4337">
      <w:pPr>
        <w:pStyle w:val="Prrafodelista"/>
        <w:numPr>
          <w:ilvl w:val="0"/>
          <w:numId w:val="8"/>
        </w:numPr>
        <w:pBdr>
          <w:top w:val="nil"/>
          <w:left w:val="nil"/>
          <w:bottom w:val="nil"/>
          <w:right w:val="nil"/>
          <w:between w:val="nil"/>
        </w:pBdr>
        <w:jc w:val="both"/>
        <w:rPr>
          <w:rFonts w:ascii="Palatino Linotype" w:eastAsia="Palatino Linotype" w:hAnsi="Palatino Linotype" w:cs="Palatino Linotype"/>
          <w:b/>
          <w:color w:val="000000" w:themeColor="text1"/>
        </w:rPr>
      </w:pPr>
      <w:r w:rsidRPr="001F4337">
        <w:rPr>
          <w:rFonts w:ascii="Palatino Linotype" w:eastAsia="Palatino Linotype" w:hAnsi="Palatino Linotype" w:cs="Palatino Linotype"/>
          <w:b/>
          <w:color w:val="000000" w:themeColor="text1"/>
        </w:rPr>
        <w:t>Acto Impugnado</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“ESPERO RESPUESTA DE LA FACTURA DE LOS COSTOS DE OBRA SOLICTADOS” (Sic.)</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133026" w:rsidRPr="001F4337" w:rsidRDefault="00BB4038" w:rsidP="001F4337">
      <w:pPr>
        <w:pStyle w:val="Prrafodelista"/>
        <w:numPr>
          <w:ilvl w:val="0"/>
          <w:numId w:val="8"/>
        </w:numPr>
        <w:pBdr>
          <w:top w:val="nil"/>
          <w:left w:val="nil"/>
          <w:bottom w:val="nil"/>
          <w:right w:val="nil"/>
          <w:between w:val="nil"/>
        </w:pBdr>
        <w:jc w:val="both"/>
        <w:rPr>
          <w:rFonts w:ascii="Palatino Linotype" w:eastAsia="Palatino Linotype" w:hAnsi="Palatino Linotype" w:cs="Palatino Linotype"/>
          <w:b/>
          <w:color w:val="000000" w:themeColor="text1"/>
        </w:rPr>
      </w:pPr>
      <w:r w:rsidRPr="001F4337">
        <w:rPr>
          <w:rFonts w:ascii="Palatino Linotype" w:eastAsia="Palatino Linotype" w:hAnsi="Palatino Linotype" w:cs="Palatino Linotype"/>
          <w:b/>
          <w:color w:val="000000" w:themeColor="text1"/>
        </w:rPr>
        <w:t>Razones o Motivos de la Inconformidad</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“JUSTIFICA QUE NO TIENE FACTURA, CUANDO LA OBRA YA FUE ENTREGADA VIA OFICIAL A TRAVES DE LOS MEDIOS DE COMUNICACIÓN” (Sic.)</w:t>
      </w:r>
    </w:p>
    <w:p w:rsidR="00133026" w:rsidRDefault="00133026"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1F4337" w:rsidRPr="00AE6FBA" w:rsidRDefault="001F4337"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Consecutivamente</w:t>
      </w:r>
      <w:r w:rsidRPr="00AE6FBA">
        <w:rPr>
          <w:rFonts w:ascii="Palatino Linotype" w:eastAsia="Palatino Linotype" w:hAnsi="Palatino Linotype" w:cs="Palatino Linotype"/>
          <w:i/>
          <w:color w:val="000000" w:themeColor="text1"/>
        </w:rPr>
        <w:t xml:space="preserve">, </w:t>
      </w:r>
      <w:r w:rsidRPr="00AE6FBA">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w:t>
      </w:r>
      <w:r w:rsidRPr="00AE6FBA">
        <w:rPr>
          <w:rFonts w:ascii="Palatino Linotype" w:eastAsia="Palatino Linotype" w:hAnsi="Palatino Linotype" w:cs="Palatino Linotype"/>
          <w:color w:val="000000" w:themeColor="text1"/>
        </w:rPr>
        <w:lastRenderedPageBreak/>
        <w:t>Municipios, el recurso de referencia, fue turnado</w:t>
      </w:r>
      <w:r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color w:val="000000" w:themeColor="text1"/>
        </w:rPr>
        <w:t xml:space="preserve">a la Comisionada </w:t>
      </w:r>
      <w:r w:rsidRPr="00AE6FBA">
        <w:rPr>
          <w:rFonts w:ascii="Palatino Linotype" w:eastAsia="Palatino Linotype" w:hAnsi="Palatino Linotype" w:cs="Palatino Linotype"/>
          <w:b/>
          <w:color w:val="000000" w:themeColor="text1"/>
        </w:rPr>
        <w:t>María del Rosario Mejía Ayala,</w:t>
      </w:r>
      <w:r w:rsidRPr="00AE6FBA">
        <w:rPr>
          <w:rFonts w:ascii="Palatino Linotype" w:eastAsia="Palatino Linotype" w:hAnsi="Palatino Linotype" w:cs="Palatino Linotype"/>
          <w:color w:val="000000" w:themeColor="text1"/>
        </w:rPr>
        <w:t xml:space="preserve"> </w:t>
      </w:r>
      <w:r w:rsidR="001F4337">
        <w:rPr>
          <w:rFonts w:ascii="Palatino Linotype" w:eastAsia="Palatino Linotype" w:hAnsi="Palatino Linotype" w:cs="Palatino Linotype"/>
          <w:color w:val="000000" w:themeColor="text1"/>
        </w:rPr>
        <w:t>para</w:t>
      </w:r>
      <w:r w:rsidRPr="00AE6FBA">
        <w:rPr>
          <w:rFonts w:ascii="Palatino Linotype" w:eastAsia="Palatino Linotype" w:hAnsi="Palatino Linotype" w:cs="Palatino Linotype"/>
          <w:color w:val="000000" w:themeColor="text1"/>
        </w:rPr>
        <w:t xml:space="preserve"> su análisis.</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3" w:name="_heading=h.3znysh7" w:colFirst="0" w:colLast="0"/>
      <w:bookmarkEnd w:id="3"/>
      <w:r w:rsidRPr="00AE6FBA">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AE6FBA">
        <w:rPr>
          <w:rFonts w:ascii="Palatino Linotype" w:eastAsia="Palatino Linotype" w:hAnsi="Palatino Linotype" w:cs="Palatino Linotype"/>
          <w:b/>
          <w:color w:val="000000" w:themeColor="text1"/>
        </w:rPr>
        <w:t xml:space="preserve">acuerdo de admisión </w:t>
      </w:r>
      <w:r w:rsidRPr="00AE6FBA">
        <w:rPr>
          <w:rFonts w:ascii="Palatino Linotype" w:eastAsia="Palatino Linotype" w:hAnsi="Palatino Linotype" w:cs="Palatino Linotype"/>
          <w:color w:val="000000" w:themeColor="text1"/>
        </w:rPr>
        <w:t xml:space="preserve">de fecha </w:t>
      </w:r>
      <w:r w:rsidRPr="00AE6FBA">
        <w:rPr>
          <w:rFonts w:ascii="Palatino Linotype" w:eastAsia="Palatino Linotype" w:hAnsi="Palatino Linotype" w:cs="Palatino Linotype"/>
          <w:b/>
          <w:color w:val="000000" w:themeColor="text1"/>
        </w:rPr>
        <w:t>treinta de abril de dos mil veinticinco</w:t>
      </w:r>
      <w:r w:rsidRPr="00AE6FBA">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AE6FBA">
        <w:rPr>
          <w:rFonts w:ascii="Palatino Linotype" w:eastAsia="Palatino Linotype" w:hAnsi="Palatino Linotype" w:cs="Palatino Linotype"/>
          <w:b/>
          <w:color w:val="000000" w:themeColor="text1"/>
        </w:rPr>
        <w:t xml:space="preserve">SUJETO OBLIGADO </w:t>
      </w:r>
      <w:r w:rsidRPr="00AE6FBA">
        <w:rPr>
          <w:rFonts w:ascii="Palatino Linotype" w:eastAsia="Palatino Linotype" w:hAnsi="Palatino Linotype" w:cs="Palatino Linotype"/>
          <w:color w:val="000000" w:themeColor="text1"/>
        </w:rPr>
        <w:t>presentara el Informe Justificado procedente.</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El </w:t>
      </w:r>
      <w:r w:rsidRPr="00AE6FBA">
        <w:rPr>
          <w:rFonts w:ascii="Palatino Linotype" w:eastAsia="Palatino Linotype" w:hAnsi="Palatino Linotype" w:cs="Palatino Linotype"/>
          <w:b/>
          <w:color w:val="000000" w:themeColor="text1"/>
        </w:rPr>
        <w:t>doce de mayo de dos mil veinticinco</w:t>
      </w:r>
      <w:r w:rsidRPr="00AE6FBA">
        <w:rPr>
          <w:rFonts w:ascii="Palatino Linotype" w:eastAsia="Palatino Linotype" w:hAnsi="Palatino Linotype" w:cs="Palatino Linotype"/>
          <w:color w:val="000000" w:themeColor="text1"/>
        </w:rPr>
        <w:t xml:space="preserve">, el </w:t>
      </w:r>
      <w:r w:rsidRPr="00AE6FBA">
        <w:rPr>
          <w:rFonts w:ascii="Palatino Linotype" w:eastAsia="Palatino Linotype" w:hAnsi="Palatino Linotype" w:cs="Palatino Linotype"/>
          <w:b/>
          <w:color w:val="000000" w:themeColor="text1"/>
        </w:rPr>
        <w:t>SUJETO OBLIGADO</w:t>
      </w:r>
      <w:r w:rsidRPr="00AE6FBA">
        <w:rPr>
          <w:rFonts w:ascii="Palatino Linotype" w:eastAsia="Palatino Linotype" w:hAnsi="Palatino Linotype" w:cs="Palatino Linotype"/>
          <w:color w:val="000000" w:themeColor="text1"/>
        </w:rPr>
        <w:t xml:space="preserve"> rindió los </w:t>
      </w:r>
      <w:r w:rsidRPr="00AE6FBA">
        <w:rPr>
          <w:rFonts w:ascii="Palatino Linotype" w:eastAsia="Palatino Linotype" w:hAnsi="Palatino Linotype" w:cs="Palatino Linotype"/>
          <w:b/>
          <w:color w:val="000000" w:themeColor="text1"/>
        </w:rPr>
        <w:t>informes justificados</w:t>
      </w:r>
      <w:r w:rsidRPr="00AE6FBA">
        <w:rPr>
          <w:rFonts w:ascii="Palatino Linotype" w:eastAsia="Palatino Linotype" w:hAnsi="Palatino Linotype" w:cs="Palatino Linotype"/>
          <w:color w:val="000000" w:themeColor="text1"/>
        </w:rPr>
        <w:t xml:space="preserve"> correspondientes, por medio del archivo electrónico denominado </w:t>
      </w:r>
      <w:r w:rsidRPr="00AE6FBA">
        <w:rPr>
          <w:rFonts w:ascii="Palatino Linotype" w:eastAsia="Palatino Linotype" w:hAnsi="Palatino Linotype" w:cs="Palatino Linotype"/>
          <w:b/>
          <w:color w:val="000000" w:themeColor="text1"/>
        </w:rPr>
        <w:t>“04843_RR_IFJ_2025.pdf”,</w:t>
      </w:r>
      <w:r w:rsidRPr="00AE6FBA">
        <w:rPr>
          <w:rFonts w:ascii="Palatino Linotype" w:eastAsia="Palatino Linotype" w:hAnsi="Palatino Linotype" w:cs="Palatino Linotype"/>
          <w:color w:val="000000" w:themeColor="text1"/>
        </w:rPr>
        <w:t xml:space="preserve"> suscrito por el Titular de la Unidad de Transparencia; a través del cual, </w:t>
      </w:r>
      <w:r w:rsidRPr="00AE6FBA">
        <w:rPr>
          <w:rFonts w:ascii="Palatino Linotype" w:eastAsia="Palatino Linotype" w:hAnsi="Palatino Linotype" w:cs="Palatino Linotype"/>
          <w:b/>
          <w:color w:val="000000" w:themeColor="text1"/>
        </w:rPr>
        <w:t>ratificó la respuesta.</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En esa línea, tal y como se observa en el expediente electrónico la parte </w:t>
      </w:r>
      <w:r w:rsidRPr="00AE6FBA">
        <w:rPr>
          <w:rFonts w:ascii="Palatino Linotype" w:eastAsia="Palatino Linotype" w:hAnsi="Palatino Linotype" w:cs="Palatino Linotype"/>
          <w:b/>
          <w:color w:val="000000" w:themeColor="text1"/>
        </w:rPr>
        <w:t xml:space="preserve">RECURRENTE no </w:t>
      </w:r>
      <w:r w:rsidRPr="00AE6FBA">
        <w:rPr>
          <w:rFonts w:ascii="Palatino Linotype" w:eastAsia="Palatino Linotype" w:hAnsi="Palatino Linotype" w:cs="Palatino Linotype"/>
          <w:color w:val="000000" w:themeColor="text1"/>
        </w:rPr>
        <w:t>realizó manifestaciones que a su derecho conviniera.</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color w:val="000000" w:themeColor="text1"/>
        </w:rPr>
      </w:pPr>
    </w:p>
    <w:p w:rsidR="00133026" w:rsidRPr="001F4337"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ykx5v6rt3m51" w:colFirst="0" w:colLast="0"/>
      <w:bookmarkEnd w:id="4"/>
      <w:r w:rsidRPr="00AE6FBA">
        <w:rPr>
          <w:rFonts w:ascii="Palatino Linotype" w:eastAsia="Palatino Linotype" w:hAnsi="Palatino Linotype" w:cs="Palatino Linotype"/>
          <w:color w:val="000000" w:themeColor="text1"/>
        </w:rPr>
        <w:t xml:space="preserve">La Comisionada Ponente mediante acuerdo del </w:t>
      </w:r>
      <w:r w:rsidRPr="00AE6FBA">
        <w:rPr>
          <w:rFonts w:ascii="Palatino Linotype" w:eastAsia="Palatino Linotype" w:hAnsi="Palatino Linotype" w:cs="Palatino Linotype"/>
          <w:b/>
          <w:color w:val="000000" w:themeColor="text1"/>
        </w:rPr>
        <w:t>dieciocho de junio de dos mil veinticinco</w:t>
      </w:r>
      <w:r w:rsidRPr="00AE6FBA">
        <w:rPr>
          <w:rFonts w:ascii="Palatino Linotype" w:eastAsia="Palatino Linotype" w:hAnsi="Palatino Linotype" w:cs="Palatino Linotype"/>
          <w:color w:val="000000" w:themeColor="text1"/>
        </w:rPr>
        <w:t>, decretó el cierre de instrucción del expediente, por lo que no habiendo más que hacer constar, y</w:t>
      </w:r>
      <w:r w:rsidR="001F4337">
        <w:rPr>
          <w:rFonts w:ascii="Palatino Linotype" w:eastAsia="Palatino Linotype" w:hAnsi="Palatino Linotype" w:cs="Palatino Linotype"/>
          <w:color w:val="000000" w:themeColor="text1"/>
        </w:rPr>
        <w:t xml:space="preserve"> -------------------------------------------------------------------------------------------</w:t>
      </w:r>
    </w:p>
    <w:p w:rsidR="001F4337" w:rsidRDefault="001F4337" w:rsidP="001F4337">
      <w:pPr>
        <w:pStyle w:val="Prrafodelista"/>
        <w:rPr>
          <w:rFonts w:ascii="Palatino Linotype" w:eastAsia="Palatino Linotype" w:hAnsi="Palatino Linotype" w:cs="Palatino Linotype"/>
          <w:b/>
          <w:color w:val="000000" w:themeColor="text1"/>
        </w:rPr>
      </w:pPr>
    </w:p>
    <w:p w:rsidR="001F4337" w:rsidRDefault="001F4337" w:rsidP="001F433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F4337" w:rsidRPr="00AE6FBA" w:rsidRDefault="001F4337" w:rsidP="001F433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33026" w:rsidRPr="00AE6FBA" w:rsidRDefault="00133026" w:rsidP="00BB4038">
      <w:pPr>
        <w:spacing w:line="360" w:lineRule="auto"/>
        <w:rPr>
          <w:rFonts w:ascii="Palatino Linotype" w:eastAsia="Palatino Linotype" w:hAnsi="Palatino Linotype" w:cs="Palatino Linotype"/>
          <w:b/>
          <w:color w:val="000000" w:themeColor="text1"/>
        </w:rPr>
      </w:pPr>
    </w:p>
    <w:p w:rsidR="00133026" w:rsidRPr="00AE6FBA" w:rsidRDefault="00BB4038" w:rsidP="00BB403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b/>
          <w:color w:val="000000" w:themeColor="text1"/>
        </w:rPr>
        <w:lastRenderedPageBreak/>
        <w:t>C</w:t>
      </w:r>
      <w:r w:rsidR="001B099F"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b/>
          <w:color w:val="000000" w:themeColor="text1"/>
        </w:rPr>
        <w:t>O</w:t>
      </w:r>
      <w:r w:rsidR="001B099F"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b/>
          <w:color w:val="000000" w:themeColor="text1"/>
        </w:rPr>
        <w:t>N</w:t>
      </w:r>
      <w:r w:rsidR="001B099F"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b/>
          <w:color w:val="000000" w:themeColor="text1"/>
        </w:rPr>
        <w:t>S</w:t>
      </w:r>
      <w:r w:rsidR="001B099F"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b/>
          <w:color w:val="000000" w:themeColor="text1"/>
        </w:rPr>
        <w:t>I</w:t>
      </w:r>
      <w:r w:rsidR="001B099F"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b/>
          <w:color w:val="000000" w:themeColor="text1"/>
        </w:rPr>
        <w:t>D</w:t>
      </w:r>
      <w:r w:rsidR="001B099F"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b/>
          <w:color w:val="000000" w:themeColor="text1"/>
        </w:rPr>
        <w:t>E</w:t>
      </w:r>
      <w:r w:rsidR="001B099F"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b/>
          <w:color w:val="000000" w:themeColor="text1"/>
        </w:rPr>
        <w:t>R</w:t>
      </w:r>
      <w:r w:rsidR="001B099F"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b/>
          <w:color w:val="000000" w:themeColor="text1"/>
        </w:rPr>
        <w:t>A</w:t>
      </w:r>
      <w:r w:rsidR="001B099F"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b/>
          <w:color w:val="000000" w:themeColor="text1"/>
        </w:rPr>
        <w:t>N</w:t>
      </w:r>
      <w:r w:rsidR="001B099F"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b/>
          <w:color w:val="000000" w:themeColor="text1"/>
        </w:rPr>
        <w:t>D</w:t>
      </w:r>
      <w:r w:rsidR="001B099F"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b/>
          <w:color w:val="000000" w:themeColor="text1"/>
        </w:rPr>
        <w:t>O</w:t>
      </w:r>
    </w:p>
    <w:p w:rsidR="001B099F" w:rsidRPr="00AE6FBA" w:rsidRDefault="001B099F" w:rsidP="00BB403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133026" w:rsidRPr="00AE6FBA" w:rsidRDefault="00BB4038" w:rsidP="00BB4038">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eezxp8m5dp8o" w:colFirst="0" w:colLast="0"/>
      <w:bookmarkEnd w:id="5"/>
      <w:r w:rsidRPr="00AE6FBA">
        <w:rPr>
          <w:rFonts w:ascii="Palatino Linotype" w:eastAsia="Palatino Linotype" w:hAnsi="Palatino Linotype" w:cs="Palatino Linotype"/>
          <w:b/>
          <w:color w:val="000000" w:themeColor="text1"/>
          <w:sz w:val="24"/>
          <w:szCs w:val="24"/>
        </w:rPr>
        <w:t>PRIMERO. De la competencia</w:t>
      </w: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AE6FBA">
        <w:rPr>
          <w:rFonts w:ascii="Palatino Linotype" w:eastAsia="Palatino Linotype" w:hAnsi="Palatino Linotype" w:cs="Palatino Linotype"/>
          <w:b/>
          <w:color w:val="000000" w:themeColor="text1"/>
        </w:rPr>
        <w:t>Constitución Política de los Estados Unidos Mexicanos</w:t>
      </w:r>
      <w:r w:rsidRPr="00AE6FBA">
        <w:rPr>
          <w:rFonts w:ascii="Palatino Linotype" w:eastAsia="Palatino Linotype" w:hAnsi="Palatino Linotype" w:cs="Palatino Linotype"/>
          <w:color w:val="000000" w:themeColor="text1"/>
        </w:rPr>
        <w:t>; 5, párrafos trigésimo segundo, trigésimo tercero y trigésimo cuarto fracciones IV y V de la </w:t>
      </w:r>
      <w:r w:rsidRPr="00AE6FBA">
        <w:rPr>
          <w:rFonts w:ascii="Palatino Linotype" w:eastAsia="Palatino Linotype" w:hAnsi="Palatino Linotype" w:cs="Palatino Linotype"/>
          <w:b/>
          <w:color w:val="000000" w:themeColor="text1"/>
        </w:rPr>
        <w:t>Constitución Política del Estado Libre y Soberano de México</w:t>
      </w:r>
      <w:r w:rsidRPr="00AE6FBA">
        <w:rPr>
          <w:rFonts w:ascii="Palatino Linotype" w:eastAsia="Palatino Linotype" w:hAnsi="Palatino Linotype" w:cs="Palatino Linotype"/>
          <w:color w:val="000000" w:themeColor="text1"/>
        </w:rPr>
        <w:t>; artículos 1, 2 fracción II, 13, 29, 36 fracciones I y II, 176, 178, 179, 181 párrafo tercero y 185 de la </w:t>
      </w:r>
      <w:r w:rsidRPr="00AE6FBA">
        <w:rPr>
          <w:rFonts w:ascii="Palatino Linotype" w:eastAsia="Palatino Linotype" w:hAnsi="Palatino Linotype" w:cs="Palatino Linotype"/>
          <w:b/>
          <w:color w:val="000000" w:themeColor="text1"/>
        </w:rPr>
        <w:t>Ley de Transparencia y Acceso a la Información Pública del Estado de México y Municipios</w:t>
      </w:r>
      <w:r w:rsidRPr="00AE6FBA">
        <w:rPr>
          <w:rFonts w:ascii="Palatino Linotype" w:eastAsia="Palatino Linotype" w:hAnsi="Palatino Linotype" w:cs="Palatino Linotype"/>
          <w:color w:val="000000" w:themeColor="text1"/>
        </w:rPr>
        <w:t>; y 7, 9 fracciones I y XXIII, y 11 del </w:t>
      </w:r>
      <w:r w:rsidRPr="00AE6FBA">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AE6FBA">
        <w:rPr>
          <w:rFonts w:ascii="Palatino Linotype" w:eastAsia="Palatino Linotype" w:hAnsi="Palatino Linotype" w:cs="Palatino Linotype"/>
          <w:color w:val="000000" w:themeColor="text1"/>
        </w:rPr>
        <w:t>.</w:t>
      </w:r>
    </w:p>
    <w:p w:rsidR="00133026" w:rsidRPr="00AE6FBA" w:rsidRDefault="00133026" w:rsidP="00BB403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6" w:name="_heading=h.i7ohhfycj0me" w:colFirst="0" w:colLast="0"/>
      <w:bookmarkEnd w:id="6"/>
    </w:p>
    <w:p w:rsidR="00133026" w:rsidRPr="00AE6FBA" w:rsidRDefault="00BB4038" w:rsidP="00BB403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7" w:name="_heading=h.qbmlunc7ke3o" w:colFirst="0" w:colLast="0"/>
      <w:bookmarkEnd w:id="7"/>
      <w:r w:rsidRPr="00AE6FBA">
        <w:rPr>
          <w:rFonts w:ascii="Palatino Linotype" w:eastAsia="Palatino Linotype" w:hAnsi="Palatino Linotype" w:cs="Palatino Linotype"/>
          <w:b/>
          <w:color w:val="000000" w:themeColor="text1"/>
        </w:rPr>
        <w:t>SEGUNDO. De la oportunidad y procedencia.</w:t>
      </w: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8" w:name="_heading=h.nj1fcr9f0mbk" w:colFirst="0" w:colLast="0"/>
      <w:bookmarkEnd w:id="8"/>
      <w:r w:rsidRPr="00AE6FBA">
        <w:rPr>
          <w:rFonts w:ascii="Palatino Linotype" w:eastAsia="Palatino Linotype" w:hAnsi="Palatino Linotype" w:cs="Palatino Linotype"/>
          <w:color w:val="000000" w:themeColor="text1"/>
        </w:rPr>
        <w:t xml:space="preserve">Los medios de impugnación fueron presentados a través del </w:t>
      </w:r>
      <w:r w:rsidRPr="00AE6FBA">
        <w:rPr>
          <w:rFonts w:ascii="Palatino Linotype" w:eastAsia="Palatino Linotype" w:hAnsi="Palatino Linotype" w:cs="Palatino Linotype"/>
          <w:b/>
          <w:color w:val="000000" w:themeColor="text1"/>
        </w:rPr>
        <w:t>SAIMEX,</w:t>
      </w:r>
      <w:r w:rsidRPr="00AE6FB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AE6FBA">
        <w:rPr>
          <w:rFonts w:ascii="Palatino Linotype" w:eastAsia="Palatino Linotype" w:hAnsi="Palatino Linotype" w:cs="Palatino Linotype"/>
          <w:b/>
          <w:color w:val="000000" w:themeColor="text1"/>
        </w:rPr>
        <w:t>SUJETO OBLIGADO</w:t>
      </w:r>
      <w:r w:rsidRPr="00AE6FBA">
        <w:rPr>
          <w:rFonts w:ascii="Palatino Linotype" w:eastAsia="Palatino Linotype" w:hAnsi="Palatino Linotype" w:cs="Palatino Linotype"/>
          <w:color w:val="000000" w:themeColor="text1"/>
        </w:rPr>
        <w:t xml:space="preserve"> entregó su respuesta el </w:t>
      </w:r>
      <w:r w:rsidRPr="00AE6FBA">
        <w:rPr>
          <w:rFonts w:ascii="Palatino Linotype" w:eastAsia="Palatino Linotype" w:hAnsi="Palatino Linotype" w:cs="Palatino Linotype"/>
          <w:b/>
          <w:color w:val="000000" w:themeColor="text1"/>
        </w:rPr>
        <w:t xml:space="preserve">veinticuatro de abril de dos mil veinticinco </w:t>
      </w:r>
      <w:r w:rsidRPr="00AE6FBA">
        <w:rPr>
          <w:rFonts w:ascii="Palatino Linotype" w:eastAsia="Palatino Linotype" w:hAnsi="Palatino Linotype" w:cs="Palatino Linotype"/>
          <w:color w:val="000000" w:themeColor="text1"/>
        </w:rPr>
        <w:t xml:space="preserve">de tal forma que el plazo para interponer el recurso de revisión transcurrió del día </w:t>
      </w:r>
      <w:r w:rsidRPr="00AE6FBA">
        <w:rPr>
          <w:rFonts w:ascii="Palatino Linotype" w:eastAsia="Palatino Linotype" w:hAnsi="Palatino Linotype" w:cs="Palatino Linotype"/>
          <w:b/>
          <w:color w:val="000000" w:themeColor="text1"/>
        </w:rPr>
        <w:t>veinticinco de abril al diecinueve de mayo de dos mil veinticinco</w:t>
      </w:r>
      <w:r w:rsidRPr="00AE6FBA">
        <w:rPr>
          <w:rFonts w:ascii="Palatino Linotype" w:eastAsia="Palatino Linotype" w:hAnsi="Palatino Linotype" w:cs="Palatino Linotype"/>
          <w:color w:val="000000" w:themeColor="text1"/>
        </w:rPr>
        <w:t xml:space="preserve">; en consecuencia, el ahora </w:t>
      </w:r>
      <w:r w:rsidRPr="00AE6FBA">
        <w:rPr>
          <w:rFonts w:ascii="Palatino Linotype" w:eastAsia="Palatino Linotype" w:hAnsi="Palatino Linotype" w:cs="Palatino Linotype"/>
          <w:b/>
          <w:color w:val="000000" w:themeColor="text1"/>
        </w:rPr>
        <w:t>RECURRENTE</w:t>
      </w:r>
      <w:r w:rsidRPr="00AE6FBA">
        <w:rPr>
          <w:rFonts w:ascii="Palatino Linotype" w:eastAsia="Palatino Linotype" w:hAnsi="Palatino Linotype" w:cs="Palatino Linotype"/>
          <w:color w:val="000000" w:themeColor="text1"/>
        </w:rPr>
        <w:t xml:space="preserve"> presentó su inconformidad el </w:t>
      </w:r>
      <w:r w:rsidRPr="00AE6FBA">
        <w:rPr>
          <w:rFonts w:ascii="Palatino Linotype" w:eastAsia="Palatino Linotype" w:hAnsi="Palatino Linotype" w:cs="Palatino Linotype"/>
          <w:b/>
          <w:color w:val="000000" w:themeColor="text1"/>
        </w:rPr>
        <w:t>veintiocho de abril de dos mil veinticinco,</w:t>
      </w:r>
      <w:r w:rsidRPr="00AE6FBA">
        <w:rPr>
          <w:rFonts w:ascii="Palatino Linotype" w:eastAsia="Palatino Linotype" w:hAnsi="Palatino Linotype" w:cs="Palatino Linotype"/>
          <w:color w:val="000000" w:themeColor="text1"/>
        </w:rPr>
        <w:t xml:space="preserve"> es decir dentro del lapso legalmente establecido para tal efecto.</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33026" w:rsidRPr="00AE6FBA" w:rsidRDefault="00BB4038" w:rsidP="00BB4038">
      <w:pPr>
        <w:pBdr>
          <w:top w:val="nil"/>
          <w:left w:val="nil"/>
          <w:bottom w:val="nil"/>
          <w:right w:val="nil"/>
          <w:between w:val="nil"/>
        </w:pBdr>
        <w:tabs>
          <w:tab w:val="left" w:pos="7655"/>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r w:rsidRPr="00AE6FBA">
        <w:rPr>
          <w:rFonts w:ascii="Palatino Linotype" w:eastAsia="Palatino Linotype" w:hAnsi="Palatino Linotype" w:cs="Palatino Linotype"/>
          <w:b/>
          <w:i/>
          <w:color w:val="000000" w:themeColor="text1"/>
        </w:rPr>
        <w:t>Las solicitudes anónimas</w:t>
      </w:r>
      <w:r w:rsidRPr="00AE6FBA">
        <w:rPr>
          <w:rFonts w:ascii="Palatino Linotype" w:eastAsia="Palatino Linotype" w:hAnsi="Palatino Linotype" w:cs="Palatino Linotype"/>
          <w:i/>
          <w:color w:val="000000" w:themeColor="text1"/>
        </w:rPr>
        <w:t xml:space="preserve">, con nombre incompleto o seudónimo </w:t>
      </w:r>
      <w:r w:rsidRPr="00AE6FBA">
        <w:rPr>
          <w:rFonts w:ascii="Palatino Linotype" w:eastAsia="Palatino Linotype" w:hAnsi="Palatino Linotype" w:cs="Palatino Linotype"/>
          <w:b/>
          <w:i/>
          <w:color w:val="000000" w:themeColor="text1"/>
        </w:rPr>
        <w:t>serán procedentes para su trámite por parte del sujeto obligado ante quien se presente</w:t>
      </w:r>
      <w:r w:rsidRPr="00AE6FBA">
        <w:rPr>
          <w:rFonts w:ascii="Palatino Linotype" w:eastAsia="Palatino Linotype" w:hAnsi="Palatino Linotype" w:cs="Palatino Linotype"/>
          <w:i/>
          <w:color w:val="000000" w:themeColor="text1"/>
        </w:rPr>
        <w:t>. No podrá requerirse información adicional con motivo del nombre proporcionado por el solicitante."</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r w:rsidRPr="00AE6FBA">
        <w:rPr>
          <w:rFonts w:ascii="Palatino Linotype" w:eastAsia="Palatino Linotype" w:hAnsi="Palatino Linotype" w:cs="Palatino Linotype"/>
          <w:b/>
          <w:i/>
          <w:color w:val="000000" w:themeColor="text1"/>
        </w:rPr>
        <w:t>Artículo 6.-</w:t>
      </w:r>
      <w:r w:rsidRPr="00AE6FBA">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Para efectos de lo dispuesto en el presente artículo se observará lo siguiente:</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AE6FBA">
        <w:rPr>
          <w:rFonts w:ascii="Palatino Linotype" w:eastAsia="Palatino Linotype" w:hAnsi="Palatino Linotype" w:cs="Palatino Linotype"/>
          <w:color w:val="000000" w:themeColor="text1"/>
        </w:rPr>
        <w:t>(Sic)</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lastRenderedPageBreak/>
        <w:t>"</w:t>
      </w:r>
      <w:r w:rsidRPr="00AE6FBA">
        <w:rPr>
          <w:rFonts w:ascii="Palatino Linotype" w:eastAsia="Palatino Linotype" w:hAnsi="Palatino Linotype" w:cs="Palatino Linotype"/>
          <w:b/>
          <w:i/>
          <w:color w:val="000000" w:themeColor="text1"/>
        </w:rPr>
        <w:t>Artículo 5.-</w:t>
      </w:r>
      <w:r w:rsidRPr="00AE6FBA">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AE6FBA">
        <w:rPr>
          <w:rFonts w:ascii="Palatino Linotype" w:eastAsia="Palatino Linotype" w:hAnsi="Palatino Linotype" w:cs="Palatino Linotype"/>
          <w:color w:val="000000" w:themeColor="text1"/>
        </w:rPr>
        <w:t>(Sic)</w:t>
      </w:r>
    </w:p>
    <w:p w:rsidR="00133026" w:rsidRDefault="00133026" w:rsidP="00BB4038">
      <w:pPr>
        <w:tabs>
          <w:tab w:val="left" w:pos="7655"/>
        </w:tabs>
        <w:jc w:val="both"/>
        <w:rPr>
          <w:rFonts w:ascii="Palatino Linotype" w:eastAsia="Palatino Linotype" w:hAnsi="Palatino Linotype" w:cs="Palatino Linotype"/>
          <w:i/>
          <w:color w:val="000000" w:themeColor="text1"/>
        </w:rPr>
      </w:pPr>
    </w:p>
    <w:p w:rsidR="001F4337" w:rsidRPr="00AE6FBA" w:rsidRDefault="001F4337" w:rsidP="00BB4038">
      <w:pPr>
        <w:tabs>
          <w:tab w:val="left" w:pos="7655"/>
        </w:tabs>
        <w:jc w:val="both"/>
        <w:rPr>
          <w:rFonts w:ascii="Palatino Linotype" w:eastAsia="Palatino Linotype" w:hAnsi="Palatino Linotype" w:cs="Palatino Linotype"/>
          <w:i/>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r w:rsidRPr="00AE6FBA">
        <w:rPr>
          <w:rFonts w:ascii="Palatino Linotype" w:eastAsia="Palatino Linotype" w:hAnsi="Palatino Linotype" w:cs="Palatino Linotype"/>
          <w:b/>
          <w:i/>
          <w:color w:val="000000" w:themeColor="text1"/>
        </w:rPr>
        <w:t>Artículo 1</w:t>
      </w:r>
      <w:r w:rsidRPr="00AE6FBA">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133026" w:rsidRPr="00AE6FBA" w:rsidRDefault="00133026" w:rsidP="00BB4038">
      <w:pP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AE6FBA">
        <w:rPr>
          <w:rFonts w:ascii="Palatino Linotype" w:eastAsia="Palatino Linotype" w:hAnsi="Palatino Linotype" w:cs="Palatino Linotype"/>
          <w:i/>
          <w:color w:val="000000" w:themeColor="text1"/>
        </w:rPr>
        <w:t>derecho fundamental exime a quien lo ejerce</w:t>
      </w:r>
      <w:r w:rsidRPr="00AE6FBA">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133026" w:rsidRPr="00AE6FBA" w:rsidRDefault="00133026" w:rsidP="00BB4038">
      <w:pPr>
        <w:spacing w:line="360" w:lineRule="auto"/>
        <w:jc w:val="both"/>
        <w:rPr>
          <w:rFonts w:ascii="Palatino Linotype" w:eastAsia="Palatino Linotype" w:hAnsi="Palatino Linotype" w:cs="Palatino Linotype"/>
          <w:b/>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AE6FBA">
        <w:rPr>
          <w:rFonts w:ascii="Palatino Linotype" w:eastAsia="Palatino Linotype" w:hAnsi="Palatino Linotype" w:cs="Palatino Linotype"/>
          <w:b/>
          <w:color w:val="000000" w:themeColor="text1"/>
        </w:rPr>
        <w:t>RECURRENTE</w:t>
      </w:r>
      <w:r w:rsidRPr="00AE6FBA">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w:t>
      </w:r>
      <w:r w:rsidRPr="00AE6FBA">
        <w:rPr>
          <w:rFonts w:ascii="Palatino Linotype" w:eastAsia="Palatino Linotype" w:hAnsi="Palatino Linotype" w:cs="Palatino Linotype"/>
          <w:color w:val="000000" w:themeColor="text1"/>
        </w:rPr>
        <w:lastRenderedPageBreak/>
        <w:t>desprende que la parte recurrente, es la misma que realizó la solicitud de acceso a la información pública que ahora se impugna.</w:t>
      </w:r>
    </w:p>
    <w:p w:rsidR="00133026" w:rsidRPr="00AE6FBA" w:rsidRDefault="00133026" w:rsidP="00BB4038">
      <w:pPr>
        <w:spacing w:line="360" w:lineRule="auto"/>
        <w:jc w:val="both"/>
        <w:rPr>
          <w:rFonts w:ascii="Palatino Linotype" w:eastAsia="Palatino Linotype" w:hAnsi="Palatino Linotype" w:cs="Palatino Linotype"/>
          <w:b/>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color w:val="000000" w:themeColor="text1"/>
        </w:rPr>
      </w:pPr>
    </w:p>
    <w:p w:rsidR="00133026" w:rsidRPr="00AE6FBA" w:rsidRDefault="00BB4038" w:rsidP="00BB4038">
      <w:pPr>
        <w:pStyle w:val="Ttulo1"/>
        <w:spacing w:before="0" w:line="360" w:lineRule="auto"/>
        <w:rPr>
          <w:rFonts w:ascii="Palatino Linotype" w:eastAsia="Palatino Linotype" w:hAnsi="Palatino Linotype" w:cs="Palatino Linotype"/>
          <w:b/>
          <w:color w:val="000000" w:themeColor="text1"/>
          <w:sz w:val="24"/>
          <w:szCs w:val="24"/>
        </w:rPr>
      </w:pPr>
      <w:bookmarkStart w:id="9" w:name="_heading=h.c1caky4lda3m" w:colFirst="0" w:colLast="0"/>
      <w:bookmarkEnd w:id="9"/>
      <w:r w:rsidRPr="00AE6FBA">
        <w:rPr>
          <w:rFonts w:ascii="Palatino Linotype" w:eastAsia="Palatino Linotype" w:hAnsi="Palatino Linotype" w:cs="Palatino Linotype"/>
          <w:b/>
          <w:color w:val="000000" w:themeColor="text1"/>
          <w:sz w:val="24"/>
          <w:szCs w:val="24"/>
        </w:rPr>
        <w:t xml:space="preserve">TERCERO. Del planteamiento de la </w:t>
      </w:r>
      <w:r w:rsidRPr="00AE6FBA">
        <w:rPr>
          <w:rFonts w:ascii="Palatino Linotype" w:eastAsia="Palatino Linotype" w:hAnsi="Palatino Linotype" w:cs="Palatino Linotype"/>
          <w:b/>
          <w:i/>
          <w:color w:val="000000" w:themeColor="text1"/>
          <w:sz w:val="24"/>
          <w:szCs w:val="24"/>
        </w:rPr>
        <w:t>Litis</w:t>
      </w:r>
      <w:r w:rsidRPr="00AE6FBA">
        <w:rPr>
          <w:rFonts w:ascii="Palatino Linotype" w:eastAsia="Palatino Linotype" w:hAnsi="Palatino Linotype" w:cs="Palatino Linotype"/>
          <w:b/>
          <w:color w:val="000000" w:themeColor="text1"/>
          <w:sz w:val="24"/>
          <w:szCs w:val="24"/>
        </w:rPr>
        <w:t>.</w:t>
      </w: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color w:val="000000" w:themeColor="text1"/>
        </w:rPr>
        <w:t xml:space="preserve">El </w:t>
      </w:r>
      <w:r w:rsidRPr="00AE6FBA">
        <w:rPr>
          <w:rFonts w:ascii="Palatino Linotype" w:eastAsia="Palatino Linotype" w:hAnsi="Palatino Linotype" w:cs="Palatino Linotype"/>
          <w:b/>
          <w:color w:val="000000" w:themeColor="text1"/>
        </w:rPr>
        <w:t>RECURRENTE</w:t>
      </w:r>
      <w:r w:rsidRPr="00AE6FBA">
        <w:rPr>
          <w:rFonts w:ascii="Palatino Linotype" w:eastAsia="Palatino Linotype" w:hAnsi="Palatino Linotype" w:cs="Palatino Linotype"/>
          <w:color w:val="000000" w:themeColor="text1"/>
        </w:rPr>
        <w:t xml:space="preserve"> solicitó de los expedientes de Obra de la remodelación de los sanitarios ubicados a un costado del estadio y del ubicado a un costado de la cancha sintética que ocupa la oficina de la Contraloría Municipal lo siguiente:</w:t>
      </w:r>
    </w:p>
    <w:p w:rsidR="00133026" w:rsidRPr="00AE6FBA" w:rsidRDefault="00BB4038" w:rsidP="00BB4038">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b/>
          <w:color w:val="000000" w:themeColor="text1"/>
        </w:rPr>
        <w:t>Nombre de la empresa o razón social</w:t>
      </w:r>
    </w:p>
    <w:p w:rsidR="00133026" w:rsidRPr="00AE6FBA" w:rsidRDefault="00BB4038" w:rsidP="00BB4038">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b/>
          <w:color w:val="000000" w:themeColor="text1"/>
        </w:rPr>
        <w:t>Fallo del Contrato</w:t>
      </w:r>
    </w:p>
    <w:p w:rsidR="00133026" w:rsidRPr="00AE6FBA" w:rsidRDefault="00BB4038" w:rsidP="00BB4038">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b/>
          <w:color w:val="000000" w:themeColor="text1"/>
        </w:rPr>
        <w:t xml:space="preserve">Costos </w:t>
      </w:r>
    </w:p>
    <w:p w:rsidR="00133026" w:rsidRPr="00AE6FBA" w:rsidRDefault="00BB4038" w:rsidP="00BB4038">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b/>
          <w:color w:val="000000" w:themeColor="text1"/>
        </w:rPr>
        <w:t xml:space="preserve">Facturas </w:t>
      </w:r>
    </w:p>
    <w:p w:rsidR="00133026" w:rsidRPr="00AE6FBA" w:rsidRDefault="00BB4038" w:rsidP="00BB4038">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b/>
          <w:color w:val="000000" w:themeColor="text1"/>
        </w:rPr>
        <w:t>Nombre del Representante de la misma</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En respuesta, el </w:t>
      </w:r>
      <w:r w:rsidRPr="00AE6FBA">
        <w:rPr>
          <w:rFonts w:ascii="Palatino Linotype" w:eastAsia="Palatino Linotype" w:hAnsi="Palatino Linotype" w:cs="Palatino Linotype"/>
          <w:b/>
          <w:color w:val="000000" w:themeColor="text1"/>
        </w:rPr>
        <w:t xml:space="preserve">SUJETO OBLIGADO </w:t>
      </w:r>
      <w:r w:rsidRPr="00AE6FBA">
        <w:rPr>
          <w:rFonts w:ascii="Palatino Linotype" w:eastAsia="Palatino Linotype" w:hAnsi="Palatino Linotype" w:cs="Palatino Linotype"/>
          <w:color w:val="000000" w:themeColor="text1"/>
        </w:rPr>
        <w:t>a través del Titular de la Unidad de Transparencia,</w:t>
      </w:r>
      <w:r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color w:val="000000" w:themeColor="text1"/>
        </w:rPr>
        <w:t xml:space="preserve">remite el oficio de ocho de abril de dos mil veinticinco, signado por el Director de Obras Públicas de Atlacomulco, México, por medio del cual hacen del conocimiento el nombre del representante y de la empresa que estuvieron a cargo de la Rehabilitación de Sanitarios en Plaza Roja de la Unidad Deportiva las Fuetes, Colonia las Fuentes y de la Rehabilitación de Sanitarios Planta Baja del Edificio de la Contraloría </w:t>
      </w:r>
      <w:r w:rsidRPr="00AE6FBA">
        <w:rPr>
          <w:rFonts w:ascii="Palatino Linotype" w:eastAsia="Palatino Linotype" w:hAnsi="Palatino Linotype" w:cs="Palatino Linotype"/>
          <w:color w:val="000000" w:themeColor="text1"/>
        </w:rPr>
        <w:lastRenderedPageBreak/>
        <w:t>Municipal , Colonia las Fuentes, respectivamente; así mismo, informan el costo de la obra y la razón social.</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Derivado de lo anterior el </w:t>
      </w:r>
      <w:r w:rsidRPr="00AE6FBA">
        <w:rPr>
          <w:rFonts w:ascii="Palatino Linotype" w:eastAsia="Palatino Linotype" w:hAnsi="Palatino Linotype" w:cs="Palatino Linotype"/>
          <w:b/>
          <w:color w:val="000000" w:themeColor="text1"/>
        </w:rPr>
        <w:t>RECURRENTE</w:t>
      </w:r>
      <w:r w:rsidRPr="00AE6FBA">
        <w:rPr>
          <w:rFonts w:ascii="Palatino Linotype" w:eastAsia="Palatino Linotype" w:hAnsi="Palatino Linotype" w:cs="Palatino Linotype"/>
          <w:color w:val="000000" w:themeColor="text1"/>
        </w:rPr>
        <w:t xml:space="preserve">, se inconformó por </w:t>
      </w:r>
      <w:r w:rsidRPr="00AE6FBA">
        <w:rPr>
          <w:rFonts w:ascii="Palatino Linotype" w:eastAsia="Palatino Linotype" w:hAnsi="Palatino Linotype" w:cs="Palatino Linotype"/>
          <w:b/>
          <w:color w:val="000000" w:themeColor="text1"/>
        </w:rPr>
        <w:t>la entrega de la información incompleta</w:t>
      </w:r>
      <w:r w:rsidRPr="00AE6FBA">
        <w:rPr>
          <w:rFonts w:ascii="Palatino Linotype" w:eastAsia="Palatino Linotype" w:hAnsi="Palatino Linotype" w:cs="Palatino Linotype"/>
          <w:color w:val="000000" w:themeColor="text1"/>
        </w:rPr>
        <w:t xml:space="preserve">, en los siguientes términos: </w:t>
      </w:r>
      <w:r w:rsidRPr="00AE6FBA">
        <w:rPr>
          <w:rFonts w:ascii="Palatino Linotype" w:eastAsia="Palatino Linotype" w:hAnsi="Palatino Linotype" w:cs="Palatino Linotype"/>
          <w:i/>
          <w:color w:val="000000" w:themeColor="text1"/>
        </w:rPr>
        <w:t>“JUSTIFICA QUE NO TIENE FACTURA, CUANDO LA OBRA YA FUE ENTREGADA VIA OFICIAL A TRAVES DE LOS MEDIOS DE COMUNICACIÓN.” (Sic)</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En dichas condiciones, la </w:t>
      </w:r>
      <w:r w:rsidRPr="00AE6FBA">
        <w:rPr>
          <w:rFonts w:ascii="Palatino Linotype" w:eastAsia="Palatino Linotype" w:hAnsi="Palatino Linotype" w:cs="Palatino Linotype"/>
          <w:i/>
          <w:color w:val="000000" w:themeColor="text1"/>
        </w:rPr>
        <w:t>Litis</w:t>
      </w:r>
      <w:r w:rsidRPr="00AE6FBA">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AE6FBA">
        <w:rPr>
          <w:rFonts w:ascii="Palatino Linotype" w:eastAsia="Palatino Linotype" w:hAnsi="Palatino Linotype" w:cs="Palatino Linotype"/>
          <w:b/>
          <w:color w:val="000000" w:themeColor="text1"/>
        </w:rPr>
        <w:t xml:space="preserve">fracción V </w:t>
      </w:r>
      <w:r w:rsidRPr="00AE6FBA">
        <w:rPr>
          <w:rFonts w:ascii="Palatino Linotype" w:eastAsia="Palatino Linotype" w:hAnsi="Palatino Linotype" w:cs="Palatino Linotype"/>
          <w:color w:val="000000" w:themeColor="text1"/>
        </w:rPr>
        <w:t>de la Ley</w:t>
      </w:r>
      <w:r w:rsidRPr="00AE6FBA">
        <w:rPr>
          <w:rFonts w:ascii="Palatino Linotype" w:eastAsia="Palatino Linotype" w:hAnsi="Palatino Linotype" w:cs="Palatino Linotype"/>
          <w:b/>
          <w:color w:val="000000" w:themeColor="text1"/>
        </w:rPr>
        <w:t xml:space="preserve"> de Transparencia y Acceso a la Información Pública del Estado de </w:t>
      </w:r>
      <w:r w:rsidRPr="00AE6FBA">
        <w:rPr>
          <w:rFonts w:ascii="Palatino Linotype" w:eastAsia="Palatino Linotype" w:hAnsi="Palatino Linotype" w:cs="Palatino Linotype"/>
          <w:color w:val="000000" w:themeColor="text1"/>
        </w:rPr>
        <w:t>México</w:t>
      </w:r>
      <w:r w:rsidRPr="00AE6FBA">
        <w:rPr>
          <w:rFonts w:ascii="Palatino Linotype" w:eastAsia="Palatino Linotype" w:hAnsi="Palatino Linotype" w:cs="Palatino Linotype"/>
          <w:b/>
          <w:color w:val="000000" w:themeColor="text1"/>
        </w:rPr>
        <w:t xml:space="preserve"> y Municipios</w:t>
      </w:r>
      <w:r w:rsidRPr="00AE6FBA">
        <w:rPr>
          <w:rFonts w:ascii="Palatino Linotype" w:eastAsia="Palatino Linotype" w:hAnsi="Palatino Linotype" w:cs="Palatino Linotype"/>
          <w:color w:val="000000" w:themeColor="text1"/>
        </w:rPr>
        <w:t xml:space="preserve">; fracción que determina la hipótesis jurídica relativa a </w:t>
      </w:r>
      <w:r w:rsidRPr="00AE6FBA">
        <w:rPr>
          <w:rFonts w:ascii="Palatino Linotype" w:eastAsia="Palatino Linotype" w:hAnsi="Palatino Linotype" w:cs="Palatino Linotype"/>
          <w:b/>
          <w:color w:val="000000" w:themeColor="text1"/>
        </w:rPr>
        <w:t xml:space="preserve">la negativa a la información solicitada </w:t>
      </w:r>
      <w:r w:rsidRPr="00AE6FBA">
        <w:rPr>
          <w:rFonts w:ascii="Palatino Linotype" w:eastAsia="Palatino Linotype" w:hAnsi="Palatino Linotype" w:cs="Palatino Linotype"/>
          <w:color w:val="000000" w:themeColor="text1"/>
        </w:rPr>
        <w:t xml:space="preserve">por el </w:t>
      </w:r>
      <w:r w:rsidRPr="00AE6FBA">
        <w:rPr>
          <w:rFonts w:ascii="Palatino Linotype" w:eastAsia="Palatino Linotype" w:hAnsi="Palatino Linotype" w:cs="Palatino Linotype"/>
          <w:b/>
          <w:color w:val="000000" w:themeColor="text1"/>
        </w:rPr>
        <w:t>SUJETO OBLIGADO</w:t>
      </w:r>
      <w:r w:rsidRPr="00AE6FBA">
        <w:rPr>
          <w:rFonts w:ascii="Palatino Linotype" w:eastAsia="Palatino Linotype" w:hAnsi="Palatino Linotype" w:cs="Palatino Linotype"/>
          <w:color w:val="000000" w:themeColor="text1"/>
        </w:rPr>
        <w:t xml:space="preserve">; contexto del cual se dolió </w:t>
      </w:r>
      <w:r w:rsidRPr="00AE6FBA">
        <w:rPr>
          <w:rFonts w:ascii="Palatino Linotype" w:eastAsia="Palatino Linotype" w:hAnsi="Palatino Linotype" w:cs="Palatino Linotype"/>
          <w:b/>
          <w:color w:val="000000" w:themeColor="text1"/>
        </w:rPr>
        <w:t xml:space="preserve">EL RECURRENTE </w:t>
      </w:r>
      <w:r w:rsidRPr="00AE6FBA">
        <w:rPr>
          <w:rFonts w:ascii="Palatino Linotype" w:eastAsia="Palatino Linotype" w:hAnsi="Palatino Linotype" w:cs="Palatino Linotype"/>
          <w:color w:val="000000" w:themeColor="text1"/>
        </w:rPr>
        <w:t>al momento de interponer su inconformidad.</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De modo tal que el recurso de revisión se abocara en determinar si el </w:t>
      </w:r>
      <w:r w:rsidRPr="00AE6FBA">
        <w:rPr>
          <w:rFonts w:ascii="Palatino Linotype" w:eastAsia="Palatino Linotype" w:hAnsi="Palatino Linotype" w:cs="Palatino Linotype"/>
          <w:b/>
          <w:color w:val="000000" w:themeColor="text1"/>
        </w:rPr>
        <w:t>SUJETO OBLIGADO</w:t>
      </w:r>
      <w:r w:rsidRPr="00AE6FBA">
        <w:rPr>
          <w:rFonts w:ascii="Palatino Linotype" w:eastAsia="Palatino Linotype" w:hAnsi="Palatino Linotype" w:cs="Palatino Linotype"/>
          <w:color w:val="000000" w:themeColor="text1"/>
        </w:rPr>
        <w:t xml:space="preserve"> con su respuesta ciertamente actualiza la causal de procedencia</w:t>
      </w:r>
      <w:r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133026" w:rsidRPr="00AE6FBA" w:rsidRDefault="00133026" w:rsidP="00BB4038">
      <w:pP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keepNext/>
        <w:keepLines/>
        <w:spacing w:line="360" w:lineRule="auto"/>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b/>
          <w:color w:val="000000" w:themeColor="text1"/>
        </w:rPr>
        <w:lastRenderedPageBreak/>
        <w:t>CUARTO. Del estudio y resolución del asunto</w:t>
      </w:r>
    </w:p>
    <w:p w:rsidR="00133026" w:rsidRPr="00AE6FBA" w:rsidRDefault="00BB4038" w:rsidP="00BB4038">
      <w:pPr>
        <w:keepNext/>
        <w:keepLines/>
        <w:numPr>
          <w:ilvl w:val="0"/>
          <w:numId w:val="7"/>
        </w:numPr>
        <w:spacing w:after="240" w:line="360" w:lineRule="auto"/>
        <w:ind w:left="0"/>
        <w:rPr>
          <w:rFonts w:ascii="Palatino Linotype" w:eastAsia="Palatino Linotype" w:hAnsi="Palatino Linotype" w:cs="Palatino Linotype"/>
          <w:b/>
          <w:color w:val="000000" w:themeColor="text1"/>
        </w:rPr>
      </w:pPr>
      <w:bookmarkStart w:id="10" w:name="_heading=h.1t3h5sf" w:colFirst="0" w:colLast="0"/>
      <w:bookmarkEnd w:id="10"/>
      <w:r w:rsidRPr="00AE6FBA">
        <w:rPr>
          <w:rFonts w:ascii="Palatino Linotype" w:eastAsia="Palatino Linotype" w:hAnsi="Palatino Linotype" w:cs="Palatino Linotype"/>
          <w:b/>
          <w:color w:val="000000" w:themeColor="text1"/>
        </w:rPr>
        <w:t>Del derecho de acceso a la información.</w:t>
      </w: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133026" w:rsidRPr="00AE6FBA" w:rsidRDefault="00133026" w:rsidP="00BB4038">
      <w:pP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Definiendo el Derecho de Acceso a la Información Pública como: </w:t>
      </w:r>
      <w:r w:rsidRPr="00AE6FBA">
        <w:rPr>
          <w:rFonts w:ascii="Palatino Linotype" w:eastAsia="Palatino Linotype" w:hAnsi="Palatino Linotype" w:cs="Palatino Linotype"/>
          <w:i/>
          <w:color w:val="000000" w:themeColor="text1"/>
        </w:rPr>
        <w:t>La igualdad de oportunidades para recibir, buscar e impartir información</w:t>
      </w:r>
      <w:r w:rsidRPr="00AE6FBA">
        <w:rPr>
          <w:rFonts w:ascii="Palatino Linotype" w:eastAsia="Palatino Linotype" w:hAnsi="Palatino Linotype" w:cs="Palatino Linotype"/>
          <w:i/>
          <w:color w:val="000000" w:themeColor="text1"/>
          <w:vertAlign w:val="superscript"/>
        </w:rPr>
        <w:footnoteReference w:id="1"/>
      </w:r>
      <w:r w:rsidRPr="00AE6FBA">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E6FBA">
        <w:rPr>
          <w:rFonts w:ascii="Palatino Linotype" w:eastAsia="Palatino Linotype" w:hAnsi="Palatino Linotype" w:cs="Palatino Linotype"/>
          <w:i/>
          <w:color w:val="000000" w:themeColor="text1"/>
          <w:vertAlign w:val="superscript"/>
        </w:rPr>
        <w:footnoteReference w:id="2"/>
      </w:r>
      <w:r w:rsidRPr="00AE6FBA">
        <w:rPr>
          <w:rFonts w:ascii="Palatino Linotype" w:eastAsia="Palatino Linotype" w:hAnsi="Palatino Linotype" w:cs="Palatino Linotype"/>
          <w:color w:val="000000" w:themeColor="text1"/>
        </w:rPr>
        <w:t>que se constituye como una herramienta fundamental para ejercer</w:t>
      </w:r>
      <w:r w:rsidRPr="00AE6FBA">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AE6FBA">
        <w:rPr>
          <w:rFonts w:ascii="Palatino Linotype" w:eastAsia="Palatino Linotype" w:hAnsi="Palatino Linotype" w:cs="Palatino Linotype"/>
          <w:i/>
          <w:color w:val="000000" w:themeColor="text1"/>
          <w:vertAlign w:val="superscript"/>
        </w:rPr>
        <w:footnoteReference w:id="3"/>
      </w:r>
      <w:r w:rsidRPr="00AE6FBA">
        <w:rPr>
          <w:rFonts w:ascii="Palatino Linotype" w:eastAsia="Palatino Linotype" w:hAnsi="Palatino Linotype" w:cs="Palatino Linotype"/>
          <w:color w:val="000000" w:themeColor="text1"/>
        </w:rPr>
        <w:t>fomentando</w:t>
      </w:r>
      <w:r w:rsidRPr="00AE6FBA">
        <w:rPr>
          <w:rFonts w:ascii="Palatino Linotype" w:eastAsia="Palatino Linotype" w:hAnsi="Palatino Linotype" w:cs="Palatino Linotype"/>
          <w:i/>
          <w:color w:val="000000" w:themeColor="text1"/>
        </w:rPr>
        <w:t xml:space="preserve"> la transparencia de las actividades estatales y </w:t>
      </w:r>
      <w:r w:rsidRPr="00AE6FBA">
        <w:rPr>
          <w:rFonts w:ascii="Palatino Linotype" w:eastAsia="Palatino Linotype" w:hAnsi="Palatino Linotype" w:cs="Palatino Linotype"/>
          <w:color w:val="000000" w:themeColor="text1"/>
        </w:rPr>
        <w:t>promoviendo</w:t>
      </w:r>
      <w:r w:rsidRPr="00AE6FBA">
        <w:rPr>
          <w:rFonts w:ascii="Palatino Linotype" w:eastAsia="Palatino Linotype" w:hAnsi="Palatino Linotype" w:cs="Palatino Linotype"/>
          <w:i/>
          <w:color w:val="000000" w:themeColor="text1"/>
        </w:rPr>
        <w:t xml:space="preserve"> la responsabilidad de los funcionarios sobre su gestión pública,</w:t>
      </w:r>
      <w:r w:rsidRPr="00AE6FBA">
        <w:rPr>
          <w:rFonts w:ascii="Palatino Linotype" w:eastAsia="Palatino Linotype" w:hAnsi="Palatino Linotype" w:cs="Palatino Linotype"/>
          <w:i/>
          <w:color w:val="000000" w:themeColor="text1"/>
          <w:vertAlign w:val="superscript"/>
        </w:rPr>
        <w:footnoteReference w:id="4"/>
      </w:r>
      <w:r w:rsidRPr="00AE6FBA">
        <w:rPr>
          <w:rFonts w:ascii="Palatino Linotype" w:eastAsia="Palatino Linotype" w:hAnsi="Palatino Linotype" w:cs="Palatino Linotype"/>
          <w:color w:val="000000" w:themeColor="text1"/>
        </w:rPr>
        <w:t>que permite</w:t>
      </w:r>
      <w:r w:rsidRPr="00AE6FBA">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133026" w:rsidRPr="00AE6FBA" w:rsidRDefault="00133026" w:rsidP="00BB4038">
      <w:pP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133026" w:rsidRPr="00AE6FBA" w:rsidRDefault="00BB4038" w:rsidP="00BB4038">
      <w:pPr>
        <w:tabs>
          <w:tab w:val="left" w:pos="7655"/>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r w:rsidRPr="00AE6FBA">
        <w:rPr>
          <w:rFonts w:ascii="Palatino Linotype" w:eastAsia="Palatino Linotype" w:hAnsi="Palatino Linotype" w:cs="Palatino Linotype"/>
          <w:b/>
          <w:i/>
          <w:color w:val="000000" w:themeColor="text1"/>
        </w:rPr>
        <w:t>Artículo 1.-</w:t>
      </w:r>
      <w:r w:rsidRPr="00AE6FBA">
        <w:rPr>
          <w:rFonts w:ascii="Palatino Linotype" w:eastAsia="Palatino Linotype" w:hAnsi="Palatino Linotype" w:cs="Palatino Linotype"/>
          <w:i/>
          <w:color w:val="000000" w:themeColor="text1"/>
        </w:rPr>
        <w:t xml:space="preserve"> </w:t>
      </w:r>
    </w:p>
    <w:p w:rsidR="00133026" w:rsidRPr="00AE6FBA" w:rsidRDefault="00BB4038" w:rsidP="00BB4038">
      <w:pPr>
        <w:tabs>
          <w:tab w:val="left" w:pos="7655"/>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p>
    <w:p w:rsidR="00133026" w:rsidRPr="00AE6FBA" w:rsidRDefault="00BB4038" w:rsidP="00BB4038">
      <w:pPr>
        <w:tabs>
          <w:tab w:val="left" w:pos="7655"/>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Todas las</w:t>
      </w:r>
      <w:r w:rsidRPr="00AE6FBA">
        <w:rPr>
          <w:rFonts w:ascii="Palatino Linotype" w:eastAsia="Palatino Linotype" w:hAnsi="Palatino Linotype" w:cs="Palatino Linotype"/>
          <w:color w:val="000000" w:themeColor="text1"/>
        </w:rPr>
        <w:t xml:space="preserve"> </w:t>
      </w:r>
      <w:r w:rsidRPr="00AE6FBA">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33026" w:rsidRPr="00AE6FBA" w:rsidRDefault="00BB4038" w:rsidP="00BB4038">
      <w:pPr>
        <w:tabs>
          <w:tab w:val="left" w:pos="7655"/>
        </w:tabs>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i/>
          <w:color w:val="000000" w:themeColor="text1"/>
        </w:rPr>
        <w:t>(…)</w:t>
      </w:r>
      <w:r w:rsidRPr="00AE6FBA">
        <w:rPr>
          <w:rFonts w:ascii="Palatino Linotype" w:eastAsia="Palatino Linotype" w:hAnsi="Palatino Linotype" w:cs="Palatino Linotype"/>
          <w:color w:val="000000" w:themeColor="text1"/>
        </w:rPr>
        <w:t>”.</w:t>
      </w:r>
    </w:p>
    <w:p w:rsidR="00133026" w:rsidRPr="00AE6FBA" w:rsidRDefault="00133026" w:rsidP="00BB4038">
      <w:pPr>
        <w:jc w:val="both"/>
        <w:rPr>
          <w:rFonts w:ascii="Palatino Linotype" w:eastAsia="Palatino Linotype" w:hAnsi="Palatino Linotype" w:cs="Palatino Linotype"/>
          <w:b/>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133026" w:rsidRPr="00AE6FBA" w:rsidRDefault="00133026" w:rsidP="00BB4038">
      <w:pP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133026" w:rsidRPr="00AE6FBA" w:rsidRDefault="00BB4038" w:rsidP="00BB4038">
      <w:pPr>
        <w:spacing w:after="240"/>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t>Constitución Política de los Estados Unidos Mexicanos</w:t>
      </w:r>
    </w:p>
    <w:p w:rsidR="00133026" w:rsidRPr="00AE6FBA" w:rsidRDefault="00BB4038" w:rsidP="00BB4038">
      <w:pPr>
        <w:spacing w:before="240" w:after="240"/>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t>“Artículo 6.</w:t>
      </w:r>
    </w:p>
    <w:p w:rsidR="00133026" w:rsidRPr="00AE6FBA" w:rsidRDefault="00BB4038" w:rsidP="00BB4038">
      <w:pPr>
        <w:spacing w:before="240" w:after="240"/>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p>
    <w:p w:rsidR="00133026" w:rsidRPr="00AE6FBA" w:rsidRDefault="00BB4038" w:rsidP="00BB4038">
      <w:pPr>
        <w:spacing w:before="240" w:after="240"/>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Para efectos de lo dispuesto en el presente artículo se observará lo siguiente:</w:t>
      </w:r>
    </w:p>
    <w:p w:rsidR="00133026" w:rsidRPr="00AE6FBA" w:rsidRDefault="00BB4038" w:rsidP="00BB4038">
      <w:pPr>
        <w:spacing w:before="240" w:after="240"/>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lastRenderedPageBreak/>
        <w:t>A</w:t>
      </w:r>
      <w:r w:rsidRPr="00AE6FBA">
        <w:rPr>
          <w:rFonts w:ascii="Palatino Linotype" w:eastAsia="Palatino Linotype" w:hAnsi="Palatino Linotype" w:cs="Palatino Linotype"/>
          <w:i/>
          <w:color w:val="000000" w:themeColor="text1"/>
        </w:rPr>
        <w:t xml:space="preserve">. </w:t>
      </w:r>
      <w:r w:rsidRPr="00AE6FBA">
        <w:rPr>
          <w:rFonts w:ascii="Palatino Linotype" w:eastAsia="Palatino Linotype" w:hAnsi="Palatino Linotype" w:cs="Palatino Linotype"/>
          <w:b/>
          <w:i/>
          <w:color w:val="000000" w:themeColor="text1"/>
        </w:rPr>
        <w:t>Para el ejercicio del derecho de acceso a la información</w:t>
      </w:r>
      <w:r w:rsidRPr="00AE6FBA">
        <w:rPr>
          <w:rFonts w:ascii="Palatino Linotype" w:eastAsia="Palatino Linotype" w:hAnsi="Palatino Linotype" w:cs="Palatino Linotype"/>
          <w:i/>
          <w:color w:val="000000" w:themeColor="text1"/>
        </w:rPr>
        <w:t xml:space="preserve">, la Federación y </w:t>
      </w:r>
      <w:r w:rsidRPr="00AE6FBA">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133026" w:rsidRPr="00AE6FBA" w:rsidRDefault="00BB4038" w:rsidP="00BB4038">
      <w:pPr>
        <w:spacing w:before="240" w:after="240"/>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I. Toda la información en posesión de cualquier</w:t>
      </w:r>
      <w:r w:rsidRPr="00AE6FBA">
        <w:rPr>
          <w:rFonts w:ascii="Palatino Linotype" w:eastAsia="Palatino Linotype" w:hAnsi="Palatino Linotype" w:cs="Palatino Linotype"/>
          <w:i/>
          <w:color w:val="000000" w:themeColor="text1"/>
        </w:rPr>
        <w:t xml:space="preserve"> </w:t>
      </w:r>
      <w:r w:rsidRPr="00AE6FBA">
        <w:rPr>
          <w:rFonts w:ascii="Palatino Linotype" w:eastAsia="Palatino Linotype" w:hAnsi="Palatino Linotype" w:cs="Palatino Linotype"/>
          <w:b/>
          <w:i/>
          <w:color w:val="000000" w:themeColor="text1"/>
        </w:rPr>
        <w:t>autoridad</w:t>
      </w:r>
      <w:r w:rsidRPr="00AE6FBA">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E6FBA">
        <w:rPr>
          <w:rFonts w:ascii="Palatino Linotype" w:eastAsia="Palatino Linotype" w:hAnsi="Palatino Linotype" w:cs="Palatino Linotype"/>
          <w:b/>
          <w:i/>
          <w:color w:val="000000" w:themeColor="text1"/>
        </w:rPr>
        <w:t>municipal</w:t>
      </w:r>
      <w:r w:rsidRPr="00AE6FBA">
        <w:rPr>
          <w:rFonts w:ascii="Palatino Linotype" w:eastAsia="Palatino Linotype" w:hAnsi="Palatino Linotype" w:cs="Palatino Linotype"/>
          <w:i/>
          <w:color w:val="000000" w:themeColor="text1"/>
        </w:rPr>
        <w:t xml:space="preserve">, </w:t>
      </w:r>
      <w:r w:rsidRPr="00AE6FBA">
        <w:rPr>
          <w:rFonts w:ascii="Palatino Linotype" w:eastAsia="Palatino Linotype" w:hAnsi="Palatino Linotype" w:cs="Palatino Linotype"/>
          <w:b/>
          <w:i/>
          <w:color w:val="000000" w:themeColor="text1"/>
        </w:rPr>
        <w:t>es pública</w:t>
      </w:r>
      <w:r w:rsidRPr="00AE6FBA">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AE6FBA">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AE6FBA">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133026" w:rsidRPr="00AE6FBA" w:rsidRDefault="00133026" w:rsidP="00BB4038">
      <w:pPr>
        <w:tabs>
          <w:tab w:val="left" w:pos="567"/>
        </w:tabs>
        <w:spacing w:before="240"/>
        <w:jc w:val="both"/>
        <w:rPr>
          <w:rFonts w:ascii="Palatino Linotype" w:eastAsia="Palatino Linotype" w:hAnsi="Palatino Linotype" w:cs="Palatino Linotype"/>
          <w:b/>
          <w:i/>
          <w:color w:val="000000" w:themeColor="text1"/>
        </w:rPr>
      </w:pPr>
    </w:p>
    <w:p w:rsidR="00133026" w:rsidRPr="00AE6FBA" w:rsidRDefault="00BB4038" w:rsidP="00BB4038">
      <w:pPr>
        <w:spacing w:after="240"/>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t>Constitución Política del Estado Libre y Soberano de México</w:t>
      </w:r>
    </w:p>
    <w:p w:rsidR="00133026" w:rsidRPr="00AE6FBA" w:rsidRDefault="00BB4038" w:rsidP="00BB4038">
      <w:pPr>
        <w:spacing w:before="240" w:after="240"/>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“Artículo 5</w:t>
      </w:r>
      <w:r w:rsidRPr="00AE6FBA">
        <w:rPr>
          <w:rFonts w:ascii="Palatino Linotype" w:eastAsia="Palatino Linotype" w:hAnsi="Palatino Linotype" w:cs="Palatino Linotype"/>
          <w:i/>
          <w:color w:val="000000" w:themeColor="text1"/>
        </w:rPr>
        <w:t xml:space="preserve">.- </w:t>
      </w:r>
    </w:p>
    <w:p w:rsidR="00133026" w:rsidRPr="00AE6FBA" w:rsidRDefault="00BB4038" w:rsidP="00BB4038">
      <w:pPr>
        <w:spacing w:before="240" w:after="240"/>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p>
    <w:p w:rsidR="00133026" w:rsidRPr="00AE6FBA" w:rsidRDefault="00BB4038" w:rsidP="00BB4038">
      <w:pPr>
        <w:spacing w:before="240" w:after="240"/>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AE6FBA">
        <w:rPr>
          <w:rFonts w:ascii="Palatino Linotype" w:eastAsia="Palatino Linotype" w:hAnsi="Palatino Linotype" w:cs="Palatino Linotype"/>
          <w:i/>
          <w:color w:val="000000" w:themeColor="text1"/>
        </w:rPr>
        <w:t>.</w:t>
      </w:r>
    </w:p>
    <w:p w:rsidR="00133026" w:rsidRPr="00AE6FBA" w:rsidRDefault="00BB4038" w:rsidP="00BB4038">
      <w:pPr>
        <w:spacing w:before="240" w:after="240"/>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33026" w:rsidRPr="00AE6FBA" w:rsidRDefault="00BB4038" w:rsidP="00BB4038">
      <w:pPr>
        <w:spacing w:before="240" w:after="240"/>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Este derecho se regirá por los principios y bases siguientes</w:t>
      </w:r>
      <w:r w:rsidRPr="00AE6FBA">
        <w:rPr>
          <w:rFonts w:ascii="Palatino Linotype" w:eastAsia="Palatino Linotype" w:hAnsi="Palatino Linotype" w:cs="Palatino Linotype"/>
          <w:i/>
          <w:color w:val="000000" w:themeColor="text1"/>
        </w:rPr>
        <w:t>:</w:t>
      </w:r>
    </w:p>
    <w:p w:rsidR="00133026" w:rsidRPr="00AE6FBA" w:rsidRDefault="00BB4038" w:rsidP="00BB4038">
      <w:pPr>
        <w:spacing w:before="240" w:after="240"/>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I. Toda la información en posesión de cualquier autoridad, entidad, órgano y organismos de los</w:t>
      </w:r>
      <w:r w:rsidRPr="00AE6FBA">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AE6FBA">
        <w:rPr>
          <w:rFonts w:ascii="Palatino Linotype" w:eastAsia="Palatino Linotype" w:hAnsi="Palatino Linotype" w:cs="Palatino Linotype"/>
          <w:b/>
          <w:i/>
          <w:color w:val="000000" w:themeColor="text1"/>
        </w:rPr>
        <w:t>municipales</w:t>
      </w:r>
      <w:r w:rsidRPr="00AE6FBA">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E6FBA">
        <w:rPr>
          <w:rFonts w:ascii="Palatino Linotype" w:eastAsia="Palatino Linotype" w:hAnsi="Palatino Linotype" w:cs="Palatino Linotype"/>
          <w:b/>
          <w:i/>
          <w:color w:val="000000" w:themeColor="text1"/>
        </w:rPr>
        <w:t>es pública</w:t>
      </w:r>
      <w:r w:rsidRPr="00AE6FBA">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w:t>
      </w:r>
      <w:r w:rsidRPr="00AE6FBA">
        <w:rPr>
          <w:rFonts w:ascii="Palatino Linotype" w:eastAsia="Palatino Linotype" w:hAnsi="Palatino Linotype" w:cs="Palatino Linotype"/>
          <w:i/>
          <w:color w:val="000000" w:themeColor="text1"/>
        </w:rPr>
        <w:lastRenderedPageBreak/>
        <w:t xml:space="preserve">términos que fijen las leyes. </w:t>
      </w:r>
      <w:r w:rsidRPr="00AE6FBA">
        <w:rPr>
          <w:rFonts w:ascii="Palatino Linotype" w:eastAsia="Palatino Linotype" w:hAnsi="Palatino Linotype" w:cs="Palatino Linotype"/>
          <w:b/>
          <w:i/>
          <w:color w:val="000000" w:themeColor="text1"/>
        </w:rPr>
        <w:t>En la interpretación de este derecho deberá prevalecer el principio de máxima publicidad</w:t>
      </w:r>
      <w:r w:rsidRPr="00AE6FBA">
        <w:rPr>
          <w:rFonts w:ascii="Palatino Linotype" w:eastAsia="Palatino Linotype" w:hAnsi="Palatino Linotype" w:cs="Palatino Linotype"/>
          <w:i/>
          <w:color w:val="000000" w:themeColor="text1"/>
        </w:rPr>
        <w:t xml:space="preserve">. </w:t>
      </w:r>
      <w:r w:rsidRPr="00AE6FBA">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AE6FBA">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133026" w:rsidRPr="00AE6FBA" w:rsidRDefault="00133026" w:rsidP="00BB4038">
      <w:pPr>
        <w:tabs>
          <w:tab w:val="left" w:pos="567"/>
        </w:tabs>
        <w:spacing w:before="240" w:after="240"/>
        <w:jc w:val="both"/>
        <w:rPr>
          <w:rFonts w:ascii="Palatino Linotype" w:eastAsia="Palatino Linotype" w:hAnsi="Palatino Linotype" w:cs="Palatino Linotype"/>
          <w:b/>
          <w:i/>
          <w:color w:val="000000" w:themeColor="text1"/>
        </w:rPr>
      </w:pPr>
    </w:p>
    <w:p w:rsidR="00133026" w:rsidRPr="00AE6FBA" w:rsidRDefault="00BB4038" w:rsidP="00BB4038">
      <w:pPr>
        <w:numPr>
          <w:ilvl w:val="0"/>
          <w:numId w:val="2"/>
        </w:numPr>
        <w:spacing w:before="240"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AE6FBA">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AE6FBA">
        <w:rPr>
          <w:rFonts w:ascii="Palatino Linotype" w:eastAsia="Palatino Linotype" w:hAnsi="Palatino Linotype" w:cs="Palatino Linotype"/>
          <w:color w:val="000000" w:themeColor="text1"/>
        </w:rPr>
        <w:t>, contemplando el derecho de las personas con discapacidad y hablantes de lengua indígena.</w:t>
      </w:r>
    </w:p>
    <w:p w:rsidR="00133026" w:rsidRPr="00AE6FBA" w:rsidRDefault="00133026" w:rsidP="00BB4038">
      <w:pP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AE6FBA">
        <w:rPr>
          <w:rFonts w:ascii="Palatino Linotype" w:eastAsia="Palatino Linotype" w:hAnsi="Palatino Linotype" w:cs="Palatino Linotype"/>
          <w:i/>
          <w:color w:val="000000" w:themeColor="text1"/>
        </w:rPr>
        <w:t>solicitudes de acceso a la información</w:t>
      </w:r>
      <w:r w:rsidRPr="00AE6FBA">
        <w:rPr>
          <w:rFonts w:ascii="Palatino Linotype" w:eastAsia="Palatino Linotype" w:hAnsi="Palatino Linotype" w:cs="Palatino Linotype"/>
          <w:color w:val="000000" w:themeColor="text1"/>
        </w:rPr>
        <w:t>.</w:t>
      </w:r>
    </w:p>
    <w:p w:rsidR="00133026" w:rsidRPr="00AE6FBA" w:rsidRDefault="00133026" w:rsidP="00BB4038">
      <w:pP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11" w:name="_heading=h.4d34og8" w:colFirst="0" w:colLast="0"/>
      <w:bookmarkEnd w:id="11"/>
      <w:r w:rsidRPr="00AE6FBA">
        <w:rPr>
          <w:rFonts w:ascii="Palatino Linotype" w:eastAsia="Palatino Linotype" w:hAnsi="Palatino Linotype" w:cs="Palatino Linotype"/>
          <w:color w:val="000000" w:themeColor="text1"/>
        </w:rPr>
        <w:t xml:space="preserve">Así entonces, se procede analizar, en primer lugar, si el </w:t>
      </w:r>
      <w:r w:rsidRPr="00AE6FBA">
        <w:rPr>
          <w:rFonts w:ascii="Palatino Linotype" w:eastAsia="Palatino Linotype" w:hAnsi="Palatino Linotype" w:cs="Palatino Linotype"/>
          <w:b/>
          <w:color w:val="000000" w:themeColor="text1"/>
        </w:rPr>
        <w:t>SUJETO OBLIGADO</w:t>
      </w:r>
      <w:r w:rsidRPr="00AE6FBA">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133026" w:rsidRPr="00AE6FBA" w:rsidRDefault="00133026" w:rsidP="00BB4038">
      <w:pP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keepNext/>
        <w:keepLines/>
        <w:spacing w:after="240" w:line="360" w:lineRule="auto"/>
        <w:rPr>
          <w:rFonts w:ascii="Palatino Linotype" w:eastAsia="Palatino Linotype" w:hAnsi="Palatino Linotype" w:cs="Palatino Linotype"/>
          <w:b/>
          <w:color w:val="000000" w:themeColor="text1"/>
        </w:rPr>
      </w:pPr>
      <w:bookmarkStart w:id="12" w:name="_heading=h.2s8eyo1" w:colFirst="0" w:colLast="0"/>
      <w:bookmarkEnd w:id="12"/>
      <w:r w:rsidRPr="00AE6FBA">
        <w:rPr>
          <w:rFonts w:ascii="Palatino Linotype" w:eastAsia="Palatino Linotype" w:hAnsi="Palatino Linotype" w:cs="Palatino Linotype"/>
          <w:b/>
          <w:color w:val="000000" w:themeColor="text1"/>
        </w:rPr>
        <w:t>II. De la información solicitada y la respuesta del SUJETO OBLIGADO</w:t>
      </w:r>
    </w:p>
    <w:p w:rsidR="00133026" w:rsidRPr="00AE6FBA" w:rsidRDefault="00BB4038" w:rsidP="00BB4038">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Precisado lo anterior, se procede al análisis del requerimiento planteado por la persona solicitante y la respuesta proporcionada por el </w:t>
      </w:r>
      <w:r w:rsidRPr="00AE6FBA">
        <w:rPr>
          <w:rFonts w:ascii="Palatino Linotype" w:eastAsia="Palatino Linotype" w:hAnsi="Palatino Linotype" w:cs="Palatino Linotype"/>
          <w:b/>
          <w:color w:val="000000" w:themeColor="text1"/>
        </w:rPr>
        <w:t>SUJETO OBLIGADO</w:t>
      </w:r>
      <w:r w:rsidRPr="00AE6FBA">
        <w:rPr>
          <w:rFonts w:ascii="Palatino Linotype" w:eastAsia="Palatino Linotype" w:hAnsi="Palatino Linotype" w:cs="Palatino Linotype"/>
          <w:color w:val="000000" w:themeColor="text1"/>
        </w:rPr>
        <w:t xml:space="preserve">, a efecto de determinar si el derecho de acceso se satisfizo con las mismas, o en su defecto, señalar los </w:t>
      </w:r>
      <w:r w:rsidRPr="00AE6FBA">
        <w:rPr>
          <w:rFonts w:ascii="Palatino Linotype" w:eastAsia="Palatino Linotype" w:hAnsi="Palatino Linotype" w:cs="Palatino Linotype"/>
          <w:color w:val="000000" w:themeColor="text1"/>
        </w:rPr>
        <w:lastRenderedPageBreak/>
        <w:t xml:space="preserve">documentos que en el ejercicio de sus atribuciones pudo haber generado, y que, de manera enunciativa más no limitativa, pudieran colmar dicho derecho. </w:t>
      </w:r>
    </w:p>
    <w:p w:rsidR="00133026" w:rsidRPr="00AE6FBA" w:rsidRDefault="00133026" w:rsidP="00BB403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Ahora bien, recapitulando las constancias que integran el expediente electrónico en que se actúa, se tiene que el particular solicitó de las obras de rehabilitación de Sanitarios en Plaza Roja de la Unidad Deportiva Las Fuentes, Colonia las Fuentes y de los Sanitarios Planta Baja del Edificio de la Contraloría Municipal, Colonia las Fuentes los siguiente:</w:t>
      </w:r>
    </w:p>
    <w:p w:rsidR="00133026" w:rsidRPr="00AE6FBA" w:rsidRDefault="00BB4038" w:rsidP="00BB4038">
      <w:pPr>
        <w:numPr>
          <w:ilvl w:val="0"/>
          <w:numId w:val="4"/>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Nombre de la Empresa o Razón Social </w:t>
      </w:r>
    </w:p>
    <w:p w:rsidR="00133026" w:rsidRPr="00AE6FBA" w:rsidRDefault="00BB4038" w:rsidP="00BB4038">
      <w:pPr>
        <w:numPr>
          <w:ilvl w:val="0"/>
          <w:numId w:val="4"/>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Fallo del Contrato</w:t>
      </w:r>
    </w:p>
    <w:p w:rsidR="00133026" w:rsidRPr="00AE6FBA" w:rsidRDefault="00BB4038" w:rsidP="00BB4038">
      <w:pPr>
        <w:numPr>
          <w:ilvl w:val="0"/>
          <w:numId w:val="4"/>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Costos</w:t>
      </w:r>
    </w:p>
    <w:p w:rsidR="00133026" w:rsidRPr="00AE6FBA" w:rsidRDefault="00BB4038" w:rsidP="00BB4038">
      <w:pPr>
        <w:numPr>
          <w:ilvl w:val="0"/>
          <w:numId w:val="4"/>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Facturas </w:t>
      </w:r>
    </w:p>
    <w:p w:rsidR="00133026" w:rsidRPr="00AE6FBA" w:rsidRDefault="00BB4038" w:rsidP="00BB4038">
      <w:pPr>
        <w:numPr>
          <w:ilvl w:val="0"/>
          <w:numId w:val="4"/>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Nombre del Representante</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.Al respecto el </w:t>
      </w:r>
      <w:r w:rsidRPr="00AE6FBA">
        <w:rPr>
          <w:rFonts w:ascii="Palatino Linotype" w:eastAsia="Palatino Linotype" w:hAnsi="Palatino Linotype" w:cs="Palatino Linotype"/>
          <w:b/>
          <w:color w:val="000000" w:themeColor="text1"/>
        </w:rPr>
        <w:t xml:space="preserve">SUJETO OBLIGADO </w:t>
      </w:r>
      <w:r w:rsidRPr="00AE6FBA">
        <w:rPr>
          <w:rFonts w:ascii="Palatino Linotype" w:eastAsia="Palatino Linotype" w:hAnsi="Palatino Linotype" w:cs="Palatino Linotype"/>
          <w:color w:val="000000" w:themeColor="text1"/>
        </w:rPr>
        <w:t>informó, a través del Director de Obras Públicas de Atlacomulco, que la Obra de la Rehabilitación de Sanitarios en Plaza Roja de la Unidad Deportiva las Fuentes, Colonia las Fuentes, estuvo a cargo de Fernando Ramírez Hernández, quien además fungió como representante, alcanzando un costo por la obra de $2, 798, 627.51; así mismo, se informa que para la Obra de Rehabilitación de Sanitarios Planta Baja del Edificio de la Contraloría Municipal, Colonia las Fuentes, se requirieron los servicios de la empresa encabezada por Fabiola Guadarrama Pedroza, quien fungió como representante, del cual se erogó un gasto de $ 2, 398, 055.87,  no omite mencionar que respecto a las facturas requeridas por el particular, estas se encuentran en proceso de incorporación al expediente de obra.</w:t>
      </w:r>
    </w:p>
    <w:p w:rsidR="00133026" w:rsidRPr="00AE6FBA" w:rsidRDefault="00133026" w:rsidP="00BB403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lastRenderedPageBreak/>
        <w:t xml:space="preserve">Posteriormente el </w:t>
      </w:r>
      <w:r w:rsidRPr="00AE6FBA">
        <w:rPr>
          <w:rFonts w:ascii="Palatino Linotype" w:eastAsia="Palatino Linotype" w:hAnsi="Palatino Linotype" w:cs="Palatino Linotype"/>
          <w:b/>
          <w:color w:val="000000" w:themeColor="text1"/>
        </w:rPr>
        <w:t>RECURRENTE</w:t>
      </w:r>
      <w:r w:rsidRPr="00AE6FBA">
        <w:rPr>
          <w:rFonts w:ascii="Palatino Linotype" w:eastAsia="Palatino Linotype" w:hAnsi="Palatino Linotype" w:cs="Palatino Linotype"/>
          <w:color w:val="000000" w:themeColor="text1"/>
        </w:rPr>
        <w:t xml:space="preserve">, se inconformó, porque no le fueron proporcionadas las facturas, ello a pesar de que a su dicho, la obra ya fue entregada. </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color w:val="000000" w:themeColor="text1"/>
        </w:rPr>
        <w:t xml:space="preserve">En este sentido, resulta necesario señalar que, el </w:t>
      </w:r>
      <w:r w:rsidRPr="00AE6FBA">
        <w:rPr>
          <w:rFonts w:ascii="Palatino Linotype" w:eastAsia="Palatino Linotype" w:hAnsi="Palatino Linotype" w:cs="Palatino Linotype"/>
          <w:b/>
          <w:color w:val="000000" w:themeColor="text1"/>
        </w:rPr>
        <w:t xml:space="preserve">RECURRENTE </w:t>
      </w:r>
      <w:r w:rsidRPr="00AE6FBA">
        <w:rPr>
          <w:rFonts w:ascii="Palatino Linotype" w:eastAsia="Palatino Linotype" w:hAnsi="Palatino Linotype" w:cs="Palatino Linotype"/>
          <w:color w:val="000000" w:themeColor="text1"/>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AE6FBA">
        <w:rPr>
          <w:rFonts w:ascii="Palatino Linotype" w:eastAsia="Palatino Linotype" w:hAnsi="Palatino Linotype" w:cs="Palatino Linotype"/>
          <w:b/>
          <w:color w:val="000000" w:themeColor="text1"/>
        </w:rPr>
        <w:t>SUJETO OBLIGADO</w:t>
      </w:r>
      <w:r w:rsidRPr="00AE6FBA">
        <w:rPr>
          <w:rFonts w:ascii="Palatino Linotype" w:eastAsia="Palatino Linotype" w:hAnsi="Palatino Linotype" w:cs="Palatino Linotype"/>
          <w:color w:val="000000" w:themeColor="text1"/>
        </w:rPr>
        <w:t xml:space="preserve"> satisface este punto de la solicitud presentada. </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b/>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color w:val="000000" w:themeColor="text1"/>
        </w:rPr>
        <w:t xml:space="preserve">Lo anterior es así, debido a que cuando un Recurrente impugna la respuesta del </w:t>
      </w:r>
      <w:r w:rsidRPr="00AE6FBA">
        <w:rPr>
          <w:rFonts w:ascii="Palatino Linotype" w:eastAsia="Palatino Linotype" w:hAnsi="Palatino Linotype" w:cs="Palatino Linotype"/>
          <w:b/>
          <w:color w:val="000000" w:themeColor="text1"/>
        </w:rPr>
        <w:t>SUJETO OBLIGADO</w:t>
      </w:r>
      <w:r w:rsidRPr="00AE6FBA">
        <w:rPr>
          <w:rFonts w:ascii="Palatino Linotype" w:eastAsia="Palatino Linotype" w:hAnsi="Palatino Linotype" w:cs="Palatino Linotype"/>
          <w:color w:val="000000" w:themeColor="text1"/>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 xml:space="preserve">“REVISIÓN EN AMPARO. LOS RESOLUTIVOS NO COMBATIDOS DEBEN DECLARARSE FIRMES. </w:t>
      </w:r>
      <w:r w:rsidRPr="00AE6FBA">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133026" w:rsidRPr="00AE6FBA" w:rsidRDefault="00133026" w:rsidP="00BB4038">
      <w:pPr>
        <w:spacing w:line="360" w:lineRule="auto"/>
        <w:jc w:val="both"/>
        <w:rPr>
          <w:rFonts w:ascii="Palatino Linotype" w:eastAsia="Palatino Linotype" w:hAnsi="Palatino Linotype" w:cs="Palatino Linotype"/>
          <w:b/>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color w:val="000000" w:themeColor="text1"/>
        </w:rPr>
        <w:t xml:space="preserve">Consecuentemente, se reitera que la parte de la solicitud que no fue impugnada debe declararse consentida por el </w:t>
      </w:r>
      <w:r w:rsidRPr="00AE6FBA">
        <w:rPr>
          <w:rFonts w:ascii="Palatino Linotype" w:eastAsia="Palatino Linotype" w:hAnsi="Palatino Linotype" w:cs="Palatino Linotype"/>
          <w:b/>
          <w:color w:val="000000" w:themeColor="text1"/>
        </w:rPr>
        <w:t>RECURRENTE</w:t>
      </w:r>
      <w:r w:rsidRPr="00AE6FBA">
        <w:rPr>
          <w:rFonts w:ascii="Palatino Linotype" w:eastAsia="Palatino Linotype" w:hAnsi="Palatino Linotype" w:cs="Palatino Linotype"/>
          <w:color w:val="000000" w:themeColor="text1"/>
        </w:rPr>
        <w:t xml:space="preserve">, debido a que no se realizaron </w:t>
      </w:r>
      <w:r w:rsidRPr="00AE6FBA">
        <w:rPr>
          <w:rFonts w:ascii="Palatino Linotype" w:eastAsia="Palatino Linotype" w:hAnsi="Palatino Linotype" w:cs="Palatino Linotype"/>
          <w:color w:val="000000" w:themeColor="text1"/>
        </w:rPr>
        <w:lastRenderedPageBreak/>
        <w:t>manifestaciones de inconformidad, por lo que no pueden producirse efectos jurídicos tendentes a revocar, confirmar o modificar el acto reclamado ya que se infiere un consentimiento del Recurrente</w:t>
      </w:r>
      <w:r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color w:val="000000" w:themeColor="text1"/>
        </w:rPr>
        <w:t>ante la falta de impugnación eficaz.</w:t>
      </w:r>
    </w:p>
    <w:p w:rsidR="00133026" w:rsidRPr="00AE6FBA" w:rsidRDefault="00133026" w:rsidP="00BB4038">
      <w:pPr>
        <w:spacing w:line="360" w:lineRule="auto"/>
        <w:jc w:val="both"/>
        <w:rPr>
          <w:rFonts w:ascii="Palatino Linotype" w:eastAsia="Palatino Linotype" w:hAnsi="Palatino Linotype" w:cs="Palatino Linotype"/>
          <w:b/>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color w:val="000000" w:themeColor="text1"/>
        </w:rPr>
        <w:t>Sirve de sustento a lo anterior por analogía la tesis jurisprudencial número VI.3o.C. J/60, publicada en el Semanario Judicial de la Federación y su Gaceta bajo el número de registro 176,608 que a la letra dice:</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smallCaps/>
          <w:color w:val="000000" w:themeColor="text1"/>
        </w:rPr>
        <w:t xml:space="preserve">ACTOS CONSENTIDOS. SON LOS QUE NO SE IMPUGNAN MEDIANTE EL RECURSO IDÓNEO. </w:t>
      </w:r>
      <w:r w:rsidRPr="00AE6FBA">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b/>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color w:val="000000" w:themeColor="text1"/>
        </w:rPr>
        <w:t>Para mayor abundamiento, también resulta aplicable el criterio 01/20 emitido por el Instituto Nacional de Transparencia, Acceso a la Información Pública y Protección de Datos Personales, que a la letra estipula lo siguiente:</w:t>
      </w:r>
    </w:p>
    <w:p w:rsidR="00133026" w:rsidRPr="00AE6FBA" w:rsidRDefault="00BB4038" w:rsidP="00BB4038">
      <w:pPr>
        <w:pBdr>
          <w:top w:val="nil"/>
          <w:left w:val="nil"/>
          <w:bottom w:val="nil"/>
          <w:right w:val="nil"/>
          <w:between w:val="nil"/>
        </w:pBdr>
        <w:tabs>
          <w:tab w:val="left" w:pos="8789"/>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Actos consentidos tácitamente. Improcedencia de su análisis.</w:t>
      </w:r>
      <w:r w:rsidRPr="00AE6FBA">
        <w:rPr>
          <w:rFonts w:ascii="Palatino Linotype" w:eastAsia="Palatino Linotype" w:hAnsi="Palatino Linotype" w:cs="Palatino Linotype"/>
          <w:i/>
          <w:color w:val="000000" w:themeColor="text1"/>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133026" w:rsidRPr="00AE6FBA" w:rsidRDefault="00133026" w:rsidP="00BB4038">
      <w:pPr>
        <w:spacing w:line="360" w:lineRule="auto"/>
        <w:jc w:val="both"/>
        <w:rPr>
          <w:rFonts w:ascii="Palatino Linotype" w:eastAsia="Palatino Linotype" w:hAnsi="Palatino Linotype" w:cs="Palatino Linotype"/>
          <w:b/>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color w:val="000000" w:themeColor="text1"/>
        </w:rPr>
        <w:t xml:space="preserve">De lo referido, y a efecto de garantizar el efectivo ejercicio del derecho de acceso a la información pública que asiste al </w:t>
      </w:r>
      <w:r w:rsidRPr="00AE6FBA">
        <w:rPr>
          <w:rFonts w:ascii="Palatino Linotype" w:eastAsia="Palatino Linotype" w:hAnsi="Palatino Linotype" w:cs="Palatino Linotype"/>
          <w:b/>
          <w:color w:val="000000" w:themeColor="text1"/>
        </w:rPr>
        <w:t>RECURRENTE</w:t>
      </w:r>
      <w:r w:rsidRPr="00AE6FBA">
        <w:rPr>
          <w:rFonts w:ascii="Palatino Linotype" w:eastAsia="Palatino Linotype" w:hAnsi="Palatino Linotype" w:cs="Palatino Linotype"/>
          <w:color w:val="000000" w:themeColor="text1"/>
        </w:rPr>
        <w:t xml:space="preserve">, resulta conveniente precisar que el presente análisis versará únicamente sobre lo relativo a las </w:t>
      </w:r>
      <w:r w:rsidRPr="00AE6FBA">
        <w:rPr>
          <w:rFonts w:ascii="Palatino Linotype" w:eastAsia="Palatino Linotype" w:hAnsi="Palatino Linotype" w:cs="Palatino Linotype"/>
          <w:b/>
          <w:color w:val="000000" w:themeColor="text1"/>
        </w:rPr>
        <w:t>Facturas de los costos de las obras de rehabilitación.</w:t>
      </w:r>
    </w:p>
    <w:p w:rsidR="00133026" w:rsidRPr="00AE6FBA" w:rsidRDefault="00133026" w:rsidP="00BB4038">
      <w:pPr>
        <w:spacing w:line="360" w:lineRule="auto"/>
        <w:jc w:val="both"/>
        <w:rPr>
          <w:rFonts w:ascii="Palatino Linotype" w:eastAsia="Palatino Linotype" w:hAnsi="Palatino Linotype" w:cs="Palatino Linotype"/>
          <w:b/>
          <w:color w:val="000000" w:themeColor="text1"/>
        </w:rPr>
      </w:pPr>
    </w:p>
    <w:p w:rsidR="00133026" w:rsidRPr="00AE6FBA" w:rsidRDefault="00BB4038" w:rsidP="00BB403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lastRenderedPageBreak/>
        <w:t xml:space="preserve">Al respecto el </w:t>
      </w:r>
      <w:r w:rsidRPr="00AE6FBA">
        <w:rPr>
          <w:rFonts w:ascii="Palatino Linotype" w:eastAsia="Palatino Linotype" w:hAnsi="Palatino Linotype" w:cs="Palatino Linotype"/>
          <w:b/>
          <w:color w:val="000000" w:themeColor="text1"/>
        </w:rPr>
        <w:t xml:space="preserve">SUJETO OBLIGADO, </w:t>
      </w:r>
      <w:r w:rsidRPr="00AE6FBA">
        <w:rPr>
          <w:rFonts w:ascii="Palatino Linotype" w:eastAsia="Palatino Linotype" w:hAnsi="Palatino Linotype" w:cs="Palatino Linotype"/>
          <w:color w:val="000000" w:themeColor="text1"/>
        </w:rPr>
        <w:t>mediante informe emitido por el Director de Obras Públicas, indicó que las facturas están en proceso de incorporación al expediente único de obra, argumento que tomó en consideración para no proporcionar el requerimiento solicitado por el particular.</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Al respecto, resulta necesario traer al estudio lo señalado en la Ley Orgánica Municipal que nos establece en su artículo 31, fracción XVIII, 95, fracciones I y IV y 96 BIS  fracciones IX y XX, lo siguiente:</w:t>
      </w:r>
    </w:p>
    <w:p w:rsidR="00133026" w:rsidRPr="00AE6FBA" w:rsidRDefault="00BB4038" w:rsidP="00BB4038">
      <w:pP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r w:rsidRPr="00AE6FBA">
        <w:rPr>
          <w:rFonts w:ascii="Palatino Linotype" w:eastAsia="Palatino Linotype" w:hAnsi="Palatino Linotype" w:cs="Palatino Linotype"/>
          <w:b/>
          <w:i/>
          <w:color w:val="000000" w:themeColor="text1"/>
        </w:rPr>
        <w:t>Artículo 31.-</w:t>
      </w:r>
      <w:r w:rsidRPr="00AE6FBA">
        <w:rPr>
          <w:rFonts w:ascii="Palatino Linotype" w:eastAsia="Palatino Linotype" w:hAnsi="Palatino Linotype" w:cs="Palatino Linotype"/>
          <w:i/>
          <w:color w:val="000000" w:themeColor="text1"/>
        </w:rPr>
        <w:t xml:space="preserve"> Son atribuciones de los ayuntamientos:</w:t>
      </w:r>
    </w:p>
    <w:p w:rsidR="00133026" w:rsidRPr="00AE6FBA" w:rsidRDefault="00BB4038" w:rsidP="00BB4038">
      <w:pP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p>
    <w:p w:rsidR="00133026" w:rsidRPr="00AE6FBA" w:rsidRDefault="00BB4038" w:rsidP="00BB4038">
      <w:pP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XVIII.</w:t>
      </w:r>
      <w:r w:rsidRPr="00AE6FBA">
        <w:rPr>
          <w:rFonts w:ascii="Palatino Linotype" w:eastAsia="Palatino Linotype" w:hAnsi="Palatino Linotype" w:cs="Palatino Linotype"/>
          <w:i/>
          <w:color w:val="000000" w:themeColor="text1"/>
        </w:rPr>
        <w:t xml:space="preserve"> </w:t>
      </w:r>
      <w:r w:rsidRPr="00AE6FBA">
        <w:rPr>
          <w:rFonts w:ascii="Palatino Linotype" w:eastAsia="Palatino Linotype" w:hAnsi="Palatino Linotype" w:cs="Palatino Linotype"/>
          <w:b/>
          <w:i/>
          <w:color w:val="000000" w:themeColor="text1"/>
        </w:rPr>
        <w:t>Administrar su hacienda</w:t>
      </w:r>
      <w:r w:rsidRPr="00AE6FBA">
        <w:rPr>
          <w:rFonts w:ascii="Palatino Linotype" w:eastAsia="Palatino Linotype" w:hAnsi="Palatino Linotype" w:cs="Palatino Linotype"/>
          <w:i/>
          <w:color w:val="000000" w:themeColor="text1"/>
        </w:rPr>
        <w:t xml:space="preserve"> en términos de ley, y controlar a través del presidente y síndico la aplicación del presupuesto de egresos del municipio;</w:t>
      </w:r>
    </w:p>
    <w:p w:rsidR="00133026" w:rsidRPr="00AE6FBA" w:rsidRDefault="00BB4038" w:rsidP="00BB4038">
      <w:pP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p>
    <w:p w:rsidR="00133026" w:rsidRPr="00AE6FBA" w:rsidRDefault="00BB4038" w:rsidP="00BB4038">
      <w:pP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Artículo 95.-</w:t>
      </w:r>
      <w:r w:rsidRPr="00AE6FBA">
        <w:rPr>
          <w:rFonts w:ascii="Palatino Linotype" w:eastAsia="Palatino Linotype" w:hAnsi="Palatino Linotype" w:cs="Palatino Linotype"/>
          <w:i/>
          <w:color w:val="000000" w:themeColor="text1"/>
        </w:rPr>
        <w:t xml:space="preserve"> Son atribuciones del tesorero municipal:</w:t>
      </w:r>
    </w:p>
    <w:p w:rsidR="00133026" w:rsidRPr="00AE6FBA" w:rsidRDefault="00BB4038" w:rsidP="00BB4038">
      <w:pP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I.</w:t>
      </w:r>
      <w:r w:rsidRPr="00AE6FBA">
        <w:rPr>
          <w:rFonts w:ascii="Palatino Linotype" w:eastAsia="Palatino Linotype" w:hAnsi="Palatino Linotype" w:cs="Palatino Linotype"/>
          <w:i/>
          <w:color w:val="000000" w:themeColor="text1"/>
        </w:rPr>
        <w:t xml:space="preserve"> </w:t>
      </w:r>
      <w:r w:rsidRPr="00AE6FBA">
        <w:rPr>
          <w:rFonts w:ascii="Palatino Linotype" w:eastAsia="Palatino Linotype" w:hAnsi="Palatino Linotype" w:cs="Palatino Linotype"/>
          <w:b/>
          <w:i/>
          <w:color w:val="000000" w:themeColor="text1"/>
        </w:rPr>
        <w:t>Administrar la hacienda pública municipal</w:t>
      </w:r>
      <w:r w:rsidRPr="00AE6FBA">
        <w:rPr>
          <w:rFonts w:ascii="Palatino Linotype" w:eastAsia="Palatino Linotype" w:hAnsi="Palatino Linotype" w:cs="Palatino Linotype"/>
          <w:i/>
          <w:color w:val="000000" w:themeColor="text1"/>
        </w:rPr>
        <w:t>, de conformidad con las disposiciones legales aplicables;</w:t>
      </w:r>
    </w:p>
    <w:p w:rsidR="00133026" w:rsidRPr="00AE6FBA" w:rsidRDefault="00BB4038" w:rsidP="00BB4038">
      <w:pP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p>
    <w:p w:rsidR="00133026" w:rsidRPr="00AE6FBA" w:rsidRDefault="00BB4038" w:rsidP="00BB4038">
      <w:pPr>
        <w:jc w:val="both"/>
        <w:rPr>
          <w:rFonts w:ascii="Palatino Linotype" w:eastAsia="Palatino Linotype" w:hAnsi="Palatino Linotype" w:cs="Palatino Linotype"/>
          <w:b/>
          <w:i/>
          <w:color w:val="000000" w:themeColor="text1"/>
          <w:u w:val="single"/>
        </w:rPr>
      </w:pPr>
      <w:r w:rsidRPr="00AE6FBA">
        <w:rPr>
          <w:rFonts w:ascii="Palatino Linotype" w:eastAsia="Palatino Linotype" w:hAnsi="Palatino Linotype" w:cs="Palatino Linotype"/>
          <w:b/>
          <w:i/>
          <w:color w:val="000000" w:themeColor="text1"/>
        </w:rPr>
        <w:t>IV.</w:t>
      </w:r>
      <w:r w:rsidRPr="00AE6FBA">
        <w:rPr>
          <w:rFonts w:ascii="Palatino Linotype" w:eastAsia="Palatino Linotype" w:hAnsi="Palatino Linotype" w:cs="Palatino Linotype"/>
          <w:i/>
          <w:color w:val="000000" w:themeColor="text1"/>
        </w:rPr>
        <w:t xml:space="preserve"> </w:t>
      </w:r>
      <w:r w:rsidRPr="00AE6FBA">
        <w:rPr>
          <w:rFonts w:ascii="Palatino Linotype" w:eastAsia="Palatino Linotype" w:hAnsi="Palatino Linotype" w:cs="Palatino Linotype"/>
          <w:b/>
          <w:i/>
          <w:color w:val="000000" w:themeColor="text1"/>
          <w:u w:val="single"/>
        </w:rPr>
        <w:t>Llevar los registros contables, financieros y administrativos de los ingresos, egresos, e inventarios;”</w:t>
      </w:r>
    </w:p>
    <w:p w:rsidR="00133026" w:rsidRPr="00AE6FBA" w:rsidRDefault="00133026" w:rsidP="00BB4038">
      <w:pPr>
        <w:jc w:val="both"/>
        <w:rPr>
          <w:rFonts w:ascii="Palatino Linotype" w:eastAsia="Palatino Linotype" w:hAnsi="Palatino Linotype" w:cs="Palatino Linotype"/>
          <w:b/>
          <w:i/>
          <w:color w:val="000000" w:themeColor="text1"/>
          <w:u w:val="single"/>
        </w:rPr>
      </w:pPr>
    </w:p>
    <w:p w:rsidR="00133026" w:rsidRPr="00AE6FBA" w:rsidRDefault="00BB4038" w:rsidP="00BB4038">
      <w:pP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Artículo 96. Bis.-</w:t>
      </w:r>
      <w:r w:rsidRPr="00AE6FBA">
        <w:rPr>
          <w:rFonts w:ascii="Palatino Linotype" w:eastAsia="Palatino Linotype" w:hAnsi="Palatino Linotype" w:cs="Palatino Linotype"/>
          <w:i/>
          <w:color w:val="000000" w:themeColor="text1"/>
        </w:rPr>
        <w:t xml:space="preserve"> El Director de Obras Públicas o el Titular de la Unidad Administrativa equivalente, tiene las siguientes atribuciones:</w:t>
      </w:r>
    </w:p>
    <w:p w:rsidR="00133026" w:rsidRPr="00AE6FBA" w:rsidRDefault="00133026" w:rsidP="00BB4038">
      <w:pPr>
        <w:jc w:val="both"/>
        <w:rPr>
          <w:rFonts w:ascii="Palatino Linotype" w:eastAsia="Palatino Linotype" w:hAnsi="Palatino Linotype" w:cs="Palatino Linotype"/>
          <w:b/>
          <w:i/>
          <w:color w:val="000000" w:themeColor="text1"/>
          <w:u w:val="single"/>
        </w:rPr>
      </w:pPr>
    </w:p>
    <w:p w:rsidR="00133026" w:rsidRPr="00AE6FBA" w:rsidRDefault="00BB4038" w:rsidP="00BB4038">
      <w:pPr>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t>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p>
    <w:p w:rsidR="00133026" w:rsidRPr="00AE6FBA" w:rsidRDefault="00133026" w:rsidP="00BB4038">
      <w:pPr>
        <w:jc w:val="both"/>
        <w:rPr>
          <w:rFonts w:ascii="Palatino Linotype" w:eastAsia="Palatino Linotype" w:hAnsi="Palatino Linotype" w:cs="Palatino Linotype"/>
          <w:b/>
          <w:i/>
          <w:color w:val="000000" w:themeColor="text1"/>
        </w:rPr>
      </w:pPr>
    </w:p>
    <w:p w:rsidR="00133026" w:rsidRPr="00AE6FBA" w:rsidRDefault="00BB4038" w:rsidP="00BB4038">
      <w:pPr>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t>XX. Autorizar para su pago, previa validación del avance y calidad de las obras, los presupuestos y estimaciones que presenten los contratistas de obras públicas municipales;</w:t>
      </w:r>
    </w:p>
    <w:p w:rsidR="00133026" w:rsidRPr="00AE6FBA" w:rsidRDefault="00BB4038" w:rsidP="00BB4038">
      <w:pP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lastRenderedPageBreak/>
        <w:t>(Énfasis añadido)</w:t>
      </w:r>
    </w:p>
    <w:p w:rsidR="00133026" w:rsidRPr="00AE6FBA" w:rsidRDefault="00133026" w:rsidP="00BB4038">
      <w:pP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Con lo antes descrito, se advierte que los Ayuntamientos, tienen la atribución de administrar de manera libre su hacienda; así como controlar la aplicación de sus presupuestos de egresos aprobados, siendo una atribución del </w:t>
      </w:r>
      <w:r w:rsidRPr="00AE6FBA">
        <w:rPr>
          <w:rFonts w:ascii="Palatino Linotype" w:eastAsia="Palatino Linotype" w:hAnsi="Palatino Linotype" w:cs="Palatino Linotype"/>
          <w:b/>
          <w:color w:val="000000" w:themeColor="text1"/>
        </w:rPr>
        <w:t>Tesorero Municipal</w:t>
      </w:r>
      <w:r w:rsidRPr="00AE6FBA">
        <w:rPr>
          <w:rFonts w:ascii="Palatino Linotype" w:eastAsia="Palatino Linotype" w:hAnsi="Palatino Linotype" w:cs="Palatino Linotype"/>
          <w:color w:val="000000" w:themeColor="text1"/>
        </w:rPr>
        <w:t xml:space="preserve"> llevar los registros financieros, contables y administrativos de los ingresos, egresos e inventarios, así como administrar de manera coordinada con el Director de Obras Públicas la planeación, programación, presupuestación, contratación y adjudicación de la obra pública.</w:t>
      </w:r>
    </w:p>
    <w:p w:rsidR="00133026" w:rsidRPr="00AE6FBA" w:rsidRDefault="00133026" w:rsidP="00BB4038">
      <w:pP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En ese orden de ideas el Bando Municipal de Atlacomulco nos refiere que para el adecuado funcionamiento de la administración pública contará con las siguientes Unidades Administrativas:</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1. Presidencia Municipal.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1.5. Unidad de Transparencia.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2. Secretaría del Ayuntamiento.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b/>
          <w:i/>
          <w:color w:val="000000" w:themeColor="text1"/>
          <w:u w:val="single"/>
        </w:rPr>
      </w:pPr>
      <w:r w:rsidRPr="00AE6FBA">
        <w:rPr>
          <w:rFonts w:ascii="Palatino Linotype" w:eastAsia="Palatino Linotype" w:hAnsi="Palatino Linotype" w:cs="Palatino Linotype"/>
          <w:b/>
          <w:i/>
          <w:color w:val="000000" w:themeColor="text1"/>
          <w:u w:val="single"/>
        </w:rPr>
        <w:t xml:space="preserve">3. Tesorería Municipal.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b/>
          <w:i/>
          <w:color w:val="000000" w:themeColor="text1"/>
          <w:u w:val="single"/>
        </w:rPr>
      </w:pPr>
      <w:r w:rsidRPr="00AE6FBA">
        <w:rPr>
          <w:rFonts w:ascii="Palatino Linotype" w:eastAsia="Palatino Linotype" w:hAnsi="Palatino Linotype" w:cs="Palatino Linotype"/>
          <w:b/>
          <w:i/>
          <w:color w:val="000000" w:themeColor="text1"/>
          <w:u w:val="single"/>
        </w:rPr>
        <w:t xml:space="preserve">3.1. Subtesorería de Ingresos.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b/>
          <w:i/>
          <w:color w:val="000000" w:themeColor="text1"/>
          <w:u w:val="single"/>
        </w:rPr>
      </w:pPr>
      <w:r w:rsidRPr="00AE6FBA">
        <w:rPr>
          <w:rFonts w:ascii="Palatino Linotype" w:eastAsia="Palatino Linotype" w:hAnsi="Palatino Linotype" w:cs="Palatino Linotype"/>
          <w:b/>
          <w:i/>
          <w:color w:val="000000" w:themeColor="text1"/>
          <w:u w:val="single"/>
        </w:rPr>
        <w:t xml:space="preserve">3.1.1. Coordinación de Fiscalización.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b/>
          <w:i/>
          <w:color w:val="000000" w:themeColor="text1"/>
          <w:u w:val="single"/>
        </w:rPr>
      </w:pPr>
      <w:r w:rsidRPr="00AE6FBA">
        <w:rPr>
          <w:rFonts w:ascii="Palatino Linotype" w:eastAsia="Palatino Linotype" w:hAnsi="Palatino Linotype" w:cs="Palatino Linotype"/>
          <w:b/>
          <w:i/>
          <w:color w:val="000000" w:themeColor="text1"/>
          <w:u w:val="single"/>
        </w:rPr>
        <w:t xml:space="preserve">3.2. Subtesorería de Egresos, Presupuesto, Contabilidad y Cuenta Pública.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b/>
          <w:i/>
          <w:color w:val="000000" w:themeColor="text1"/>
          <w:u w:val="single"/>
        </w:rPr>
      </w:pPr>
      <w:r w:rsidRPr="00AE6FBA">
        <w:rPr>
          <w:rFonts w:ascii="Palatino Linotype" w:eastAsia="Palatino Linotype" w:hAnsi="Palatino Linotype" w:cs="Palatino Linotype"/>
          <w:b/>
          <w:i/>
          <w:color w:val="000000" w:themeColor="text1"/>
          <w:u w:val="single"/>
        </w:rPr>
        <w:t xml:space="preserve">3.2.1. Coordinación de Programas Especiales.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3.2.2. Coordinación de Nómina.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3.3. Departamento de Catastro.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4. Dirección de Asuntos Jurídicos.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5. Unidad de Información, Planeación, Programación y Evaluación.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b/>
          <w:i/>
          <w:color w:val="000000" w:themeColor="text1"/>
          <w:u w:val="single"/>
        </w:rPr>
      </w:pPr>
      <w:r w:rsidRPr="00AE6FBA">
        <w:rPr>
          <w:rFonts w:ascii="Palatino Linotype" w:eastAsia="Palatino Linotype" w:hAnsi="Palatino Linotype" w:cs="Palatino Linotype"/>
          <w:b/>
          <w:i/>
          <w:color w:val="000000" w:themeColor="text1"/>
          <w:u w:val="single"/>
        </w:rPr>
        <w:t xml:space="preserve">6. Dirección de Administración.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b/>
          <w:i/>
          <w:color w:val="000000" w:themeColor="text1"/>
          <w:u w:val="single"/>
        </w:rPr>
      </w:pPr>
      <w:r w:rsidRPr="00AE6FBA">
        <w:rPr>
          <w:rFonts w:ascii="Palatino Linotype" w:eastAsia="Palatino Linotype" w:hAnsi="Palatino Linotype" w:cs="Palatino Linotype"/>
          <w:b/>
          <w:i/>
          <w:color w:val="000000" w:themeColor="text1"/>
          <w:u w:val="single"/>
        </w:rPr>
        <w:t xml:space="preserve">6.1. Departamento de Recursos Materiales y Adquisiciones.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7. Dirección de Servicios Públicos.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b/>
          <w:i/>
          <w:color w:val="000000" w:themeColor="text1"/>
          <w:u w:val="single"/>
        </w:rPr>
      </w:pPr>
      <w:r w:rsidRPr="00AE6FBA">
        <w:rPr>
          <w:rFonts w:ascii="Palatino Linotype" w:eastAsia="Palatino Linotype" w:hAnsi="Palatino Linotype" w:cs="Palatino Linotype"/>
          <w:b/>
          <w:i/>
          <w:color w:val="000000" w:themeColor="text1"/>
          <w:u w:val="single"/>
        </w:rPr>
        <w:lastRenderedPageBreak/>
        <w:t xml:space="preserve">8. Dirección de Obras Públicas.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b/>
          <w:i/>
          <w:color w:val="000000" w:themeColor="text1"/>
          <w:u w:val="single"/>
        </w:rPr>
      </w:pPr>
      <w:r w:rsidRPr="00AE6FBA">
        <w:rPr>
          <w:rFonts w:ascii="Palatino Linotype" w:eastAsia="Palatino Linotype" w:hAnsi="Palatino Linotype" w:cs="Palatino Linotype"/>
          <w:b/>
          <w:i/>
          <w:color w:val="000000" w:themeColor="text1"/>
          <w:u w:val="single"/>
        </w:rPr>
        <w:t xml:space="preserve">8.1. Subdirección de Obras Públicas.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b/>
          <w:i/>
          <w:color w:val="000000" w:themeColor="text1"/>
          <w:u w:val="single"/>
        </w:rPr>
      </w:pPr>
      <w:r w:rsidRPr="00AE6FBA">
        <w:rPr>
          <w:rFonts w:ascii="Palatino Linotype" w:eastAsia="Palatino Linotype" w:hAnsi="Palatino Linotype" w:cs="Palatino Linotype"/>
          <w:b/>
          <w:i/>
          <w:color w:val="000000" w:themeColor="text1"/>
          <w:u w:val="single"/>
        </w:rPr>
        <w:t xml:space="preserve">8.1.1. Coordinación de Licitaciones y Contratos.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b/>
          <w:i/>
          <w:color w:val="000000" w:themeColor="text1"/>
          <w:u w:val="single"/>
        </w:rPr>
      </w:pPr>
      <w:r w:rsidRPr="00AE6FBA">
        <w:rPr>
          <w:rFonts w:ascii="Palatino Linotype" w:eastAsia="Palatino Linotype" w:hAnsi="Palatino Linotype" w:cs="Palatino Linotype"/>
          <w:b/>
          <w:i/>
          <w:color w:val="000000" w:themeColor="text1"/>
          <w:u w:val="single"/>
        </w:rPr>
        <w:t xml:space="preserve">8.1.2. Coordinación de Supervisión y Proyectos.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8.1.3. Coordinación del Banco de Tezontle. </w:t>
      </w:r>
    </w:p>
    <w:p w:rsidR="00133026" w:rsidRPr="00AE6FBA" w:rsidRDefault="00BB4038" w:rsidP="00BB4038">
      <w:pPr>
        <w:pBdr>
          <w:top w:val="nil"/>
          <w:left w:val="nil"/>
          <w:bottom w:val="nil"/>
          <w:right w:val="nil"/>
          <w:between w:val="nil"/>
        </w:pBdr>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Al respecto, los artículos 76, 78 y 80 y  del mismo ordenamiento legal, nos establece las atribuciones de la Unidades Administrativas que de acuerdo a sus funciones pudieran contar con la información de la que se duele el particular, por lo que resulta necesario traerlos a contexto, los cuales a la letra rezan: </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Artículo 76. La Tesorería Municipal</w:t>
      </w:r>
      <w:r w:rsidRPr="00AE6FBA">
        <w:rPr>
          <w:rFonts w:ascii="Palatino Linotype" w:eastAsia="Palatino Linotype" w:hAnsi="Palatino Linotype" w:cs="Palatino Linotype"/>
          <w:i/>
          <w:color w:val="000000" w:themeColor="text1"/>
        </w:rPr>
        <w:t>, es el órgano encargado de la recaudación de los ingresos municipales y r</w:t>
      </w:r>
      <w:r w:rsidRPr="00AE6FBA">
        <w:rPr>
          <w:rFonts w:ascii="Palatino Linotype" w:eastAsia="Palatino Linotype" w:hAnsi="Palatino Linotype" w:cs="Palatino Linotype"/>
          <w:b/>
          <w:i/>
          <w:color w:val="000000" w:themeColor="text1"/>
        </w:rPr>
        <w:t>esponsable de realizar las erogaciones que haga el ayuntamiento.</w:t>
      </w:r>
      <w:r w:rsidRPr="00AE6FBA">
        <w:rPr>
          <w:rFonts w:ascii="Palatino Linotype" w:eastAsia="Palatino Linotype" w:hAnsi="Palatino Linotype" w:cs="Palatino Linotype"/>
          <w:i/>
          <w:color w:val="000000" w:themeColor="text1"/>
        </w:rPr>
        <w:t xml:space="preserve"> Las atribuciones de la Tesorería se encuentras establecidas en el artículo 95 de la Ley Orgánica Municipal.</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Artículo 78. La Dirección de Administración</w:t>
      </w:r>
      <w:r w:rsidRPr="00AE6FBA">
        <w:rPr>
          <w:rFonts w:ascii="Palatino Linotype" w:eastAsia="Palatino Linotype" w:hAnsi="Palatino Linotype" w:cs="Palatino Linotype"/>
          <w:i/>
          <w:color w:val="000000" w:themeColor="text1"/>
        </w:rPr>
        <w:t xml:space="preserve">, es la dependencia encargada de prestar el apoyo administrativo que requiera la administración pública municipal; vigilar el cumplimiento de las disposiciones legales que rijan las relaciones entre el Gobierno Municipal y los servidores públicos; así como </w:t>
      </w:r>
      <w:r w:rsidRPr="00AE6FBA">
        <w:rPr>
          <w:rFonts w:ascii="Palatino Linotype" w:eastAsia="Palatino Linotype" w:hAnsi="Palatino Linotype" w:cs="Palatino Linotype"/>
          <w:b/>
          <w:i/>
          <w:color w:val="000000" w:themeColor="text1"/>
        </w:rPr>
        <w:t xml:space="preserve">dotar de todos los elementos materiales </w:t>
      </w:r>
      <w:r w:rsidRPr="00AE6FBA">
        <w:rPr>
          <w:rFonts w:ascii="Palatino Linotype" w:eastAsia="Palatino Linotype" w:hAnsi="Palatino Linotype" w:cs="Palatino Linotype"/>
          <w:i/>
          <w:color w:val="000000" w:themeColor="text1"/>
        </w:rPr>
        <w:t xml:space="preserve">y humanos </w:t>
      </w:r>
      <w:r w:rsidRPr="00AE6FBA">
        <w:rPr>
          <w:rFonts w:ascii="Palatino Linotype" w:eastAsia="Palatino Linotype" w:hAnsi="Palatino Linotype" w:cs="Palatino Linotype"/>
          <w:b/>
          <w:i/>
          <w:color w:val="000000" w:themeColor="text1"/>
        </w:rPr>
        <w:t>que requieran las dependencias de la administración pública para el adecuado funcionamiento</w:t>
      </w:r>
      <w:r w:rsidRPr="00AE6FBA">
        <w:rPr>
          <w:rFonts w:ascii="Palatino Linotype" w:eastAsia="Palatino Linotype" w:hAnsi="Palatino Linotype" w:cs="Palatino Linotype"/>
          <w:i/>
          <w:color w:val="000000" w:themeColor="text1"/>
        </w:rPr>
        <w:t>. Las atribuciones de la Dirección, se encuentran establecidas en el Reglamento Interno de la Administración Pública de Atlacomulco, México.</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Artículo 80. La Dirección de Obras Públicas, es la dependencia encargada de Planear y coordinar los proyectos de obras públicas y servicios relacionados con las mismas que autorice el Ayuntamiento</w:t>
      </w:r>
      <w:r w:rsidRPr="00AE6FBA">
        <w:rPr>
          <w:rFonts w:ascii="Palatino Linotype" w:eastAsia="Palatino Linotype" w:hAnsi="Palatino Linotype" w:cs="Palatino Linotype"/>
          <w:i/>
          <w:color w:val="000000" w:themeColor="text1"/>
        </w:rPr>
        <w:t>, una vez que se cumplan los requisitos de licitación y otros que determine la ley de la materia. Las atribuciones de la Dirección, se encuentran establecidas en el artículo 96 Bis de la Ley Orgánica Municipal.</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lastRenderedPageBreak/>
        <w:t>En ese orden de ideas el Manual de Organización de la Tesorería Municipal, nos establece como atribuciones del Tesorero Municipal, los siguientes:</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Emitir, en coordinación con la Dirección de Administración y la Contraloría Municipal, disposiciones para garantizar que el uso de los bienes y recursos municipales se lleve a cabo bajo los principios de racionalidad, austeridad y disciplina presupuestal;</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Mantener un control en la entrega de Informes Mensuales y la Cuenta Pública, a fin de que éstos se presenten conforme a lo establecido, verificando que se hayan realizado con base en las disposiciones contenidas en la Ley de Fiscalización Superior del Estado de México; </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Ejercer el presupuesto de egresos autorizado para la dependencia o entidad a su cargo con apego a los programas y metas establecidas y la calendarización del gasto siguiendo criterios de austeridad, disciplina y transparencia;</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De igual manera, el Manual de Organización de la Dirección de Administración, nos refiere que el Director, cuantas con las siguientes atribuciones:</w:t>
      </w:r>
    </w:p>
    <w:p w:rsidR="00133026" w:rsidRPr="00AE6FBA" w:rsidRDefault="00BB4038" w:rsidP="00BB4038">
      <w:pPr>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i/>
          <w:color w:val="000000" w:themeColor="text1"/>
        </w:rPr>
        <w:t>Establecer políticas y procedimientos para el adecuado manejo, control y optimización de los recursos humanos, materiales, técnicos e informáticos de la administración municipal;</w:t>
      </w:r>
    </w:p>
    <w:p w:rsidR="00133026" w:rsidRPr="00AE6FBA" w:rsidRDefault="00133026" w:rsidP="00BB4038">
      <w:pPr>
        <w:jc w:val="both"/>
        <w:rPr>
          <w:rFonts w:ascii="Palatino Linotype" w:eastAsia="Palatino Linotype" w:hAnsi="Palatino Linotype" w:cs="Palatino Linotype"/>
          <w:b/>
          <w:i/>
          <w:color w:val="000000" w:themeColor="text1"/>
        </w:rPr>
      </w:pPr>
    </w:p>
    <w:p w:rsidR="00133026" w:rsidRPr="00AE6FBA" w:rsidRDefault="00BB4038" w:rsidP="00BB4038">
      <w:pPr>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t>Coordinar la adquisición de bienes y servicios mediante los procedimientos establecidos en la normatividad aplicable;</w:t>
      </w:r>
    </w:p>
    <w:p w:rsidR="00133026" w:rsidRPr="00AE6FBA" w:rsidRDefault="00133026" w:rsidP="00BB4038">
      <w:pPr>
        <w:jc w:val="both"/>
        <w:rPr>
          <w:rFonts w:ascii="Palatino Linotype" w:eastAsia="Palatino Linotype" w:hAnsi="Palatino Linotype" w:cs="Palatino Linotype"/>
          <w:b/>
          <w:i/>
          <w:color w:val="000000" w:themeColor="text1"/>
        </w:rPr>
      </w:pPr>
    </w:p>
    <w:p w:rsidR="00133026" w:rsidRPr="00AE6FBA" w:rsidRDefault="00BB4038" w:rsidP="00BB4038">
      <w:pP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r w:rsidRPr="00AE6FBA">
        <w:rPr>
          <w:rFonts w:ascii="Palatino Linotype" w:eastAsia="Palatino Linotype" w:hAnsi="Palatino Linotype" w:cs="Palatino Linotype"/>
          <w:b/>
          <w:i/>
          <w:color w:val="000000" w:themeColor="text1"/>
        </w:rPr>
        <w:t>Autorizar todos los trámites administrativos</w:t>
      </w:r>
      <w:r w:rsidRPr="00AE6FBA">
        <w:rPr>
          <w:rFonts w:ascii="Palatino Linotype" w:eastAsia="Palatino Linotype" w:hAnsi="Palatino Linotype" w:cs="Palatino Linotype"/>
          <w:i/>
          <w:color w:val="000000" w:themeColor="text1"/>
        </w:rPr>
        <w:t xml:space="preserve"> en lo referente a recursos humanos, </w:t>
      </w:r>
      <w:r w:rsidRPr="00AE6FBA">
        <w:rPr>
          <w:rFonts w:ascii="Palatino Linotype" w:eastAsia="Palatino Linotype" w:hAnsi="Palatino Linotype" w:cs="Palatino Linotype"/>
          <w:b/>
          <w:i/>
          <w:color w:val="000000" w:themeColor="text1"/>
        </w:rPr>
        <w:t>adquisiciones</w:t>
      </w:r>
      <w:r w:rsidRPr="00AE6FBA">
        <w:rPr>
          <w:rFonts w:ascii="Palatino Linotype" w:eastAsia="Palatino Linotype" w:hAnsi="Palatino Linotype" w:cs="Palatino Linotype"/>
          <w:i/>
          <w:color w:val="000000" w:themeColor="text1"/>
        </w:rPr>
        <w:t xml:space="preserve"> y tecnologías de la información;</w:t>
      </w:r>
    </w:p>
    <w:p w:rsidR="00133026" w:rsidRPr="00AE6FBA" w:rsidRDefault="00133026" w:rsidP="00BB4038">
      <w:pPr>
        <w:jc w:val="both"/>
        <w:rPr>
          <w:rFonts w:ascii="Palatino Linotype" w:eastAsia="Palatino Linotype" w:hAnsi="Palatino Linotype" w:cs="Palatino Linotype"/>
          <w:i/>
          <w:color w:val="000000" w:themeColor="text1"/>
        </w:rPr>
      </w:pPr>
    </w:p>
    <w:p w:rsidR="00133026" w:rsidRPr="00AE6FBA" w:rsidRDefault="00BB4038" w:rsidP="00BB4038">
      <w:pPr>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i/>
          <w:color w:val="000000" w:themeColor="text1"/>
        </w:rPr>
        <w:t>Establecer y controlar el Comité de Adquisiciones, Arrendamientos y Servicios;</w:t>
      </w:r>
    </w:p>
    <w:p w:rsidR="00133026" w:rsidRPr="00AE6FBA" w:rsidRDefault="00133026" w:rsidP="00BB4038">
      <w:pPr>
        <w:jc w:val="both"/>
        <w:rPr>
          <w:rFonts w:ascii="Palatino Linotype" w:eastAsia="Palatino Linotype" w:hAnsi="Palatino Linotype" w:cs="Palatino Linotype"/>
          <w:b/>
          <w:i/>
          <w:color w:val="000000" w:themeColor="text1"/>
        </w:rPr>
      </w:pPr>
    </w:p>
    <w:p w:rsidR="00133026" w:rsidRPr="00AE6FBA" w:rsidRDefault="00BB4038" w:rsidP="00BB4038">
      <w:pP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Organizar y autorizar procedimientos de adquisiciones y contratación de servicios, arrendamiento de inmuebles, así como enajenación y subasta de bienes de una manera eficiente y transparente, apegados a la normatividad correspondiente;</w:t>
      </w:r>
    </w:p>
    <w:p w:rsidR="00133026" w:rsidRPr="00AE6FBA" w:rsidRDefault="00133026" w:rsidP="00BB4038">
      <w:pPr>
        <w:jc w:val="both"/>
        <w:rPr>
          <w:rFonts w:ascii="Palatino Linotype" w:eastAsia="Palatino Linotype" w:hAnsi="Palatino Linotype" w:cs="Palatino Linotype"/>
          <w:i/>
          <w:color w:val="000000" w:themeColor="text1"/>
        </w:rPr>
      </w:pPr>
    </w:p>
    <w:p w:rsidR="00133026" w:rsidRPr="00AE6FBA" w:rsidRDefault="00BB4038" w:rsidP="00BB4038">
      <w:pPr>
        <w:jc w:val="both"/>
        <w:rPr>
          <w:rFonts w:ascii="Palatino Linotype" w:eastAsia="Palatino Linotype" w:hAnsi="Palatino Linotype" w:cs="Palatino Linotype"/>
          <w:b/>
          <w:i/>
          <w:color w:val="000000" w:themeColor="text1"/>
          <w:u w:val="single"/>
        </w:rPr>
      </w:pPr>
      <w:r w:rsidRPr="00AE6FBA">
        <w:rPr>
          <w:rFonts w:ascii="Palatino Linotype" w:eastAsia="Palatino Linotype" w:hAnsi="Palatino Linotype" w:cs="Palatino Linotype"/>
          <w:b/>
          <w:i/>
          <w:color w:val="000000" w:themeColor="text1"/>
          <w:u w:val="single"/>
        </w:rPr>
        <w:t>Gestionar ante la Tesorería Municipal el trámite relativo al pago de proveedores o proveedoras y prestadores o prestadoras de servicio, derivados del ejercicio del Presupuesto Anual de Egresos autorizado;</w:t>
      </w: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lastRenderedPageBreak/>
        <w:t xml:space="preserve">Con lo antes descrito se advierte que además de la Dirección de Obras Públicas, existen diversas áreas que de acuerdo a sus atribuciones pudieran contar con la información que se solicita, como lo son, Tesorería Municipal y la Dirección de Administración; sin embargo solo se limitaron a realizar el requerimiento a la Dirección de Obras Públicas, ya que del expediente electrónico en que se actúa no se advierte que el requerimiento se haya turnado a las áreas antes descritas, mismas que pudieran generar, poseer y/o administrar la información solicitada, por tanto no se acredita la búsqueda exhaustiva, exigida por la ley de la materia. </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AE6FBA">
        <w:rPr>
          <w:rFonts w:ascii="Palatino Linotype" w:eastAsia="Palatino Linotype" w:hAnsi="Palatino Linotype" w:cs="Palatino Linotype"/>
          <w:color w:val="000000" w:themeColor="text1"/>
          <w:vertAlign w:val="superscript"/>
        </w:rPr>
        <w:footnoteReference w:id="5"/>
      </w:r>
      <w:r w:rsidRPr="00AE6FBA">
        <w:rPr>
          <w:rFonts w:ascii="Palatino Linotype" w:eastAsia="Palatino Linotype" w:hAnsi="Palatino Linotype" w:cs="Palatino Linotype"/>
          <w:color w:val="000000" w:themeColor="text1"/>
        </w:rPr>
        <w:t xml:space="preserve">,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w:t>
      </w:r>
      <w:r w:rsidRPr="00AE6FBA">
        <w:rPr>
          <w:rFonts w:ascii="Palatino Linotype" w:eastAsia="Palatino Linotype" w:hAnsi="Palatino Linotype" w:cs="Palatino Linotype"/>
          <w:color w:val="000000" w:themeColor="text1"/>
        </w:rPr>
        <w:lastRenderedPageBreak/>
        <w:t>solicitudes de información</w:t>
      </w:r>
      <w:r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AE6FBA">
        <w:rPr>
          <w:rFonts w:ascii="Palatino Linotype" w:eastAsia="Palatino Linotype" w:hAnsi="Palatino Linotype" w:cs="Palatino Linotype"/>
          <w:color w:val="000000" w:themeColor="text1"/>
          <w:vertAlign w:val="superscript"/>
        </w:rPr>
        <w:footnoteReference w:id="6"/>
      </w:r>
      <w:r w:rsidRPr="00AE6FBA">
        <w:rPr>
          <w:rFonts w:ascii="Palatino Linotype" w:eastAsia="Palatino Linotype" w:hAnsi="Palatino Linotype" w:cs="Palatino Linotype"/>
          <w:color w:val="000000" w:themeColor="text1"/>
        </w:rPr>
        <w:t>.</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133026" w:rsidRPr="00AE6FBA" w:rsidRDefault="00BB4038" w:rsidP="00BB4038">
      <w:pPr>
        <w:numPr>
          <w:ilvl w:val="1"/>
          <w:numId w:val="5"/>
        </w:numPr>
        <w:pBdr>
          <w:top w:val="nil"/>
          <w:left w:val="nil"/>
          <w:bottom w:val="nil"/>
          <w:right w:val="nil"/>
          <w:between w:val="nil"/>
        </w:pBdr>
        <w:ind w:left="0" w:hanging="142"/>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Recibir, tramitar y dar respuesta a las solicitudes de acceso a la información;</w:t>
      </w:r>
    </w:p>
    <w:p w:rsidR="00133026" w:rsidRPr="00AE6FBA" w:rsidRDefault="00BB4038" w:rsidP="00BB4038">
      <w:pPr>
        <w:numPr>
          <w:ilvl w:val="1"/>
          <w:numId w:val="5"/>
        </w:numPr>
        <w:pBdr>
          <w:top w:val="nil"/>
          <w:left w:val="nil"/>
          <w:bottom w:val="nil"/>
          <w:right w:val="nil"/>
          <w:between w:val="nil"/>
        </w:pBdr>
        <w:ind w:left="0" w:hanging="142"/>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133026" w:rsidRPr="00AE6FBA" w:rsidRDefault="00BB4038" w:rsidP="00BB4038">
      <w:pPr>
        <w:numPr>
          <w:ilvl w:val="1"/>
          <w:numId w:val="5"/>
        </w:numPr>
        <w:pBdr>
          <w:top w:val="nil"/>
          <w:left w:val="nil"/>
          <w:bottom w:val="nil"/>
          <w:right w:val="nil"/>
          <w:between w:val="nil"/>
        </w:pBdr>
        <w:ind w:left="0" w:hanging="142"/>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Entregar, en su caso, a los particulares la información solicitada; y </w:t>
      </w:r>
    </w:p>
    <w:p w:rsidR="00133026" w:rsidRPr="00AE6FBA" w:rsidRDefault="00BB4038" w:rsidP="00BB4038">
      <w:pPr>
        <w:numPr>
          <w:ilvl w:val="1"/>
          <w:numId w:val="5"/>
        </w:numPr>
        <w:pBdr>
          <w:top w:val="nil"/>
          <w:left w:val="nil"/>
          <w:bottom w:val="nil"/>
          <w:right w:val="nil"/>
          <w:between w:val="nil"/>
        </w:pBdr>
        <w:spacing w:after="240"/>
        <w:ind w:left="0" w:hanging="142"/>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Efectuar las notificaciones a los solicitantes.</w:t>
      </w:r>
    </w:p>
    <w:p w:rsidR="00133026" w:rsidRPr="00AE6FBA" w:rsidRDefault="00133026" w:rsidP="00BB4038">
      <w:pPr>
        <w:spacing w:before="240" w:after="240"/>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AE6FBA">
        <w:rPr>
          <w:rFonts w:ascii="Palatino Linotype" w:eastAsia="Palatino Linotype" w:hAnsi="Palatino Linotype" w:cs="Palatino Linotype"/>
          <w:b/>
          <w:color w:val="000000" w:themeColor="text1"/>
        </w:rPr>
        <w:t xml:space="preserve">SUJETO OBLIGADO </w:t>
      </w:r>
      <w:r w:rsidRPr="00AE6FBA">
        <w:rPr>
          <w:rFonts w:ascii="Palatino Linotype" w:eastAsia="Palatino Linotype" w:hAnsi="Palatino Linotype" w:cs="Palatino Linotype"/>
          <w:color w:val="000000" w:themeColor="text1"/>
        </w:rPr>
        <w:t>a propuesta del responsable de la Unidad de Transparencia</w:t>
      </w:r>
      <w:r w:rsidRPr="00AE6FBA">
        <w:rPr>
          <w:rFonts w:ascii="Palatino Linotype" w:eastAsia="Palatino Linotype" w:hAnsi="Palatino Linotype" w:cs="Palatino Linotype"/>
          <w:color w:val="000000" w:themeColor="text1"/>
          <w:vertAlign w:val="superscript"/>
        </w:rPr>
        <w:footnoteReference w:id="7"/>
      </w:r>
      <w:r w:rsidRPr="00AE6FBA">
        <w:rPr>
          <w:rFonts w:ascii="Palatino Linotype" w:eastAsia="Palatino Linotype" w:hAnsi="Palatino Linotype" w:cs="Palatino Linotype"/>
          <w:color w:val="000000" w:themeColor="text1"/>
        </w:rPr>
        <w:t xml:space="preserve"> y tendrán, entre sus atribuciones, las siguientes</w:t>
      </w:r>
      <w:r w:rsidRPr="00AE6FBA">
        <w:rPr>
          <w:rFonts w:ascii="Palatino Linotype" w:eastAsia="Palatino Linotype" w:hAnsi="Palatino Linotype" w:cs="Palatino Linotype"/>
          <w:color w:val="000000" w:themeColor="text1"/>
          <w:vertAlign w:val="superscript"/>
        </w:rPr>
        <w:footnoteReference w:id="8"/>
      </w:r>
      <w:r w:rsidRPr="00AE6FBA">
        <w:rPr>
          <w:rFonts w:ascii="Palatino Linotype" w:eastAsia="Palatino Linotype" w:hAnsi="Palatino Linotype" w:cs="Palatino Linotype"/>
          <w:color w:val="000000" w:themeColor="text1"/>
        </w:rPr>
        <w:t>:</w:t>
      </w:r>
    </w:p>
    <w:p w:rsidR="00133026" w:rsidRPr="00AE6FBA" w:rsidRDefault="00BB4038" w:rsidP="00BB4038">
      <w:pPr>
        <w:numPr>
          <w:ilvl w:val="1"/>
          <w:numId w:val="6"/>
        </w:numPr>
        <w:pBdr>
          <w:top w:val="nil"/>
          <w:left w:val="nil"/>
          <w:bottom w:val="nil"/>
          <w:right w:val="nil"/>
          <w:between w:val="nil"/>
        </w:pBdr>
        <w:spacing w:before="240"/>
        <w:ind w:left="0" w:hanging="142"/>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Localizar la información que le solicite la Unidad de Transparencia; y</w:t>
      </w:r>
    </w:p>
    <w:p w:rsidR="00133026" w:rsidRPr="00AE6FBA" w:rsidRDefault="00BB4038" w:rsidP="00BB4038">
      <w:pPr>
        <w:numPr>
          <w:ilvl w:val="1"/>
          <w:numId w:val="6"/>
        </w:numPr>
        <w:pBdr>
          <w:top w:val="nil"/>
          <w:left w:val="nil"/>
          <w:bottom w:val="nil"/>
          <w:right w:val="nil"/>
          <w:between w:val="nil"/>
        </w:pBdr>
        <w:spacing w:after="240"/>
        <w:ind w:left="0" w:hanging="142"/>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133026" w:rsidRPr="00AE6FBA" w:rsidRDefault="00133026" w:rsidP="00BB4038">
      <w:pPr>
        <w:tabs>
          <w:tab w:val="left" w:pos="426"/>
          <w:tab w:val="left" w:pos="567"/>
        </w:tabs>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De tal manera que cada una de las áreas administrativas del </w:t>
      </w:r>
      <w:r w:rsidRPr="00AE6FBA">
        <w:rPr>
          <w:rFonts w:ascii="Palatino Linotype" w:eastAsia="Palatino Linotype" w:hAnsi="Palatino Linotype" w:cs="Palatino Linotype"/>
          <w:b/>
          <w:color w:val="000000" w:themeColor="text1"/>
        </w:rPr>
        <w:t>SUJETO OBLIGADO</w:t>
      </w:r>
      <w:r w:rsidRPr="00AE6FBA">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w:t>
      </w:r>
      <w:r w:rsidRPr="00AE6FBA">
        <w:rPr>
          <w:rFonts w:ascii="Palatino Linotype" w:eastAsia="Palatino Linotype" w:hAnsi="Palatino Linotype" w:cs="Palatino Linotype"/>
          <w:color w:val="000000" w:themeColor="text1"/>
        </w:rPr>
        <w:lastRenderedPageBreak/>
        <w:t>proporcionar la información que se requiera a través de las solicitudes de acceso a la información.</w:t>
      </w:r>
    </w:p>
    <w:p w:rsidR="00133026" w:rsidRPr="00AE6FBA" w:rsidRDefault="00133026" w:rsidP="00BB4038">
      <w:pPr>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133026" w:rsidRPr="00AE6FBA" w:rsidRDefault="00BB4038" w:rsidP="00BB403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“Artículo 53</w:t>
      </w:r>
      <w:r w:rsidRPr="00AE6FBA">
        <w:rPr>
          <w:rFonts w:ascii="Palatino Linotype" w:eastAsia="Palatino Linotype" w:hAnsi="Palatino Linotype" w:cs="Palatino Linotype"/>
          <w:i/>
          <w:color w:val="000000" w:themeColor="text1"/>
        </w:rPr>
        <w:t xml:space="preserve">. Las Unidades de Transparencia tendrán las siguientes funciones: </w:t>
      </w:r>
    </w:p>
    <w:p w:rsidR="00133026" w:rsidRPr="00AE6FBA" w:rsidRDefault="00133026" w:rsidP="00BB403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133026" w:rsidRPr="00AE6FBA" w:rsidRDefault="00BB4038" w:rsidP="00BB403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133026" w:rsidRPr="00AE6FBA" w:rsidRDefault="00BB4038" w:rsidP="00BB4038">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t xml:space="preserve">II. Recibir, tramitar y dar respuesta a las solicitudes de acceso a la información; </w:t>
      </w:r>
    </w:p>
    <w:p w:rsidR="00133026" w:rsidRPr="00AE6FBA" w:rsidRDefault="00BB4038" w:rsidP="00BB403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133026" w:rsidRPr="00AE6FBA" w:rsidRDefault="00BB4038" w:rsidP="00BB4038">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133026" w:rsidRPr="00AE6FBA" w:rsidRDefault="00BB4038" w:rsidP="00BB403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V. Entregar, en su caso, a los particulares la información solicitada; </w:t>
      </w:r>
    </w:p>
    <w:p w:rsidR="00133026" w:rsidRPr="00AE6FBA" w:rsidRDefault="00BB4038" w:rsidP="00BB403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VI. Efectuar las notificaciones a los solicitantes; </w:t>
      </w:r>
    </w:p>
    <w:p w:rsidR="00133026" w:rsidRPr="00AE6FBA" w:rsidRDefault="00BB4038" w:rsidP="00BB403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133026" w:rsidRPr="00AE6FBA" w:rsidRDefault="00BB4038" w:rsidP="00BB403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133026" w:rsidRPr="00AE6FBA" w:rsidRDefault="00BB4038" w:rsidP="00BB4038">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133026" w:rsidRPr="00AE6FBA" w:rsidRDefault="00BB4038" w:rsidP="00BB403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X. Presentar ante el Comité, el proyecto de clasificación de información; </w:t>
      </w:r>
    </w:p>
    <w:p w:rsidR="00133026" w:rsidRPr="00AE6FBA" w:rsidRDefault="00BB4038" w:rsidP="00BB403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133026" w:rsidRPr="00AE6FBA" w:rsidRDefault="00BB4038" w:rsidP="00BB403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XII. Fomentar la transparencia y accesibilidad al interior del sujeto obligado; </w:t>
      </w:r>
    </w:p>
    <w:p w:rsidR="00133026" w:rsidRPr="00AE6FBA" w:rsidRDefault="00BB4038" w:rsidP="00BB403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133026" w:rsidRPr="00AE6FBA" w:rsidRDefault="00BB4038" w:rsidP="00BB4038">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lastRenderedPageBreak/>
        <w:t>XIV. Las demás que resulten necesarias para facilitar el acceso a la información y aquellas que se desprenden de la presente Ley y demás disposiciones jurídicas aplicables. (…)</w:t>
      </w:r>
    </w:p>
    <w:p w:rsidR="00133026" w:rsidRPr="00AE6FBA" w:rsidRDefault="00BB4038" w:rsidP="00BB4038">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133026" w:rsidRPr="00AE6FBA" w:rsidRDefault="00133026" w:rsidP="00BB4038">
      <w:pPr>
        <w:tabs>
          <w:tab w:val="left" w:pos="426"/>
        </w:tabs>
        <w:spacing w:before="240" w:after="240"/>
        <w:jc w:val="both"/>
        <w:rPr>
          <w:rFonts w:ascii="Palatino Linotype" w:eastAsia="Palatino Linotype" w:hAnsi="Palatino Linotype" w:cs="Palatino Linotype"/>
          <w:i/>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rsidR="00133026" w:rsidRPr="00AE6FBA" w:rsidRDefault="00133026" w:rsidP="00BB403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color w:val="000000" w:themeColor="text1"/>
        </w:rPr>
        <w:t xml:space="preserve">En este sentido, se advierte que, el </w:t>
      </w:r>
      <w:r w:rsidRPr="00AE6FBA">
        <w:rPr>
          <w:rFonts w:ascii="Palatino Linotype" w:eastAsia="Palatino Linotype" w:hAnsi="Palatino Linotype" w:cs="Palatino Linotype"/>
          <w:b/>
          <w:color w:val="000000" w:themeColor="text1"/>
        </w:rPr>
        <w:t>SUJETO OBLIGADO</w:t>
      </w:r>
      <w:r w:rsidRPr="00AE6FBA">
        <w:rPr>
          <w:rFonts w:ascii="Palatino Linotype" w:eastAsia="Palatino Linotype" w:hAnsi="Palatino Linotype" w:cs="Palatino Linotype"/>
          <w:color w:val="000000" w:themeColor="text1"/>
        </w:rPr>
        <w:t xml:space="preserve"> no cumplió con el procedimiento de búsqueda exhaustiva y razonable, pues no gestionó la solicitud de información a todas las Unidades Administrativas en donde </w:t>
      </w:r>
      <w:r w:rsidRPr="00AE6FBA">
        <w:rPr>
          <w:rFonts w:ascii="Palatino Linotype" w:eastAsia="Palatino Linotype" w:hAnsi="Palatino Linotype" w:cs="Palatino Linotype"/>
          <w:color w:val="000000" w:themeColor="text1"/>
          <w:u w:val="single"/>
        </w:rPr>
        <w:t>pudiera</w:t>
      </w:r>
      <w:r w:rsidRPr="00AE6FBA">
        <w:rPr>
          <w:rFonts w:ascii="Palatino Linotype" w:eastAsia="Palatino Linotype" w:hAnsi="Palatino Linotype" w:cs="Palatino Linotype"/>
          <w:color w:val="000000" w:themeColor="text1"/>
        </w:rPr>
        <w:t xml:space="preserve"> obrar la citada información, siendo estas: </w:t>
      </w:r>
      <w:r w:rsidRPr="00AE6FBA">
        <w:rPr>
          <w:rFonts w:ascii="Palatino Linotype" w:eastAsia="Palatino Linotype" w:hAnsi="Palatino Linotype" w:cs="Palatino Linotype"/>
          <w:b/>
          <w:color w:val="000000" w:themeColor="text1"/>
        </w:rPr>
        <w:t>la Tesorería Municipal y la Dirección de Administración</w:t>
      </w:r>
      <w:r w:rsidRPr="00AE6FBA">
        <w:rPr>
          <w:rFonts w:ascii="Palatino Linotype" w:eastAsia="Palatino Linotype" w:hAnsi="Palatino Linotype" w:cs="Palatino Linotype"/>
          <w:color w:val="000000" w:themeColor="text1"/>
        </w:rPr>
        <w:t>; por tal motivo, no cumple con lo exigido por la Ley.</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color w:val="000000" w:themeColor="text1"/>
        </w:rPr>
        <w:t xml:space="preserve">Es así que, </w:t>
      </w:r>
      <w:r w:rsidRPr="00AE6FBA">
        <w:rPr>
          <w:rFonts w:ascii="Palatino Linotype" w:eastAsia="Palatino Linotype" w:hAnsi="Palatino Linotype" w:cs="Palatino Linotype"/>
          <w:b/>
          <w:color w:val="000000" w:themeColor="text1"/>
        </w:rPr>
        <w:t>EL SUJETO OBLIGADO</w:t>
      </w:r>
      <w:r w:rsidRPr="00AE6FBA">
        <w:rPr>
          <w:rFonts w:ascii="Palatino Linotype" w:eastAsia="Palatino Linotype" w:hAnsi="Palatino Linotype" w:cs="Palatino Linotype"/>
          <w:color w:val="000000" w:themeColor="text1"/>
        </w:rPr>
        <w:t xml:space="preserve"> debe contar con la información pública solicitada, en ejercicio de sus funciones de derecho público, motivo por el cual se actualiza el supuesto jurídico, previsto en el artículo 12 de la Ley de Transparencia y Acceso a la Información Pública del Estado de México y Municipios.</w:t>
      </w: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r w:rsidRPr="00AE6FBA">
        <w:rPr>
          <w:rFonts w:ascii="Palatino Linotype" w:eastAsia="Palatino Linotype" w:hAnsi="Palatino Linotype" w:cs="Palatino Linotype"/>
          <w:b/>
          <w:i/>
          <w:color w:val="000000" w:themeColor="text1"/>
        </w:rPr>
        <w:t>Artículo 12.</w:t>
      </w:r>
      <w:r w:rsidRPr="00AE6FBA">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133026" w:rsidRPr="00AE6FBA" w:rsidRDefault="00BB4038" w:rsidP="00BB4038">
      <w:pPr>
        <w:pBdr>
          <w:top w:val="nil"/>
          <w:left w:val="nil"/>
          <w:bottom w:val="nil"/>
          <w:right w:val="nil"/>
          <w:between w:val="nil"/>
        </w:pBdr>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33026" w:rsidRPr="00AE6FBA" w:rsidRDefault="00133026" w:rsidP="00BB4038">
      <w:pPr>
        <w:pBdr>
          <w:top w:val="nil"/>
          <w:left w:val="nil"/>
          <w:bottom w:val="nil"/>
          <w:right w:val="nil"/>
          <w:between w:val="nil"/>
        </w:pBdr>
        <w:jc w:val="both"/>
        <w:rPr>
          <w:rFonts w:ascii="Palatino Linotype" w:eastAsia="Palatino Linotype" w:hAnsi="Palatino Linotype" w:cs="Palatino Linotype"/>
          <w:i/>
          <w:color w:val="000000" w:themeColor="text1"/>
        </w:rPr>
      </w:pPr>
    </w:p>
    <w:p w:rsidR="00133026" w:rsidRPr="00AE6FBA" w:rsidRDefault="00BB4038" w:rsidP="00BB4038">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No obstante, como ya fue señalado en párrafos anteriores, el Sujeto Obligado tiene el deber de documentar todos los actos que deriven del ejercicio de sus funciones y al mismo tiempo hacer pública la información que se les requiera y que obre en sus archivos.</w:t>
      </w:r>
    </w:p>
    <w:p w:rsidR="00133026" w:rsidRPr="00AE6FBA" w:rsidRDefault="00133026" w:rsidP="00BB403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133026" w:rsidRPr="00AE6FBA" w:rsidRDefault="00133026" w:rsidP="00BB403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Establecido lo anterior, conviene traer a contexto que las erogaciones que realizan los Sujetos Obligados, deben estar soportados en documentos que amparen dicha erogación como lo es factura o póliza. Primeramente conocer a que nos referimos por “</w:t>
      </w:r>
      <w:r w:rsidRPr="00AE6FBA">
        <w:rPr>
          <w:rFonts w:ascii="Palatino Linotype" w:eastAsia="Palatino Linotype" w:hAnsi="Palatino Linotype" w:cs="Palatino Linotype"/>
          <w:i/>
          <w:color w:val="000000" w:themeColor="text1"/>
        </w:rPr>
        <w:t>factura</w:t>
      </w:r>
      <w:r w:rsidRPr="00AE6FBA">
        <w:rPr>
          <w:rFonts w:ascii="Palatino Linotype" w:eastAsia="Palatino Linotype" w:hAnsi="Palatino Linotype" w:cs="Palatino Linotype"/>
          <w:color w:val="000000" w:themeColor="text1"/>
        </w:rPr>
        <w:t>”; al respecto, nos referiremos a éste concepto aunque sea sucintamente de acuerdo a lo que dispone el Glosario de Términos Hacendarios que emite el Instituto Hacendario del Estado de México, mismo que expresa lo siguiente:</w:t>
      </w:r>
    </w:p>
    <w:p w:rsidR="00133026" w:rsidRPr="00AE6FBA" w:rsidRDefault="00BB4038" w:rsidP="00BB4038">
      <w:p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i/>
          <w:color w:val="000000" w:themeColor="text1"/>
        </w:rPr>
        <w:t>“</w:t>
      </w:r>
      <w:r w:rsidRPr="00AE6FBA">
        <w:rPr>
          <w:rFonts w:ascii="Palatino Linotype" w:eastAsia="Palatino Linotype" w:hAnsi="Palatino Linotype" w:cs="Palatino Linotype"/>
          <w:b/>
          <w:i/>
          <w:color w:val="000000" w:themeColor="text1"/>
        </w:rPr>
        <w:t>FACTURA:</w:t>
      </w:r>
    </w:p>
    <w:p w:rsidR="00133026" w:rsidRPr="00AE6FBA" w:rsidRDefault="00BB4038" w:rsidP="00BB4038">
      <w:pPr>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Es el documento fiscal que emite la persona física o moral para comprobar la venta o adquisición de un bien y/o servicio.”</w:t>
      </w:r>
    </w:p>
    <w:p w:rsidR="00133026" w:rsidRPr="00AE6FBA" w:rsidRDefault="00BB4038" w:rsidP="00BB4038">
      <w:pPr>
        <w:numPr>
          <w:ilvl w:val="0"/>
          <w:numId w:val="2"/>
        </w:numPr>
        <w:pBdr>
          <w:top w:val="nil"/>
          <w:left w:val="nil"/>
          <w:bottom w:val="nil"/>
          <w:right w:val="nil"/>
          <w:between w:val="nil"/>
        </w:pBdr>
        <w:tabs>
          <w:tab w:val="left" w:pos="426"/>
        </w:tabs>
        <w:spacing w:before="240"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lastRenderedPageBreak/>
        <w:t xml:space="preserve">Una vez precisado lo anterior, se procede a analizar si las facturas solicitadas son de acceso público; por lo que es de señalarse que </w:t>
      </w:r>
      <w:r w:rsidRPr="00AE6FBA">
        <w:rPr>
          <w:rFonts w:ascii="Palatino Linotype" w:eastAsia="Palatino Linotype" w:hAnsi="Palatino Linotype" w:cs="Palatino Linotype"/>
          <w:b/>
          <w:color w:val="000000" w:themeColor="text1"/>
        </w:rPr>
        <w:t xml:space="preserve">las facturas </w:t>
      </w:r>
      <w:r w:rsidRPr="00AE6FBA">
        <w:rPr>
          <w:rFonts w:ascii="Palatino Linotype" w:eastAsia="Palatino Linotype" w:hAnsi="Palatino Linotype" w:cs="Palatino Linotype"/>
          <w:color w:val="000000" w:themeColor="text1"/>
        </w:rPr>
        <w:t xml:space="preserve">o comprobantes que amparan las erogaciones que se realizan con erario público tienen naturaleza análoga, pues </w:t>
      </w:r>
      <w:r w:rsidRPr="00AE6FBA">
        <w:rPr>
          <w:rFonts w:ascii="Palatino Linotype" w:eastAsia="Palatino Linotype" w:hAnsi="Palatino Linotype" w:cs="Palatino Linotype"/>
          <w:b/>
          <w:color w:val="000000" w:themeColor="text1"/>
        </w:rPr>
        <w:t>constituyen los medios idóneos de evidencia del gasto realizado con recursos públicos</w:t>
      </w:r>
      <w:r w:rsidRPr="00AE6FBA">
        <w:rPr>
          <w:rFonts w:ascii="Palatino Linotype" w:eastAsia="Palatino Linotype" w:hAnsi="Palatino Linotype" w:cs="Palatino Linotype"/>
          <w:color w:val="000000" w:themeColor="text1"/>
        </w:rPr>
        <w:t>.</w:t>
      </w:r>
    </w:p>
    <w:p w:rsidR="00133026" w:rsidRPr="00AE6FBA" w:rsidRDefault="00133026" w:rsidP="00BB403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rsidR="00133026" w:rsidRPr="00AE6FBA" w:rsidRDefault="00133026" w:rsidP="00BB403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Como se ha dicho anteriormente, es atribución del Tesorero Municipal la de llevar los registros contables, financieros y administrativos de los ingresos, egresos e inventarios. 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rsidR="00133026" w:rsidRPr="00AE6FBA" w:rsidRDefault="00BB4038" w:rsidP="00BB4038">
      <w:p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r w:rsidRPr="00AE6FBA">
        <w:rPr>
          <w:rFonts w:ascii="Palatino Linotype" w:eastAsia="Palatino Linotype" w:hAnsi="Palatino Linotype" w:cs="Palatino Linotype"/>
          <w:b/>
          <w:i/>
          <w:color w:val="000000" w:themeColor="text1"/>
        </w:rPr>
        <w:t>Artículo 342.-</w:t>
      </w:r>
      <w:r w:rsidRPr="00AE6FBA">
        <w:rPr>
          <w:rFonts w:ascii="Palatino Linotype" w:eastAsia="Palatino Linotype" w:hAnsi="Palatino Linotype" w:cs="Palatino Linotype"/>
          <w:i/>
          <w:color w:val="000000" w:themeColor="text1"/>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133026" w:rsidRPr="00AE6FBA" w:rsidRDefault="00BB4038" w:rsidP="00BB4038">
      <w:p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p>
    <w:p w:rsidR="00133026" w:rsidRPr="00AE6FBA" w:rsidRDefault="00BB4038" w:rsidP="00BB4038">
      <w:pPr>
        <w:pBdr>
          <w:top w:val="nil"/>
          <w:left w:val="nil"/>
          <w:bottom w:val="nil"/>
          <w:right w:val="nil"/>
          <w:between w:val="nil"/>
        </w:pBdr>
        <w:tabs>
          <w:tab w:val="left" w:pos="567"/>
        </w:tabs>
        <w:spacing w:before="240" w:after="240"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lastRenderedPageBreak/>
        <w:t>“Artículo 343.-</w:t>
      </w:r>
      <w:r w:rsidRPr="00AE6FBA">
        <w:rPr>
          <w:rFonts w:ascii="Palatino Linotype" w:eastAsia="Palatino Linotype" w:hAnsi="Palatino Linotype" w:cs="Palatino Linotype"/>
          <w:i/>
          <w:color w:val="000000" w:themeColor="text1"/>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133026" w:rsidRPr="00AE6FBA" w:rsidRDefault="00BB4038" w:rsidP="00BB4038">
      <w:pPr>
        <w:pBdr>
          <w:top w:val="nil"/>
          <w:left w:val="nil"/>
          <w:bottom w:val="nil"/>
          <w:right w:val="nil"/>
          <w:between w:val="nil"/>
        </w:pBdr>
        <w:tabs>
          <w:tab w:val="left" w:pos="567"/>
        </w:tabs>
        <w:spacing w:before="240" w:after="240"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El sistema de contabilidad sobre base acumulativa total se sustentará en los postulados básicos y el marco conceptual de la contabilidad gubernamental.”</w:t>
      </w:r>
    </w:p>
    <w:p w:rsidR="00133026" w:rsidRPr="00AE6FBA" w:rsidRDefault="00BB4038" w:rsidP="00BB4038">
      <w:pPr>
        <w:pBdr>
          <w:top w:val="nil"/>
          <w:left w:val="nil"/>
          <w:bottom w:val="nil"/>
          <w:right w:val="nil"/>
          <w:between w:val="nil"/>
        </w:pBdr>
        <w:tabs>
          <w:tab w:val="left" w:pos="567"/>
        </w:tabs>
        <w:spacing w:before="240" w:after="240"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r w:rsidRPr="00AE6FBA">
        <w:rPr>
          <w:rFonts w:ascii="Palatino Linotype" w:eastAsia="Palatino Linotype" w:hAnsi="Palatino Linotype" w:cs="Palatino Linotype"/>
          <w:b/>
          <w:i/>
          <w:color w:val="000000" w:themeColor="text1"/>
        </w:rPr>
        <w:t>Artículo 344.-</w:t>
      </w:r>
      <w:r w:rsidRPr="00AE6FBA">
        <w:rPr>
          <w:rFonts w:ascii="Palatino Linotype" w:eastAsia="Palatino Linotype" w:hAnsi="Palatino Linotype" w:cs="Palatino Linotype"/>
          <w:i/>
          <w:color w:val="000000" w:themeColor="text1"/>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rsidR="00133026" w:rsidRPr="00AE6FBA" w:rsidRDefault="00BB4038" w:rsidP="00BB4038">
      <w:pPr>
        <w:pBdr>
          <w:top w:val="nil"/>
          <w:left w:val="nil"/>
          <w:bottom w:val="nil"/>
          <w:right w:val="nil"/>
          <w:between w:val="nil"/>
        </w:pBdr>
        <w:tabs>
          <w:tab w:val="left" w:pos="567"/>
        </w:tabs>
        <w:spacing w:before="240" w:after="240"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Derogado. </w:t>
      </w:r>
    </w:p>
    <w:p w:rsidR="00133026" w:rsidRPr="00AE6FBA" w:rsidRDefault="00BB4038" w:rsidP="00BB4038">
      <w:pPr>
        <w:pBdr>
          <w:top w:val="nil"/>
          <w:left w:val="nil"/>
          <w:bottom w:val="nil"/>
          <w:right w:val="nil"/>
          <w:between w:val="nil"/>
        </w:pBdr>
        <w:tabs>
          <w:tab w:val="left" w:pos="567"/>
        </w:tabs>
        <w:spacing w:before="240" w:after="240"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rsidR="00133026" w:rsidRPr="00AE6FBA" w:rsidRDefault="00BB4038" w:rsidP="00BB4038">
      <w:pPr>
        <w:pBdr>
          <w:top w:val="nil"/>
          <w:left w:val="nil"/>
          <w:bottom w:val="nil"/>
          <w:right w:val="nil"/>
          <w:between w:val="nil"/>
        </w:pBdr>
        <w:tabs>
          <w:tab w:val="left" w:pos="567"/>
        </w:tabs>
        <w:spacing w:before="240" w:after="240"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p>
    <w:p w:rsidR="00133026" w:rsidRPr="00AE6FBA" w:rsidRDefault="00BB4038" w:rsidP="00BB4038">
      <w:pPr>
        <w:pBdr>
          <w:top w:val="nil"/>
          <w:left w:val="nil"/>
          <w:bottom w:val="nil"/>
          <w:right w:val="nil"/>
          <w:between w:val="nil"/>
        </w:pBdr>
        <w:tabs>
          <w:tab w:val="left" w:pos="567"/>
        </w:tabs>
        <w:spacing w:before="240" w:after="240"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r w:rsidRPr="00AE6FBA">
        <w:rPr>
          <w:rFonts w:ascii="Palatino Linotype" w:eastAsia="Palatino Linotype" w:hAnsi="Palatino Linotype" w:cs="Palatino Linotype"/>
          <w:b/>
          <w:i/>
          <w:color w:val="000000" w:themeColor="text1"/>
        </w:rPr>
        <w:t>Artículo 345.-</w:t>
      </w:r>
      <w:r w:rsidRPr="00AE6FBA">
        <w:rPr>
          <w:rFonts w:ascii="Palatino Linotype" w:eastAsia="Palatino Linotype" w:hAnsi="Palatino Linotype" w:cs="Palatino Linotype"/>
          <w:i/>
          <w:color w:val="000000" w:themeColor="text1"/>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w:t>
      </w:r>
      <w:r w:rsidRPr="00AE6FBA">
        <w:rPr>
          <w:rFonts w:ascii="Palatino Linotype" w:eastAsia="Palatino Linotype" w:hAnsi="Palatino Linotype" w:cs="Palatino Linotype"/>
          <w:i/>
          <w:color w:val="000000" w:themeColor="text1"/>
        </w:rPr>
        <w:lastRenderedPageBreak/>
        <w:t xml:space="preserve">excederá de seis meses al Archivo Contable Gubernamental. Tratándose de los comprobantes fiscales digitales, estos deberán estar agregados en forma electrónica en cada póliza de registro contable. </w:t>
      </w:r>
    </w:p>
    <w:p w:rsidR="00133026" w:rsidRPr="00AE6FBA" w:rsidRDefault="00BB4038" w:rsidP="00BB4038">
      <w:pPr>
        <w:pBdr>
          <w:top w:val="nil"/>
          <w:left w:val="nil"/>
          <w:bottom w:val="nil"/>
          <w:right w:val="nil"/>
          <w:between w:val="nil"/>
        </w:pBdr>
        <w:tabs>
          <w:tab w:val="left" w:pos="567"/>
        </w:tabs>
        <w:spacing w:before="240" w:after="240"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El plazo señalado en el párrafo anterior, empezará a contar a partir de la publicación en el Periódico Oficial, del decreto correspondiente. “</w:t>
      </w:r>
    </w:p>
    <w:p w:rsidR="00133026" w:rsidRPr="00AE6FBA" w:rsidRDefault="00BB4038" w:rsidP="00BB4038">
      <w:pPr>
        <w:numPr>
          <w:ilvl w:val="0"/>
          <w:numId w:val="2"/>
        </w:numPr>
        <w:pBdr>
          <w:top w:val="nil"/>
          <w:left w:val="nil"/>
          <w:bottom w:val="nil"/>
          <w:right w:val="nil"/>
          <w:between w:val="nil"/>
        </w:pBdr>
        <w:tabs>
          <w:tab w:val="left" w:pos="426"/>
        </w:tabs>
        <w:spacing w:before="240"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133026" w:rsidRPr="00AE6FBA" w:rsidRDefault="00133026" w:rsidP="00BB403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1F4337" w:rsidRDefault="001F4337" w:rsidP="00BB4038">
      <w:pPr>
        <w:pBdr>
          <w:top w:val="nil"/>
          <w:left w:val="nil"/>
          <w:bottom w:val="nil"/>
          <w:right w:val="nil"/>
          <w:between w:val="nil"/>
        </w:pBdr>
        <w:tabs>
          <w:tab w:val="left" w:pos="709"/>
          <w:tab w:val="left" w:pos="8222"/>
        </w:tabs>
        <w:spacing w:after="240" w:line="276" w:lineRule="auto"/>
        <w:jc w:val="both"/>
        <w:rPr>
          <w:rFonts w:ascii="Palatino Linotype" w:eastAsia="Palatino Linotype" w:hAnsi="Palatino Linotype" w:cs="Palatino Linotype"/>
          <w:i/>
          <w:color w:val="000000" w:themeColor="text1"/>
        </w:rPr>
      </w:pPr>
    </w:p>
    <w:p w:rsidR="001F4337" w:rsidRDefault="001F4337" w:rsidP="00BB4038">
      <w:pPr>
        <w:pBdr>
          <w:top w:val="nil"/>
          <w:left w:val="nil"/>
          <w:bottom w:val="nil"/>
          <w:right w:val="nil"/>
          <w:between w:val="nil"/>
        </w:pBdr>
        <w:tabs>
          <w:tab w:val="left" w:pos="709"/>
          <w:tab w:val="left" w:pos="8222"/>
        </w:tabs>
        <w:spacing w:after="240" w:line="276" w:lineRule="auto"/>
        <w:jc w:val="both"/>
        <w:rPr>
          <w:rFonts w:ascii="Palatino Linotype" w:eastAsia="Palatino Linotype" w:hAnsi="Palatino Linotype" w:cs="Palatino Linotype"/>
          <w:i/>
          <w:color w:val="000000" w:themeColor="text1"/>
        </w:rPr>
      </w:pPr>
    </w:p>
    <w:p w:rsidR="00133026" w:rsidRPr="00AE6FBA" w:rsidRDefault="00BB4038" w:rsidP="00BB4038">
      <w:pPr>
        <w:pBdr>
          <w:top w:val="nil"/>
          <w:left w:val="nil"/>
          <w:bottom w:val="nil"/>
          <w:right w:val="nil"/>
          <w:between w:val="nil"/>
        </w:pBdr>
        <w:tabs>
          <w:tab w:val="left" w:pos="709"/>
          <w:tab w:val="left" w:pos="8222"/>
        </w:tabs>
        <w:spacing w:after="240" w:line="276" w:lineRule="auto"/>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i/>
          <w:color w:val="000000" w:themeColor="text1"/>
        </w:rPr>
        <w:lastRenderedPageBreak/>
        <w:t>“</w:t>
      </w:r>
      <w:r w:rsidRPr="00AE6FBA">
        <w:rPr>
          <w:rFonts w:ascii="Palatino Linotype" w:eastAsia="Palatino Linotype" w:hAnsi="Palatino Linotype" w:cs="Palatino Linotype"/>
          <w:b/>
          <w:i/>
          <w:color w:val="000000" w:themeColor="text1"/>
        </w:rPr>
        <w:t>REGISTRO CONTABLE:</w:t>
      </w:r>
    </w:p>
    <w:p w:rsidR="00133026" w:rsidRPr="00AE6FBA" w:rsidRDefault="00BB4038" w:rsidP="00BB4038">
      <w:pPr>
        <w:pBdr>
          <w:top w:val="nil"/>
          <w:left w:val="nil"/>
          <w:bottom w:val="nil"/>
          <w:right w:val="nil"/>
          <w:between w:val="nil"/>
        </w:pBdr>
        <w:tabs>
          <w:tab w:val="left" w:pos="709"/>
          <w:tab w:val="left" w:pos="8222"/>
        </w:tabs>
        <w:spacing w:before="240" w:after="240" w:line="276"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Asiento que se realiza en los libros de contabilidad de las actividades relacionadas con el ingreso y egresos de un ente económico.” </w:t>
      </w:r>
    </w:p>
    <w:p w:rsidR="00133026" w:rsidRPr="00AE6FBA" w:rsidRDefault="00BB4038" w:rsidP="00BB4038">
      <w:pPr>
        <w:pBdr>
          <w:top w:val="nil"/>
          <w:left w:val="nil"/>
          <w:bottom w:val="nil"/>
          <w:right w:val="nil"/>
          <w:between w:val="nil"/>
        </w:pBdr>
        <w:tabs>
          <w:tab w:val="left" w:pos="709"/>
          <w:tab w:val="left" w:pos="8222"/>
        </w:tabs>
        <w:spacing w:before="240" w:after="240" w:line="276" w:lineRule="auto"/>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i/>
          <w:color w:val="000000" w:themeColor="text1"/>
        </w:rPr>
        <w:t>“</w:t>
      </w:r>
      <w:r w:rsidRPr="00AE6FBA">
        <w:rPr>
          <w:rFonts w:ascii="Palatino Linotype" w:eastAsia="Palatino Linotype" w:hAnsi="Palatino Linotype" w:cs="Palatino Linotype"/>
          <w:b/>
          <w:i/>
          <w:color w:val="000000" w:themeColor="text1"/>
        </w:rPr>
        <w:t>REGISTRO PRESUPUESTARIO:</w:t>
      </w:r>
    </w:p>
    <w:p w:rsidR="00133026" w:rsidRPr="00AE6FBA" w:rsidRDefault="00BB4038" w:rsidP="00BB4038">
      <w:pPr>
        <w:pBdr>
          <w:top w:val="nil"/>
          <w:left w:val="nil"/>
          <w:bottom w:val="nil"/>
          <w:right w:val="nil"/>
          <w:between w:val="nil"/>
        </w:pBdr>
        <w:tabs>
          <w:tab w:val="left" w:pos="709"/>
          <w:tab w:val="left" w:pos="8222"/>
        </w:tabs>
        <w:spacing w:before="240" w:after="240" w:line="276"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Asiento contable de las erogaciones realizadas por las dependencias y entidades con relación a la asignación, modificación y ejercicio de los recursos presupuestarios que se les hayan autorizado.”</w:t>
      </w:r>
    </w:p>
    <w:p w:rsidR="008A213B" w:rsidRPr="00AE6FBA" w:rsidRDefault="008A213B" w:rsidP="00BB4038">
      <w:pPr>
        <w:pBdr>
          <w:top w:val="nil"/>
          <w:left w:val="nil"/>
          <w:bottom w:val="nil"/>
          <w:right w:val="nil"/>
          <w:between w:val="nil"/>
        </w:pBdr>
        <w:tabs>
          <w:tab w:val="left" w:pos="709"/>
          <w:tab w:val="left" w:pos="8222"/>
        </w:tabs>
        <w:spacing w:before="240" w:after="240" w:line="276" w:lineRule="auto"/>
        <w:jc w:val="both"/>
        <w:rPr>
          <w:rFonts w:ascii="Palatino Linotype" w:eastAsia="Palatino Linotype" w:hAnsi="Palatino Linotype" w:cs="Palatino Linotype"/>
          <w:i/>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s>
        <w:spacing w:before="240"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133026" w:rsidRPr="00AE6FBA" w:rsidRDefault="00133026" w:rsidP="00BB403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Correlativo a lo anterior, es preciso referir una definición de póliza contable, la cual, primeramente, no está definida en el Código Financiero del Estado de México y Municipios; no obstante, los ya mencionados Glosarios la definen como:</w:t>
      </w:r>
    </w:p>
    <w:p w:rsidR="00133026" w:rsidRPr="00AE6FBA" w:rsidRDefault="00BB4038" w:rsidP="00BB4038">
      <w:pPr>
        <w:pBdr>
          <w:top w:val="nil"/>
          <w:left w:val="nil"/>
          <w:bottom w:val="nil"/>
          <w:right w:val="nil"/>
          <w:between w:val="nil"/>
        </w:pBdr>
        <w:spacing w:before="240" w:after="240" w:line="276" w:lineRule="auto"/>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i/>
          <w:color w:val="000000" w:themeColor="text1"/>
        </w:rPr>
        <w:t>“</w:t>
      </w:r>
      <w:r w:rsidRPr="00AE6FBA">
        <w:rPr>
          <w:rFonts w:ascii="Palatino Linotype" w:eastAsia="Palatino Linotype" w:hAnsi="Palatino Linotype" w:cs="Palatino Linotype"/>
          <w:b/>
          <w:i/>
          <w:color w:val="000000" w:themeColor="text1"/>
        </w:rPr>
        <w:t>PÓLIZA CONTABLE:</w:t>
      </w:r>
    </w:p>
    <w:p w:rsidR="00133026" w:rsidRPr="00AE6FBA" w:rsidRDefault="00BB4038" w:rsidP="00BB4038">
      <w:pPr>
        <w:pBdr>
          <w:top w:val="nil"/>
          <w:left w:val="nil"/>
          <w:bottom w:val="nil"/>
          <w:right w:val="nil"/>
          <w:between w:val="nil"/>
        </w:pBdr>
        <w:spacing w:before="240" w:after="240" w:line="276"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Documento en el cual se asientan en forma individual todas y cada una de las operaciones desarrolladas por una institución, así como la información necesaria para la identificación de dichas operaciones.”</w:t>
      </w:r>
    </w:p>
    <w:p w:rsidR="008A213B" w:rsidRPr="00AE6FBA" w:rsidRDefault="008A213B" w:rsidP="00BB4038">
      <w:pPr>
        <w:pBdr>
          <w:top w:val="nil"/>
          <w:left w:val="nil"/>
          <w:bottom w:val="nil"/>
          <w:right w:val="nil"/>
          <w:between w:val="nil"/>
        </w:pBdr>
        <w:spacing w:before="240" w:after="240" w:line="276" w:lineRule="auto"/>
        <w:jc w:val="both"/>
        <w:rPr>
          <w:rFonts w:ascii="Palatino Linotype" w:eastAsia="Palatino Linotype" w:hAnsi="Palatino Linotype" w:cs="Palatino Linotype"/>
          <w:i/>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s>
        <w:spacing w:before="240"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lastRenderedPageBreak/>
        <w:t>Luego entonces,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133026" w:rsidRPr="00AE6FBA" w:rsidRDefault="00133026" w:rsidP="00BB403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Al respecto, existen diversos tipos de pólizas contables de acuerdo a las operaciones realizadas, dentro de las cuales, encontramos las llamadas pólizas de egresos e ingresos, en las cuales se anotan diariamente las operaciones que representan egresos e ingresos, es decir, salidas y entradas de dinero para, la cual además, debe encontrarse acompañada de las documentales que sirven de soporte de dicho movimiento.</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color w:val="000000" w:themeColor="text1"/>
        </w:rPr>
      </w:pPr>
    </w:p>
    <w:p w:rsidR="00133026" w:rsidRDefault="00BB4038" w:rsidP="00BB4038">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Asimismo, se refuerza que al tener que documentar cada egreso e ingreso que se realiza de manera diaria, queda claro que el Sujeto Obligado debe generar, administrar y poseer la información que solicitó el particular. Por ello, se manera enunciativa más no limitativa, la información solicitada puede colmarse con la entrega de la póliza de egresos e ingresos. </w:t>
      </w:r>
    </w:p>
    <w:p w:rsidR="001F4337" w:rsidRPr="00AE6FBA" w:rsidRDefault="001F4337" w:rsidP="001F43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Ahora bien, derivado de la información solicitada, también es necesario traer a contexto lo dispuesto en la Ley de la Contratación Pública del Estado de México y Municipios, la cual tiene por objeto regular los actos relativos a la planeación, programación, presupuestación, ejecución y control de </w:t>
      </w:r>
      <w:r w:rsidRPr="00AE6FBA">
        <w:rPr>
          <w:rFonts w:ascii="Palatino Linotype" w:eastAsia="Palatino Linotype" w:hAnsi="Palatino Linotype" w:cs="Palatino Linotype"/>
          <w:b/>
          <w:color w:val="000000" w:themeColor="text1"/>
        </w:rPr>
        <w:t>la adquisición</w:t>
      </w:r>
      <w:r w:rsidRPr="00AE6FBA">
        <w:rPr>
          <w:rFonts w:ascii="Palatino Linotype" w:eastAsia="Palatino Linotype" w:hAnsi="Palatino Linotype" w:cs="Palatino Linotype"/>
          <w:color w:val="000000" w:themeColor="text1"/>
        </w:rPr>
        <w:t xml:space="preserve">, enajenación y </w:t>
      </w:r>
      <w:r w:rsidRPr="00AE6FBA">
        <w:rPr>
          <w:rFonts w:ascii="Palatino Linotype" w:eastAsia="Palatino Linotype" w:hAnsi="Palatino Linotype" w:cs="Palatino Linotype"/>
          <w:b/>
          <w:color w:val="000000" w:themeColor="text1"/>
        </w:rPr>
        <w:t>arrendamiento de bienes</w:t>
      </w:r>
      <w:r w:rsidRPr="00AE6FBA">
        <w:rPr>
          <w:rFonts w:ascii="Palatino Linotype" w:eastAsia="Palatino Linotype" w:hAnsi="Palatino Linotype" w:cs="Palatino Linotype"/>
          <w:color w:val="000000" w:themeColor="text1"/>
        </w:rPr>
        <w:t xml:space="preserve">, </w:t>
      </w:r>
      <w:r w:rsidRPr="00AE6FBA">
        <w:rPr>
          <w:rFonts w:ascii="Palatino Linotype" w:eastAsia="Palatino Linotype" w:hAnsi="Palatino Linotype" w:cs="Palatino Linotype"/>
          <w:b/>
          <w:color w:val="000000" w:themeColor="text1"/>
        </w:rPr>
        <w:t>y la contratación de servicios de cualquier naturaleza</w:t>
      </w:r>
      <w:r w:rsidRPr="00AE6FBA">
        <w:rPr>
          <w:rFonts w:ascii="Palatino Linotype" w:eastAsia="Palatino Linotype" w:hAnsi="Palatino Linotype" w:cs="Palatino Linotype"/>
          <w:color w:val="000000" w:themeColor="text1"/>
        </w:rPr>
        <w:t xml:space="preserve">, que realicen los Ayuntamientos del Estado; los cuales se adjudicarán a través de licitaciones </w:t>
      </w:r>
      <w:r w:rsidRPr="00AE6FBA">
        <w:rPr>
          <w:rFonts w:ascii="Palatino Linotype" w:eastAsia="Palatino Linotype" w:hAnsi="Palatino Linotype" w:cs="Palatino Linotype"/>
          <w:color w:val="000000" w:themeColor="text1"/>
        </w:rPr>
        <w:lastRenderedPageBreak/>
        <w:t>públicas, invitación restringida o adjudicación directa, mediante convocatoria pública, tal y como lo establecen los artículos 4, 26 y 27 de dicha Ley, los cuales son del tenor siguiente:</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w:t>
      </w:r>
      <w:r w:rsidRPr="00AE6FBA">
        <w:rPr>
          <w:rFonts w:ascii="Palatino Linotype" w:eastAsia="Palatino Linotype" w:hAnsi="Palatino Linotype" w:cs="Palatino Linotype"/>
          <w:b/>
          <w:i/>
          <w:color w:val="000000" w:themeColor="text1"/>
        </w:rPr>
        <w:t>Artículo 4.-</w:t>
      </w:r>
      <w:r w:rsidRPr="00AE6FBA">
        <w:rPr>
          <w:rFonts w:ascii="Palatino Linotype" w:eastAsia="Palatino Linotype" w:hAnsi="Palatino Linotype" w:cs="Palatino Linotype"/>
          <w:i/>
          <w:color w:val="000000" w:themeColor="text1"/>
        </w:rPr>
        <w:t xml:space="preserve"> Para los efectos de esta Ley, en las adquisiciones, enajenaciones, arrendamientos y servicios, quedan comprendidos: </w:t>
      </w:r>
    </w:p>
    <w:p w:rsidR="00133026" w:rsidRPr="00AE6FBA" w:rsidRDefault="00BB4038" w:rsidP="00BB4038">
      <w:pPr>
        <w:spacing w:line="360" w:lineRule="auto"/>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t xml:space="preserve">I. La adquisición de bienes muebles. </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II. La adquisición de bienes inmuebles, a través de compraventa. </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III. La enajenación de bienes muebles e inmuebles. </w:t>
      </w:r>
    </w:p>
    <w:p w:rsidR="00133026" w:rsidRPr="00AE6FBA" w:rsidRDefault="00BB4038" w:rsidP="00BB4038">
      <w:pPr>
        <w:spacing w:line="360" w:lineRule="auto"/>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t xml:space="preserve">IV. El arrendamiento de bienes muebles e inmuebles. </w:t>
      </w:r>
    </w:p>
    <w:p w:rsidR="00133026" w:rsidRPr="00AE6FBA" w:rsidRDefault="00BB4038" w:rsidP="00BB4038">
      <w:pPr>
        <w:spacing w:line="360" w:lineRule="auto"/>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t xml:space="preserve">V. La contratación de los servicios, relacionados con bienes muebles que se encuentran incorporados o adheridos a bienes inmuebles, cuya instalación o mantenimiento no implique modificación al bien inmueble. </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VI. La contratación de los servicios de reconstrucción y mantenimiento de bienes muebles. </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 xml:space="preserve">VII. La contratación de los servicios </w:t>
      </w:r>
      <w:r w:rsidRPr="00AE6FBA">
        <w:rPr>
          <w:rFonts w:ascii="Palatino Linotype" w:eastAsia="Palatino Linotype" w:hAnsi="Palatino Linotype" w:cs="Palatino Linotype"/>
          <w:i/>
          <w:color w:val="000000" w:themeColor="text1"/>
        </w:rPr>
        <w:t>de maquila, seguros y transportación, así como de los de limpieza y vigilancia de bienes inmuebles</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VIII. La prestación de servicios profesionales, la contratación de consultorías, asesorías y estudios e investigaciones, excepto la contratación de servicios personales de personas físicas bajo el régimen de honorarios. </w:t>
      </w:r>
    </w:p>
    <w:p w:rsidR="00133026" w:rsidRPr="00AE6FBA" w:rsidRDefault="00BB4038" w:rsidP="00BB4038">
      <w:pPr>
        <w:spacing w:line="360" w:lineRule="auto"/>
        <w:jc w:val="both"/>
        <w:rPr>
          <w:rFonts w:ascii="Palatino Linotype" w:eastAsia="Palatino Linotype" w:hAnsi="Palatino Linotype" w:cs="Palatino Linotype"/>
          <w:b/>
          <w:i/>
          <w:color w:val="000000" w:themeColor="text1"/>
          <w:u w:val="single"/>
        </w:rPr>
      </w:pPr>
      <w:r w:rsidRPr="00AE6FBA">
        <w:rPr>
          <w:rFonts w:ascii="Palatino Linotype" w:eastAsia="Palatino Linotype" w:hAnsi="Palatino Linotype" w:cs="Palatino Linotype"/>
          <w:b/>
          <w:i/>
          <w:color w:val="000000" w:themeColor="text1"/>
          <w:u w:val="single"/>
        </w:rPr>
        <w:t>En general, otros actos que impliquen la contratación de servicios de cualquier naturaleza.</w:t>
      </w:r>
    </w:p>
    <w:p w:rsidR="00133026" w:rsidRPr="00AE6FBA" w:rsidRDefault="00BB4038" w:rsidP="00BB4038">
      <w:pPr>
        <w:spacing w:line="360" w:lineRule="auto"/>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t>Artículo 26.- Las adquisiciones, arrendamientos y servicios se adjudicarán a través de licitaciones públicas, mediante convocatoria pública.</w:t>
      </w:r>
    </w:p>
    <w:p w:rsidR="00133026" w:rsidRPr="00AE6FBA" w:rsidRDefault="00133026" w:rsidP="00BB4038">
      <w:pPr>
        <w:spacing w:line="360" w:lineRule="auto"/>
        <w:jc w:val="both"/>
        <w:rPr>
          <w:rFonts w:ascii="Palatino Linotype" w:eastAsia="Palatino Linotype" w:hAnsi="Palatino Linotype" w:cs="Palatino Linotype"/>
          <w:b/>
          <w:i/>
          <w:color w:val="000000" w:themeColor="text1"/>
        </w:rPr>
      </w:pP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 xml:space="preserve">Artículo 27.- </w:t>
      </w:r>
      <w:r w:rsidRPr="00AE6FBA">
        <w:rPr>
          <w:rFonts w:ascii="Palatino Linotype" w:eastAsia="Palatino Linotype" w:hAnsi="Palatino Linotype" w:cs="Palatino Linotype"/>
          <w:i/>
          <w:color w:val="000000" w:themeColor="text1"/>
        </w:rPr>
        <w:t xml:space="preserve">La Secretaría, las entidades, los tribunales administrativos y los ayuntamientos podrán adjudicar adquisiciones, arrendamientos y servicios, mediante las excepciones al procedimiento de licitación que a continuación se señalan: </w:t>
      </w:r>
    </w:p>
    <w:p w:rsidR="00133026" w:rsidRPr="00AE6FBA" w:rsidRDefault="00BB4038" w:rsidP="00BB4038">
      <w:pPr>
        <w:spacing w:line="360" w:lineRule="auto"/>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lastRenderedPageBreak/>
        <w:t xml:space="preserve">I. Invitación restringida. </w:t>
      </w:r>
    </w:p>
    <w:p w:rsidR="00133026" w:rsidRPr="00AE6FBA" w:rsidRDefault="00BB4038" w:rsidP="00BB4038">
      <w:pPr>
        <w:spacing w:line="360" w:lineRule="auto"/>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t>II. Adjudicación directa.”</w:t>
      </w:r>
    </w:p>
    <w:p w:rsidR="00133026" w:rsidRPr="00AE6FBA" w:rsidRDefault="00BB4038" w:rsidP="00BB4038">
      <w:pPr>
        <w:jc w:val="right"/>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 xml:space="preserve">(Énfasis añadido) </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Por lo que, en las licitaciones se debe seguir el procedimiento marcado en el artículo 35 del precitado ordenamiento, que literalmente establece:</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“Artículo 35</w:t>
      </w:r>
      <w:r w:rsidRPr="00AE6FBA">
        <w:rPr>
          <w:rFonts w:ascii="Palatino Linotype" w:eastAsia="Palatino Linotype" w:hAnsi="Palatino Linotype" w:cs="Palatino Linotype"/>
          <w:i/>
          <w:color w:val="000000" w:themeColor="text1"/>
        </w:rPr>
        <w:t>.- En los procedimientos de licitación pública se observará lo siguiente:</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I. El acto de presentación y apertura de propuestas se llevará a cabo por el servidor público que designe la convocante, conforme al procedimiento que se establezca en el reglamento de esta Ley.</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II. El comité de adquisiciones y servicios evaluará y analizará las propuestas técnicas y económicas presentadas por los licitantes en el ámbito de las respectivas competencias de sus integrantes, y emitirá el dictamen de adjudicación.</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lastRenderedPageBreak/>
        <w:t xml:space="preserve">III. Las bases de licitación se pondrán a la venta a partir de la fecha de publicación de la convocatoria y hasta el día hábil anterior a la fecha de celebración </w:t>
      </w:r>
      <w:r w:rsidRPr="00AE6FBA">
        <w:rPr>
          <w:rFonts w:ascii="Palatino Linotype" w:eastAsia="Palatino Linotype" w:hAnsi="Palatino Linotype" w:cs="Palatino Linotype"/>
          <w:b/>
          <w:i/>
          <w:color w:val="000000" w:themeColor="text1"/>
        </w:rPr>
        <w:t>de la junta de aclaraciones</w:t>
      </w:r>
      <w:r w:rsidRPr="00AE6FBA">
        <w:rPr>
          <w:rFonts w:ascii="Palatino Linotype" w:eastAsia="Palatino Linotype" w:hAnsi="Palatino Linotype" w:cs="Palatino Linotype"/>
          <w:i/>
          <w:color w:val="000000" w:themeColor="text1"/>
        </w:rPr>
        <w:t xml:space="preserve"> o, en su defecto, del acto de presentación y apertura de propuestas.</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IV. Las convocantes podrán modificar los plazos y términos establecidos en la convocatoria o en las bases de licitación, hasta cinco días hábiles anteriores a la fecha de la celebración del acto de presentación y apertura de propuestas.</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V. Las modificaciones no podrán limitar el número de licitantes, sustituir o variar sustancialmente los bienes o servicios convocados originalmente, ni adicionar otros  distintos.</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VI. Las modificaciones a la convocatoria o a las bases se harán del conocimiento de los interesados hasta tres días hábiles antes de la fecha señalada para el acto de presentación y apertura de propuestas.</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VII. Se emitirá el fallo dentro de los 15 días hábiles siguientes a la publicación de la convocatoria.</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VIII. Los licitantes se podrán registrar hasta el día y la hora fijados para el acto de presentación y apertura de propuestas.</w:t>
      </w:r>
      <w:r w:rsidRPr="00AE6FBA">
        <w:rPr>
          <w:rFonts w:ascii="Palatino Linotype" w:eastAsia="Palatino Linotype" w:hAnsi="Palatino Linotype" w:cs="Palatino Linotype"/>
          <w:b/>
          <w:i/>
          <w:color w:val="000000" w:themeColor="text1"/>
        </w:rPr>
        <w:t>”</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(Énfasis añadido)</w:t>
      </w:r>
    </w:p>
    <w:p w:rsidR="00133026" w:rsidRPr="00AE6FBA" w:rsidRDefault="00133026" w:rsidP="00BB4038">
      <w:pPr>
        <w:spacing w:line="360" w:lineRule="auto"/>
        <w:jc w:val="both"/>
        <w:rPr>
          <w:rFonts w:ascii="Palatino Linotype" w:eastAsia="Palatino Linotype" w:hAnsi="Palatino Linotype" w:cs="Palatino Linotype"/>
          <w:i/>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Además, respecto al dictamen y el fallo de la adjudicación, es de señalar que la Ley en mención indica lo siguiente:</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lastRenderedPageBreak/>
        <w:t>“Artículo 37.-</w:t>
      </w:r>
      <w:r w:rsidRPr="00AE6FBA">
        <w:rPr>
          <w:rFonts w:ascii="Palatino Linotype" w:eastAsia="Palatino Linotype" w:hAnsi="Palatino Linotype" w:cs="Palatino Linotype"/>
          <w:i/>
          <w:color w:val="000000" w:themeColor="text1"/>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133026" w:rsidRPr="00AE6FBA" w:rsidRDefault="00133026" w:rsidP="00BB4038">
      <w:pPr>
        <w:spacing w:line="360" w:lineRule="auto"/>
        <w:jc w:val="both"/>
        <w:rPr>
          <w:rFonts w:ascii="Palatino Linotype" w:eastAsia="Palatino Linotype" w:hAnsi="Palatino Linotype" w:cs="Palatino Linotype"/>
          <w:b/>
          <w:i/>
          <w:color w:val="000000" w:themeColor="text1"/>
        </w:rPr>
      </w:pP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Artículo 38.-</w:t>
      </w:r>
      <w:r w:rsidRPr="00AE6FBA">
        <w:rPr>
          <w:rFonts w:ascii="Palatino Linotype" w:eastAsia="Palatino Linotype" w:hAnsi="Palatino Linotype" w:cs="Palatino Linotype"/>
          <w:i/>
          <w:color w:val="000000" w:themeColor="text1"/>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AE6FBA">
        <w:rPr>
          <w:rFonts w:ascii="Palatino Linotype" w:eastAsia="Palatino Linotype" w:hAnsi="Palatino Linotype" w:cs="Palatino Linotype"/>
          <w:b/>
          <w:i/>
          <w:color w:val="000000" w:themeColor="text1"/>
        </w:rPr>
        <w:t>”</w:t>
      </w:r>
      <w:r w:rsidRPr="00AE6FBA">
        <w:rPr>
          <w:rFonts w:ascii="Palatino Linotype" w:eastAsia="Palatino Linotype" w:hAnsi="Palatino Linotype" w:cs="Palatino Linotype"/>
          <w:i/>
          <w:color w:val="000000" w:themeColor="text1"/>
        </w:rPr>
        <w:t xml:space="preserve"> </w:t>
      </w:r>
    </w:p>
    <w:p w:rsidR="00133026" w:rsidRPr="00AE6FBA" w:rsidRDefault="00133026" w:rsidP="00BB4038">
      <w:pPr>
        <w:spacing w:line="360" w:lineRule="auto"/>
        <w:jc w:val="both"/>
        <w:rPr>
          <w:rFonts w:ascii="Palatino Linotype" w:eastAsia="Palatino Linotype" w:hAnsi="Palatino Linotype" w:cs="Palatino Linotype"/>
          <w:i/>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lastRenderedPageBreak/>
        <w:t>Además, es oportuno señalar que, las disposiciones respecto a las bases, dictámenes, fallos y fianzas, se realizan con similitud al procedimiento de licitación pública, tal como lo señalan los artículos 46 y 90 de la misma Ley, que literalmente establecen:</w:t>
      </w:r>
    </w:p>
    <w:p w:rsidR="00133026" w:rsidRPr="00AE6FBA" w:rsidRDefault="00BB4038" w:rsidP="00BB4038">
      <w:pPr>
        <w:spacing w:line="276"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“Artículo 46.-</w:t>
      </w:r>
      <w:r w:rsidRPr="00AE6FBA">
        <w:rPr>
          <w:rFonts w:ascii="Palatino Linotype" w:eastAsia="Palatino Linotype" w:hAnsi="Palatino Linotype" w:cs="Palatino Linotype"/>
          <w:i/>
          <w:color w:val="000000" w:themeColor="text1"/>
        </w:rPr>
        <w:t xml:space="preserve"> El procedimiento de invitación restringida se desarrollará en los términos de la licitación pública, a excepción de la publicación de la convocatoria.” (Sic)</w:t>
      </w:r>
    </w:p>
    <w:p w:rsidR="00133026" w:rsidRPr="00AE6FBA" w:rsidRDefault="00BB4038" w:rsidP="00BB4038">
      <w:pPr>
        <w:spacing w:line="276"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Por ello, el Reglamento de la Ley en comento, en su artículo 90, indica cuales son los supuestos que deberán observarse para llevar a cabo dicho procedimiento:</w:t>
      </w:r>
    </w:p>
    <w:p w:rsidR="00133026" w:rsidRPr="00AE6FBA" w:rsidRDefault="00133026" w:rsidP="00BB4038">
      <w:pPr>
        <w:spacing w:line="276" w:lineRule="auto"/>
        <w:jc w:val="both"/>
        <w:rPr>
          <w:rFonts w:ascii="Palatino Linotype" w:eastAsia="Palatino Linotype" w:hAnsi="Palatino Linotype" w:cs="Palatino Linotype"/>
          <w:b/>
          <w:i/>
          <w:color w:val="000000" w:themeColor="text1"/>
        </w:rPr>
      </w:pPr>
    </w:p>
    <w:p w:rsidR="00133026" w:rsidRPr="00AE6FBA" w:rsidRDefault="00BB4038" w:rsidP="00BB4038">
      <w:pPr>
        <w:spacing w:line="276"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b/>
          <w:i/>
          <w:color w:val="000000" w:themeColor="text1"/>
        </w:rPr>
        <w:t>Artículo 90.-</w:t>
      </w:r>
      <w:r w:rsidRPr="00AE6FBA">
        <w:rPr>
          <w:rFonts w:ascii="Palatino Linotype" w:eastAsia="Palatino Linotype" w:hAnsi="Palatino Linotype" w:cs="Palatino Linotype"/>
          <w:i/>
          <w:color w:val="000000" w:themeColor="text1"/>
        </w:rPr>
        <w:t xml:space="preserve"> En el procedimiento de invitación restringida se deberá observar lo siguiente:</w:t>
      </w:r>
    </w:p>
    <w:p w:rsidR="00133026" w:rsidRPr="00AE6FBA" w:rsidRDefault="00133026" w:rsidP="00BB4038">
      <w:pPr>
        <w:spacing w:line="276" w:lineRule="auto"/>
        <w:jc w:val="both"/>
        <w:rPr>
          <w:rFonts w:ascii="Palatino Linotype" w:eastAsia="Palatino Linotype" w:hAnsi="Palatino Linotype" w:cs="Palatino Linotype"/>
          <w:i/>
          <w:color w:val="000000" w:themeColor="text1"/>
        </w:rPr>
      </w:pPr>
    </w:p>
    <w:p w:rsidR="00133026" w:rsidRPr="00AE6FBA" w:rsidRDefault="00BB4038" w:rsidP="00BB4038">
      <w:pPr>
        <w:spacing w:line="276"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I. Se invitará a un mínimo de tres personas seleccionadas de entre las que se encuentren inscritas en el catálogo de proveedores y de prestadores de servicios.</w:t>
      </w:r>
    </w:p>
    <w:p w:rsidR="00133026" w:rsidRPr="00AE6FBA" w:rsidRDefault="00BB4038" w:rsidP="00BB4038">
      <w:pPr>
        <w:spacing w:line="276"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Se podrá invitar a personas que no se encuentren inscritas, cuando en el giro correspondiente del catálogo de proveedores y prestadores de servicios no exista el registro mínimo de personas requeridas para tal modalidad;</w:t>
      </w:r>
    </w:p>
    <w:p w:rsidR="00133026" w:rsidRPr="00AE6FBA" w:rsidRDefault="00BB4038" w:rsidP="00BB4038">
      <w:pPr>
        <w:spacing w:line="276"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II. Las bases de la invitación restringida indicarán los aspectos de la adquisición o contratación; y</w:t>
      </w:r>
    </w:p>
    <w:p w:rsidR="00133026" w:rsidRPr="00AE6FBA" w:rsidRDefault="00BB4038" w:rsidP="00BB4038">
      <w:pPr>
        <w:spacing w:line="276" w:lineRule="auto"/>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i/>
          <w:color w:val="000000" w:themeColor="text1"/>
        </w:rPr>
        <w:t>III. Serán aplicables, en lo conducente, las disposiciones de la licitación pública.</w:t>
      </w:r>
      <w:r w:rsidRPr="00AE6FBA">
        <w:rPr>
          <w:rFonts w:ascii="Palatino Linotype" w:eastAsia="Palatino Linotype" w:hAnsi="Palatino Linotype" w:cs="Palatino Linotype"/>
          <w:b/>
          <w:i/>
          <w:color w:val="000000" w:themeColor="text1"/>
        </w:rPr>
        <w:t>”</w:t>
      </w:r>
    </w:p>
    <w:p w:rsidR="00133026" w:rsidRPr="00AE6FBA" w:rsidRDefault="00133026" w:rsidP="00BB4038">
      <w:pPr>
        <w:spacing w:line="360" w:lineRule="auto"/>
        <w:jc w:val="both"/>
        <w:rPr>
          <w:rFonts w:ascii="Palatino Linotype" w:eastAsia="Palatino Linotype" w:hAnsi="Palatino Linotype" w:cs="Palatino Linotype"/>
          <w:i/>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rsidR="008A213B" w:rsidRPr="00AE6FBA" w:rsidRDefault="008A213B" w:rsidP="008A213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Por último, y en cuanto hace a la adjudicación directa, el artículo 48 de la Ley de la Contratación Pública del Estado de México y Municipios y 91 del Reglamento de dicha Ley, indican en qué supuestos puede llevarse a cabo este procedimiento.</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lastRenderedPageBreak/>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rsidR="00133026" w:rsidRPr="00AE6FBA" w:rsidRDefault="00133026" w:rsidP="00BB4038">
      <w:pPr>
        <w:pBdr>
          <w:top w:val="nil"/>
          <w:left w:val="nil"/>
          <w:bottom w:val="nil"/>
          <w:right w:val="nil"/>
          <w:between w:val="nil"/>
        </w:pBdr>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En este sentido, debe decirse que los </w:t>
      </w:r>
      <w:r w:rsidRPr="00AE6FBA">
        <w:rPr>
          <w:rFonts w:ascii="Palatino Linotype" w:eastAsia="Palatino Linotype" w:hAnsi="Palatino Linotype" w:cs="Palatino Linotype"/>
          <w:b/>
          <w:color w:val="000000" w:themeColor="text1"/>
        </w:rPr>
        <w:t>expedientes de las adquisiciones, arrendamientos, enajenaciones y servicios</w:t>
      </w:r>
      <w:r w:rsidRPr="00AE6FBA">
        <w:rPr>
          <w:rFonts w:ascii="Palatino Linotype" w:eastAsia="Palatino Linotype" w:hAnsi="Palatino Linotype" w:cs="Palatino Linotype"/>
          <w:color w:val="000000" w:themeColor="text1"/>
        </w:rPr>
        <w:t>,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“Artículo 92. </w:t>
      </w:r>
      <w:r w:rsidRPr="00AE6FBA">
        <w:rPr>
          <w:rFonts w:ascii="Palatino Linotype" w:eastAsia="Palatino Linotype" w:hAnsi="Palatino Linotype" w:cs="Palatino Linotype"/>
          <w:i/>
          <w:color w:val="000000" w:themeColor="text1"/>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i/>
          <w:color w:val="000000" w:themeColor="text1"/>
        </w:rPr>
        <w:t>(…)</w:t>
      </w:r>
    </w:p>
    <w:p w:rsidR="00133026" w:rsidRPr="00AE6FBA" w:rsidRDefault="00133026" w:rsidP="00BB4038">
      <w:pPr>
        <w:spacing w:line="360" w:lineRule="auto"/>
        <w:jc w:val="both"/>
        <w:rPr>
          <w:rFonts w:ascii="Palatino Linotype" w:eastAsia="Palatino Linotype" w:hAnsi="Palatino Linotype" w:cs="Palatino Linotype"/>
          <w:b/>
          <w:i/>
          <w:color w:val="000000" w:themeColor="text1"/>
        </w:rPr>
      </w:pP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XXIX. </w:t>
      </w:r>
      <w:r w:rsidRPr="00AE6FBA">
        <w:rPr>
          <w:rFonts w:ascii="Palatino Linotype" w:eastAsia="Palatino Linotype" w:hAnsi="Palatino Linotype" w:cs="Palatino Linotype"/>
          <w:i/>
          <w:color w:val="000000" w:themeColor="text1"/>
        </w:rPr>
        <w:t>La información sobre los procesos y resultados sobre procedimientos de adjudicación directa, invitación restringida y licitación de cualquier naturaleza, </w:t>
      </w:r>
      <w:r w:rsidRPr="00AE6FBA">
        <w:rPr>
          <w:rFonts w:ascii="Palatino Linotype" w:eastAsia="Palatino Linotype" w:hAnsi="Palatino Linotype" w:cs="Palatino Linotype"/>
          <w:b/>
          <w:i/>
          <w:color w:val="000000" w:themeColor="text1"/>
        </w:rPr>
        <w:t>incluyendo la versión pública del expediente respectivo y de los contratos</w:t>
      </w:r>
      <w:r w:rsidRPr="00AE6FBA">
        <w:rPr>
          <w:rFonts w:ascii="Palatino Linotype" w:eastAsia="Palatino Linotype" w:hAnsi="Palatino Linotype" w:cs="Palatino Linotype"/>
          <w:i/>
          <w:color w:val="000000" w:themeColor="text1"/>
        </w:rPr>
        <w:t> celebrados, que deberán contener, por los menos, lo siguiente:</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lastRenderedPageBreak/>
        <w:t>a) </w:t>
      </w:r>
      <w:r w:rsidRPr="00AE6FBA">
        <w:rPr>
          <w:rFonts w:ascii="Palatino Linotype" w:eastAsia="Palatino Linotype" w:hAnsi="Palatino Linotype" w:cs="Palatino Linotype"/>
          <w:i/>
          <w:color w:val="000000" w:themeColor="text1"/>
        </w:rPr>
        <w:t>De licitaciones públicas o procedimientos de invitación restringida:</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1)</w:t>
      </w:r>
      <w:r w:rsidRPr="00AE6FBA">
        <w:rPr>
          <w:rFonts w:ascii="Palatino Linotype" w:eastAsia="Palatino Linotype" w:hAnsi="Palatino Linotype" w:cs="Palatino Linotype"/>
          <w:i/>
          <w:color w:val="000000" w:themeColor="text1"/>
        </w:rPr>
        <w:t> La convocatoria o invitación emitida, así como los fundamentos legales aplicados para llevarla a cabo;</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2) </w:t>
      </w:r>
      <w:r w:rsidRPr="00AE6FBA">
        <w:rPr>
          <w:rFonts w:ascii="Palatino Linotype" w:eastAsia="Palatino Linotype" w:hAnsi="Palatino Linotype" w:cs="Palatino Linotype"/>
          <w:i/>
          <w:color w:val="000000" w:themeColor="text1"/>
        </w:rPr>
        <w:t>Los nombres de los participantes o invitados;</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3)</w:t>
      </w:r>
      <w:r w:rsidRPr="00AE6FBA">
        <w:rPr>
          <w:rFonts w:ascii="Palatino Linotype" w:eastAsia="Palatino Linotype" w:hAnsi="Palatino Linotype" w:cs="Palatino Linotype"/>
          <w:i/>
          <w:color w:val="000000" w:themeColor="text1"/>
        </w:rPr>
        <w:t> El nombre del ganador y las razones que lo justifican;</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4) </w:t>
      </w:r>
      <w:r w:rsidRPr="00AE6FBA">
        <w:rPr>
          <w:rFonts w:ascii="Palatino Linotype" w:eastAsia="Palatino Linotype" w:hAnsi="Palatino Linotype" w:cs="Palatino Linotype"/>
          <w:i/>
          <w:color w:val="000000" w:themeColor="text1"/>
        </w:rPr>
        <w:t>El área solicitante y la responsable de su ejecución;</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5) </w:t>
      </w:r>
      <w:r w:rsidRPr="00AE6FBA">
        <w:rPr>
          <w:rFonts w:ascii="Palatino Linotype" w:eastAsia="Palatino Linotype" w:hAnsi="Palatino Linotype" w:cs="Palatino Linotype"/>
          <w:i/>
          <w:color w:val="000000" w:themeColor="text1"/>
        </w:rPr>
        <w:t>Las convocatorias e invitaciones emitidas;</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6) Los dictámenes y fallo de adjudicación;</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7) El contrato y, en su caso, sus anexos;</w:t>
      </w:r>
    </w:p>
    <w:p w:rsidR="00133026" w:rsidRPr="00AE6FBA" w:rsidRDefault="00BB4038" w:rsidP="00BB4038">
      <w:pPr>
        <w:spacing w:line="360" w:lineRule="auto"/>
        <w:jc w:val="both"/>
        <w:rPr>
          <w:rFonts w:ascii="Palatino Linotype" w:eastAsia="Palatino Linotype" w:hAnsi="Palatino Linotype" w:cs="Palatino Linotype"/>
          <w:i/>
          <w:color w:val="000000" w:themeColor="text1"/>
        </w:rPr>
      </w:pPr>
      <w:r w:rsidRPr="00AE6FBA">
        <w:rPr>
          <w:rFonts w:ascii="Palatino Linotype" w:eastAsia="Palatino Linotype" w:hAnsi="Palatino Linotype" w:cs="Palatino Linotype"/>
          <w:i/>
          <w:color w:val="000000" w:themeColor="text1"/>
        </w:rPr>
        <w:t>8) Los mecanismos de vigilancia y supervisión, incluyendo en su caso, los estudios de impacto urbano y ambiental, según corresponda;</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9) </w:t>
      </w:r>
      <w:r w:rsidRPr="00AE6FBA">
        <w:rPr>
          <w:rFonts w:ascii="Palatino Linotype" w:eastAsia="Palatino Linotype" w:hAnsi="Palatino Linotype" w:cs="Palatino Linotype"/>
          <w:i/>
          <w:color w:val="000000" w:themeColor="text1"/>
        </w:rPr>
        <w:t>La partida presupuestal, de conformidad con el clasificador por objeto del gasto, en el caso de ser aplicable;</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i/>
          <w:color w:val="000000" w:themeColor="text1"/>
        </w:rPr>
        <w:t>10) Origen de los recursos especificando si son federales, estatales o municipales, así como el tipo de fondo de participación o aportación respectiva;</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11) </w:t>
      </w:r>
      <w:r w:rsidRPr="00AE6FBA">
        <w:rPr>
          <w:rFonts w:ascii="Palatino Linotype" w:eastAsia="Palatino Linotype" w:hAnsi="Palatino Linotype" w:cs="Palatino Linotype"/>
          <w:i/>
          <w:color w:val="000000" w:themeColor="text1"/>
        </w:rPr>
        <w:t>Los convenios modificatorios que, en su caso, sean firmados, precisando el objeto y la fecha de celebración;</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12) </w:t>
      </w:r>
      <w:r w:rsidRPr="00AE6FBA">
        <w:rPr>
          <w:rFonts w:ascii="Palatino Linotype" w:eastAsia="Palatino Linotype" w:hAnsi="Palatino Linotype" w:cs="Palatino Linotype"/>
          <w:i/>
          <w:color w:val="000000" w:themeColor="text1"/>
        </w:rPr>
        <w:t>Los informes de avance físico y financiero sobre las obras o servicios contratados;</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13) </w:t>
      </w:r>
      <w:r w:rsidRPr="00AE6FBA">
        <w:rPr>
          <w:rFonts w:ascii="Palatino Linotype" w:eastAsia="Palatino Linotype" w:hAnsi="Palatino Linotype" w:cs="Palatino Linotype"/>
          <w:i/>
          <w:color w:val="000000" w:themeColor="text1"/>
        </w:rPr>
        <w:t>El convenio de terminación; y</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14) </w:t>
      </w:r>
      <w:r w:rsidRPr="00AE6FBA">
        <w:rPr>
          <w:rFonts w:ascii="Palatino Linotype" w:eastAsia="Palatino Linotype" w:hAnsi="Palatino Linotype" w:cs="Palatino Linotype"/>
          <w:i/>
          <w:color w:val="000000" w:themeColor="text1"/>
        </w:rPr>
        <w:t>El finiquito.</w:t>
      </w:r>
    </w:p>
    <w:p w:rsidR="00133026" w:rsidRPr="00AE6FBA" w:rsidRDefault="00BB4038" w:rsidP="00BB4038">
      <w:pPr>
        <w:spacing w:line="360" w:lineRule="auto"/>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b/>
          <w:i/>
          <w:color w:val="000000" w:themeColor="text1"/>
        </w:rPr>
        <w:t>b) De las adjudicaciones directas:</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1) </w:t>
      </w:r>
      <w:r w:rsidRPr="00AE6FBA">
        <w:rPr>
          <w:rFonts w:ascii="Palatino Linotype" w:eastAsia="Palatino Linotype" w:hAnsi="Palatino Linotype" w:cs="Palatino Linotype"/>
          <w:i/>
          <w:color w:val="000000" w:themeColor="text1"/>
        </w:rPr>
        <w:t>La propuesta enviada por el participante;</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2) </w:t>
      </w:r>
      <w:r w:rsidRPr="00AE6FBA">
        <w:rPr>
          <w:rFonts w:ascii="Palatino Linotype" w:eastAsia="Palatino Linotype" w:hAnsi="Palatino Linotype" w:cs="Palatino Linotype"/>
          <w:i/>
          <w:color w:val="000000" w:themeColor="text1"/>
        </w:rPr>
        <w:t>Los motivos y fundamentos legales aplicados para llevarla a cabo;</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3) </w:t>
      </w:r>
      <w:r w:rsidRPr="00AE6FBA">
        <w:rPr>
          <w:rFonts w:ascii="Palatino Linotype" w:eastAsia="Palatino Linotype" w:hAnsi="Palatino Linotype" w:cs="Palatino Linotype"/>
          <w:i/>
          <w:color w:val="000000" w:themeColor="text1"/>
        </w:rPr>
        <w:t>La autorización del ejercicio de la opción;</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i/>
          <w:color w:val="000000" w:themeColor="text1"/>
        </w:rPr>
        <w:lastRenderedPageBreak/>
        <w:t>4) En su caso, las cotizaciones consideradas, especificando los nombres de los proveedores y sus montos;</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5) </w:t>
      </w:r>
      <w:r w:rsidRPr="00AE6FBA">
        <w:rPr>
          <w:rFonts w:ascii="Palatino Linotype" w:eastAsia="Palatino Linotype" w:hAnsi="Palatino Linotype" w:cs="Palatino Linotype"/>
          <w:i/>
          <w:color w:val="000000" w:themeColor="text1"/>
        </w:rPr>
        <w:t>El nombre de la persona física o jurídica colectiva adjudicada;</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6) </w:t>
      </w:r>
      <w:r w:rsidRPr="00AE6FBA">
        <w:rPr>
          <w:rFonts w:ascii="Palatino Linotype" w:eastAsia="Palatino Linotype" w:hAnsi="Palatino Linotype" w:cs="Palatino Linotype"/>
          <w:i/>
          <w:color w:val="000000" w:themeColor="text1"/>
        </w:rPr>
        <w:t>La unidad administrativa solicitante y la responsable de su ejecución;</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7)</w:t>
      </w:r>
      <w:r w:rsidRPr="00AE6FBA">
        <w:rPr>
          <w:rFonts w:ascii="Palatino Linotype" w:eastAsia="Palatino Linotype" w:hAnsi="Palatino Linotype" w:cs="Palatino Linotype"/>
          <w:i/>
          <w:color w:val="000000" w:themeColor="text1"/>
        </w:rPr>
        <w:t> El número, fecha, el monto del contrato y el plazo de entrega o de ejecución de los servicios u obra;</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8) </w:t>
      </w:r>
      <w:r w:rsidRPr="00AE6FBA">
        <w:rPr>
          <w:rFonts w:ascii="Palatino Linotype" w:eastAsia="Palatino Linotype" w:hAnsi="Palatino Linotype" w:cs="Palatino Linotype"/>
          <w:i/>
          <w:color w:val="000000" w:themeColor="text1"/>
        </w:rPr>
        <w:t>Los mecanismos de vigilancia y supervisión, incluyendo, en su caso, los estudios de impacto urbano y ambiental, según corresponda;</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9) </w:t>
      </w:r>
      <w:r w:rsidRPr="00AE6FBA">
        <w:rPr>
          <w:rFonts w:ascii="Palatino Linotype" w:eastAsia="Palatino Linotype" w:hAnsi="Palatino Linotype" w:cs="Palatino Linotype"/>
          <w:i/>
          <w:color w:val="000000" w:themeColor="text1"/>
        </w:rPr>
        <w:t>Los informes de avance sobre las obras o servicios contratados;</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i/>
          <w:color w:val="000000" w:themeColor="text1"/>
        </w:rPr>
        <w:t>10) </w:t>
      </w:r>
      <w:r w:rsidRPr="00AE6FBA">
        <w:rPr>
          <w:rFonts w:ascii="Palatino Linotype" w:eastAsia="Palatino Linotype" w:hAnsi="Palatino Linotype" w:cs="Palatino Linotype"/>
          <w:i/>
          <w:color w:val="000000" w:themeColor="text1"/>
        </w:rPr>
        <w:t>El convenio de terminación; y</w:t>
      </w:r>
    </w:p>
    <w:p w:rsidR="00133026" w:rsidRPr="00AE6FBA" w:rsidRDefault="00BB4038" w:rsidP="00BB4038">
      <w:pPr>
        <w:spacing w:line="360" w:lineRule="auto"/>
        <w:jc w:val="both"/>
        <w:rPr>
          <w:rFonts w:ascii="Palatino Linotype" w:eastAsia="Palatino Linotype" w:hAnsi="Palatino Linotype" w:cs="Palatino Linotype"/>
          <w:b/>
          <w:i/>
          <w:color w:val="000000" w:themeColor="text1"/>
        </w:rPr>
      </w:pPr>
      <w:r w:rsidRPr="00AE6FBA">
        <w:rPr>
          <w:rFonts w:ascii="Palatino Linotype" w:eastAsia="Palatino Linotype" w:hAnsi="Palatino Linotype" w:cs="Palatino Linotype"/>
          <w:b/>
          <w:i/>
          <w:color w:val="000000" w:themeColor="text1"/>
        </w:rPr>
        <w:t>11) </w:t>
      </w:r>
      <w:r w:rsidRPr="00AE6FBA">
        <w:rPr>
          <w:rFonts w:ascii="Palatino Linotype" w:eastAsia="Palatino Linotype" w:hAnsi="Palatino Linotype" w:cs="Palatino Linotype"/>
          <w:i/>
          <w:color w:val="000000" w:themeColor="text1"/>
        </w:rPr>
        <w:t>El finiquito.</w:t>
      </w:r>
      <w:r w:rsidRPr="00AE6FBA">
        <w:rPr>
          <w:rFonts w:ascii="Palatino Linotype" w:eastAsia="Palatino Linotype" w:hAnsi="Palatino Linotype" w:cs="Palatino Linotype"/>
          <w:b/>
          <w:i/>
          <w:color w:val="000000" w:themeColor="text1"/>
        </w:rPr>
        <w:t>”</w:t>
      </w:r>
    </w:p>
    <w:p w:rsidR="00133026" w:rsidRPr="00AE6FBA" w:rsidRDefault="00133026" w:rsidP="00BB4038">
      <w:pPr>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En consecuencia, se determina que existe fuente obligacional para celebrar contratos relacionados con la adquisición de bienes y servicios, a través de procedimientos de licitación, invitación restringida o 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13" w:name="_heading=h.lnxbz9" w:colFirst="0" w:colLast="0"/>
      <w:bookmarkEnd w:id="13"/>
      <w:r w:rsidRPr="00AE6FBA">
        <w:rPr>
          <w:rFonts w:ascii="Palatino Linotype" w:eastAsia="Palatino Linotype" w:hAnsi="Palatino Linotype" w:cs="Palatino Linotype"/>
          <w:b/>
          <w:color w:val="000000" w:themeColor="text1"/>
        </w:rPr>
        <w:t>QUINTO. De la versión pública.</w:t>
      </w:r>
    </w:p>
    <w:p w:rsidR="00133026" w:rsidRPr="00AE6FBA" w:rsidRDefault="00BB4038" w:rsidP="00BB4038">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Debe destacarse que, debido a la naturaleza de la información solicitada</w:t>
      </w:r>
      <w:r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color w:val="000000" w:themeColor="text1"/>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w:t>
      </w:r>
      <w:r w:rsidRPr="00AE6FBA">
        <w:rPr>
          <w:rFonts w:ascii="Palatino Linotype" w:eastAsia="Palatino Linotype" w:hAnsi="Palatino Linotype" w:cs="Palatino Linotype"/>
          <w:color w:val="000000" w:themeColor="text1"/>
        </w:rPr>
        <w:lastRenderedPageBreak/>
        <w:t>personales aun tratándose de servidores públicos y en su caso generar la versión pública de los documentos por las consideraciones que se estimen pertinentes.</w:t>
      </w:r>
    </w:p>
    <w:p w:rsidR="00133026" w:rsidRPr="00AE6FBA" w:rsidRDefault="00133026" w:rsidP="00BB403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133026" w:rsidRPr="00AE6FBA" w:rsidRDefault="00133026" w:rsidP="00BB403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
        <w:tblW w:w="9634"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836"/>
        <w:gridCol w:w="7798"/>
      </w:tblGrid>
      <w:tr w:rsidR="00BB4038" w:rsidRPr="00AE6FBA" w:rsidTr="001F43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Pr>
          <w:p w:rsidR="00133026" w:rsidRPr="00AE6FBA" w:rsidRDefault="00BB4038" w:rsidP="00BB4038">
            <w:pPr>
              <w:spacing w:line="276" w:lineRule="auto"/>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val="0"/>
                <w:color w:val="000000" w:themeColor="text1"/>
              </w:rPr>
              <w:t>a) Requisitos previos.</w:t>
            </w:r>
          </w:p>
        </w:tc>
        <w:tc>
          <w:tcPr>
            <w:tcW w:w="7798" w:type="dxa"/>
          </w:tcPr>
          <w:p w:rsidR="00133026" w:rsidRPr="00AE6FBA" w:rsidRDefault="00BB4038" w:rsidP="00BB4038">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Los artículos 100 y 122 de la Ley Estatal y de la Ley General, respectivamente, señalan que si los </w:t>
            </w:r>
            <w:r w:rsidRPr="00AE6FBA">
              <w:rPr>
                <w:rFonts w:ascii="Palatino Linotype" w:eastAsia="Palatino Linotype" w:hAnsi="Palatino Linotype" w:cs="Palatino Linotype"/>
                <w:b w:val="0"/>
                <w:color w:val="000000" w:themeColor="text1"/>
              </w:rPr>
              <w:t>Sujetos Obligados</w:t>
            </w:r>
            <w:r w:rsidRPr="00AE6FBA">
              <w:rPr>
                <w:rFonts w:ascii="Palatino Linotype" w:eastAsia="Palatino Linotype" w:hAnsi="Palatino Linotype" w:cs="Palatino Linotype"/>
                <w:color w:val="000000" w:themeColor="text1"/>
              </w:rPr>
              <w:t xml:space="preserve"> determinan que la información actualiza alguno de los supuestos de clasificación, es deber de los titulares de las áreas proponer su clasificación y no del Comité de Transparencia. </w:t>
            </w:r>
          </w:p>
          <w:p w:rsidR="00133026" w:rsidRPr="00AE6FBA" w:rsidRDefault="00BB4038" w:rsidP="00BB4038">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133026" w:rsidRPr="00AE6FBA" w:rsidRDefault="00BB4038" w:rsidP="00BB4038">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133026" w:rsidRPr="00AE6FBA" w:rsidRDefault="00BB4038" w:rsidP="00BB4038">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AE6FBA">
              <w:rPr>
                <w:rFonts w:ascii="Palatino Linotype" w:eastAsia="Palatino Linotype" w:hAnsi="Palatino Linotype" w:cs="Palatino Linotype"/>
                <w:b w:val="0"/>
                <w:color w:val="000000" w:themeColor="text1"/>
                <w:u w:val="single"/>
              </w:rPr>
              <w:t xml:space="preserve">no se puede hacer un acuerdo para clasificar de manera general todos los documentos de un expediente o área,  </w:t>
            </w:r>
            <w:r w:rsidRPr="00AE6FBA">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BB4038" w:rsidRPr="00AE6FBA" w:rsidTr="001F43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Pr>
          <w:p w:rsidR="00133026" w:rsidRPr="00AE6FBA" w:rsidRDefault="00BB4038" w:rsidP="00BB4038">
            <w:pPr>
              <w:spacing w:line="276" w:lineRule="auto"/>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val="0"/>
                <w:color w:val="000000" w:themeColor="text1"/>
              </w:rPr>
              <w:t>b) Supuestos de clasificación.</w:t>
            </w:r>
          </w:p>
        </w:tc>
        <w:tc>
          <w:tcPr>
            <w:tcW w:w="7798" w:type="dxa"/>
          </w:tcPr>
          <w:p w:rsidR="00133026" w:rsidRPr="00AE6FBA" w:rsidRDefault="00BB4038" w:rsidP="00BB403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133026" w:rsidRPr="00AE6FBA" w:rsidRDefault="00BB4038" w:rsidP="00BB403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w:t>
            </w:r>
            <w:r w:rsidRPr="00AE6FBA">
              <w:rPr>
                <w:rFonts w:ascii="Palatino Linotype" w:eastAsia="Palatino Linotype" w:hAnsi="Palatino Linotype" w:cs="Palatino Linotype"/>
                <w:color w:val="000000" w:themeColor="text1"/>
              </w:rPr>
              <w:lastRenderedPageBreak/>
              <w:t>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33026" w:rsidRPr="00AE6FBA" w:rsidRDefault="00BB4038" w:rsidP="00BB403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El </w:t>
            </w:r>
            <w:r w:rsidRPr="00AE6FBA">
              <w:rPr>
                <w:rFonts w:ascii="Palatino Linotype" w:eastAsia="Palatino Linotype" w:hAnsi="Palatino Linotype" w:cs="Palatino Linotype"/>
                <w:b/>
                <w:color w:val="000000" w:themeColor="text1"/>
              </w:rPr>
              <w:t>SUJETO OBLIGADO</w:t>
            </w:r>
            <w:r w:rsidRPr="00AE6FBA">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B4038" w:rsidRPr="00AE6FBA" w:rsidTr="001F4337">
        <w:tc>
          <w:tcPr>
            <w:cnfStyle w:val="001000000000" w:firstRow="0" w:lastRow="0" w:firstColumn="1" w:lastColumn="0" w:oddVBand="0" w:evenVBand="0" w:oddHBand="0" w:evenHBand="0" w:firstRowFirstColumn="0" w:firstRowLastColumn="0" w:lastRowFirstColumn="0" w:lastRowLastColumn="0"/>
            <w:tcW w:w="1836" w:type="dxa"/>
          </w:tcPr>
          <w:p w:rsidR="00133026" w:rsidRPr="00AE6FBA" w:rsidRDefault="00BB4038" w:rsidP="00BB4038">
            <w:pPr>
              <w:spacing w:line="276" w:lineRule="auto"/>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val="0"/>
                <w:color w:val="000000" w:themeColor="text1"/>
              </w:rPr>
              <w:lastRenderedPageBreak/>
              <w:t>c) Formalidades para emitir el acuerdo de clasificación.</w:t>
            </w:r>
          </w:p>
        </w:tc>
        <w:tc>
          <w:tcPr>
            <w:tcW w:w="7798" w:type="dxa"/>
          </w:tcPr>
          <w:p w:rsidR="00133026" w:rsidRPr="00AE6FBA" w:rsidRDefault="00BB4038" w:rsidP="00BB4038">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133026" w:rsidRPr="00AE6FBA" w:rsidRDefault="00BB4038" w:rsidP="00BB4038">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Es necesario que </w:t>
            </w:r>
            <w:r w:rsidRPr="00AE6FBA">
              <w:rPr>
                <w:rFonts w:ascii="Palatino Linotype" w:eastAsia="Palatino Linotype" w:hAnsi="Palatino Linotype" w:cs="Palatino Linotype"/>
                <w:b/>
                <w:color w:val="000000" w:themeColor="text1"/>
                <w:u w:val="single"/>
              </w:rPr>
              <w:t>el acto reúna con los requisitos elementales</w:t>
            </w:r>
            <w:r w:rsidRPr="00AE6FBA">
              <w:rPr>
                <w:rFonts w:ascii="Palatino Linotype" w:eastAsia="Palatino Linotype" w:hAnsi="Palatino Linotype" w:cs="Palatino Linotype"/>
                <w:color w:val="000000" w:themeColor="text1"/>
              </w:rPr>
              <w:t>, entre ellos, que la autoridad que va a emitir el acto de autoridad sea la legalmente facultada para ello.</w:t>
            </w:r>
          </w:p>
          <w:p w:rsidR="00133026" w:rsidRPr="00AE6FBA" w:rsidRDefault="00BB4038" w:rsidP="00BB4038">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B4038" w:rsidRPr="00AE6FBA" w:rsidTr="001F43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Pr>
          <w:p w:rsidR="00133026" w:rsidRPr="00AE6FBA" w:rsidRDefault="00133026" w:rsidP="00BB4038">
            <w:pPr>
              <w:spacing w:line="276" w:lineRule="auto"/>
              <w:rPr>
                <w:rFonts w:ascii="Palatino Linotype" w:eastAsia="Palatino Linotype" w:hAnsi="Palatino Linotype" w:cs="Palatino Linotype"/>
                <w:color w:val="000000" w:themeColor="text1"/>
              </w:rPr>
            </w:pPr>
          </w:p>
          <w:p w:rsidR="00133026" w:rsidRPr="00AE6FBA" w:rsidRDefault="00BB4038" w:rsidP="00BB4038">
            <w:pPr>
              <w:spacing w:line="276"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val="0"/>
                <w:color w:val="000000" w:themeColor="text1"/>
              </w:rPr>
              <w:t xml:space="preserve">d) Requisitos de fondo del acuerdo de clasificación. </w:t>
            </w:r>
          </w:p>
        </w:tc>
        <w:tc>
          <w:tcPr>
            <w:tcW w:w="7798" w:type="dxa"/>
          </w:tcPr>
          <w:p w:rsidR="00133026" w:rsidRPr="00AE6FBA" w:rsidRDefault="00BB4038" w:rsidP="00BB403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E6FBA">
              <w:rPr>
                <w:rFonts w:ascii="Palatino Linotype" w:eastAsia="Palatino Linotype" w:hAnsi="Palatino Linotype" w:cs="Palatino Linotype"/>
                <w:b/>
                <w:color w:val="000000" w:themeColor="text1"/>
              </w:rPr>
              <w:t>Sujetos Obligados</w:t>
            </w:r>
            <w:r w:rsidRPr="00AE6FBA">
              <w:rPr>
                <w:rFonts w:ascii="Palatino Linotype" w:eastAsia="Palatino Linotype" w:hAnsi="Palatino Linotype" w:cs="Palatino Linotype"/>
                <w:color w:val="000000" w:themeColor="text1"/>
              </w:rPr>
              <w:t xml:space="preserve">, por lo que deberán fundar y motivar debidamente la clasificación. </w:t>
            </w:r>
          </w:p>
          <w:p w:rsidR="00133026" w:rsidRPr="00AE6FBA" w:rsidRDefault="00BB4038" w:rsidP="00BB403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lastRenderedPageBreak/>
              <w:t xml:space="preserve">De lo anterior, se desprende que para una correcta </w:t>
            </w:r>
            <w:r w:rsidRPr="00AE6FBA">
              <w:rPr>
                <w:rFonts w:ascii="Palatino Linotype" w:eastAsia="Palatino Linotype" w:hAnsi="Palatino Linotype" w:cs="Palatino Linotype"/>
                <w:b/>
                <w:color w:val="000000" w:themeColor="text1"/>
              </w:rPr>
              <w:t>clasificación total o parcial</w:t>
            </w:r>
            <w:r w:rsidRPr="00AE6FBA">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33026" w:rsidRPr="00AE6FBA" w:rsidRDefault="00BB4038" w:rsidP="00BB403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33026" w:rsidRPr="00AE6FBA" w:rsidRDefault="00BB4038" w:rsidP="00BB403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133026" w:rsidRPr="00AE6FBA" w:rsidRDefault="00BB4038" w:rsidP="00BB403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Ahora bien, </w:t>
            </w:r>
            <w:r w:rsidRPr="00AE6FBA">
              <w:rPr>
                <w:rFonts w:ascii="Palatino Linotype" w:eastAsia="Palatino Linotype" w:hAnsi="Palatino Linotype" w:cs="Palatino Linotype"/>
                <w:b/>
                <w:color w:val="000000" w:themeColor="text1"/>
                <w:u w:val="single"/>
              </w:rPr>
              <w:t>para cada caso además de fundar y motivar</w:t>
            </w:r>
            <w:r w:rsidRPr="00AE6FBA">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B4038" w:rsidRPr="00AE6FBA" w:rsidTr="001F4337">
        <w:tc>
          <w:tcPr>
            <w:cnfStyle w:val="001000000000" w:firstRow="0" w:lastRow="0" w:firstColumn="1" w:lastColumn="0" w:oddVBand="0" w:evenVBand="0" w:oddHBand="0" w:evenHBand="0" w:firstRowFirstColumn="0" w:firstRowLastColumn="0" w:lastRowFirstColumn="0" w:lastRowLastColumn="0"/>
            <w:tcW w:w="1836" w:type="dxa"/>
          </w:tcPr>
          <w:p w:rsidR="00133026" w:rsidRPr="00AE6FBA" w:rsidRDefault="00BB4038" w:rsidP="00BB4038">
            <w:pPr>
              <w:spacing w:line="276"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val="0"/>
                <w:color w:val="000000" w:themeColor="text1"/>
              </w:rPr>
              <w:lastRenderedPageBreak/>
              <w:t xml:space="preserve">e) Condiciones especiales de la clasificación de la información como confidencial. </w:t>
            </w:r>
          </w:p>
          <w:p w:rsidR="00133026" w:rsidRPr="00AE6FBA" w:rsidRDefault="00133026" w:rsidP="00BB4038">
            <w:pPr>
              <w:spacing w:line="276" w:lineRule="auto"/>
              <w:rPr>
                <w:rFonts w:ascii="Palatino Linotype" w:eastAsia="Palatino Linotype" w:hAnsi="Palatino Linotype" w:cs="Palatino Linotype"/>
                <w:color w:val="000000" w:themeColor="text1"/>
              </w:rPr>
            </w:pPr>
          </w:p>
        </w:tc>
        <w:tc>
          <w:tcPr>
            <w:tcW w:w="7798" w:type="dxa"/>
          </w:tcPr>
          <w:p w:rsidR="00133026" w:rsidRPr="00AE6FBA" w:rsidRDefault="00BB4038" w:rsidP="00BB4038">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133026" w:rsidRPr="00AE6FBA" w:rsidRDefault="00BB4038" w:rsidP="00BB4038">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w:t>
            </w:r>
            <w:r w:rsidRPr="00AE6FBA">
              <w:rPr>
                <w:rFonts w:ascii="Palatino Linotype" w:eastAsia="Palatino Linotype" w:hAnsi="Palatino Linotype" w:cs="Palatino Linotype"/>
                <w:color w:val="000000" w:themeColor="text1"/>
              </w:rPr>
              <w:lastRenderedPageBreak/>
              <w:t xml:space="preserve">los servidores públicos nos encontramos sujetos a un régimen menor de protección. </w:t>
            </w:r>
          </w:p>
          <w:p w:rsidR="00133026" w:rsidRPr="00AE6FBA" w:rsidRDefault="00BB4038" w:rsidP="00BB4038">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33026" w:rsidRPr="00AE6FBA" w:rsidRDefault="00133026" w:rsidP="00BB4038">
      <w:pPr>
        <w:tabs>
          <w:tab w:val="left" w:pos="284"/>
        </w:tabs>
        <w:spacing w:before="240"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4" w:name="_heading=h.35nkun2" w:colFirst="0" w:colLast="0"/>
      <w:bookmarkEnd w:id="14"/>
      <w:r w:rsidRPr="00AE6FBA">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AE6FBA">
        <w:rPr>
          <w:rFonts w:ascii="Palatino Linotype" w:eastAsia="Palatino Linotype" w:hAnsi="Palatino Linotype" w:cs="Palatino Linotype"/>
          <w:b/>
          <w:color w:val="000000" w:themeColor="text1"/>
        </w:rPr>
        <w:t xml:space="preserve"> RECURRENTE</w:t>
      </w:r>
      <w:r w:rsidRPr="00AE6FBA">
        <w:rPr>
          <w:rFonts w:ascii="Palatino Linotype" w:eastAsia="Palatino Linotype" w:hAnsi="Palatino Linotype" w:cs="Palatino Linotype"/>
          <w:color w:val="000000" w:themeColor="text1"/>
        </w:rPr>
        <w:t xml:space="preserve">, determinando </w:t>
      </w:r>
      <w:r w:rsidRPr="00AE6FBA">
        <w:rPr>
          <w:rFonts w:ascii="Palatino Linotype" w:eastAsia="Palatino Linotype" w:hAnsi="Palatino Linotype" w:cs="Palatino Linotype"/>
          <w:b/>
          <w:color w:val="000000" w:themeColor="text1"/>
        </w:rPr>
        <w:t xml:space="preserve">MODIFICAR </w:t>
      </w:r>
      <w:r w:rsidRPr="00AE6FBA">
        <w:rPr>
          <w:rFonts w:ascii="Palatino Linotype" w:eastAsia="Palatino Linotype" w:hAnsi="Palatino Linotype" w:cs="Palatino Linotype"/>
          <w:color w:val="000000" w:themeColor="text1"/>
        </w:rPr>
        <w:t xml:space="preserve">la respuesta del </w:t>
      </w:r>
      <w:r w:rsidRPr="00AE6FBA">
        <w:rPr>
          <w:rFonts w:ascii="Palatino Linotype" w:eastAsia="Palatino Linotype" w:hAnsi="Palatino Linotype" w:cs="Palatino Linotype"/>
          <w:b/>
          <w:color w:val="000000" w:themeColor="text1"/>
        </w:rPr>
        <w:t>SUJETO OBLIGADO</w:t>
      </w:r>
      <w:r w:rsidRPr="00AE6FBA">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AE6FBA">
        <w:rPr>
          <w:rFonts w:ascii="Palatino Linotype" w:eastAsia="Palatino Linotype" w:hAnsi="Palatino Linotype" w:cs="Palatino Linotype"/>
          <w:b/>
          <w:color w:val="000000" w:themeColor="text1"/>
        </w:rPr>
        <w:t>ÓRGANO GARANTE</w:t>
      </w:r>
      <w:r w:rsidRPr="00AE6FBA">
        <w:rPr>
          <w:rFonts w:ascii="Palatino Linotype" w:eastAsia="Palatino Linotype" w:hAnsi="Palatino Linotype" w:cs="Palatino Linotype"/>
          <w:color w:val="000000" w:themeColor="text1"/>
        </w:rPr>
        <w:t xml:space="preserve"> emite los siguientes.</w:t>
      </w:r>
    </w:p>
    <w:p w:rsidR="00133026" w:rsidRPr="00AE6FBA" w:rsidRDefault="00133026" w:rsidP="00BB4038">
      <w:pPr>
        <w:keepNext/>
        <w:keepLines/>
        <w:spacing w:line="360" w:lineRule="auto"/>
        <w:jc w:val="center"/>
        <w:rPr>
          <w:rFonts w:ascii="Palatino Linotype" w:eastAsia="Palatino Linotype" w:hAnsi="Palatino Linotype" w:cs="Palatino Linotype"/>
          <w:b/>
          <w:color w:val="000000" w:themeColor="text1"/>
        </w:rPr>
      </w:pPr>
    </w:p>
    <w:p w:rsidR="00133026" w:rsidRPr="00AE6FBA" w:rsidRDefault="00BB4038" w:rsidP="00BB4038">
      <w:pPr>
        <w:keepNext/>
        <w:keepLines/>
        <w:spacing w:line="360" w:lineRule="auto"/>
        <w:jc w:val="center"/>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b/>
          <w:color w:val="000000" w:themeColor="text1"/>
        </w:rPr>
        <w:t xml:space="preserve">R E S O L U T I V O S </w:t>
      </w:r>
    </w:p>
    <w:p w:rsidR="00133026" w:rsidRPr="00AE6FBA" w:rsidRDefault="00133026" w:rsidP="00BB4038">
      <w:pPr>
        <w:spacing w:line="360" w:lineRule="auto"/>
        <w:rPr>
          <w:rFonts w:ascii="Palatino Linotype" w:eastAsia="Palatino Linotype" w:hAnsi="Palatino Linotype" w:cs="Palatino Linotype"/>
          <w:color w:val="000000" w:themeColor="text1"/>
        </w:rPr>
      </w:pPr>
    </w:p>
    <w:p w:rsidR="00133026" w:rsidRDefault="00BB4038" w:rsidP="00BB4038">
      <w:pPr>
        <w:spacing w:line="360" w:lineRule="auto"/>
        <w:jc w:val="both"/>
        <w:rPr>
          <w:rFonts w:ascii="Palatino Linotype" w:eastAsia="Palatino Linotype" w:hAnsi="Palatino Linotype" w:cs="Palatino Linotype"/>
          <w:color w:val="000000" w:themeColor="text1"/>
        </w:rPr>
      </w:pPr>
      <w:bookmarkStart w:id="15" w:name="_heading=h.1ksv4uv" w:colFirst="0" w:colLast="0"/>
      <w:bookmarkEnd w:id="15"/>
      <w:r w:rsidRPr="00AE6FBA">
        <w:rPr>
          <w:rFonts w:ascii="Palatino Linotype" w:eastAsia="Palatino Linotype" w:hAnsi="Palatino Linotype" w:cs="Palatino Linotype"/>
          <w:b/>
          <w:color w:val="000000" w:themeColor="text1"/>
        </w:rPr>
        <w:t>PRIMERO</w:t>
      </w:r>
      <w:r w:rsidRPr="00AE6FBA">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AE6FBA">
        <w:rPr>
          <w:rFonts w:ascii="Palatino Linotype" w:eastAsia="Palatino Linotype" w:hAnsi="Palatino Linotype" w:cs="Palatino Linotype"/>
          <w:b/>
          <w:color w:val="000000" w:themeColor="text1"/>
        </w:rPr>
        <w:t>04843/INFOEM/IP/RR/2025</w:t>
      </w:r>
      <w:r w:rsidRPr="00AE6FBA">
        <w:rPr>
          <w:rFonts w:ascii="Palatino Linotype" w:eastAsia="Palatino Linotype" w:hAnsi="Palatino Linotype" w:cs="Palatino Linotype"/>
          <w:color w:val="000000" w:themeColor="text1"/>
        </w:rPr>
        <w:t xml:space="preserve"> en términos de los Considerandos </w:t>
      </w:r>
      <w:r w:rsidRPr="00AE6FBA">
        <w:rPr>
          <w:rFonts w:ascii="Palatino Linotype" w:eastAsia="Palatino Linotype" w:hAnsi="Palatino Linotype" w:cs="Palatino Linotype"/>
          <w:b/>
          <w:color w:val="000000" w:themeColor="text1"/>
        </w:rPr>
        <w:t>CUARTO</w:t>
      </w:r>
      <w:r w:rsidRPr="00AE6FBA">
        <w:rPr>
          <w:rFonts w:ascii="Palatino Linotype" w:eastAsia="Palatino Linotype" w:hAnsi="Palatino Linotype" w:cs="Palatino Linotype"/>
          <w:color w:val="000000" w:themeColor="text1"/>
        </w:rPr>
        <w:t xml:space="preserve"> de la presente resolución.</w:t>
      </w:r>
    </w:p>
    <w:p w:rsidR="001F4337" w:rsidRPr="00AE6FBA" w:rsidRDefault="001F4337" w:rsidP="00BB4038">
      <w:pP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color w:val="000000" w:themeColor="text1"/>
        </w:rPr>
        <w:lastRenderedPageBreak/>
        <w:t xml:space="preserve">SEGUNDO. </w:t>
      </w:r>
      <w:r w:rsidRPr="00AE6FBA">
        <w:rPr>
          <w:rFonts w:ascii="Palatino Linotype" w:eastAsia="Palatino Linotype" w:hAnsi="Palatino Linotype" w:cs="Palatino Linotype"/>
          <w:color w:val="000000" w:themeColor="text1"/>
        </w:rPr>
        <w:t xml:space="preserve">Se </w:t>
      </w:r>
      <w:r w:rsidRPr="00AE6FBA">
        <w:rPr>
          <w:rFonts w:ascii="Palatino Linotype" w:eastAsia="Palatino Linotype" w:hAnsi="Palatino Linotype" w:cs="Palatino Linotype"/>
          <w:b/>
          <w:color w:val="000000" w:themeColor="text1"/>
        </w:rPr>
        <w:t xml:space="preserve">MODIFICA </w:t>
      </w:r>
      <w:r w:rsidRPr="00AE6FBA">
        <w:rPr>
          <w:rFonts w:ascii="Palatino Linotype" w:eastAsia="Palatino Linotype" w:hAnsi="Palatino Linotype" w:cs="Palatino Linotype"/>
          <w:color w:val="000000" w:themeColor="text1"/>
        </w:rPr>
        <w:t xml:space="preserve">la respuesta del </w:t>
      </w:r>
      <w:r w:rsidRPr="00AE6FBA">
        <w:rPr>
          <w:rFonts w:ascii="Palatino Linotype" w:eastAsia="Palatino Linotype" w:hAnsi="Palatino Linotype" w:cs="Palatino Linotype"/>
          <w:b/>
          <w:color w:val="000000" w:themeColor="text1"/>
        </w:rPr>
        <w:t>Ayuntamiento de Atlacomulco</w:t>
      </w:r>
      <w:r w:rsidRPr="00AE6FBA">
        <w:rPr>
          <w:rFonts w:ascii="Palatino Linotype" w:eastAsia="Palatino Linotype" w:hAnsi="Palatino Linotype" w:cs="Palatino Linotype"/>
          <w:color w:val="000000" w:themeColor="text1"/>
        </w:rPr>
        <w:t>, a la solicitud de información</w:t>
      </w:r>
      <w:r w:rsidRPr="00AE6FBA">
        <w:rPr>
          <w:rFonts w:ascii="Palatino Linotype" w:eastAsia="Palatino Linotype" w:hAnsi="Palatino Linotype" w:cs="Palatino Linotype"/>
          <w:b/>
          <w:color w:val="000000" w:themeColor="text1"/>
        </w:rPr>
        <w:t xml:space="preserve"> 00263/ATLACOM/IP/2025 </w:t>
      </w:r>
      <w:r w:rsidRPr="00AE6FBA">
        <w:rPr>
          <w:rFonts w:ascii="Palatino Linotype" w:eastAsia="Palatino Linotype" w:hAnsi="Palatino Linotype" w:cs="Palatino Linotype"/>
          <w:color w:val="000000" w:themeColor="text1"/>
        </w:rPr>
        <w:t>y</w:t>
      </w:r>
      <w:r w:rsidRPr="00AE6FBA">
        <w:rPr>
          <w:rFonts w:ascii="Palatino Linotype" w:eastAsia="Palatino Linotype" w:hAnsi="Palatino Linotype" w:cs="Palatino Linotype"/>
          <w:b/>
          <w:color w:val="000000" w:themeColor="text1"/>
        </w:rPr>
        <w:t xml:space="preserve"> </w:t>
      </w:r>
      <w:r w:rsidRPr="00AE6FBA">
        <w:rPr>
          <w:rFonts w:ascii="Palatino Linotype" w:eastAsia="Palatino Linotype" w:hAnsi="Palatino Linotype" w:cs="Palatino Linotype"/>
          <w:color w:val="000000" w:themeColor="text1"/>
        </w:rPr>
        <w:t xml:space="preserve">se </w:t>
      </w:r>
      <w:r w:rsidRPr="00AE6FBA">
        <w:rPr>
          <w:rFonts w:ascii="Palatino Linotype" w:eastAsia="Palatino Linotype" w:hAnsi="Palatino Linotype" w:cs="Palatino Linotype"/>
          <w:b/>
          <w:color w:val="000000" w:themeColor="text1"/>
        </w:rPr>
        <w:t>ORDENA</w:t>
      </w:r>
      <w:r w:rsidRPr="00AE6FBA">
        <w:rPr>
          <w:rFonts w:ascii="Palatino Linotype" w:eastAsia="Palatino Linotype" w:hAnsi="Palatino Linotype" w:cs="Palatino Linotype"/>
          <w:color w:val="000000" w:themeColor="text1"/>
        </w:rPr>
        <w:t xml:space="preserve"> entregar vía Sistema de Acceso a la Información Mexiquense </w:t>
      </w:r>
      <w:r w:rsidRPr="00AE6FBA">
        <w:rPr>
          <w:rFonts w:ascii="Palatino Linotype" w:eastAsia="Palatino Linotype" w:hAnsi="Palatino Linotype" w:cs="Palatino Linotype"/>
          <w:b/>
          <w:color w:val="000000" w:themeColor="text1"/>
        </w:rPr>
        <w:t>(SAIMEX)</w:t>
      </w:r>
      <w:r w:rsidRPr="00AE6FBA">
        <w:rPr>
          <w:rFonts w:ascii="Palatino Linotype" w:eastAsia="Palatino Linotype" w:hAnsi="Palatino Linotype" w:cs="Palatino Linotype"/>
          <w:color w:val="000000" w:themeColor="text1"/>
        </w:rPr>
        <w:t xml:space="preserve">, en versión pública, lo siguiente: </w:t>
      </w:r>
    </w:p>
    <w:p w:rsidR="00133026" w:rsidRPr="00AE6FBA" w:rsidRDefault="00133026" w:rsidP="00BB4038">
      <w:pP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E6FBA">
        <w:rPr>
          <w:rFonts w:ascii="Palatino Linotype" w:eastAsia="Palatino Linotype" w:hAnsi="Palatino Linotype" w:cs="Palatino Linotype"/>
          <w:b/>
          <w:color w:val="000000" w:themeColor="text1"/>
        </w:rPr>
        <w:t>Facturas generadas con motivo de las Obras de Rehabilitación referidas en respuesta a la solicitud de información.</w:t>
      </w:r>
    </w:p>
    <w:p w:rsidR="00133026" w:rsidRPr="00AE6FBA" w:rsidRDefault="00133026" w:rsidP="00BB403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w:t>
      </w:r>
      <w:r w:rsidRPr="00AE6FBA">
        <w:rPr>
          <w:rFonts w:ascii="Palatino Linotype" w:eastAsia="Palatino Linotype" w:hAnsi="Palatino Linotype" w:cs="Palatino Linotype"/>
          <w:b/>
          <w:color w:val="000000" w:themeColor="text1"/>
        </w:rPr>
        <w:t>del RECURRENTE</w:t>
      </w:r>
      <w:r w:rsidRPr="00AE6FBA">
        <w:rPr>
          <w:rFonts w:ascii="Palatino Linotype" w:eastAsia="Palatino Linotype" w:hAnsi="Palatino Linotype" w:cs="Palatino Linotype"/>
          <w:color w:val="000000" w:themeColor="text1"/>
        </w:rPr>
        <w:t>.</w:t>
      </w:r>
    </w:p>
    <w:p w:rsidR="00133026" w:rsidRPr="00AE6FBA" w:rsidRDefault="00133026" w:rsidP="00BB4038">
      <w:pPr>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color w:val="000000" w:themeColor="text1"/>
        </w:rPr>
        <w:t>TERCERO. NOTIFÍQUESE</w:t>
      </w:r>
      <w:r w:rsidRPr="00AE6FBA">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E6FBA">
        <w:rPr>
          <w:rFonts w:ascii="Palatino Linotype" w:eastAsia="Palatino Linotype" w:hAnsi="Palatino Linotype" w:cs="Palatino Linotype"/>
          <w:b/>
          <w:color w:val="000000" w:themeColor="text1"/>
        </w:rPr>
        <w:t xml:space="preserve">dé cumplimiento a lo ordenado dentro del plazo de diez días hábiles, </w:t>
      </w:r>
      <w:r w:rsidRPr="00AE6FBA">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133026" w:rsidRPr="00AE6FBA" w:rsidRDefault="00BB4038" w:rsidP="00BB4038">
      <w:pPr>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color w:val="000000" w:themeColor="text1"/>
        </w:rPr>
        <w:lastRenderedPageBreak/>
        <w:t xml:space="preserve">CUARTO. </w:t>
      </w:r>
      <w:r w:rsidRPr="00AE6FB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AE6FBA">
        <w:rPr>
          <w:rFonts w:ascii="Palatino Linotype" w:eastAsia="Palatino Linotype" w:hAnsi="Palatino Linotype" w:cs="Palatino Linotype"/>
          <w:b/>
          <w:color w:val="000000" w:themeColor="text1"/>
        </w:rPr>
        <w:t>SUJETO OBLIGADO</w:t>
      </w:r>
      <w:r w:rsidRPr="00AE6FB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33026" w:rsidRPr="00AE6FBA" w:rsidRDefault="00133026" w:rsidP="00BB4038">
      <w:pPr>
        <w:shd w:val="clear" w:color="auto" w:fill="FFFFFF"/>
        <w:tabs>
          <w:tab w:val="left" w:pos="284"/>
        </w:tabs>
        <w:spacing w:line="360" w:lineRule="auto"/>
        <w:jc w:val="both"/>
        <w:rPr>
          <w:rFonts w:ascii="Palatino Linotype" w:eastAsia="Palatino Linotype" w:hAnsi="Palatino Linotype" w:cs="Palatino Linotype"/>
          <w:b/>
          <w:color w:val="000000" w:themeColor="text1"/>
        </w:rPr>
      </w:pPr>
    </w:p>
    <w:p w:rsidR="00133026" w:rsidRPr="00AE6FBA" w:rsidRDefault="00BB4038" w:rsidP="00BB4038">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color w:val="000000" w:themeColor="text1"/>
        </w:rPr>
        <w:t xml:space="preserve">QUINTO. Notifíquese </w:t>
      </w:r>
      <w:r w:rsidRPr="00AE6FBA">
        <w:rPr>
          <w:rFonts w:ascii="Palatino Linotype" w:eastAsia="Palatino Linotype" w:hAnsi="Palatino Linotype" w:cs="Palatino Linotype"/>
          <w:color w:val="000000" w:themeColor="text1"/>
        </w:rPr>
        <w:t xml:space="preserve">al </w:t>
      </w:r>
      <w:r w:rsidRPr="00AE6FBA">
        <w:rPr>
          <w:rFonts w:ascii="Palatino Linotype" w:eastAsia="Palatino Linotype" w:hAnsi="Palatino Linotype" w:cs="Palatino Linotype"/>
          <w:b/>
          <w:color w:val="000000" w:themeColor="text1"/>
        </w:rPr>
        <w:t xml:space="preserve">RECURRENTE </w:t>
      </w:r>
      <w:r w:rsidRPr="00AE6FBA">
        <w:rPr>
          <w:rFonts w:ascii="Palatino Linotype" w:eastAsia="Palatino Linotype" w:hAnsi="Palatino Linotype" w:cs="Palatino Linotype"/>
          <w:color w:val="000000" w:themeColor="text1"/>
        </w:rPr>
        <w:t>la presente resolución a través del Sistema de Acceso a la Información Mexiquense (SAIMEX).</w:t>
      </w:r>
    </w:p>
    <w:p w:rsidR="00133026" w:rsidRPr="00AE6FBA" w:rsidRDefault="00133026" w:rsidP="00BB4038">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133026" w:rsidRPr="00AE6FBA" w:rsidRDefault="00BB4038" w:rsidP="00BB4038">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b/>
          <w:color w:val="000000" w:themeColor="text1"/>
        </w:rPr>
        <w:t xml:space="preserve">SEXTO. </w:t>
      </w:r>
      <w:r w:rsidRPr="00AE6FBA">
        <w:rPr>
          <w:rFonts w:ascii="Palatino Linotype" w:eastAsia="Palatino Linotype" w:hAnsi="Palatino Linotype" w:cs="Palatino Linotype"/>
          <w:color w:val="000000" w:themeColor="text1"/>
        </w:rPr>
        <w:t xml:space="preserve"> Se hace del conocimiento del</w:t>
      </w:r>
      <w:r w:rsidRPr="00AE6FBA">
        <w:rPr>
          <w:rFonts w:ascii="Palatino Linotype" w:eastAsia="Palatino Linotype" w:hAnsi="Palatino Linotype" w:cs="Palatino Linotype"/>
          <w:b/>
          <w:color w:val="000000" w:themeColor="text1"/>
        </w:rPr>
        <w:t xml:space="preserve"> RECURRENTE </w:t>
      </w:r>
      <w:r w:rsidRPr="00AE6FBA">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33026" w:rsidRPr="00BB4038" w:rsidRDefault="00AE6FBA" w:rsidP="00BB4038">
      <w:pPr>
        <w:spacing w:before="240" w:after="240" w:line="360" w:lineRule="auto"/>
        <w:ind w:firstLine="1"/>
        <w:jc w:val="both"/>
        <w:rPr>
          <w:rFonts w:ascii="Palatino Linotype" w:eastAsia="Palatino Linotype" w:hAnsi="Palatino Linotype" w:cs="Palatino Linotype"/>
          <w:color w:val="000000" w:themeColor="text1"/>
        </w:rPr>
      </w:pPr>
      <w:r w:rsidRPr="00AE6FBA">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8A213B" w:rsidRPr="00AE6FBA">
        <w:rPr>
          <w:rFonts w:ascii="Palatino Linotype" w:eastAsia="Palatino Linotype" w:hAnsi="Palatino Linotype" w:cs="Palatino Linotype"/>
          <w:color w:val="000000" w:themeColor="text1"/>
        </w:rPr>
        <w:t>.</w:t>
      </w:r>
      <w:r w:rsidR="00BB4038" w:rsidRPr="00BB4038">
        <w:rPr>
          <w:rFonts w:ascii="Palatino Linotype" w:eastAsia="Palatino Linotype" w:hAnsi="Palatino Linotype" w:cs="Palatino Linotype"/>
          <w:color w:val="000000" w:themeColor="text1"/>
        </w:rPr>
        <w:t xml:space="preserve"> </w:t>
      </w:r>
    </w:p>
    <w:p w:rsidR="00133026" w:rsidRPr="00BB4038" w:rsidRDefault="00133026" w:rsidP="00BB4038">
      <w:pPr>
        <w:spacing w:line="360" w:lineRule="auto"/>
        <w:jc w:val="both"/>
        <w:rPr>
          <w:rFonts w:ascii="Palatino Linotype" w:eastAsia="Palatino Linotype" w:hAnsi="Palatino Linotype" w:cs="Palatino Linotype"/>
          <w:color w:val="000000" w:themeColor="text1"/>
        </w:rPr>
      </w:pPr>
    </w:p>
    <w:p w:rsidR="00133026" w:rsidRPr="00BB4038" w:rsidRDefault="00133026" w:rsidP="00BB4038">
      <w:pPr>
        <w:spacing w:line="360" w:lineRule="auto"/>
        <w:jc w:val="both"/>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p w:rsidR="00133026" w:rsidRPr="00BB4038" w:rsidRDefault="00133026" w:rsidP="00BB4038">
      <w:pPr>
        <w:spacing w:line="360" w:lineRule="auto"/>
        <w:rPr>
          <w:rFonts w:ascii="Palatino Linotype" w:eastAsia="Palatino Linotype" w:hAnsi="Palatino Linotype" w:cs="Palatino Linotype"/>
          <w:color w:val="000000" w:themeColor="text1"/>
        </w:rPr>
      </w:pPr>
    </w:p>
    <w:sectPr w:rsidR="00133026" w:rsidRPr="00BB4038" w:rsidSect="001F4337">
      <w:headerReference w:type="default" r:id="rId9"/>
      <w:footerReference w:type="default" r:id="rId10"/>
      <w:headerReference w:type="first" r:id="rId11"/>
      <w:footerReference w:type="first" r:id="rId12"/>
      <w:pgSz w:w="12240" w:h="15840"/>
      <w:pgMar w:top="2177"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321" w:rsidRDefault="00AE4321">
      <w:r>
        <w:separator/>
      </w:r>
    </w:p>
  </w:endnote>
  <w:endnote w:type="continuationSeparator" w:id="0">
    <w:p w:rsidR="00AE4321" w:rsidRDefault="00AE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C9" w:rsidRDefault="009460C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F4337">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F4337">
      <w:rPr>
        <w:rFonts w:ascii="Arial" w:eastAsia="Arial" w:hAnsi="Arial" w:cs="Arial"/>
        <w:b/>
        <w:noProof/>
        <w:color w:val="000000"/>
        <w:sz w:val="20"/>
        <w:szCs w:val="20"/>
      </w:rPr>
      <w:t>46</w:t>
    </w:r>
    <w:r>
      <w:rPr>
        <w:rFonts w:ascii="Arial" w:eastAsia="Arial" w:hAnsi="Arial" w:cs="Arial"/>
        <w:b/>
        <w:color w:val="000000"/>
        <w:sz w:val="20"/>
        <w:szCs w:val="20"/>
      </w:rPr>
      <w:fldChar w:fldCharType="end"/>
    </w:r>
  </w:p>
  <w:p w:rsidR="009460C9" w:rsidRDefault="009460C9">
    <w:pPr>
      <w:pBdr>
        <w:top w:val="nil"/>
        <w:left w:val="nil"/>
        <w:bottom w:val="nil"/>
        <w:right w:val="nil"/>
        <w:between w:val="nil"/>
      </w:pBdr>
      <w:tabs>
        <w:tab w:val="center" w:pos="4252"/>
        <w:tab w:val="right" w:pos="8504"/>
      </w:tabs>
      <w:rPr>
        <w:color w:val="000000"/>
      </w:rPr>
    </w:pPr>
  </w:p>
  <w:p w:rsidR="009460C9" w:rsidRDefault="009460C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C9" w:rsidRDefault="009460C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F433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F4337">
      <w:rPr>
        <w:rFonts w:ascii="Arial" w:eastAsia="Arial" w:hAnsi="Arial" w:cs="Arial"/>
        <w:b/>
        <w:noProof/>
        <w:color w:val="000000"/>
        <w:sz w:val="20"/>
        <w:szCs w:val="20"/>
      </w:rPr>
      <w:t>46</w:t>
    </w:r>
    <w:r>
      <w:rPr>
        <w:rFonts w:ascii="Arial" w:eastAsia="Arial" w:hAnsi="Arial" w:cs="Arial"/>
        <w:b/>
        <w:color w:val="000000"/>
        <w:sz w:val="20"/>
        <w:szCs w:val="20"/>
      </w:rPr>
      <w:fldChar w:fldCharType="end"/>
    </w:r>
  </w:p>
  <w:p w:rsidR="009460C9" w:rsidRDefault="009460C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321" w:rsidRDefault="00AE4321">
      <w:r>
        <w:separator/>
      </w:r>
    </w:p>
  </w:footnote>
  <w:footnote w:type="continuationSeparator" w:id="0">
    <w:p w:rsidR="00AE4321" w:rsidRDefault="00AE4321">
      <w:r>
        <w:continuationSeparator/>
      </w:r>
    </w:p>
  </w:footnote>
  <w:footnote w:id="1">
    <w:p w:rsidR="009460C9" w:rsidRDefault="009460C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9460C9" w:rsidRDefault="009460C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9460C9" w:rsidRDefault="009460C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9460C9" w:rsidRDefault="009460C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9460C9" w:rsidRDefault="009460C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9460C9" w:rsidRDefault="009460C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9460C9" w:rsidRDefault="009460C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9460C9" w:rsidRDefault="009460C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21" w:type="dxa"/>
      <w:tblInd w:w="3828" w:type="dxa"/>
      <w:tblLayout w:type="fixed"/>
      <w:tblLook w:val="0400" w:firstRow="0" w:lastRow="0" w:firstColumn="0" w:lastColumn="0" w:noHBand="0" w:noVBand="1"/>
    </w:tblPr>
    <w:tblGrid>
      <w:gridCol w:w="2835"/>
      <w:gridCol w:w="3686"/>
    </w:tblGrid>
    <w:tr w:rsidR="009460C9" w:rsidRPr="00BB4038" w:rsidTr="001F4337">
      <w:tc>
        <w:tcPr>
          <w:tcW w:w="2835" w:type="dxa"/>
          <w:vAlign w:val="center"/>
        </w:tcPr>
        <w:p w:rsidR="009460C9" w:rsidRPr="00BB4038" w:rsidRDefault="009460C9" w:rsidP="00BB4038">
          <w:pPr>
            <w:jc w:val="right"/>
            <w:rPr>
              <w:rFonts w:ascii="Palatino Linotype" w:eastAsia="Palatino Linotype" w:hAnsi="Palatino Linotype" w:cs="Palatino Linotype"/>
              <w:b/>
            </w:rPr>
          </w:pPr>
          <w:r w:rsidRPr="00BB4038">
            <w:rPr>
              <w:rFonts w:ascii="Palatino Linotype" w:eastAsia="Palatino Linotype" w:hAnsi="Palatino Linotype" w:cs="Palatino Linotype"/>
              <w:b/>
            </w:rPr>
            <w:t>Recurso de Revisión:</w:t>
          </w:r>
        </w:p>
      </w:tc>
      <w:tc>
        <w:tcPr>
          <w:tcW w:w="3686" w:type="dxa"/>
          <w:vAlign w:val="center"/>
        </w:tcPr>
        <w:p w:rsidR="009460C9" w:rsidRPr="00BB4038" w:rsidRDefault="009460C9" w:rsidP="00BB4038">
          <w:pPr>
            <w:ind w:left="-115"/>
            <w:jc w:val="both"/>
            <w:rPr>
              <w:rFonts w:ascii="Palatino Linotype" w:eastAsia="Palatino Linotype" w:hAnsi="Palatino Linotype" w:cs="Palatino Linotype"/>
            </w:rPr>
          </w:pPr>
          <w:r w:rsidRPr="00BB4038">
            <w:rPr>
              <w:rFonts w:ascii="Palatino Linotype" w:eastAsia="Palatino Linotype" w:hAnsi="Palatino Linotype" w:cs="Palatino Linotype"/>
            </w:rPr>
            <w:t>04843/INFOEM/IP/RR/2025</w:t>
          </w:r>
        </w:p>
      </w:tc>
    </w:tr>
    <w:tr w:rsidR="009460C9" w:rsidRPr="00BB4038" w:rsidTr="001F4337">
      <w:trPr>
        <w:trHeight w:val="228"/>
      </w:trPr>
      <w:tc>
        <w:tcPr>
          <w:tcW w:w="2835" w:type="dxa"/>
          <w:vAlign w:val="center"/>
        </w:tcPr>
        <w:p w:rsidR="009460C9" w:rsidRPr="00BB4038" w:rsidRDefault="009460C9" w:rsidP="00BB4038">
          <w:pPr>
            <w:jc w:val="right"/>
            <w:rPr>
              <w:rFonts w:ascii="Palatino Linotype" w:eastAsia="Palatino Linotype" w:hAnsi="Palatino Linotype" w:cs="Palatino Linotype"/>
              <w:b/>
            </w:rPr>
          </w:pPr>
          <w:r w:rsidRPr="00BB4038">
            <w:rPr>
              <w:rFonts w:ascii="Palatino Linotype" w:eastAsia="Palatino Linotype" w:hAnsi="Palatino Linotype" w:cs="Palatino Linotype"/>
              <w:b/>
            </w:rPr>
            <w:t>Sujeto Obligado:</w:t>
          </w:r>
        </w:p>
      </w:tc>
      <w:tc>
        <w:tcPr>
          <w:tcW w:w="3686" w:type="dxa"/>
          <w:vAlign w:val="center"/>
        </w:tcPr>
        <w:p w:rsidR="009460C9" w:rsidRPr="00BB4038" w:rsidRDefault="009460C9" w:rsidP="00BB4038">
          <w:pPr>
            <w:ind w:left="-115"/>
            <w:rPr>
              <w:rFonts w:ascii="Palatino Linotype" w:eastAsia="Palatino Linotype" w:hAnsi="Palatino Linotype" w:cs="Palatino Linotype"/>
            </w:rPr>
          </w:pPr>
          <w:r w:rsidRPr="00BB4038">
            <w:rPr>
              <w:rFonts w:ascii="Palatino Linotype" w:eastAsia="Palatino Linotype" w:hAnsi="Palatino Linotype" w:cs="Palatino Linotype"/>
              <w:color w:val="000000"/>
            </w:rPr>
            <w:t>Ayuntamiento de Atlacomulco</w:t>
          </w:r>
        </w:p>
      </w:tc>
    </w:tr>
    <w:tr w:rsidR="009460C9" w:rsidRPr="00BB4038" w:rsidTr="001F4337">
      <w:tc>
        <w:tcPr>
          <w:tcW w:w="2835" w:type="dxa"/>
          <w:vAlign w:val="center"/>
        </w:tcPr>
        <w:p w:rsidR="009460C9" w:rsidRPr="00BB4038" w:rsidRDefault="009460C9" w:rsidP="00BB4038">
          <w:pPr>
            <w:jc w:val="right"/>
            <w:rPr>
              <w:rFonts w:ascii="Palatino Linotype" w:eastAsia="Palatino Linotype" w:hAnsi="Palatino Linotype" w:cs="Palatino Linotype"/>
              <w:b/>
            </w:rPr>
          </w:pPr>
          <w:r w:rsidRPr="00BB4038">
            <w:rPr>
              <w:rFonts w:ascii="Palatino Linotype" w:eastAsia="Palatino Linotype" w:hAnsi="Palatino Linotype" w:cs="Palatino Linotype"/>
              <w:b/>
            </w:rPr>
            <w:t>Comisionada Ponente:</w:t>
          </w:r>
        </w:p>
      </w:tc>
      <w:tc>
        <w:tcPr>
          <w:tcW w:w="3686" w:type="dxa"/>
          <w:vAlign w:val="center"/>
        </w:tcPr>
        <w:p w:rsidR="009460C9" w:rsidRPr="00BB4038" w:rsidRDefault="009460C9" w:rsidP="00BB4038">
          <w:pPr>
            <w:ind w:left="-115" w:right="-533"/>
            <w:jc w:val="both"/>
            <w:rPr>
              <w:rFonts w:ascii="Palatino Linotype" w:eastAsia="Palatino Linotype" w:hAnsi="Palatino Linotype" w:cs="Palatino Linotype"/>
            </w:rPr>
          </w:pPr>
          <w:r w:rsidRPr="00BB4038">
            <w:rPr>
              <w:rFonts w:ascii="Palatino Linotype" w:eastAsia="Palatino Linotype" w:hAnsi="Palatino Linotype" w:cs="Palatino Linotype"/>
            </w:rPr>
            <w:t>María del Rosario Mejía Ayala</w:t>
          </w:r>
        </w:p>
      </w:tc>
    </w:tr>
  </w:tbl>
  <w:p w:rsidR="009460C9" w:rsidRDefault="001F433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3A824438" wp14:editId="327FE213">
          <wp:simplePos x="0" y="0"/>
          <wp:positionH relativeFrom="column">
            <wp:posOffset>-843903</wp:posOffset>
          </wp:positionH>
          <wp:positionV relativeFrom="paragraph">
            <wp:posOffset>-1265052</wp:posOffset>
          </wp:positionV>
          <wp:extent cx="7813085" cy="10170000"/>
          <wp:effectExtent l="0" t="0" r="0" b="3175"/>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9460C9">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520" w:type="dxa"/>
      <w:tblInd w:w="3402" w:type="dxa"/>
      <w:tblLayout w:type="fixed"/>
      <w:tblLook w:val="0400" w:firstRow="0" w:lastRow="0" w:firstColumn="0" w:lastColumn="0" w:noHBand="0" w:noVBand="1"/>
    </w:tblPr>
    <w:tblGrid>
      <w:gridCol w:w="2835"/>
      <w:gridCol w:w="3685"/>
    </w:tblGrid>
    <w:tr w:rsidR="009460C9" w:rsidRPr="00BB4038" w:rsidTr="001F4337">
      <w:tc>
        <w:tcPr>
          <w:tcW w:w="2835" w:type="dxa"/>
          <w:vAlign w:val="center"/>
        </w:tcPr>
        <w:p w:rsidR="009460C9" w:rsidRPr="00BB4038" w:rsidRDefault="009460C9" w:rsidP="001F4337">
          <w:pPr>
            <w:rPr>
              <w:rFonts w:ascii="Palatino Linotype" w:eastAsia="Palatino Linotype" w:hAnsi="Palatino Linotype" w:cs="Palatino Linotype"/>
              <w:b/>
            </w:rPr>
          </w:pPr>
          <w:r>
            <w:rPr>
              <w:rFonts w:ascii="Calibri" w:eastAsia="Calibri" w:hAnsi="Calibri" w:cs="Calibri"/>
              <w:color w:val="000000"/>
            </w:rPr>
            <w:t xml:space="preserve"> </w:t>
          </w:r>
          <w:r w:rsidR="001F4337">
            <w:rPr>
              <w:rFonts w:ascii="Calibri" w:eastAsia="Calibri" w:hAnsi="Calibri" w:cs="Calibri"/>
              <w:color w:val="000000"/>
            </w:rPr>
            <w:t xml:space="preserve">    </w:t>
          </w:r>
          <w:r w:rsidRPr="00BB4038">
            <w:rPr>
              <w:rFonts w:ascii="Palatino Linotype" w:eastAsia="Palatino Linotype" w:hAnsi="Palatino Linotype" w:cs="Palatino Linotype"/>
              <w:b/>
            </w:rPr>
            <w:t>Recurso de Revisión:</w:t>
          </w:r>
        </w:p>
      </w:tc>
      <w:tc>
        <w:tcPr>
          <w:tcW w:w="3685" w:type="dxa"/>
          <w:vAlign w:val="center"/>
        </w:tcPr>
        <w:p w:rsidR="009460C9" w:rsidRPr="00BB4038" w:rsidRDefault="009460C9" w:rsidP="001F4337">
          <w:pPr>
            <w:jc w:val="both"/>
            <w:rPr>
              <w:rFonts w:ascii="Palatino Linotype" w:eastAsia="Palatino Linotype" w:hAnsi="Palatino Linotype" w:cs="Palatino Linotype"/>
            </w:rPr>
          </w:pPr>
          <w:r w:rsidRPr="00BB4038">
            <w:rPr>
              <w:rFonts w:ascii="Palatino Linotype" w:eastAsia="Palatino Linotype" w:hAnsi="Palatino Linotype" w:cs="Palatino Linotype"/>
            </w:rPr>
            <w:t xml:space="preserve">04843/INFOEM/IP/RR/2025 </w:t>
          </w:r>
        </w:p>
      </w:tc>
    </w:tr>
    <w:tr w:rsidR="009460C9" w:rsidRPr="00BB4038" w:rsidTr="001F4337">
      <w:tc>
        <w:tcPr>
          <w:tcW w:w="2835" w:type="dxa"/>
          <w:vAlign w:val="center"/>
        </w:tcPr>
        <w:p w:rsidR="009460C9" w:rsidRPr="00BB4038" w:rsidRDefault="009460C9" w:rsidP="00BB4038">
          <w:pPr>
            <w:ind w:left="35" w:hanging="35"/>
            <w:jc w:val="right"/>
            <w:rPr>
              <w:rFonts w:ascii="Palatino Linotype" w:eastAsia="Palatino Linotype" w:hAnsi="Palatino Linotype" w:cs="Palatino Linotype"/>
              <w:b/>
            </w:rPr>
          </w:pPr>
          <w:r w:rsidRPr="00BB4038">
            <w:rPr>
              <w:rFonts w:ascii="Palatino Linotype" w:eastAsia="Palatino Linotype" w:hAnsi="Palatino Linotype" w:cs="Palatino Linotype"/>
              <w:b/>
            </w:rPr>
            <w:t>Recurrente:</w:t>
          </w:r>
        </w:p>
      </w:tc>
      <w:tc>
        <w:tcPr>
          <w:tcW w:w="3685" w:type="dxa"/>
          <w:vAlign w:val="center"/>
        </w:tcPr>
        <w:p w:rsidR="009460C9" w:rsidRPr="00BB4038" w:rsidRDefault="009460C9" w:rsidP="00BB4038">
          <w:pPr>
            <w:ind w:left="-115"/>
            <w:rPr>
              <w:rFonts w:ascii="Palatino Linotype" w:eastAsia="Palatino Linotype" w:hAnsi="Palatino Linotype" w:cs="Palatino Linotype"/>
            </w:rPr>
          </w:pPr>
        </w:p>
      </w:tc>
    </w:tr>
    <w:tr w:rsidR="009460C9" w:rsidRPr="00BB4038" w:rsidTr="001F4337">
      <w:trPr>
        <w:trHeight w:val="228"/>
      </w:trPr>
      <w:tc>
        <w:tcPr>
          <w:tcW w:w="2835" w:type="dxa"/>
          <w:vAlign w:val="center"/>
        </w:tcPr>
        <w:p w:rsidR="009460C9" w:rsidRPr="00BB4038" w:rsidRDefault="009460C9" w:rsidP="00BB4038">
          <w:pPr>
            <w:jc w:val="right"/>
            <w:rPr>
              <w:rFonts w:ascii="Palatino Linotype" w:eastAsia="Palatino Linotype" w:hAnsi="Palatino Linotype" w:cs="Palatino Linotype"/>
              <w:b/>
            </w:rPr>
          </w:pPr>
          <w:r w:rsidRPr="00BB4038">
            <w:rPr>
              <w:rFonts w:ascii="Palatino Linotype" w:eastAsia="Palatino Linotype" w:hAnsi="Palatino Linotype" w:cs="Palatino Linotype"/>
              <w:b/>
            </w:rPr>
            <w:t>Sujeto Obligado:</w:t>
          </w:r>
        </w:p>
      </w:tc>
      <w:tc>
        <w:tcPr>
          <w:tcW w:w="3685" w:type="dxa"/>
          <w:vAlign w:val="center"/>
        </w:tcPr>
        <w:p w:rsidR="009460C9" w:rsidRPr="00BB4038" w:rsidRDefault="009460C9" w:rsidP="001F4337">
          <w:pPr>
            <w:ind w:left="-115"/>
            <w:jc w:val="both"/>
            <w:rPr>
              <w:rFonts w:ascii="Palatino Linotype" w:eastAsia="Palatino Linotype" w:hAnsi="Palatino Linotype" w:cs="Palatino Linotype"/>
            </w:rPr>
          </w:pPr>
          <w:r w:rsidRPr="00BB4038">
            <w:rPr>
              <w:rFonts w:ascii="Palatino Linotype" w:eastAsia="Palatino Linotype" w:hAnsi="Palatino Linotype" w:cs="Palatino Linotype"/>
              <w:color w:val="000000"/>
            </w:rPr>
            <w:t>Ayuntamiento de Atlacomulco</w:t>
          </w:r>
        </w:p>
      </w:tc>
    </w:tr>
    <w:tr w:rsidR="009460C9" w:rsidRPr="00BB4038" w:rsidTr="001F4337">
      <w:tc>
        <w:tcPr>
          <w:tcW w:w="2835" w:type="dxa"/>
          <w:vAlign w:val="center"/>
        </w:tcPr>
        <w:p w:rsidR="009460C9" w:rsidRPr="00BB4038" w:rsidRDefault="009460C9" w:rsidP="00BB4038">
          <w:pPr>
            <w:jc w:val="right"/>
            <w:rPr>
              <w:rFonts w:ascii="Palatino Linotype" w:eastAsia="Palatino Linotype" w:hAnsi="Palatino Linotype" w:cs="Palatino Linotype"/>
              <w:b/>
            </w:rPr>
          </w:pPr>
          <w:r w:rsidRPr="00BB4038">
            <w:rPr>
              <w:rFonts w:ascii="Palatino Linotype" w:eastAsia="Palatino Linotype" w:hAnsi="Palatino Linotype" w:cs="Palatino Linotype"/>
              <w:b/>
            </w:rPr>
            <w:t>Comisionada Ponente:</w:t>
          </w:r>
        </w:p>
      </w:tc>
      <w:tc>
        <w:tcPr>
          <w:tcW w:w="3685" w:type="dxa"/>
          <w:vAlign w:val="center"/>
        </w:tcPr>
        <w:p w:rsidR="009460C9" w:rsidRPr="00BB4038" w:rsidRDefault="009460C9" w:rsidP="00BB4038">
          <w:pPr>
            <w:ind w:left="-115" w:right="-533"/>
            <w:jc w:val="both"/>
            <w:rPr>
              <w:rFonts w:ascii="Palatino Linotype" w:eastAsia="Palatino Linotype" w:hAnsi="Palatino Linotype" w:cs="Palatino Linotype"/>
            </w:rPr>
          </w:pPr>
          <w:r w:rsidRPr="00BB4038">
            <w:rPr>
              <w:rFonts w:ascii="Palatino Linotype" w:eastAsia="Palatino Linotype" w:hAnsi="Palatino Linotype" w:cs="Palatino Linotype"/>
            </w:rPr>
            <w:t>María del Rosario Mejía Ayala</w:t>
          </w:r>
        </w:p>
      </w:tc>
    </w:tr>
  </w:tbl>
  <w:p w:rsidR="009460C9" w:rsidRDefault="001F4337">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page">
            <wp:posOffset>106009</wp:posOffset>
          </wp:positionH>
          <wp:positionV relativeFrom="paragraph">
            <wp:posOffset>-1399253</wp:posOffset>
          </wp:positionV>
          <wp:extent cx="7813085" cy="10170000"/>
          <wp:effectExtent l="0" t="0" r="0" b="3175"/>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CE6"/>
    <w:multiLevelType w:val="multilevel"/>
    <w:tmpl w:val="2B3E4F3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C26F8D"/>
    <w:multiLevelType w:val="multilevel"/>
    <w:tmpl w:val="61C2AE2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F565C66"/>
    <w:multiLevelType w:val="multilevel"/>
    <w:tmpl w:val="FD204806"/>
    <w:lvl w:ilvl="0">
      <w:start w:val="1"/>
      <w:numFmt w:val="decimal"/>
      <w:lvlText w:val="%1."/>
      <w:lvlJc w:val="left"/>
      <w:pPr>
        <w:ind w:left="4046"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AF2713"/>
    <w:multiLevelType w:val="hybridMultilevel"/>
    <w:tmpl w:val="3FBEA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FA2F13"/>
    <w:multiLevelType w:val="multilevel"/>
    <w:tmpl w:val="6F72CEF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54051375"/>
    <w:multiLevelType w:val="multilevel"/>
    <w:tmpl w:val="2ACE6DF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6FD0C62"/>
    <w:multiLevelType w:val="multilevel"/>
    <w:tmpl w:val="9C00264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7D3A76A9"/>
    <w:multiLevelType w:val="multilevel"/>
    <w:tmpl w:val="26D65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4"/>
  </w:num>
  <w:num w:numId="4">
    <w:abstractNumId w:val="7"/>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26"/>
    <w:rsid w:val="000F7103"/>
    <w:rsid w:val="00133026"/>
    <w:rsid w:val="001B099F"/>
    <w:rsid w:val="001F4337"/>
    <w:rsid w:val="002A3F50"/>
    <w:rsid w:val="00742878"/>
    <w:rsid w:val="008A213B"/>
    <w:rsid w:val="009460C9"/>
    <w:rsid w:val="00A622B1"/>
    <w:rsid w:val="00AE4321"/>
    <w:rsid w:val="00AE6FBA"/>
    <w:rsid w:val="00BB4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14EEA0-396A-46A9-A68E-C356288C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character" w:customStyle="1" w:styleId="normaltextrun">
    <w:name w:val="normaltextrun"/>
    <w:basedOn w:val="Fuentedeprrafopredeter"/>
    <w:rsid w:val="004E7676"/>
  </w:style>
  <w:style w:type="character" w:customStyle="1" w:styleId="eop">
    <w:name w:val="eop"/>
    <w:basedOn w:val="Fuentedeprrafopredeter"/>
    <w:rsid w:val="004E7676"/>
  </w:style>
  <w:style w:type="table" w:styleId="Tabladecuadrcula6concolores">
    <w:name w:val="Grid Table 6 Colorful"/>
    <w:basedOn w:val="Tablanormal"/>
    <w:uiPriority w:val="51"/>
    <w:rsid w:val="008A54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sWcofaaIoDPeEvtgwArDbJ0NoQ==">CgMxLjAyDmgueXNlYm1mY294cjVtMg5oLmQ2bGV4ZnRoeXpqcTIJaC4zem55c2g3Mg5oLnlreDV2NnJ0M201MTIOaC5lZXp4cDhtNWRwOG8yDmguaTdvaGhmeWNqMG1lMg5oLnFibWx1bmM3a2UzbzIOaC5uajFmY3I5ZjBtYmsyDmguYzFjYWt5NGxkYTNtMgloLjF0M2g1c2YyCWguNGQzNG9nODIJaC4yczhleW8xMghoLmxueGJ6OTIJaC4zNW5rdW4yMgloLjFrc3Y0dXY4AHIhMTFCRlFRenBpUHdpUHkwbFYtSWNma04wR0hCUExJaX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46</Pages>
  <Words>11449</Words>
  <Characters>62971</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5</cp:revision>
  <cp:lastPrinted>2025-06-27T16:37:00Z</cp:lastPrinted>
  <dcterms:created xsi:type="dcterms:W3CDTF">2025-06-12T20:51:00Z</dcterms:created>
  <dcterms:modified xsi:type="dcterms:W3CDTF">2025-07-02T00:14:00Z</dcterms:modified>
</cp:coreProperties>
</file>