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Palatino Linotype" w:hAnsi="Palatino Linotype" w:cs="Palatino Linotype"/>
          <w:color w:val="auto"/>
          <w:sz w:val="22"/>
          <w:szCs w:val="22"/>
          <w:lang w:val="es-ES"/>
        </w:rPr>
        <w:id w:val="1147004866"/>
        <w:docPartObj>
          <w:docPartGallery w:val="Table of Contents"/>
          <w:docPartUnique/>
        </w:docPartObj>
      </w:sdtPr>
      <w:sdtEndPr>
        <w:rPr>
          <w:b/>
          <w:bCs/>
        </w:rPr>
      </w:sdtEndPr>
      <w:sdtContent>
        <w:p w14:paraId="166D278F" w14:textId="50427FD3" w:rsidR="002D04F5" w:rsidRDefault="002D04F5">
          <w:pPr>
            <w:pStyle w:val="TtulodeTDC"/>
          </w:pPr>
          <w:r>
            <w:rPr>
              <w:lang w:val="es-ES"/>
            </w:rPr>
            <w:t>Tabla de contenido</w:t>
          </w:r>
        </w:p>
        <w:p w14:paraId="24D39EF1" w14:textId="40C8B25A" w:rsidR="002D04F5" w:rsidRDefault="002D04F5">
          <w:pPr>
            <w:pStyle w:val="TDC1"/>
            <w:tabs>
              <w:tab w:val="right" w:leader="dot" w:pos="9204"/>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16966612" w:history="1">
            <w:r w:rsidRPr="0095791E">
              <w:rPr>
                <w:rStyle w:val="Hipervnculo"/>
                <w:noProof/>
              </w:rPr>
              <w:t>A N T E C E D E N T E S</w:t>
            </w:r>
            <w:r>
              <w:rPr>
                <w:noProof/>
                <w:webHidden/>
              </w:rPr>
              <w:tab/>
            </w:r>
            <w:r>
              <w:rPr>
                <w:noProof/>
                <w:webHidden/>
              </w:rPr>
              <w:fldChar w:fldCharType="begin"/>
            </w:r>
            <w:r>
              <w:rPr>
                <w:noProof/>
                <w:webHidden/>
              </w:rPr>
              <w:instrText xml:space="preserve"> PAGEREF _Toc216966612 \h </w:instrText>
            </w:r>
            <w:r>
              <w:rPr>
                <w:noProof/>
                <w:webHidden/>
              </w:rPr>
            </w:r>
            <w:r>
              <w:rPr>
                <w:noProof/>
                <w:webHidden/>
              </w:rPr>
              <w:fldChar w:fldCharType="separate"/>
            </w:r>
            <w:r w:rsidR="00B4239B">
              <w:rPr>
                <w:noProof/>
                <w:webHidden/>
              </w:rPr>
              <w:t>2</w:t>
            </w:r>
            <w:r>
              <w:rPr>
                <w:noProof/>
                <w:webHidden/>
              </w:rPr>
              <w:fldChar w:fldCharType="end"/>
            </w:r>
          </w:hyperlink>
        </w:p>
        <w:p w14:paraId="65855020" w14:textId="30ED968A" w:rsidR="002D04F5" w:rsidRDefault="005B69C2">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966613" w:history="1">
            <w:r w:rsidR="002D04F5" w:rsidRPr="0095791E">
              <w:rPr>
                <w:rStyle w:val="Hipervnculo"/>
                <w:noProof/>
              </w:rPr>
              <w:t>I. Presentación de la solicitud de información</w:t>
            </w:r>
            <w:r w:rsidR="002D04F5">
              <w:rPr>
                <w:noProof/>
                <w:webHidden/>
              </w:rPr>
              <w:tab/>
            </w:r>
            <w:r w:rsidR="002D04F5">
              <w:rPr>
                <w:noProof/>
                <w:webHidden/>
              </w:rPr>
              <w:fldChar w:fldCharType="begin"/>
            </w:r>
            <w:r w:rsidR="002D04F5">
              <w:rPr>
                <w:noProof/>
                <w:webHidden/>
              </w:rPr>
              <w:instrText xml:space="preserve"> PAGEREF _Toc216966613 \h </w:instrText>
            </w:r>
            <w:r w:rsidR="002D04F5">
              <w:rPr>
                <w:noProof/>
                <w:webHidden/>
              </w:rPr>
            </w:r>
            <w:r w:rsidR="002D04F5">
              <w:rPr>
                <w:noProof/>
                <w:webHidden/>
              </w:rPr>
              <w:fldChar w:fldCharType="separate"/>
            </w:r>
            <w:r w:rsidR="00B4239B">
              <w:rPr>
                <w:noProof/>
                <w:webHidden/>
              </w:rPr>
              <w:t>2</w:t>
            </w:r>
            <w:r w:rsidR="002D04F5">
              <w:rPr>
                <w:noProof/>
                <w:webHidden/>
              </w:rPr>
              <w:fldChar w:fldCharType="end"/>
            </w:r>
          </w:hyperlink>
        </w:p>
        <w:p w14:paraId="465FCDE4" w14:textId="2D9EA887" w:rsidR="002D04F5" w:rsidRDefault="005B69C2">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966614" w:history="1">
            <w:r w:rsidR="002D04F5" w:rsidRPr="0095791E">
              <w:rPr>
                <w:rStyle w:val="Hipervnculo"/>
                <w:noProof/>
              </w:rPr>
              <w:t>II. Solicitud de aclaración</w:t>
            </w:r>
            <w:r w:rsidR="002D04F5">
              <w:rPr>
                <w:noProof/>
                <w:webHidden/>
              </w:rPr>
              <w:tab/>
            </w:r>
            <w:r w:rsidR="002D04F5">
              <w:rPr>
                <w:noProof/>
                <w:webHidden/>
              </w:rPr>
              <w:fldChar w:fldCharType="begin"/>
            </w:r>
            <w:r w:rsidR="002D04F5">
              <w:rPr>
                <w:noProof/>
                <w:webHidden/>
              </w:rPr>
              <w:instrText xml:space="preserve"> PAGEREF _Toc216966614 \h </w:instrText>
            </w:r>
            <w:r w:rsidR="002D04F5">
              <w:rPr>
                <w:noProof/>
                <w:webHidden/>
              </w:rPr>
            </w:r>
            <w:r w:rsidR="002D04F5">
              <w:rPr>
                <w:noProof/>
                <w:webHidden/>
              </w:rPr>
              <w:fldChar w:fldCharType="separate"/>
            </w:r>
            <w:r w:rsidR="00B4239B">
              <w:rPr>
                <w:noProof/>
                <w:webHidden/>
              </w:rPr>
              <w:t>2</w:t>
            </w:r>
            <w:r w:rsidR="002D04F5">
              <w:rPr>
                <w:noProof/>
                <w:webHidden/>
              </w:rPr>
              <w:fldChar w:fldCharType="end"/>
            </w:r>
          </w:hyperlink>
        </w:p>
        <w:p w14:paraId="646A7DBD" w14:textId="260D9218" w:rsidR="002D04F5" w:rsidRDefault="005B69C2">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966615" w:history="1">
            <w:r w:rsidR="002D04F5" w:rsidRPr="0095791E">
              <w:rPr>
                <w:rStyle w:val="Hipervnculo"/>
                <w:noProof/>
              </w:rPr>
              <w:t>III. Desahogo de aclaración</w:t>
            </w:r>
            <w:r w:rsidR="002D04F5">
              <w:rPr>
                <w:noProof/>
                <w:webHidden/>
              </w:rPr>
              <w:tab/>
            </w:r>
            <w:r w:rsidR="002D04F5">
              <w:rPr>
                <w:noProof/>
                <w:webHidden/>
              </w:rPr>
              <w:fldChar w:fldCharType="begin"/>
            </w:r>
            <w:r w:rsidR="002D04F5">
              <w:rPr>
                <w:noProof/>
                <w:webHidden/>
              </w:rPr>
              <w:instrText xml:space="preserve"> PAGEREF _Toc216966615 \h </w:instrText>
            </w:r>
            <w:r w:rsidR="002D04F5">
              <w:rPr>
                <w:noProof/>
                <w:webHidden/>
              </w:rPr>
            </w:r>
            <w:r w:rsidR="002D04F5">
              <w:rPr>
                <w:noProof/>
                <w:webHidden/>
              </w:rPr>
              <w:fldChar w:fldCharType="separate"/>
            </w:r>
            <w:r w:rsidR="00B4239B">
              <w:rPr>
                <w:noProof/>
                <w:webHidden/>
              </w:rPr>
              <w:t>3</w:t>
            </w:r>
            <w:r w:rsidR="002D04F5">
              <w:rPr>
                <w:noProof/>
                <w:webHidden/>
              </w:rPr>
              <w:fldChar w:fldCharType="end"/>
            </w:r>
          </w:hyperlink>
        </w:p>
        <w:p w14:paraId="6466BAA9" w14:textId="2F54C6DB" w:rsidR="002D04F5" w:rsidRDefault="005B69C2">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966616" w:history="1">
            <w:r w:rsidR="002D04F5" w:rsidRPr="0095791E">
              <w:rPr>
                <w:rStyle w:val="Hipervnculo"/>
                <w:noProof/>
              </w:rPr>
              <w:t>IV. Respuesta del Sujeto Obligado</w:t>
            </w:r>
            <w:r w:rsidR="002D04F5">
              <w:rPr>
                <w:noProof/>
                <w:webHidden/>
              </w:rPr>
              <w:tab/>
            </w:r>
            <w:r w:rsidR="002D04F5">
              <w:rPr>
                <w:noProof/>
                <w:webHidden/>
              </w:rPr>
              <w:fldChar w:fldCharType="begin"/>
            </w:r>
            <w:r w:rsidR="002D04F5">
              <w:rPr>
                <w:noProof/>
                <w:webHidden/>
              </w:rPr>
              <w:instrText xml:space="preserve"> PAGEREF _Toc216966616 \h </w:instrText>
            </w:r>
            <w:r w:rsidR="002D04F5">
              <w:rPr>
                <w:noProof/>
                <w:webHidden/>
              </w:rPr>
            </w:r>
            <w:r w:rsidR="002D04F5">
              <w:rPr>
                <w:noProof/>
                <w:webHidden/>
              </w:rPr>
              <w:fldChar w:fldCharType="separate"/>
            </w:r>
            <w:r w:rsidR="00B4239B">
              <w:rPr>
                <w:noProof/>
                <w:webHidden/>
              </w:rPr>
              <w:t>3</w:t>
            </w:r>
            <w:r w:rsidR="002D04F5">
              <w:rPr>
                <w:noProof/>
                <w:webHidden/>
              </w:rPr>
              <w:fldChar w:fldCharType="end"/>
            </w:r>
          </w:hyperlink>
        </w:p>
        <w:p w14:paraId="5413E106" w14:textId="3726E587" w:rsidR="002D04F5" w:rsidRDefault="005B69C2">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966617" w:history="1">
            <w:r w:rsidR="002D04F5" w:rsidRPr="0095791E">
              <w:rPr>
                <w:rStyle w:val="Hipervnculo"/>
                <w:noProof/>
              </w:rPr>
              <w:t>V. Interposición del Recurso de Revisión</w:t>
            </w:r>
            <w:r w:rsidR="002D04F5">
              <w:rPr>
                <w:noProof/>
                <w:webHidden/>
              </w:rPr>
              <w:tab/>
            </w:r>
            <w:r w:rsidR="002D04F5">
              <w:rPr>
                <w:noProof/>
                <w:webHidden/>
              </w:rPr>
              <w:fldChar w:fldCharType="begin"/>
            </w:r>
            <w:r w:rsidR="002D04F5">
              <w:rPr>
                <w:noProof/>
                <w:webHidden/>
              </w:rPr>
              <w:instrText xml:space="preserve"> PAGEREF _Toc216966617 \h </w:instrText>
            </w:r>
            <w:r w:rsidR="002D04F5">
              <w:rPr>
                <w:noProof/>
                <w:webHidden/>
              </w:rPr>
            </w:r>
            <w:r w:rsidR="002D04F5">
              <w:rPr>
                <w:noProof/>
                <w:webHidden/>
              </w:rPr>
              <w:fldChar w:fldCharType="separate"/>
            </w:r>
            <w:r w:rsidR="00B4239B">
              <w:rPr>
                <w:noProof/>
                <w:webHidden/>
              </w:rPr>
              <w:t>4</w:t>
            </w:r>
            <w:r w:rsidR="002D04F5">
              <w:rPr>
                <w:noProof/>
                <w:webHidden/>
              </w:rPr>
              <w:fldChar w:fldCharType="end"/>
            </w:r>
          </w:hyperlink>
        </w:p>
        <w:p w14:paraId="19AC9825" w14:textId="3CE8963E" w:rsidR="002D04F5" w:rsidRDefault="005B69C2">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966618" w:history="1">
            <w:r w:rsidR="002D04F5" w:rsidRPr="0095791E">
              <w:rPr>
                <w:rStyle w:val="Hipervnculo"/>
                <w:noProof/>
              </w:rPr>
              <w:t>VI. Trámite del Recurso de Revisión ante este Instituto</w:t>
            </w:r>
            <w:r w:rsidR="002D04F5">
              <w:rPr>
                <w:noProof/>
                <w:webHidden/>
              </w:rPr>
              <w:tab/>
            </w:r>
            <w:r w:rsidR="002D04F5">
              <w:rPr>
                <w:noProof/>
                <w:webHidden/>
              </w:rPr>
              <w:fldChar w:fldCharType="begin"/>
            </w:r>
            <w:r w:rsidR="002D04F5">
              <w:rPr>
                <w:noProof/>
                <w:webHidden/>
              </w:rPr>
              <w:instrText xml:space="preserve"> PAGEREF _Toc216966618 \h </w:instrText>
            </w:r>
            <w:r w:rsidR="002D04F5">
              <w:rPr>
                <w:noProof/>
                <w:webHidden/>
              </w:rPr>
            </w:r>
            <w:r w:rsidR="002D04F5">
              <w:rPr>
                <w:noProof/>
                <w:webHidden/>
              </w:rPr>
              <w:fldChar w:fldCharType="separate"/>
            </w:r>
            <w:r w:rsidR="00B4239B">
              <w:rPr>
                <w:noProof/>
                <w:webHidden/>
              </w:rPr>
              <w:t>4</w:t>
            </w:r>
            <w:r w:rsidR="002D04F5">
              <w:rPr>
                <w:noProof/>
                <w:webHidden/>
              </w:rPr>
              <w:fldChar w:fldCharType="end"/>
            </w:r>
          </w:hyperlink>
        </w:p>
        <w:p w14:paraId="0D558BAD" w14:textId="2DD1275B" w:rsidR="002D04F5" w:rsidRDefault="005B69C2">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16966619" w:history="1">
            <w:r w:rsidR="002D04F5" w:rsidRPr="0095791E">
              <w:rPr>
                <w:rStyle w:val="Hipervnculo"/>
                <w:noProof/>
              </w:rPr>
              <w:t>C O N S I D E R A N D O S</w:t>
            </w:r>
            <w:r w:rsidR="002D04F5">
              <w:rPr>
                <w:noProof/>
                <w:webHidden/>
              </w:rPr>
              <w:tab/>
            </w:r>
            <w:r w:rsidR="002D04F5">
              <w:rPr>
                <w:noProof/>
                <w:webHidden/>
              </w:rPr>
              <w:fldChar w:fldCharType="begin"/>
            </w:r>
            <w:r w:rsidR="002D04F5">
              <w:rPr>
                <w:noProof/>
                <w:webHidden/>
              </w:rPr>
              <w:instrText xml:space="preserve"> PAGEREF _Toc216966619 \h </w:instrText>
            </w:r>
            <w:r w:rsidR="002D04F5">
              <w:rPr>
                <w:noProof/>
                <w:webHidden/>
              </w:rPr>
            </w:r>
            <w:r w:rsidR="002D04F5">
              <w:rPr>
                <w:noProof/>
                <w:webHidden/>
              </w:rPr>
              <w:fldChar w:fldCharType="separate"/>
            </w:r>
            <w:r w:rsidR="00B4239B">
              <w:rPr>
                <w:noProof/>
                <w:webHidden/>
              </w:rPr>
              <w:t>7</w:t>
            </w:r>
            <w:r w:rsidR="002D04F5">
              <w:rPr>
                <w:noProof/>
                <w:webHidden/>
              </w:rPr>
              <w:fldChar w:fldCharType="end"/>
            </w:r>
          </w:hyperlink>
        </w:p>
        <w:p w14:paraId="25DC2339" w14:textId="5D7B3CC3" w:rsidR="002D04F5" w:rsidRDefault="005B69C2">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966620" w:history="1">
            <w:r w:rsidR="002D04F5" w:rsidRPr="0095791E">
              <w:rPr>
                <w:rStyle w:val="Hipervnculo"/>
                <w:noProof/>
              </w:rPr>
              <w:t>PRIMERO. Competencia</w:t>
            </w:r>
            <w:r w:rsidR="002D04F5">
              <w:rPr>
                <w:noProof/>
                <w:webHidden/>
              </w:rPr>
              <w:tab/>
            </w:r>
            <w:r w:rsidR="002D04F5">
              <w:rPr>
                <w:noProof/>
                <w:webHidden/>
              </w:rPr>
              <w:fldChar w:fldCharType="begin"/>
            </w:r>
            <w:r w:rsidR="002D04F5">
              <w:rPr>
                <w:noProof/>
                <w:webHidden/>
              </w:rPr>
              <w:instrText xml:space="preserve"> PAGEREF _Toc216966620 \h </w:instrText>
            </w:r>
            <w:r w:rsidR="002D04F5">
              <w:rPr>
                <w:noProof/>
                <w:webHidden/>
              </w:rPr>
            </w:r>
            <w:r w:rsidR="002D04F5">
              <w:rPr>
                <w:noProof/>
                <w:webHidden/>
              </w:rPr>
              <w:fldChar w:fldCharType="separate"/>
            </w:r>
            <w:r w:rsidR="00B4239B">
              <w:rPr>
                <w:noProof/>
                <w:webHidden/>
              </w:rPr>
              <w:t>7</w:t>
            </w:r>
            <w:r w:rsidR="002D04F5">
              <w:rPr>
                <w:noProof/>
                <w:webHidden/>
              </w:rPr>
              <w:fldChar w:fldCharType="end"/>
            </w:r>
          </w:hyperlink>
        </w:p>
        <w:p w14:paraId="093FFE1A" w14:textId="5D9C85B5" w:rsidR="002D04F5" w:rsidRDefault="005B69C2">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966621" w:history="1">
            <w:r w:rsidR="002D04F5" w:rsidRPr="0095791E">
              <w:rPr>
                <w:rStyle w:val="Hipervnculo"/>
                <w:noProof/>
              </w:rPr>
              <w:t>SEGUNDO. Causales de improcedencia y sobreseimiento</w:t>
            </w:r>
            <w:r w:rsidR="002D04F5">
              <w:rPr>
                <w:noProof/>
                <w:webHidden/>
              </w:rPr>
              <w:tab/>
            </w:r>
            <w:r w:rsidR="002D04F5">
              <w:rPr>
                <w:noProof/>
                <w:webHidden/>
              </w:rPr>
              <w:fldChar w:fldCharType="begin"/>
            </w:r>
            <w:r w:rsidR="002D04F5">
              <w:rPr>
                <w:noProof/>
                <w:webHidden/>
              </w:rPr>
              <w:instrText xml:space="preserve"> PAGEREF _Toc216966621 \h </w:instrText>
            </w:r>
            <w:r w:rsidR="002D04F5">
              <w:rPr>
                <w:noProof/>
                <w:webHidden/>
              </w:rPr>
            </w:r>
            <w:r w:rsidR="002D04F5">
              <w:rPr>
                <w:noProof/>
                <w:webHidden/>
              </w:rPr>
              <w:fldChar w:fldCharType="separate"/>
            </w:r>
            <w:r w:rsidR="00B4239B">
              <w:rPr>
                <w:noProof/>
                <w:webHidden/>
              </w:rPr>
              <w:t>7</w:t>
            </w:r>
            <w:r w:rsidR="002D04F5">
              <w:rPr>
                <w:noProof/>
                <w:webHidden/>
              </w:rPr>
              <w:fldChar w:fldCharType="end"/>
            </w:r>
          </w:hyperlink>
        </w:p>
        <w:p w14:paraId="7703EE5A" w14:textId="34AE0D1C" w:rsidR="002D04F5" w:rsidRDefault="005B69C2">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966622" w:history="1">
            <w:r w:rsidR="002D04F5" w:rsidRPr="0095791E">
              <w:rPr>
                <w:rStyle w:val="Hipervnculo"/>
                <w:noProof/>
              </w:rPr>
              <w:t>TERCERO. Determinación de la Controversia</w:t>
            </w:r>
            <w:r w:rsidR="002D04F5">
              <w:rPr>
                <w:noProof/>
                <w:webHidden/>
              </w:rPr>
              <w:tab/>
            </w:r>
            <w:r w:rsidR="002D04F5">
              <w:rPr>
                <w:noProof/>
                <w:webHidden/>
              </w:rPr>
              <w:fldChar w:fldCharType="begin"/>
            </w:r>
            <w:r w:rsidR="002D04F5">
              <w:rPr>
                <w:noProof/>
                <w:webHidden/>
              </w:rPr>
              <w:instrText xml:space="preserve"> PAGEREF _Toc216966622 \h </w:instrText>
            </w:r>
            <w:r w:rsidR="002D04F5">
              <w:rPr>
                <w:noProof/>
                <w:webHidden/>
              </w:rPr>
            </w:r>
            <w:r w:rsidR="002D04F5">
              <w:rPr>
                <w:noProof/>
                <w:webHidden/>
              </w:rPr>
              <w:fldChar w:fldCharType="separate"/>
            </w:r>
            <w:r w:rsidR="00B4239B">
              <w:rPr>
                <w:noProof/>
                <w:webHidden/>
              </w:rPr>
              <w:t>9</w:t>
            </w:r>
            <w:r w:rsidR="002D04F5">
              <w:rPr>
                <w:noProof/>
                <w:webHidden/>
              </w:rPr>
              <w:fldChar w:fldCharType="end"/>
            </w:r>
          </w:hyperlink>
        </w:p>
        <w:p w14:paraId="6CDBFAC3" w14:textId="070E585A" w:rsidR="002D04F5" w:rsidRDefault="005B69C2">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966623" w:history="1">
            <w:r w:rsidR="002D04F5" w:rsidRPr="0095791E">
              <w:rPr>
                <w:rStyle w:val="Hipervnculo"/>
                <w:noProof/>
              </w:rPr>
              <w:t>CUARTO. Marco normativo aplicable en materia de transparencia y acceso a la información pública</w:t>
            </w:r>
            <w:r w:rsidR="002D04F5">
              <w:rPr>
                <w:noProof/>
                <w:webHidden/>
              </w:rPr>
              <w:tab/>
            </w:r>
            <w:r w:rsidR="002D04F5">
              <w:rPr>
                <w:noProof/>
                <w:webHidden/>
              </w:rPr>
              <w:fldChar w:fldCharType="begin"/>
            </w:r>
            <w:r w:rsidR="002D04F5">
              <w:rPr>
                <w:noProof/>
                <w:webHidden/>
              </w:rPr>
              <w:instrText xml:space="preserve"> PAGEREF _Toc216966623 \h </w:instrText>
            </w:r>
            <w:r w:rsidR="002D04F5">
              <w:rPr>
                <w:noProof/>
                <w:webHidden/>
              </w:rPr>
            </w:r>
            <w:r w:rsidR="002D04F5">
              <w:rPr>
                <w:noProof/>
                <w:webHidden/>
              </w:rPr>
              <w:fldChar w:fldCharType="separate"/>
            </w:r>
            <w:r w:rsidR="00B4239B">
              <w:rPr>
                <w:noProof/>
                <w:webHidden/>
              </w:rPr>
              <w:t>10</w:t>
            </w:r>
            <w:r w:rsidR="002D04F5">
              <w:rPr>
                <w:noProof/>
                <w:webHidden/>
              </w:rPr>
              <w:fldChar w:fldCharType="end"/>
            </w:r>
          </w:hyperlink>
        </w:p>
        <w:p w14:paraId="4E3005A6" w14:textId="20BB289B" w:rsidR="002D04F5" w:rsidRDefault="005B69C2">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966624" w:history="1">
            <w:r w:rsidR="002D04F5" w:rsidRPr="0095791E">
              <w:rPr>
                <w:rStyle w:val="Hipervnculo"/>
                <w:smallCaps/>
                <w:noProof/>
              </w:rPr>
              <w:t>QUINTO.</w:t>
            </w:r>
            <w:r w:rsidR="002D04F5" w:rsidRPr="0095791E">
              <w:rPr>
                <w:rStyle w:val="Hipervnculo"/>
                <w:noProof/>
              </w:rPr>
              <w:t xml:space="preserve"> Estudio de Fondo</w:t>
            </w:r>
            <w:r w:rsidR="002D04F5">
              <w:rPr>
                <w:noProof/>
                <w:webHidden/>
              </w:rPr>
              <w:tab/>
            </w:r>
            <w:r w:rsidR="002D04F5">
              <w:rPr>
                <w:noProof/>
                <w:webHidden/>
              </w:rPr>
              <w:fldChar w:fldCharType="begin"/>
            </w:r>
            <w:r w:rsidR="002D04F5">
              <w:rPr>
                <w:noProof/>
                <w:webHidden/>
              </w:rPr>
              <w:instrText xml:space="preserve"> PAGEREF _Toc216966624 \h </w:instrText>
            </w:r>
            <w:r w:rsidR="002D04F5">
              <w:rPr>
                <w:noProof/>
                <w:webHidden/>
              </w:rPr>
            </w:r>
            <w:r w:rsidR="002D04F5">
              <w:rPr>
                <w:noProof/>
                <w:webHidden/>
              </w:rPr>
              <w:fldChar w:fldCharType="separate"/>
            </w:r>
            <w:r w:rsidR="00B4239B">
              <w:rPr>
                <w:noProof/>
                <w:webHidden/>
              </w:rPr>
              <w:t>11</w:t>
            </w:r>
            <w:r w:rsidR="002D04F5">
              <w:rPr>
                <w:noProof/>
                <w:webHidden/>
              </w:rPr>
              <w:fldChar w:fldCharType="end"/>
            </w:r>
          </w:hyperlink>
        </w:p>
        <w:p w14:paraId="2355800E" w14:textId="069252A8" w:rsidR="002D04F5" w:rsidRDefault="005B69C2">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966625" w:history="1">
            <w:r w:rsidR="002D04F5" w:rsidRPr="0095791E">
              <w:rPr>
                <w:rStyle w:val="Hipervnculo"/>
                <w:noProof/>
              </w:rPr>
              <w:t>SEXTO. Decisión</w:t>
            </w:r>
            <w:r w:rsidR="002D04F5">
              <w:rPr>
                <w:noProof/>
                <w:webHidden/>
              </w:rPr>
              <w:tab/>
            </w:r>
            <w:r w:rsidR="002D04F5">
              <w:rPr>
                <w:noProof/>
                <w:webHidden/>
              </w:rPr>
              <w:fldChar w:fldCharType="begin"/>
            </w:r>
            <w:r w:rsidR="002D04F5">
              <w:rPr>
                <w:noProof/>
                <w:webHidden/>
              </w:rPr>
              <w:instrText xml:space="preserve"> PAGEREF _Toc216966625 \h </w:instrText>
            </w:r>
            <w:r w:rsidR="002D04F5">
              <w:rPr>
                <w:noProof/>
                <w:webHidden/>
              </w:rPr>
            </w:r>
            <w:r w:rsidR="002D04F5">
              <w:rPr>
                <w:noProof/>
                <w:webHidden/>
              </w:rPr>
              <w:fldChar w:fldCharType="separate"/>
            </w:r>
            <w:r w:rsidR="00B4239B">
              <w:rPr>
                <w:noProof/>
                <w:webHidden/>
              </w:rPr>
              <w:t>16</w:t>
            </w:r>
            <w:r w:rsidR="002D04F5">
              <w:rPr>
                <w:noProof/>
                <w:webHidden/>
              </w:rPr>
              <w:fldChar w:fldCharType="end"/>
            </w:r>
          </w:hyperlink>
        </w:p>
        <w:p w14:paraId="221E6F41" w14:textId="75BFC130" w:rsidR="002D04F5" w:rsidRDefault="005B69C2">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16966626" w:history="1">
            <w:r w:rsidR="002D04F5" w:rsidRPr="0095791E">
              <w:rPr>
                <w:rStyle w:val="Hipervnculo"/>
                <w:noProof/>
              </w:rPr>
              <w:t>R E S U E L V E</w:t>
            </w:r>
            <w:r w:rsidR="002D04F5">
              <w:rPr>
                <w:noProof/>
                <w:webHidden/>
              </w:rPr>
              <w:tab/>
            </w:r>
            <w:r w:rsidR="002D04F5">
              <w:rPr>
                <w:noProof/>
                <w:webHidden/>
              </w:rPr>
              <w:fldChar w:fldCharType="begin"/>
            </w:r>
            <w:r w:rsidR="002D04F5">
              <w:rPr>
                <w:noProof/>
                <w:webHidden/>
              </w:rPr>
              <w:instrText xml:space="preserve"> PAGEREF _Toc216966626 \h </w:instrText>
            </w:r>
            <w:r w:rsidR="002D04F5">
              <w:rPr>
                <w:noProof/>
                <w:webHidden/>
              </w:rPr>
            </w:r>
            <w:r w:rsidR="002D04F5">
              <w:rPr>
                <w:noProof/>
                <w:webHidden/>
              </w:rPr>
              <w:fldChar w:fldCharType="separate"/>
            </w:r>
            <w:r w:rsidR="00B4239B">
              <w:rPr>
                <w:noProof/>
                <w:webHidden/>
              </w:rPr>
              <w:t>16</w:t>
            </w:r>
            <w:r w:rsidR="002D04F5">
              <w:rPr>
                <w:noProof/>
                <w:webHidden/>
              </w:rPr>
              <w:fldChar w:fldCharType="end"/>
            </w:r>
          </w:hyperlink>
        </w:p>
        <w:p w14:paraId="74935CAE" w14:textId="049EE61C" w:rsidR="002D04F5" w:rsidRDefault="002D04F5">
          <w:r>
            <w:rPr>
              <w:b/>
              <w:bCs/>
              <w:lang w:val="es-ES"/>
            </w:rPr>
            <w:fldChar w:fldCharType="end"/>
          </w:r>
        </w:p>
      </w:sdtContent>
    </w:sdt>
    <w:p w14:paraId="1D325DFD" w14:textId="77777777" w:rsidR="002D04F5" w:rsidRDefault="002D04F5">
      <w:r>
        <w:br w:type="page"/>
      </w:r>
    </w:p>
    <w:p w14:paraId="48994172" w14:textId="498F656A" w:rsidR="00A34AEB" w:rsidRPr="002D04F5" w:rsidRDefault="005B69C2">
      <w:pPr>
        <w:spacing w:after="0" w:line="360" w:lineRule="auto"/>
      </w:pPr>
      <w:r w:rsidRPr="002D04F5">
        <w:lastRenderedPageBreak/>
        <w:t xml:space="preserve">Resolución del Pleno del Instituto de Transparencia, Acceso a la Información Pública y Protección de Datos Personales del Estado de México y Municipios, con domicilio en Metepec, Estado de México, de fecha </w:t>
      </w:r>
      <w:r w:rsidR="002D04F5" w:rsidRPr="002D04F5">
        <w:t>diecisiete</w:t>
      </w:r>
      <w:r w:rsidRPr="002D04F5">
        <w:t xml:space="preserve"> de diciembre de dos mil veinticinco.</w:t>
      </w:r>
    </w:p>
    <w:p w14:paraId="3A709C70" w14:textId="77777777" w:rsidR="00A34AEB" w:rsidRPr="002D04F5" w:rsidRDefault="00A34AEB">
      <w:pPr>
        <w:spacing w:after="0" w:line="360" w:lineRule="auto"/>
        <w:rPr>
          <w:b/>
          <w:bCs/>
        </w:rPr>
      </w:pPr>
    </w:p>
    <w:p w14:paraId="0D2E4F5B" w14:textId="77777777" w:rsidR="00A34AEB" w:rsidRPr="002D04F5" w:rsidRDefault="005B69C2">
      <w:pPr>
        <w:spacing w:after="0" w:line="360" w:lineRule="auto"/>
      </w:pPr>
      <w:r w:rsidRPr="002D04F5">
        <w:rPr>
          <w:b/>
          <w:bCs/>
        </w:rPr>
        <w:t>V</w:t>
      </w:r>
      <w:r w:rsidRPr="002D04F5">
        <w:rPr>
          <w:b/>
          <w:bCs/>
        </w:rPr>
        <w:t>ISTO</w:t>
      </w:r>
      <w:r w:rsidRPr="002D04F5">
        <w:t xml:space="preserve"> el expediente conformado con motivo del Recurso de Revisión </w:t>
      </w:r>
      <w:r w:rsidRPr="002D04F5">
        <w:rPr>
          <w:b/>
          <w:bCs/>
        </w:rPr>
        <w:t>07591/INFOEM/IP/RR/2025</w:t>
      </w:r>
      <w:r w:rsidRPr="002D04F5">
        <w:t xml:space="preserve">, interpuesto por </w:t>
      </w:r>
      <w:r w:rsidRPr="002D04F5">
        <w:rPr>
          <w:b/>
          <w:bCs/>
        </w:rPr>
        <w:t>un Particular</w:t>
      </w:r>
      <w:r w:rsidRPr="002D04F5">
        <w:t xml:space="preserve">, en lo sucesivo, la persona Recurrente o Particular, en contra de la respuesta del Sujeto Obligado, </w:t>
      </w:r>
      <w:bookmarkStart w:id="0" w:name="_GoBack"/>
      <w:r w:rsidRPr="00C10AA5">
        <w:rPr>
          <w:b/>
        </w:rPr>
        <w:t>Ayuntamiento de Atlacomulco</w:t>
      </w:r>
      <w:bookmarkEnd w:id="0"/>
      <w:r w:rsidRPr="002D04F5">
        <w:t>, se emit</w:t>
      </w:r>
      <w:r w:rsidRPr="002D04F5">
        <w:t>e la presente Resolución, con base en los antecedentes y considerandos que se exponen a continuación:</w:t>
      </w:r>
    </w:p>
    <w:p w14:paraId="44A7014B" w14:textId="77777777" w:rsidR="00A34AEB" w:rsidRPr="002D04F5" w:rsidRDefault="00A34AEB">
      <w:pPr>
        <w:spacing w:after="0" w:line="360" w:lineRule="auto"/>
      </w:pPr>
    </w:p>
    <w:p w14:paraId="55E96CAB" w14:textId="77777777" w:rsidR="00A34AEB" w:rsidRPr="002D04F5" w:rsidRDefault="005B69C2">
      <w:pPr>
        <w:pStyle w:val="Ttulo1"/>
        <w:spacing w:before="0" w:after="0"/>
        <w:rPr>
          <w:sz w:val="22"/>
          <w:szCs w:val="22"/>
        </w:rPr>
      </w:pPr>
      <w:bookmarkStart w:id="1" w:name="_Toc216966612"/>
      <w:r w:rsidRPr="002D04F5">
        <w:rPr>
          <w:sz w:val="22"/>
          <w:szCs w:val="22"/>
        </w:rPr>
        <w:t>A N T E C E D E N T E S</w:t>
      </w:r>
      <w:bookmarkEnd w:id="1"/>
    </w:p>
    <w:p w14:paraId="76FAAE77" w14:textId="77777777" w:rsidR="00A34AEB" w:rsidRPr="002D04F5" w:rsidRDefault="00A34AEB">
      <w:pPr>
        <w:spacing w:after="0" w:line="360" w:lineRule="auto"/>
      </w:pPr>
      <w:bookmarkStart w:id="2" w:name="_heading=h.gjdgxs" w:colFirst="0" w:colLast="0"/>
      <w:bookmarkEnd w:id="2"/>
    </w:p>
    <w:p w14:paraId="0A03FCFA" w14:textId="77777777" w:rsidR="00A34AEB" w:rsidRPr="002D04F5" w:rsidRDefault="005B69C2">
      <w:pPr>
        <w:pStyle w:val="Ttulo2"/>
        <w:spacing w:before="0" w:after="0"/>
      </w:pPr>
      <w:bookmarkStart w:id="3" w:name="_Toc216966613"/>
      <w:r w:rsidRPr="002D04F5">
        <w:t>I. Presentación de la solicitud de información</w:t>
      </w:r>
      <w:bookmarkEnd w:id="3"/>
    </w:p>
    <w:p w14:paraId="560CAC1B" w14:textId="77777777" w:rsidR="00A34AEB" w:rsidRPr="002D04F5" w:rsidRDefault="00A34AEB">
      <w:pPr>
        <w:tabs>
          <w:tab w:val="left" w:pos="567"/>
        </w:tabs>
        <w:spacing w:after="0" w:line="360" w:lineRule="auto"/>
      </w:pPr>
    </w:p>
    <w:p w14:paraId="3F3364DF" w14:textId="77777777" w:rsidR="00A34AEB" w:rsidRPr="002D04F5" w:rsidRDefault="005B69C2">
      <w:pPr>
        <w:spacing w:after="0" w:line="360" w:lineRule="auto"/>
      </w:pPr>
      <w:bookmarkStart w:id="4" w:name="_heading=h.7z2hm1dstc2n" w:colFirst="0" w:colLast="0"/>
      <w:bookmarkEnd w:id="4"/>
      <w:r w:rsidRPr="002D04F5">
        <w:t xml:space="preserve">Con fecha treinta de mayo de dos mil veinticinco, la parte Solicitante presentó </w:t>
      </w:r>
      <w:r w:rsidRPr="002D04F5">
        <w:t>una solicitud de acceso a la información pública, a través del Sistema de Acceso a la Información Mexiquense, en lo sucesivo el SAIMEX; ante el Ayuntamiento de Atlacomulco, en la que requirió lo siguiente:</w:t>
      </w:r>
    </w:p>
    <w:p w14:paraId="31B1896B" w14:textId="77777777" w:rsidR="00A34AEB" w:rsidRPr="002D04F5" w:rsidRDefault="00A34AEB">
      <w:pPr>
        <w:spacing w:after="0" w:line="360" w:lineRule="auto"/>
      </w:pPr>
    </w:p>
    <w:p w14:paraId="02F18F83" w14:textId="77777777" w:rsidR="00A34AEB" w:rsidRPr="002D04F5" w:rsidRDefault="005B69C2">
      <w:pPr>
        <w:tabs>
          <w:tab w:val="left" w:pos="567"/>
        </w:tabs>
        <w:spacing w:after="0" w:line="360" w:lineRule="auto"/>
        <w:ind w:left="567" w:right="709"/>
        <w:rPr>
          <w:b/>
          <w:bCs/>
          <w:sz w:val="20"/>
          <w:szCs w:val="20"/>
        </w:rPr>
      </w:pPr>
      <w:r w:rsidRPr="002D04F5">
        <w:rPr>
          <w:b/>
          <w:bCs/>
          <w:sz w:val="20"/>
          <w:szCs w:val="20"/>
        </w:rPr>
        <w:t>Folio de la solicitud: 00368/ATLACOM/IP/2025</w:t>
      </w:r>
    </w:p>
    <w:p w14:paraId="081B4C91" w14:textId="77777777" w:rsidR="00A34AEB" w:rsidRPr="002D04F5" w:rsidRDefault="005B69C2">
      <w:pPr>
        <w:tabs>
          <w:tab w:val="left" w:pos="567"/>
        </w:tabs>
        <w:spacing w:after="0" w:line="360" w:lineRule="auto"/>
        <w:ind w:left="567" w:right="709"/>
        <w:rPr>
          <w:b/>
          <w:bCs/>
          <w:sz w:val="20"/>
          <w:szCs w:val="20"/>
        </w:rPr>
      </w:pPr>
      <w:r w:rsidRPr="002D04F5">
        <w:rPr>
          <w:b/>
          <w:bCs/>
          <w:sz w:val="20"/>
          <w:szCs w:val="20"/>
        </w:rPr>
        <w:t>DESC</w:t>
      </w:r>
      <w:r w:rsidRPr="002D04F5">
        <w:rPr>
          <w:b/>
          <w:bCs/>
          <w:sz w:val="20"/>
          <w:szCs w:val="20"/>
        </w:rPr>
        <w:t>RIPCIÓN CLARA Y PRECISA DE LA INFORMACIÓN SOLICITADA</w:t>
      </w:r>
    </w:p>
    <w:p w14:paraId="49A497A8" w14:textId="77777777" w:rsidR="00A34AEB" w:rsidRPr="002D04F5" w:rsidRDefault="005B69C2">
      <w:pPr>
        <w:tabs>
          <w:tab w:val="left" w:pos="4667"/>
        </w:tabs>
        <w:spacing w:after="0" w:line="360" w:lineRule="auto"/>
        <w:ind w:left="567" w:right="709"/>
        <w:rPr>
          <w:i/>
          <w:iCs/>
          <w:sz w:val="20"/>
          <w:szCs w:val="20"/>
        </w:rPr>
      </w:pPr>
      <w:r w:rsidRPr="002D04F5">
        <w:rPr>
          <w:i/>
          <w:iCs/>
          <w:sz w:val="20"/>
          <w:szCs w:val="20"/>
        </w:rPr>
        <w:t xml:space="preserve">“Acciones mejora </w:t>
      </w:r>
      <w:proofErr w:type="spellStart"/>
      <w:r w:rsidRPr="002D04F5">
        <w:rPr>
          <w:i/>
          <w:iCs/>
          <w:sz w:val="20"/>
          <w:szCs w:val="20"/>
        </w:rPr>
        <w:t>regulatiria</w:t>
      </w:r>
      <w:proofErr w:type="spellEnd"/>
      <w:r w:rsidRPr="002D04F5">
        <w:rPr>
          <w:i/>
          <w:iCs/>
          <w:sz w:val="20"/>
          <w:szCs w:val="20"/>
        </w:rPr>
        <w:t xml:space="preserve"> 2025” (Sic.) </w:t>
      </w:r>
    </w:p>
    <w:p w14:paraId="4A5AD46C" w14:textId="77777777" w:rsidR="00A34AEB" w:rsidRPr="002D04F5" w:rsidRDefault="00A34AEB">
      <w:pPr>
        <w:tabs>
          <w:tab w:val="left" w:pos="4667"/>
        </w:tabs>
        <w:spacing w:after="0" w:line="360" w:lineRule="auto"/>
        <w:ind w:left="567" w:right="709"/>
        <w:rPr>
          <w:b/>
          <w:bCs/>
          <w:sz w:val="20"/>
          <w:szCs w:val="20"/>
        </w:rPr>
      </w:pPr>
    </w:p>
    <w:p w14:paraId="199400DD" w14:textId="77777777" w:rsidR="00A34AEB" w:rsidRPr="002D04F5" w:rsidRDefault="005B69C2">
      <w:pPr>
        <w:tabs>
          <w:tab w:val="left" w:pos="4667"/>
        </w:tabs>
        <w:spacing w:after="0" w:line="360" w:lineRule="auto"/>
        <w:ind w:left="567" w:right="709"/>
        <w:rPr>
          <w:i/>
          <w:iCs/>
          <w:sz w:val="20"/>
          <w:szCs w:val="20"/>
        </w:rPr>
      </w:pPr>
      <w:r w:rsidRPr="002D04F5">
        <w:rPr>
          <w:b/>
          <w:bCs/>
          <w:sz w:val="20"/>
          <w:szCs w:val="20"/>
        </w:rPr>
        <w:t xml:space="preserve">MODALIDAD DE ENTREGA </w:t>
      </w:r>
      <w:r w:rsidRPr="002D04F5">
        <w:rPr>
          <w:i/>
          <w:iCs/>
          <w:sz w:val="20"/>
          <w:szCs w:val="20"/>
        </w:rPr>
        <w:t>“A través del SAIMEX.”</w:t>
      </w:r>
    </w:p>
    <w:p w14:paraId="5DF1D8A7" w14:textId="77777777" w:rsidR="00A34AEB" w:rsidRPr="002D04F5" w:rsidRDefault="00A34AEB">
      <w:pPr>
        <w:tabs>
          <w:tab w:val="left" w:pos="4667"/>
        </w:tabs>
        <w:spacing w:after="0" w:line="360" w:lineRule="auto"/>
        <w:ind w:left="567" w:right="709"/>
        <w:rPr>
          <w:b/>
          <w:bCs/>
        </w:rPr>
      </w:pPr>
    </w:p>
    <w:p w14:paraId="22116B9E" w14:textId="77777777" w:rsidR="00A34AEB" w:rsidRPr="002D04F5" w:rsidRDefault="005B69C2" w:rsidP="002D04F5">
      <w:pPr>
        <w:pStyle w:val="Ttulo2"/>
        <w:rPr>
          <w:b w:val="0"/>
          <w:bCs w:val="0"/>
          <w:color w:val="000000"/>
        </w:rPr>
      </w:pPr>
      <w:bookmarkStart w:id="5" w:name="_Toc216966614"/>
      <w:r w:rsidRPr="002D04F5">
        <w:rPr>
          <w:color w:val="000000"/>
        </w:rPr>
        <w:t>II. Solicitud de aclaración</w:t>
      </w:r>
      <w:bookmarkEnd w:id="5"/>
    </w:p>
    <w:p w14:paraId="115A43EC" w14:textId="77777777" w:rsidR="00A34AEB" w:rsidRPr="002D04F5" w:rsidRDefault="00A34AEB">
      <w:pPr>
        <w:spacing w:after="0" w:line="360" w:lineRule="auto"/>
        <w:rPr>
          <w:color w:val="000000"/>
        </w:rPr>
      </w:pPr>
    </w:p>
    <w:p w14:paraId="4EEC7F10" w14:textId="77777777" w:rsidR="00A34AEB" w:rsidRPr="002D04F5" w:rsidRDefault="005B69C2">
      <w:pPr>
        <w:spacing w:after="0" w:line="360" w:lineRule="auto"/>
        <w:rPr>
          <w:color w:val="000000"/>
        </w:rPr>
      </w:pPr>
      <w:r w:rsidRPr="002D04F5">
        <w:rPr>
          <w:color w:val="000000"/>
        </w:rPr>
        <w:lastRenderedPageBreak/>
        <w:t>En fecha cinco de junio de dos mil veinticinco, el Sujeto Obligado a través de SAIMEX</w:t>
      </w:r>
      <w:r w:rsidRPr="002D04F5">
        <w:rPr>
          <w:color w:val="000000"/>
        </w:rPr>
        <w:t xml:space="preserve"> requirió la parte Solicitante que </w:t>
      </w:r>
      <w:r w:rsidRPr="002D04F5">
        <w:t>realizará</w:t>
      </w:r>
      <w:r w:rsidRPr="002D04F5">
        <w:rPr>
          <w:color w:val="000000"/>
        </w:rPr>
        <w:t xml:space="preserve"> una aclaración, dentro del plazo de diez días hábiles, en los siguientes términos:</w:t>
      </w:r>
    </w:p>
    <w:p w14:paraId="61D369D8" w14:textId="77777777" w:rsidR="00A34AEB" w:rsidRPr="002D04F5" w:rsidRDefault="00A34AEB">
      <w:pPr>
        <w:spacing w:after="0" w:line="360" w:lineRule="auto"/>
        <w:rPr>
          <w:color w:val="000000"/>
        </w:rPr>
      </w:pPr>
    </w:p>
    <w:p w14:paraId="069065EE" w14:textId="77777777" w:rsidR="00A34AEB" w:rsidRPr="002D04F5" w:rsidRDefault="005B69C2">
      <w:pPr>
        <w:spacing w:after="0" w:line="360" w:lineRule="auto"/>
        <w:ind w:left="567" w:right="709"/>
        <w:rPr>
          <w:i/>
          <w:iCs/>
          <w:color w:val="000000"/>
          <w:sz w:val="20"/>
          <w:szCs w:val="20"/>
        </w:rPr>
      </w:pPr>
      <w:r w:rsidRPr="002D04F5">
        <w:rPr>
          <w:i/>
          <w:iCs/>
          <w:color w:val="000000"/>
          <w:sz w:val="20"/>
          <w:szCs w:val="20"/>
        </w:rPr>
        <w:t xml:space="preserve">“Con fundamento en el </w:t>
      </w:r>
      <w:r w:rsidRPr="002D04F5">
        <w:rPr>
          <w:i/>
          <w:iCs/>
          <w:sz w:val="20"/>
          <w:szCs w:val="20"/>
        </w:rPr>
        <w:t>artículo</w:t>
      </w:r>
      <w:r w:rsidRPr="002D04F5">
        <w:rPr>
          <w:i/>
          <w:iCs/>
          <w:color w:val="000000"/>
          <w:sz w:val="20"/>
          <w:szCs w:val="20"/>
        </w:rPr>
        <w:t xml:space="preserve"> 159 de la Ley de Transparencia y Acceso a la Información Pública del Estado de México y Municipios, se le requiere para que dentro del plazo de diez días hábiles realice lo siguiente:</w:t>
      </w:r>
    </w:p>
    <w:p w14:paraId="239E6DC4" w14:textId="77777777" w:rsidR="00AB32D2" w:rsidRPr="002D04F5" w:rsidRDefault="00AB32D2">
      <w:pPr>
        <w:spacing w:after="0" w:line="360" w:lineRule="auto"/>
        <w:ind w:left="567" w:right="709"/>
        <w:rPr>
          <w:i/>
          <w:iCs/>
          <w:color w:val="000000"/>
          <w:sz w:val="20"/>
          <w:szCs w:val="20"/>
        </w:rPr>
      </w:pPr>
    </w:p>
    <w:p w14:paraId="6CA3027F" w14:textId="77777777" w:rsidR="00A34AEB" w:rsidRPr="002D04F5" w:rsidRDefault="005B69C2">
      <w:pPr>
        <w:spacing w:after="0" w:line="360" w:lineRule="auto"/>
        <w:ind w:left="567" w:right="709"/>
        <w:rPr>
          <w:i/>
          <w:iCs/>
          <w:color w:val="000000"/>
          <w:sz w:val="20"/>
          <w:szCs w:val="20"/>
        </w:rPr>
      </w:pPr>
      <w:r w:rsidRPr="002D04F5">
        <w:rPr>
          <w:i/>
          <w:iCs/>
          <w:color w:val="000000"/>
          <w:sz w:val="20"/>
          <w:szCs w:val="20"/>
        </w:rPr>
        <w:t>SU SOLICITUD VERSA SOBRE LAS ACCIONES ESPECIFICAS DE LA COORDINACIÓN G</w:t>
      </w:r>
      <w:r w:rsidRPr="002D04F5">
        <w:rPr>
          <w:i/>
          <w:iCs/>
          <w:color w:val="000000"/>
          <w:sz w:val="20"/>
          <w:szCs w:val="20"/>
        </w:rPr>
        <w:t>ENERAL MUNICIPAL DE MEJORA REGULATORÍA, FAVOR DE INDICARNOS</w:t>
      </w:r>
    </w:p>
    <w:p w14:paraId="7A56B41A" w14:textId="77777777" w:rsidR="00AB32D2" w:rsidRPr="002D04F5" w:rsidRDefault="00AB32D2">
      <w:pPr>
        <w:spacing w:after="0" w:line="360" w:lineRule="auto"/>
        <w:ind w:left="567" w:right="709"/>
        <w:rPr>
          <w:i/>
          <w:iCs/>
          <w:color w:val="000000"/>
          <w:sz w:val="20"/>
          <w:szCs w:val="20"/>
        </w:rPr>
      </w:pPr>
    </w:p>
    <w:p w14:paraId="5749CD76" w14:textId="5F93427C" w:rsidR="00A34AEB" w:rsidRPr="002D04F5" w:rsidRDefault="005B69C2" w:rsidP="002D04F5">
      <w:pPr>
        <w:spacing w:after="0" w:line="360" w:lineRule="auto"/>
        <w:ind w:left="567" w:right="709"/>
        <w:rPr>
          <w:i/>
          <w:iCs/>
          <w:color w:val="000000"/>
          <w:sz w:val="20"/>
          <w:szCs w:val="20"/>
        </w:rPr>
      </w:pPr>
      <w:r w:rsidRPr="002D04F5">
        <w:rPr>
          <w:i/>
          <w:iCs/>
          <w:color w:val="000000"/>
          <w:sz w:val="20"/>
          <w:szCs w:val="20"/>
        </w:rPr>
        <w:t xml:space="preserve">En caso de que no se desahogue el requerimiento señalado dentro del plazo citado se tendrá por no presentada la solicitud de información, quedando a salvo sus derechos para volver a presentar la </w:t>
      </w:r>
      <w:r w:rsidRPr="002D04F5">
        <w:rPr>
          <w:i/>
          <w:iCs/>
          <w:color w:val="000000"/>
          <w:sz w:val="20"/>
          <w:szCs w:val="20"/>
        </w:rPr>
        <w:t>solicitud, lo anterior con fundamento en el artículo 159 de la Ley invocada.”</w:t>
      </w:r>
    </w:p>
    <w:p w14:paraId="455C04A1" w14:textId="77777777" w:rsidR="00A34AEB" w:rsidRPr="002D04F5" w:rsidRDefault="005B69C2" w:rsidP="002D04F5">
      <w:pPr>
        <w:pStyle w:val="Ttulo2"/>
        <w:rPr>
          <w:b w:val="0"/>
          <w:bCs w:val="0"/>
          <w:color w:val="000000"/>
        </w:rPr>
      </w:pPr>
      <w:bookmarkStart w:id="6" w:name="_Toc216966615"/>
      <w:r w:rsidRPr="002D04F5">
        <w:rPr>
          <w:color w:val="000000"/>
        </w:rPr>
        <w:t>III. Desahogo de aclaración</w:t>
      </w:r>
      <w:bookmarkEnd w:id="6"/>
    </w:p>
    <w:p w14:paraId="762A6961" w14:textId="77777777" w:rsidR="00A34AEB" w:rsidRPr="002D04F5" w:rsidRDefault="00A34AEB">
      <w:pPr>
        <w:spacing w:after="0" w:line="360" w:lineRule="auto"/>
        <w:rPr>
          <w:color w:val="000000"/>
        </w:rPr>
      </w:pPr>
    </w:p>
    <w:p w14:paraId="5419A6B9" w14:textId="77777777" w:rsidR="00A34AEB" w:rsidRPr="002D04F5" w:rsidRDefault="005B69C2">
      <w:pPr>
        <w:spacing w:after="0" w:line="360" w:lineRule="auto"/>
      </w:pPr>
      <w:r w:rsidRPr="002D04F5">
        <w:rPr>
          <w:color w:val="000000"/>
        </w:rPr>
        <w:t xml:space="preserve">De las constancias que obran en el expediente digital en el SAIMEX, se aprecia que la parte Recurrente no </w:t>
      </w:r>
      <w:r w:rsidRPr="002D04F5">
        <w:t>desahogó</w:t>
      </w:r>
      <w:r w:rsidRPr="002D04F5">
        <w:rPr>
          <w:color w:val="000000"/>
        </w:rPr>
        <w:t xml:space="preserve"> el requerimiento de aclaración. </w:t>
      </w:r>
    </w:p>
    <w:p w14:paraId="771DE40A" w14:textId="77777777" w:rsidR="00A34AEB" w:rsidRPr="002D04F5" w:rsidRDefault="00A34AEB">
      <w:pPr>
        <w:tabs>
          <w:tab w:val="left" w:pos="4667"/>
        </w:tabs>
        <w:spacing w:after="0" w:line="360" w:lineRule="auto"/>
      </w:pPr>
    </w:p>
    <w:p w14:paraId="50C255DC" w14:textId="77777777" w:rsidR="00A34AEB" w:rsidRPr="002D04F5" w:rsidRDefault="005B69C2">
      <w:pPr>
        <w:pStyle w:val="Ttulo2"/>
        <w:spacing w:before="0" w:after="0"/>
      </w:pPr>
      <w:bookmarkStart w:id="7" w:name="_Toc216966616"/>
      <w:r w:rsidRPr="002D04F5">
        <w:t>IV. Respuesta del Sujeto Obligado</w:t>
      </w:r>
      <w:bookmarkEnd w:id="7"/>
    </w:p>
    <w:p w14:paraId="4A64A712" w14:textId="77777777" w:rsidR="00A34AEB" w:rsidRPr="002D04F5" w:rsidRDefault="00A34AEB">
      <w:pPr>
        <w:spacing w:after="0" w:line="360" w:lineRule="auto"/>
      </w:pPr>
    </w:p>
    <w:p w14:paraId="126A48B1" w14:textId="77777777" w:rsidR="00A34AEB" w:rsidRPr="002D04F5" w:rsidRDefault="005B69C2">
      <w:pPr>
        <w:spacing w:after="0" w:line="360" w:lineRule="auto"/>
      </w:pPr>
      <w:r w:rsidRPr="002D04F5">
        <w:t>El veinte de junio de dos mil veinticinco, el Sujeto Obligado a través de SAIMEX, dio respuesta en los siguientes términos:</w:t>
      </w:r>
    </w:p>
    <w:p w14:paraId="1273580A" w14:textId="77777777" w:rsidR="00A34AEB" w:rsidRPr="002D04F5" w:rsidRDefault="00A34AEB" w:rsidP="00AB32D2">
      <w:pPr>
        <w:spacing w:after="0" w:line="360" w:lineRule="auto"/>
        <w:ind w:left="567" w:right="567"/>
      </w:pPr>
    </w:p>
    <w:p w14:paraId="6E0531C6" w14:textId="77777777" w:rsidR="00A34AEB" w:rsidRPr="002D04F5" w:rsidRDefault="005B69C2" w:rsidP="00AB32D2">
      <w:pPr>
        <w:pBdr>
          <w:top w:val="nil"/>
          <w:left w:val="nil"/>
          <w:bottom w:val="nil"/>
          <w:right w:val="nil"/>
          <w:between w:val="nil"/>
        </w:pBdr>
        <w:spacing w:after="0" w:line="360" w:lineRule="auto"/>
        <w:ind w:left="567" w:right="567"/>
        <w:rPr>
          <w:i/>
          <w:iCs/>
          <w:color w:val="000000"/>
          <w:sz w:val="20"/>
          <w:szCs w:val="20"/>
        </w:rPr>
      </w:pPr>
      <w:r w:rsidRPr="002D04F5">
        <w:rPr>
          <w:i/>
          <w:iCs/>
          <w:color w:val="000000"/>
          <w:sz w:val="20"/>
          <w:szCs w:val="20"/>
        </w:rPr>
        <w:t xml:space="preserve">“Con fundamento en el artículo 163 de la Ley de Transparencia y Acceso a la Información Pública </w:t>
      </w:r>
      <w:r w:rsidRPr="002D04F5">
        <w:rPr>
          <w:i/>
          <w:iCs/>
          <w:color w:val="000000"/>
          <w:sz w:val="20"/>
          <w:szCs w:val="20"/>
        </w:rPr>
        <w:t>del Estado de México y Municipios, le contestamos que:</w:t>
      </w:r>
    </w:p>
    <w:p w14:paraId="58537755" w14:textId="77777777" w:rsidR="00A34AEB" w:rsidRPr="002D04F5" w:rsidRDefault="005B69C2" w:rsidP="00AB32D2">
      <w:pPr>
        <w:pBdr>
          <w:top w:val="nil"/>
          <w:left w:val="nil"/>
          <w:bottom w:val="nil"/>
          <w:right w:val="nil"/>
          <w:between w:val="nil"/>
        </w:pBdr>
        <w:spacing w:after="0" w:line="360" w:lineRule="auto"/>
        <w:ind w:left="567" w:right="567"/>
        <w:rPr>
          <w:i/>
          <w:iCs/>
          <w:color w:val="000000"/>
          <w:sz w:val="20"/>
          <w:szCs w:val="20"/>
        </w:rPr>
      </w:pPr>
      <w:r w:rsidRPr="002D04F5">
        <w:rPr>
          <w:i/>
          <w:iCs/>
          <w:color w:val="000000"/>
          <w:sz w:val="20"/>
          <w:szCs w:val="20"/>
        </w:rPr>
        <w:lastRenderedPageBreak/>
        <w:t>En virtud de no haber realizado manifestación alguna, a este sujeto obligado me permito remitir a usted la información que da cuanta el área competente.”</w:t>
      </w:r>
    </w:p>
    <w:p w14:paraId="1515E235" w14:textId="77777777" w:rsidR="00A34AEB" w:rsidRPr="002D04F5" w:rsidRDefault="00A34AEB">
      <w:pPr>
        <w:spacing w:after="0" w:line="360" w:lineRule="auto"/>
        <w:rPr>
          <w:b/>
          <w:bCs/>
          <w:i/>
          <w:iCs/>
        </w:rPr>
      </w:pPr>
    </w:p>
    <w:p w14:paraId="0393B511" w14:textId="77777777" w:rsidR="00A34AEB" w:rsidRPr="002D04F5" w:rsidRDefault="005B69C2">
      <w:pPr>
        <w:spacing w:after="0" w:line="360" w:lineRule="auto"/>
      </w:pPr>
      <w:r w:rsidRPr="002D04F5">
        <w:t xml:space="preserve">Además, adjuntó el archivo denominado </w:t>
      </w:r>
      <w:r w:rsidRPr="002D04F5">
        <w:rPr>
          <w:i/>
          <w:iCs/>
        </w:rPr>
        <w:t>0368_RES</w:t>
      </w:r>
      <w:r w:rsidRPr="002D04F5">
        <w:rPr>
          <w:i/>
          <w:iCs/>
        </w:rPr>
        <w:t xml:space="preserve">P_UT_2025.pdf; </w:t>
      </w:r>
      <w:r w:rsidRPr="002D04F5">
        <w:t>del que se desprende lo siguiente:</w:t>
      </w:r>
    </w:p>
    <w:p w14:paraId="54960E4A" w14:textId="77777777" w:rsidR="00A34AEB" w:rsidRPr="002D04F5" w:rsidRDefault="00A34AEB">
      <w:pPr>
        <w:spacing w:after="0" w:line="360" w:lineRule="auto"/>
      </w:pPr>
    </w:p>
    <w:p w14:paraId="1BAF00CE" w14:textId="77777777" w:rsidR="00A34AEB" w:rsidRPr="002D04F5" w:rsidRDefault="005B69C2">
      <w:pPr>
        <w:numPr>
          <w:ilvl w:val="0"/>
          <w:numId w:val="2"/>
        </w:numPr>
        <w:pBdr>
          <w:top w:val="nil"/>
          <w:left w:val="nil"/>
          <w:bottom w:val="nil"/>
          <w:right w:val="nil"/>
          <w:between w:val="nil"/>
        </w:pBdr>
        <w:spacing w:after="0" w:line="360" w:lineRule="auto"/>
        <w:rPr>
          <w:color w:val="000000"/>
        </w:rPr>
      </w:pPr>
      <w:r w:rsidRPr="002D04F5">
        <w:rPr>
          <w:color w:val="000000"/>
        </w:rPr>
        <w:t>Oficio suscrito por la Titular de la Unidad de Transparencia, en el que informó que la solicitud fue turnada al Servidor Público Habilitado de la Coordinación General Municipal de Mejora Regulatoria y anun</w:t>
      </w:r>
      <w:r w:rsidRPr="002D04F5">
        <w:rPr>
          <w:color w:val="000000"/>
        </w:rPr>
        <w:t xml:space="preserve">ció la entrega de la respuesta de dicha área, sin embargo, de las constancias en el expediente digital en SAIMEX destaca que no consta ningún otro documento entregado en respuesta. </w:t>
      </w:r>
    </w:p>
    <w:p w14:paraId="23BEA319" w14:textId="77777777" w:rsidR="00A34AEB" w:rsidRPr="002D04F5" w:rsidRDefault="00A34AEB">
      <w:pPr>
        <w:pBdr>
          <w:top w:val="nil"/>
          <w:left w:val="nil"/>
          <w:bottom w:val="nil"/>
          <w:right w:val="nil"/>
          <w:between w:val="nil"/>
        </w:pBdr>
        <w:spacing w:after="0" w:line="360" w:lineRule="auto"/>
        <w:ind w:left="720"/>
        <w:rPr>
          <w:color w:val="000000"/>
        </w:rPr>
      </w:pPr>
    </w:p>
    <w:p w14:paraId="6383BBC3" w14:textId="77777777" w:rsidR="00A34AEB" w:rsidRPr="002D04F5" w:rsidRDefault="005B69C2">
      <w:pPr>
        <w:pStyle w:val="Ttulo2"/>
        <w:spacing w:before="0" w:after="0"/>
      </w:pPr>
      <w:bookmarkStart w:id="8" w:name="_Toc216966617"/>
      <w:r w:rsidRPr="002D04F5">
        <w:t>V. Interposición del Recurso de Revisión</w:t>
      </w:r>
      <w:bookmarkEnd w:id="8"/>
    </w:p>
    <w:p w14:paraId="4FC72532" w14:textId="77777777" w:rsidR="00A34AEB" w:rsidRPr="002D04F5" w:rsidRDefault="00A34AEB">
      <w:pPr>
        <w:spacing w:after="0" w:line="360" w:lineRule="auto"/>
        <w:rPr>
          <w:b/>
          <w:bCs/>
        </w:rPr>
      </w:pPr>
    </w:p>
    <w:p w14:paraId="25EAC496" w14:textId="77777777" w:rsidR="00A34AEB" w:rsidRPr="002D04F5" w:rsidRDefault="005B69C2">
      <w:pPr>
        <w:spacing w:after="0" w:line="360" w:lineRule="auto"/>
      </w:pPr>
      <w:bookmarkStart w:id="9" w:name="_heading=h.2et92p0" w:colFirst="0" w:colLast="0"/>
      <w:bookmarkEnd w:id="9"/>
      <w:r w:rsidRPr="002D04F5">
        <w:t>Con fecha veintidós de junio de</w:t>
      </w:r>
      <w:r w:rsidRPr="002D04F5">
        <w:t xml:space="preserve"> dos mil veinticinco, se recibió a través del SAIMEX, el Recurso de Revisión interpuesto por la persona Recurrente; el cual se radicó el veintitrés de junio de dos mil veinticinco, al tratarse del día siguiente hábil de conformidad con el calendario emitid</w:t>
      </w:r>
      <w:r w:rsidRPr="002D04F5">
        <w:t>o por este Pleno para tales efectos; en los siguientes términos:</w:t>
      </w:r>
    </w:p>
    <w:p w14:paraId="3A8464AA" w14:textId="77777777" w:rsidR="00A34AEB" w:rsidRPr="002D04F5" w:rsidRDefault="00A34AEB">
      <w:pPr>
        <w:spacing w:after="0" w:line="360" w:lineRule="auto"/>
      </w:pPr>
    </w:p>
    <w:p w14:paraId="0416B41D" w14:textId="77777777" w:rsidR="00A34AEB" w:rsidRPr="002D04F5" w:rsidRDefault="005B69C2">
      <w:pPr>
        <w:spacing w:after="0" w:line="360" w:lineRule="auto"/>
        <w:ind w:left="567" w:right="709"/>
        <w:rPr>
          <w:b/>
          <w:bCs/>
          <w:sz w:val="20"/>
          <w:szCs w:val="20"/>
        </w:rPr>
      </w:pPr>
      <w:r w:rsidRPr="002D04F5">
        <w:rPr>
          <w:b/>
          <w:bCs/>
          <w:sz w:val="20"/>
          <w:szCs w:val="20"/>
        </w:rPr>
        <w:t>ACTO IMPUGNADO</w:t>
      </w:r>
      <w:r w:rsidRPr="002D04F5">
        <w:rPr>
          <w:b/>
          <w:bCs/>
          <w:sz w:val="20"/>
          <w:szCs w:val="20"/>
        </w:rPr>
        <w:tab/>
      </w:r>
    </w:p>
    <w:p w14:paraId="760874A7" w14:textId="77777777" w:rsidR="00A34AEB" w:rsidRPr="002D04F5" w:rsidRDefault="005B69C2">
      <w:pPr>
        <w:spacing w:after="0" w:line="360" w:lineRule="auto"/>
        <w:ind w:left="567" w:right="709"/>
        <w:rPr>
          <w:b/>
          <w:bCs/>
          <w:sz w:val="20"/>
          <w:szCs w:val="20"/>
        </w:rPr>
      </w:pPr>
      <w:r w:rsidRPr="002D04F5">
        <w:rPr>
          <w:i/>
          <w:iCs/>
          <w:sz w:val="20"/>
          <w:szCs w:val="20"/>
        </w:rPr>
        <w:t>“Negativa dela información” (Sic.)</w:t>
      </w:r>
    </w:p>
    <w:p w14:paraId="3D702CBE" w14:textId="77777777" w:rsidR="00A34AEB" w:rsidRPr="002D04F5" w:rsidRDefault="00A34AEB">
      <w:pPr>
        <w:spacing w:after="0" w:line="360" w:lineRule="auto"/>
        <w:ind w:left="567" w:right="709"/>
        <w:rPr>
          <w:sz w:val="20"/>
          <w:szCs w:val="20"/>
        </w:rPr>
      </w:pPr>
    </w:p>
    <w:p w14:paraId="13715B74" w14:textId="77777777" w:rsidR="00A34AEB" w:rsidRPr="002D04F5" w:rsidRDefault="005B69C2">
      <w:pPr>
        <w:spacing w:after="0" w:line="360" w:lineRule="auto"/>
        <w:ind w:left="567" w:right="709"/>
        <w:rPr>
          <w:b/>
          <w:bCs/>
          <w:sz w:val="20"/>
          <w:szCs w:val="20"/>
        </w:rPr>
      </w:pPr>
      <w:r w:rsidRPr="002D04F5">
        <w:rPr>
          <w:b/>
          <w:bCs/>
          <w:sz w:val="20"/>
          <w:szCs w:val="20"/>
        </w:rPr>
        <w:t>RAZONES O MOTIVOS DE LA INCONFORMIDAD</w:t>
      </w:r>
      <w:r w:rsidRPr="002D04F5">
        <w:rPr>
          <w:b/>
          <w:bCs/>
          <w:sz w:val="20"/>
          <w:szCs w:val="20"/>
        </w:rPr>
        <w:tab/>
      </w:r>
    </w:p>
    <w:p w14:paraId="7ECE303A" w14:textId="77777777" w:rsidR="00A34AEB" w:rsidRPr="002D04F5" w:rsidRDefault="005B69C2">
      <w:pPr>
        <w:tabs>
          <w:tab w:val="left" w:pos="4667"/>
        </w:tabs>
        <w:spacing w:after="0" w:line="360" w:lineRule="auto"/>
        <w:ind w:left="567" w:right="709"/>
        <w:rPr>
          <w:i/>
          <w:iCs/>
          <w:sz w:val="20"/>
          <w:szCs w:val="20"/>
        </w:rPr>
      </w:pPr>
      <w:r w:rsidRPr="002D04F5">
        <w:rPr>
          <w:i/>
          <w:iCs/>
          <w:sz w:val="20"/>
          <w:szCs w:val="20"/>
        </w:rPr>
        <w:t xml:space="preserve">“Negativa” </w:t>
      </w:r>
    </w:p>
    <w:p w14:paraId="471D1F06" w14:textId="77777777" w:rsidR="00A34AEB" w:rsidRPr="002D04F5" w:rsidRDefault="00A34AEB">
      <w:pPr>
        <w:tabs>
          <w:tab w:val="left" w:pos="4667"/>
        </w:tabs>
        <w:spacing w:after="0" w:line="360" w:lineRule="auto"/>
      </w:pPr>
    </w:p>
    <w:p w14:paraId="433C100E" w14:textId="77777777" w:rsidR="00A34AEB" w:rsidRPr="002D04F5" w:rsidRDefault="005B69C2">
      <w:pPr>
        <w:pStyle w:val="Ttulo2"/>
        <w:spacing w:before="0" w:after="0"/>
      </w:pPr>
      <w:bookmarkStart w:id="10" w:name="_Toc216966618"/>
      <w:r w:rsidRPr="002D04F5">
        <w:t>VI. Trámite del Recurso de Revisión ante este Instituto</w:t>
      </w:r>
      <w:bookmarkEnd w:id="10"/>
    </w:p>
    <w:p w14:paraId="7240D1FC" w14:textId="77777777" w:rsidR="00A34AEB" w:rsidRPr="002D04F5" w:rsidRDefault="00A34AEB">
      <w:pPr>
        <w:spacing w:after="0" w:line="360" w:lineRule="auto"/>
        <w:rPr>
          <w:b/>
          <w:bCs/>
        </w:rPr>
      </w:pPr>
    </w:p>
    <w:p w14:paraId="3BC495C7" w14:textId="77777777" w:rsidR="00A34AEB" w:rsidRPr="002D04F5" w:rsidRDefault="005B69C2">
      <w:pPr>
        <w:spacing w:after="0" w:line="360" w:lineRule="auto"/>
      </w:pPr>
      <w:r w:rsidRPr="002D04F5">
        <w:rPr>
          <w:b/>
          <w:bCs/>
        </w:rPr>
        <w:lastRenderedPageBreak/>
        <w:t xml:space="preserve">a) Turno del Medio de </w:t>
      </w:r>
      <w:r w:rsidRPr="002D04F5">
        <w:rPr>
          <w:b/>
          <w:bCs/>
        </w:rPr>
        <w:t>Impugnación.</w:t>
      </w:r>
      <w:r w:rsidRPr="002D04F5">
        <w:t xml:space="preserve"> El veintidós de junio de dos mil veinticinco, el SAIMEX, asignó el número de expediente</w:t>
      </w:r>
      <w:r w:rsidRPr="002D04F5">
        <w:rPr>
          <w:b/>
          <w:bCs/>
        </w:rPr>
        <w:t xml:space="preserve"> 07591/INFOEM/IP/RR/2025, </w:t>
      </w:r>
      <w:r w:rsidRPr="002D04F5">
        <w:t>al medio de impugnación que nos ocupan, con base en el sistema aprobado por el Pleno de este Órgano Garante y se turnó al Comision</w:t>
      </w:r>
      <w:r w:rsidRPr="002D04F5">
        <w:t>ado Ponente Luis Gustavo Parra Noriega, para los efectos del artículo 185, fracción I de la Ley de Transparencia y Acceso a la Información Pública del Estado de México y Municipios.</w:t>
      </w:r>
    </w:p>
    <w:p w14:paraId="7FB2B60D" w14:textId="77777777" w:rsidR="00A34AEB" w:rsidRPr="002D04F5" w:rsidRDefault="00A34AEB">
      <w:pPr>
        <w:spacing w:after="0" w:line="360" w:lineRule="auto"/>
      </w:pPr>
    </w:p>
    <w:p w14:paraId="05FF0ADC" w14:textId="77777777" w:rsidR="00A34AEB" w:rsidRPr="002D04F5" w:rsidRDefault="005B69C2">
      <w:pPr>
        <w:spacing w:after="0" w:line="360" w:lineRule="auto"/>
      </w:pPr>
      <w:r w:rsidRPr="002D04F5">
        <w:rPr>
          <w:b/>
          <w:bCs/>
        </w:rPr>
        <w:t>b) Admisión del Recurso de Revisión.</w:t>
      </w:r>
      <w:r w:rsidRPr="002D04F5">
        <w:t xml:space="preserve"> El veintiséis de junio de dos mil ve</w:t>
      </w:r>
      <w:r w:rsidRPr="002D04F5">
        <w:t>inticinco, se notificó vía SAIMEX el acuerdo de la admisión del Recurso de Revisión interpuesto por la persona Recurrente en contra del Sujeto Obligado, en términos del artículo 185, fracciones I y II de la Ley de Transparencia y Acceso a la Información Pú</w:t>
      </w:r>
      <w:r w:rsidRPr="002D04F5">
        <w:t>blica del Estado de México y Municipios, en el que se les otorgó un plazo de siete días hábiles posteriores a la misma, para que manifestara lo que a su derecho conviniera y formularán alegatos.</w:t>
      </w:r>
    </w:p>
    <w:p w14:paraId="24505066" w14:textId="77777777" w:rsidR="00A34AEB" w:rsidRPr="002D04F5" w:rsidRDefault="00A34AEB">
      <w:pPr>
        <w:spacing w:after="0" w:line="360" w:lineRule="auto"/>
        <w:rPr>
          <w:color w:val="000000"/>
        </w:rPr>
      </w:pPr>
    </w:p>
    <w:p w14:paraId="38290E8E" w14:textId="77777777" w:rsidR="00A34AEB" w:rsidRPr="002D04F5" w:rsidRDefault="005B69C2">
      <w:pPr>
        <w:spacing w:after="0" w:line="360" w:lineRule="auto"/>
        <w:rPr>
          <w:color w:val="000000"/>
        </w:rPr>
      </w:pPr>
      <w:r w:rsidRPr="002D04F5">
        <w:rPr>
          <w:b/>
          <w:bCs/>
        </w:rPr>
        <w:t xml:space="preserve">c) </w:t>
      </w:r>
      <w:r w:rsidRPr="002D04F5">
        <w:rPr>
          <w:b/>
          <w:bCs/>
          <w:color w:val="000000"/>
        </w:rPr>
        <w:t xml:space="preserve">Informe Justificado. </w:t>
      </w:r>
      <w:r w:rsidRPr="002D04F5">
        <w:rPr>
          <w:color w:val="000000"/>
        </w:rPr>
        <w:t>En fecha siete de julio de dos mil v</w:t>
      </w:r>
      <w:r w:rsidRPr="002D04F5">
        <w:rPr>
          <w:color w:val="000000"/>
        </w:rPr>
        <w:t>einticinco, se recibió en este Instituto, a través del SAIMEX, el Informe Justificado, por parte del Sujeto Obligado, en los siguientes términos:</w:t>
      </w:r>
    </w:p>
    <w:p w14:paraId="1A202B97" w14:textId="77777777" w:rsidR="00A34AEB" w:rsidRPr="002D04F5" w:rsidRDefault="00A34AEB">
      <w:pPr>
        <w:spacing w:after="0" w:line="360" w:lineRule="auto"/>
        <w:rPr>
          <w:color w:val="000000"/>
        </w:rPr>
      </w:pPr>
    </w:p>
    <w:p w14:paraId="5F34F6B4" w14:textId="77777777" w:rsidR="00A34AEB" w:rsidRPr="002D04F5" w:rsidRDefault="005B69C2">
      <w:pPr>
        <w:numPr>
          <w:ilvl w:val="0"/>
          <w:numId w:val="1"/>
        </w:numPr>
        <w:pBdr>
          <w:top w:val="nil"/>
          <w:left w:val="nil"/>
          <w:bottom w:val="nil"/>
          <w:right w:val="nil"/>
          <w:between w:val="nil"/>
        </w:pBdr>
        <w:spacing w:after="0" w:line="360" w:lineRule="auto"/>
        <w:rPr>
          <w:b/>
          <w:bCs/>
          <w:i/>
          <w:iCs/>
          <w:color w:val="000000"/>
        </w:rPr>
      </w:pPr>
      <w:r w:rsidRPr="002D04F5">
        <w:rPr>
          <w:b/>
          <w:bCs/>
          <w:i/>
          <w:iCs/>
          <w:color w:val="000000"/>
        </w:rPr>
        <w:t xml:space="preserve">7591_RR_IFJ_2025.pdf; </w:t>
      </w:r>
      <w:r w:rsidRPr="002D04F5">
        <w:rPr>
          <w:color w:val="000000"/>
        </w:rPr>
        <w:t>del que se advierten los siguientes:</w:t>
      </w:r>
    </w:p>
    <w:p w14:paraId="4E91BECF" w14:textId="77777777" w:rsidR="00AB32D2" w:rsidRPr="002D04F5" w:rsidRDefault="00AB32D2" w:rsidP="00AB32D2">
      <w:pPr>
        <w:pBdr>
          <w:top w:val="nil"/>
          <w:left w:val="nil"/>
          <w:bottom w:val="nil"/>
          <w:right w:val="nil"/>
          <w:between w:val="nil"/>
        </w:pBdr>
        <w:spacing w:after="0" w:line="360" w:lineRule="auto"/>
        <w:ind w:left="720"/>
        <w:rPr>
          <w:b/>
          <w:bCs/>
          <w:i/>
          <w:iCs/>
          <w:color w:val="000000"/>
        </w:rPr>
      </w:pPr>
    </w:p>
    <w:p w14:paraId="0DE92FBC" w14:textId="77777777" w:rsidR="00A34AEB" w:rsidRPr="002D04F5" w:rsidRDefault="005B69C2">
      <w:pPr>
        <w:numPr>
          <w:ilvl w:val="1"/>
          <w:numId w:val="1"/>
        </w:numPr>
        <w:pBdr>
          <w:top w:val="nil"/>
          <w:left w:val="nil"/>
          <w:bottom w:val="nil"/>
          <w:right w:val="nil"/>
          <w:between w:val="nil"/>
        </w:pBdr>
        <w:spacing w:after="0" w:line="360" w:lineRule="auto"/>
        <w:rPr>
          <w:b/>
          <w:bCs/>
          <w:i/>
          <w:iCs/>
          <w:color w:val="000000"/>
        </w:rPr>
      </w:pPr>
      <w:r w:rsidRPr="002D04F5">
        <w:rPr>
          <w:color w:val="000000"/>
        </w:rPr>
        <w:t>Oficio suscrito por la Titular de la Unidad de Transparencia en el que medularmente ratificó la respuesta inicial y señaló que la Coordinación General Municipal de Mejora Regulatoria dio contestación a la solicitud y remitió el Programa Anual de Mejora Reg</w:t>
      </w:r>
      <w:r w:rsidRPr="002D04F5">
        <w:rPr>
          <w:color w:val="000000"/>
        </w:rPr>
        <w:t xml:space="preserve">ulatoria del Municipio de Atlacomulco de 2025 y que dicha respuesta fue notificada a la persona Recurrente, por lo que consideró que no se negó la respuesta. </w:t>
      </w:r>
    </w:p>
    <w:p w14:paraId="45D8F8B1" w14:textId="77777777" w:rsidR="00A34AEB" w:rsidRPr="002D04F5" w:rsidRDefault="005B69C2">
      <w:pPr>
        <w:numPr>
          <w:ilvl w:val="1"/>
          <w:numId w:val="1"/>
        </w:numPr>
        <w:pBdr>
          <w:top w:val="nil"/>
          <w:left w:val="nil"/>
          <w:bottom w:val="nil"/>
          <w:right w:val="nil"/>
          <w:between w:val="nil"/>
        </w:pBdr>
        <w:spacing w:after="0" w:line="360" w:lineRule="auto"/>
        <w:rPr>
          <w:b/>
          <w:bCs/>
          <w:i/>
          <w:iCs/>
          <w:color w:val="000000"/>
        </w:rPr>
      </w:pPr>
      <w:r w:rsidRPr="002D04F5">
        <w:rPr>
          <w:color w:val="000000"/>
        </w:rPr>
        <w:lastRenderedPageBreak/>
        <w:t xml:space="preserve">Oficio suscrito por la Titular de la Unidad de Transparencia, en la que informó </w:t>
      </w:r>
      <w:r w:rsidRPr="002D04F5">
        <w:t>a la Coordinación</w:t>
      </w:r>
      <w:r w:rsidRPr="002D04F5">
        <w:rPr>
          <w:color w:val="000000"/>
        </w:rPr>
        <w:t xml:space="preserve"> General Municipal de Mejora Regulatoria del Recurso de Revisión y le solicitó que manifestara lo que a su derecho considerase. </w:t>
      </w:r>
    </w:p>
    <w:p w14:paraId="2FC97D63" w14:textId="77777777" w:rsidR="00A34AEB" w:rsidRPr="002D04F5" w:rsidRDefault="005B69C2">
      <w:pPr>
        <w:numPr>
          <w:ilvl w:val="1"/>
          <w:numId w:val="1"/>
        </w:numPr>
        <w:pBdr>
          <w:top w:val="nil"/>
          <w:left w:val="nil"/>
          <w:bottom w:val="nil"/>
          <w:right w:val="nil"/>
          <w:between w:val="nil"/>
        </w:pBdr>
        <w:spacing w:after="0" w:line="360" w:lineRule="auto"/>
        <w:rPr>
          <w:b/>
          <w:bCs/>
          <w:i/>
          <w:iCs/>
          <w:color w:val="000000"/>
        </w:rPr>
      </w:pPr>
      <w:r w:rsidRPr="002D04F5">
        <w:rPr>
          <w:color w:val="000000"/>
        </w:rPr>
        <w:t>Oficio suscrito por el Coordinador General Municipal de Mejora Regulatoria en el que señaló que no negó la información.</w:t>
      </w:r>
    </w:p>
    <w:p w14:paraId="5FDC05B2" w14:textId="77777777" w:rsidR="00A34AEB" w:rsidRPr="002D04F5" w:rsidRDefault="00A34AEB">
      <w:pPr>
        <w:pBdr>
          <w:top w:val="nil"/>
          <w:left w:val="nil"/>
          <w:bottom w:val="nil"/>
          <w:right w:val="nil"/>
          <w:between w:val="nil"/>
        </w:pBdr>
        <w:spacing w:after="0" w:line="360" w:lineRule="auto"/>
        <w:ind w:left="1440"/>
        <w:rPr>
          <w:b/>
          <w:bCs/>
          <w:i/>
          <w:iCs/>
          <w:color w:val="000000"/>
        </w:rPr>
      </w:pPr>
    </w:p>
    <w:p w14:paraId="16D3697D" w14:textId="77777777" w:rsidR="00A34AEB" w:rsidRPr="002D04F5" w:rsidRDefault="005B69C2">
      <w:pPr>
        <w:spacing w:after="0" w:line="360" w:lineRule="auto"/>
        <w:rPr>
          <w:color w:val="000000"/>
        </w:rPr>
      </w:pPr>
      <w:r w:rsidRPr="002D04F5">
        <w:rPr>
          <w:b/>
          <w:bCs/>
          <w:color w:val="000000"/>
        </w:rPr>
        <w:t xml:space="preserve">d) Vista de Informe Justificado. </w:t>
      </w:r>
      <w:r w:rsidRPr="002D04F5">
        <w:rPr>
          <w:color w:val="000000"/>
        </w:rPr>
        <w:t>El nueve de diciembre de dos mil veinticinco, se notificó a través del SAIMEX, el acuerdo mediante el cual se puso a la vista de la parte Recurrente el Informe Justificado, proveído por el cual se le otorgó a este último, u</w:t>
      </w:r>
      <w:r w:rsidRPr="002D04F5">
        <w:rPr>
          <w:color w:val="000000"/>
        </w:rPr>
        <w:t>n término de tres días hábiles contados a partir del día siguiente a la notificación, para que emitiera las manifestaciones que conforme a sus intereses convenga.</w:t>
      </w:r>
    </w:p>
    <w:p w14:paraId="4782A27F" w14:textId="77777777" w:rsidR="00A34AEB" w:rsidRPr="002D04F5" w:rsidRDefault="00A34AEB">
      <w:pPr>
        <w:widowControl w:val="0"/>
        <w:spacing w:after="0" w:line="360" w:lineRule="auto"/>
        <w:rPr>
          <w:b/>
          <w:bCs/>
        </w:rPr>
      </w:pPr>
    </w:p>
    <w:p w14:paraId="79A0C3EA" w14:textId="77777777" w:rsidR="00A34AEB" w:rsidRPr="002D04F5" w:rsidRDefault="005B69C2">
      <w:pPr>
        <w:spacing w:after="0" w:line="360" w:lineRule="auto"/>
      </w:pPr>
      <w:r w:rsidRPr="002D04F5">
        <w:rPr>
          <w:b/>
          <w:bCs/>
        </w:rPr>
        <w:t xml:space="preserve">e) Manifestaciones de la parte Recurrente. </w:t>
      </w:r>
      <w:r w:rsidRPr="002D04F5">
        <w:t xml:space="preserve">De las constancias que integran el expediente se </w:t>
      </w:r>
      <w:r w:rsidRPr="002D04F5">
        <w:t>advierte que la parte Recurrente no añadió manifestaciones.</w:t>
      </w:r>
    </w:p>
    <w:p w14:paraId="2788E9C9" w14:textId="77777777" w:rsidR="00A34AEB" w:rsidRPr="002D04F5" w:rsidRDefault="00A34AEB">
      <w:pPr>
        <w:spacing w:after="0" w:line="360" w:lineRule="auto"/>
        <w:rPr>
          <w:b/>
          <w:bCs/>
        </w:rPr>
      </w:pPr>
    </w:p>
    <w:p w14:paraId="4A7D8E93" w14:textId="77777777" w:rsidR="00A34AEB" w:rsidRPr="002D04F5" w:rsidRDefault="005B69C2">
      <w:pPr>
        <w:spacing w:after="0" w:line="360" w:lineRule="auto"/>
        <w:rPr>
          <w:b/>
          <w:bCs/>
        </w:rPr>
      </w:pPr>
      <w:r w:rsidRPr="002D04F5">
        <w:rPr>
          <w:b/>
          <w:bCs/>
        </w:rPr>
        <w:t xml:space="preserve">f) Ampliación de plazo para resolver. </w:t>
      </w:r>
      <w:r w:rsidRPr="002D04F5">
        <w:t>El nueve de diciembre de dos mil veinticinco, el Comisionado Ponente, con fundamento en lo dispuesto por el artículo 181, párrafo tercero, de la Ley de Trans</w:t>
      </w:r>
      <w:r w:rsidRPr="002D04F5">
        <w:t>parencia y Acceso a la Información Pública del Estado de México y Municipios, acordó ampliar por un periodo razonable, el plazo para resolver el Recurso de Revisión que nos ocupa; acto que fue notificado a las partes el mismo día mediante el SAIMEX.</w:t>
      </w:r>
    </w:p>
    <w:p w14:paraId="4DD36CFA" w14:textId="77777777" w:rsidR="00A34AEB" w:rsidRPr="002D04F5" w:rsidRDefault="00A34AEB">
      <w:pPr>
        <w:spacing w:after="0" w:line="360" w:lineRule="auto"/>
        <w:rPr>
          <w:b/>
          <w:bCs/>
        </w:rPr>
      </w:pPr>
    </w:p>
    <w:p w14:paraId="430888EA" w14:textId="77777777" w:rsidR="00A34AEB" w:rsidRPr="002D04F5" w:rsidRDefault="005B69C2">
      <w:pPr>
        <w:spacing w:after="0" w:line="360" w:lineRule="auto"/>
      </w:pPr>
      <w:r w:rsidRPr="002D04F5">
        <w:rPr>
          <w:b/>
          <w:bCs/>
        </w:rPr>
        <w:t>g) Ci</w:t>
      </w:r>
      <w:r w:rsidRPr="002D04F5">
        <w:rPr>
          <w:b/>
          <w:bCs/>
        </w:rPr>
        <w:t>erre de instrucción.</w:t>
      </w:r>
      <w:r w:rsidRPr="002D04F5">
        <w:t xml:space="preserve"> El quince de diciembre de dos mil veinticinco, al no existir diligencias pendientes por desahogar, se emitió el acuerdo por medio del cual se declaró cerrada la instrucción y se determinó pasar los expedientes a resolución, en términos</w:t>
      </w:r>
      <w:r w:rsidRPr="002D04F5">
        <w:t xml:space="preserve"> de lo dispuesto en los artículos 185, fracciones VI y VIII, de la Ley de Transparencia y Acceso a la Información Pública del Estado de México y Municipios, acto que fue notificado a las partes en la misma fecha, mediante el SAIMEX.</w:t>
      </w:r>
    </w:p>
    <w:p w14:paraId="39794789" w14:textId="77777777" w:rsidR="00A34AEB" w:rsidRPr="002D04F5" w:rsidRDefault="00A34AEB">
      <w:pPr>
        <w:spacing w:after="0" w:line="360" w:lineRule="auto"/>
      </w:pPr>
    </w:p>
    <w:p w14:paraId="7CBA1407" w14:textId="77777777" w:rsidR="00A34AEB" w:rsidRPr="002D04F5" w:rsidRDefault="005B69C2">
      <w:pPr>
        <w:spacing w:after="0" w:line="360" w:lineRule="auto"/>
      </w:pPr>
      <w:r w:rsidRPr="002D04F5">
        <w:t>En razón de que fue de</w:t>
      </w:r>
      <w:r w:rsidRPr="002D04F5">
        <w:t xml:space="preserve">bidamente sustanciado e integrado el expediente electrónico y no existir diligencia pendiente de desahogo, se emite la resolución que conforme a Derecho proceda, de acuerdo a los siguientes: </w:t>
      </w:r>
    </w:p>
    <w:p w14:paraId="099F58C4" w14:textId="77777777" w:rsidR="00A34AEB" w:rsidRPr="002D04F5" w:rsidRDefault="00A34AEB">
      <w:pPr>
        <w:spacing w:after="0" w:line="360" w:lineRule="auto"/>
      </w:pPr>
    </w:p>
    <w:p w14:paraId="411D135F" w14:textId="77777777" w:rsidR="00A34AEB" w:rsidRPr="002D04F5" w:rsidRDefault="005B69C2">
      <w:pPr>
        <w:pStyle w:val="Ttulo1"/>
        <w:spacing w:before="0" w:after="0"/>
        <w:rPr>
          <w:sz w:val="22"/>
          <w:szCs w:val="22"/>
        </w:rPr>
      </w:pPr>
      <w:bookmarkStart w:id="11" w:name="_Toc216966619"/>
      <w:r w:rsidRPr="002D04F5">
        <w:rPr>
          <w:sz w:val="22"/>
          <w:szCs w:val="22"/>
        </w:rPr>
        <w:t>C O N S I D E R A N D O S</w:t>
      </w:r>
      <w:bookmarkEnd w:id="11"/>
    </w:p>
    <w:p w14:paraId="137CF7E2" w14:textId="77777777" w:rsidR="00A34AEB" w:rsidRPr="002D04F5" w:rsidRDefault="00A34AEB">
      <w:pPr>
        <w:spacing w:after="0" w:line="360" w:lineRule="auto"/>
        <w:rPr>
          <w:b/>
          <w:bCs/>
        </w:rPr>
      </w:pPr>
    </w:p>
    <w:p w14:paraId="3C3E60CF" w14:textId="77777777" w:rsidR="00A34AEB" w:rsidRPr="002D04F5" w:rsidRDefault="005B69C2">
      <w:pPr>
        <w:pStyle w:val="Ttulo2"/>
        <w:spacing w:before="0" w:after="0"/>
      </w:pPr>
      <w:bookmarkStart w:id="12" w:name="_Toc216966620"/>
      <w:r w:rsidRPr="002D04F5">
        <w:t>PRIMERO. Competencia</w:t>
      </w:r>
      <w:bookmarkEnd w:id="12"/>
    </w:p>
    <w:p w14:paraId="4014B885" w14:textId="77777777" w:rsidR="00A34AEB" w:rsidRPr="002D04F5" w:rsidRDefault="00A34AEB">
      <w:pPr>
        <w:spacing w:after="0" w:line="360" w:lineRule="auto"/>
      </w:pPr>
    </w:p>
    <w:p w14:paraId="75F79F8E" w14:textId="5D7629CF" w:rsidR="00A34AEB" w:rsidRPr="002D04F5" w:rsidRDefault="002D04F5">
      <w:pPr>
        <w:spacing w:after="0" w:line="360" w:lineRule="auto"/>
      </w:pPr>
      <w:r w:rsidRPr="002D04F5">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37B0F13D" w14:textId="77777777" w:rsidR="00A34AEB" w:rsidRPr="002D04F5" w:rsidRDefault="00A34AEB">
      <w:pPr>
        <w:spacing w:after="0" w:line="360" w:lineRule="auto"/>
      </w:pPr>
    </w:p>
    <w:p w14:paraId="1A23854F" w14:textId="77777777" w:rsidR="00A34AEB" w:rsidRPr="002D04F5" w:rsidRDefault="005B69C2">
      <w:pPr>
        <w:pStyle w:val="Ttulo2"/>
        <w:spacing w:before="0" w:after="0"/>
      </w:pPr>
      <w:bookmarkStart w:id="13" w:name="_Toc216966621"/>
      <w:r w:rsidRPr="002D04F5">
        <w:t>SEGUNDO. Causales de improcedencia y sobreseimiento</w:t>
      </w:r>
      <w:bookmarkEnd w:id="13"/>
    </w:p>
    <w:p w14:paraId="5FBDDA80" w14:textId="77777777" w:rsidR="00A34AEB" w:rsidRPr="002D04F5" w:rsidRDefault="00A34AEB">
      <w:pPr>
        <w:spacing w:after="0" w:line="360" w:lineRule="auto"/>
      </w:pPr>
    </w:p>
    <w:p w14:paraId="11744030" w14:textId="77777777" w:rsidR="00A34AEB" w:rsidRPr="002D04F5" w:rsidRDefault="005B69C2">
      <w:pPr>
        <w:spacing w:after="0" w:line="360" w:lineRule="auto"/>
      </w:pPr>
      <w:r w:rsidRPr="002D04F5">
        <w:t xml:space="preserve">De las constancias que forman parte del Recurso de Revisión que se analiza, se advierte que previo al estudio del fondo de la </w:t>
      </w:r>
      <w:r w:rsidRPr="002D04F5">
        <w:rPr>
          <w:i/>
          <w:iCs/>
        </w:rPr>
        <w:t>litis</w:t>
      </w:r>
      <w:r w:rsidRPr="002D04F5">
        <w:t>, es necesario estudiar las causales de improcedencia y sobreseimiento que se adviertan, para determinar lo que en Derecho pr</w:t>
      </w:r>
      <w:r w:rsidRPr="002D04F5">
        <w:t>oceda.</w:t>
      </w:r>
    </w:p>
    <w:p w14:paraId="33CF2331" w14:textId="77777777" w:rsidR="00A34AEB" w:rsidRPr="002D04F5" w:rsidRDefault="00A34AEB">
      <w:pPr>
        <w:spacing w:after="0" w:line="360" w:lineRule="auto"/>
      </w:pPr>
    </w:p>
    <w:p w14:paraId="2C85D9A8" w14:textId="77777777" w:rsidR="00A34AEB" w:rsidRPr="002D04F5" w:rsidRDefault="005B69C2">
      <w:pPr>
        <w:spacing w:after="0" w:line="360" w:lineRule="auto"/>
        <w:rPr>
          <w:b/>
          <w:bCs/>
        </w:rPr>
      </w:pPr>
      <w:r w:rsidRPr="002D04F5">
        <w:rPr>
          <w:b/>
          <w:bCs/>
        </w:rPr>
        <w:t>Causales de improcedencia</w:t>
      </w:r>
    </w:p>
    <w:p w14:paraId="25FBC71E" w14:textId="77777777" w:rsidR="00A34AEB" w:rsidRPr="002D04F5" w:rsidRDefault="00A34AEB">
      <w:pPr>
        <w:spacing w:after="0" w:line="360" w:lineRule="auto"/>
      </w:pPr>
    </w:p>
    <w:p w14:paraId="47128F82" w14:textId="77777777" w:rsidR="00A34AEB" w:rsidRPr="002D04F5" w:rsidRDefault="005B69C2">
      <w:pPr>
        <w:spacing w:after="0" w:line="360" w:lineRule="auto"/>
      </w:pPr>
      <w:r w:rsidRPr="002D04F5">
        <w:t xml:space="preserve">Este Instituto realiza el estudio oficioso de las causales de improcedencia, ya que estas deben estudiarse, aunque no las hagan valer las partes, por ser una cuestión de orden público y de estudio preferente al fondo del </w:t>
      </w:r>
      <w:r w:rsidRPr="002D04F5">
        <w:t>asunto. Lo anterior se robustece en la Tesis de Jurisprudencia: 1a./J. 163/2005</w:t>
      </w:r>
      <w:r w:rsidRPr="002D04F5">
        <w:rPr>
          <w:b/>
          <w:bCs/>
        </w:rPr>
        <w:t xml:space="preserve"> </w:t>
      </w:r>
      <w:r w:rsidRPr="002D04F5">
        <w:t xml:space="preserve">(Semanario Judicial de la Federación y su Gaceta, Novena Época, 2006, página 319), toda vez que, si de las constancias que obran en el expediente electrónico, se actualiza una </w:t>
      </w:r>
      <w:r w:rsidRPr="002D04F5">
        <w:t xml:space="preserve">causal de improcedencia establecidas en el artículo 191 de la Ley de Transparencia y Acceso a la Información Pública del Estado de México y Municipios, dará lugar a que el presente Recurso de Revisión sea sobreseído. </w:t>
      </w:r>
    </w:p>
    <w:p w14:paraId="2E183E40" w14:textId="77777777" w:rsidR="00A34AEB" w:rsidRPr="002D04F5" w:rsidRDefault="00A34AEB">
      <w:pPr>
        <w:spacing w:after="0" w:line="360" w:lineRule="auto"/>
      </w:pPr>
    </w:p>
    <w:p w14:paraId="7318F6C9" w14:textId="77777777" w:rsidR="00A34AEB" w:rsidRPr="002D04F5" w:rsidRDefault="005B69C2">
      <w:pPr>
        <w:spacing w:after="0" w:line="360" w:lineRule="auto"/>
      </w:pPr>
      <w:r w:rsidRPr="002D04F5">
        <w:t xml:space="preserve">En el presente caso, </w:t>
      </w:r>
      <w:r w:rsidRPr="002D04F5">
        <w:rPr>
          <w:b/>
          <w:bCs/>
        </w:rPr>
        <w:t xml:space="preserve">no se actualiza </w:t>
      </w:r>
      <w:r w:rsidRPr="002D04F5">
        <w:rPr>
          <w:b/>
          <w:bCs/>
        </w:rPr>
        <w:t>ninguna de las causales de improcedencia</w:t>
      </w:r>
      <w:r w:rsidRPr="002D04F5">
        <w:t xml:space="preserve"> establecidas en el ordenamiento jurídico previamente señalado, toda vez que este Instituto no tiene conocimiento de que se encuentre en trámite algún medio de defensa presentado por la persona Recurrente ante otra i</w:t>
      </w:r>
      <w:r w:rsidRPr="002D04F5">
        <w:t>nstancia; no existió prevención alguna; la veracidad de la respuesta no formó parte del agravio; no se realizó una consulta o ampliación a los alcances del requerimiento informativo, aunado a que el medio de impugnación fue presentado en tiempo.</w:t>
      </w:r>
    </w:p>
    <w:p w14:paraId="1FC07F8C" w14:textId="77777777" w:rsidR="00A34AEB" w:rsidRPr="002D04F5" w:rsidRDefault="00A34AEB">
      <w:pPr>
        <w:spacing w:after="0" w:line="360" w:lineRule="auto"/>
        <w:rPr>
          <w:b/>
          <w:bCs/>
        </w:rPr>
      </w:pPr>
    </w:p>
    <w:p w14:paraId="36E9E185" w14:textId="77777777" w:rsidR="00A34AEB" w:rsidRPr="002D04F5" w:rsidRDefault="005B69C2">
      <w:pPr>
        <w:spacing w:after="0" w:line="360" w:lineRule="auto"/>
        <w:ind w:right="-28"/>
        <w:rPr>
          <w:b/>
          <w:bCs/>
        </w:rPr>
      </w:pPr>
      <w:r w:rsidRPr="002D04F5">
        <w:rPr>
          <w:b/>
          <w:bCs/>
        </w:rPr>
        <w:t xml:space="preserve">Causales </w:t>
      </w:r>
      <w:r w:rsidRPr="002D04F5">
        <w:rPr>
          <w:b/>
          <w:bCs/>
        </w:rPr>
        <w:t>de sobreseimiento</w:t>
      </w:r>
    </w:p>
    <w:p w14:paraId="457D85FB" w14:textId="77777777" w:rsidR="00A34AEB" w:rsidRPr="002D04F5" w:rsidRDefault="00A34AEB">
      <w:pPr>
        <w:spacing w:after="0" w:line="360" w:lineRule="auto"/>
        <w:ind w:right="-28"/>
      </w:pPr>
    </w:p>
    <w:p w14:paraId="7B89BFC7" w14:textId="77777777" w:rsidR="00A34AEB" w:rsidRPr="002D04F5" w:rsidRDefault="005B69C2">
      <w:pPr>
        <w:spacing w:after="0" w:line="360" w:lineRule="auto"/>
      </w:pPr>
      <w:r w:rsidRPr="002D04F5">
        <w:t>El artículo 192 de la Ley Transparencia y Acceso a la Información Pública del Estado de México y Municipios, señala las causales por las cuales se puede sobreseer en todo o en parte el Recurso de Revisión; así, del análisis realizado por</w:t>
      </w:r>
      <w:r w:rsidRPr="002D04F5">
        <w:t xml:space="preserve"> este Instituto, se advierte que no se configuran las causales establecidas en las fracciones I, II, III, IV y V,</w:t>
      </w:r>
      <w:r w:rsidRPr="002D04F5">
        <w:rPr>
          <w:b/>
          <w:bCs/>
        </w:rPr>
        <w:t xml:space="preserve"> </w:t>
      </w:r>
      <w:r w:rsidRPr="002D04F5">
        <w:t>toda vez que no hay constancias en el expediente en que se actúa, de que la persona Recurrente se haya desistido, fallecido, que el Sujeto Obl</w:t>
      </w:r>
      <w:r w:rsidRPr="002D04F5">
        <w:t>igado hubiese modificado o revocado el acto impugnado o bien, que admitido una vez admitido el Recurso de Revisión, aparezca alguna causal de improcedencia o haya quedado sin materia.</w:t>
      </w:r>
    </w:p>
    <w:p w14:paraId="6E8F2E13" w14:textId="77777777" w:rsidR="00A34AEB" w:rsidRPr="002D04F5" w:rsidRDefault="00A34AEB">
      <w:pPr>
        <w:spacing w:after="0" w:line="360" w:lineRule="auto"/>
      </w:pPr>
    </w:p>
    <w:p w14:paraId="05E7879E" w14:textId="77777777" w:rsidR="00A34AEB" w:rsidRPr="002D04F5" w:rsidRDefault="005B69C2" w:rsidP="002D04F5">
      <w:pPr>
        <w:pStyle w:val="Ttulo2"/>
        <w:rPr>
          <w:b w:val="0"/>
          <w:bCs w:val="0"/>
        </w:rPr>
      </w:pPr>
      <w:bookmarkStart w:id="14" w:name="_Toc216966622"/>
      <w:r w:rsidRPr="002D04F5">
        <w:t>TERCERO. Determinación de la Controversia</w:t>
      </w:r>
      <w:bookmarkEnd w:id="14"/>
    </w:p>
    <w:p w14:paraId="1E4A5D7E" w14:textId="77777777" w:rsidR="00A34AEB" w:rsidRPr="002D04F5" w:rsidRDefault="00A34AEB">
      <w:pPr>
        <w:spacing w:after="0" w:line="360" w:lineRule="auto"/>
      </w:pPr>
    </w:p>
    <w:p w14:paraId="024C300C" w14:textId="77B5A3CF" w:rsidR="00A34AEB" w:rsidRPr="002D04F5" w:rsidRDefault="005B69C2" w:rsidP="00AB32D2">
      <w:pPr>
        <w:spacing w:after="0" w:line="360" w:lineRule="auto"/>
        <w:rPr>
          <w:b/>
          <w:bCs/>
          <w:color w:val="000000"/>
        </w:rPr>
      </w:pPr>
      <w:r w:rsidRPr="002D04F5">
        <w:t>Así, se realizará la relator</w:t>
      </w:r>
      <w:r w:rsidRPr="002D04F5">
        <w:t>ía de las actuaciones efectuadas por las partes durante el procedimiento de acceso a la información pública con el propósito de dar claridad en el tratamiento del tema en estudio; por lo que en primer término tenemos que la parte Recurrente solicitó la ent</w:t>
      </w:r>
      <w:r w:rsidRPr="002D04F5">
        <w:t xml:space="preserve">rega </w:t>
      </w:r>
      <w:r w:rsidR="00AB32D2" w:rsidRPr="002D04F5">
        <w:t>de las a</w:t>
      </w:r>
      <w:r w:rsidRPr="002D04F5">
        <w:rPr>
          <w:color w:val="000000"/>
        </w:rPr>
        <w:t>cciones de mejora regulatoria de 2025.</w:t>
      </w:r>
    </w:p>
    <w:p w14:paraId="3FDBF9BA" w14:textId="77777777" w:rsidR="00A34AEB" w:rsidRPr="002D04F5" w:rsidRDefault="00A34AEB">
      <w:pPr>
        <w:spacing w:after="0" w:line="360" w:lineRule="auto"/>
        <w:rPr>
          <w:b/>
          <w:bCs/>
        </w:rPr>
      </w:pPr>
    </w:p>
    <w:p w14:paraId="75082558" w14:textId="77777777" w:rsidR="00A34AEB" w:rsidRPr="002D04F5" w:rsidRDefault="005B69C2">
      <w:pPr>
        <w:spacing w:after="0" w:line="360" w:lineRule="auto"/>
      </w:pPr>
      <w:r w:rsidRPr="002D04F5">
        <w:t>Derivado de la solicitud, el Sujeto Obligado solicitó al Particular que aclarará la solicitud, sin embargo, no se desahogó el requerimiento de aclaración. En respuesta, la Titular de la Unidad de Transpa</w:t>
      </w:r>
      <w:r w:rsidRPr="002D04F5">
        <w:t xml:space="preserve">rencia anunció la entrega de la información por parte de la Coordinación General Municipal de Mejora Regulatoria, sin embargo, no añadió ningún archivo adicional. </w:t>
      </w:r>
    </w:p>
    <w:p w14:paraId="548D8A78" w14:textId="77777777" w:rsidR="00A34AEB" w:rsidRPr="002D04F5" w:rsidRDefault="00A34AEB">
      <w:pPr>
        <w:spacing w:after="0" w:line="360" w:lineRule="auto"/>
      </w:pPr>
    </w:p>
    <w:p w14:paraId="5505EDD7" w14:textId="77777777" w:rsidR="00A34AEB" w:rsidRPr="002D04F5" w:rsidRDefault="005B69C2">
      <w:pPr>
        <w:spacing w:after="0" w:line="360" w:lineRule="auto"/>
      </w:pPr>
      <w:r w:rsidRPr="002D04F5">
        <w:t>Derivado de la respuesta, la parte Recurrente se inconformó al señalar que se le negó la en</w:t>
      </w:r>
      <w:r w:rsidRPr="002D04F5">
        <w:t>trega de la información. Durante la sustanciación del Recurso de Revisión, el Sujeto Obligado rindió informe justificado, en el que ratificó la respuesta inicial e indicó que la Coordinación General Municipal de Mejora Regulatoria dio contestación a la sol</w:t>
      </w:r>
      <w:r w:rsidRPr="002D04F5">
        <w:t>icitud y remitió el Programa Anual de Mejora Regulatoria del Municipio de Atlacomulco de 2025 y que dicha respuesta fue notificada a la persona Recurrente, por lo que consideró que no se negó la respuesta. Por su parte, la persona Recurrente no añadió mani</w:t>
      </w:r>
      <w:r w:rsidRPr="002D04F5">
        <w:t xml:space="preserve">festaciones. </w:t>
      </w:r>
    </w:p>
    <w:p w14:paraId="5F823F8C" w14:textId="77777777" w:rsidR="00A34AEB" w:rsidRPr="002D04F5" w:rsidRDefault="00A34AEB">
      <w:pPr>
        <w:spacing w:after="0" w:line="360" w:lineRule="auto"/>
      </w:pPr>
    </w:p>
    <w:p w14:paraId="22CCD406" w14:textId="77777777" w:rsidR="00A34AEB" w:rsidRPr="002D04F5" w:rsidRDefault="005B69C2">
      <w:pPr>
        <w:tabs>
          <w:tab w:val="left" w:pos="4962"/>
        </w:tabs>
        <w:spacing w:after="0" w:line="360" w:lineRule="auto"/>
      </w:pPr>
      <w:r w:rsidRPr="002D04F5">
        <w:t>Así pues, de las constancias que integran el expediente, se advierte que en el asunto que nos ocupa se actualiza la causal de procedencia señalada en el artículo 179, fracción I, de la Ley de la materia; por la negativa a la información soli</w:t>
      </w:r>
      <w:r w:rsidRPr="002D04F5">
        <w:t xml:space="preserve">citada. </w:t>
      </w:r>
    </w:p>
    <w:p w14:paraId="26EEAED1" w14:textId="77777777" w:rsidR="00A34AEB" w:rsidRPr="002D04F5" w:rsidRDefault="00A34AEB">
      <w:pPr>
        <w:tabs>
          <w:tab w:val="left" w:pos="4962"/>
        </w:tabs>
        <w:spacing w:after="0" w:line="360" w:lineRule="auto"/>
      </w:pPr>
    </w:p>
    <w:p w14:paraId="2DB54A17" w14:textId="77777777" w:rsidR="00A34AEB" w:rsidRPr="002D04F5" w:rsidRDefault="005B69C2">
      <w:pPr>
        <w:tabs>
          <w:tab w:val="left" w:pos="4962"/>
        </w:tabs>
        <w:spacing w:after="0" w:line="360" w:lineRule="auto"/>
      </w:pPr>
      <w:r w:rsidRPr="002D04F5">
        <w:lastRenderedPageBreak/>
        <w:t>Establecido lo anterior, lo consecuente es analizar el agravio manifestado por el ahora Recurrente, de conformidad con lo dispuesto por la Ley de Transparencia y Acceso a la Información Pública del Estado de México y Municipios y demás disposicio</w:t>
      </w:r>
      <w:r w:rsidRPr="002D04F5">
        <w:t>nes legales aplicables a la materia que se resuelve.</w:t>
      </w:r>
    </w:p>
    <w:p w14:paraId="1EE816BF" w14:textId="77777777" w:rsidR="00A34AEB" w:rsidRPr="002D04F5" w:rsidRDefault="00A34AEB">
      <w:pPr>
        <w:spacing w:after="0" w:line="360" w:lineRule="auto"/>
      </w:pPr>
    </w:p>
    <w:p w14:paraId="48BD4E51" w14:textId="77777777" w:rsidR="00A34AEB" w:rsidRPr="002D04F5" w:rsidRDefault="005B69C2">
      <w:pPr>
        <w:pStyle w:val="Ttulo2"/>
        <w:spacing w:before="0" w:after="0"/>
      </w:pPr>
      <w:bookmarkStart w:id="15" w:name="_Toc216966623"/>
      <w:r w:rsidRPr="002D04F5">
        <w:t>CUARTO. Marco normativo aplicable en materia de transparencia y acceso a la información pública</w:t>
      </w:r>
      <w:bookmarkEnd w:id="15"/>
    </w:p>
    <w:p w14:paraId="2172445B" w14:textId="77777777" w:rsidR="00A34AEB" w:rsidRPr="002D04F5" w:rsidRDefault="00A34AEB">
      <w:pPr>
        <w:spacing w:after="0" w:line="360" w:lineRule="auto"/>
      </w:pPr>
    </w:p>
    <w:p w14:paraId="37B5231D" w14:textId="77777777" w:rsidR="00A34AEB" w:rsidRPr="002D04F5" w:rsidRDefault="005B69C2">
      <w:pPr>
        <w:spacing w:after="0" w:line="360" w:lineRule="auto"/>
      </w:pPr>
      <w:r w:rsidRPr="002D04F5">
        <w:t xml:space="preserve">El artículo 6°, Apartado A), fracción I, de la Constitución Política de los Estados Unidos Mexicanos, </w:t>
      </w:r>
      <w:r w:rsidRPr="002D04F5">
        <w:t>establece que toda la información en posesión de cualquier autoridad, es pública y sólo podrá ser reservada temporalmente por razones de interés público.</w:t>
      </w:r>
    </w:p>
    <w:p w14:paraId="3B10D106" w14:textId="77777777" w:rsidR="00A34AEB" w:rsidRPr="002D04F5" w:rsidRDefault="00A34AEB">
      <w:pPr>
        <w:spacing w:after="0" w:line="360" w:lineRule="auto"/>
      </w:pPr>
    </w:p>
    <w:p w14:paraId="0F2FA395" w14:textId="77777777" w:rsidR="00A34AEB" w:rsidRPr="002D04F5" w:rsidRDefault="005B69C2">
      <w:pPr>
        <w:spacing w:after="0" w:line="360" w:lineRule="auto"/>
      </w:pPr>
      <w:r w:rsidRPr="002D04F5">
        <w:t xml:space="preserve">En materia local, el artículo 5°, fracción I de la Constitución Política del Estado Libre y Soberano </w:t>
      </w:r>
      <w:r w:rsidRPr="002D04F5">
        <w:t>de México, es coincidente con la Constitución Política de los Estados Unidos Mexicanos, en el sentido de la publicidad de toda la información, con la única restricción de proteger el interés público, así como la información referente a la intimidad de la v</w:t>
      </w:r>
      <w:r w:rsidRPr="002D04F5">
        <w:t>ida privada y la imagen de las personas, con las excepciones que establezca la ley reglamentaria.</w:t>
      </w:r>
    </w:p>
    <w:p w14:paraId="31A33AC9" w14:textId="77777777" w:rsidR="00A34AEB" w:rsidRPr="002D04F5" w:rsidRDefault="00A34AEB">
      <w:pPr>
        <w:spacing w:after="0" w:line="360" w:lineRule="auto"/>
      </w:pPr>
    </w:p>
    <w:p w14:paraId="5E12F893" w14:textId="77777777" w:rsidR="00A34AEB" w:rsidRPr="002D04F5" w:rsidRDefault="005B69C2">
      <w:pPr>
        <w:spacing w:after="0" w:line="360" w:lineRule="auto"/>
      </w:pPr>
      <w:r w:rsidRPr="002D04F5">
        <w:t>Por su parte, la Ley de Transparencia y Acceso a la Información Pública del Estado de México y Municipios (Reglamentaria del artículo 5° de la Constitución L</w:t>
      </w:r>
      <w:r w:rsidRPr="002D04F5">
        <w:t>ocal), establece lo siguiente:</w:t>
      </w:r>
    </w:p>
    <w:p w14:paraId="18D70B27" w14:textId="77777777" w:rsidR="00A34AEB" w:rsidRPr="002D04F5" w:rsidRDefault="00A34AEB">
      <w:pPr>
        <w:spacing w:after="0" w:line="360" w:lineRule="auto"/>
      </w:pPr>
    </w:p>
    <w:p w14:paraId="0CD3924A" w14:textId="77777777" w:rsidR="00A34AEB" w:rsidRPr="002D04F5" w:rsidRDefault="005B69C2">
      <w:pPr>
        <w:spacing w:after="0" w:line="360" w:lineRule="auto"/>
      </w:pPr>
      <w:r w:rsidRPr="002D04F5">
        <w:t>El artículo 12 dice que, quienes generen, recopilen, administren, manejen, procesen, archiven o conserven información pública serán responsables de la misma.</w:t>
      </w:r>
    </w:p>
    <w:p w14:paraId="2B9FE06C" w14:textId="77777777" w:rsidR="00A34AEB" w:rsidRPr="002D04F5" w:rsidRDefault="00A34AEB">
      <w:pPr>
        <w:spacing w:after="0" w:line="360" w:lineRule="auto"/>
      </w:pPr>
    </w:p>
    <w:p w14:paraId="2F716A46" w14:textId="77777777" w:rsidR="00A34AEB" w:rsidRPr="002D04F5" w:rsidRDefault="005B69C2">
      <w:pPr>
        <w:spacing w:after="0" w:line="360" w:lineRule="auto"/>
      </w:pPr>
      <w:r w:rsidRPr="002D04F5">
        <w:t>El artículo 18, que, los Sujetos Obligados deberán documentar tod</w:t>
      </w:r>
      <w:r w:rsidRPr="002D04F5">
        <w:t>o acto que derive del ejercicio de sus facultades, competencias o funciones, considerando desde su origen la eventual publicidad y reutilización de la información que generen.</w:t>
      </w:r>
    </w:p>
    <w:p w14:paraId="2D06CD82" w14:textId="77777777" w:rsidR="00A34AEB" w:rsidRPr="002D04F5" w:rsidRDefault="00A34AEB">
      <w:pPr>
        <w:spacing w:after="0" w:line="360" w:lineRule="auto"/>
      </w:pPr>
    </w:p>
    <w:p w14:paraId="7906B20A" w14:textId="77777777" w:rsidR="00A34AEB" w:rsidRPr="002D04F5" w:rsidRDefault="005B69C2">
      <w:pPr>
        <w:spacing w:after="0" w:line="360" w:lineRule="auto"/>
      </w:pPr>
      <w:r w:rsidRPr="002D04F5">
        <w:t>El artículo 19, que, se presume que la información debe existir si se refiere a</w:t>
      </w:r>
      <w:r w:rsidRPr="002D04F5">
        <w:t xml:space="preserve"> las facultades, competencias y funciones que los ordenamientos jurídicos aplicables otorgan a los sujetos obligados y en caso de que dichas facultades no se hayan ejercido, se deberá motivar la respuesta en función de las causas que motivaron tal circunst</w:t>
      </w:r>
      <w:r w:rsidRPr="002D04F5">
        <w:t>ancia.</w:t>
      </w:r>
    </w:p>
    <w:p w14:paraId="10E92438" w14:textId="77777777" w:rsidR="00A34AEB" w:rsidRPr="002D04F5" w:rsidRDefault="00A34AEB">
      <w:pPr>
        <w:pStyle w:val="Ttulo2"/>
        <w:spacing w:before="0" w:after="0"/>
        <w:rPr>
          <w:smallCaps/>
        </w:rPr>
      </w:pPr>
    </w:p>
    <w:p w14:paraId="5B1F321D" w14:textId="77777777" w:rsidR="00A34AEB" w:rsidRPr="002D04F5" w:rsidRDefault="005B69C2">
      <w:pPr>
        <w:pStyle w:val="Ttulo2"/>
        <w:spacing w:before="0" w:after="0"/>
      </w:pPr>
      <w:bookmarkStart w:id="16" w:name="_Toc216966624"/>
      <w:r w:rsidRPr="002D04F5">
        <w:rPr>
          <w:smallCaps/>
        </w:rPr>
        <w:t>QUINTO.</w:t>
      </w:r>
      <w:r w:rsidRPr="002D04F5">
        <w:t xml:space="preserve"> Estudio de Fondo</w:t>
      </w:r>
      <w:bookmarkEnd w:id="16"/>
    </w:p>
    <w:p w14:paraId="56D25E19" w14:textId="77777777" w:rsidR="00A34AEB" w:rsidRPr="002D04F5" w:rsidRDefault="00A34AEB">
      <w:pPr>
        <w:spacing w:after="0" w:line="360" w:lineRule="auto"/>
      </w:pPr>
    </w:p>
    <w:p w14:paraId="5F70BD92" w14:textId="77777777" w:rsidR="00A34AEB" w:rsidRPr="002D04F5" w:rsidRDefault="005B69C2">
      <w:pPr>
        <w:spacing w:after="0" w:line="360" w:lineRule="auto"/>
      </w:pPr>
      <w:r w:rsidRPr="002D04F5">
        <w:t xml:space="preserve">Una vez expuesto lo anterior, es menester contextualizar la solicitud de información, la cual versa sobre </w:t>
      </w:r>
      <w:r w:rsidRPr="002D04F5">
        <w:rPr>
          <w:b/>
          <w:bCs/>
        </w:rPr>
        <w:t>acciones de mejora regulatoria.</w:t>
      </w:r>
      <w:r w:rsidRPr="002D04F5">
        <w:t xml:space="preserve"> </w:t>
      </w:r>
    </w:p>
    <w:p w14:paraId="032577BD" w14:textId="77777777" w:rsidR="00A34AEB" w:rsidRPr="002D04F5" w:rsidRDefault="00A34AEB">
      <w:pPr>
        <w:spacing w:after="0" w:line="360" w:lineRule="auto"/>
      </w:pPr>
    </w:p>
    <w:p w14:paraId="4F6F3E23" w14:textId="77777777" w:rsidR="00A34AEB" w:rsidRPr="002D04F5" w:rsidRDefault="005B69C2">
      <w:pPr>
        <w:spacing w:after="0" w:line="360" w:lineRule="auto"/>
      </w:pPr>
      <w:r w:rsidRPr="002D04F5">
        <w:t>Al respecto la Ley para la mejora regulatoria del Estado de México y sus Municipio</w:t>
      </w:r>
      <w:r w:rsidRPr="002D04F5">
        <w:t xml:space="preserve">s, establece en su artículo 21, fracciones I y II, que compete a los Municipios en materia de mejora regulatoria, </w:t>
      </w:r>
      <w:r w:rsidRPr="002D04F5">
        <w:rPr>
          <w:b/>
          <w:bCs/>
        </w:rPr>
        <w:t>establecer acciones,</w:t>
      </w:r>
      <w:r w:rsidRPr="002D04F5">
        <w:t xml:space="preserve"> estrategias y lineamientos bajo los cuales se regirá la política de mejora regulatoria municipal de conformidad con la Le</w:t>
      </w:r>
      <w:r w:rsidRPr="002D04F5">
        <w:t>y y la Ley General y coordinar a las unidades administrativas o servidores públicos municipales con los sujetos obligados, entidades públicas, organismos estatales y federales, en los programas y acciones que lleven a cabo para lograr el cumplimiento de la</w:t>
      </w:r>
      <w:r w:rsidRPr="002D04F5">
        <w:t xml:space="preserve"> Ley; así como elaborar los programas y </w:t>
      </w:r>
      <w:r w:rsidRPr="002D04F5">
        <w:rPr>
          <w:b/>
          <w:bCs/>
        </w:rPr>
        <w:t xml:space="preserve">acciones </w:t>
      </w:r>
      <w:r w:rsidRPr="002D04F5">
        <w:t>para lograr una mejora regulatoria integral, bajo los principios de máxima utilidad para la sociedad y la transparencia en su elaboración.</w:t>
      </w:r>
    </w:p>
    <w:p w14:paraId="79AFB28F" w14:textId="77777777" w:rsidR="00A34AEB" w:rsidRPr="002D04F5" w:rsidRDefault="00A34AEB">
      <w:pPr>
        <w:spacing w:after="0" w:line="360" w:lineRule="auto"/>
      </w:pPr>
    </w:p>
    <w:p w14:paraId="646213BB" w14:textId="77777777" w:rsidR="00A34AEB" w:rsidRPr="002D04F5" w:rsidRDefault="005B69C2">
      <w:pPr>
        <w:spacing w:after="0" w:line="360" w:lineRule="auto"/>
      </w:pPr>
      <w:r w:rsidRPr="002D04F5">
        <w:t>Sumado a lo anterior, el artículo 37, fracción II de dicha Ley prevé la realización de los Programas Anuales de Mejora Regulatoria estatales y municipales, dentro de los cuales debe contemplarse las estrategias y acciones a aplicar en el año respectivo par</w:t>
      </w:r>
      <w:r w:rsidRPr="002D04F5">
        <w:t xml:space="preserve">a mejorar la problemática detectada; por lo que el Sujeto Obligado </w:t>
      </w:r>
      <w:r w:rsidRPr="002D04F5">
        <w:rPr>
          <w:b/>
          <w:bCs/>
        </w:rPr>
        <w:t xml:space="preserve">debe generar y conocer de las acciones de mejora regulatoria, las cuales pueden constar en su Programa Anual de Mejora Regulatoria. </w:t>
      </w:r>
    </w:p>
    <w:p w14:paraId="219BC979" w14:textId="77777777" w:rsidR="00A34AEB" w:rsidRPr="002D04F5" w:rsidRDefault="005B69C2">
      <w:pPr>
        <w:spacing w:after="0" w:line="360" w:lineRule="auto"/>
      </w:pPr>
      <w:r w:rsidRPr="002D04F5">
        <w:lastRenderedPageBreak/>
        <w:t xml:space="preserve"> </w:t>
      </w:r>
    </w:p>
    <w:p w14:paraId="708CE6F1" w14:textId="77777777" w:rsidR="00A34AEB" w:rsidRPr="002D04F5" w:rsidRDefault="005B69C2">
      <w:pPr>
        <w:spacing w:after="0" w:line="360" w:lineRule="auto"/>
      </w:pPr>
      <w:r w:rsidRPr="002D04F5">
        <w:t>Aunado a ello, cabe mencionar que en el artículo 74, n</w:t>
      </w:r>
      <w:r w:rsidRPr="002D04F5">
        <w:t>umeral 1, 1.4 del Bando Municipal del Sujeto Obligado vigente, prevé dentro de la estructura orgánica del Ayuntamiento de Atlacomulco, una Coordinación General Municipal de Mejora Regulatoria, dependiente de la Secretaria Particular de la Presidencia Munic</w:t>
      </w:r>
      <w:r w:rsidRPr="002D04F5">
        <w:t xml:space="preserve">ipal. </w:t>
      </w:r>
    </w:p>
    <w:p w14:paraId="6884B066" w14:textId="77777777" w:rsidR="00A34AEB" w:rsidRPr="002D04F5" w:rsidRDefault="00A34AEB">
      <w:pPr>
        <w:spacing w:after="0" w:line="360" w:lineRule="auto"/>
      </w:pPr>
    </w:p>
    <w:p w14:paraId="457014D8" w14:textId="77777777" w:rsidR="00A34AEB" w:rsidRPr="002D04F5" w:rsidRDefault="005B69C2">
      <w:pPr>
        <w:spacing w:after="0" w:line="360" w:lineRule="auto"/>
      </w:pPr>
      <w:r w:rsidRPr="002D04F5">
        <w:t>Por su parte, el artículo 107 de dicho Bando, refiere la creación de la Comisión Municipal de Mejora Regulatoria, quién dará seguimiento a las acciones relacionadas con la mejora regulatoria, y señala que la coordinación de los trabajos de la mater</w:t>
      </w:r>
      <w:r w:rsidRPr="002D04F5">
        <w:t xml:space="preserve">ia se lleva a cabo por la </w:t>
      </w:r>
      <w:r w:rsidRPr="002D04F5">
        <w:rPr>
          <w:b/>
          <w:bCs/>
        </w:rPr>
        <w:t>Coordinador Municipal de Mejora Regulatoria, por tanto, dicha área resulta la competente para conocer de la información requerida</w:t>
      </w:r>
      <w:r w:rsidRPr="002D04F5">
        <w:t xml:space="preserve">. </w:t>
      </w:r>
    </w:p>
    <w:p w14:paraId="77DC697F" w14:textId="77777777" w:rsidR="00A34AEB" w:rsidRPr="002D04F5" w:rsidRDefault="00A34AEB">
      <w:pPr>
        <w:spacing w:after="0" w:line="360" w:lineRule="auto"/>
      </w:pPr>
    </w:p>
    <w:p w14:paraId="5BE69E1E" w14:textId="08E0BA8F" w:rsidR="00A34AEB" w:rsidRPr="002D04F5" w:rsidRDefault="005B69C2" w:rsidP="00AB32D2">
      <w:pPr>
        <w:spacing w:after="0" w:line="360" w:lineRule="auto"/>
        <w:rPr>
          <w:b/>
          <w:bCs/>
          <w:color w:val="000000"/>
        </w:rPr>
      </w:pPr>
      <w:r w:rsidRPr="002D04F5">
        <w:t xml:space="preserve">Conforme a lo anterior, se logra advertir que la persona Recurrente pretende </w:t>
      </w:r>
      <w:r w:rsidR="00AB32D2" w:rsidRPr="002D04F5">
        <w:t>las a</w:t>
      </w:r>
      <w:r w:rsidRPr="002D04F5">
        <w:rPr>
          <w:color w:val="000000"/>
        </w:rPr>
        <w:t xml:space="preserve">cciones </w:t>
      </w:r>
      <w:r w:rsidR="00AB32D2" w:rsidRPr="002D04F5">
        <w:rPr>
          <w:color w:val="000000"/>
        </w:rPr>
        <w:t xml:space="preserve">realizadas en </w:t>
      </w:r>
      <w:r w:rsidRPr="002D04F5">
        <w:rPr>
          <w:color w:val="000000"/>
        </w:rPr>
        <w:t>mejora regulatoria</w:t>
      </w:r>
      <w:r w:rsidR="00AB32D2" w:rsidRPr="002D04F5">
        <w:rPr>
          <w:color w:val="000000"/>
        </w:rPr>
        <w:t xml:space="preserve"> del primero de enero al treinta de mayo de dos mil veinticinco.</w:t>
      </w:r>
    </w:p>
    <w:p w14:paraId="394CD478" w14:textId="77777777" w:rsidR="00A34AEB" w:rsidRPr="002D04F5" w:rsidRDefault="00A34AEB">
      <w:pPr>
        <w:spacing w:after="0" w:line="360" w:lineRule="auto"/>
        <w:rPr>
          <w:color w:val="000000"/>
        </w:rPr>
      </w:pPr>
    </w:p>
    <w:p w14:paraId="537FC4D4" w14:textId="77777777" w:rsidR="00A34AEB" w:rsidRPr="002D04F5" w:rsidRDefault="005B69C2">
      <w:pPr>
        <w:spacing w:after="0" w:line="360" w:lineRule="auto"/>
        <w:rPr>
          <w:color w:val="000000"/>
        </w:rPr>
      </w:pPr>
      <w:r w:rsidRPr="002D04F5">
        <w:rPr>
          <w:color w:val="000000"/>
        </w:rPr>
        <w:t xml:space="preserve">Ante dicha circunstancia, es necesario precisar que de las constancias que obran en el expediente electrónico en SAIMEX, se logra advertir que el Sujeto Obligado dio respuesta a través </w:t>
      </w:r>
      <w:r w:rsidRPr="002D04F5">
        <w:t>de su Titular de la Unidad de Transparencia y se advierte que turnó a l</w:t>
      </w:r>
      <w:r w:rsidRPr="002D04F5">
        <w:t>a Coordinación General Municipal de Mejora Regulatoria</w:t>
      </w:r>
      <w:r w:rsidRPr="002D04F5">
        <w:rPr>
          <w:color w:val="000000"/>
        </w:rPr>
        <w:t xml:space="preserve">, por lo que, resulta necesario hacer referencia al </w:t>
      </w:r>
      <w:r w:rsidRPr="002D04F5">
        <w:rPr>
          <w:b/>
          <w:bCs/>
          <w:color w:val="000000"/>
        </w:rPr>
        <w:t>procedimiento de búsqueda que deben seguir los Sujetos Obligados para localizar la información,</w:t>
      </w:r>
      <w:r w:rsidRPr="002D04F5">
        <w:rPr>
          <w:color w:val="000000"/>
        </w:rPr>
        <w:t xml:space="preserve"> el cual se encuentra previsto en el artículo 162 de la</w:t>
      </w:r>
      <w:r w:rsidRPr="002D04F5">
        <w:rPr>
          <w:color w:val="000000"/>
        </w:rPr>
        <w:t xml:space="preserve"> Ley de Transparencia y Acceso a la Información Pública del Estado de México y Municipios, el cual establece que las Unidades de Transparencia garantizarán que las solicitudes de acceso a la información se turnen a todas las áreas competentes que cuenten c</w:t>
      </w:r>
      <w:r w:rsidRPr="002D04F5">
        <w:rPr>
          <w:color w:val="000000"/>
        </w:rPr>
        <w:t>on la información o deban tenerla  de acuerdo con las facultades, competencias y funciones-, con el objeto de que dichas áreas realicen una búsqueda exhaustiva y razonable de la información requerida.</w:t>
      </w:r>
    </w:p>
    <w:p w14:paraId="67AECC8F" w14:textId="77777777" w:rsidR="00A34AEB" w:rsidRPr="002D04F5" w:rsidRDefault="00A34AEB">
      <w:pPr>
        <w:spacing w:after="0" w:line="360" w:lineRule="auto"/>
        <w:rPr>
          <w:color w:val="FF0000"/>
        </w:rPr>
      </w:pPr>
    </w:p>
    <w:p w14:paraId="37EA7818" w14:textId="77777777" w:rsidR="00A34AEB" w:rsidRPr="002D04F5" w:rsidRDefault="005B69C2">
      <w:pPr>
        <w:spacing w:after="0" w:line="360" w:lineRule="auto"/>
        <w:rPr>
          <w:b/>
          <w:bCs/>
          <w:color w:val="000000"/>
        </w:rPr>
      </w:pPr>
      <w:r w:rsidRPr="002D04F5">
        <w:rPr>
          <w:color w:val="000000"/>
        </w:rPr>
        <w:lastRenderedPageBreak/>
        <w:t>Así, con la finalidad de determinar si el Sujeto Oblig</w:t>
      </w:r>
      <w:r w:rsidRPr="002D04F5">
        <w:rPr>
          <w:color w:val="000000"/>
        </w:rPr>
        <w:t xml:space="preserve">ado </w:t>
      </w:r>
      <w:r w:rsidRPr="002D04F5">
        <w:rPr>
          <w:b/>
          <w:bCs/>
          <w:color w:val="000000"/>
        </w:rPr>
        <w:t>cumplió con el procedimiento de búsqueda</w:t>
      </w:r>
      <w:r w:rsidRPr="002D04F5">
        <w:rPr>
          <w:color w:val="000000"/>
        </w:rPr>
        <w:t xml:space="preserve"> previsto en el artículo 162 de la Ley de Transparencia y Acceso a la Información Pública del Estado de México y Municipios, dado que, turnó la solicitud de información a las áreas que pueden conocer de lo solici</w:t>
      </w:r>
      <w:r w:rsidRPr="002D04F5">
        <w:rPr>
          <w:color w:val="000000"/>
        </w:rPr>
        <w:t>tado.</w:t>
      </w:r>
    </w:p>
    <w:p w14:paraId="390E0B02" w14:textId="77777777" w:rsidR="00A34AEB" w:rsidRPr="002D04F5" w:rsidRDefault="00A34AEB">
      <w:pPr>
        <w:spacing w:after="0" w:line="360" w:lineRule="auto"/>
        <w:rPr>
          <w:color w:val="000000"/>
        </w:rPr>
      </w:pPr>
    </w:p>
    <w:p w14:paraId="6AC920D8" w14:textId="77777777" w:rsidR="00A34AEB" w:rsidRPr="002D04F5" w:rsidRDefault="005B69C2">
      <w:pPr>
        <w:spacing w:after="0" w:line="360" w:lineRule="auto"/>
        <w:rPr>
          <w:color w:val="000000"/>
        </w:rPr>
      </w:pPr>
      <w:r w:rsidRPr="002D04F5">
        <w:rPr>
          <w:color w:val="000000"/>
        </w:rPr>
        <w:t>Ahora bien, de las constancias que obran en el SAIMEX, se aprecia que el Sujeto Obligado solicitó una aclaración a la solicitud de información, al respecto, cabe señalar que el artículo 159 de la Ley de Transparencia y Acceso a la Información Públic</w:t>
      </w:r>
      <w:r w:rsidRPr="002D04F5">
        <w:rPr>
          <w:color w:val="000000"/>
        </w:rPr>
        <w:t>a del Estado de México y Municipios, prevé la posibilidad de solicitar una aclaración por una sola vez y dentro de un plazo que no podrá exceder de cinco días hábiles, siempre y cuando los detalles proporcionados para localizar los documentos resulten insu</w:t>
      </w:r>
      <w:r w:rsidRPr="002D04F5">
        <w:rPr>
          <w:color w:val="000000"/>
        </w:rPr>
        <w:t xml:space="preserve">ficientes, incompletos o sean erróneos; sin embargo, en el caso que nos ocupa, no tuvo lugar dicha situación; es decir, </w:t>
      </w:r>
      <w:r w:rsidRPr="002D04F5">
        <w:rPr>
          <w:b/>
          <w:bCs/>
          <w:color w:val="000000"/>
        </w:rPr>
        <w:t>este Organismo Garante advierte que los elementos proporcionados por la parte Recurrente para localizar la información resultan suficien</w:t>
      </w:r>
      <w:r w:rsidRPr="002D04F5">
        <w:rPr>
          <w:b/>
          <w:bCs/>
          <w:color w:val="000000"/>
        </w:rPr>
        <w:t>tes, por lo que no era necesario realizar la solicitud de aclaración</w:t>
      </w:r>
      <w:r w:rsidRPr="002D04F5">
        <w:rPr>
          <w:color w:val="000000"/>
        </w:rPr>
        <w:t xml:space="preserve">, ya que el Sujeto Obligado contaba con todos los detalles necesarios, suficientes y completos para buscar la información. </w:t>
      </w:r>
    </w:p>
    <w:p w14:paraId="40FDE57F" w14:textId="77777777" w:rsidR="00A34AEB" w:rsidRPr="002D04F5" w:rsidRDefault="00A34AEB">
      <w:pPr>
        <w:spacing w:after="0" w:line="360" w:lineRule="auto"/>
        <w:rPr>
          <w:color w:val="000000"/>
        </w:rPr>
      </w:pPr>
    </w:p>
    <w:p w14:paraId="675A09AF" w14:textId="77777777" w:rsidR="00A34AEB" w:rsidRPr="002D04F5" w:rsidRDefault="005B69C2">
      <w:pPr>
        <w:spacing w:after="0" w:line="360" w:lineRule="auto"/>
        <w:rPr>
          <w:color w:val="000000"/>
        </w:rPr>
      </w:pPr>
      <w:r w:rsidRPr="002D04F5">
        <w:rPr>
          <w:color w:val="000000"/>
        </w:rPr>
        <w:t xml:space="preserve">Así pues, se </w:t>
      </w:r>
      <w:r w:rsidRPr="002D04F5">
        <w:rPr>
          <w:b/>
          <w:bCs/>
          <w:color w:val="000000"/>
          <w:u w:val="single"/>
        </w:rPr>
        <w:t>insta al Sujeto Obligado para que, en futuras ocas</w:t>
      </w:r>
      <w:r w:rsidRPr="002D04F5">
        <w:rPr>
          <w:b/>
          <w:bCs/>
          <w:color w:val="000000"/>
          <w:u w:val="single"/>
        </w:rPr>
        <w:t xml:space="preserve">iones, evite realizar solicitudes de aclaración, cuando la solicitud de información cuente con todos los elementos para realizar la búsqueda, </w:t>
      </w:r>
      <w:r w:rsidRPr="002D04F5">
        <w:rPr>
          <w:color w:val="000000"/>
        </w:rPr>
        <w:t>tal y como sucedió en el presente caso, recordando que es labor de cada Sujeto Obligado procurar el debido cumplim</w:t>
      </w:r>
      <w:r w:rsidRPr="002D04F5">
        <w:rPr>
          <w:color w:val="000000"/>
        </w:rPr>
        <w:t>iento y atención a las Leyes que rigen nuestra materia.</w:t>
      </w:r>
    </w:p>
    <w:p w14:paraId="04326288" w14:textId="77777777" w:rsidR="00A34AEB" w:rsidRPr="002D04F5" w:rsidRDefault="005B69C2">
      <w:pPr>
        <w:spacing w:after="0" w:line="360" w:lineRule="auto"/>
        <w:rPr>
          <w:color w:val="000000"/>
        </w:rPr>
      </w:pPr>
      <w:r w:rsidRPr="002D04F5">
        <w:rPr>
          <w:color w:val="000000"/>
        </w:rPr>
        <w:t>Sin menoscabo de lo anterior, cabe precisar que, de la respuesta del Sujeto Obligado únicamente se desprende el oficio suscrito por la Titular de la Unidad de Transparencia, en los siguientes términos</w:t>
      </w:r>
      <w:r w:rsidRPr="002D04F5">
        <w:rPr>
          <w:color w:val="000000"/>
        </w:rPr>
        <w:t>:</w:t>
      </w:r>
    </w:p>
    <w:p w14:paraId="1BFABAB9" w14:textId="77777777" w:rsidR="00A34AEB" w:rsidRPr="002D04F5" w:rsidRDefault="005B69C2">
      <w:pPr>
        <w:spacing w:after="0" w:line="360" w:lineRule="auto"/>
        <w:jc w:val="center"/>
        <w:rPr>
          <w:color w:val="000000"/>
        </w:rPr>
      </w:pPr>
      <w:r w:rsidRPr="002D04F5">
        <w:rPr>
          <w:noProof/>
        </w:rPr>
        <w:lastRenderedPageBreak/>
        <w:drawing>
          <wp:inline distT="0" distB="0" distL="0" distR="0" wp14:anchorId="3F096576" wp14:editId="069E4C71">
            <wp:extent cx="4868545" cy="3876675"/>
            <wp:effectExtent l="0" t="0" r="8255" b="9525"/>
            <wp:docPr id="14135491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9" cstate="email">
                      <a:extLst>
                        <a:ext uri="{28A0092B-C50C-407E-A947-70E740481C1C}">
                          <a14:useLocalDpi xmlns:a14="http://schemas.microsoft.com/office/drawing/2010/main"/>
                        </a:ext>
                      </a:extLst>
                    </a:blip>
                    <a:srcRect b="12102"/>
                    <a:stretch/>
                  </pic:blipFill>
                  <pic:spPr bwMode="auto">
                    <a:xfrm>
                      <a:off x="0" y="0"/>
                      <a:ext cx="4868892" cy="3876951"/>
                    </a:xfrm>
                    <a:prstGeom prst="rect">
                      <a:avLst/>
                    </a:prstGeom>
                    <a:ln>
                      <a:noFill/>
                    </a:ln>
                    <a:extLst>
                      <a:ext uri="{53640926-AAD7-44D8-BBD7-CCE9431645EC}">
                        <a14:shadowObscured xmlns:a14="http://schemas.microsoft.com/office/drawing/2010/main"/>
                      </a:ext>
                    </a:extLst>
                  </pic:spPr>
                </pic:pic>
              </a:graphicData>
            </a:graphic>
          </wp:inline>
        </w:drawing>
      </w:r>
    </w:p>
    <w:p w14:paraId="68E1CF60" w14:textId="77777777" w:rsidR="00A34AEB" w:rsidRPr="002D04F5" w:rsidRDefault="005B69C2">
      <w:pPr>
        <w:spacing w:after="0" w:line="360" w:lineRule="auto"/>
        <w:jc w:val="center"/>
      </w:pPr>
      <w:r w:rsidRPr="002D04F5">
        <w:rPr>
          <w:noProof/>
        </w:rPr>
        <w:drawing>
          <wp:inline distT="0" distB="0" distL="0" distR="0" wp14:anchorId="45EACBBA" wp14:editId="768B62A8">
            <wp:extent cx="4200525" cy="3390900"/>
            <wp:effectExtent l="0" t="0" r="9525" b="0"/>
            <wp:docPr id="14135491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0" cstate="email">
                      <a:extLst>
                        <a:ext uri="{28A0092B-C50C-407E-A947-70E740481C1C}">
                          <a14:useLocalDpi xmlns:a14="http://schemas.microsoft.com/office/drawing/2010/main"/>
                        </a:ext>
                      </a:extLst>
                    </a:blip>
                    <a:srcRect l="21765" t="34518" r="14201" b="22701"/>
                    <a:stretch/>
                  </pic:blipFill>
                  <pic:spPr bwMode="auto">
                    <a:xfrm>
                      <a:off x="0" y="0"/>
                      <a:ext cx="4201210" cy="3391453"/>
                    </a:xfrm>
                    <a:prstGeom prst="rect">
                      <a:avLst/>
                    </a:prstGeom>
                    <a:ln>
                      <a:noFill/>
                    </a:ln>
                    <a:extLst>
                      <a:ext uri="{53640926-AAD7-44D8-BBD7-CCE9431645EC}">
                        <a14:shadowObscured xmlns:a14="http://schemas.microsoft.com/office/drawing/2010/main"/>
                      </a:ext>
                    </a:extLst>
                  </pic:spPr>
                </pic:pic>
              </a:graphicData>
            </a:graphic>
          </wp:inline>
        </w:drawing>
      </w:r>
    </w:p>
    <w:p w14:paraId="39DD8957" w14:textId="5C54C00A" w:rsidR="00A34AEB" w:rsidRPr="002D04F5" w:rsidRDefault="005B69C2">
      <w:pPr>
        <w:spacing w:after="0" w:line="360" w:lineRule="auto"/>
      </w:pPr>
      <w:r w:rsidRPr="002D04F5">
        <w:lastRenderedPageBreak/>
        <w:t>Ahora bien, durante la sustanciación del Recurso de Revisión, el Sujeto Obligado rindió informe justificado en el que señaló que, a la Coordinación General Municipal de Mejora Regulatoria, dio respuesta a través del Programa Anual de Mejora Regulator</w:t>
      </w:r>
      <w:r w:rsidRPr="002D04F5">
        <w:t>ia del Municipio de Atlacomulco de 2025.</w:t>
      </w:r>
    </w:p>
    <w:p w14:paraId="02EAB290" w14:textId="77777777" w:rsidR="00A34AEB" w:rsidRPr="002D04F5" w:rsidRDefault="00A34AEB">
      <w:pPr>
        <w:spacing w:after="0" w:line="360" w:lineRule="auto"/>
      </w:pPr>
    </w:p>
    <w:p w14:paraId="00D0FDA2" w14:textId="77777777" w:rsidR="00A34AEB" w:rsidRPr="002D04F5" w:rsidRDefault="005B69C2">
      <w:pPr>
        <w:spacing w:after="0" w:line="360" w:lineRule="auto"/>
      </w:pPr>
      <w:r w:rsidRPr="002D04F5">
        <w:t>En este sentido, vale la pena señalar que en el SAIMEX existe un  apartado denominado “</w:t>
      </w:r>
      <w:r w:rsidRPr="002D04F5">
        <w:rPr>
          <w:b/>
          <w:bCs/>
          <w:i/>
          <w:iCs/>
        </w:rPr>
        <w:t>Requerimientos</w:t>
      </w:r>
      <w:r w:rsidRPr="002D04F5">
        <w:t xml:space="preserve">” el cual permite la comunicación entre las áreas del Sujeto Obligado, sin embargo, dicho apartado </w:t>
      </w:r>
      <w:r w:rsidRPr="002D04F5">
        <w:rPr>
          <w:b/>
          <w:bCs/>
        </w:rPr>
        <w:t xml:space="preserve">NO ES VISIBLE </w:t>
      </w:r>
      <w:r w:rsidRPr="002D04F5">
        <w:rPr>
          <w:b/>
          <w:bCs/>
        </w:rPr>
        <w:t>PARA LA PARTE RECURRENTE</w:t>
      </w:r>
      <w:r w:rsidRPr="002D04F5">
        <w:t>; esto quiere decir, que aunque las áreas adjunten información o entreguen la misma mediante dicho apartado, ello no es visible a la parte Recurrente; por lo que en su caso, se debe hacer la entrega de la información a la persona So</w:t>
      </w:r>
      <w:r w:rsidRPr="002D04F5">
        <w:t xml:space="preserve">licitante mediante el apartado de respuesta. </w:t>
      </w:r>
    </w:p>
    <w:p w14:paraId="6C9ECF9F" w14:textId="77777777" w:rsidR="00A34AEB" w:rsidRPr="002D04F5" w:rsidRDefault="00A34AEB">
      <w:pPr>
        <w:spacing w:after="0" w:line="360" w:lineRule="auto"/>
      </w:pPr>
    </w:p>
    <w:p w14:paraId="238FF833" w14:textId="54C16255" w:rsidR="00A34AEB" w:rsidRPr="002D04F5" w:rsidRDefault="005B69C2">
      <w:pPr>
        <w:spacing w:after="0" w:line="360" w:lineRule="auto"/>
      </w:pPr>
      <w:r w:rsidRPr="002D04F5">
        <w:t>En este contexto, cabe precisar que en el apartado de “</w:t>
      </w:r>
      <w:r w:rsidRPr="002D04F5">
        <w:rPr>
          <w:b/>
          <w:bCs/>
          <w:i/>
          <w:iCs/>
        </w:rPr>
        <w:t>Requerimientos</w:t>
      </w:r>
      <w:r w:rsidRPr="002D04F5">
        <w:t>” sí se advierte el documento denominado Programa Anual de Mejora Regulatoria del Municipio de Atlacomulco de 2025, en el que, además se pre</w:t>
      </w:r>
      <w:r w:rsidRPr="002D04F5">
        <w:t>cisan las acciones de mejora regulatoria solicitadas y de</w:t>
      </w:r>
      <w:r w:rsidR="00AB32D2" w:rsidRPr="002D04F5">
        <w:t>ta</w:t>
      </w:r>
      <w:r w:rsidRPr="002D04F5">
        <w:t>lladas por cada área, por tanto, se trata de los documentos que dan cuenta de lo solicitado</w:t>
      </w:r>
      <w:r w:rsidR="00AB32D2" w:rsidRPr="002D04F5">
        <w:t>.</w:t>
      </w:r>
    </w:p>
    <w:p w14:paraId="5E98C63B" w14:textId="77777777" w:rsidR="00A34AEB" w:rsidRPr="002D04F5" w:rsidRDefault="00A34AEB">
      <w:pPr>
        <w:spacing w:after="0" w:line="360" w:lineRule="auto"/>
      </w:pPr>
    </w:p>
    <w:p w14:paraId="4E000C3C" w14:textId="297C9DD3" w:rsidR="00A34AEB" w:rsidRPr="002D04F5" w:rsidRDefault="005B69C2">
      <w:pPr>
        <w:spacing w:after="0" w:line="360" w:lineRule="auto"/>
      </w:pPr>
      <w:r w:rsidRPr="002D04F5">
        <w:t>A pesar de haber entregado el documento idóneo en el apartado de “</w:t>
      </w:r>
      <w:r w:rsidRPr="002D04F5">
        <w:rPr>
          <w:i/>
          <w:iCs/>
        </w:rPr>
        <w:t>Requerimientos”</w:t>
      </w:r>
      <w:r w:rsidRPr="002D04F5">
        <w:t>, tal y como se precis</w:t>
      </w:r>
      <w:r w:rsidRPr="002D04F5">
        <w:t xml:space="preserve">ó en líneas anteriores, </w:t>
      </w:r>
      <w:r w:rsidRPr="002D04F5">
        <w:rPr>
          <w:b/>
          <w:bCs/>
        </w:rPr>
        <w:t>este apartado no es visible para la parte Recurrente, por lo que, la persona Solicitante no observó, ni recibió dicho documento</w:t>
      </w:r>
      <w:r w:rsidR="00AB32D2" w:rsidRPr="002D04F5">
        <w:t>; por lo que, resulta procedente ordenar la entrega de estos, para dar cumplimiento a los artículos 12 y 160 de la Ley de Transparencia y Acceso a la Información Pública del Estado de México y Municipios. Finalmente de</w:t>
      </w:r>
      <w:r w:rsidRPr="002D04F5">
        <w:t xml:space="preserve"> la revisión a los documentos que dan cuenta de lo solicitado, no se detecta que existan datos personales confidenciales por lo que la entrega </w:t>
      </w:r>
      <w:r w:rsidRPr="002D04F5">
        <w:t xml:space="preserve">de la información debe ser de forma íntegra. </w:t>
      </w:r>
    </w:p>
    <w:p w14:paraId="72E24444" w14:textId="77777777" w:rsidR="00A34AEB" w:rsidRPr="002D04F5" w:rsidRDefault="00A34AEB">
      <w:pPr>
        <w:spacing w:after="0" w:line="360" w:lineRule="auto"/>
      </w:pPr>
    </w:p>
    <w:p w14:paraId="6D61E92D" w14:textId="77777777" w:rsidR="00A34AEB" w:rsidRPr="002D04F5" w:rsidRDefault="005B69C2">
      <w:pPr>
        <w:pStyle w:val="Ttulo2"/>
        <w:spacing w:before="0" w:after="0"/>
        <w:rPr>
          <w:b w:val="0"/>
          <w:bCs w:val="0"/>
        </w:rPr>
      </w:pPr>
      <w:bookmarkStart w:id="17" w:name="_Toc216966625"/>
      <w:r w:rsidRPr="002D04F5">
        <w:lastRenderedPageBreak/>
        <w:t>SEXTO. Decisión</w:t>
      </w:r>
      <w:bookmarkEnd w:id="17"/>
    </w:p>
    <w:p w14:paraId="603B4294" w14:textId="77777777" w:rsidR="00A34AEB" w:rsidRPr="002D04F5" w:rsidRDefault="00A34AEB">
      <w:pPr>
        <w:spacing w:after="0" w:line="360" w:lineRule="auto"/>
        <w:rPr>
          <w:b/>
          <w:bCs/>
        </w:rPr>
      </w:pPr>
    </w:p>
    <w:p w14:paraId="5C7622DF" w14:textId="77777777" w:rsidR="00A34AEB" w:rsidRPr="002D04F5" w:rsidRDefault="005B69C2">
      <w:pPr>
        <w:spacing w:after="0" w:line="360" w:lineRule="auto"/>
      </w:pPr>
      <w:r w:rsidRPr="002D04F5">
        <w:t xml:space="preserve">Con fundamento en el artículo 186, fracción III, de la Ley de Transparencia y Acceso a la Información Pública del Estado de México y Municipios, este Instituto considera procedente </w:t>
      </w:r>
      <w:r w:rsidRPr="002D04F5">
        <w:rPr>
          <w:b/>
          <w:bCs/>
        </w:rPr>
        <w:t xml:space="preserve">REVOCAR </w:t>
      </w:r>
      <w:r w:rsidRPr="002D04F5">
        <w:t xml:space="preserve">la </w:t>
      </w:r>
      <w:r w:rsidRPr="002D04F5">
        <w:t xml:space="preserve">respuesta otorgada por el Sujeto Obligado a la solicitud de información </w:t>
      </w:r>
      <w:r w:rsidRPr="002D04F5">
        <w:rPr>
          <w:b/>
          <w:bCs/>
        </w:rPr>
        <w:t>00368/ATLACOM/IP/2025</w:t>
      </w:r>
      <w:r w:rsidRPr="002D04F5">
        <w:t xml:space="preserve">, por resultar fundadas las razones o motivos de inconformidad hechos valer por la parte Recurrente, en el Recurso de Revisión </w:t>
      </w:r>
      <w:r w:rsidRPr="002D04F5">
        <w:rPr>
          <w:b/>
          <w:bCs/>
        </w:rPr>
        <w:t>07591/INFOEM/IP/RR/2025</w:t>
      </w:r>
      <w:r w:rsidRPr="002D04F5">
        <w:t>, en consecue</w:t>
      </w:r>
      <w:r w:rsidRPr="002D04F5">
        <w:t xml:space="preserve">ncia procede </w:t>
      </w:r>
      <w:r w:rsidRPr="002D04F5">
        <w:rPr>
          <w:b/>
          <w:bCs/>
        </w:rPr>
        <w:t xml:space="preserve">ORDENAR, </w:t>
      </w:r>
      <w:r w:rsidRPr="002D04F5">
        <w:t xml:space="preserve">la entrega de la información en los términos antes expuestos. </w:t>
      </w:r>
    </w:p>
    <w:p w14:paraId="3B24AF8F" w14:textId="77777777" w:rsidR="00A34AEB" w:rsidRPr="002D04F5" w:rsidRDefault="00A34AEB">
      <w:pPr>
        <w:tabs>
          <w:tab w:val="left" w:pos="4962"/>
        </w:tabs>
        <w:spacing w:after="0" w:line="360" w:lineRule="auto"/>
        <w:rPr>
          <w:color w:val="000000"/>
        </w:rPr>
      </w:pPr>
    </w:p>
    <w:p w14:paraId="096FE608" w14:textId="77777777" w:rsidR="00A34AEB" w:rsidRPr="002D04F5" w:rsidRDefault="005B69C2">
      <w:pPr>
        <w:spacing w:after="0" w:line="360" w:lineRule="auto"/>
        <w:rPr>
          <w:b/>
          <w:bCs/>
          <w:u w:val="single"/>
        </w:rPr>
      </w:pPr>
      <w:r w:rsidRPr="002D04F5">
        <w:rPr>
          <w:b/>
          <w:bCs/>
          <w:u w:val="single"/>
        </w:rPr>
        <w:t>Términos de la Resolución para la parte Recurrente:</w:t>
      </w:r>
    </w:p>
    <w:p w14:paraId="24D875A8" w14:textId="77777777" w:rsidR="00A34AEB" w:rsidRPr="002D04F5" w:rsidRDefault="00A34AEB">
      <w:pPr>
        <w:spacing w:after="0" w:line="360" w:lineRule="auto"/>
      </w:pPr>
    </w:p>
    <w:p w14:paraId="1F268314" w14:textId="77777777" w:rsidR="00A34AEB" w:rsidRPr="002D04F5" w:rsidRDefault="005B69C2">
      <w:pPr>
        <w:spacing w:after="0" w:line="360" w:lineRule="auto"/>
        <w:rPr>
          <w:u w:val="single"/>
        </w:rPr>
      </w:pPr>
      <w:r w:rsidRPr="002D04F5">
        <w:rPr>
          <w:u w:val="single"/>
        </w:rPr>
        <w:t xml:space="preserve">Se hace del conocimiento de parte Recurrente que este Organismo Garante determinó concederle la razón, por tanto, se </w:t>
      </w:r>
      <w:r w:rsidRPr="002D04F5">
        <w:rPr>
          <w:u w:val="single"/>
        </w:rPr>
        <w:t>ordena la entrega de la documentación que dé cuenta de lo requerido.</w:t>
      </w:r>
    </w:p>
    <w:p w14:paraId="237F4FF6" w14:textId="77777777" w:rsidR="00A34AEB" w:rsidRPr="002D04F5" w:rsidRDefault="00A34AEB">
      <w:pPr>
        <w:spacing w:after="0" w:line="360" w:lineRule="auto"/>
        <w:rPr>
          <w:u w:val="single"/>
        </w:rPr>
      </w:pPr>
    </w:p>
    <w:p w14:paraId="662B64F6" w14:textId="77777777" w:rsidR="00A34AEB" w:rsidRPr="002D04F5" w:rsidRDefault="005B69C2">
      <w:pPr>
        <w:spacing w:after="0" w:line="360" w:lineRule="auto"/>
        <w:rPr>
          <w:u w:val="single"/>
        </w:rPr>
      </w:pPr>
      <w:r w:rsidRPr="002D04F5">
        <w:rPr>
          <w:u w:val="single"/>
        </w:rPr>
        <w:t>La labor del INFOEM, es apoyar a la población para acceder a la información pública y garantizar la protección de sus datos personales.</w:t>
      </w:r>
    </w:p>
    <w:p w14:paraId="29CD0DFB" w14:textId="77777777" w:rsidR="00A34AEB" w:rsidRPr="002D04F5" w:rsidRDefault="00A34AEB">
      <w:pPr>
        <w:spacing w:after="0" w:line="360" w:lineRule="auto"/>
        <w:rPr>
          <w:u w:val="single"/>
        </w:rPr>
      </w:pPr>
    </w:p>
    <w:p w14:paraId="3A9E1D24" w14:textId="77777777" w:rsidR="00A34AEB" w:rsidRPr="002D04F5" w:rsidRDefault="005B69C2">
      <w:pPr>
        <w:pStyle w:val="Ttulo1"/>
        <w:spacing w:before="0" w:after="0"/>
        <w:rPr>
          <w:b w:val="0"/>
          <w:bCs w:val="0"/>
          <w:sz w:val="22"/>
          <w:szCs w:val="22"/>
        </w:rPr>
      </w:pPr>
      <w:bookmarkStart w:id="18" w:name="_Toc216966626"/>
      <w:r w:rsidRPr="002D04F5">
        <w:rPr>
          <w:sz w:val="22"/>
          <w:szCs w:val="22"/>
        </w:rPr>
        <w:t>R E S U E L V E</w:t>
      </w:r>
      <w:bookmarkEnd w:id="18"/>
    </w:p>
    <w:p w14:paraId="5ED0C871" w14:textId="77777777" w:rsidR="00A34AEB" w:rsidRPr="002D04F5" w:rsidRDefault="00A34AEB">
      <w:pPr>
        <w:spacing w:after="0" w:line="360" w:lineRule="auto"/>
        <w:rPr>
          <w:b/>
          <w:bCs/>
        </w:rPr>
      </w:pPr>
    </w:p>
    <w:p w14:paraId="0AA67324" w14:textId="77777777" w:rsidR="00A34AEB" w:rsidRPr="002D04F5" w:rsidRDefault="005B69C2">
      <w:pPr>
        <w:spacing w:after="0" w:line="360" w:lineRule="auto"/>
      </w:pPr>
      <w:r w:rsidRPr="002D04F5">
        <w:rPr>
          <w:b/>
          <w:bCs/>
        </w:rPr>
        <w:t xml:space="preserve">PRIMERO. </w:t>
      </w:r>
      <w:r w:rsidRPr="002D04F5">
        <w:t xml:space="preserve">Se </w:t>
      </w:r>
      <w:r w:rsidRPr="002D04F5">
        <w:rPr>
          <w:b/>
          <w:bCs/>
        </w:rPr>
        <w:t>REVOCA</w:t>
      </w:r>
      <w:r w:rsidRPr="002D04F5">
        <w:t xml:space="preserve"> la respuesta </w:t>
      </w:r>
      <w:r w:rsidRPr="002D04F5">
        <w:t xml:space="preserve">entregada por el Ayuntamiento de Atlacomulco a la solicitud de información </w:t>
      </w:r>
      <w:r w:rsidRPr="002D04F5">
        <w:rPr>
          <w:b/>
          <w:bCs/>
        </w:rPr>
        <w:t>00368/ATLACOM/IP/2025</w:t>
      </w:r>
      <w:r w:rsidRPr="002D04F5">
        <w:t xml:space="preserve"> por resultar fundadas las razones o motivos de inconformidad hechos valer por la persona Recurrente en el Recurso de Revisión </w:t>
      </w:r>
      <w:r w:rsidRPr="002D04F5">
        <w:rPr>
          <w:b/>
          <w:bCs/>
        </w:rPr>
        <w:t>07591/INFOEM/IP/RR/2025</w:t>
      </w:r>
      <w:r w:rsidRPr="002D04F5">
        <w:t>, en térmi</w:t>
      </w:r>
      <w:r w:rsidRPr="002D04F5">
        <w:t>nos de los considerandos QUINTO y SEXTO de la presente Resolución.</w:t>
      </w:r>
    </w:p>
    <w:p w14:paraId="2E9BE89F" w14:textId="77777777" w:rsidR="00A34AEB" w:rsidRPr="002D04F5" w:rsidRDefault="00A34AEB">
      <w:pPr>
        <w:spacing w:after="0" w:line="360" w:lineRule="auto"/>
      </w:pPr>
    </w:p>
    <w:p w14:paraId="2E37EC9C" w14:textId="77777777" w:rsidR="00A34AEB" w:rsidRPr="002D04F5" w:rsidRDefault="005B69C2">
      <w:pPr>
        <w:spacing w:after="0" w:line="360" w:lineRule="auto"/>
      </w:pPr>
      <w:bookmarkStart w:id="19" w:name="_heading=h.argy21qnkmhr" w:colFirst="0" w:colLast="0"/>
      <w:bookmarkEnd w:id="19"/>
      <w:r w:rsidRPr="002D04F5">
        <w:rPr>
          <w:b/>
          <w:bCs/>
        </w:rPr>
        <w:lastRenderedPageBreak/>
        <w:t xml:space="preserve">SEGUNDO. </w:t>
      </w:r>
      <w:r w:rsidRPr="002D04F5">
        <w:t xml:space="preserve">Se </w:t>
      </w:r>
      <w:r w:rsidRPr="002D04F5">
        <w:rPr>
          <w:b/>
          <w:bCs/>
        </w:rPr>
        <w:t>ORDENA</w:t>
      </w:r>
      <w:r w:rsidRPr="002D04F5">
        <w:t xml:space="preserve"> al Sujeto Obligado, a efecto de que, entregue a través del Sistema de Acceso a la Información Mexiquense (SAIMEX), lo siguiente:</w:t>
      </w:r>
    </w:p>
    <w:p w14:paraId="327CF623" w14:textId="77777777" w:rsidR="00A34AEB" w:rsidRPr="002D04F5" w:rsidRDefault="00A34AEB">
      <w:pPr>
        <w:spacing w:after="0" w:line="360" w:lineRule="auto"/>
      </w:pPr>
    </w:p>
    <w:p w14:paraId="7EFB71E8" w14:textId="7DE97403" w:rsidR="00A34AEB" w:rsidRPr="002D04F5" w:rsidRDefault="00AB32D2">
      <w:pPr>
        <w:numPr>
          <w:ilvl w:val="0"/>
          <w:numId w:val="3"/>
        </w:numPr>
        <w:pBdr>
          <w:top w:val="nil"/>
          <w:left w:val="nil"/>
          <w:bottom w:val="nil"/>
          <w:right w:val="nil"/>
          <w:between w:val="nil"/>
        </w:pBdr>
        <w:spacing w:after="0" w:line="360" w:lineRule="auto"/>
        <w:rPr>
          <w:color w:val="000000"/>
        </w:rPr>
      </w:pPr>
      <w:r w:rsidRPr="002D04F5">
        <w:rPr>
          <w:color w:val="000000"/>
        </w:rPr>
        <w:t>Los documentos que conforman el Programa Anual de Mejora Regulatoria del Municipio de Atlacomulco de 2025, conforme a lo analizado en el considerando QUINTO.</w:t>
      </w:r>
    </w:p>
    <w:p w14:paraId="0F4DBF47" w14:textId="77777777" w:rsidR="00A34AEB" w:rsidRPr="002D04F5" w:rsidRDefault="00A34AEB">
      <w:pPr>
        <w:spacing w:after="0" w:line="360" w:lineRule="auto"/>
        <w:rPr>
          <w:b/>
          <w:bCs/>
        </w:rPr>
      </w:pPr>
    </w:p>
    <w:p w14:paraId="34AFD325" w14:textId="77777777" w:rsidR="00A34AEB" w:rsidRPr="002D04F5" w:rsidRDefault="005B69C2">
      <w:pPr>
        <w:spacing w:after="0" w:line="360" w:lineRule="auto"/>
      </w:pPr>
      <w:r w:rsidRPr="002D04F5">
        <w:rPr>
          <w:b/>
          <w:bCs/>
        </w:rPr>
        <w:t xml:space="preserve">TERCERO. NOTIFÍQUESE POR SAIMEX </w:t>
      </w:r>
      <w:r w:rsidRPr="002D04F5">
        <w:t>la presente resolución al Titular de la Unidad de Transparencia del Sujeto Obligado, para que con</w:t>
      </w:r>
      <w:r w:rsidRPr="002D04F5">
        <w:t>forme al artículo 186, último párrafo, 189, segundo párrafo, y 194 de la Ley de Transparencia y Acceso a la Información Pública del Estado de México y Municipios, dé cumplimiento a lo ordenado dentro del plazo de diez días hábiles e informe a este Institut</w:t>
      </w:r>
      <w:r w:rsidRPr="002D04F5">
        <w:t>o en un plazo de tres días hábiles siguientes sobre el cumplimiento dado a la presente y, se le apercibe que en caso de negarse a cumplir la presente resolución o hacerlo de manera parcial, se le impondrá una medida de apremio de conformidad con lo previst</w:t>
      </w:r>
      <w:r w:rsidRPr="002D04F5">
        <w:t>o en los artículos 198, 200, fracción III, 214, 215 y 216 de la Ley referida.</w:t>
      </w:r>
    </w:p>
    <w:p w14:paraId="58440FCD" w14:textId="77777777" w:rsidR="00A34AEB" w:rsidRPr="002D04F5" w:rsidRDefault="00A34AEB">
      <w:pPr>
        <w:spacing w:after="0" w:line="360" w:lineRule="auto"/>
      </w:pPr>
    </w:p>
    <w:p w14:paraId="461F11C0" w14:textId="77777777" w:rsidR="00A34AEB" w:rsidRPr="002D04F5" w:rsidRDefault="005B69C2">
      <w:pPr>
        <w:spacing w:after="0" w:line="360" w:lineRule="auto"/>
      </w:pPr>
      <w:r w:rsidRPr="002D04F5">
        <w:t>De conformidad con el artículo 198 de la Ley de Transparencia y Acceso a la Información Pública del Estado de México y Municipios, de considerarlo procedente, el Sujeto Obligado</w:t>
      </w:r>
      <w:r w:rsidRPr="002D04F5">
        <w:t xml:space="preserve"> de manera fundada y motivada, podrá solicitar una ampliación de plazo para el cumplimiento de la presente resolución.</w:t>
      </w:r>
    </w:p>
    <w:p w14:paraId="30F8CA44" w14:textId="77777777" w:rsidR="00A34AEB" w:rsidRPr="002D04F5" w:rsidRDefault="00A34AEB">
      <w:pPr>
        <w:spacing w:after="0" w:line="360" w:lineRule="auto"/>
      </w:pPr>
    </w:p>
    <w:p w14:paraId="53747289" w14:textId="77777777" w:rsidR="00A34AEB" w:rsidRPr="002D04F5" w:rsidRDefault="005B69C2">
      <w:pPr>
        <w:spacing w:after="0" w:line="360" w:lineRule="auto"/>
      </w:pPr>
      <w:r w:rsidRPr="002D04F5">
        <w:rPr>
          <w:b/>
          <w:bCs/>
        </w:rPr>
        <w:t>CUARTO. NOTIFÍQUESE</w:t>
      </w:r>
      <w:r w:rsidRPr="002D04F5">
        <w:t xml:space="preserve"> </w:t>
      </w:r>
      <w:r w:rsidRPr="002D04F5">
        <w:rPr>
          <w:b/>
          <w:bCs/>
        </w:rPr>
        <w:t xml:space="preserve">POR SAIMEX </w:t>
      </w:r>
      <w:r w:rsidRPr="002D04F5">
        <w:t>a la parte Recurrente la presente Resolución, asimismo, se hace de su conocimiento que de conformidad con</w:t>
      </w:r>
      <w:r w:rsidRPr="002D04F5">
        <w:t xml:space="preserve"> lo establecido en el artículo 196 de la Ley de Transparencia y Acceso a la Información Pública del Estado de México y Municipios podrá promover el Juicio de Amparo en los términos de las leyes aplicables.</w:t>
      </w:r>
    </w:p>
    <w:p w14:paraId="355AD7D3" w14:textId="77777777" w:rsidR="00A34AEB" w:rsidRPr="002D04F5" w:rsidRDefault="00A34AEB">
      <w:pPr>
        <w:spacing w:after="0" w:line="360" w:lineRule="auto"/>
      </w:pPr>
    </w:p>
    <w:p w14:paraId="79167C43" w14:textId="77777777" w:rsidR="00A34AEB" w:rsidRPr="002D04F5" w:rsidRDefault="00A34AEB">
      <w:pPr>
        <w:spacing w:after="0" w:line="360" w:lineRule="auto"/>
      </w:pPr>
    </w:p>
    <w:p w14:paraId="6EAA0289" w14:textId="4BE25777" w:rsidR="00A34AEB" w:rsidRDefault="005B69C2">
      <w:pPr>
        <w:spacing w:after="0" w:line="360" w:lineRule="auto"/>
      </w:pPr>
      <w:r w:rsidRPr="002D04F5">
        <w:t xml:space="preserve">ASÍ LO RESUELVE, POR </w:t>
      </w:r>
      <w:r w:rsidRPr="002D04F5">
        <w:rPr>
          <w:b/>
          <w:bCs/>
        </w:rPr>
        <w:t>UNANIMIDAD</w:t>
      </w:r>
      <w:r w:rsidRPr="002D04F5">
        <w:t xml:space="preserve"> DE VOTOS EL PLEN</w:t>
      </w:r>
      <w:r w:rsidRPr="002D04F5">
        <w:t>O DEL INSTITUTO DE TRANSPARENCIA, ACCESO A LA INFORMACIÓN PÚBLICA Y PROTECCIÓN DE DATOS PERSONALES DEL ESTADO DE MÉXICO Y MUNICIPIOS, CONFORMADO POR LOS COMISIONADOS JOSÉ MARTÍNEZ VILCHIS, MARÍA DEL ROSARIO MEJÍA AYALA, SHARON CRISTINA MORALES MARTÍNEZ, LU</w:t>
      </w:r>
      <w:r w:rsidRPr="002D04F5">
        <w:t>IS GUSTAVO PARRA NORIEGA Y GUADALUPE RAMÍREZ PEÑA</w:t>
      </w:r>
      <w:r w:rsidR="00AE4559">
        <w:t xml:space="preserve"> </w:t>
      </w:r>
      <w:r w:rsidR="00EC47E9">
        <w:t>(</w:t>
      </w:r>
      <w:r w:rsidR="00AE4559" w:rsidRPr="00AE4559">
        <w:t>AUSENCIA JUSTIFICADA</w:t>
      </w:r>
      <w:r w:rsidR="00EC47E9">
        <w:t>)</w:t>
      </w:r>
      <w:r w:rsidRPr="002D04F5">
        <w:t>, EN LA CUADRAGÉSIMA QUINTA SESIÓN ORDINARIA, CELEBRADA EL DIECISIETE DE DICIEMBRE DE DOS MIL VEINTICINCO, ANTE EL SECRETARIO TÉCNICO DEL PLENO, ALEXIS TAPIA RAMÍREZ.</w:t>
      </w:r>
    </w:p>
    <w:p w14:paraId="0B3026B4" w14:textId="77777777" w:rsidR="00A34AEB" w:rsidRDefault="00A34AEB">
      <w:pPr>
        <w:pStyle w:val="Ttulo2"/>
        <w:spacing w:before="0" w:after="0"/>
        <w:rPr>
          <w:b w:val="0"/>
          <w:bCs w:val="0"/>
        </w:rPr>
      </w:pPr>
    </w:p>
    <w:p w14:paraId="51496E47" w14:textId="77777777" w:rsidR="00A34AEB" w:rsidRDefault="00A34AEB">
      <w:pPr>
        <w:spacing w:after="0" w:line="360" w:lineRule="auto"/>
      </w:pPr>
    </w:p>
    <w:p w14:paraId="09187E0D" w14:textId="77777777" w:rsidR="00A34AEB" w:rsidRDefault="00A34AEB">
      <w:pPr>
        <w:spacing w:after="0" w:line="360" w:lineRule="auto"/>
      </w:pPr>
    </w:p>
    <w:p w14:paraId="0BA86D8D" w14:textId="77777777" w:rsidR="00A34AEB" w:rsidRDefault="00A34AEB">
      <w:pPr>
        <w:spacing w:after="0" w:line="360" w:lineRule="auto"/>
      </w:pPr>
    </w:p>
    <w:p w14:paraId="577F6FDF" w14:textId="77777777" w:rsidR="00A34AEB" w:rsidRDefault="00A34AEB">
      <w:pPr>
        <w:spacing w:after="0" w:line="360" w:lineRule="auto"/>
      </w:pPr>
    </w:p>
    <w:p w14:paraId="4EF399F3" w14:textId="77777777" w:rsidR="00A34AEB" w:rsidRDefault="00A34AEB">
      <w:pPr>
        <w:spacing w:after="0" w:line="360" w:lineRule="auto"/>
      </w:pPr>
    </w:p>
    <w:p w14:paraId="7265D43E" w14:textId="77777777" w:rsidR="00A34AEB" w:rsidRDefault="00A34AEB">
      <w:pPr>
        <w:spacing w:after="0" w:line="360" w:lineRule="auto"/>
      </w:pPr>
    </w:p>
    <w:p w14:paraId="478C4DFA" w14:textId="77777777" w:rsidR="00A34AEB" w:rsidRDefault="00A34AEB">
      <w:pPr>
        <w:spacing w:after="0" w:line="360" w:lineRule="auto"/>
      </w:pPr>
    </w:p>
    <w:p w14:paraId="6C98489C" w14:textId="77777777" w:rsidR="00A34AEB" w:rsidRDefault="00A34AEB">
      <w:pPr>
        <w:spacing w:after="0" w:line="360" w:lineRule="auto"/>
      </w:pPr>
    </w:p>
    <w:p w14:paraId="29266BE1" w14:textId="77777777" w:rsidR="00A34AEB" w:rsidRDefault="00A34AEB">
      <w:pPr>
        <w:spacing w:after="0" w:line="360" w:lineRule="auto"/>
      </w:pPr>
    </w:p>
    <w:p w14:paraId="42055D19" w14:textId="77777777" w:rsidR="00A34AEB" w:rsidRDefault="00A34AEB">
      <w:pPr>
        <w:spacing w:after="0" w:line="360" w:lineRule="auto"/>
      </w:pPr>
    </w:p>
    <w:p w14:paraId="62D1510F" w14:textId="77777777" w:rsidR="00A34AEB" w:rsidRDefault="00A34AEB">
      <w:pPr>
        <w:spacing w:after="0" w:line="360" w:lineRule="auto"/>
      </w:pPr>
    </w:p>
    <w:p w14:paraId="131FA982" w14:textId="77777777" w:rsidR="00A34AEB" w:rsidRDefault="00A34AEB">
      <w:pPr>
        <w:spacing w:after="0" w:line="360" w:lineRule="auto"/>
      </w:pPr>
    </w:p>
    <w:p w14:paraId="40B699C6" w14:textId="77777777" w:rsidR="00A34AEB" w:rsidRDefault="00A34AEB">
      <w:pPr>
        <w:spacing w:after="0" w:line="360" w:lineRule="auto"/>
      </w:pPr>
    </w:p>
    <w:p w14:paraId="38360796" w14:textId="77777777" w:rsidR="00A34AEB" w:rsidRDefault="00A34AEB">
      <w:pPr>
        <w:spacing w:after="0" w:line="360" w:lineRule="auto"/>
      </w:pPr>
    </w:p>
    <w:p w14:paraId="0BCDEA59" w14:textId="77777777" w:rsidR="00A34AEB" w:rsidRDefault="00A34AEB">
      <w:pPr>
        <w:spacing w:after="0" w:line="360" w:lineRule="auto"/>
      </w:pPr>
    </w:p>
    <w:p w14:paraId="75A41E89" w14:textId="77777777" w:rsidR="00A34AEB" w:rsidRDefault="00A34AEB">
      <w:pPr>
        <w:spacing w:after="0" w:line="360" w:lineRule="auto"/>
      </w:pPr>
    </w:p>
    <w:p w14:paraId="3434758A" w14:textId="77777777" w:rsidR="00A34AEB" w:rsidRDefault="00A34AEB">
      <w:pPr>
        <w:spacing w:after="0" w:line="360" w:lineRule="auto"/>
      </w:pPr>
    </w:p>
    <w:p w14:paraId="5B8E0E11" w14:textId="77777777" w:rsidR="00A34AEB" w:rsidRDefault="00A34AEB">
      <w:pPr>
        <w:spacing w:after="0" w:line="360" w:lineRule="auto"/>
      </w:pPr>
    </w:p>
    <w:p w14:paraId="73BE8155" w14:textId="77777777" w:rsidR="00A34AEB" w:rsidRDefault="00A34AEB">
      <w:pPr>
        <w:spacing w:after="0" w:line="360" w:lineRule="auto"/>
      </w:pPr>
    </w:p>
    <w:p w14:paraId="6E748DF1" w14:textId="77777777" w:rsidR="00A34AEB" w:rsidRDefault="00A34AEB">
      <w:pPr>
        <w:spacing w:after="0" w:line="360" w:lineRule="auto"/>
      </w:pPr>
    </w:p>
    <w:p w14:paraId="08763E55" w14:textId="77777777" w:rsidR="00A34AEB" w:rsidRDefault="00A34AEB">
      <w:pPr>
        <w:spacing w:after="0" w:line="360" w:lineRule="auto"/>
      </w:pPr>
    </w:p>
    <w:p w14:paraId="3B41E605" w14:textId="77777777" w:rsidR="00A34AEB" w:rsidRDefault="00A34AEB">
      <w:pPr>
        <w:spacing w:after="0" w:line="360" w:lineRule="auto"/>
      </w:pPr>
    </w:p>
    <w:p w14:paraId="6A222EEC" w14:textId="77777777" w:rsidR="00A34AEB" w:rsidRDefault="00A34AEB">
      <w:pPr>
        <w:spacing w:after="0" w:line="360" w:lineRule="auto"/>
      </w:pPr>
    </w:p>
    <w:p w14:paraId="3C6EFD29" w14:textId="77777777" w:rsidR="00A34AEB" w:rsidRDefault="00A34AEB">
      <w:pPr>
        <w:spacing w:after="0" w:line="360" w:lineRule="auto"/>
      </w:pPr>
    </w:p>
    <w:p w14:paraId="08F2D72E" w14:textId="77777777" w:rsidR="00A34AEB" w:rsidRDefault="00A34AEB">
      <w:pPr>
        <w:spacing w:after="0" w:line="360" w:lineRule="auto"/>
      </w:pPr>
    </w:p>
    <w:p w14:paraId="6735A58C" w14:textId="77777777" w:rsidR="00A34AEB" w:rsidRDefault="00A34AEB">
      <w:pPr>
        <w:spacing w:after="0" w:line="360" w:lineRule="auto"/>
      </w:pPr>
    </w:p>
    <w:p w14:paraId="101CE1A6" w14:textId="77777777" w:rsidR="00A34AEB" w:rsidRDefault="00A34AEB">
      <w:pPr>
        <w:spacing w:after="0" w:line="360" w:lineRule="auto"/>
      </w:pPr>
    </w:p>
    <w:sectPr w:rsidR="00A34AEB">
      <w:headerReference w:type="even" r:id="rId11"/>
      <w:headerReference w:type="default" r:id="rId12"/>
      <w:footerReference w:type="even" r:id="rId13"/>
      <w:footerReference w:type="default" r:id="rId14"/>
      <w:headerReference w:type="first" r:id="rId15"/>
      <w:footerReference w:type="first" r:id="rId16"/>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A0509B" w14:textId="77777777" w:rsidR="005B69C2" w:rsidRDefault="005B69C2">
      <w:pPr>
        <w:spacing w:after="0" w:line="240" w:lineRule="auto"/>
      </w:pPr>
      <w:r>
        <w:separator/>
      </w:r>
    </w:p>
  </w:endnote>
  <w:endnote w:type="continuationSeparator" w:id="0">
    <w:p w14:paraId="422C18F9" w14:textId="77777777" w:rsidR="005B69C2" w:rsidRDefault="005B69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37CABC11-69D8-4DF9-A652-85D335078653}"/>
    <w:embedItalic r:id="rId2" w:fontKey="{8ADE2664-B8F4-49F7-A71B-E55F8F6A3B0B}"/>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3" w:fontKey="{C6A096CC-B44C-4DC8-AF00-029AFFE8B934}"/>
    <w:embedBold r:id="rId4" w:fontKey="{10F3E2C6-3B92-4BBD-91B7-72B8EE16E56E}"/>
    <w:embedItalic r:id="rId5" w:fontKey="{1B0874B6-A1C7-4B26-A4D7-6633A3E533F6}"/>
    <w:embedBoldItalic r:id="rId6" w:fontKey="{9EF71B8C-8D9E-48DD-B89D-C97A151000E4}"/>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1E8C3C10-7920-4710-B9FC-0BE3B0743281}"/>
  </w:font>
  <w:font w:name="Georgia">
    <w:panose1 w:val="02040502050405020303"/>
    <w:charset w:val="00"/>
    <w:family w:val="roman"/>
    <w:pitch w:val="variable"/>
    <w:sig w:usb0="00000287" w:usb1="00000000" w:usb2="00000000" w:usb3="00000000" w:csb0="0000009F" w:csb1="00000000"/>
    <w:embedItalic r:id="rId8" w:fontKey="{B538772C-1127-4E92-B1BA-C9371D3D9CBD}"/>
  </w:font>
  <w:font w:name="Calibri">
    <w:panose1 w:val="020F0502020204030204"/>
    <w:charset w:val="00"/>
    <w:family w:val="swiss"/>
    <w:pitch w:val="variable"/>
    <w:sig w:usb0="E4002EFF" w:usb1="C200247B" w:usb2="00000009" w:usb3="00000000" w:csb0="000001FF" w:csb1="00000000"/>
    <w:embedRegular r:id="rId9" w:fontKey="{480604CF-DCB3-43B4-B1C2-FA15B72816B9}"/>
  </w:font>
  <w:font w:name="Garamond">
    <w:panose1 w:val="02020404030301010803"/>
    <w:charset w:val="00"/>
    <w:family w:val="roman"/>
    <w:pitch w:val="variable"/>
    <w:sig w:usb0="00000287" w:usb1="00000000" w:usb2="00000000" w:usb3="00000000" w:csb0="0000009F" w:csb1="00000000"/>
    <w:embedRegular r:id="rId10" w:fontKey="{35890698-FC64-49F2-9128-6EE4F0FCF3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E2EF2" w14:textId="77777777" w:rsidR="00A34AEB" w:rsidRDefault="005B69C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B4239B">
      <w:rPr>
        <w:b/>
        <w:bCs/>
        <w:color w:val="000000"/>
        <w:sz w:val="24"/>
        <w:szCs w:val="24"/>
      </w:rPr>
      <w:fldChar w:fldCharType="separate"/>
    </w:r>
    <w:r w:rsidR="00B4239B">
      <w:rPr>
        <w:b/>
        <w:bCs/>
        <w:noProof/>
        <w:color w:val="000000"/>
        <w:sz w:val="24"/>
        <w:szCs w:val="24"/>
      </w:rPr>
      <w:t>19</w:t>
    </w:r>
    <w:r>
      <w:rPr>
        <w:b/>
        <w:bCs/>
        <w:color w:val="000000"/>
        <w:sz w:val="24"/>
        <w:szCs w:val="24"/>
      </w:rPr>
      <w:fldChar w:fldCharType="end"/>
    </w:r>
  </w:p>
  <w:p w14:paraId="1D0BAFDD" w14:textId="77777777" w:rsidR="00A34AEB" w:rsidRDefault="00A34AEB">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22AC8" w14:textId="77777777" w:rsidR="00A34AEB" w:rsidRDefault="005B69C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B4239B">
      <w:rPr>
        <w:b/>
        <w:bCs/>
        <w:noProof/>
        <w:color w:val="000000"/>
        <w:sz w:val="24"/>
        <w:szCs w:val="24"/>
      </w:rPr>
      <w:t>18</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B4239B">
      <w:rPr>
        <w:b/>
        <w:bCs/>
        <w:noProof/>
        <w:color w:val="000000"/>
        <w:sz w:val="24"/>
        <w:szCs w:val="24"/>
      </w:rPr>
      <w:t>19</w:t>
    </w:r>
    <w:r>
      <w:rPr>
        <w:b/>
        <w:bCs/>
        <w:color w:val="000000"/>
        <w:sz w:val="24"/>
        <w:szCs w:val="24"/>
      </w:rPr>
      <w:fldChar w:fldCharType="end"/>
    </w:r>
  </w:p>
  <w:p w14:paraId="0D20153F" w14:textId="77777777" w:rsidR="00A34AEB" w:rsidRDefault="00A34AEB">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35436" w14:textId="77777777" w:rsidR="00A34AEB" w:rsidRDefault="005B69C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B4239B">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B4239B">
      <w:rPr>
        <w:b/>
        <w:bCs/>
        <w:noProof/>
        <w:color w:val="000000"/>
        <w:sz w:val="24"/>
        <w:szCs w:val="24"/>
      </w:rPr>
      <w:t>19</w:t>
    </w:r>
    <w:r>
      <w:rPr>
        <w:b/>
        <w:bCs/>
        <w:color w:val="000000"/>
        <w:sz w:val="24"/>
        <w:szCs w:val="24"/>
      </w:rPr>
      <w:fldChar w:fldCharType="end"/>
    </w:r>
  </w:p>
  <w:p w14:paraId="7B3295AC" w14:textId="77777777" w:rsidR="00A34AEB" w:rsidRDefault="00A34AEB">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B94AAD" w14:textId="77777777" w:rsidR="005B69C2" w:rsidRDefault="005B69C2">
      <w:pPr>
        <w:spacing w:after="0" w:line="240" w:lineRule="auto"/>
      </w:pPr>
      <w:r>
        <w:separator/>
      </w:r>
    </w:p>
  </w:footnote>
  <w:footnote w:type="continuationSeparator" w:id="0">
    <w:p w14:paraId="324C6F5B" w14:textId="77777777" w:rsidR="005B69C2" w:rsidRDefault="005B69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C903A" w14:textId="77777777" w:rsidR="00A34AEB" w:rsidRDefault="00A34AEB">
    <w:pPr>
      <w:widowControl w:val="0"/>
      <w:pBdr>
        <w:top w:val="nil"/>
        <w:left w:val="nil"/>
        <w:bottom w:val="nil"/>
        <w:right w:val="nil"/>
        <w:between w:val="nil"/>
      </w:pBdr>
      <w:spacing w:after="0" w:line="276" w:lineRule="auto"/>
      <w:jc w:val="left"/>
      <w:rPr>
        <w:color w:val="000000"/>
      </w:rPr>
    </w:pPr>
  </w:p>
  <w:tbl>
    <w:tblPr>
      <w:tblStyle w:val="afffffc"/>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A34AEB" w14:paraId="4132365E" w14:textId="77777777">
      <w:trPr>
        <w:trHeight w:val="141"/>
      </w:trPr>
      <w:tc>
        <w:tcPr>
          <w:tcW w:w="2404" w:type="dxa"/>
        </w:tcPr>
        <w:p w14:paraId="0BA5C808" w14:textId="77777777" w:rsidR="00A34AEB" w:rsidRDefault="005B69C2">
          <w:pPr>
            <w:tabs>
              <w:tab w:val="right" w:pos="8838"/>
            </w:tabs>
            <w:ind w:right="-105"/>
            <w:rPr>
              <w:b/>
              <w:bCs/>
            </w:rPr>
          </w:pPr>
          <w:r>
            <w:rPr>
              <w:b/>
              <w:bCs/>
            </w:rPr>
            <w:t>Recurso de Revisión:</w:t>
          </w:r>
        </w:p>
      </w:tc>
      <w:tc>
        <w:tcPr>
          <w:tcW w:w="3587" w:type="dxa"/>
        </w:tcPr>
        <w:p w14:paraId="71F78EE7" w14:textId="77777777" w:rsidR="00A34AEB" w:rsidRDefault="005B69C2">
          <w:pPr>
            <w:tabs>
              <w:tab w:val="right" w:pos="8838"/>
            </w:tabs>
            <w:ind w:left="-28" w:right="683"/>
          </w:pPr>
          <w:r>
            <w:t>04196/INFOEM/IP/RR/2020</w:t>
          </w:r>
        </w:p>
      </w:tc>
    </w:tr>
    <w:tr w:rsidR="00A34AEB" w14:paraId="0FA5482F" w14:textId="77777777">
      <w:trPr>
        <w:trHeight w:val="276"/>
      </w:trPr>
      <w:tc>
        <w:tcPr>
          <w:tcW w:w="2404" w:type="dxa"/>
        </w:tcPr>
        <w:p w14:paraId="3E5C9721" w14:textId="77777777" w:rsidR="00A34AEB" w:rsidRDefault="005B69C2">
          <w:pPr>
            <w:tabs>
              <w:tab w:val="right" w:pos="8838"/>
            </w:tabs>
            <w:ind w:right="-105"/>
            <w:rPr>
              <w:b/>
              <w:bCs/>
            </w:rPr>
          </w:pPr>
          <w:r>
            <w:rPr>
              <w:b/>
              <w:bCs/>
            </w:rPr>
            <w:t>Sujeto Obligado:</w:t>
          </w:r>
        </w:p>
      </w:tc>
      <w:tc>
        <w:tcPr>
          <w:tcW w:w="3587" w:type="dxa"/>
        </w:tcPr>
        <w:p w14:paraId="011EA4CF" w14:textId="77777777" w:rsidR="00A34AEB" w:rsidRDefault="005B69C2">
          <w:pPr>
            <w:tabs>
              <w:tab w:val="right" w:pos="8838"/>
            </w:tabs>
            <w:ind w:right="116"/>
          </w:pPr>
          <w:r>
            <w:t>Ayuntamiento de Chapultepec</w:t>
          </w:r>
        </w:p>
      </w:tc>
    </w:tr>
    <w:tr w:rsidR="00A34AEB" w14:paraId="52BC5300" w14:textId="77777777">
      <w:trPr>
        <w:trHeight w:val="276"/>
      </w:trPr>
      <w:tc>
        <w:tcPr>
          <w:tcW w:w="2404" w:type="dxa"/>
        </w:tcPr>
        <w:p w14:paraId="52CEE248" w14:textId="77777777" w:rsidR="00A34AEB" w:rsidRDefault="005B69C2">
          <w:pPr>
            <w:tabs>
              <w:tab w:val="right" w:pos="8838"/>
            </w:tabs>
            <w:ind w:right="-105"/>
            <w:rPr>
              <w:b/>
              <w:bCs/>
            </w:rPr>
          </w:pPr>
          <w:r>
            <w:rPr>
              <w:b/>
              <w:bCs/>
            </w:rPr>
            <w:t>Comisionado Ponente:</w:t>
          </w:r>
        </w:p>
      </w:tc>
      <w:tc>
        <w:tcPr>
          <w:tcW w:w="3587" w:type="dxa"/>
        </w:tcPr>
        <w:p w14:paraId="65CBB3C4" w14:textId="77777777" w:rsidR="00A34AEB" w:rsidRDefault="005B69C2">
          <w:pPr>
            <w:tabs>
              <w:tab w:val="right" w:pos="8838"/>
            </w:tabs>
            <w:ind w:right="-32"/>
          </w:pPr>
          <w:r>
            <w:t>Luis Gustavo Parra Noriega</w:t>
          </w:r>
        </w:p>
      </w:tc>
    </w:tr>
  </w:tbl>
  <w:p w14:paraId="1DC8F6F3" w14:textId="77777777" w:rsidR="00A34AEB" w:rsidRDefault="005B69C2">
    <w:pPr>
      <w:pBdr>
        <w:top w:val="nil"/>
        <w:left w:val="nil"/>
        <w:bottom w:val="nil"/>
        <w:right w:val="nil"/>
        <w:between w:val="nil"/>
      </w:pBdr>
      <w:tabs>
        <w:tab w:val="center" w:pos="4419"/>
        <w:tab w:val="right" w:pos="8838"/>
      </w:tabs>
      <w:spacing w:after="0" w:line="240" w:lineRule="auto"/>
      <w:rPr>
        <w:color w:val="000000"/>
      </w:rPr>
    </w:pPr>
    <w:r>
      <w:rPr>
        <w:color w:val="000000"/>
      </w:rPr>
      <w:pict w14:anchorId="6DD3EF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F571E" w14:textId="77777777" w:rsidR="00A34AEB" w:rsidRDefault="00A34AEB">
    <w:pPr>
      <w:rPr>
        <w:sz w:val="16"/>
        <w:szCs w:val="16"/>
      </w:rPr>
    </w:pPr>
  </w:p>
  <w:tbl>
    <w:tblPr>
      <w:tblStyle w:val="afffffd"/>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A34AEB" w14:paraId="61772065" w14:textId="77777777">
      <w:trPr>
        <w:trHeight w:val="141"/>
      </w:trPr>
      <w:tc>
        <w:tcPr>
          <w:tcW w:w="2409" w:type="dxa"/>
        </w:tcPr>
        <w:p w14:paraId="059DDD0A" w14:textId="77777777" w:rsidR="00A34AEB" w:rsidRDefault="005B69C2">
          <w:pPr>
            <w:tabs>
              <w:tab w:val="right" w:pos="8838"/>
            </w:tabs>
            <w:ind w:left="-395" w:right="-105" w:firstLine="395"/>
            <w:rPr>
              <w:b/>
              <w:bCs/>
            </w:rPr>
          </w:pPr>
          <w:r>
            <w:rPr>
              <w:b/>
              <w:bCs/>
            </w:rPr>
            <w:t>Recurso de Revisión:</w:t>
          </w:r>
        </w:p>
      </w:tc>
      <w:tc>
        <w:tcPr>
          <w:tcW w:w="3686" w:type="dxa"/>
        </w:tcPr>
        <w:p w14:paraId="14357285" w14:textId="77777777" w:rsidR="00A34AEB" w:rsidRPr="00AB32D2" w:rsidRDefault="005B69C2">
          <w:pPr>
            <w:tabs>
              <w:tab w:val="right" w:pos="8838"/>
            </w:tabs>
            <w:ind w:right="176"/>
          </w:pPr>
          <w:r w:rsidRPr="00AB32D2">
            <w:t>07591/INFOEM/IP/RR/2025</w:t>
          </w:r>
        </w:p>
      </w:tc>
    </w:tr>
    <w:tr w:rsidR="00A34AEB" w14:paraId="06023654" w14:textId="77777777">
      <w:trPr>
        <w:trHeight w:val="266"/>
      </w:trPr>
      <w:tc>
        <w:tcPr>
          <w:tcW w:w="2409" w:type="dxa"/>
        </w:tcPr>
        <w:p w14:paraId="3222B8DB" w14:textId="77777777" w:rsidR="00A34AEB" w:rsidRDefault="005B69C2">
          <w:pPr>
            <w:tabs>
              <w:tab w:val="right" w:pos="8838"/>
            </w:tabs>
            <w:ind w:right="-105"/>
            <w:rPr>
              <w:b/>
              <w:bCs/>
            </w:rPr>
          </w:pPr>
          <w:r>
            <w:rPr>
              <w:b/>
              <w:bCs/>
            </w:rPr>
            <w:t>Sujeto Obligado:</w:t>
          </w:r>
        </w:p>
      </w:tc>
      <w:tc>
        <w:tcPr>
          <w:tcW w:w="3686" w:type="dxa"/>
        </w:tcPr>
        <w:p w14:paraId="791A6E31" w14:textId="77777777" w:rsidR="00A34AEB" w:rsidRDefault="005B69C2">
          <w:pPr>
            <w:tabs>
              <w:tab w:val="left" w:pos="3158"/>
              <w:tab w:val="left" w:pos="4292"/>
              <w:tab w:val="right" w:pos="8838"/>
            </w:tabs>
            <w:ind w:right="176"/>
          </w:pPr>
          <w:r>
            <w:t>Ayuntamiento de Atlacomulco</w:t>
          </w:r>
        </w:p>
      </w:tc>
    </w:tr>
    <w:tr w:rsidR="00A34AEB" w14:paraId="22FADC1E" w14:textId="77777777">
      <w:trPr>
        <w:trHeight w:val="276"/>
      </w:trPr>
      <w:tc>
        <w:tcPr>
          <w:tcW w:w="2409" w:type="dxa"/>
        </w:tcPr>
        <w:p w14:paraId="1DEAF6FB" w14:textId="77777777" w:rsidR="00A34AEB" w:rsidRDefault="005B69C2">
          <w:pPr>
            <w:tabs>
              <w:tab w:val="right" w:pos="8838"/>
            </w:tabs>
            <w:ind w:right="-105"/>
            <w:rPr>
              <w:b/>
              <w:bCs/>
            </w:rPr>
          </w:pPr>
          <w:r>
            <w:rPr>
              <w:b/>
              <w:bCs/>
            </w:rPr>
            <w:t>Comisionado Ponente:</w:t>
          </w:r>
        </w:p>
      </w:tc>
      <w:tc>
        <w:tcPr>
          <w:tcW w:w="3686" w:type="dxa"/>
        </w:tcPr>
        <w:p w14:paraId="5A11B314" w14:textId="77777777" w:rsidR="00A34AEB" w:rsidRDefault="005B69C2">
          <w:pPr>
            <w:tabs>
              <w:tab w:val="right" w:pos="8838"/>
            </w:tabs>
            <w:ind w:right="176"/>
          </w:pPr>
          <w:r>
            <w:t>Luis Gustavo Parra Noriega</w:t>
          </w:r>
        </w:p>
        <w:p w14:paraId="740FF36F" w14:textId="77777777" w:rsidR="00A34AEB" w:rsidRDefault="00A34AEB">
          <w:pPr>
            <w:tabs>
              <w:tab w:val="right" w:pos="8838"/>
            </w:tabs>
            <w:ind w:right="176"/>
          </w:pPr>
        </w:p>
      </w:tc>
    </w:tr>
  </w:tbl>
  <w:p w14:paraId="0CDB28DE" w14:textId="77777777" w:rsidR="00A34AEB" w:rsidRDefault="005B69C2">
    <w:pPr>
      <w:pBdr>
        <w:top w:val="nil"/>
        <w:left w:val="nil"/>
        <w:bottom w:val="nil"/>
        <w:right w:val="nil"/>
        <w:between w:val="nil"/>
      </w:pBdr>
      <w:tabs>
        <w:tab w:val="center" w:pos="4419"/>
        <w:tab w:val="right" w:pos="8838"/>
      </w:tabs>
      <w:spacing w:after="0" w:line="240" w:lineRule="auto"/>
      <w:rPr>
        <w:color w:val="000000"/>
      </w:rPr>
    </w:pPr>
    <w:r>
      <w:rPr>
        <w:color w:val="000000"/>
      </w:rPr>
      <w:pict w14:anchorId="76A4C0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78A7E" w14:textId="77777777" w:rsidR="00A34AEB" w:rsidRDefault="005B69C2">
    <w:pPr>
      <w:widowControl w:val="0"/>
      <w:pBdr>
        <w:top w:val="nil"/>
        <w:left w:val="nil"/>
        <w:bottom w:val="nil"/>
        <w:right w:val="nil"/>
        <w:between w:val="nil"/>
      </w:pBdr>
      <w:spacing w:after="0" w:line="276" w:lineRule="auto"/>
      <w:jc w:val="left"/>
      <w:rPr>
        <w:color w:val="000000"/>
      </w:rPr>
    </w:pPr>
    <w:r>
      <w:rPr>
        <w:color w:val="000000"/>
      </w:rPr>
      <w:pict w14:anchorId="298C27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margin-left:-97.1pt;margin-top:-123.85pt;width:663.5pt;height:12in;z-index:-251658752;mso-position-horizontal:absolute;mso-position-horizontal-relative:margin;mso-position-vertical:absolute;mso-position-vertical-relative:margin">
          <v:imagedata r:id="rId1" o:title="image1"/>
          <w10:wrap anchorx="margin" anchory="margin"/>
        </v:shape>
      </w:pict>
    </w:r>
  </w:p>
  <w:tbl>
    <w:tblPr>
      <w:tblStyle w:val="afffffe"/>
      <w:tblW w:w="9214" w:type="dxa"/>
      <w:tblInd w:w="0" w:type="dxa"/>
      <w:tblLayout w:type="fixed"/>
      <w:tblLook w:val="0400" w:firstRow="0" w:lastRow="0" w:firstColumn="0" w:lastColumn="0" w:noHBand="0" w:noVBand="1"/>
    </w:tblPr>
    <w:tblGrid>
      <w:gridCol w:w="2127"/>
      <w:gridCol w:w="7087"/>
    </w:tblGrid>
    <w:tr w:rsidR="00A34AEB" w14:paraId="21308778" w14:textId="77777777">
      <w:trPr>
        <w:trHeight w:val="1546"/>
      </w:trPr>
      <w:tc>
        <w:tcPr>
          <w:tcW w:w="2127" w:type="dxa"/>
        </w:tcPr>
        <w:p w14:paraId="2178FC1C" w14:textId="77777777" w:rsidR="00A34AEB" w:rsidRDefault="00A34AEB">
          <w:pPr>
            <w:tabs>
              <w:tab w:val="right" w:pos="4273"/>
            </w:tabs>
            <w:rPr>
              <w:rFonts w:ascii="Garamond" w:eastAsia="Garamond" w:hAnsi="Garamond" w:cs="Garamond"/>
              <w:sz w:val="16"/>
              <w:szCs w:val="16"/>
            </w:rPr>
          </w:pPr>
        </w:p>
      </w:tc>
      <w:tc>
        <w:tcPr>
          <w:tcW w:w="7087" w:type="dxa"/>
        </w:tcPr>
        <w:p w14:paraId="396C8D12" w14:textId="77777777" w:rsidR="00A34AEB" w:rsidRDefault="00A34AEB">
          <w:pPr>
            <w:rPr>
              <w:sz w:val="10"/>
              <w:szCs w:val="10"/>
            </w:rPr>
          </w:pPr>
        </w:p>
        <w:tbl>
          <w:tblPr>
            <w:tblStyle w:val="affffff"/>
            <w:tblW w:w="5812" w:type="dxa"/>
            <w:tblInd w:w="1167" w:type="dxa"/>
            <w:tblLayout w:type="fixed"/>
            <w:tblLook w:val="0400" w:firstRow="0" w:lastRow="0" w:firstColumn="0" w:lastColumn="0" w:noHBand="0" w:noVBand="1"/>
          </w:tblPr>
          <w:tblGrid>
            <w:gridCol w:w="2410"/>
            <w:gridCol w:w="3402"/>
          </w:tblGrid>
          <w:tr w:rsidR="00A34AEB" w14:paraId="354ACA46" w14:textId="77777777">
            <w:trPr>
              <w:trHeight w:val="427"/>
            </w:trPr>
            <w:tc>
              <w:tcPr>
                <w:tcW w:w="2410" w:type="dxa"/>
                <w:vAlign w:val="bottom"/>
              </w:tcPr>
              <w:p w14:paraId="146CCFA5" w14:textId="77777777" w:rsidR="00A34AEB" w:rsidRDefault="005B69C2">
                <w:pPr>
                  <w:tabs>
                    <w:tab w:val="right" w:pos="8838"/>
                  </w:tabs>
                  <w:ind w:right="-105"/>
                  <w:rPr>
                    <w:b/>
                    <w:bCs/>
                  </w:rPr>
                </w:pPr>
                <w:r>
                  <w:rPr>
                    <w:b/>
                    <w:bCs/>
                  </w:rPr>
                  <w:t>Recurso de Revisión:</w:t>
                </w:r>
              </w:p>
            </w:tc>
            <w:tc>
              <w:tcPr>
                <w:tcW w:w="3402" w:type="dxa"/>
              </w:tcPr>
              <w:p w14:paraId="2D66BA32" w14:textId="77777777" w:rsidR="00A34AEB" w:rsidRDefault="00A34AEB">
                <w:pPr>
                  <w:tabs>
                    <w:tab w:val="right" w:pos="8838"/>
                  </w:tabs>
                  <w:ind w:left="-28" w:right="-107"/>
                  <w:rPr>
                    <w:b/>
                    <w:bCs/>
                  </w:rPr>
                </w:pPr>
              </w:p>
              <w:p w14:paraId="5901CE0E" w14:textId="77777777" w:rsidR="00A34AEB" w:rsidRDefault="005B69C2">
                <w:pPr>
                  <w:tabs>
                    <w:tab w:val="right" w:pos="8838"/>
                  </w:tabs>
                  <w:ind w:left="-28" w:right="-107"/>
                  <w:rPr>
                    <w:b/>
                    <w:bCs/>
                  </w:rPr>
                </w:pPr>
                <w:r>
                  <w:rPr>
                    <w:b/>
                    <w:bCs/>
                  </w:rPr>
                  <w:t>07591/INFOEM/IP/RR/2025</w:t>
                </w:r>
              </w:p>
            </w:tc>
          </w:tr>
          <w:tr w:rsidR="00A34AEB" w14:paraId="4050F3E1" w14:textId="77777777">
            <w:trPr>
              <w:trHeight w:val="141"/>
            </w:trPr>
            <w:tc>
              <w:tcPr>
                <w:tcW w:w="2410" w:type="dxa"/>
              </w:tcPr>
              <w:p w14:paraId="113EBB72" w14:textId="77777777" w:rsidR="00A34AEB" w:rsidRDefault="005B69C2">
                <w:pPr>
                  <w:tabs>
                    <w:tab w:val="right" w:pos="8838"/>
                  </w:tabs>
                  <w:ind w:right="-105"/>
                  <w:rPr>
                    <w:b/>
                    <w:bCs/>
                  </w:rPr>
                </w:pPr>
                <w:r>
                  <w:rPr>
                    <w:b/>
                    <w:bCs/>
                  </w:rPr>
                  <w:t>Recurrente:</w:t>
                </w:r>
              </w:p>
            </w:tc>
            <w:tc>
              <w:tcPr>
                <w:tcW w:w="3402" w:type="dxa"/>
              </w:tcPr>
              <w:p w14:paraId="2EA9B9FD" w14:textId="77777777" w:rsidR="00A34AEB" w:rsidRDefault="00A34AEB">
                <w:pPr>
                  <w:tabs>
                    <w:tab w:val="right" w:pos="8838"/>
                  </w:tabs>
                  <w:ind w:right="-107"/>
                </w:pPr>
              </w:p>
            </w:tc>
          </w:tr>
          <w:tr w:rsidR="00A34AEB" w14:paraId="09F7BA2D" w14:textId="77777777">
            <w:trPr>
              <w:trHeight w:val="276"/>
            </w:trPr>
            <w:tc>
              <w:tcPr>
                <w:tcW w:w="2410" w:type="dxa"/>
              </w:tcPr>
              <w:p w14:paraId="7CA8D7D3" w14:textId="77777777" w:rsidR="00A34AEB" w:rsidRDefault="005B69C2">
                <w:pPr>
                  <w:tabs>
                    <w:tab w:val="right" w:pos="8838"/>
                  </w:tabs>
                  <w:ind w:right="-105"/>
                  <w:rPr>
                    <w:b/>
                    <w:bCs/>
                  </w:rPr>
                </w:pPr>
                <w:r>
                  <w:rPr>
                    <w:b/>
                    <w:bCs/>
                  </w:rPr>
                  <w:t>Sujeto Obligado:</w:t>
                </w:r>
              </w:p>
            </w:tc>
            <w:tc>
              <w:tcPr>
                <w:tcW w:w="3402" w:type="dxa"/>
              </w:tcPr>
              <w:p w14:paraId="746CB8BA" w14:textId="77777777" w:rsidR="00A34AEB" w:rsidRDefault="005B69C2">
                <w:pPr>
                  <w:tabs>
                    <w:tab w:val="right" w:pos="8838"/>
                  </w:tabs>
                  <w:ind w:right="33"/>
                </w:pPr>
                <w:r>
                  <w:t>Ayuntamiento de Atlacomulco</w:t>
                </w:r>
              </w:p>
            </w:tc>
          </w:tr>
          <w:tr w:rsidR="00A34AEB" w14:paraId="2798F300" w14:textId="77777777">
            <w:trPr>
              <w:trHeight w:val="276"/>
            </w:trPr>
            <w:tc>
              <w:tcPr>
                <w:tcW w:w="2410" w:type="dxa"/>
              </w:tcPr>
              <w:p w14:paraId="7FADF489" w14:textId="77777777" w:rsidR="00A34AEB" w:rsidRDefault="005B69C2">
                <w:pPr>
                  <w:tabs>
                    <w:tab w:val="right" w:pos="8838"/>
                  </w:tabs>
                  <w:ind w:right="-105"/>
                  <w:rPr>
                    <w:b/>
                    <w:bCs/>
                  </w:rPr>
                </w:pPr>
                <w:r>
                  <w:rPr>
                    <w:b/>
                    <w:bCs/>
                  </w:rPr>
                  <w:t>Comisionado Ponente:</w:t>
                </w:r>
              </w:p>
            </w:tc>
            <w:tc>
              <w:tcPr>
                <w:tcW w:w="3402" w:type="dxa"/>
              </w:tcPr>
              <w:p w14:paraId="4F8B21B5" w14:textId="77777777" w:rsidR="00A34AEB" w:rsidRDefault="005B69C2">
                <w:pPr>
                  <w:tabs>
                    <w:tab w:val="right" w:pos="8838"/>
                  </w:tabs>
                  <w:ind w:right="-107"/>
                </w:pPr>
                <w:r>
                  <w:t xml:space="preserve">Luis </w:t>
                </w:r>
                <w:r>
                  <w:t>Gustavo Parra Noriega</w:t>
                </w:r>
              </w:p>
            </w:tc>
          </w:tr>
        </w:tbl>
        <w:p w14:paraId="31AEFD19" w14:textId="77777777" w:rsidR="00A34AEB" w:rsidRDefault="00A34AEB">
          <w:pPr>
            <w:tabs>
              <w:tab w:val="right" w:pos="8838"/>
            </w:tabs>
            <w:ind w:left="-28"/>
            <w:rPr>
              <w:rFonts w:ascii="Arial" w:eastAsia="Arial" w:hAnsi="Arial" w:cs="Arial"/>
              <w:b/>
              <w:bCs/>
            </w:rPr>
          </w:pPr>
        </w:p>
      </w:tc>
    </w:tr>
  </w:tbl>
  <w:p w14:paraId="5DC9C2D6" w14:textId="77777777" w:rsidR="00A34AEB" w:rsidRDefault="00A34AEB">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24EF1"/>
    <w:multiLevelType w:val="multilevel"/>
    <w:tmpl w:val="957412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A8E26B5"/>
    <w:multiLevelType w:val="multilevel"/>
    <w:tmpl w:val="5952F6C4"/>
    <w:lvl w:ilvl="0">
      <w:start w:val="2"/>
      <w:numFmt w:val="bullet"/>
      <w:lvlText w:val="●"/>
      <w:lvlJc w:val="left"/>
      <w:pPr>
        <w:ind w:left="720" w:hanging="360"/>
      </w:pPr>
      <w:rPr>
        <w:rFonts w:ascii="Noto Sans Symbols" w:eastAsia="Noto Sans Symbols" w:hAnsi="Noto Sans Symbols" w:cs="Noto Sans Symbols"/>
        <w:i/>
        <w:iC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0634626"/>
    <w:multiLevelType w:val="multilevel"/>
    <w:tmpl w:val="A9E8D2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AEB"/>
    <w:rsid w:val="00140364"/>
    <w:rsid w:val="001F2F94"/>
    <w:rsid w:val="002D04F5"/>
    <w:rsid w:val="005B69C2"/>
    <w:rsid w:val="0089767F"/>
    <w:rsid w:val="00943297"/>
    <w:rsid w:val="00A34AEB"/>
    <w:rsid w:val="00AB32D2"/>
    <w:rsid w:val="00AB6398"/>
    <w:rsid w:val="00AE4559"/>
    <w:rsid w:val="00B4239B"/>
    <w:rsid w:val="00C036C4"/>
    <w:rsid w:val="00C10AA5"/>
    <w:rsid w:val="00EC47E9"/>
    <w:rsid w:val="00F31E13"/>
    <w:rsid w:val="00FE2F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EBACC3"/>
  <w15:docId w15:val="{62E0EA9D-41CF-4A2D-A74E-7D6BA663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1"/>
    <w:pPr>
      <w:spacing w:after="0" w:line="240" w:lineRule="auto"/>
    </w:pPr>
    <w:tblPr>
      <w:tblStyleRowBandSize w:val="1"/>
      <w:tblStyleColBandSize w:val="1"/>
      <w:tblCellMar>
        <w:left w:w="108" w:type="dxa"/>
        <w:right w:w="108" w:type="dxa"/>
      </w:tblCellMar>
    </w:tblPr>
  </w:style>
  <w:style w:type="table" w:customStyle="1" w:styleId="a0">
    <w:basedOn w:val="TableNormalf1"/>
    <w:pPr>
      <w:spacing w:after="0" w:line="240" w:lineRule="auto"/>
    </w:pPr>
    <w:tblPr>
      <w:tblStyleRowBandSize w:val="1"/>
      <w:tblStyleColBandSize w:val="1"/>
      <w:tblCellMar>
        <w:left w:w="108" w:type="dxa"/>
        <w:right w:w="108" w:type="dxa"/>
      </w:tblCellMar>
    </w:tblPr>
  </w:style>
  <w:style w:type="table" w:customStyle="1" w:styleId="a1">
    <w:basedOn w:val="TableNormalf1"/>
    <w:tblPr>
      <w:tblStyleRowBandSize w:val="1"/>
      <w:tblStyleColBandSize w:val="1"/>
      <w:tblCellMar>
        <w:left w:w="115" w:type="dxa"/>
        <w:right w:w="115" w:type="dxa"/>
      </w:tblCellMar>
    </w:tblPr>
  </w:style>
  <w:style w:type="table" w:customStyle="1" w:styleId="a2">
    <w:basedOn w:val="TableNormalf1"/>
    <w:pPr>
      <w:spacing w:after="0" w:line="240" w:lineRule="auto"/>
    </w:pPr>
    <w:tblPr>
      <w:tblStyleRowBandSize w:val="1"/>
      <w:tblStyleColBandSize w:val="1"/>
      <w:tblCellMar>
        <w:left w:w="108" w:type="dxa"/>
        <w:right w:w="108" w:type="dxa"/>
      </w:tblCellMar>
    </w:tblPr>
  </w:style>
  <w:style w:type="paragraph" w:styleId="Ttulode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1"/>
    <w:pPr>
      <w:spacing w:after="0" w:line="240" w:lineRule="auto"/>
    </w:pPr>
    <w:tblPr>
      <w:tblStyleRowBandSize w:val="1"/>
      <w:tblStyleColBandSize w:val="1"/>
      <w:tblCellMar>
        <w:left w:w="108" w:type="dxa"/>
        <w:right w:w="108" w:type="dxa"/>
      </w:tblCellMar>
    </w:tblPr>
  </w:style>
  <w:style w:type="table" w:customStyle="1" w:styleId="a4">
    <w:basedOn w:val="TableNormalf1"/>
    <w:pPr>
      <w:spacing w:after="0" w:line="240" w:lineRule="auto"/>
    </w:pPr>
    <w:tblPr>
      <w:tblStyleRowBandSize w:val="1"/>
      <w:tblStyleColBandSize w:val="1"/>
      <w:tblCellMar>
        <w:left w:w="108" w:type="dxa"/>
        <w:right w:w="108" w:type="dxa"/>
      </w:tblCellMar>
    </w:tblPr>
  </w:style>
  <w:style w:type="table" w:customStyle="1" w:styleId="a5">
    <w:basedOn w:val="TableNormalf1"/>
    <w:pPr>
      <w:spacing w:after="0" w:line="240" w:lineRule="auto"/>
    </w:pPr>
    <w:tblPr>
      <w:tblStyleRowBandSize w:val="1"/>
      <w:tblStyleColBandSize w:val="1"/>
      <w:tblCellMar>
        <w:left w:w="108" w:type="dxa"/>
        <w:right w:w="108" w:type="dxa"/>
      </w:tblCellMar>
    </w:tblPr>
  </w:style>
  <w:style w:type="table" w:customStyle="1" w:styleId="a6">
    <w:basedOn w:val="TableNormalf1"/>
    <w:pPr>
      <w:spacing w:after="0" w:line="240" w:lineRule="auto"/>
    </w:pPr>
    <w:tblPr>
      <w:tblStyleRowBandSize w:val="1"/>
      <w:tblStyleColBandSize w:val="1"/>
      <w:tblCellMar>
        <w:left w:w="108" w:type="dxa"/>
        <w:right w:w="108" w:type="dxa"/>
      </w:tblCellMar>
    </w:tblPr>
  </w:style>
  <w:style w:type="table" w:customStyle="1" w:styleId="a7">
    <w:basedOn w:val="TableNormalf0"/>
    <w:pPr>
      <w:spacing w:after="0" w:line="240" w:lineRule="auto"/>
    </w:pPr>
    <w:tblPr>
      <w:tblStyleRowBandSize w:val="1"/>
      <w:tblStyleColBandSize w:val="1"/>
      <w:tblCellMar>
        <w:left w:w="108" w:type="dxa"/>
        <w:right w:w="108" w:type="dxa"/>
      </w:tblCellMar>
    </w:tblPr>
  </w:style>
  <w:style w:type="table" w:customStyle="1" w:styleId="a8">
    <w:basedOn w:val="TableNormalf0"/>
    <w:pPr>
      <w:spacing w:after="0" w:line="240" w:lineRule="auto"/>
    </w:pPr>
    <w:tblPr>
      <w:tblStyleRowBandSize w:val="1"/>
      <w:tblStyleColBandSize w:val="1"/>
      <w:tblCellMar>
        <w:left w:w="108" w:type="dxa"/>
        <w:right w:w="108" w:type="dxa"/>
      </w:tblCellMar>
    </w:tblPr>
  </w:style>
  <w:style w:type="table" w:customStyle="1" w:styleId="a9">
    <w:basedOn w:val="TableNormalf0"/>
    <w:pPr>
      <w:spacing w:after="0" w:line="240" w:lineRule="auto"/>
    </w:pPr>
    <w:tblPr>
      <w:tblStyleRowBandSize w:val="1"/>
      <w:tblStyleColBandSize w:val="1"/>
      <w:tblCellMar>
        <w:left w:w="108" w:type="dxa"/>
        <w:right w:w="108" w:type="dxa"/>
      </w:tblCellMar>
    </w:tblPr>
  </w:style>
  <w:style w:type="table" w:customStyle="1" w:styleId="aa">
    <w:basedOn w:val="TableNormalf0"/>
    <w:pPr>
      <w:spacing w:after="0" w:line="240" w:lineRule="auto"/>
    </w:pPr>
    <w:tblPr>
      <w:tblStyleRowBandSize w:val="1"/>
      <w:tblStyleColBandSize w:val="1"/>
      <w:tblCellMar>
        <w:left w:w="108" w:type="dxa"/>
        <w:right w:w="108" w:type="dxa"/>
      </w:tblCellMar>
    </w:tblPr>
  </w:style>
  <w:style w:type="table" w:customStyle="1" w:styleId="ab">
    <w:basedOn w:val="TableNormalf"/>
    <w:pPr>
      <w:spacing w:after="0" w:line="240" w:lineRule="auto"/>
    </w:pPr>
    <w:tblPr>
      <w:tblStyleRowBandSize w:val="1"/>
      <w:tblStyleColBandSize w:val="1"/>
      <w:tblCellMar>
        <w:left w:w="108" w:type="dxa"/>
        <w:right w:w="108" w:type="dxa"/>
      </w:tblCellMar>
    </w:tblPr>
  </w:style>
  <w:style w:type="table" w:customStyle="1" w:styleId="ac">
    <w:basedOn w:val="TableNormalf"/>
    <w:pPr>
      <w:spacing w:after="0" w:line="240" w:lineRule="auto"/>
    </w:pPr>
    <w:tblPr>
      <w:tblStyleRowBandSize w:val="1"/>
      <w:tblStyleColBandSize w:val="1"/>
      <w:tblCellMar>
        <w:left w:w="108" w:type="dxa"/>
        <w:right w:w="108" w:type="dxa"/>
      </w:tblCellMar>
    </w:tblPr>
  </w:style>
  <w:style w:type="table" w:customStyle="1" w:styleId="ad">
    <w:basedOn w:val="TableNormalf"/>
    <w:pPr>
      <w:spacing w:after="0" w:line="240" w:lineRule="auto"/>
    </w:pPr>
    <w:tblPr>
      <w:tblStyleRowBandSize w:val="1"/>
      <w:tblStyleColBandSize w:val="1"/>
      <w:tblCellMar>
        <w:left w:w="108" w:type="dxa"/>
        <w:right w:w="108" w:type="dxa"/>
      </w:tblCellMar>
    </w:tblPr>
  </w:style>
  <w:style w:type="table" w:customStyle="1" w:styleId="ae">
    <w:basedOn w:val="TableNormalf"/>
    <w:pPr>
      <w:spacing w:after="0" w:line="240" w:lineRule="auto"/>
    </w:pPr>
    <w:tblPr>
      <w:tblStyleRowBandSize w:val="1"/>
      <w:tblStyleColBandSize w:val="1"/>
      <w:tblCellMar>
        <w:left w:w="108" w:type="dxa"/>
        <w:right w:w="108" w:type="dxa"/>
      </w:tblCellMar>
    </w:tblPr>
  </w:style>
  <w:style w:type="table" w:customStyle="1" w:styleId="af">
    <w:basedOn w:val="TableNormale"/>
    <w:pPr>
      <w:spacing w:after="0" w:line="240" w:lineRule="auto"/>
    </w:pPr>
    <w:tblPr>
      <w:tblStyleRowBandSize w:val="1"/>
      <w:tblStyleColBandSize w:val="1"/>
      <w:tblCellMar>
        <w:left w:w="108" w:type="dxa"/>
        <w:right w:w="108" w:type="dxa"/>
      </w:tblCellMar>
    </w:tblPr>
  </w:style>
  <w:style w:type="table" w:customStyle="1" w:styleId="af0">
    <w:basedOn w:val="TableNormale"/>
    <w:pPr>
      <w:spacing w:after="0" w:line="240" w:lineRule="auto"/>
    </w:pPr>
    <w:tblPr>
      <w:tblStyleRowBandSize w:val="1"/>
      <w:tblStyleColBandSize w:val="1"/>
      <w:tblCellMar>
        <w:left w:w="108" w:type="dxa"/>
        <w:right w:w="108" w:type="dxa"/>
      </w:tblCellMar>
    </w:tblPr>
  </w:style>
  <w:style w:type="table" w:customStyle="1" w:styleId="af1">
    <w:basedOn w:val="TableNormale"/>
    <w:pPr>
      <w:spacing w:after="0" w:line="240" w:lineRule="auto"/>
    </w:pPr>
    <w:tblPr>
      <w:tblStyleRowBandSize w:val="1"/>
      <w:tblStyleColBandSize w:val="1"/>
      <w:tblCellMar>
        <w:left w:w="108" w:type="dxa"/>
        <w:right w:w="108" w:type="dxa"/>
      </w:tblCellMar>
    </w:tblPr>
  </w:style>
  <w:style w:type="table" w:customStyle="1" w:styleId="af2">
    <w:basedOn w:val="TableNormale"/>
    <w:pPr>
      <w:spacing w:after="0" w:line="240" w:lineRule="auto"/>
    </w:pPr>
    <w:tblPr>
      <w:tblStyleRowBandSize w:val="1"/>
      <w:tblStyleColBandSize w:val="1"/>
      <w:tblCellMar>
        <w:left w:w="108" w:type="dxa"/>
        <w:right w:w="108" w:type="dxa"/>
      </w:tblCellMar>
    </w:tblPr>
  </w:style>
  <w:style w:type="table" w:customStyle="1" w:styleId="af3">
    <w:basedOn w:val="TableNormald"/>
    <w:pPr>
      <w:spacing w:after="0" w:line="240" w:lineRule="auto"/>
    </w:pPr>
    <w:tblPr>
      <w:tblStyleRowBandSize w:val="1"/>
      <w:tblStyleColBandSize w:val="1"/>
      <w:tblCellMar>
        <w:left w:w="108" w:type="dxa"/>
        <w:right w:w="108" w:type="dxa"/>
      </w:tblCellMar>
    </w:tblPr>
  </w:style>
  <w:style w:type="table" w:customStyle="1" w:styleId="af4">
    <w:basedOn w:val="TableNormald"/>
    <w:pPr>
      <w:spacing w:after="0" w:line="240" w:lineRule="auto"/>
    </w:pPr>
    <w:tblPr>
      <w:tblStyleRowBandSize w:val="1"/>
      <w:tblStyleColBandSize w:val="1"/>
      <w:tblCellMar>
        <w:left w:w="108" w:type="dxa"/>
        <w:right w:w="108" w:type="dxa"/>
      </w:tblCellMar>
    </w:tblPr>
  </w:style>
  <w:style w:type="table" w:customStyle="1" w:styleId="af5">
    <w:basedOn w:val="TableNormald"/>
    <w:pPr>
      <w:spacing w:after="0" w:line="240" w:lineRule="auto"/>
    </w:pPr>
    <w:tblPr>
      <w:tblStyleRowBandSize w:val="1"/>
      <w:tblStyleColBandSize w:val="1"/>
      <w:tblCellMar>
        <w:left w:w="108" w:type="dxa"/>
        <w:right w:w="108" w:type="dxa"/>
      </w:tblCellMar>
    </w:tblPr>
  </w:style>
  <w:style w:type="table" w:customStyle="1" w:styleId="af6">
    <w:basedOn w:val="TableNormald"/>
    <w:pPr>
      <w:spacing w:after="0" w:line="240" w:lineRule="auto"/>
    </w:pPr>
    <w:tblPr>
      <w:tblStyleRowBandSize w:val="1"/>
      <w:tblStyleColBandSize w:val="1"/>
      <w:tblCellMar>
        <w:left w:w="108" w:type="dxa"/>
        <w:right w:w="108" w:type="dxa"/>
      </w:tblCellMar>
    </w:tblPr>
  </w:style>
  <w:style w:type="table" w:customStyle="1" w:styleId="af7">
    <w:basedOn w:val="TableNormalc"/>
    <w:pPr>
      <w:spacing w:after="0" w:line="240" w:lineRule="auto"/>
    </w:pPr>
    <w:tblPr>
      <w:tblStyleRowBandSize w:val="1"/>
      <w:tblStyleColBandSize w:val="1"/>
      <w:tblCellMar>
        <w:left w:w="108" w:type="dxa"/>
        <w:right w:w="108" w:type="dxa"/>
      </w:tblCellMar>
    </w:tblPr>
  </w:style>
  <w:style w:type="table" w:customStyle="1" w:styleId="af8">
    <w:basedOn w:val="TableNormalc"/>
    <w:pPr>
      <w:spacing w:after="0" w:line="240" w:lineRule="auto"/>
    </w:pPr>
    <w:tblPr>
      <w:tblStyleRowBandSize w:val="1"/>
      <w:tblStyleColBandSize w:val="1"/>
      <w:tblCellMar>
        <w:left w:w="108" w:type="dxa"/>
        <w:right w:w="108" w:type="dxa"/>
      </w:tblCellMar>
    </w:tblPr>
  </w:style>
  <w:style w:type="table" w:customStyle="1" w:styleId="af9">
    <w:basedOn w:val="TableNormalc"/>
    <w:pPr>
      <w:spacing w:after="0" w:line="240" w:lineRule="auto"/>
    </w:pPr>
    <w:tblPr>
      <w:tblStyleRowBandSize w:val="1"/>
      <w:tblStyleColBandSize w:val="1"/>
      <w:tblCellMar>
        <w:left w:w="108" w:type="dxa"/>
        <w:right w:w="108" w:type="dxa"/>
      </w:tblCellMar>
    </w:tblPr>
  </w:style>
  <w:style w:type="table" w:customStyle="1" w:styleId="afa">
    <w:basedOn w:val="TableNormalc"/>
    <w:pPr>
      <w:spacing w:after="0" w:line="240" w:lineRule="auto"/>
    </w:pPr>
    <w:tblPr>
      <w:tblStyleRowBandSize w:val="1"/>
      <w:tblStyleColBandSize w:val="1"/>
      <w:tblCellMar>
        <w:left w:w="108" w:type="dxa"/>
        <w:right w:w="108" w:type="dxa"/>
      </w:tblCellMar>
    </w:tblPr>
  </w:style>
  <w:style w:type="table" w:customStyle="1" w:styleId="afb">
    <w:basedOn w:val="TableNormalb"/>
    <w:pPr>
      <w:spacing w:after="0" w:line="240" w:lineRule="auto"/>
    </w:pPr>
    <w:tblPr>
      <w:tblStyleRowBandSize w:val="1"/>
      <w:tblStyleColBandSize w:val="1"/>
      <w:tblCellMar>
        <w:left w:w="108" w:type="dxa"/>
        <w:right w:w="108" w:type="dxa"/>
      </w:tblCellMar>
    </w:tblPr>
  </w:style>
  <w:style w:type="table" w:customStyle="1" w:styleId="afc">
    <w:basedOn w:val="TableNormalb"/>
    <w:pPr>
      <w:spacing w:after="0" w:line="240" w:lineRule="auto"/>
    </w:pPr>
    <w:tblPr>
      <w:tblStyleRowBandSize w:val="1"/>
      <w:tblStyleColBandSize w:val="1"/>
      <w:tblCellMar>
        <w:left w:w="108" w:type="dxa"/>
        <w:right w:w="108" w:type="dxa"/>
      </w:tblCellMar>
    </w:tblPr>
  </w:style>
  <w:style w:type="table" w:customStyle="1" w:styleId="afd">
    <w:basedOn w:val="TableNormalb"/>
    <w:pPr>
      <w:spacing w:after="0" w:line="240" w:lineRule="auto"/>
    </w:pPr>
    <w:tblPr>
      <w:tblStyleRowBandSize w:val="1"/>
      <w:tblStyleColBandSize w:val="1"/>
      <w:tblCellMar>
        <w:left w:w="108" w:type="dxa"/>
        <w:right w:w="108" w:type="dxa"/>
      </w:tblCellMar>
    </w:tblPr>
  </w:style>
  <w:style w:type="table" w:customStyle="1" w:styleId="afe">
    <w:basedOn w:val="TableNormalb"/>
    <w:pPr>
      <w:spacing w:after="0" w:line="240" w:lineRule="auto"/>
    </w:pPr>
    <w:tblPr>
      <w:tblStyleRowBandSize w:val="1"/>
      <w:tblStyleColBandSize w:val="1"/>
      <w:tblCellMar>
        <w:left w:w="108" w:type="dxa"/>
        <w:right w:w="108" w:type="dxa"/>
      </w:tblCellMar>
    </w:tblPr>
  </w:style>
  <w:style w:type="table" w:customStyle="1" w:styleId="aff">
    <w:basedOn w:val="TableNormala"/>
    <w:pPr>
      <w:spacing w:after="0" w:line="240" w:lineRule="auto"/>
    </w:pPr>
    <w:tblPr>
      <w:tblStyleRowBandSize w:val="1"/>
      <w:tblStyleColBandSize w:val="1"/>
      <w:tblCellMar>
        <w:left w:w="108" w:type="dxa"/>
        <w:right w:w="108" w:type="dxa"/>
      </w:tblCellMar>
    </w:tblPr>
  </w:style>
  <w:style w:type="table" w:customStyle="1" w:styleId="aff0">
    <w:basedOn w:val="TableNormala"/>
    <w:pPr>
      <w:spacing w:after="0" w:line="240" w:lineRule="auto"/>
    </w:pPr>
    <w:tblPr>
      <w:tblStyleRowBandSize w:val="1"/>
      <w:tblStyleColBandSize w:val="1"/>
      <w:tblCellMar>
        <w:left w:w="108" w:type="dxa"/>
        <w:right w:w="108" w:type="dxa"/>
      </w:tblCellMar>
    </w:tblPr>
  </w:style>
  <w:style w:type="table" w:customStyle="1" w:styleId="aff1">
    <w:basedOn w:val="TableNormala"/>
    <w:pPr>
      <w:spacing w:after="0" w:line="240" w:lineRule="auto"/>
    </w:pPr>
    <w:tblPr>
      <w:tblStyleRowBandSize w:val="1"/>
      <w:tblStyleColBandSize w:val="1"/>
      <w:tblCellMar>
        <w:left w:w="108" w:type="dxa"/>
        <w:right w:w="108" w:type="dxa"/>
      </w:tblCellMar>
    </w:tblPr>
  </w:style>
  <w:style w:type="table" w:customStyle="1" w:styleId="aff2">
    <w:basedOn w:val="TableNormala"/>
    <w:pPr>
      <w:spacing w:after="0" w:line="240" w:lineRule="auto"/>
    </w:pPr>
    <w:tblPr>
      <w:tblStyleRowBandSize w:val="1"/>
      <w:tblStyleColBandSize w:val="1"/>
      <w:tblCellMar>
        <w:left w:w="108" w:type="dxa"/>
        <w:right w:w="108" w:type="dxa"/>
      </w:tblCellMar>
    </w:tblPr>
  </w:style>
  <w:style w:type="table" w:customStyle="1" w:styleId="aff3">
    <w:basedOn w:val="TableNormal9"/>
    <w:pPr>
      <w:spacing w:after="0" w:line="240" w:lineRule="auto"/>
    </w:pPr>
    <w:tblPr>
      <w:tblStyleRowBandSize w:val="1"/>
      <w:tblStyleColBandSize w:val="1"/>
      <w:tblCellMar>
        <w:left w:w="108" w:type="dxa"/>
        <w:right w:w="108" w:type="dxa"/>
      </w:tblCellMar>
    </w:tblPr>
  </w:style>
  <w:style w:type="table" w:customStyle="1" w:styleId="aff4">
    <w:basedOn w:val="TableNormal9"/>
    <w:pPr>
      <w:spacing w:after="0" w:line="240" w:lineRule="auto"/>
    </w:pPr>
    <w:tblPr>
      <w:tblStyleRowBandSize w:val="1"/>
      <w:tblStyleColBandSize w:val="1"/>
      <w:tblCellMar>
        <w:left w:w="108" w:type="dxa"/>
        <w:right w:w="108" w:type="dxa"/>
      </w:tblCellMar>
    </w:tblPr>
  </w:style>
  <w:style w:type="table" w:customStyle="1" w:styleId="aff5">
    <w:basedOn w:val="TableNormal9"/>
    <w:pPr>
      <w:spacing w:after="0" w:line="240" w:lineRule="auto"/>
    </w:pPr>
    <w:tblPr>
      <w:tblStyleRowBandSize w:val="1"/>
      <w:tblStyleColBandSize w:val="1"/>
      <w:tblCellMar>
        <w:left w:w="108" w:type="dxa"/>
        <w:right w:w="108" w:type="dxa"/>
      </w:tblCellMar>
    </w:tblPr>
  </w:style>
  <w:style w:type="table" w:customStyle="1" w:styleId="aff6">
    <w:basedOn w:val="TableNormal9"/>
    <w:pPr>
      <w:spacing w:after="0" w:line="240" w:lineRule="auto"/>
    </w:pPr>
    <w:tblPr>
      <w:tblStyleRowBandSize w:val="1"/>
      <w:tblStyleColBandSize w:val="1"/>
      <w:tblCellMar>
        <w:left w:w="108" w:type="dxa"/>
        <w:right w:w="108" w:type="dxa"/>
      </w:tblCellMar>
    </w:tblPr>
  </w:style>
  <w:style w:type="table" w:customStyle="1" w:styleId="aff7">
    <w:basedOn w:val="TableNormal8"/>
    <w:pPr>
      <w:spacing w:after="0" w:line="240" w:lineRule="auto"/>
    </w:pPr>
    <w:tblPr>
      <w:tblStyleRowBandSize w:val="1"/>
      <w:tblStyleColBandSize w:val="1"/>
      <w:tblCellMar>
        <w:left w:w="108" w:type="dxa"/>
        <w:right w:w="108" w:type="dxa"/>
      </w:tblCellMar>
    </w:tblPr>
  </w:style>
  <w:style w:type="table" w:customStyle="1" w:styleId="aff8">
    <w:basedOn w:val="TableNormal8"/>
    <w:pPr>
      <w:spacing w:after="0" w:line="240" w:lineRule="auto"/>
    </w:pPr>
    <w:tblPr>
      <w:tblStyleRowBandSize w:val="1"/>
      <w:tblStyleColBandSize w:val="1"/>
      <w:tblCellMar>
        <w:left w:w="108" w:type="dxa"/>
        <w:right w:w="108" w:type="dxa"/>
      </w:tblCellMar>
    </w:tblPr>
  </w:style>
  <w:style w:type="table" w:customStyle="1" w:styleId="aff9">
    <w:basedOn w:val="TableNormal8"/>
    <w:pPr>
      <w:spacing w:after="0" w:line="240" w:lineRule="auto"/>
    </w:pPr>
    <w:tblPr>
      <w:tblStyleRowBandSize w:val="1"/>
      <w:tblStyleColBandSize w:val="1"/>
      <w:tblCellMar>
        <w:left w:w="108" w:type="dxa"/>
        <w:right w:w="108" w:type="dxa"/>
      </w:tblCellMar>
    </w:tblPr>
  </w:style>
  <w:style w:type="table" w:customStyle="1" w:styleId="affa">
    <w:basedOn w:val="TableNormal8"/>
    <w:pPr>
      <w:spacing w:after="0" w:line="240" w:lineRule="auto"/>
    </w:pPr>
    <w:tblPr>
      <w:tblStyleRowBandSize w:val="1"/>
      <w:tblStyleColBandSize w:val="1"/>
      <w:tblCellMar>
        <w:left w:w="108" w:type="dxa"/>
        <w:right w:w="108" w:type="dxa"/>
      </w:tblCellMar>
    </w:tblPr>
  </w:style>
  <w:style w:type="table" w:customStyle="1" w:styleId="affb">
    <w:basedOn w:val="TableNormal8"/>
    <w:pPr>
      <w:spacing w:after="0" w:line="240" w:lineRule="auto"/>
    </w:pPr>
    <w:tblPr>
      <w:tblStyleRowBandSize w:val="1"/>
      <w:tblStyleColBandSize w:val="1"/>
      <w:tblCellMar>
        <w:left w:w="108" w:type="dxa"/>
        <w:right w:w="108" w:type="dxa"/>
      </w:tblCellMar>
    </w:tblPr>
  </w:style>
  <w:style w:type="table" w:customStyle="1" w:styleId="affc">
    <w:basedOn w:val="TableNormal8"/>
    <w:pPr>
      <w:spacing w:after="0" w:line="240" w:lineRule="auto"/>
    </w:pPr>
    <w:tblPr>
      <w:tblStyleRowBandSize w:val="1"/>
      <w:tblStyleColBandSize w:val="1"/>
      <w:tblCellMar>
        <w:left w:w="108" w:type="dxa"/>
        <w:right w:w="108" w:type="dxa"/>
      </w:tblCellMar>
    </w:tblPr>
  </w:style>
  <w:style w:type="table" w:customStyle="1" w:styleId="affd">
    <w:basedOn w:val="TableNormal8"/>
    <w:pPr>
      <w:spacing w:after="0" w:line="240" w:lineRule="auto"/>
    </w:pPr>
    <w:tblPr>
      <w:tblStyleRowBandSize w:val="1"/>
      <w:tblStyleColBandSize w:val="1"/>
      <w:tblCellMar>
        <w:left w:w="108" w:type="dxa"/>
        <w:right w:w="108" w:type="dxa"/>
      </w:tblCellMar>
    </w:tblPr>
  </w:style>
  <w:style w:type="table" w:customStyle="1" w:styleId="affe">
    <w:basedOn w:val="TableNormal8"/>
    <w:pPr>
      <w:spacing w:after="0" w:line="240" w:lineRule="auto"/>
    </w:pPr>
    <w:tblPr>
      <w:tblStyleRowBandSize w:val="1"/>
      <w:tblStyleColBandSize w:val="1"/>
      <w:tblCellMar>
        <w:left w:w="108" w:type="dxa"/>
        <w:right w:w="108" w:type="dxa"/>
      </w:tblCellMar>
    </w:tblPr>
  </w:style>
  <w:style w:type="table" w:customStyle="1" w:styleId="afff">
    <w:basedOn w:val="TableNormal8"/>
    <w:pPr>
      <w:spacing w:after="0" w:line="240" w:lineRule="auto"/>
    </w:pPr>
    <w:tblPr>
      <w:tblStyleRowBandSize w:val="1"/>
      <w:tblStyleColBandSize w:val="1"/>
      <w:tblCellMar>
        <w:left w:w="108" w:type="dxa"/>
        <w:right w:w="108" w:type="dxa"/>
      </w:tblCellMar>
    </w:tblPr>
  </w:style>
  <w:style w:type="table" w:customStyle="1" w:styleId="afff0">
    <w:basedOn w:val="TableNormal8"/>
    <w:pPr>
      <w:spacing w:after="0" w:line="240" w:lineRule="auto"/>
    </w:pPr>
    <w:tblPr>
      <w:tblStyleRowBandSize w:val="1"/>
      <w:tblStyleColBandSize w:val="1"/>
      <w:tblCellMar>
        <w:left w:w="108" w:type="dxa"/>
        <w:right w:w="108" w:type="dxa"/>
      </w:tblCellMar>
    </w:tblPr>
  </w:style>
  <w:style w:type="table" w:customStyle="1" w:styleId="afff1">
    <w:basedOn w:val="TableNormal8"/>
    <w:pPr>
      <w:spacing w:after="0" w:line="240" w:lineRule="auto"/>
    </w:pPr>
    <w:tblPr>
      <w:tblStyleRowBandSize w:val="1"/>
      <w:tblStyleColBandSize w:val="1"/>
      <w:tblCellMar>
        <w:left w:w="108" w:type="dxa"/>
        <w:right w:w="108" w:type="dxa"/>
      </w:tblCellMar>
    </w:tblPr>
  </w:style>
  <w:style w:type="table" w:customStyle="1" w:styleId="afff2">
    <w:basedOn w:val="TableNormal8"/>
    <w:pPr>
      <w:spacing w:after="0" w:line="240" w:lineRule="auto"/>
    </w:pPr>
    <w:tblPr>
      <w:tblStyleRowBandSize w:val="1"/>
      <w:tblStyleColBandSize w:val="1"/>
      <w:tblCellMar>
        <w:left w:w="108" w:type="dxa"/>
        <w:right w:w="108" w:type="dxa"/>
      </w:tblCellMar>
    </w:tblPr>
  </w:style>
  <w:style w:type="table" w:customStyle="1" w:styleId="afff3">
    <w:basedOn w:val="TableNormal8"/>
    <w:pPr>
      <w:spacing w:after="0" w:line="240" w:lineRule="auto"/>
    </w:pPr>
    <w:tblPr>
      <w:tblStyleRowBandSize w:val="1"/>
      <w:tblStyleColBandSize w:val="1"/>
      <w:tblCellMar>
        <w:left w:w="108" w:type="dxa"/>
        <w:right w:w="108" w:type="dxa"/>
      </w:tblCellMar>
    </w:tblPr>
  </w:style>
  <w:style w:type="table" w:customStyle="1" w:styleId="afff4">
    <w:basedOn w:val="TableNormal8"/>
    <w:pPr>
      <w:spacing w:after="0" w:line="240" w:lineRule="auto"/>
    </w:pPr>
    <w:tblPr>
      <w:tblStyleRowBandSize w:val="1"/>
      <w:tblStyleColBandSize w:val="1"/>
      <w:tblCellMar>
        <w:left w:w="108" w:type="dxa"/>
        <w:right w:w="108" w:type="dxa"/>
      </w:tblCellMar>
    </w:tblPr>
  </w:style>
  <w:style w:type="table" w:customStyle="1" w:styleId="afff5">
    <w:basedOn w:val="TableNormal8"/>
    <w:pPr>
      <w:spacing w:after="0" w:line="240" w:lineRule="auto"/>
    </w:pPr>
    <w:tblPr>
      <w:tblStyleRowBandSize w:val="1"/>
      <w:tblStyleColBandSize w:val="1"/>
      <w:tblCellMar>
        <w:left w:w="108" w:type="dxa"/>
        <w:right w:w="108" w:type="dxa"/>
      </w:tblCellMar>
    </w:tblPr>
  </w:style>
  <w:style w:type="table" w:customStyle="1" w:styleId="afff6">
    <w:basedOn w:val="TableNormal8"/>
    <w:pPr>
      <w:spacing w:after="0" w:line="240" w:lineRule="auto"/>
    </w:pPr>
    <w:tblPr>
      <w:tblStyleRowBandSize w:val="1"/>
      <w:tblStyleColBandSize w:val="1"/>
      <w:tblCellMar>
        <w:left w:w="108" w:type="dxa"/>
        <w:right w:w="108" w:type="dxa"/>
      </w:tblCellMar>
    </w:tblPr>
  </w:style>
  <w:style w:type="table" w:customStyle="1" w:styleId="afff7">
    <w:basedOn w:val="TableNormal8"/>
    <w:pPr>
      <w:spacing w:after="0" w:line="240" w:lineRule="auto"/>
    </w:pPr>
    <w:tblPr>
      <w:tblStyleRowBandSize w:val="1"/>
      <w:tblStyleColBandSize w:val="1"/>
      <w:tblCellMar>
        <w:left w:w="108" w:type="dxa"/>
        <w:right w:w="108" w:type="dxa"/>
      </w:tblCellMar>
    </w:tblPr>
  </w:style>
  <w:style w:type="table" w:customStyle="1" w:styleId="afff8">
    <w:basedOn w:val="TableNormal8"/>
    <w:pPr>
      <w:spacing w:after="0" w:line="240" w:lineRule="auto"/>
    </w:pPr>
    <w:tblPr>
      <w:tblStyleRowBandSize w:val="1"/>
      <w:tblStyleColBandSize w:val="1"/>
      <w:tblCellMar>
        <w:left w:w="108" w:type="dxa"/>
        <w:right w:w="108" w:type="dxa"/>
      </w:tblCellMar>
    </w:tblPr>
  </w:style>
  <w:style w:type="table" w:customStyle="1" w:styleId="afff9">
    <w:basedOn w:val="TableNormal8"/>
    <w:pPr>
      <w:spacing w:after="0" w:line="240" w:lineRule="auto"/>
    </w:pPr>
    <w:tblPr>
      <w:tblStyleRowBandSize w:val="1"/>
      <w:tblStyleColBandSize w:val="1"/>
      <w:tblCellMar>
        <w:left w:w="108" w:type="dxa"/>
        <w:right w:w="108" w:type="dxa"/>
      </w:tblCellMar>
    </w:tblPr>
  </w:style>
  <w:style w:type="table" w:customStyle="1" w:styleId="afffa">
    <w:basedOn w:val="TableNormal8"/>
    <w:pPr>
      <w:spacing w:after="0" w:line="240" w:lineRule="auto"/>
    </w:pPr>
    <w:tblPr>
      <w:tblStyleRowBandSize w:val="1"/>
      <w:tblStyleColBandSize w:val="1"/>
      <w:tblCellMar>
        <w:left w:w="108" w:type="dxa"/>
        <w:right w:w="108" w:type="dxa"/>
      </w:tblCellMar>
    </w:tblPr>
  </w:style>
  <w:style w:type="table" w:customStyle="1" w:styleId="afffb">
    <w:basedOn w:val="TableNormal8"/>
    <w:pPr>
      <w:spacing w:after="0" w:line="240" w:lineRule="auto"/>
    </w:pPr>
    <w:tblPr>
      <w:tblStyleRowBandSize w:val="1"/>
      <w:tblStyleColBandSize w:val="1"/>
      <w:tblCellMar>
        <w:left w:w="108" w:type="dxa"/>
        <w:right w:w="108" w:type="dxa"/>
      </w:tblCellMar>
    </w:tblPr>
  </w:style>
  <w:style w:type="table" w:customStyle="1" w:styleId="afffc">
    <w:basedOn w:val="TableNormal8"/>
    <w:pPr>
      <w:spacing w:after="0" w:line="240" w:lineRule="auto"/>
    </w:pPr>
    <w:tblPr>
      <w:tblStyleRowBandSize w:val="1"/>
      <w:tblStyleColBandSize w:val="1"/>
      <w:tblCellMar>
        <w:left w:w="108" w:type="dxa"/>
        <w:right w:w="108" w:type="dxa"/>
      </w:tblCellMar>
    </w:tblPr>
  </w:style>
  <w:style w:type="table" w:customStyle="1" w:styleId="afffd">
    <w:basedOn w:val="TableNormal7"/>
    <w:pPr>
      <w:spacing w:after="0" w:line="240" w:lineRule="auto"/>
    </w:pPr>
    <w:tblPr>
      <w:tblStyleRowBandSize w:val="1"/>
      <w:tblStyleColBandSize w:val="1"/>
      <w:tblCellMar>
        <w:left w:w="108" w:type="dxa"/>
        <w:right w:w="108" w:type="dxa"/>
      </w:tblCellMar>
    </w:tblPr>
  </w:style>
  <w:style w:type="table" w:customStyle="1" w:styleId="afffe">
    <w:basedOn w:val="TableNormal7"/>
    <w:pPr>
      <w:spacing w:after="0" w:line="240" w:lineRule="auto"/>
    </w:pPr>
    <w:tblPr>
      <w:tblStyleRowBandSize w:val="1"/>
      <w:tblStyleColBandSize w:val="1"/>
      <w:tblCellMar>
        <w:left w:w="108" w:type="dxa"/>
        <w:right w:w="108" w:type="dxa"/>
      </w:tblCellMar>
    </w:tblPr>
  </w:style>
  <w:style w:type="table" w:customStyle="1" w:styleId="affff">
    <w:basedOn w:val="TableNormal7"/>
    <w:pPr>
      <w:spacing w:after="0" w:line="240" w:lineRule="auto"/>
    </w:pPr>
    <w:tblPr>
      <w:tblStyleRowBandSize w:val="1"/>
      <w:tblStyleColBandSize w:val="1"/>
      <w:tblCellMar>
        <w:left w:w="108" w:type="dxa"/>
        <w:right w:w="108" w:type="dxa"/>
      </w:tblCellMar>
    </w:tblPr>
  </w:style>
  <w:style w:type="table" w:customStyle="1" w:styleId="affff0">
    <w:basedOn w:val="TableNormal7"/>
    <w:pPr>
      <w:spacing w:after="0" w:line="240" w:lineRule="auto"/>
    </w:pPr>
    <w:tblPr>
      <w:tblStyleRowBandSize w:val="1"/>
      <w:tblStyleColBandSize w:val="1"/>
      <w:tblCellMar>
        <w:left w:w="108" w:type="dxa"/>
        <w:right w:w="108" w:type="dxa"/>
      </w:tblCellMar>
    </w:tblPr>
  </w:style>
  <w:style w:type="table" w:customStyle="1" w:styleId="affff1">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6"/>
    <w:pPr>
      <w:spacing w:after="0" w:line="240" w:lineRule="auto"/>
    </w:pPr>
    <w:tblPr>
      <w:tblStyleRowBandSize w:val="1"/>
      <w:tblStyleColBandSize w:val="1"/>
      <w:tblCellMar>
        <w:left w:w="108" w:type="dxa"/>
        <w:right w:w="108" w:type="dxa"/>
      </w:tblCellMar>
    </w:tblPr>
  </w:style>
  <w:style w:type="table" w:customStyle="1" w:styleId="affff3">
    <w:basedOn w:val="TableNormal6"/>
    <w:pPr>
      <w:spacing w:after="0" w:line="240" w:lineRule="auto"/>
    </w:pPr>
    <w:tblPr>
      <w:tblStyleRowBandSize w:val="1"/>
      <w:tblStyleColBandSize w:val="1"/>
      <w:tblCellMar>
        <w:left w:w="108" w:type="dxa"/>
        <w:right w:w="108" w:type="dxa"/>
      </w:tblCellMar>
    </w:tblPr>
  </w:style>
  <w:style w:type="table" w:customStyle="1" w:styleId="affff4">
    <w:basedOn w:val="TableNormal6"/>
    <w:pPr>
      <w:spacing w:after="0" w:line="240" w:lineRule="auto"/>
    </w:pPr>
    <w:tblPr>
      <w:tblStyleRowBandSize w:val="1"/>
      <w:tblStyleColBandSize w:val="1"/>
      <w:tblCellMar>
        <w:left w:w="108" w:type="dxa"/>
        <w:right w:w="108" w:type="dxa"/>
      </w:tblCellMar>
    </w:tblPr>
  </w:style>
  <w:style w:type="table" w:customStyle="1" w:styleId="affff5">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5"/>
    <w:pPr>
      <w:spacing w:after="0" w:line="240" w:lineRule="auto"/>
    </w:pPr>
    <w:tblPr>
      <w:tblStyleRowBandSize w:val="1"/>
      <w:tblStyleColBandSize w:val="1"/>
      <w:tblCellMar>
        <w:left w:w="108" w:type="dxa"/>
        <w:right w:w="108" w:type="dxa"/>
      </w:tblCellMar>
    </w:tblPr>
  </w:style>
  <w:style w:type="table" w:customStyle="1" w:styleId="affff7">
    <w:basedOn w:val="TableNormal5"/>
    <w:pPr>
      <w:spacing w:after="0" w:line="240" w:lineRule="auto"/>
    </w:pPr>
    <w:tblPr>
      <w:tblStyleRowBandSize w:val="1"/>
      <w:tblStyleColBandSize w:val="1"/>
      <w:tblCellMar>
        <w:left w:w="108" w:type="dxa"/>
        <w:right w:w="108" w:type="dxa"/>
      </w:tblCellMar>
    </w:tblPr>
  </w:style>
  <w:style w:type="table" w:customStyle="1" w:styleId="affff8">
    <w:basedOn w:val="TableNormal5"/>
    <w:pPr>
      <w:spacing w:after="0" w:line="240" w:lineRule="auto"/>
    </w:pPr>
    <w:tblPr>
      <w:tblStyleRowBandSize w:val="1"/>
      <w:tblStyleColBandSize w:val="1"/>
      <w:tblCellMar>
        <w:left w:w="108" w:type="dxa"/>
        <w:right w:w="108" w:type="dxa"/>
      </w:tblCellMar>
    </w:tblPr>
  </w:style>
  <w:style w:type="table" w:customStyle="1" w:styleId="affff9">
    <w:basedOn w:val="TableNormal5"/>
    <w:pPr>
      <w:spacing w:after="0" w:line="240" w:lineRule="auto"/>
    </w:pPr>
    <w:tblPr>
      <w:tblStyleRowBandSize w:val="1"/>
      <w:tblStyleColBandSize w:val="1"/>
      <w:tblCellMar>
        <w:left w:w="108" w:type="dxa"/>
        <w:right w:w="108" w:type="dxa"/>
      </w:tblCellMar>
    </w:tblPr>
  </w:style>
  <w:style w:type="table" w:customStyle="1" w:styleId="affffa">
    <w:basedOn w:val="TableNormal5"/>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4"/>
    <w:pPr>
      <w:spacing w:after="0" w:line="240" w:lineRule="auto"/>
    </w:pPr>
    <w:tblPr>
      <w:tblStyleRowBandSize w:val="1"/>
      <w:tblStyleColBandSize w:val="1"/>
      <w:tblCellMar>
        <w:left w:w="108" w:type="dxa"/>
        <w:right w:w="108" w:type="dxa"/>
      </w:tblCellMar>
    </w:tblPr>
  </w:style>
  <w:style w:type="table" w:customStyle="1" w:styleId="affffc">
    <w:basedOn w:val="TableNormal4"/>
    <w:pPr>
      <w:spacing w:after="0" w:line="240" w:lineRule="auto"/>
    </w:pPr>
    <w:tblPr>
      <w:tblStyleRowBandSize w:val="1"/>
      <w:tblStyleColBandSize w:val="1"/>
      <w:tblCellMar>
        <w:left w:w="108" w:type="dxa"/>
        <w:right w:w="108" w:type="dxa"/>
      </w:tblCellMar>
    </w:tblPr>
  </w:style>
  <w:style w:type="table" w:customStyle="1" w:styleId="affffd">
    <w:basedOn w:val="TableNormal4"/>
    <w:pPr>
      <w:spacing w:after="0" w:line="240" w:lineRule="auto"/>
    </w:pPr>
    <w:tblPr>
      <w:tblStyleRowBandSize w:val="1"/>
      <w:tblStyleColBandSize w:val="1"/>
      <w:tblCellMar>
        <w:left w:w="108" w:type="dxa"/>
        <w:right w:w="108" w:type="dxa"/>
      </w:tblCellMar>
    </w:tblPr>
  </w:style>
  <w:style w:type="table" w:customStyle="1" w:styleId="affffe">
    <w:basedOn w:val="TableNormal4"/>
    <w:pPr>
      <w:spacing w:after="0" w:line="240" w:lineRule="auto"/>
    </w:pPr>
    <w:tblPr>
      <w:tblStyleRowBandSize w:val="1"/>
      <w:tblStyleColBandSize w:val="1"/>
      <w:tblCellMar>
        <w:left w:w="108" w:type="dxa"/>
        <w:right w:w="108" w:type="dxa"/>
      </w:tblCellMar>
    </w:tblPr>
  </w:style>
  <w:style w:type="table" w:customStyle="1" w:styleId="afffff">
    <w:basedOn w:val="TableNormal3"/>
    <w:pPr>
      <w:spacing w:after="0" w:line="240" w:lineRule="auto"/>
    </w:pPr>
    <w:tblPr>
      <w:tblStyleRowBandSize w:val="1"/>
      <w:tblStyleColBandSize w:val="1"/>
      <w:tblCellMar>
        <w:left w:w="108" w:type="dxa"/>
        <w:right w:w="108" w:type="dxa"/>
      </w:tblCellMar>
    </w:tblPr>
  </w:style>
  <w:style w:type="table" w:customStyle="1" w:styleId="afffff0">
    <w:basedOn w:val="TableNormal3"/>
    <w:pPr>
      <w:spacing w:after="0" w:line="240" w:lineRule="auto"/>
    </w:pPr>
    <w:tblPr>
      <w:tblStyleRowBandSize w:val="1"/>
      <w:tblStyleColBandSize w:val="1"/>
      <w:tblCellMar>
        <w:left w:w="108" w:type="dxa"/>
        <w:right w:w="108" w:type="dxa"/>
      </w:tblCellMar>
    </w:tblPr>
  </w:style>
  <w:style w:type="table" w:customStyle="1" w:styleId="afffff1">
    <w:basedOn w:val="TableNormal3"/>
    <w:pPr>
      <w:spacing w:after="0" w:line="240" w:lineRule="auto"/>
    </w:pPr>
    <w:tblPr>
      <w:tblStyleRowBandSize w:val="1"/>
      <w:tblStyleColBandSize w:val="1"/>
      <w:tblCellMar>
        <w:left w:w="108" w:type="dxa"/>
        <w:right w:w="108" w:type="dxa"/>
      </w:tblCellMar>
    </w:tblPr>
  </w:style>
  <w:style w:type="table" w:customStyle="1" w:styleId="afffff2">
    <w:basedOn w:val="TableNormal3"/>
    <w:pPr>
      <w:spacing w:after="0" w:line="240" w:lineRule="auto"/>
    </w:pPr>
    <w:tblPr>
      <w:tblStyleRowBandSize w:val="1"/>
      <w:tblStyleColBandSize w:val="1"/>
      <w:tblCellMar>
        <w:left w:w="108" w:type="dxa"/>
        <w:right w:w="108" w:type="dxa"/>
      </w:tblCellMar>
    </w:tblPr>
  </w:style>
  <w:style w:type="table" w:customStyle="1" w:styleId="afffff3">
    <w:basedOn w:val="TableNormal3"/>
    <w:pPr>
      <w:spacing w:after="0" w:line="240" w:lineRule="auto"/>
    </w:pPr>
    <w:tblPr>
      <w:tblStyleRowBandSize w:val="1"/>
      <w:tblStyleColBandSize w:val="1"/>
      <w:tblCellMar>
        <w:left w:w="108" w:type="dxa"/>
        <w:right w:w="108" w:type="dxa"/>
      </w:tblCellMar>
    </w:tblPr>
  </w:style>
  <w:style w:type="table" w:customStyle="1" w:styleId="afffff4">
    <w:basedOn w:val="TableNormal2"/>
    <w:pPr>
      <w:spacing w:after="0" w:line="240" w:lineRule="auto"/>
    </w:pPr>
    <w:tblPr>
      <w:tblStyleRowBandSize w:val="1"/>
      <w:tblStyleColBandSize w:val="1"/>
      <w:tblCellMar>
        <w:left w:w="108" w:type="dxa"/>
        <w:right w:w="108" w:type="dxa"/>
      </w:tblCellMar>
    </w:tblPr>
  </w:style>
  <w:style w:type="table" w:customStyle="1" w:styleId="afffff5">
    <w:basedOn w:val="TableNormal2"/>
    <w:pPr>
      <w:spacing w:after="0" w:line="240" w:lineRule="auto"/>
    </w:pPr>
    <w:tblPr>
      <w:tblStyleRowBandSize w:val="1"/>
      <w:tblStyleColBandSize w:val="1"/>
      <w:tblCellMar>
        <w:left w:w="108" w:type="dxa"/>
        <w:right w:w="108" w:type="dxa"/>
      </w:tblCellMar>
    </w:tblPr>
  </w:style>
  <w:style w:type="table" w:customStyle="1" w:styleId="afffff6">
    <w:basedOn w:val="TableNormal2"/>
    <w:pPr>
      <w:spacing w:after="0" w:line="240" w:lineRule="auto"/>
    </w:pPr>
    <w:tblPr>
      <w:tblStyleRowBandSize w:val="1"/>
      <w:tblStyleColBandSize w:val="1"/>
      <w:tblCellMar>
        <w:left w:w="108" w:type="dxa"/>
        <w:right w:w="108" w:type="dxa"/>
      </w:tblCellMar>
    </w:tblPr>
  </w:style>
  <w:style w:type="table" w:customStyle="1" w:styleId="afffff7">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Mencinsinresolver8">
    <w:name w:val="Mención sin resolver8"/>
    <w:basedOn w:val="Fuentedeprrafopredeter"/>
    <w:uiPriority w:val="99"/>
    <w:semiHidden/>
    <w:unhideWhenUsed/>
    <w:rsid w:val="006F079B"/>
    <w:rPr>
      <w:color w:val="605E5C"/>
      <w:shd w:val="clear" w:color="auto" w:fill="E1DFDD"/>
    </w:rPr>
  </w:style>
  <w:style w:type="table" w:customStyle="1" w:styleId="afffff8">
    <w:basedOn w:val="TableNormal1"/>
    <w:pPr>
      <w:spacing w:after="0" w:line="240" w:lineRule="auto"/>
    </w:pPr>
    <w:tblPr>
      <w:tblStyleRowBandSize w:val="1"/>
      <w:tblStyleColBandSize w:val="1"/>
      <w:tblCellMar>
        <w:left w:w="108" w:type="dxa"/>
        <w:right w:w="108" w:type="dxa"/>
      </w:tblCellMar>
    </w:tblPr>
  </w:style>
  <w:style w:type="table" w:customStyle="1" w:styleId="afffff9">
    <w:basedOn w:val="TableNormal1"/>
    <w:pPr>
      <w:spacing w:after="0" w:line="240" w:lineRule="auto"/>
    </w:pPr>
    <w:tblPr>
      <w:tblStyleRowBandSize w:val="1"/>
      <w:tblStyleColBandSize w:val="1"/>
      <w:tblCellMar>
        <w:left w:w="108" w:type="dxa"/>
        <w:right w:w="108" w:type="dxa"/>
      </w:tblCellMar>
    </w:tblPr>
  </w:style>
  <w:style w:type="table" w:customStyle="1" w:styleId="afffffa">
    <w:basedOn w:val="TableNormal1"/>
    <w:pPr>
      <w:spacing w:after="0" w:line="240" w:lineRule="auto"/>
    </w:pPr>
    <w:tblPr>
      <w:tblStyleRowBandSize w:val="1"/>
      <w:tblStyleColBandSize w:val="1"/>
      <w:tblCellMar>
        <w:left w:w="108" w:type="dxa"/>
        <w:right w:w="108" w:type="dxa"/>
      </w:tblCellMar>
    </w:tblPr>
  </w:style>
  <w:style w:type="table" w:customStyle="1" w:styleId="afffffb">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9">
    <w:name w:val="Mención sin resolver9"/>
    <w:basedOn w:val="Fuentedeprrafopredeter"/>
    <w:uiPriority w:val="99"/>
    <w:semiHidden/>
    <w:unhideWhenUsed/>
    <w:rsid w:val="004C0D23"/>
    <w:rPr>
      <w:color w:val="605E5C"/>
      <w:shd w:val="clear" w:color="auto" w:fill="E1DFDD"/>
    </w:rPr>
  </w:style>
  <w:style w:type="character" w:customStyle="1" w:styleId="Mencinsinresolver10">
    <w:name w:val="Mención sin resolver10"/>
    <w:basedOn w:val="Fuentedeprrafopredeter"/>
    <w:uiPriority w:val="99"/>
    <w:semiHidden/>
    <w:unhideWhenUsed/>
    <w:rsid w:val="00DF5460"/>
    <w:rPr>
      <w:color w:val="605E5C"/>
      <w:shd w:val="clear" w:color="auto" w:fill="E1DFDD"/>
    </w:rPr>
  </w:style>
  <w:style w:type="character" w:customStyle="1" w:styleId="UnresolvedMention">
    <w:name w:val="Unresolved Mention"/>
    <w:basedOn w:val="Fuentedeprrafopredeter"/>
    <w:uiPriority w:val="99"/>
    <w:semiHidden/>
    <w:unhideWhenUsed/>
    <w:rsid w:val="00BF6967"/>
    <w:rPr>
      <w:color w:val="605E5C"/>
      <w:shd w:val="clear" w:color="auto" w:fill="E1DFDD"/>
    </w:rPr>
  </w:style>
  <w:style w:type="character" w:styleId="Refdecomentario">
    <w:name w:val="annotation reference"/>
    <w:basedOn w:val="Fuentedeprrafopredeter"/>
    <w:uiPriority w:val="99"/>
    <w:semiHidden/>
    <w:unhideWhenUsed/>
    <w:rsid w:val="00397770"/>
    <w:rPr>
      <w:sz w:val="16"/>
      <w:szCs w:val="16"/>
    </w:rPr>
  </w:style>
  <w:style w:type="paragraph" w:styleId="Textocomentario">
    <w:name w:val="annotation text"/>
    <w:basedOn w:val="Normal"/>
    <w:link w:val="TextocomentarioCar"/>
    <w:uiPriority w:val="99"/>
    <w:semiHidden/>
    <w:unhideWhenUsed/>
    <w:rsid w:val="003977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97770"/>
    <w:rPr>
      <w:sz w:val="20"/>
      <w:szCs w:val="20"/>
    </w:rPr>
  </w:style>
  <w:style w:type="paragraph" w:styleId="Asuntodelcomentario">
    <w:name w:val="annotation subject"/>
    <w:basedOn w:val="Textocomentario"/>
    <w:next w:val="Textocomentario"/>
    <w:link w:val="AsuntodelcomentarioCar"/>
    <w:uiPriority w:val="99"/>
    <w:semiHidden/>
    <w:unhideWhenUsed/>
    <w:rsid w:val="00397770"/>
    <w:rPr>
      <w:b/>
      <w:bCs/>
    </w:rPr>
  </w:style>
  <w:style w:type="character" w:customStyle="1" w:styleId="AsuntodelcomentarioCar">
    <w:name w:val="Asunto del comentario Car"/>
    <w:basedOn w:val="TextocomentarioCar"/>
    <w:link w:val="Asuntodelcomentario"/>
    <w:uiPriority w:val="99"/>
    <w:semiHidden/>
    <w:rsid w:val="00397770"/>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c">
    <w:basedOn w:val="TableNormal0"/>
    <w:pPr>
      <w:spacing w:after="0" w:line="240" w:lineRule="auto"/>
    </w:pPr>
    <w:tblPr>
      <w:tblStyleRowBandSize w:val="1"/>
      <w:tblStyleColBandSize w:val="1"/>
      <w:tblCellMar>
        <w:left w:w="108" w:type="dxa"/>
        <w:right w:w="108" w:type="dxa"/>
      </w:tblCellMar>
    </w:tblPr>
  </w:style>
  <w:style w:type="table" w:customStyle="1" w:styleId="afffffd">
    <w:basedOn w:val="TableNormal0"/>
    <w:pPr>
      <w:spacing w:after="0" w:line="240" w:lineRule="auto"/>
    </w:pPr>
    <w:tblPr>
      <w:tblStyleRowBandSize w:val="1"/>
      <w:tblStyleColBandSize w:val="1"/>
      <w:tblCellMar>
        <w:left w:w="108" w:type="dxa"/>
        <w:right w:w="108" w:type="dxa"/>
      </w:tblCellMar>
    </w:tblPr>
  </w:style>
  <w:style w:type="table" w:customStyle="1" w:styleId="afffffe">
    <w:basedOn w:val="TableNormal0"/>
    <w:pPr>
      <w:spacing w:after="0" w:line="240" w:lineRule="auto"/>
    </w:pPr>
    <w:tblPr>
      <w:tblStyleRowBandSize w:val="1"/>
      <w:tblStyleColBandSize w:val="1"/>
      <w:tblCellMar>
        <w:left w:w="108" w:type="dxa"/>
        <w:right w:w="108" w:type="dxa"/>
      </w:tblCellMar>
    </w:tblPr>
  </w:style>
  <w:style w:type="table" w:customStyle="1" w:styleId="affffff">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a5v6MDJbwXEK66ekXwl0K35myg==">CgMxLjAyDmgub2psN2cydHJtcHQ0MghoLmdqZGd4czIOaC50aWRlZW85NjJlMG0yDmguN3oyaG0xZHN0YzJuMg1oLnZjeTllZWN1NWE5Mg5oLmdydjc4NGlybmF2MzIOaC5ycXF4NWx0dXh4MG8yDmguZmQ1djJ2Y2Q4M3hlMgloLjJldDkycDAyDmguOXRyY3o5eG9mdHF6Mg5oLjU1bnRsNDJwczNldzIOaC5wNXgwOWlqOXNlMjIyDWgudDdmbXd1bTIxOWwyDWguMTA4Y2N4MTd1OHcyDmgudWZoODcyZGR4ZGNyMg5oLms5cmVmNTMyczVtajIOaC5yYXd6bzRwbnZlaGoyDmgudHd3aXE5aDl3M2tzMg5oLmFyZ3kyMXFua21ocjgAciExR21taU42NHBEdE8xRkRRRnZzOWxRSWd0ZmNzelpfVV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2410E49-C61D-4A29-9E2D-E3BEC6793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4075</Words>
  <Characters>22417</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3</cp:revision>
  <cp:lastPrinted>2025-12-19T17:42:00Z</cp:lastPrinted>
  <dcterms:created xsi:type="dcterms:W3CDTF">2025-12-19T17:42:00Z</dcterms:created>
  <dcterms:modified xsi:type="dcterms:W3CDTF">2025-12-19T17:53:00Z</dcterms:modified>
</cp:coreProperties>
</file>