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530F0" w14:textId="77777777" w:rsidR="00AF64FD" w:rsidRPr="009C72E8" w:rsidRDefault="00816891">
      <w:pPr>
        <w:spacing w:before="240" w:after="240" w:line="360" w:lineRule="auto"/>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Resolución del Pleno del Instituto de Transparencia, Acceso a la Información Pública y Protección de Datos Personales del Estado de México y Municipios, con domicilio en Metepec, Estado de México, a veintiocho de mayo de dos mil veinticinco.</w:t>
      </w:r>
    </w:p>
    <w:p w14:paraId="302337D0" w14:textId="77777777" w:rsidR="00AF64FD" w:rsidRPr="009C72E8" w:rsidRDefault="00816891">
      <w:pPr>
        <w:spacing w:before="240" w:after="240" w:line="360" w:lineRule="auto"/>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b/>
          <w:sz w:val="22"/>
          <w:szCs w:val="22"/>
        </w:rPr>
        <w:t>VISTO</w:t>
      </w:r>
      <w:r w:rsidRPr="009C72E8">
        <w:rPr>
          <w:rFonts w:ascii="Palatino Linotype" w:eastAsia="Palatino Linotype" w:hAnsi="Palatino Linotype" w:cs="Palatino Linotype"/>
          <w:sz w:val="22"/>
          <w:szCs w:val="22"/>
        </w:rPr>
        <w:t xml:space="preserve"> el expediente formado con motivo del recurso de revisión </w:t>
      </w:r>
      <w:r w:rsidRPr="009C72E8">
        <w:rPr>
          <w:rFonts w:ascii="Palatino Linotype" w:eastAsia="Palatino Linotype" w:hAnsi="Palatino Linotype" w:cs="Palatino Linotype"/>
          <w:b/>
          <w:sz w:val="22"/>
          <w:szCs w:val="22"/>
        </w:rPr>
        <w:t>02789/INFOEM/IP/RR/2025</w:t>
      </w:r>
      <w:r w:rsidRPr="009C72E8">
        <w:rPr>
          <w:rFonts w:ascii="Palatino Linotype" w:eastAsia="Palatino Linotype" w:hAnsi="Palatino Linotype" w:cs="Palatino Linotype"/>
          <w:sz w:val="22"/>
          <w:szCs w:val="22"/>
        </w:rPr>
        <w:t>, por</w:t>
      </w:r>
      <w:r w:rsidRPr="009C72E8">
        <w:rPr>
          <w:rFonts w:ascii="Palatino Linotype" w:eastAsia="Palatino Linotype" w:hAnsi="Palatino Linotype" w:cs="Palatino Linotype"/>
          <w:b/>
          <w:sz w:val="22"/>
          <w:szCs w:val="22"/>
        </w:rPr>
        <w:t xml:space="preserve"> </w:t>
      </w:r>
      <w:r w:rsidRPr="009C72E8">
        <w:rPr>
          <w:rFonts w:ascii="Palatino Linotype" w:eastAsia="Palatino Linotype" w:hAnsi="Palatino Linotype" w:cs="Palatino Linotype"/>
          <w:sz w:val="22"/>
          <w:szCs w:val="22"/>
        </w:rPr>
        <w:t>interpuesto por</w:t>
      </w:r>
      <w:r w:rsidRPr="009C72E8">
        <w:rPr>
          <w:rFonts w:ascii="Palatino Linotype" w:eastAsia="Palatino Linotype" w:hAnsi="Palatino Linotype" w:cs="Palatino Linotype"/>
          <w:b/>
          <w:sz w:val="22"/>
          <w:szCs w:val="22"/>
        </w:rPr>
        <w:t xml:space="preserve"> un Usuario del Sistema de Acceso a la Información Mexiquense que no proporcionó su nombre,</w:t>
      </w:r>
      <w:r w:rsidRPr="009C72E8">
        <w:rPr>
          <w:rFonts w:ascii="Palatino Linotype" w:eastAsia="Palatino Linotype" w:hAnsi="Palatino Linotype" w:cs="Palatino Linotype"/>
          <w:sz w:val="22"/>
          <w:szCs w:val="22"/>
        </w:rPr>
        <w:t xml:space="preserve"> en lo sucesivo la parte </w:t>
      </w:r>
      <w:r w:rsidRPr="009C72E8">
        <w:rPr>
          <w:rFonts w:ascii="Palatino Linotype" w:eastAsia="Palatino Linotype" w:hAnsi="Palatino Linotype" w:cs="Palatino Linotype"/>
          <w:b/>
          <w:sz w:val="22"/>
          <w:szCs w:val="22"/>
        </w:rPr>
        <w:t>RECURRENTE,</w:t>
      </w:r>
      <w:r w:rsidRPr="009C72E8">
        <w:rPr>
          <w:rFonts w:ascii="Palatino Linotype" w:eastAsia="Palatino Linotype" w:hAnsi="Palatino Linotype" w:cs="Palatino Linotype"/>
          <w:sz w:val="22"/>
          <w:szCs w:val="22"/>
        </w:rPr>
        <w:t xml:space="preserve"> en contra de la respuesta a su solicitud por parte del </w:t>
      </w:r>
      <w:r w:rsidRPr="009C72E8">
        <w:rPr>
          <w:rFonts w:ascii="Palatino Linotype" w:eastAsia="Palatino Linotype" w:hAnsi="Palatino Linotype" w:cs="Palatino Linotype"/>
          <w:b/>
          <w:sz w:val="22"/>
          <w:szCs w:val="22"/>
        </w:rPr>
        <w:t xml:space="preserve">Ayuntamiento de Cuautitlán Izcalli, </w:t>
      </w:r>
      <w:r w:rsidRPr="009C72E8">
        <w:rPr>
          <w:rFonts w:ascii="Palatino Linotype" w:eastAsia="Palatino Linotype" w:hAnsi="Palatino Linotype" w:cs="Palatino Linotype"/>
          <w:sz w:val="22"/>
          <w:szCs w:val="22"/>
        </w:rPr>
        <w:t xml:space="preserve">en lo sucesivo el </w:t>
      </w:r>
      <w:r w:rsidRPr="009C72E8">
        <w:rPr>
          <w:rFonts w:ascii="Palatino Linotype" w:eastAsia="Palatino Linotype" w:hAnsi="Palatino Linotype" w:cs="Palatino Linotype"/>
          <w:b/>
          <w:sz w:val="22"/>
          <w:szCs w:val="22"/>
        </w:rPr>
        <w:t xml:space="preserve">SUJETO OBLIGADO, </w:t>
      </w:r>
      <w:r w:rsidRPr="009C72E8">
        <w:rPr>
          <w:rFonts w:ascii="Palatino Linotype" w:eastAsia="Palatino Linotype" w:hAnsi="Palatino Linotype" w:cs="Palatino Linotype"/>
          <w:sz w:val="22"/>
          <w:szCs w:val="22"/>
        </w:rPr>
        <w:t xml:space="preserve">se procede a dictar la presente resolución con base en los siguientes: </w:t>
      </w:r>
    </w:p>
    <w:p w14:paraId="5220EB1F" w14:textId="77777777" w:rsidR="00AF64FD" w:rsidRPr="009C72E8" w:rsidRDefault="00816891">
      <w:pPr>
        <w:spacing w:before="240" w:after="240" w:line="360" w:lineRule="auto"/>
        <w:jc w:val="center"/>
        <w:rPr>
          <w:rFonts w:ascii="Palatino Linotype" w:eastAsia="Palatino Linotype" w:hAnsi="Palatino Linotype" w:cs="Palatino Linotype"/>
          <w:b/>
          <w:sz w:val="22"/>
          <w:szCs w:val="22"/>
        </w:rPr>
      </w:pPr>
      <w:r w:rsidRPr="009C72E8">
        <w:rPr>
          <w:rFonts w:ascii="Palatino Linotype" w:eastAsia="Palatino Linotype" w:hAnsi="Palatino Linotype" w:cs="Palatino Linotype"/>
          <w:b/>
          <w:sz w:val="22"/>
          <w:szCs w:val="22"/>
        </w:rPr>
        <w:t>I. A N T E C E D E N T E S</w:t>
      </w:r>
    </w:p>
    <w:p w14:paraId="53E8E5D1" w14:textId="77777777" w:rsidR="00AF64FD" w:rsidRPr="009C72E8" w:rsidRDefault="00816891">
      <w:pPr>
        <w:spacing w:before="240" w:after="240" w:line="360" w:lineRule="auto"/>
        <w:jc w:val="both"/>
        <w:rPr>
          <w:rFonts w:ascii="Palatino Linotype" w:eastAsia="Palatino Linotype" w:hAnsi="Palatino Linotype" w:cs="Palatino Linotype"/>
          <w:b/>
          <w:sz w:val="22"/>
          <w:szCs w:val="22"/>
        </w:rPr>
      </w:pPr>
      <w:r w:rsidRPr="009C72E8">
        <w:rPr>
          <w:rFonts w:ascii="Palatino Linotype" w:eastAsia="Palatino Linotype" w:hAnsi="Palatino Linotype" w:cs="Palatino Linotype"/>
          <w:b/>
          <w:sz w:val="22"/>
          <w:szCs w:val="22"/>
        </w:rPr>
        <w:t>1. Solicitud de acceso a la información.</w:t>
      </w:r>
      <w:r w:rsidRPr="009C72E8">
        <w:rPr>
          <w:rFonts w:ascii="Palatino Linotype" w:eastAsia="Palatino Linotype" w:hAnsi="Palatino Linotype" w:cs="Palatino Linotype"/>
          <w:sz w:val="22"/>
          <w:szCs w:val="22"/>
        </w:rPr>
        <w:t xml:space="preserve"> Con fecha </w:t>
      </w:r>
      <w:r w:rsidRPr="009C72E8">
        <w:rPr>
          <w:rFonts w:ascii="Palatino Linotype" w:eastAsia="Palatino Linotype" w:hAnsi="Palatino Linotype" w:cs="Palatino Linotype"/>
          <w:b/>
          <w:sz w:val="22"/>
          <w:szCs w:val="22"/>
        </w:rPr>
        <w:t>catorce de febrero de dos mil veinticinco</w:t>
      </w:r>
      <w:r w:rsidRPr="009C72E8">
        <w:rPr>
          <w:rFonts w:ascii="Palatino Linotype" w:eastAsia="Palatino Linotype" w:hAnsi="Palatino Linotype" w:cs="Palatino Linotype"/>
          <w:sz w:val="22"/>
          <w:szCs w:val="22"/>
        </w:rPr>
        <w:t xml:space="preserve">, el Recurrente formuló una solicitud través del Sistema de Acceso a la Información Mexiquense, en lo subsecuente el </w:t>
      </w:r>
      <w:r w:rsidRPr="009C72E8">
        <w:rPr>
          <w:rFonts w:ascii="Palatino Linotype" w:eastAsia="Palatino Linotype" w:hAnsi="Palatino Linotype" w:cs="Palatino Linotype"/>
          <w:b/>
          <w:sz w:val="22"/>
          <w:szCs w:val="22"/>
        </w:rPr>
        <w:t>SAIMEX,</w:t>
      </w:r>
      <w:r w:rsidRPr="009C72E8">
        <w:rPr>
          <w:rFonts w:ascii="Palatino Linotype" w:eastAsia="Palatino Linotype" w:hAnsi="Palatino Linotype" w:cs="Palatino Linotype"/>
          <w:sz w:val="22"/>
          <w:szCs w:val="22"/>
        </w:rPr>
        <w:t xml:space="preserve"> ante el </w:t>
      </w:r>
      <w:r w:rsidRPr="009C72E8">
        <w:rPr>
          <w:rFonts w:ascii="Palatino Linotype" w:eastAsia="Palatino Linotype" w:hAnsi="Palatino Linotype" w:cs="Palatino Linotype"/>
          <w:b/>
          <w:sz w:val="22"/>
          <w:szCs w:val="22"/>
        </w:rPr>
        <w:t>SUJETO OBLIGADO</w:t>
      </w:r>
      <w:r w:rsidRPr="009C72E8">
        <w:rPr>
          <w:rFonts w:ascii="Palatino Linotype" w:eastAsia="Palatino Linotype" w:hAnsi="Palatino Linotype" w:cs="Palatino Linotype"/>
          <w:sz w:val="22"/>
          <w:szCs w:val="22"/>
        </w:rPr>
        <w:t>, la solicitud de acceso a la información pública, a la que se le asignó el número</w:t>
      </w:r>
      <w:r w:rsidRPr="009C72E8">
        <w:rPr>
          <w:rFonts w:ascii="Palatino Linotype" w:eastAsia="Palatino Linotype" w:hAnsi="Palatino Linotype" w:cs="Palatino Linotype"/>
          <w:b/>
          <w:sz w:val="22"/>
          <w:szCs w:val="22"/>
        </w:rPr>
        <w:t xml:space="preserve"> 00434/CUAUTIZC/IP/2025, </w:t>
      </w:r>
      <w:r w:rsidRPr="009C72E8">
        <w:rPr>
          <w:rFonts w:ascii="Palatino Linotype" w:eastAsia="Palatino Linotype" w:hAnsi="Palatino Linotype" w:cs="Palatino Linotype"/>
          <w:sz w:val="22"/>
          <w:szCs w:val="22"/>
        </w:rPr>
        <w:t>mediante la cual requirió la información siguiente:</w:t>
      </w:r>
    </w:p>
    <w:p w14:paraId="28C56FCC" w14:textId="77777777" w:rsidR="00AF64FD" w:rsidRPr="009C72E8" w:rsidRDefault="00816891">
      <w:pPr>
        <w:spacing w:before="240" w:line="360" w:lineRule="auto"/>
        <w:ind w:left="567" w:right="616"/>
        <w:jc w:val="both"/>
        <w:rPr>
          <w:rFonts w:ascii="Palatino Linotype" w:eastAsia="Palatino Linotype" w:hAnsi="Palatino Linotype" w:cs="Palatino Linotype"/>
          <w:i/>
          <w:sz w:val="22"/>
          <w:szCs w:val="22"/>
        </w:rPr>
      </w:pPr>
      <w:bookmarkStart w:id="0" w:name="_heading=h.gjdgxs" w:colFirst="0" w:colLast="0"/>
      <w:bookmarkEnd w:id="0"/>
      <w:r w:rsidRPr="009C72E8">
        <w:rPr>
          <w:rFonts w:ascii="Palatino Linotype" w:eastAsia="Palatino Linotype" w:hAnsi="Palatino Linotype" w:cs="Palatino Linotype"/>
          <w:i/>
          <w:sz w:val="22"/>
          <w:szCs w:val="22"/>
        </w:rPr>
        <w:t xml:space="preserve">“Solicito la versión publica del tercer informe trimestral enviado a </w:t>
      </w:r>
      <w:proofErr w:type="spellStart"/>
      <w:r w:rsidRPr="009C72E8">
        <w:rPr>
          <w:rFonts w:ascii="Palatino Linotype" w:eastAsia="Palatino Linotype" w:hAnsi="Palatino Linotype" w:cs="Palatino Linotype"/>
          <w:i/>
          <w:sz w:val="22"/>
          <w:szCs w:val="22"/>
        </w:rPr>
        <w:t>osfem</w:t>
      </w:r>
      <w:proofErr w:type="spellEnd"/>
      <w:r w:rsidRPr="009C72E8">
        <w:rPr>
          <w:rFonts w:ascii="Palatino Linotype" w:eastAsia="Palatino Linotype" w:hAnsi="Palatino Linotype" w:cs="Palatino Linotype"/>
          <w:i/>
          <w:sz w:val="22"/>
          <w:szCs w:val="22"/>
        </w:rPr>
        <w:t xml:space="preserve"> el año pasado incluyendo todos los módulos” (Sic)</w:t>
      </w:r>
    </w:p>
    <w:p w14:paraId="395EBC07" w14:textId="77777777" w:rsidR="00AF64FD" w:rsidRPr="009C72E8" w:rsidRDefault="00AF64FD">
      <w:pPr>
        <w:spacing w:line="360" w:lineRule="auto"/>
        <w:ind w:right="902"/>
        <w:jc w:val="both"/>
        <w:rPr>
          <w:rFonts w:ascii="Palatino Linotype" w:eastAsia="Palatino Linotype" w:hAnsi="Palatino Linotype" w:cs="Palatino Linotype"/>
          <w:i/>
          <w:sz w:val="22"/>
          <w:szCs w:val="22"/>
        </w:rPr>
      </w:pPr>
    </w:p>
    <w:p w14:paraId="026026FF" w14:textId="77777777" w:rsidR="00AF64FD" w:rsidRPr="009C72E8" w:rsidRDefault="00816891">
      <w:pPr>
        <w:spacing w:line="360" w:lineRule="auto"/>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b/>
          <w:sz w:val="22"/>
          <w:szCs w:val="22"/>
        </w:rPr>
        <w:t>Modalidad de Entrega:</w:t>
      </w:r>
      <w:r w:rsidRPr="009C72E8">
        <w:rPr>
          <w:rFonts w:ascii="Palatino Linotype" w:eastAsia="Palatino Linotype" w:hAnsi="Palatino Linotype" w:cs="Palatino Linotype"/>
          <w:sz w:val="22"/>
          <w:szCs w:val="22"/>
        </w:rPr>
        <w:t xml:space="preserve"> A través de SAIMEX.</w:t>
      </w:r>
    </w:p>
    <w:p w14:paraId="3DC4BEEE" w14:textId="77777777" w:rsidR="00AF64FD" w:rsidRPr="009C72E8" w:rsidRDefault="00AF64FD">
      <w:pPr>
        <w:spacing w:line="360" w:lineRule="auto"/>
        <w:jc w:val="both"/>
        <w:rPr>
          <w:rFonts w:ascii="Palatino Linotype" w:eastAsia="Palatino Linotype" w:hAnsi="Palatino Linotype" w:cs="Palatino Linotype"/>
          <w:sz w:val="22"/>
          <w:szCs w:val="22"/>
        </w:rPr>
      </w:pPr>
    </w:p>
    <w:p w14:paraId="3FDD9671" w14:textId="77777777" w:rsidR="00AF64FD" w:rsidRPr="009C72E8" w:rsidRDefault="00816891">
      <w:pPr>
        <w:spacing w:after="240" w:line="360" w:lineRule="auto"/>
        <w:jc w:val="both"/>
        <w:rPr>
          <w:rFonts w:ascii="Palatino Linotype" w:eastAsia="Palatino Linotype" w:hAnsi="Palatino Linotype" w:cs="Palatino Linotype"/>
          <w:b/>
          <w:sz w:val="22"/>
          <w:szCs w:val="22"/>
        </w:rPr>
      </w:pPr>
      <w:r w:rsidRPr="009C72E8">
        <w:rPr>
          <w:rFonts w:ascii="Palatino Linotype" w:eastAsia="Palatino Linotype" w:hAnsi="Palatino Linotype" w:cs="Palatino Linotype"/>
          <w:b/>
          <w:sz w:val="22"/>
          <w:szCs w:val="22"/>
        </w:rPr>
        <w:t xml:space="preserve">2. Respuesta. </w:t>
      </w:r>
      <w:r w:rsidRPr="009C72E8">
        <w:rPr>
          <w:rFonts w:ascii="Palatino Linotype" w:eastAsia="Palatino Linotype" w:hAnsi="Palatino Linotype" w:cs="Palatino Linotype"/>
          <w:sz w:val="22"/>
          <w:szCs w:val="22"/>
        </w:rPr>
        <w:t xml:space="preserve">Con fecha </w:t>
      </w:r>
      <w:r w:rsidRPr="009C72E8">
        <w:rPr>
          <w:rFonts w:ascii="Palatino Linotype" w:eastAsia="Palatino Linotype" w:hAnsi="Palatino Linotype" w:cs="Palatino Linotype"/>
          <w:b/>
          <w:sz w:val="22"/>
          <w:szCs w:val="22"/>
        </w:rPr>
        <w:t>cinco de marzo de dos mil veinticinco</w:t>
      </w:r>
      <w:r w:rsidRPr="009C72E8">
        <w:rPr>
          <w:rFonts w:ascii="Palatino Linotype" w:eastAsia="Palatino Linotype" w:hAnsi="Palatino Linotype" w:cs="Palatino Linotype"/>
          <w:sz w:val="22"/>
          <w:szCs w:val="22"/>
        </w:rPr>
        <w:t xml:space="preserve">, el </w:t>
      </w:r>
      <w:r w:rsidRPr="009C72E8">
        <w:rPr>
          <w:rFonts w:ascii="Palatino Linotype" w:eastAsia="Palatino Linotype" w:hAnsi="Palatino Linotype" w:cs="Palatino Linotype"/>
          <w:b/>
          <w:sz w:val="22"/>
          <w:szCs w:val="22"/>
        </w:rPr>
        <w:t xml:space="preserve">SUJETO OBLIGADO </w:t>
      </w:r>
      <w:r w:rsidRPr="009C72E8">
        <w:rPr>
          <w:rFonts w:ascii="Palatino Linotype" w:eastAsia="Palatino Linotype" w:hAnsi="Palatino Linotype" w:cs="Palatino Linotype"/>
          <w:sz w:val="22"/>
          <w:szCs w:val="22"/>
        </w:rPr>
        <w:t xml:space="preserve">envió su respuesta a la solicitud de acceso a la información a través de SAIMEX, sustancialmente en los términos siguientes:  </w:t>
      </w:r>
    </w:p>
    <w:p w14:paraId="32E13FB3" w14:textId="77777777" w:rsidR="00AF64FD" w:rsidRPr="009C72E8" w:rsidRDefault="00816891">
      <w:pPr>
        <w:spacing w:before="240" w:after="240" w:line="360" w:lineRule="auto"/>
        <w:ind w:left="851" w:right="902"/>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i/>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065576EB" w14:textId="77777777" w:rsidR="00AF64FD" w:rsidRPr="009C72E8" w:rsidRDefault="00816891">
      <w:pPr>
        <w:spacing w:before="240" w:after="240" w:line="360" w:lineRule="auto"/>
        <w:ind w:left="851" w:right="902"/>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i/>
          <w:sz w:val="22"/>
          <w:szCs w:val="22"/>
        </w:rPr>
        <w:t>Se procede a notificar la respuesta a la solicitud de información pública. Así mismo se hace de su conocimiento que usted puede interponer su recurso de revisión dentro del plazo de 15 días hábiles contados a partir de la fecha en que se realice la notificación vía electrónica, a través del SAIMEX</w:t>
      </w:r>
    </w:p>
    <w:p w14:paraId="17BFD463" w14:textId="77777777" w:rsidR="00AF64FD" w:rsidRPr="009C72E8" w:rsidRDefault="00816891">
      <w:pPr>
        <w:spacing w:before="240" w:after="240" w:line="360" w:lineRule="auto"/>
        <w:ind w:left="851" w:right="902"/>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i/>
          <w:sz w:val="22"/>
          <w:szCs w:val="22"/>
        </w:rPr>
        <w:t>ATENTAMENTE</w:t>
      </w:r>
    </w:p>
    <w:p w14:paraId="3543AA97" w14:textId="77777777" w:rsidR="00AF64FD" w:rsidRPr="009C72E8" w:rsidRDefault="00816891">
      <w:pPr>
        <w:spacing w:before="240" w:after="240" w:line="360" w:lineRule="auto"/>
        <w:ind w:left="851" w:right="902"/>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i/>
          <w:sz w:val="22"/>
          <w:szCs w:val="22"/>
        </w:rPr>
        <w:t>GABRIELA ELIZABETH MORALES CRUZ” (Sic)</w:t>
      </w:r>
    </w:p>
    <w:p w14:paraId="7FF42769" w14:textId="77777777" w:rsidR="00AF64FD" w:rsidRPr="009C72E8" w:rsidRDefault="00816891">
      <w:pPr>
        <w:pBdr>
          <w:top w:val="nil"/>
          <w:left w:val="nil"/>
          <w:bottom w:val="nil"/>
          <w:right w:val="nil"/>
          <w:between w:val="nil"/>
        </w:pBdr>
        <w:spacing w:before="240" w:line="360" w:lineRule="auto"/>
        <w:ind w:right="49"/>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sz w:val="22"/>
          <w:szCs w:val="22"/>
        </w:rPr>
        <w:t>El Sujeto Obligado adjuntó el documento electrónico siguiente:</w:t>
      </w:r>
    </w:p>
    <w:p w14:paraId="5498EF10" w14:textId="77777777" w:rsidR="00AF64FD" w:rsidRPr="009C72E8" w:rsidRDefault="00AF64FD">
      <w:pPr>
        <w:pBdr>
          <w:top w:val="nil"/>
          <w:left w:val="nil"/>
          <w:bottom w:val="nil"/>
          <w:right w:val="nil"/>
          <w:between w:val="nil"/>
        </w:pBdr>
        <w:spacing w:line="360" w:lineRule="auto"/>
        <w:ind w:left="720" w:right="49"/>
        <w:jc w:val="both"/>
        <w:rPr>
          <w:rFonts w:ascii="Palatino Linotype" w:eastAsia="Palatino Linotype" w:hAnsi="Palatino Linotype" w:cs="Palatino Linotype"/>
          <w:b/>
          <w:sz w:val="22"/>
          <w:szCs w:val="22"/>
        </w:rPr>
      </w:pPr>
    </w:p>
    <w:p w14:paraId="0A1825D6" w14:textId="77777777" w:rsidR="00AF64FD" w:rsidRPr="009C72E8" w:rsidRDefault="00816891">
      <w:pPr>
        <w:numPr>
          <w:ilvl w:val="0"/>
          <w:numId w:val="6"/>
        </w:numPr>
        <w:pBdr>
          <w:top w:val="nil"/>
          <w:left w:val="nil"/>
          <w:bottom w:val="nil"/>
          <w:right w:val="nil"/>
          <w:between w:val="nil"/>
        </w:pBdr>
        <w:spacing w:line="360" w:lineRule="auto"/>
        <w:ind w:left="426" w:right="49"/>
        <w:jc w:val="both"/>
        <w:rPr>
          <w:rFonts w:ascii="Palatino Linotype" w:eastAsia="Palatino Linotype" w:hAnsi="Palatino Linotype" w:cs="Palatino Linotype"/>
          <w:b/>
          <w:i/>
          <w:sz w:val="22"/>
          <w:szCs w:val="22"/>
        </w:rPr>
      </w:pPr>
      <w:r w:rsidRPr="009C72E8">
        <w:rPr>
          <w:rFonts w:ascii="Palatino Linotype" w:eastAsia="Palatino Linotype" w:hAnsi="Palatino Linotype" w:cs="Palatino Linotype"/>
          <w:b/>
          <w:sz w:val="22"/>
          <w:szCs w:val="22"/>
        </w:rPr>
        <w:t>TM-DJT-0573-2025:</w:t>
      </w:r>
      <w:r w:rsidRPr="009C72E8">
        <w:rPr>
          <w:rFonts w:ascii="Palatino Linotype" w:eastAsia="Palatino Linotype" w:hAnsi="Palatino Linotype" w:cs="Palatino Linotype"/>
          <w:b/>
          <w:i/>
          <w:sz w:val="22"/>
          <w:szCs w:val="22"/>
        </w:rPr>
        <w:t xml:space="preserve"> </w:t>
      </w:r>
      <w:r w:rsidRPr="009C72E8">
        <w:rPr>
          <w:rFonts w:ascii="Palatino Linotype" w:eastAsia="Palatino Linotype" w:hAnsi="Palatino Linotype" w:cs="Palatino Linotype"/>
          <w:b/>
          <w:sz w:val="22"/>
          <w:szCs w:val="22"/>
        </w:rPr>
        <w:t xml:space="preserve">Oficio TM/DJT/0573/2025 suscrito por el Tesorero Municipal mediante el cual refiere que la información de interés para el Recurrente se encuentra en la página CONAC, para lo cual refiere que debe entrar a la página web del Ayuntamiento, en el apartado “Información Pública”, opción CONAC. Asimismo, entregó la dirección electrónica siguiente: </w:t>
      </w:r>
      <w:r w:rsidRPr="009C72E8">
        <w:rPr>
          <w:rFonts w:ascii="Palatino Linotype" w:eastAsia="Palatino Linotype" w:hAnsi="Palatino Linotype" w:cs="Palatino Linotype"/>
          <w:noProof/>
          <w:sz w:val="22"/>
          <w:szCs w:val="22"/>
          <w:lang w:val="es-MX"/>
        </w:rPr>
        <w:drawing>
          <wp:inline distT="0" distB="0" distL="0" distR="0" wp14:anchorId="69165A43" wp14:editId="1991A817">
            <wp:extent cx="2934109" cy="200053"/>
            <wp:effectExtent l="0" t="0" r="0" b="0"/>
            <wp:docPr id="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2934109" cy="200053"/>
                    </a:xfrm>
                    <a:prstGeom prst="rect">
                      <a:avLst/>
                    </a:prstGeom>
                    <a:ln/>
                  </pic:spPr>
                </pic:pic>
              </a:graphicData>
            </a:graphic>
          </wp:inline>
        </w:drawing>
      </w:r>
    </w:p>
    <w:p w14:paraId="5B70413B" w14:textId="77777777" w:rsidR="00AF64FD" w:rsidRPr="009C72E8" w:rsidRDefault="00AF64FD">
      <w:pPr>
        <w:pBdr>
          <w:top w:val="nil"/>
          <w:left w:val="nil"/>
          <w:bottom w:val="nil"/>
          <w:right w:val="nil"/>
          <w:between w:val="nil"/>
        </w:pBdr>
        <w:spacing w:line="360" w:lineRule="auto"/>
        <w:ind w:left="426" w:right="49"/>
        <w:jc w:val="both"/>
        <w:rPr>
          <w:rFonts w:ascii="Palatino Linotype" w:eastAsia="Palatino Linotype" w:hAnsi="Palatino Linotype" w:cs="Palatino Linotype"/>
          <w:b/>
          <w:sz w:val="22"/>
          <w:szCs w:val="22"/>
        </w:rPr>
      </w:pPr>
    </w:p>
    <w:p w14:paraId="7C836100" w14:textId="77777777" w:rsidR="00AF64FD" w:rsidRPr="009C72E8" w:rsidRDefault="00816891">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b/>
          <w:sz w:val="22"/>
          <w:szCs w:val="22"/>
        </w:rPr>
        <w:t xml:space="preserve">3. Interposición del recurso de revisión. </w:t>
      </w:r>
      <w:r w:rsidRPr="009C72E8">
        <w:rPr>
          <w:rFonts w:ascii="Palatino Linotype" w:eastAsia="Palatino Linotype" w:hAnsi="Palatino Linotype" w:cs="Palatino Linotype"/>
          <w:sz w:val="22"/>
          <w:szCs w:val="22"/>
        </w:rPr>
        <w:t xml:space="preserve">Inconforme con los términos de la respuesta emitida por parte del </w:t>
      </w:r>
      <w:r w:rsidRPr="009C72E8">
        <w:rPr>
          <w:rFonts w:ascii="Palatino Linotype" w:eastAsia="Palatino Linotype" w:hAnsi="Palatino Linotype" w:cs="Palatino Linotype"/>
          <w:b/>
          <w:sz w:val="22"/>
          <w:szCs w:val="22"/>
        </w:rPr>
        <w:t>SUJETO OBLIGADO</w:t>
      </w:r>
      <w:r w:rsidRPr="009C72E8">
        <w:rPr>
          <w:rFonts w:ascii="Palatino Linotype" w:eastAsia="Palatino Linotype" w:hAnsi="Palatino Linotype" w:cs="Palatino Linotype"/>
          <w:sz w:val="22"/>
          <w:szCs w:val="22"/>
        </w:rPr>
        <w:t xml:space="preserve">, el </w:t>
      </w:r>
      <w:r w:rsidRPr="009C72E8">
        <w:rPr>
          <w:rFonts w:ascii="Palatino Linotype" w:eastAsia="Palatino Linotype" w:hAnsi="Palatino Linotype" w:cs="Palatino Linotype"/>
          <w:b/>
          <w:sz w:val="22"/>
          <w:szCs w:val="22"/>
        </w:rPr>
        <w:t>once de marzo del año dos mil veinticinco,</w:t>
      </w:r>
      <w:r w:rsidRPr="009C72E8">
        <w:rPr>
          <w:rFonts w:ascii="Palatino Linotype" w:eastAsia="Palatino Linotype" w:hAnsi="Palatino Linotype" w:cs="Palatino Linotype"/>
          <w:sz w:val="22"/>
          <w:szCs w:val="22"/>
        </w:rPr>
        <w:t xml:space="preserve"> la parte </w:t>
      </w:r>
      <w:r w:rsidRPr="009C72E8">
        <w:rPr>
          <w:rFonts w:ascii="Palatino Linotype" w:eastAsia="Palatino Linotype" w:hAnsi="Palatino Linotype" w:cs="Palatino Linotype"/>
          <w:b/>
          <w:sz w:val="22"/>
          <w:szCs w:val="22"/>
        </w:rPr>
        <w:t>RECURRENTE</w:t>
      </w:r>
      <w:r w:rsidRPr="009C72E8">
        <w:rPr>
          <w:rFonts w:ascii="Palatino Linotype" w:eastAsia="Palatino Linotype" w:hAnsi="Palatino Linotype" w:cs="Palatino Linotype"/>
          <w:sz w:val="22"/>
          <w:szCs w:val="22"/>
        </w:rPr>
        <w:t xml:space="preserve"> interpuso el recurso de revisión a través de </w:t>
      </w:r>
      <w:r w:rsidRPr="009C72E8">
        <w:rPr>
          <w:rFonts w:ascii="Palatino Linotype" w:eastAsia="Palatino Linotype" w:hAnsi="Palatino Linotype" w:cs="Palatino Linotype"/>
          <w:b/>
          <w:sz w:val="22"/>
          <w:szCs w:val="22"/>
        </w:rPr>
        <w:t xml:space="preserve">SAIMEX, </w:t>
      </w:r>
      <w:r w:rsidRPr="009C72E8">
        <w:rPr>
          <w:rFonts w:ascii="Palatino Linotype" w:eastAsia="Palatino Linotype" w:hAnsi="Palatino Linotype" w:cs="Palatino Linotype"/>
          <w:sz w:val="22"/>
          <w:szCs w:val="22"/>
        </w:rPr>
        <w:t>en donde se manifestó de la siguiente manera:</w:t>
      </w:r>
    </w:p>
    <w:p w14:paraId="572D44C5" w14:textId="77777777" w:rsidR="00AF64FD" w:rsidRPr="009C72E8" w:rsidRDefault="00816891">
      <w:pPr>
        <w:numPr>
          <w:ilvl w:val="0"/>
          <w:numId w:val="2"/>
        </w:numPr>
        <w:pBdr>
          <w:top w:val="nil"/>
          <w:left w:val="nil"/>
          <w:bottom w:val="nil"/>
          <w:right w:val="nil"/>
          <w:between w:val="nil"/>
        </w:pBdr>
        <w:tabs>
          <w:tab w:val="left" w:pos="2745"/>
        </w:tabs>
        <w:spacing w:before="240" w:line="360" w:lineRule="auto"/>
        <w:jc w:val="both"/>
        <w:rPr>
          <w:rFonts w:ascii="Palatino Linotype" w:eastAsia="Palatino Linotype" w:hAnsi="Palatino Linotype" w:cs="Palatino Linotype"/>
          <w:b/>
          <w:sz w:val="22"/>
          <w:szCs w:val="22"/>
        </w:rPr>
      </w:pPr>
      <w:r w:rsidRPr="009C72E8">
        <w:rPr>
          <w:rFonts w:ascii="Palatino Linotype" w:eastAsia="Palatino Linotype" w:hAnsi="Palatino Linotype" w:cs="Palatino Linotype"/>
          <w:b/>
          <w:sz w:val="22"/>
          <w:szCs w:val="22"/>
        </w:rPr>
        <w:t xml:space="preserve">Acto impugnado: </w:t>
      </w:r>
    </w:p>
    <w:p w14:paraId="7EB4187F" w14:textId="77777777" w:rsidR="00AF64FD" w:rsidRPr="009C72E8" w:rsidRDefault="00816891">
      <w:pPr>
        <w:pBdr>
          <w:top w:val="nil"/>
          <w:left w:val="nil"/>
          <w:bottom w:val="nil"/>
          <w:right w:val="nil"/>
          <w:between w:val="nil"/>
        </w:pBdr>
        <w:spacing w:line="360" w:lineRule="auto"/>
        <w:ind w:left="720" w:right="902"/>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i/>
          <w:sz w:val="22"/>
          <w:szCs w:val="22"/>
        </w:rPr>
        <w:lastRenderedPageBreak/>
        <w:t>“La respuesta otorgada” (Sic)</w:t>
      </w:r>
    </w:p>
    <w:p w14:paraId="5E1CC5A8" w14:textId="77777777" w:rsidR="00AF64FD" w:rsidRPr="009C72E8" w:rsidRDefault="00AF64FD">
      <w:pPr>
        <w:spacing w:line="360" w:lineRule="auto"/>
        <w:ind w:left="851" w:right="902"/>
        <w:jc w:val="both"/>
        <w:rPr>
          <w:rFonts w:ascii="Palatino Linotype" w:eastAsia="Palatino Linotype" w:hAnsi="Palatino Linotype" w:cs="Palatino Linotype"/>
          <w:i/>
          <w:sz w:val="22"/>
          <w:szCs w:val="22"/>
        </w:rPr>
      </w:pPr>
    </w:p>
    <w:p w14:paraId="10D7B240" w14:textId="77777777" w:rsidR="00AF64FD" w:rsidRPr="009C72E8" w:rsidRDefault="00816891">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b/>
          <w:sz w:val="22"/>
          <w:szCs w:val="22"/>
        </w:rPr>
        <w:t>Y Razones o motivos de inconformidad</w:t>
      </w:r>
      <w:r w:rsidRPr="009C72E8">
        <w:rPr>
          <w:rFonts w:ascii="Palatino Linotype" w:eastAsia="Palatino Linotype" w:hAnsi="Palatino Linotype" w:cs="Palatino Linotype"/>
          <w:sz w:val="22"/>
          <w:szCs w:val="22"/>
        </w:rPr>
        <w:t>:</w:t>
      </w:r>
    </w:p>
    <w:p w14:paraId="3DDDEA29" w14:textId="77777777" w:rsidR="00AF64FD" w:rsidRPr="009C72E8" w:rsidRDefault="00816891">
      <w:pPr>
        <w:pBdr>
          <w:top w:val="nil"/>
          <w:left w:val="nil"/>
          <w:bottom w:val="nil"/>
          <w:right w:val="nil"/>
          <w:between w:val="nil"/>
        </w:pBdr>
        <w:spacing w:line="360" w:lineRule="auto"/>
        <w:ind w:left="720" w:right="902"/>
        <w:jc w:val="both"/>
        <w:rPr>
          <w:rFonts w:ascii="Palatino Linotype" w:eastAsia="Palatino Linotype" w:hAnsi="Palatino Linotype" w:cs="Palatino Linotype"/>
          <w:i/>
          <w:sz w:val="22"/>
          <w:szCs w:val="22"/>
        </w:rPr>
      </w:pPr>
      <w:bookmarkStart w:id="1" w:name="_heading=h.30j0zll" w:colFirst="0" w:colLast="0"/>
      <w:bookmarkEnd w:id="1"/>
      <w:r w:rsidRPr="009C72E8">
        <w:rPr>
          <w:rFonts w:ascii="Palatino Linotype" w:eastAsia="Palatino Linotype" w:hAnsi="Palatino Linotype" w:cs="Palatino Linotype"/>
          <w:i/>
          <w:sz w:val="22"/>
          <w:szCs w:val="22"/>
        </w:rPr>
        <w:t xml:space="preserve">“Para empezar para remitir a un link debe ser dentro de los 5 días y no deben ponerme a buscar información su obligación es mandarla, además en su página no publican los informes trimestrales con sus módulos completos de acuerdo a los lineamientos para la integración y entrega de los informes trimestrales al </w:t>
      </w:r>
      <w:proofErr w:type="spellStart"/>
      <w:r w:rsidRPr="009C72E8">
        <w:rPr>
          <w:rFonts w:ascii="Palatino Linotype" w:eastAsia="Palatino Linotype" w:hAnsi="Palatino Linotype" w:cs="Palatino Linotype"/>
          <w:i/>
          <w:sz w:val="22"/>
          <w:szCs w:val="22"/>
        </w:rPr>
        <w:t>osfem</w:t>
      </w:r>
      <w:proofErr w:type="spellEnd"/>
      <w:r w:rsidRPr="009C72E8">
        <w:rPr>
          <w:rFonts w:ascii="Palatino Linotype" w:eastAsia="Palatino Linotype" w:hAnsi="Palatino Linotype" w:cs="Palatino Linotype"/>
          <w:i/>
          <w:sz w:val="22"/>
          <w:szCs w:val="22"/>
        </w:rPr>
        <w:t xml:space="preserve">, no puedo creer que no conozcan ni su propia materia y que transparencia acepte respuestas tan deficientes, quiero la información completa y que se pongan a leer la Ley e inicien los procedimientos de responsabilidad en contra de los servidores y funcionarios que claramente </w:t>
      </w:r>
      <w:proofErr w:type="spellStart"/>
      <w:r w:rsidRPr="009C72E8">
        <w:rPr>
          <w:rFonts w:ascii="Palatino Linotype" w:eastAsia="Palatino Linotype" w:hAnsi="Palatino Linotype" w:cs="Palatino Linotype"/>
          <w:i/>
          <w:sz w:val="22"/>
          <w:szCs w:val="22"/>
        </w:rPr>
        <w:t>estan</w:t>
      </w:r>
      <w:proofErr w:type="spellEnd"/>
      <w:r w:rsidRPr="009C72E8">
        <w:rPr>
          <w:rFonts w:ascii="Palatino Linotype" w:eastAsia="Palatino Linotype" w:hAnsi="Palatino Linotype" w:cs="Palatino Linotype"/>
          <w:i/>
          <w:sz w:val="22"/>
          <w:szCs w:val="22"/>
        </w:rPr>
        <w:t xml:space="preserve"> obstaculizando el Ejercicio de mi derecho a la información” (Sic)</w:t>
      </w:r>
    </w:p>
    <w:p w14:paraId="056D077B" w14:textId="77777777" w:rsidR="00AF64FD" w:rsidRPr="009C72E8" w:rsidRDefault="00AF64FD">
      <w:pPr>
        <w:pBdr>
          <w:top w:val="nil"/>
          <w:left w:val="nil"/>
          <w:bottom w:val="nil"/>
          <w:right w:val="nil"/>
          <w:between w:val="nil"/>
        </w:pBdr>
        <w:spacing w:line="360" w:lineRule="auto"/>
        <w:ind w:left="720" w:right="902"/>
        <w:jc w:val="both"/>
        <w:rPr>
          <w:rFonts w:ascii="Palatino Linotype" w:eastAsia="Palatino Linotype" w:hAnsi="Palatino Linotype" w:cs="Palatino Linotype"/>
          <w:i/>
          <w:sz w:val="22"/>
          <w:szCs w:val="22"/>
        </w:rPr>
      </w:pPr>
    </w:p>
    <w:p w14:paraId="42C4B254" w14:textId="77777777" w:rsidR="00AF64FD" w:rsidRPr="009C72E8" w:rsidRDefault="00816891">
      <w:pPr>
        <w:spacing w:line="360" w:lineRule="auto"/>
        <w:ind w:right="51"/>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b/>
          <w:sz w:val="22"/>
          <w:szCs w:val="22"/>
        </w:rPr>
        <w:t xml:space="preserve">4. Turno. </w:t>
      </w:r>
      <w:r w:rsidRPr="009C72E8">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9C72E8">
        <w:rPr>
          <w:rFonts w:ascii="Palatino Linotype" w:eastAsia="Palatino Linotype" w:hAnsi="Palatino Linotype" w:cs="Palatino Linotype"/>
          <w:b/>
          <w:sz w:val="22"/>
          <w:szCs w:val="22"/>
        </w:rPr>
        <w:t xml:space="preserve">Guadalupe Ramírez Peña, </w:t>
      </w:r>
      <w:r w:rsidRPr="009C72E8">
        <w:rPr>
          <w:rFonts w:ascii="Palatino Linotype" w:eastAsia="Palatino Linotype" w:hAnsi="Palatino Linotype" w:cs="Palatino Linotype"/>
          <w:sz w:val="22"/>
          <w:szCs w:val="22"/>
        </w:rPr>
        <w:t>a efecto de que analizara sobre su admisión o su desechamiento.</w:t>
      </w:r>
    </w:p>
    <w:p w14:paraId="0EFA26A5" w14:textId="77777777" w:rsidR="00AF64FD" w:rsidRPr="009C72E8" w:rsidRDefault="00AF64FD">
      <w:pPr>
        <w:spacing w:line="360" w:lineRule="auto"/>
        <w:ind w:right="51"/>
        <w:jc w:val="both"/>
        <w:rPr>
          <w:rFonts w:ascii="Palatino Linotype" w:eastAsia="Palatino Linotype" w:hAnsi="Palatino Linotype" w:cs="Palatino Linotype"/>
          <w:sz w:val="22"/>
          <w:szCs w:val="22"/>
        </w:rPr>
      </w:pPr>
    </w:p>
    <w:p w14:paraId="2DA95186" w14:textId="77777777" w:rsidR="00AF64FD" w:rsidRPr="009C72E8" w:rsidRDefault="00816891">
      <w:pPr>
        <w:spacing w:after="240" w:line="360" w:lineRule="auto"/>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b/>
          <w:sz w:val="22"/>
          <w:szCs w:val="22"/>
        </w:rPr>
        <w:t>5. Admisión del Recurso de revisión.</w:t>
      </w:r>
      <w:r w:rsidRPr="009C72E8">
        <w:rPr>
          <w:rFonts w:ascii="Palatino Linotype" w:eastAsia="Palatino Linotype" w:hAnsi="Palatino Linotype" w:cs="Palatino Linotype"/>
          <w:sz w:val="22"/>
          <w:szCs w:val="22"/>
        </w:rPr>
        <w:t xml:space="preserve"> Con fecha</w:t>
      </w:r>
      <w:r w:rsidRPr="009C72E8">
        <w:rPr>
          <w:rFonts w:ascii="Palatino Linotype" w:eastAsia="Palatino Linotype" w:hAnsi="Palatino Linotype" w:cs="Palatino Linotype"/>
          <w:b/>
          <w:sz w:val="22"/>
          <w:szCs w:val="22"/>
        </w:rPr>
        <w:t xml:space="preserve"> catorce de marzo de dos mil veinticinco, </w:t>
      </w:r>
      <w:r w:rsidRPr="009C72E8">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9C72E8">
        <w:rPr>
          <w:rFonts w:ascii="Palatino Linotype" w:eastAsia="Palatino Linotype" w:hAnsi="Palatino Linotype" w:cs="Palatino Linotype"/>
          <w:b/>
          <w:sz w:val="22"/>
          <w:szCs w:val="22"/>
        </w:rPr>
        <w:t xml:space="preserve">SUJETO OBLIGADO </w:t>
      </w:r>
      <w:r w:rsidRPr="009C72E8">
        <w:rPr>
          <w:rFonts w:ascii="Palatino Linotype" w:eastAsia="Palatino Linotype" w:hAnsi="Palatino Linotype" w:cs="Palatino Linotype"/>
          <w:sz w:val="22"/>
          <w:szCs w:val="22"/>
        </w:rPr>
        <w:t>presentara su informe justificado.</w:t>
      </w:r>
    </w:p>
    <w:p w14:paraId="53A94364" w14:textId="77777777" w:rsidR="00AF64FD" w:rsidRPr="009C72E8" w:rsidRDefault="00816891">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sz w:val="22"/>
          <w:szCs w:val="22"/>
        </w:rPr>
      </w:pPr>
      <w:bookmarkStart w:id="2" w:name="_heading=h.2s8eyo1" w:colFirst="0" w:colLast="0"/>
      <w:bookmarkEnd w:id="2"/>
      <w:r w:rsidRPr="009C72E8">
        <w:rPr>
          <w:rFonts w:ascii="Palatino Linotype" w:eastAsia="Palatino Linotype" w:hAnsi="Palatino Linotype" w:cs="Palatino Linotype"/>
          <w:b/>
          <w:sz w:val="22"/>
          <w:szCs w:val="22"/>
        </w:rPr>
        <w:t>6. Manifestaciones</w:t>
      </w:r>
      <w:r w:rsidRPr="009C72E8">
        <w:rPr>
          <w:rFonts w:ascii="Palatino Linotype" w:eastAsia="Palatino Linotype" w:hAnsi="Palatino Linotype" w:cs="Palatino Linotype"/>
          <w:sz w:val="22"/>
          <w:szCs w:val="22"/>
        </w:rPr>
        <w:t xml:space="preserve">. De las constancias que obran en el expediente electrónico del SAIMEX, se </w:t>
      </w:r>
      <w:r w:rsidRPr="009C72E8">
        <w:rPr>
          <w:rFonts w:ascii="Palatino Linotype" w:eastAsia="Palatino Linotype" w:hAnsi="Palatino Linotype" w:cs="Palatino Linotype"/>
          <w:sz w:val="22"/>
          <w:szCs w:val="22"/>
        </w:rPr>
        <w:lastRenderedPageBreak/>
        <w:t xml:space="preserve">advierte que el Sujeto Obligado rindió su informe justificado el veintiuno de marzo de dos mil veinticinco, a través del documento electrónico denominado </w:t>
      </w:r>
      <w:r w:rsidRPr="009C72E8">
        <w:rPr>
          <w:rFonts w:ascii="Palatino Linotype" w:eastAsia="Palatino Linotype" w:hAnsi="Palatino Linotype" w:cs="Palatino Linotype"/>
          <w:b/>
          <w:i/>
          <w:sz w:val="22"/>
          <w:szCs w:val="22"/>
        </w:rPr>
        <w:t>Informe Justificado RR2789.pdf</w:t>
      </w:r>
      <w:r w:rsidRPr="009C72E8">
        <w:rPr>
          <w:rFonts w:ascii="Palatino Linotype" w:eastAsia="Palatino Linotype" w:hAnsi="Palatino Linotype" w:cs="Palatino Linotype"/>
          <w:sz w:val="22"/>
          <w:szCs w:val="22"/>
        </w:rPr>
        <w:t>, cuyo contenido se puso a disposición del Recurrente el catorce de mayo de dos mil veinticinco; sin embargo, se describe su contenido medular, siendo el siguiente;</w:t>
      </w:r>
    </w:p>
    <w:p w14:paraId="1F8B38A2" w14:textId="77777777" w:rsidR="00AF64FD" w:rsidRPr="009C72E8" w:rsidRDefault="00816891">
      <w:pPr>
        <w:widowControl w:val="0"/>
        <w:numPr>
          <w:ilvl w:val="0"/>
          <w:numId w:val="1"/>
        </w:numPr>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b/>
          <w:sz w:val="22"/>
          <w:szCs w:val="22"/>
        </w:rPr>
        <w:t>Informe Justificado RR2789.pdf</w:t>
      </w:r>
      <w:r w:rsidRPr="009C72E8">
        <w:rPr>
          <w:rFonts w:ascii="Palatino Linotype" w:eastAsia="Palatino Linotype" w:hAnsi="Palatino Linotype" w:cs="Palatino Linotype"/>
          <w:sz w:val="22"/>
          <w:szCs w:val="22"/>
        </w:rPr>
        <w:t>: Oficio TM/DJT/774/2025 suscrito por el Tesorero Municipal, en el cual refiere que la información financiera se encuentra en el apartado CONAC, en la página oficial del Ayuntamiento, para lo cual adjuntó imágenes con el procedimiento para acceder a la información del CONAC.</w:t>
      </w:r>
    </w:p>
    <w:p w14:paraId="3B086882" w14:textId="77777777" w:rsidR="00AF64FD" w:rsidRPr="009C72E8" w:rsidRDefault="00816891">
      <w:pPr>
        <w:spacing w:before="240" w:after="240" w:line="360" w:lineRule="auto"/>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b/>
          <w:sz w:val="22"/>
          <w:szCs w:val="22"/>
        </w:rPr>
        <w:t xml:space="preserve">7. Ampliación de plazo. </w:t>
      </w:r>
      <w:r w:rsidRPr="009C72E8">
        <w:rPr>
          <w:rFonts w:ascii="Palatino Linotype" w:eastAsia="Palatino Linotype" w:hAnsi="Palatino Linotype" w:cs="Palatino Linotype"/>
          <w:sz w:val="22"/>
          <w:szCs w:val="22"/>
        </w:rPr>
        <w:t xml:space="preserve">El </w:t>
      </w:r>
      <w:r w:rsidRPr="009C72E8">
        <w:rPr>
          <w:rFonts w:ascii="Palatino Linotype" w:eastAsia="Palatino Linotype" w:hAnsi="Palatino Linotype" w:cs="Palatino Linotype"/>
          <w:b/>
          <w:sz w:val="22"/>
          <w:szCs w:val="22"/>
        </w:rPr>
        <w:t>veintidós</w:t>
      </w:r>
      <w:r w:rsidRPr="009C72E8">
        <w:rPr>
          <w:rFonts w:ascii="Palatino Linotype" w:eastAsia="Palatino Linotype" w:hAnsi="Palatino Linotype" w:cs="Palatino Linotype"/>
          <w:sz w:val="22"/>
          <w:szCs w:val="22"/>
        </w:rPr>
        <w:t xml:space="preserve"> </w:t>
      </w:r>
      <w:r w:rsidRPr="009C72E8">
        <w:rPr>
          <w:rFonts w:ascii="Palatino Linotype" w:eastAsia="Palatino Linotype" w:hAnsi="Palatino Linotype" w:cs="Palatino Linotype"/>
          <w:b/>
          <w:sz w:val="22"/>
          <w:szCs w:val="22"/>
        </w:rPr>
        <w:t>de mayo de dos mil veinticinco</w:t>
      </w:r>
      <w:r w:rsidRPr="009C72E8">
        <w:rPr>
          <w:rFonts w:ascii="Palatino Linotype" w:eastAsia="Palatino Linotype" w:hAnsi="Palatino Linotype" w:cs="Palatino Linotype"/>
          <w:sz w:val="22"/>
          <w:szCs w:val="22"/>
        </w:rPr>
        <w:t>, se notificó el acuerdo mediante el cual se amplió el plazo para emitir resolución por un periodo de quince días hábiles.</w:t>
      </w:r>
    </w:p>
    <w:p w14:paraId="4C9E0BE8" w14:textId="77777777" w:rsidR="00AF64FD" w:rsidRPr="009C72E8" w:rsidRDefault="00816891">
      <w:pPr>
        <w:spacing w:before="240" w:after="240" w:line="360" w:lineRule="auto"/>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b/>
          <w:sz w:val="22"/>
          <w:szCs w:val="22"/>
        </w:rPr>
        <w:t xml:space="preserve">8. Cierre de instrucción. </w:t>
      </w:r>
      <w:r w:rsidRPr="009C72E8">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de </w:t>
      </w:r>
      <w:r w:rsidRPr="009C72E8">
        <w:rPr>
          <w:rFonts w:ascii="Palatino Linotype" w:eastAsia="Palatino Linotype" w:hAnsi="Palatino Linotype" w:cs="Palatino Linotype"/>
          <w:b/>
          <w:sz w:val="22"/>
          <w:szCs w:val="22"/>
        </w:rPr>
        <w:t xml:space="preserve">veintidós de mayo de dos mil veinticinco, </w:t>
      </w:r>
      <w:r w:rsidRPr="009C72E8">
        <w:rPr>
          <w:rFonts w:ascii="Palatino Linotype" w:eastAsia="Palatino Linotype" w:hAnsi="Palatino Linotype" w:cs="Palatino Linotype"/>
          <w:sz w:val="22"/>
          <w:szCs w:val="22"/>
        </w:rPr>
        <w:t xml:space="preserve">la Comisionada Ponente determinó el cierre de instrucción en términos de la fracción VI del artículo 185 de la Ley de Transparencia y Acceso a la Información Pública del Estado de México y Municipios. </w:t>
      </w:r>
    </w:p>
    <w:p w14:paraId="663BA476" w14:textId="77777777" w:rsidR="00AF64FD" w:rsidRPr="009C72E8" w:rsidRDefault="00816891">
      <w:pPr>
        <w:spacing w:before="240" w:after="240" w:line="360" w:lineRule="auto"/>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19213343" w14:textId="77777777" w:rsidR="00AF64FD" w:rsidRPr="009C72E8" w:rsidRDefault="00816891">
      <w:pPr>
        <w:widowControl w:val="0"/>
        <w:spacing w:line="360" w:lineRule="auto"/>
        <w:jc w:val="center"/>
        <w:rPr>
          <w:rFonts w:ascii="Palatino Linotype" w:eastAsia="Palatino Linotype" w:hAnsi="Palatino Linotype" w:cs="Palatino Linotype"/>
          <w:b/>
          <w:sz w:val="22"/>
          <w:szCs w:val="22"/>
        </w:rPr>
      </w:pPr>
      <w:r w:rsidRPr="009C72E8">
        <w:rPr>
          <w:rFonts w:ascii="Palatino Linotype" w:eastAsia="Palatino Linotype" w:hAnsi="Palatino Linotype" w:cs="Palatino Linotype"/>
          <w:b/>
          <w:sz w:val="22"/>
          <w:szCs w:val="22"/>
        </w:rPr>
        <w:t>II. C O N S I D E R A N D O S</w:t>
      </w:r>
    </w:p>
    <w:p w14:paraId="29B85680" w14:textId="77777777" w:rsidR="00AF64FD" w:rsidRPr="009C72E8" w:rsidRDefault="00816891">
      <w:pPr>
        <w:spacing w:line="360" w:lineRule="auto"/>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b/>
          <w:sz w:val="22"/>
          <w:szCs w:val="22"/>
        </w:rPr>
        <w:t>Primero. Competencia.</w:t>
      </w:r>
      <w:r w:rsidRPr="009C72E8">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w:t>
      </w:r>
      <w:r w:rsidRPr="009C72E8">
        <w:rPr>
          <w:rFonts w:ascii="Palatino Linotype" w:eastAsia="Palatino Linotype" w:hAnsi="Palatino Linotype" w:cs="Palatino Linotype"/>
          <w:sz w:val="22"/>
          <w:szCs w:val="22"/>
        </w:rPr>
        <w:lastRenderedPageBreak/>
        <w:t>Mexicanos; 5 párrafos trigésimo séptimo, trigésimo octavo y trigésimo noveno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FDB3914" w14:textId="77777777" w:rsidR="00AF64FD" w:rsidRPr="009C72E8" w:rsidRDefault="00816891">
      <w:pPr>
        <w:spacing w:before="240" w:after="240" w:line="360" w:lineRule="auto"/>
        <w:jc w:val="both"/>
        <w:rPr>
          <w:rFonts w:ascii="Palatino Linotype" w:eastAsia="Palatino Linotype" w:hAnsi="Palatino Linotype" w:cs="Palatino Linotype"/>
          <w:sz w:val="22"/>
          <w:szCs w:val="22"/>
        </w:rPr>
      </w:pPr>
      <w:bookmarkStart w:id="3" w:name="_heading=h.tyjcwt" w:colFirst="0" w:colLast="0"/>
      <w:bookmarkEnd w:id="3"/>
      <w:r w:rsidRPr="009C72E8">
        <w:rPr>
          <w:rFonts w:ascii="Palatino Linotype" w:eastAsia="Palatino Linotype" w:hAnsi="Palatino Linotype" w:cs="Palatino Linotype"/>
          <w:b/>
          <w:sz w:val="22"/>
          <w:szCs w:val="22"/>
        </w:rPr>
        <w:t xml:space="preserve">Segundo. Oportunidad y Procedibilidad del Recurso de Revisión. </w:t>
      </w:r>
      <w:r w:rsidRPr="009C72E8">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829802B" w14:textId="77777777" w:rsidR="00AF64FD" w:rsidRPr="009C72E8" w:rsidRDefault="00816891">
      <w:pPr>
        <w:spacing w:before="240" w:after="240" w:line="360" w:lineRule="auto"/>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2B26CB89" w14:textId="77777777" w:rsidR="00AF64FD" w:rsidRPr="009C72E8" w:rsidRDefault="00816891">
      <w:pPr>
        <w:ind w:left="851" w:right="900"/>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b/>
          <w:i/>
          <w:sz w:val="22"/>
          <w:szCs w:val="22"/>
        </w:rPr>
        <w:t xml:space="preserve">“Artículo 178. </w:t>
      </w:r>
      <w:r w:rsidRPr="009C72E8">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A5B1F6A" w14:textId="77777777" w:rsidR="00AF64FD" w:rsidRPr="009C72E8" w:rsidRDefault="00816891">
      <w:pPr>
        <w:spacing w:before="240" w:after="240" w:line="360" w:lineRule="auto"/>
        <w:ind w:right="49"/>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9C72E8">
        <w:rPr>
          <w:rFonts w:ascii="Palatino Linotype" w:eastAsia="Palatino Linotype" w:hAnsi="Palatino Linotype" w:cs="Palatino Linotype"/>
          <w:b/>
          <w:sz w:val="22"/>
          <w:szCs w:val="22"/>
        </w:rPr>
        <w:t>SUJETO OBLIGADO</w:t>
      </w:r>
      <w:r w:rsidRPr="009C72E8">
        <w:rPr>
          <w:rFonts w:ascii="Palatino Linotype" w:eastAsia="Palatino Linotype" w:hAnsi="Palatino Linotype" w:cs="Palatino Linotype"/>
          <w:sz w:val="22"/>
          <w:szCs w:val="22"/>
        </w:rPr>
        <w:t xml:space="preserve"> remitió la respuesta a la solicitud de información el </w:t>
      </w:r>
      <w:r w:rsidRPr="009C72E8">
        <w:rPr>
          <w:rFonts w:ascii="Palatino Linotype" w:eastAsia="Palatino Linotype" w:hAnsi="Palatino Linotype" w:cs="Palatino Linotype"/>
          <w:b/>
          <w:sz w:val="22"/>
          <w:szCs w:val="22"/>
        </w:rPr>
        <w:t>cinco</w:t>
      </w:r>
      <w:r w:rsidRPr="009C72E8">
        <w:rPr>
          <w:rFonts w:ascii="Palatino Linotype" w:eastAsia="Palatino Linotype" w:hAnsi="Palatino Linotype" w:cs="Palatino Linotype"/>
          <w:sz w:val="22"/>
          <w:szCs w:val="22"/>
        </w:rPr>
        <w:t xml:space="preserve"> </w:t>
      </w:r>
      <w:r w:rsidRPr="009C72E8">
        <w:rPr>
          <w:rFonts w:ascii="Palatino Linotype" w:eastAsia="Palatino Linotype" w:hAnsi="Palatino Linotype" w:cs="Palatino Linotype"/>
          <w:b/>
          <w:sz w:val="22"/>
          <w:szCs w:val="22"/>
        </w:rPr>
        <w:t xml:space="preserve">de marzo de dos mil veinticinco, </w:t>
      </w:r>
      <w:r w:rsidRPr="009C72E8">
        <w:rPr>
          <w:rFonts w:ascii="Palatino Linotype" w:eastAsia="Palatino Linotype" w:hAnsi="Palatino Linotype" w:cs="Palatino Linotype"/>
          <w:sz w:val="22"/>
          <w:szCs w:val="22"/>
        </w:rPr>
        <w:t xml:space="preserve">mientras que el recurso de revisión interpuesto por la parte </w:t>
      </w:r>
      <w:r w:rsidRPr="009C72E8">
        <w:rPr>
          <w:rFonts w:ascii="Palatino Linotype" w:eastAsia="Palatino Linotype" w:hAnsi="Palatino Linotype" w:cs="Palatino Linotype"/>
          <w:b/>
          <w:sz w:val="22"/>
          <w:szCs w:val="22"/>
        </w:rPr>
        <w:t>RECURRENTE</w:t>
      </w:r>
      <w:r w:rsidRPr="009C72E8">
        <w:rPr>
          <w:rFonts w:ascii="Palatino Linotype" w:eastAsia="Palatino Linotype" w:hAnsi="Palatino Linotype" w:cs="Palatino Linotype"/>
          <w:sz w:val="22"/>
          <w:szCs w:val="22"/>
        </w:rPr>
        <w:t xml:space="preserve">, se tuvo por presentado el día </w:t>
      </w:r>
      <w:r w:rsidRPr="009C72E8">
        <w:rPr>
          <w:rFonts w:ascii="Palatino Linotype" w:eastAsia="Palatino Linotype" w:hAnsi="Palatino Linotype" w:cs="Palatino Linotype"/>
          <w:b/>
          <w:sz w:val="22"/>
          <w:szCs w:val="22"/>
        </w:rPr>
        <w:t>once de marzo del año dos mil veinticinco</w:t>
      </w:r>
      <w:r w:rsidRPr="009C72E8">
        <w:rPr>
          <w:rFonts w:ascii="Palatino Linotype" w:eastAsia="Palatino Linotype" w:hAnsi="Palatino Linotype" w:cs="Palatino Linotype"/>
          <w:sz w:val="22"/>
          <w:szCs w:val="22"/>
        </w:rPr>
        <w:t>; esto es, al cuarto día hábil siguiente al que se tuvo conocimiento de la respuesta.</w:t>
      </w:r>
    </w:p>
    <w:p w14:paraId="64D0D469" w14:textId="77777777" w:rsidR="00AF64FD" w:rsidRPr="009C72E8" w:rsidRDefault="00816891">
      <w:pPr>
        <w:spacing w:before="240" w:after="240" w:line="360" w:lineRule="auto"/>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lastRenderedPageBreak/>
        <w:t xml:space="preserve">Por cuanto hace a la procedibilidad del recurso de revisión, es de suma importancia señalar que la parte </w:t>
      </w:r>
      <w:r w:rsidRPr="009C72E8">
        <w:rPr>
          <w:rFonts w:ascii="Palatino Linotype" w:eastAsia="Palatino Linotype" w:hAnsi="Palatino Linotype" w:cs="Palatino Linotype"/>
          <w:b/>
          <w:sz w:val="22"/>
          <w:szCs w:val="22"/>
        </w:rPr>
        <w:t>RECURRENTE</w:t>
      </w:r>
      <w:r w:rsidRPr="009C72E8">
        <w:rPr>
          <w:rFonts w:ascii="Palatino Linotype" w:eastAsia="Palatino Linotype" w:hAnsi="Palatino Linotype" w:cs="Palatino Linotype"/>
          <w:sz w:val="22"/>
          <w:szCs w:val="22"/>
        </w:rPr>
        <w:t>, no proporcionó su nombre</w:t>
      </w:r>
      <w:r w:rsidRPr="009C72E8">
        <w:rPr>
          <w:rFonts w:ascii="Palatino Linotype" w:eastAsia="Palatino Linotype" w:hAnsi="Palatino Linotype" w:cs="Palatino Linotype"/>
          <w:b/>
          <w:sz w:val="22"/>
          <w:szCs w:val="22"/>
        </w:rPr>
        <w:t>,</w:t>
      </w:r>
      <w:r w:rsidRPr="009C72E8">
        <w:rPr>
          <w:rFonts w:ascii="Palatino Linotype" w:eastAsia="Palatino Linotype" w:hAnsi="Palatino Linotype" w:cs="Palatino Linotype"/>
          <w:sz w:val="22"/>
          <w:szCs w:val="22"/>
        </w:rPr>
        <w:t xml:space="preserve"> como se advierte en el detalle de seguimiento del SAIMEX, no obstante el no proporcionar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A71B51C" w14:textId="77777777" w:rsidR="00AF64FD" w:rsidRPr="009C72E8" w:rsidRDefault="00816891">
      <w:pPr>
        <w:spacing w:before="240" w:after="240"/>
        <w:ind w:left="851" w:right="902"/>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i/>
          <w:sz w:val="22"/>
          <w:szCs w:val="22"/>
        </w:rPr>
        <w:t>"</w:t>
      </w:r>
      <w:r w:rsidRPr="009C72E8">
        <w:rPr>
          <w:rFonts w:ascii="Palatino Linotype" w:eastAsia="Palatino Linotype" w:hAnsi="Palatino Linotype" w:cs="Palatino Linotype"/>
          <w:b/>
          <w:i/>
          <w:sz w:val="22"/>
          <w:szCs w:val="22"/>
        </w:rPr>
        <w:t xml:space="preserve">Las solicitudes </w:t>
      </w:r>
      <w:r w:rsidRPr="009C72E8">
        <w:rPr>
          <w:rFonts w:ascii="Palatino Linotype" w:eastAsia="Palatino Linotype" w:hAnsi="Palatino Linotype" w:cs="Palatino Linotype"/>
          <w:i/>
          <w:sz w:val="22"/>
          <w:szCs w:val="22"/>
        </w:rPr>
        <w:t xml:space="preserve">anónimas, con </w:t>
      </w:r>
      <w:r w:rsidRPr="009C72E8">
        <w:rPr>
          <w:rFonts w:ascii="Palatino Linotype" w:eastAsia="Palatino Linotype" w:hAnsi="Palatino Linotype" w:cs="Palatino Linotype"/>
          <w:b/>
          <w:i/>
          <w:sz w:val="22"/>
          <w:szCs w:val="22"/>
        </w:rPr>
        <w:t>nombre incompleto o seudónimo</w:t>
      </w:r>
      <w:r w:rsidRPr="009C72E8">
        <w:rPr>
          <w:rFonts w:ascii="Palatino Linotype" w:eastAsia="Palatino Linotype" w:hAnsi="Palatino Linotype" w:cs="Palatino Linotype"/>
          <w:i/>
          <w:sz w:val="22"/>
          <w:szCs w:val="22"/>
        </w:rPr>
        <w:t xml:space="preserve"> </w:t>
      </w:r>
      <w:r w:rsidRPr="009C72E8">
        <w:rPr>
          <w:rFonts w:ascii="Palatino Linotype" w:eastAsia="Palatino Linotype" w:hAnsi="Palatino Linotype" w:cs="Palatino Linotype"/>
          <w:b/>
          <w:i/>
          <w:sz w:val="22"/>
          <w:szCs w:val="22"/>
        </w:rPr>
        <w:t>serán procedentes para su trámite por parte del sujeto obligado ante quien se presente</w:t>
      </w:r>
      <w:r w:rsidRPr="009C72E8">
        <w:rPr>
          <w:rFonts w:ascii="Palatino Linotype" w:eastAsia="Palatino Linotype" w:hAnsi="Palatino Linotype" w:cs="Palatino Linotype"/>
          <w:i/>
          <w:sz w:val="22"/>
          <w:szCs w:val="22"/>
        </w:rPr>
        <w:t>. No podrá requerirse información adicional con motivo del nombre proporcionado por el solicitante."(Sic)</w:t>
      </w:r>
    </w:p>
    <w:p w14:paraId="373DBB67" w14:textId="77777777" w:rsidR="00AF64FD" w:rsidRPr="009C72E8" w:rsidRDefault="00816891">
      <w:pPr>
        <w:spacing w:before="240" w:after="240" w:line="360" w:lineRule="auto"/>
        <w:ind w:right="49"/>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64B3C27" w14:textId="77777777" w:rsidR="00AF64FD" w:rsidRPr="009C72E8" w:rsidRDefault="00816891">
      <w:pPr>
        <w:spacing w:before="240" w:after="240" w:line="360" w:lineRule="auto"/>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VI, de la ley de la materia, que a la letra dice:</w:t>
      </w:r>
    </w:p>
    <w:p w14:paraId="1F4F86ED" w14:textId="77777777" w:rsidR="00AF64FD" w:rsidRPr="009C72E8" w:rsidRDefault="00816891">
      <w:pPr>
        <w:ind w:left="851" w:right="1041"/>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i/>
          <w:sz w:val="22"/>
          <w:szCs w:val="22"/>
        </w:rPr>
        <w:t>“</w:t>
      </w:r>
      <w:r w:rsidRPr="009C72E8">
        <w:rPr>
          <w:rFonts w:ascii="Palatino Linotype" w:eastAsia="Palatino Linotype" w:hAnsi="Palatino Linotype" w:cs="Palatino Linotype"/>
          <w:b/>
          <w:i/>
          <w:sz w:val="22"/>
          <w:szCs w:val="22"/>
        </w:rPr>
        <w:t xml:space="preserve">Artículo 179. </w:t>
      </w:r>
      <w:r w:rsidRPr="009C72E8">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48F7F502" w14:textId="77777777" w:rsidR="00AF64FD" w:rsidRPr="009C72E8" w:rsidRDefault="00816891">
      <w:pPr>
        <w:ind w:left="851" w:right="1041"/>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i/>
          <w:sz w:val="22"/>
          <w:szCs w:val="22"/>
        </w:rPr>
        <w:t>…</w:t>
      </w:r>
    </w:p>
    <w:p w14:paraId="6B7F2F6E" w14:textId="77777777" w:rsidR="00AF64FD" w:rsidRPr="009C72E8" w:rsidRDefault="00816891">
      <w:pPr>
        <w:ind w:left="851" w:right="1041"/>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i/>
          <w:sz w:val="22"/>
          <w:szCs w:val="22"/>
        </w:rPr>
        <w:t>VI. La entrega de información que no corresponda con lo solicitado</w:t>
      </w:r>
      <w:r w:rsidRPr="009C72E8">
        <w:rPr>
          <w:rFonts w:ascii="Palatino Linotype" w:eastAsia="Palatino Linotype" w:hAnsi="Palatino Linotype" w:cs="Palatino Linotype"/>
          <w:sz w:val="22"/>
          <w:szCs w:val="22"/>
        </w:rPr>
        <w:t>;</w:t>
      </w:r>
      <w:r w:rsidRPr="009C72E8">
        <w:rPr>
          <w:rFonts w:ascii="Palatino Linotype" w:eastAsia="Palatino Linotype" w:hAnsi="Palatino Linotype" w:cs="Palatino Linotype"/>
          <w:i/>
          <w:sz w:val="22"/>
          <w:szCs w:val="22"/>
        </w:rPr>
        <w:t xml:space="preserve">  </w:t>
      </w:r>
    </w:p>
    <w:p w14:paraId="094B89C6" w14:textId="77777777" w:rsidR="00AF64FD" w:rsidRPr="009C72E8" w:rsidRDefault="00816891">
      <w:pPr>
        <w:ind w:left="851" w:right="1041"/>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i/>
          <w:sz w:val="22"/>
          <w:szCs w:val="22"/>
        </w:rPr>
        <w:t>…” (Sic)</w:t>
      </w:r>
    </w:p>
    <w:p w14:paraId="31F11951" w14:textId="77777777" w:rsidR="00AF64FD" w:rsidRPr="009C72E8" w:rsidRDefault="00816891">
      <w:pPr>
        <w:spacing w:before="280" w:after="280" w:line="360" w:lineRule="auto"/>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b/>
          <w:sz w:val="22"/>
          <w:szCs w:val="22"/>
        </w:rPr>
        <w:t>Tercero. Materia de Revisión</w:t>
      </w:r>
      <w:r w:rsidRPr="009C72E8">
        <w:rPr>
          <w:rFonts w:ascii="Palatino Linotype" w:eastAsia="Palatino Linotype" w:hAnsi="Palatino Linotype" w:cs="Palatino Linotype"/>
          <w:sz w:val="22"/>
          <w:szCs w:val="22"/>
        </w:rPr>
        <w:t xml:space="preserve">: De las constancias que integran el expediente electrónico se advierte que el tema sobre el que este Instituto se pronunciará será: </w:t>
      </w:r>
      <w:r w:rsidRPr="009C72E8">
        <w:rPr>
          <w:rFonts w:ascii="Palatino Linotype" w:eastAsia="Palatino Linotype" w:hAnsi="Palatino Linotype" w:cs="Palatino Linotype"/>
          <w:b/>
          <w:sz w:val="22"/>
          <w:szCs w:val="22"/>
        </w:rPr>
        <w:t xml:space="preserve">verificar si la respuesta otorgada por el SUJETO OBLIGADO es adecuada y suficiente para satisfacer el derecho de </w:t>
      </w:r>
      <w:r w:rsidRPr="009C72E8">
        <w:rPr>
          <w:rFonts w:ascii="Palatino Linotype" w:eastAsia="Palatino Linotype" w:hAnsi="Palatino Linotype" w:cs="Palatino Linotype"/>
          <w:b/>
          <w:sz w:val="22"/>
          <w:szCs w:val="22"/>
        </w:rPr>
        <w:lastRenderedPageBreak/>
        <w:t xml:space="preserve">acceso a la información pública </w:t>
      </w:r>
      <w:r w:rsidRPr="009C72E8">
        <w:rPr>
          <w:rFonts w:ascii="Palatino Linotype" w:eastAsia="Palatino Linotype" w:hAnsi="Palatino Linotype" w:cs="Palatino Linotype"/>
          <w:sz w:val="22"/>
          <w:szCs w:val="22"/>
        </w:rPr>
        <w:t xml:space="preserve">del </w:t>
      </w:r>
      <w:r w:rsidRPr="009C72E8">
        <w:rPr>
          <w:rFonts w:ascii="Palatino Linotype" w:eastAsia="Palatino Linotype" w:hAnsi="Palatino Linotype" w:cs="Palatino Linotype"/>
          <w:b/>
          <w:sz w:val="22"/>
          <w:szCs w:val="22"/>
        </w:rPr>
        <w:t>RECURRENTE</w:t>
      </w:r>
      <w:r w:rsidRPr="009C72E8">
        <w:rPr>
          <w:rFonts w:ascii="Palatino Linotype" w:eastAsia="Palatino Linotype" w:hAnsi="Palatino Linotype" w:cs="Palatino Linotype"/>
          <w:sz w:val="22"/>
          <w:szCs w:val="22"/>
        </w:rPr>
        <w:t>, o en su defecto, en caso de ser procedente, ordenar la entrega de información.</w:t>
      </w:r>
    </w:p>
    <w:p w14:paraId="09650E99" w14:textId="77777777" w:rsidR="00AF64FD" w:rsidRPr="009C72E8" w:rsidRDefault="00816891">
      <w:pPr>
        <w:spacing w:before="240" w:after="240" w:line="360" w:lineRule="auto"/>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b/>
          <w:sz w:val="22"/>
          <w:szCs w:val="22"/>
        </w:rPr>
        <w:t xml:space="preserve">Cuarto. Estudio de fondo del asunto. </w:t>
      </w:r>
      <w:r w:rsidRPr="009C72E8">
        <w:rPr>
          <w:rFonts w:ascii="Palatino Linotype" w:eastAsia="Palatino Linotype" w:hAnsi="Palatino Linotype" w:cs="Palatino Linotype"/>
          <w:sz w:val="22"/>
          <w:szCs w:val="22"/>
        </w:rPr>
        <w:t xml:space="preserve">Es conveniente analizar si la respuesta del </w:t>
      </w:r>
      <w:r w:rsidRPr="009C72E8">
        <w:rPr>
          <w:rFonts w:ascii="Palatino Linotype" w:eastAsia="Palatino Linotype" w:hAnsi="Palatino Linotype" w:cs="Palatino Linotype"/>
          <w:b/>
          <w:sz w:val="22"/>
          <w:szCs w:val="22"/>
        </w:rPr>
        <w:t>SUJETO OBLIGADO</w:t>
      </w:r>
      <w:r w:rsidRPr="009C72E8">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4EDB2B7" w14:textId="77777777" w:rsidR="00AF64FD" w:rsidRPr="009C72E8" w:rsidRDefault="00816891">
      <w:pPr>
        <w:spacing w:before="240"/>
        <w:ind w:left="709" w:right="760"/>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i/>
          <w:sz w:val="22"/>
          <w:szCs w:val="22"/>
        </w:rPr>
        <w:t xml:space="preserve"> “</w:t>
      </w:r>
      <w:r w:rsidRPr="009C72E8">
        <w:rPr>
          <w:rFonts w:ascii="Palatino Linotype" w:eastAsia="Palatino Linotype" w:hAnsi="Palatino Linotype" w:cs="Palatino Linotype"/>
          <w:b/>
          <w:i/>
          <w:sz w:val="22"/>
          <w:szCs w:val="22"/>
        </w:rPr>
        <w:t>Artículo 4</w:t>
      </w:r>
      <w:r w:rsidRPr="009C72E8">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DEDD3A0" w14:textId="77777777" w:rsidR="00AF64FD" w:rsidRPr="009C72E8" w:rsidRDefault="00816891">
      <w:pPr>
        <w:ind w:left="709" w:right="760"/>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9C72E8">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7DC5CFF" w14:textId="77777777" w:rsidR="00AF64FD" w:rsidRPr="009C72E8" w:rsidRDefault="00816891">
      <w:pPr>
        <w:ind w:left="709" w:right="760"/>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9C72E8">
        <w:rPr>
          <w:rFonts w:ascii="Palatino Linotype" w:eastAsia="Palatino Linotype" w:hAnsi="Palatino Linotype" w:cs="Palatino Linotype"/>
          <w:i/>
          <w:sz w:val="22"/>
          <w:szCs w:val="22"/>
        </w:rPr>
        <w:t>.”</w:t>
      </w:r>
    </w:p>
    <w:p w14:paraId="7BE85B21" w14:textId="77777777" w:rsidR="00AF64FD" w:rsidRPr="009C72E8" w:rsidRDefault="00AF64FD">
      <w:pPr>
        <w:spacing w:line="360" w:lineRule="auto"/>
        <w:jc w:val="both"/>
        <w:rPr>
          <w:rFonts w:ascii="Palatino Linotype" w:eastAsia="Palatino Linotype" w:hAnsi="Palatino Linotype" w:cs="Palatino Linotype"/>
          <w:sz w:val="22"/>
          <w:szCs w:val="22"/>
        </w:rPr>
      </w:pPr>
    </w:p>
    <w:p w14:paraId="1BFCFF8B" w14:textId="77777777" w:rsidR="00AF64FD" w:rsidRPr="009C72E8" w:rsidRDefault="00816891">
      <w:pPr>
        <w:spacing w:line="360" w:lineRule="auto"/>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w:t>
      </w:r>
      <w:r w:rsidRPr="009C72E8">
        <w:rPr>
          <w:rFonts w:ascii="Palatino Linotype" w:eastAsia="Palatino Linotype" w:hAnsi="Palatino Linotype" w:cs="Palatino Linotype"/>
          <w:sz w:val="22"/>
          <w:szCs w:val="22"/>
        </w:rPr>
        <w:lastRenderedPageBreak/>
        <w:t>establece el artículo 12 de la Ley de Transparencia y Acceso a la Información Pública del Estado de México y Municipios, que a la letra dice:</w:t>
      </w:r>
    </w:p>
    <w:p w14:paraId="53E44964" w14:textId="77777777" w:rsidR="00AF64FD" w:rsidRPr="009C72E8" w:rsidRDefault="00AF64FD">
      <w:pPr>
        <w:spacing w:line="360" w:lineRule="auto"/>
        <w:jc w:val="both"/>
        <w:rPr>
          <w:rFonts w:ascii="Palatino Linotype" w:eastAsia="Palatino Linotype" w:hAnsi="Palatino Linotype" w:cs="Palatino Linotype"/>
          <w:sz w:val="22"/>
          <w:szCs w:val="22"/>
        </w:rPr>
      </w:pPr>
    </w:p>
    <w:p w14:paraId="77E06F9F" w14:textId="77777777" w:rsidR="00AF64FD" w:rsidRPr="009C72E8" w:rsidRDefault="00816891">
      <w:pPr>
        <w:ind w:left="567" w:right="758"/>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b/>
          <w:i/>
          <w:sz w:val="22"/>
          <w:szCs w:val="22"/>
        </w:rPr>
        <w:t>“Artículo 12.-</w:t>
      </w:r>
      <w:r w:rsidRPr="009C72E8">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8270EFC" w14:textId="77777777" w:rsidR="00AF64FD" w:rsidRPr="009C72E8" w:rsidRDefault="00AF64FD">
      <w:pPr>
        <w:ind w:left="567" w:right="758"/>
        <w:jc w:val="both"/>
        <w:rPr>
          <w:rFonts w:ascii="Palatino Linotype" w:eastAsia="Palatino Linotype" w:hAnsi="Palatino Linotype" w:cs="Palatino Linotype"/>
          <w:i/>
          <w:sz w:val="22"/>
          <w:szCs w:val="22"/>
        </w:rPr>
      </w:pPr>
    </w:p>
    <w:p w14:paraId="0D76CCDD" w14:textId="77777777" w:rsidR="00AF64FD" w:rsidRPr="009C72E8" w:rsidRDefault="00816891">
      <w:pPr>
        <w:ind w:left="567" w:right="758"/>
        <w:jc w:val="both"/>
        <w:rPr>
          <w:rFonts w:ascii="Palatino Linotype" w:eastAsia="Palatino Linotype" w:hAnsi="Palatino Linotype" w:cs="Palatino Linotype"/>
          <w:b/>
          <w:i/>
          <w:sz w:val="22"/>
          <w:szCs w:val="22"/>
        </w:rPr>
      </w:pPr>
      <w:r w:rsidRPr="009C72E8">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9C72E8">
        <w:rPr>
          <w:rFonts w:ascii="Palatino Linotype" w:eastAsia="Palatino Linotype" w:hAnsi="Palatino Linotype" w:cs="Palatino Linotype"/>
          <w:i/>
          <w:sz w:val="22"/>
          <w:szCs w:val="22"/>
        </w:rPr>
        <w:t xml:space="preserve">. </w:t>
      </w:r>
      <w:r w:rsidRPr="009C72E8">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219E02BE" w14:textId="77777777" w:rsidR="00AF64FD" w:rsidRPr="009C72E8" w:rsidRDefault="00AF64FD">
      <w:pPr>
        <w:spacing w:line="360" w:lineRule="auto"/>
        <w:ind w:left="567" w:right="758"/>
        <w:jc w:val="both"/>
        <w:rPr>
          <w:rFonts w:ascii="Palatino Linotype" w:eastAsia="Palatino Linotype" w:hAnsi="Palatino Linotype" w:cs="Palatino Linotype"/>
          <w:i/>
          <w:sz w:val="22"/>
          <w:szCs w:val="22"/>
        </w:rPr>
      </w:pPr>
    </w:p>
    <w:p w14:paraId="45DBFF4D" w14:textId="77777777" w:rsidR="00AF64FD" w:rsidRPr="009C72E8" w:rsidRDefault="00816891">
      <w:pPr>
        <w:spacing w:line="360" w:lineRule="auto"/>
        <w:ind w:right="-93"/>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23DE035E" w14:textId="77777777" w:rsidR="00AF64FD" w:rsidRPr="009C72E8" w:rsidRDefault="00AF64FD">
      <w:pPr>
        <w:spacing w:line="360" w:lineRule="auto"/>
        <w:ind w:right="-93"/>
        <w:jc w:val="both"/>
        <w:rPr>
          <w:rFonts w:ascii="Palatino Linotype" w:eastAsia="Palatino Linotype" w:hAnsi="Palatino Linotype" w:cs="Palatino Linotype"/>
          <w:sz w:val="22"/>
          <w:szCs w:val="22"/>
        </w:rPr>
      </w:pPr>
    </w:p>
    <w:p w14:paraId="1733F130" w14:textId="77777777" w:rsidR="00AF64FD" w:rsidRPr="009C72E8" w:rsidRDefault="00816891">
      <w:pPr>
        <w:spacing w:line="360" w:lineRule="auto"/>
        <w:jc w:val="both"/>
        <w:rPr>
          <w:rFonts w:ascii="Palatino Linotype" w:eastAsia="Palatino Linotype" w:hAnsi="Palatino Linotype" w:cs="Palatino Linotype"/>
          <w:b/>
          <w:sz w:val="22"/>
          <w:szCs w:val="22"/>
        </w:rPr>
      </w:pPr>
      <w:r w:rsidRPr="009C72E8">
        <w:rPr>
          <w:rFonts w:ascii="Palatino Linotype" w:eastAsia="Palatino Linotype" w:hAnsi="Palatino Linotype" w:cs="Palatino Linotype"/>
          <w:sz w:val="22"/>
          <w:szCs w:val="22"/>
        </w:rPr>
        <w:t>Sirve de apoyo a lo anterior, el criterio 03-17, expuesto por el entonces Instituto Nacional de Transparencia, Acceso a la Información y Protección de Datos Personales, que dice:</w:t>
      </w:r>
      <w:r w:rsidRPr="009C72E8">
        <w:rPr>
          <w:rFonts w:ascii="Palatino Linotype" w:eastAsia="Palatino Linotype" w:hAnsi="Palatino Linotype" w:cs="Palatino Linotype"/>
          <w:b/>
          <w:sz w:val="22"/>
          <w:szCs w:val="22"/>
        </w:rPr>
        <w:t xml:space="preserve"> </w:t>
      </w:r>
    </w:p>
    <w:p w14:paraId="3EB86F37" w14:textId="77777777" w:rsidR="00AF64FD" w:rsidRPr="009C72E8" w:rsidRDefault="00AF64FD">
      <w:pPr>
        <w:spacing w:line="360" w:lineRule="auto"/>
        <w:ind w:left="851" w:right="850"/>
        <w:jc w:val="both"/>
        <w:rPr>
          <w:rFonts w:ascii="Palatino Linotype" w:eastAsia="Palatino Linotype" w:hAnsi="Palatino Linotype" w:cs="Palatino Linotype"/>
          <w:sz w:val="22"/>
          <w:szCs w:val="22"/>
        </w:rPr>
      </w:pPr>
    </w:p>
    <w:p w14:paraId="448F7456" w14:textId="77777777" w:rsidR="00AF64FD" w:rsidRPr="009C72E8" w:rsidRDefault="00816891">
      <w:pPr>
        <w:ind w:left="851" w:right="901"/>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i/>
          <w:sz w:val="22"/>
          <w:szCs w:val="22"/>
        </w:rPr>
        <w:t>“</w:t>
      </w:r>
      <w:r w:rsidRPr="009C72E8">
        <w:rPr>
          <w:rFonts w:ascii="Palatino Linotype" w:eastAsia="Palatino Linotype" w:hAnsi="Palatino Linotype" w:cs="Palatino Linotype"/>
          <w:b/>
          <w:i/>
          <w:sz w:val="22"/>
          <w:szCs w:val="22"/>
        </w:rPr>
        <w:t>No existe obligación de elaborar documentos ad hoc para atender las solicitudes de acceso a la información.</w:t>
      </w:r>
      <w:r w:rsidRPr="009C72E8">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w:t>
      </w:r>
      <w:r w:rsidRPr="009C72E8">
        <w:rPr>
          <w:rFonts w:ascii="Palatino Linotype" w:eastAsia="Palatino Linotype" w:hAnsi="Palatino Linotype" w:cs="Palatino Linotype"/>
          <w:i/>
          <w:sz w:val="22"/>
          <w:szCs w:val="22"/>
        </w:rPr>
        <w:lastRenderedPageBreak/>
        <w:t>cuentan en el formato en que la misma obre en sus archivos; sin necesidad de elaborar documentos ad hoc para atender las solicitudes de información.</w:t>
      </w:r>
    </w:p>
    <w:p w14:paraId="4E6EDB89" w14:textId="77777777" w:rsidR="00AF64FD" w:rsidRPr="009C72E8" w:rsidRDefault="00816891">
      <w:pPr>
        <w:ind w:left="851" w:right="901"/>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i/>
          <w:sz w:val="22"/>
          <w:szCs w:val="22"/>
        </w:rPr>
        <w:t xml:space="preserve">Resoluciones: </w:t>
      </w:r>
    </w:p>
    <w:p w14:paraId="0DE8FDE0" w14:textId="77777777" w:rsidR="00AF64FD" w:rsidRPr="009C72E8" w:rsidRDefault="00816891">
      <w:pPr>
        <w:ind w:left="851" w:right="901"/>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i/>
          <w:sz w:val="22"/>
          <w:szCs w:val="22"/>
        </w:rPr>
        <w:t>∙ RRA 0050/16. Instituto Nacional para la Evaluación de la Educación. 13 julio de 2016. Por unanimidad. Comisionado Ponente: Francisco Javier Acuña Llamas.</w:t>
      </w:r>
    </w:p>
    <w:p w14:paraId="3E602B74" w14:textId="77777777" w:rsidR="00AF64FD" w:rsidRPr="009C72E8" w:rsidRDefault="00816891">
      <w:pPr>
        <w:ind w:left="851" w:right="901"/>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0A6FDA02" w14:textId="77777777" w:rsidR="00AF64FD" w:rsidRPr="009C72E8" w:rsidRDefault="00816891">
      <w:pPr>
        <w:ind w:left="851" w:right="901"/>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i/>
          <w:sz w:val="22"/>
          <w:szCs w:val="22"/>
        </w:rPr>
        <w:t>∙ RRA 1889/16. Secretaría de Hacienda y Crédito Público. 05 de octubre de 2016. Por unanimidad. Comisionada Ponente. Ximena Puente de la Mora.”</w:t>
      </w:r>
    </w:p>
    <w:p w14:paraId="000B428A" w14:textId="77777777" w:rsidR="00AF64FD" w:rsidRPr="009C72E8" w:rsidRDefault="00AF64FD">
      <w:pPr>
        <w:spacing w:line="360" w:lineRule="auto"/>
        <w:ind w:right="-93"/>
        <w:jc w:val="both"/>
        <w:rPr>
          <w:rFonts w:ascii="Palatino Linotype" w:eastAsia="Palatino Linotype" w:hAnsi="Palatino Linotype" w:cs="Palatino Linotype"/>
          <w:sz w:val="22"/>
          <w:szCs w:val="22"/>
        </w:rPr>
      </w:pPr>
    </w:p>
    <w:p w14:paraId="4B046A5E" w14:textId="77777777" w:rsidR="00AF64FD" w:rsidRPr="009C72E8" w:rsidRDefault="00816891">
      <w:pPr>
        <w:spacing w:line="360" w:lineRule="auto"/>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37187DF" w14:textId="77777777" w:rsidR="00AF64FD" w:rsidRPr="009C72E8" w:rsidRDefault="00AF64FD">
      <w:pPr>
        <w:spacing w:line="360" w:lineRule="auto"/>
        <w:jc w:val="both"/>
        <w:rPr>
          <w:rFonts w:ascii="Palatino Linotype" w:eastAsia="Palatino Linotype" w:hAnsi="Palatino Linotype" w:cs="Palatino Linotype"/>
          <w:sz w:val="22"/>
          <w:szCs w:val="22"/>
        </w:rPr>
      </w:pPr>
    </w:p>
    <w:p w14:paraId="35763075" w14:textId="77777777" w:rsidR="00AF64FD" w:rsidRPr="009C72E8" w:rsidRDefault="00816891">
      <w:pPr>
        <w:spacing w:line="360" w:lineRule="auto"/>
        <w:ind w:right="49"/>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22DC60F" w14:textId="77777777" w:rsidR="00AF64FD" w:rsidRPr="009C72E8" w:rsidRDefault="00AF64FD">
      <w:pPr>
        <w:spacing w:line="360" w:lineRule="auto"/>
        <w:ind w:right="49"/>
        <w:jc w:val="both"/>
        <w:rPr>
          <w:rFonts w:ascii="Palatino Linotype" w:eastAsia="Palatino Linotype" w:hAnsi="Palatino Linotype" w:cs="Palatino Linotype"/>
          <w:sz w:val="22"/>
          <w:szCs w:val="22"/>
        </w:rPr>
      </w:pPr>
    </w:p>
    <w:p w14:paraId="0113E0DB" w14:textId="77777777" w:rsidR="00AF64FD" w:rsidRPr="009C72E8" w:rsidRDefault="00816891">
      <w:pPr>
        <w:spacing w:line="360" w:lineRule="auto"/>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w:t>
      </w:r>
      <w:r w:rsidRPr="009C72E8">
        <w:rPr>
          <w:rFonts w:ascii="Palatino Linotype" w:eastAsia="Palatino Linotype" w:hAnsi="Palatino Linotype" w:cs="Palatino Linotype"/>
          <w:sz w:val="22"/>
          <w:szCs w:val="22"/>
        </w:rPr>
        <w:lastRenderedPageBreak/>
        <w:t xml:space="preserve">sonoro, visual, electrónico, informático u holográfico de conformidad con el artículo 3, fracción XI de la Ley de la materia, el cual señala lo siguiente: </w:t>
      </w:r>
    </w:p>
    <w:p w14:paraId="72A5D5E5" w14:textId="77777777" w:rsidR="00AF64FD" w:rsidRPr="009C72E8" w:rsidRDefault="00AF64FD">
      <w:pPr>
        <w:ind w:left="851" w:right="899"/>
        <w:jc w:val="both"/>
        <w:rPr>
          <w:rFonts w:ascii="Palatino Linotype" w:eastAsia="Palatino Linotype" w:hAnsi="Palatino Linotype" w:cs="Palatino Linotype"/>
          <w:i/>
          <w:sz w:val="22"/>
          <w:szCs w:val="22"/>
        </w:rPr>
      </w:pPr>
    </w:p>
    <w:p w14:paraId="5F0BB611" w14:textId="77777777" w:rsidR="00AF64FD" w:rsidRPr="009C72E8" w:rsidRDefault="00816891">
      <w:pPr>
        <w:ind w:left="851" w:right="899"/>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i/>
          <w:sz w:val="22"/>
          <w:szCs w:val="22"/>
        </w:rPr>
        <w:t>“</w:t>
      </w:r>
      <w:r w:rsidRPr="009C72E8">
        <w:rPr>
          <w:rFonts w:ascii="Palatino Linotype" w:eastAsia="Palatino Linotype" w:hAnsi="Palatino Linotype" w:cs="Palatino Linotype"/>
          <w:b/>
          <w:i/>
          <w:sz w:val="22"/>
          <w:szCs w:val="22"/>
        </w:rPr>
        <w:t xml:space="preserve">Artículo 3. </w:t>
      </w:r>
      <w:r w:rsidRPr="009C72E8">
        <w:rPr>
          <w:rFonts w:ascii="Palatino Linotype" w:eastAsia="Palatino Linotype" w:hAnsi="Palatino Linotype" w:cs="Palatino Linotype"/>
          <w:i/>
          <w:sz w:val="22"/>
          <w:szCs w:val="22"/>
        </w:rPr>
        <w:t>Para los efectos de la presente Ley se entenderá por:</w:t>
      </w:r>
    </w:p>
    <w:p w14:paraId="5F548390" w14:textId="77777777" w:rsidR="00AF64FD" w:rsidRPr="009C72E8" w:rsidRDefault="00816891">
      <w:pPr>
        <w:ind w:left="851" w:right="899"/>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i/>
          <w:sz w:val="22"/>
          <w:szCs w:val="22"/>
        </w:rPr>
        <w:t>…</w:t>
      </w:r>
    </w:p>
    <w:p w14:paraId="48481FE7" w14:textId="77777777" w:rsidR="00AF64FD" w:rsidRPr="009C72E8" w:rsidRDefault="00816891">
      <w:pPr>
        <w:ind w:left="851" w:right="899"/>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b/>
          <w:i/>
          <w:sz w:val="22"/>
          <w:szCs w:val="22"/>
        </w:rPr>
        <w:t>XI. Documento:</w:t>
      </w:r>
      <w:r w:rsidRPr="009C72E8">
        <w:rPr>
          <w:rFonts w:ascii="Palatino Linotype" w:eastAsia="Palatino Linotype" w:hAnsi="Palatino Linotype" w:cs="Palatino Linotype"/>
          <w:i/>
          <w:sz w:val="22"/>
          <w:szCs w:val="22"/>
        </w:rPr>
        <w:t xml:space="preserve"> Los expedientes, reportes, estudios, actas</w:t>
      </w:r>
      <w:r w:rsidRPr="009C72E8">
        <w:rPr>
          <w:rFonts w:ascii="Palatino Linotype" w:eastAsia="Palatino Linotype" w:hAnsi="Palatino Linotype" w:cs="Palatino Linotype"/>
          <w:b/>
          <w:i/>
          <w:sz w:val="22"/>
          <w:szCs w:val="22"/>
        </w:rPr>
        <w:t>,</w:t>
      </w:r>
      <w:r w:rsidRPr="009C72E8">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11FCACAC" w14:textId="77777777" w:rsidR="00AF64FD" w:rsidRPr="009C72E8" w:rsidRDefault="00AF64FD">
      <w:pPr>
        <w:spacing w:line="360" w:lineRule="auto"/>
        <w:ind w:left="851" w:right="899"/>
        <w:jc w:val="both"/>
        <w:rPr>
          <w:rFonts w:ascii="Palatino Linotype" w:eastAsia="Palatino Linotype" w:hAnsi="Palatino Linotype" w:cs="Palatino Linotype"/>
          <w:sz w:val="22"/>
          <w:szCs w:val="22"/>
        </w:rPr>
      </w:pPr>
    </w:p>
    <w:p w14:paraId="25790E77" w14:textId="77777777" w:rsidR="00AF64FD" w:rsidRPr="009C72E8" w:rsidRDefault="00816891">
      <w:pPr>
        <w:spacing w:line="360" w:lineRule="auto"/>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02CA5C0" w14:textId="77777777" w:rsidR="00AF64FD" w:rsidRPr="009C72E8" w:rsidRDefault="00AF64FD">
      <w:pPr>
        <w:spacing w:line="360" w:lineRule="auto"/>
        <w:ind w:left="851" w:right="899"/>
        <w:jc w:val="both"/>
        <w:rPr>
          <w:rFonts w:ascii="Palatino Linotype" w:eastAsia="Palatino Linotype" w:hAnsi="Palatino Linotype" w:cs="Palatino Linotype"/>
          <w:sz w:val="22"/>
          <w:szCs w:val="22"/>
        </w:rPr>
      </w:pPr>
    </w:p>
    <w:p w14:paraId="3BDF8B45" w14:textId="77777777" w:rsidR="00AF64FD" w:rsidRPr="009C72E8" w:rsidRDefault="00816891">
      <w:pPr>
        <w:ind w:left="851" w:right="899"/>
        <w:jc w:val="both"/>
        <w:rPr>
          <w:rFonts w:ascii="Palatino Linotype" w:eastAsia="Palatino Linotype" w:hAnsi="Palatino Linotype" w:cs="Palatino Linotype"/>
          <w:b/>
          <w:i/>
          <w:sz w:val="22"/>
          <w:szCs w:val="22"/>
        </w:rPr>
      </w:pPr>
      <w:r w:rsidRPr="009C72E8">
        <w:rPr>
          <w:rFonts w:ascii="Palatino Linotype" w:eastAsia="Palatino Linotype" w:hAnsi="Palatino Linotype" w:cs="Palatino Linotype"/>
          <w:b/>
          <w:sz w:val="22"/>
          <w:szCs w:val="22"/>
        </w:rPr>
        <w:t>“</w:t>
      </w:r>
      <w:r w:rsidRPr="009C72E8">
        <w:rPr>
          <w:rFonts w:ascii="Palatino Linotype" w:eastAsia="Palatino Linotype" w:hAnsi="Palatino Linotype" w:cs="Palatino Linotype"/>
          <w:b/>
          <w:i/>
          <w:sz w:val="22"/>
          <w:szCs w:val="22"/>
        </w:rPr>
        <w:t>CRITERIO 0002-11</w:t>
      </w:r>
    </w:p>
    <w:p w14:paraId="09EEABB7" w14:textId="77777777" w:rsidR="00AF64FD" w:rsidRPr="009C72E8" w:rsidRDefault="00816891">
      <w:pPr>
        <w:ind w:left="851" w:right="899"/>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9C72E8">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43E3033" w14:textId="77777777" w:rsidR="00AF64FD" w:rsidRPr="009C72E8" w:rsidRDefault="00816891">
      <w:pPr>
        <w:ind w:left="851" w:right="899"/>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0CBC828" w14:textId="77777777" w:rsidR="00AF64FD" w:rsidRPr="009C72E8" w:rsidRDefault="00816891">
      <w:pPr>
        <w:ind w:left="851" w:right="899"/>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24CA5FC7" w14:textId="77777777" w:rsidR="00AF64FD" w:rsidRPr="009C72E8" w:rsidRDefault="00816891">
      <w:pPr>
        <w:ind w:left="851" w:right="899"/>
        <w:jc w:val="both"/>
        <w:rPr>
          <w:rFonts w:ascii="Palatino Linotype" w:eastAsia="Palatino Linotype" w:hAnsi="Palatino Linotype" w:cs="Palatino Linotype"/>
          <w:b/>
          <w:i/>
          <w:sz w:val="22"/>
          <w:szCs w:val="22"/>
        </w:rPr>
      </w:pPr>
      <w:r w:rsidRPr="009C72E8">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02C92672" w14:textId="77777777" w:rsidR="00AF64FD" w:rsidRPr="009C72E8" w:rsidRDefault="00816891">
      <w:pPr>
        <w:ind w:left="851" w:right="899"/>
        <w:jc w:val="both"/>
        <w:rPr>
          <w:rFonts w:ascii="Palatino Linotype" w:eastAsia="Palatino Linotype" w:hAnsi="Palatino Linotype" w:cs="Palatino Linotype"/>
          <w:b/>
          <w:i/>
          <w:sz w:val="22"/>
          <w:szCs w:val="22"/>
        </w:rPr>
      </w:pPr>
      <w:r w:rsidRPr="009C72E8">
        <w:rPr>
          <w:rFonts w:ascii="Palatino Linotype" w:eastAsia="Palatino Linotype" w:hAnsi="Palatino Linotype" w:cs="Palatino Linotype"/>
          <w:b/>
          <w:i/>
          <w:sz w:val="22"/>
          <w:szCs w:val="22"/>
        </w:rPr>
        <w:lastRenderedPageBreak/>
        <w:t>3) Que se trate de información registrada en cualquier soporte documental, que en ejercicio de las atribuciones conferidas, se encuentre en posesión de los Sujetos Obligados.”</w:t>
      </w:r>
    </w:p>
    <w:p w14:paraId="79D49786" w14:textId="77777777" w:rsidR="00AF64FD" w:rsidRPr="009C72E8" w:rsidRDefault="00AF64FD">
      <w:pPr>
        <w:spacing w:line="360" w:lineRule="auto"/>
        <w:jc w:val="both"/>
        <w:rPr>
          <w:rFonts w:ascii="Palatino Linotype" w:eastAsia="Palatino Linotype" w:hAnsi="Palatino Linotype" w:cs="Palatino Linotype"/>
          <w:sz w:val="22"/>
          <w:szCs w:val="22"/>
        </w:rPr>
      </w:pPr>
    </w:p>
    <w:p w14:paraId="6BC5E967" w14:textId="77777777" w:rsidR="00AF64FD" w:rsidRPr="009C72E8" w:rsidRDefault="00816891">
      <w:pPr>
        <w:spacing w:after="240" w:line="360" w:lineRule="auto"/>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Ahora bien, del análisis de la solicitud de información motivo del recurso de revisión que ahora se resuelve, es necesario referir que el Recurrente solicitó la siguiente información:</w:t>
      </w:r>
    </w:p>
    <w:p w14:paraId="2297F501" w14:textId="77777777" w:rsidR="00AF64FD" w:rsidRPr="009C72E8" w:rsidRDefault="00816891">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b/>
          <w:sz w:val="22"/>
          <w:szCs w:val="22"/>
        </w:rPr>
      </w:pPr>
      <w:r w:rsidRPr="009C72E8">
        <w:rPr>
          <w:rFonts w:ascii="Palatino Linotype" w:eastAsia="Palatino Linotype" w:hAnsi="Palatino Linotype" w:cs="Palatino Linotype"/>
          <w:b/>
          <w:sz w:val="22"/>
          <w:szCs w:val="22"/>
        </w:rPr>
        <w:t>Versión pública del tercer informe trimestral enviado al OSFEM del año 2024.</w:t>
      </w:r>
    </w:p>
    <w:p w14:paraId="3A9EE016" w14:textId="77777777" w:rsidR="00AF64FD" w:rsidRPr="009C72E8" w:rsidRDefault="00816891">
      <w:pPr>
        <w:spacing w:after="240" w:line="360" w:lineRule="auto"/>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 xml:space="preserve">Derivado de la naturaleza de la información solicitada es necesario precisar que de conformidad con el artículo 116, fracción II, párrafo sexto de la Constitución Política de los Estados Unidos Mexicanos, las Legislaturas de los Estados contarán con entidades estatales de fiscalización con autonomía técnica y de gestión. </w:t>
      </w:r>
    </w:p>
    <w:p w14:paraId="7C0772B9" w14:textId="77777777" w:rsidR="00AF64FD" w:rsidRPr="009C72E8" w:rsidRDefault="00816891">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9C72E8">
        <w:rPr>
          <w:rFonts w:ascii="Palatino Linotype" w:eastAsia="Palatino Linotype" w:hAnsi="Palatino Linotype" w:cs="Palatino Linotype"/>
          <w:sz w:val="22"/>
          <w:szCs w:val="22"/>
        </w:rPr>
        <w:t xml:space="preserve">En ese sentido, de acuerdo con el artículo 61, fracciones XXXII, XXXIII, XXXIV y XXXV de la Constitución Política del Estado Libre y Soberano de México, el Órgano Superior de Fiscalización del Estado de México, es un órgano dotado de autonomía técnica y de gestión, con atribuciones para recibir, revisar y fiscalizar: </w:t>
      </w:r>
      <w:r w:rsidRPr="009C72E8">
        <w:rPr>
          <w:rFonts w:ascii="Palatino Linotype" w:eastAsia="Palatino Linotype" w:hAnsi="Palatino Linotype" w:cs="Palatino Linotype"/>
          <w:b/>
          <w:sz w:val="22"/>
          <w:szCs w:val="22"/>
        </w:rPr>
        <w:t xml:space="preserve">cuentas públicas del Estado y Municipios, la aplicación de los fondos públicos, la administración de los ingresos y egresos y; determinar los daños y perjuicios que afecten a la hacienda pública. </w:t>
      </w:r>
    </w:p>
    <w:p w14:paraId="44C90F07" w14:textId="77777777" w:rsidR="00AF64FD" w:rsidRPr="009C72E8" w:rsidRDefault="00AF64FD">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70526811" w14:textId="77777777" w:rsidR="00AF64FD" w:rsidRPr="009C72E8" w:rsidRDefault="00816891">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 xml:space="preserve">Es así que, de acuerdo con el artículo 129 de la Constitución Política del Estado Libre y Soberano de México, el OSFEM vigila que los recursos económicos del Estado, municipios, organismos autónomos se administren con eficacia, eficiencia, economía, transparencia y honradez, para cumplir con los objetivos y programas. </w:t>
      </w:r>
    </w:p>
    <w:p w14:paraId="246F3CED" w14:textId="77777777" w:rsidR="00AF64FD" w:rsidRPr="009C72E8" w:rsidRDefault="00AF64F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A81278A" w14:textId="77777777" w:rsidR="00AF64FD" w:rsidRPr="009C72E8" w:rsidRDefault="00816891">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 xml:space="preserve">Por otro lado, la Ley de Fiscalización Superior del Estado de México establece lo siguiente: </w:t>
      </w:r>
    </w:p>
    <w:p w14:paraId="27D6B200" w14:textId="77777777" w:rsidR="00AF64FD" w:rsidRPr="009C72E8" w:rsidRDefault="00AF64FD">
      <w:pPr>
        <w:pBdr>
          <w:top w:val="nil"/>
          <w:left w:val="nil"/>
          <w:bottom w:val="nil"/>
          <w:right w:val="nil"/>
          <w:between w:val="nil"/>
        </w:pBdr>
        <w:ind w:left="567" w:right="616"/>
        <w:jc w:val="both"/>
        <w:rPr>
          <w:rFonts w:ascii="Palatino Linotype" w:eastAsia="Palatino Linotype" w:hAnsi="Palatino Linotype" w:cs="Palatino Linotype"/>
          <w:i/>
          <w:sz w:val="22"/>
          <w:szCs w:val="22"/>
        </w:rPr>
      </w:pPr>
    </w:p>
    <w:p w14:paraId="72776DCF" w14:textId="77777777" w:rsidR="00AF64FD" w:rsidRPr="009C72E8" w:rsidRDefault="00816891">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b/>
          <w:i/>
          <w:sz w:val="22"/>
          <w:szCs w:val="22"/>
        </w:rPr>
        <w:t>Artículo 4.-</w:t>
      </w:r>
      <w:r w:rsidRPr="009C72E8">
        <w:rPr>
          <w:rFonts w:ascii="Palatino Linotype" w:eastAsia="Palatino Linotype" w:hAnsi="Palatino Linotype" w:cs="Palatino Linotype"/>
          <w:i/>
          <w:sz w:val="22"/>
          <w:szCs w:val="22"/>
        </w:rPr>
        <w:t xml:space="preserve"> Son sujetos de fiscalización:  </w:t>
      </w:r>
    </w:p>
    <w:p w14:paraId="6ABC86CC" w14:textId="77777777" w:rsidR="00AF64FD" w:rsidRPr="009C72E8" w:rsidRDefault="00816891">
      <w:pPr>
        <w:ind w:left="567" w:right="616"/>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i/>
          <w:sz w:val="22"/>
          <w:szCs w:val="22"/>
        </w:rPr>
        <w:t xml:space="preserve">I. Los Poderes Públicos del Estado;  </w:t>
      </w:r>
    </w:p>
    <w:p w14:paraId="5D8C2FD3" w14:textId="77777777" w:rsidR="00AF64FD" w:rsidRPr="009C72E8" w:rsidRDefault="00816891">
      <w:pPr>
        <w:ind w:left="567" w:right="616"/>
        <w:rPr>
          <w:rFonts w:ascii="Palatino Linotype" w:eastAsia="Palatino Linotype" w:hAnsi="Palatino Linotype" w:cs="Palatino Linotype"/>
          <w:b/>
          <w:i/>
          <w:sz w:val="22"/>
          <w:szCs w:val="22"/>
          <w:u w:val="single"/>
        </w:rPr>
      </w:pPr>
      <w:r w:rsidRPr="009C72E8">
        <w:rPr>
          <w:rFonts w:ascii="Palatino Linotype" w:eastAsia="Palatino Linotype" w:hAnsi="Palatino Linotype" w:cs="Palatino Linotype"/>
          <w:b/>
          <w:i/>
          <w:sz w:val="22"/>
          <w:szCs w:val="22"/>
          <w:u w:val="single"/>
        </w:rPr>
        <w:lastRenderedPageBreak/>
        <w:t xml:space="preserve">II. Los municipios del Estado de México;  </w:t>
      </w:r>
    </w:p>
    <w:p w14:paraId="6613AB2F" w14:textId="77777777" w:rsidR="00AF64FD" w:rsidRPr="009C72E8" w:rsidRDefault="00816891">
      <w:pPr>
        <w:ind w:left="567" w:right="616"/>
        <w:rPr>
          <w:rFonts w:ascii="Palatino Linotype" w:eastAsia="Palatino Linotype" w:hAnsi="Palatino Linotype" w:cs="Palatino Linotype"/>
          <w:i/>
          <w:sz w:val="22"/>
          <w:szCs w:val="22"/>
        </w:rPr>
      </w:pPr>
      <w:r w:rsidRPr="009C72E8">
        <w:rPr>
          <w:rFonts w:ascii="Palatino Linotype" w:eastAsia="Palatino Linotype" w:hAnsi="Palatino Linotype" w:cs="Palatino Linotype"/>
          <w:i/>
          <w:sz w:val="22"/>
          <w:szCs w:val="22"/>
        </w:rPr>
        <w:t xml:space="preserve">III. Los organismos autónomos;  </w:t>
      </w:r>
    </w:p>
    <w:p w14:paraId="1B9B1BBE" w14:textId="77777777" w:rsidR="00AF64FD" w:rsidRPr="009C72E8" w:rsidRDefault="00816891">
      <w:pPr>
        <w:ind w:left="567" w:right="616"/>
        <w:rPr>
          <w:rFonts w:ascii="Palatino Linotype" w:eastAsia="Palatino Linotype" w:hAnsi="Palatino Linotype" w:cs="Palatino Linotype"/>
          <w:b/>
          <w:i/>
          <w:sz w:val="22"/>
          <w:szCs w:val="22"/>
          <w:u w:val="single"/>
        </w:rPr>
      </w:pPr>
      <w:r w:rsidRPr="009C72E8">
        <w:rPr>
          <w:rFonts w:ascii="Palatino Linotype" w:eastAsia="Palatino Linotype" w:hAnsi="Palatino Linotype" w:cs="Palatino Linotype"/>
          <w:b/>
          <w:i/>
          <w:sz w:val="22"/>
          <w:szCs w:val="22"/>
          <w:u w:val="single"/>
        </w:rPr>
        <w:t xml:space="preserve">IV. Los organismos auxiliares;  </w:t>
      </w:r>
    </w:p>
    <w:p w14:paraId="2884108E" w14:textId="77777777" w:rsidR="00AF64FD" w:rsidRPr="009C72E8" w:rsidRDefault="00816891">
      <w:pPr>
        <w:ind w:left="567" w:right="616"/>
        <w:rPr>
          <w:rFonts w:ascii="Palatino Linotype" w:eastAsia="Palatino Linotype" w:hAnsi="Palatino Linotype" w:cs="Palatino Linotype"/>
          <w:i/>
          <w:sz w:val="22"/>
          <w:szCs w:val="22"/>
        </w:rPr>
      </w:pPr>
      <w:r w:rsidRPr="009C72E8">
        <w:rPr>
          <w:rFonts w:ascii="Palatino Linotype" w:eastAsia="Palatino Linotype" w:hAnsi="Palatino Linotype" w:cs="Palatino Linotype"/>
          <w:i/>
          <w:sz w:val="22"/>
          <w:szCs w:val="22"/>
        </w:rPr>
        <w:t>V. Los fideicomisos previstos en el artículo 3 fracción XVII del Código Financiero del Estado de México y Municipios, y aquellos que manejen recursos del Estado, Municipios, o en su caso provenientes de la federación;</w:t>
      </w:r>
    </w:p>
    <w:p w14:paraId="6D7BEAD4" w14:textId="77777777" w:rsidR="00AF64FD" w:rsidRPr="009C72E8" w:rsidRDefault="00816891">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i/>
          <w:sz w:val="22"/>
          <w:szCs w:val="22"/>
        </w:rPr>
        <w:t>VI.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p w14:paraId="45ECBFA6" w14:textId="77777777" w:rsidR="00AF64FD" w:rsidRPr="009C72E8" w:rsidRDefault="00AF64F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6812E3B" w14:textId="77777777" w:rsidR="00AF64FD" w:rsidRPr="009C72E8" w:rsidRDefault="00816891">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 xml:space="preserve">En relación con el tema que ahora nos ocupa, es de señalar que los informes trimestrales son los documentos físicos o electrónicos que trimestralmente presentan las entidades fiscalizables, a través de las </w:t>
      </w:r>
      <w:r w:rsidRPr="009C72E8">
        <w:rPr>
          <w:rFonts w:ascii="Palatino Linotype" w:eastAsia="Palatino Linotype" w:hAnsi="Palatino Linotype" w:cs="Palatino Linotype"/>
          <w:b/>
          <w:sz w:val="22"/>
          <w:szCs w:val="22"/>
          <w:u w:val="single"/>
        </w:rPr>
        <w:t>tesorerías municipales</w:t>
      </w:r>
      <w:r w:rsidRPr="009C72E8">
        <w:rPr>
          <w:rFonts w:ascii="Palatino Linotype" w:eastAsia="Palatino Linotype" w:hAnsi="Palatino Linotype" w:cs="Palatino Linotype"/>
          <w:sz w:val="22"/>
          <w:szCs w:val="22"/>
        </w:rPr>
        <w:t xml:space="preserve"> y de la Secretaría de Finanzas o equivalentes, sobre la situación económica, las finanzas públicas y, en su caso, respecto a la deuda pública, para su análisis por el Órgano Superior. </w:t>
      </w:r>
    </w:p>
    <w:p w14:paraId="44D748A1" w14:textId="77777777" w:rsidR="00AF64FD" w:rsidRPr="009C72E8" w:rsidRDefault="00AF64F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20A0F00" w14:textId="77777777" w:rsidR="00AF64FD" w:rsidRPr="009C72E8" w:rsidRDefault="00816891">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 xml:space="preserve">Es así que la Secretaría de Finanzas del Poder Ejecutivo y las Tesorerías Municipales o equivalentes, enviarán para su análisis y evaluación al Órgano Superior de Fiscalización del Estado de México de manera trimestral dentro de los primeros veinte días hábiles posteriores al término el periodo a informar y para el trimestre correspondiente al cierre del ejercicio fiscal. </w:t>
      </w:r>
    </w:p>
    <w:p w14:paraId="26EE238E" w14:textId="77777777" w:rsidR="00AF64FD" w:rsidRPr="009C72E8" w:rsidRDefault="00AF64F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8D6CD0A" w14:textId="77777777" w:rsidR="00AF64FD" w:rsidRPr="009C72E8" w:rsidRDefault="00816891">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 xml:space="preserve">En resumen, las entidades fiscalizables deberán presentar los informes trimestrales dentro de los veinte días hábiles posteriores al término correspondiente. </w:t>
      </w:r>
    </w:p>
    <w:p w14:paraId="0384B2EE" w14:textId="77777777" w:rsidR="00AF64FD" w:rsidRPr="009C72E8" w:rsidRDefault="00AF64F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4D11414" w14:textId="77777777" w:rsidR="00AF64FD" w:rsidRPr="009C72E8" w:rsidRDefault="00816891">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Por último, no pasa desapercibido señalar que, de conformidad con los Lineamientos, Fechas de Capacitación y Calendarización para la Integración, Presentación y Envío de los Informes Trimestrales del Ejercicio Fiscal 2024, de las Entidades Fiscalizables del Estado de México, emitidos el veinte de marzo de dos mil veinticuatro, disponen que los informes trimestrales se integran de cuatro módulos, siendo de la siguiente manera:</w:t>
      </w:r>
    </w:p>
    <w:p w14:paraId="33FBFEE9" w14:textId="77777777" w:rsidR="00AF64FD" w:rsidRPr="009C72E8" w:rsidRDefault="00AF64F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56EFA99" w14:textId="77777777" w:rsidR="00AF64FD" w:rsidRPr="009C72E8" w:rsidRDefault="00816891">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sidRPr="009C72E8">
        <w:rPr>
          <w:rFonts w:ascii="Palatino Linotype" w:eastAsia="Palatino Linotype" w:hAnsi="Palatino Linotype" w:cs="Palatino Linotype"/>
          <w:noProof/>
          <w:sz w:val="22"/>
          <w:szCs w:val="22"/>
          <w:lang w:val="es-MX"/>
        </w:rPr>
        <w:drawing>
          <wp:inline distT="0" distB="0" distL="0" distR="0" wp14:anchorId="03EA357A" wp14:editId="4B1248DC">
            <wp:extent cx="4960614" cy="3608912"/>
            <wp:effectExtent l="0" t="0" r="0" b="0"/>
            <wp:docPr id="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4960614" cy="3608912"/>
                    </a:xfrm>
                    <a:prstGeom prst="rect">
                      <a:avLst/>
                    </a:prstGeom>
                    <a:ln/>
                  </pic:spPr>
                </pic:pic>
              </a:graphicData>
            </a:graphic>
          </wp:inline>
        </w:drawing>
      </w:r>
    </w:p>
    <w:p w14:paraId="6D90A422" w14:textId="77777777" w:rsidR="00AF64FD" w:rsidRPr="009C72E8" w:rsidRDefault="00AF64F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0F5A369" w14:textId="77777777" w:rsidR="00AF64FD" w:rsidRPr="009C72E8" w:rsidRDefault="00816891">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Es así que, los entes fiscalizables en el cumplimiento de sus obligaciones fiscalizables, deben remitir informes trimestrales al Órgano Superior de Fiscalización en cuatro módulos, como se muestra en la imagen de referencia y mismos que son señalados en los documentos de apoyo de la página oficial del OSFEM, como se muestra a continuación:</w:t>
      </w:r>
    </w:p>
    <w:p w14:paraId="4A8AE51C" w14:textId="77777777" w:rsidR="00AF64FD" w:rsidRPr="009C72E8" w:rsidRDefault="00AF64F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D844793" w14:textId="77777777" w:rsidR="00AF64FD" w:rsidRPr="009C72E8" w:rsidRDefault="00816891">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noProof/>
          <w:sz w:val="22"/>
          <w:szCs w:val="22"/>
          <w:lang w:val="es-MX"/>
        </w:rPr>
        <w:drawing>
          <wp:inline distT="0" distB="0" distL="0" distR="0" wp14:anchorId="1781FAF6" wp14:editId="70857D71">
            <wp:extent cx="5760720" cy="1131570"/>
            <wp:effectExtent l="0" t="0" r="0" b="0"/>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760720" cy="1131570"/>
                    </a:xfrm>
                    <a:prstGeom prst="rect">
                      <a:avLst/>
                    </a:prstGeom>
                    <a:ln/>
                  </pic:spPr>
                </pic:pic>
              </a:graphicData>
            </a:graphic>
          </wp:inline>
        </w:drawing>
      </w:r>
    </w:p>
    <w:p w14:paraId="66BABB86" w14:textId="77777777" w:rsidR="00AF64FD" w:rsidRPr="009C72E8" w:rsidRDefault="00AF64F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4B8FDD1" w14:textId="77777777" w:rsidR="00AF64FD" w:rsidRPr="009C72E8" w:rsidRDefault="00816891">
      <w:pPr>
        <w:pBdr>
          <w:top w:val="nil"/>
          <w:left w:val="nil"/>
          <w:bottom w:val="nil"/>
          <w:right w:val="nil"/>
          <w:between w:val="nil"/>
        </w:pBdr>
        <w:tabs>
          <w:tab w:val="left" w:pos="7797"/>
          <w:tab w:val="left" w:pos="8222"/>
        </w:tabs>
        <w:spacing w:line="360" w:lineRule="auto"/>
        <w:ind w:right="49"/>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lastRenderedPageBreak/>
        <w:t>Así, los informes trimestrales se envían al Órgano Superior de Fiscalización por parte de los Ayuntamientos, a través de las Tesorerías Municipales, como lo establece la Ley de Fiscalización en el artículo 2, fracción XI:</w:t>
      </w:r>
    </w:p>
    <w:p w14:paraId="67EDF13F" w14:textId="77777777" w:rsidR="00AF64FD" w:rsidRPr="009C72E8" w:rsidRDefault="00AF64FD">
      <w:pPr>
        <w:pBdr>
          <w:top w:val="nil"/>
          <w:left w:val="nil"/>
          <w:bottom w:val="nil"/>
          <w:right w:val="nil"/>
          <w:between w:val="nil"/>
        </w:pBdr>
        <w:tabs>
          <w:tab w:val="left" w:pos="7797"/>
          <w:tab w:val="left" w:pos="8222"/>
        </w:tabs>
        <w:spacing w:line="360" w:lineRule="auto"/>
        <w:ind w:right="49"/>
        <w:jc w:val="both"/>
        <w:rPr>
          <w:rFonts w:ascii="Palatino Linotype" w:eastAsia="Palatino Linotype" w:hAnsi="Palatino Linotype" w:cs="Palatino Linotype"/>
          <w:sz w:val="22"/>
          <w:szCs w:val="22"/>
        </w:rPr>
      </w:pPr>
    </w:p>
    <w:p w14:paraId="2E4CF22D" w14:textId="77777777" w:rsidR="00AF64FD" w:rsidRPr="009C72E8" w:rsidRDefault="00816891">
      <w:pPr>
        <w:pBdr>
          <w:top w:val="nil"/>
          <w:left w:val="nil"/>
          <w:bottom w:val="nil"/>
          <w:right w:val="nil"/>
          <w:between w:val="nil"/>
        </w:pBdr>
        <w:tabs>
          <w:tab w:val="left" w:pos="7797"/>
          <w:tab w:val="left" w:pos="8222"/>
        </w:tabs>
        <w:spacing w:line="360" w:lineRule="auto"/>
        <w:ind w:left="567" w:right="850"/>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i/>
          <w:sz w:val="22"/>
          <w:szCs w:val="22"/>
        </w:rPr>
        <w:t>Artículo 2. Para los efectos de la presente Ley, se entenderá por:</w:t>
      </w:r>
    </w:p>
    <w:p w14:paraId="58F37E97" w14:textId="77777777" w:rsidR="00AF64FD" w:rsidRPr="009C72E8" w:rsidRDefault="00816891">
      <w:pPr>
        <w:pBdr>
          <w:top w:val="nil"/>
          <w:left w:val="nil"/>
          <w:bottom w:val="nil"/>
          <w:right w:val="nil"/>
          <w:between w:val="nil"/>
        </w:pBdr>
        <w:tabs>
          <w:tab w:val="left" w:pos="7797"/>
          <w:tab w:val="left" w:pos="8222"/>
        </w:tabs>
        <w:spacing w:line="360" w:lineRule="auto"/>
        <w:ind w:left="567" w:right="850"/>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i/>
          <w:sz w:val="22"/>
          <w:szCs w:val="22"/>
        </w:rPr>
        <w:t>…</w:t>
      </w:r>
    </w:p>
    <w:p w14:paraId="104C4352" w14:textId="77777777" w:rsidR="00AF64FD" w:rsidRPr="009C72E8" w:rsidRDefault="00816891">
      <w:pPr>
        <w:pBdr>
          <w:top w:val="nil"/>
          <w:left w:val="nil"/>
          <w:bottom w:val="nil"/>
          <w:right w:val="nil"/>
          <w:between w:val="nil"/>
        </w:pBdr>
        <w:tabs>
          <w:tab w:val="left" w:pos="7797"/>
          <w:tab w:val="left" w:pos="8222"/>
        </w:tabs>
        <w:spacing w:line="360" w:lineRule="auto"/>
        <w:ind w:left="567" w:right="850"/>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i/>
          <w:sz w:val="22"/>
          <w:szCs w:val="22"/>
        </w:rPr>
        <w:t xml:space="preserve">XI. Informe Trimestral: Al documento físico o electrónico que trimestralmente presentan las entidades fiscalizables, </w:t>
      </w:r>
      <w:r w:rsidRPr="009C72E8">
        <w:rPr>
          <w:rFonts w:ascii="Palatino Linotype" w:eastAsia="Palatino Linotype" w:hAnsi="Palatino Linotype" w:cs="Palatino Linotype"/>
          <w:b/>
          <w:i/>
          <w:sz w:val="22"/>
          <w:szCs w:val="22"/>
          <w:u w:val="single"/>
        </w:rPr>
        <w:t>a través de las tesorerías municipales</w:t>
      </w:r>
      <w:r w:rsidRPr="009C72E8">
        <w:rPr>
          <w:rFonts w:ascii="Palatino Linotype" w:eastAsia="Palatino Linotype" w:hAnsi="Palatino Linotype" w:cs="Palatino Linotype"/>
          <w:i/>
          <w:sz w:val="22"/>
          <w:szCs w:val="22"/>
        </w:rPr>
        <w:t xml:space="preserve"> y de la Secretaría de Finanzas o equivalentes, sobre la situación económica, las finanzas públicas y, en su caso, respecto a la deuda pública, para su análisis por el Órgano Superior;</w:t>
      </w:r>
    </w:p>
    <w:p w14:paraId="58BF59CF" w14:textId="77777777" w:rsidR="00AF64FD" w:rsidRPr="009C72E8" w:rsidRDefault="00816891">
      <w:pPr>
        <w:pBdr>
          <w:top w:val="nil"/>
          <w:left w:val="nil"/>
          <w:bottom w:val="nil"/>
          <w:right w:val="nil"/>
          <w:between w:val="nil"/>
        </w:pBdr>
        <w:tabs>
          <w:tab w:val="left" w:pos="7797"/>
          <w:tab w:val="left" w:pos="8222"/>
        </w:tabs>
        <w:spacing w:line="360" w:lineRule="auto"/>
        <w:ind w:left="567" w:right="850"/>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i/>
          <w:sz w:val="22"/>
          <w:szCs w:val="22"/>
        </w:rPr>
        <w:t>…</w:t>
      </w:r>
    </w:p>
    <w:p w14:paraId="3FE53CCE" w14:textId="77777777" w:rsidR="00AF64FD" w:rsidRPr="009C72E8" w:rsidRDefault="00AF64FD">
      <w:pPr>
        <w:pBdr>
          <w:top w:val="nil"/>
          <w:left w:val="nil"/>
          <w:bottom w:val="nil"/>
          <w:right w:val="nil"/>
          <w:between w:val="nil"/>
        </w:pBdr>
        <w:tabs>
          <w:tab w:val="left" w:pos="7797"/>
          <w:tab w:val="left" w:pos="8222"/>
        </w:tabs>
        <w:spacing w:line="360" w:lineRule="auto"/>
        <w:ind w:right="49"/>
        <w:jc w:val="both"/>
        <w:rPr>
          <w:rFonts w:ascii="Palatino Linotype" w:eastAsia="Palatino Linotype" w:hAnsi="Palatino Linotype" w:cs="Palatino Linotype"/>
          <w:sz w:val="22"/>
          <w:szCs w:val="22"/>
        </w:rPr>
      </w:pPr>
    </w:p>
    <w:p w14:paraId="585A862C" w14:textId="77777777" w:rsidR="00AF64FD" w:rsidRPr="009C72E8" w:rsidRDefault="00816891">
      <w:pPr>
        <w:pBdr>
          <w:top w:val="nil"/>
          <w:left w:val="nil"/>
          <w:bottom w:val="nil"/>
          <w:right w:val="nil"/>
          <w:between w:val="nil"/>
        </w:pBdr>
        <w:tabs>
          <w:tab w:val="left" w:pos="7797"/>
          <w:tab w:val="left" w:pos="8222"/>
        </w:tabs>
        <w:spacing w:line="360" w:lineRule="auto"/>
        <w:ind w:right="49"/>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Entonces, al haber turnado la solicitud a la Tesorería Municipal se advierte que el Sujeto Obligado turnó la solicitud al área competente, cumpliendo con lo que disponen los artículos 151, 160, 162, 163, 164, 165 y 166, de la Ley de Transparencia y Acceso a la Información Pública del Estado de México y Municipios:</w:t>
      </w:r>
    </w:p>
    <w:p w14:paraId="23DA2FEF" w14:textId="77777777" w:rsidR="00AF64FD" w:rsidRPr="009C72E8" w:rsidRDefault="00AF64F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46DB786" w14:textId="77777777" w:rsidR="00AF64FD" w:rsidRPr="009C72E8" w:rsidRDefault="00816891">
      <w:pPr>
        <w:spacing w:line="360" w:lineRule="auto"/>
        <w:ind w:left="284" w:right="191"/>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00263F0A" w14:textId="77777777" w:rsidR="00AF64FD" w:rsidRPr="009C72E8" w:rsidRDefault="00816891">
      <w:pPr>
        <w:spacing w:line="360" w:lineRule="auto"/>
        <w:ind w:left="284" w:right="191"/>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564D0E51" w14:textId="77777777" w:rsidR="00AF64FD" w:rsidRPr="009C72E8" w:rsidRDefault="00816891">
      <w:pPr>
        <w:spacing w:line="360" w:lineRule="auto"/>
        <w:ind w:left="284" w:right="191"/>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lastRenderedPageBreak/>
        <w:t xml:space="preserve">Excepcionalmente, el plazo referido podrá ampliarse por siete días hábiles más, cuando existan razones fundadas y motivadas, a través del Comité de Transparencia; </w:t>
      </w:r>
    </w:p>
    <w:p w14:paraId="652B0F4B" w14:textId="77777777" w:rsidR="00AF64FD" w:rsidRPr="009C72E8" w:rsidRDefault="00816891">
      <w:pPr>
        <w:spacing w:line="360" w:lineRule="auto"/>
        <w:ind w:left="284" w:right="191"/>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3FF69E9E" w14:textId="77777777" w:rsidR="00AF64FD" w:rsidRPr="009C72E8" w:rsidRDefault="00816891">
      <w:pPr>
        <w:spacing w:line="360" w:lineRule="auto"/>
        <w:ind w:left="284" w:right="191"/>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732FDC3A" w14:textId="77777777" w:rsidR="00AF64FD" w:rsidRPr="009C72E8" w:rsidRDefault="00816891">
      <w:pPr>
        <w:spacing w:line="360" w:lineRule="auto"/>
        <w:ind w:left="284" w:right="191"/>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0E208C31" w14:textId="77777777" w:rsidR="00AF64FD" w:rsidRPr="009C72E8" w:rsidRDefault="00AF64FD">
      <w:pPr>
        <w:spacing w:line="360" w:lineRule="auto"/>
        <w:ind w:left="284" w:right="191"/>
        <w:jc w:val="both"/>
        <w:rPr>
          <w:rFonts w:ascii="Palatino Linotype" w:eastAsia="Palatino Linotype" w:hAnsi="Palatino Linotype" w:cs="Palatino Linotype"/>
          <w:sz w:val="22"/>
          <w:szCs w:val="22"/>
        </w:rPr>
      </w:pPr>
    </w:p>
    <w:p w14:paraId="11AEF5AA" w14:textId="77777777" w:rsidR="00AF64FD" w:rsidRPr="009C72E8" w:rsidRDefault="00816891">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 xml:space="preserve">En este orden de ideas, se reitera que la Unidad de Transparencia siguió el procedimiento que establece el artículo 162 de la Ley de Transparencia Local, ya que turnó la solicitud de información a la Unidad Administrativa competente para generar la documentación requerida por el particular. </w:t>
      </w:r>
    </w:p>
    <w:p w14:paraId="001347A3" w14:textId="77777777" w:rsidR="00AF64FD" w:rsidRPr="009C72E8" w:rsidRDefault="00AF64FD">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p>
    <w:p w14:paraId="7EAFF9A0" w14:textId="77777777" w:rsidR="00AF64FD" w:rsidRPr="009C72E8" w:rsidRDefault="00816891">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Ahora bien, el Tesorero Municipal tanto en respuesta como en informe justificado, refirió que la información se localiza en la página oficial del Ayuntamiento, en el apartado CONAC, para lo cual proporcionó la siguiente dirección electrónica:</w:t>
      </w:r>
    </w:p>
    <w:p w14:paraId="40085EEB" w14:textId="77777777" w:rsidR="00AF64FD" w:rsidRPr="009C72E8" w:rsidRDefault="00AF64FD">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p>
    <w:p w14:paraId="1C2E454D" w14:textId="77777777" w:rsidR="00AF64FD" w:rsidRPr="009C72E8" w:rsidRDefault="00816891">
      <w:pPr>
        <w:pBdr>
          <w:top w:val="nil"/>
          <w:left w:val="nil"/>
          <w:bottom w:val="nil"/>
          <w:right w:val="nil"/>
          <w:between w:val="nil"/>
        </w:pBdr>
        <w:spacing w:line="360" w:lineRule="auto"/>
        <w:ind w:right="191"/>
        <w:jc w:val="center"/>
        <w:rPr>
          <w:rFonts w:ascii="Palatino Linotype" w:eastAsia="Palatino Linotype" w:hAnsi="Palatino Linotype" w:cs="Palatino Linotype"/>
          <w:sz w:val="22"/>
          <w:szCs w:val="22"/>
        </w:rPr>
      </w:pPr>
      <w:r w:rsidRPr="009C72E8">
        <w:rPr>
          <w:rFonts w:ascii="Palatino Linotype" w:eastAsia="Palatino Linotype" w:hAnsi="Palatino Linotype" w:cs="Palatino Linotype"/>
          <w:noProof/>
          <w:sz w:val="22"/>
          <w:szCs w:val="22"/>
          <w:lang w:val="es-MX"/>
        </w:rPr>
        <w:lastRenderedPageBreak/>
        <w:drawing>
          <wp:inline distT="0" distB="0" distL="0" distR="0" wp14:anchorId="4C2A3C3B" wp14:editId="0B5577BB">
            <wp:extent cx="3172268" cy="190527"/>
            <wp:effectExtent l="0" t="0" r="0" b="0"/>
            <wp:docPr id="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3172268" cy="190527"/>
                    </a:xfrm>
                    <a:prstGeom prst="rect">
                      <a:avLst/>
                    </a:prstGeom>
                    <a:ln/>
                  </pic:spPr>
                </pic:pic>
              </a:graphicData>
            </a:graphic>
          </wp:inline>
        </w:drawing>
      </w:r>
    </w:p>
    <w:p w14:paraId="36254BFA" w14:textId="77777777" w:rsidR="00AF64FD" w:rsidRPr="009C72E8" w:rsidRDefault="00AF64FD">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p>
    <w:p w14:paraId="4FE087B7" w14:textId="77777777" w:rsidR="00AF64FD" w:rsidRPr="009C72E8" w:rsidRDefault="00816891">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 xml:space="preserve">Al respecto es necesario precisar que la Ley de Transparencia y Acceso a la Información Pública del Estado de México y Municipios establece en su artículo 11 que en </w:t>
      </w:r>
      <w:r w:rsidRPr="009C72E8">
        <w:rPr>
          <w:rFonts w:ascii="Palatino Linotype" w:eastAsia="Palatino Linotype" w:hAnsi="Palatino Linotype" w:cs="Palatino Linotype"/>
          <w:i/>
          <w:sz w:val="22"/>
          <w:szCs w:val="22"/>
        </w:rPr>
        <w:t xml:space="preserve">la entrega de la información se deberá garantizar que ésta sea </w:t>
      </w:r>
      <w:r w:rsidRPr="009C72E8">
        <w:rPr>
          <w:rFonts w:ascii="Palatino Linotype" w:eastAsia="Palatino Linotype" w:hAnsi="Palatino Linotype" w:cs="Palatino Linotype"/>
          <w:b/>
          <w:i/>
          <w:sz w:val="22"/>
          <w:szCs w:val="22"/>
        </w:rPr>
        <w:t>accesible</w:t>
      </w:r>
      <w:r w:rsidRPr="009C72E8">
        <w:rPr>
          <w:rFonts w:ascii="Palatino Linotype" w:eastAsia="Palatino Linotype" w:hAnsi="Palatino Linotype" w:cs="Palatino Linotype"/>
          <w:i/>
          <w:sz w:val="22"/>
          <w:szCs w:val="22"/>
        </w:rPr>
        <w:t xml:space="preserve">, </w:t>
      </w:r>
      <w:r w:rsidRPr="009C72E8">
        <w:rPr>
          <w:rFonts w:ascii="Palatino Linotype" w:eastAsia="Palatino Linotype" w:hAnsi="Palatino Linotype" w:cs="Palatino Linotype"/>
          <w:b/>
          <w:i/>
          <w:sz w:val="22"/>
          <w:szCs w:val="22"/>
        </w:rPr>
        <w:t>actualizada, completa,</w:t>
      </w:r>
      <w:r w:rsidRPr="009C72E8">
        <w:rPr>
          <w:rFonts w:ascii="Palatino Linotype" w:eastAsia="Palatino Linotype" w:hAnsi="Palatino Linotype" w:cs="Palatino Linotype"/>
          <w:i/>
          <w:sz w:val="22"/>
          <w:szCs w:val="22"/>
        </w:rPr>
        <w:t xml:space="preserve"> congruente, confiable, </w:t>
      </w:r>
      <w:r w:rsidRPr="009C72E8">
        <w:rPr>
          <w:rFonts w:ascii="Palatino Linotype" w:eastAsia="Palatino Linotype" w:hAnsi="Palatino Linotype" w:cs="Palatino Linotype"/>
          <w:b/>
          <w:i/>
          <w:sz w:val="22"/>
          <w:szCs w:val="22"/>
        </w:rPr>
        <w:t>verificable</w:t>
      </w:r>
      <w:r w:rsidRPr="009C72E8">
        <w:rPr>
          <w:rFonts w:ascii="Palatino Linotype" w:eastAsia="Palatino Linotype" w:hAnsi="Palatino Linotype" w:cs="Palatino Linotype"/>
          <w:i/>
          <w:sz w:val="22"/>
          <w:szCs w:val="22"/>
        </w:rPr>
        <w:t xml:space="preserve">, veraz, integral, oportuna y expedita. </w:t>
      </w:r>
      <w:r w:rsidRPr="009C72E8">
        <w:rPr>
          <w:rFonts w:ascii="Palatino Linotype" w:eastAsia="Palatino Linotype" w:hAnsi="Palatino Linotype" w:cs="Palatino Linotype"/>
          <w:sz w:val="22"/>
          <w:szCs w:val="22"/>
        </w:rPr>
        <w:t>Asimismo, el artículo 161 de la Ley en comento, refiere lo siguiente:</w:t>
      </w:r>
    </w:p>
    <w:p w14:paraId="73C365C6" w14:textId="77777777" w:rsidR="00AF64FD" w:rsidRPr="009C72E8" w:rsidRDefault="00AF64FD">
      <w:pPr>
        <w:pBdr>
          <w:top w:val="nil"/>
          <w:left w:val="nil"/>
          <w:bottom w:val="nil"/>
          <w:right w:val="nil"/>
          <w:between w:val="nil"/>
        </w:pBdr>
        <w:ind w:left="708"/>
        <w:jc w:val="both"/>
        <w:rPr>
          <w:rFonts w:ascii="Palatino Linotype" w:eastAsia="Palatino Linotype" w:hAnsi="Palatino Linotype" w:cs="Palatino Linotype"/>
          <w:sz w:val="22"/>
          <w:szCs w:val="22"/>
        </w:rPr>
      </w:pPr>
    </w:p>
    <w:p w14:paraId="2A244528" w14:textId="77777777" w:rsidR="00AF64FD" w:rsidRPr="009C72E8" w:rsidRDefault="00816891">
      <w:pPr>
        <w:spacing w:line="360" w:lineRule="auto"/>
        <w:ind w:left="567" w:right="567"/>
        <w:jc w:val="both"/>
        <w:rPr>
          <w:rFonts w:ascii="Palatino Linotype" w:eastAsia="Palatino Linotype" w:hAnsi="Palatino Linotype" w:cs="Palatino Linotype"/>
          <w:b/>
          <w:i/>
          <w:sz w:val="22"/>
          <w:szCs w:val="22"/>
        </w:rPr>
      </w:pPr>
      <w:r w:rsidRPr="009C72E8">
        <w:rPr>
          <w:rFonts w:ascii="Palatino Linotype" w:eastAsia="Palatino Linotype" w:hAnsi="Palatino Linotype" w:cs="Palatino Linotype"/>
          <w:b/>
          <w:i/>
          <w:sz w:val="22"/>
          <w:szCs w:val="22"/>
        </w:rPr>
        <w:t xml:space="preserve">Artículo 161. Cuando la información requerida por el solicitante ya esté disponible al público </w:t>
      </w:r>
      <w:r w:rsidRPr="009C72E8">
        <w:rPr>
          <w:rFonts w:ascii="Palatino Linotype" w:eastAsia="Palatino Linotype" w:hAnsi="Palatino Linotype" w:cs="Palatino Linotype"/>
          <w:i/>
          <w:sz w:val="22"/>
          <w:szCs w:val="22"/>
        </w:rPr>
        <w:t xml:space="preserve">en medios impresos, tales como libros, compendios, trípticos, registros públicos, </w:t>
      </w:r>
      <w:r w:rsidRPr="009C72E8">
        <w:rPr>
          <w:rFonts w:ascii="Palatino Linotype" w:eastAsia="Palatino Linotype" w:hAnsi="Palatino Linotype" w:cs="Palatino Linotype"/>
          <w:b/>
          <w:i/>
          <w:sz w:val="22"/>
          <w:szCs w:val="22"/>
        </w:rPr>
        <w:t>en formatos electrónicos</w:t>
      </w:r>
      <w:r w:rsidRPr="009C72E8">
        <w:rPr>
          <w:rFonts w:ascii="Palatino Linotype" w:eastAsia="Palatino Linotype" w:hAnsi="Palatino Linotype" w:cs="Palatino Linotype"/>
          <w:i/>
          <w:sz w:val="22"/>
          <w:szCs w:val="22"/>
        </w:rPr>
        <w:t xml:space="preserve"> disponibles en Internet o en cualquier otro medio, </w:t>
      </w:r>
      <w:r w:rsidRPr="009C72E8">
        <w:rPr>
          <w:rFonts w:ascii="Palatino Linotype" w:eastAsia="Palatino Linotype" w:hAnsi="Palatino Linotype" w:cs="Palatino Linotype"/>
          <w:b/>
          <w:i/>
          <w:sz w:val="22"/>
          <w:szCs w:val="22"/>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4C7DDC7B" w14:textId="77777777" w:rsidR="00AF64FD" w:rsidRPr="009C72E8" w:rsidRDefault="00816891">
      <w:pPr>
        <w:spacing w:line="360" w:lineRule="auto"/>
        <w:ind w:left="567" w:right="567"/>
        <w:jc w:val="both"/>
        <w:rPr>
          <w:rFonts w:ascii="Palatino Linotype" w:eastAsia="Palatino Linotype" w:hAnsi="Palatino Linotype" w:cs="Palatino Linotype"/>
          <w:b/>
          <w:i/>
          <w:sz w:val="22"/>
          <w:szCs w:val="22"/>
        </w:rPr>
      </w:pPr>
      <w:r w:rsidRPr="009C72E8">
        <w:rPr>
          <w:rFonts w:ascii="Palatino Linotype" w:eastAsia="Palatino Linotype" w:hAnsi="Palatino Linotype" w:cs="Palatino Linotype"/>
          <w:b/>
          <w:i/>
          <w:sz w:val="22"/>
          <w:szCs w:val="22"/>
        </w:rPr>
        <w:t>(Énfasis añadido)</w:t>
      </w:r>
    </w:p>
    <w:p w14:paraId="1380496E" w14:textId="77777777" w:rsidR="00AF64FD" w:rsidRPr="009C72E8" w:rsidRDefault="00AF64FD">
      <w:pPr>
        <w:spacing w:line="360" w:lineRule="auto"/>
        <w:ind w:left="567" w:right="567"/>
        <w:jc w:val="both"/>
        <w:rPr>
          <w:rFonts w:ascii="Palatino Linotype" w:eastAsia="Palatino Linotype" w:hAnsi="Palatino Linotype" w:cs="Palatino Linotype"/>
          <w:b/>
          <w:i/>
          <w:sz w:val="22"/>
          <w:szCs w:val="22"/>
        </w:rPr>
      </w:pPr>
    </w:p>
    <w:p w14:paraId="3B8DC645" w14:textId="77777777" w:rsidR="00AF64FD" w:rsidRPr="009C72E8" w:rsidRDefault="00816891">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 xml:space="preserve">Es así que, toda aquella información que sea requerida por los particulares que, previamente se encuentre disponible en sitios electrónicos, como puede ser de manera enunciativa más no limitativa, el sitio oficial del Sujeto Obligado o el portal IPOMEX o las páginas institucionales. Los Sujetos Obligado deben indicar la dirección electrónica donde obra la información solicitada. </w:t>
      </w:r>
      <w:r w:rsidRPr="009C72E8">
        <w:rPr>
          <w:rFonts w:ascii="Palatino Linotype" w:eastAsia="Palatino Linotype" w:hAnsi="Palatino Linotype" w:cs="Palatino Linotype"/>
          <w:b/>
          <w:sz w:val="22"/>
          <w:szCs w:val="22"/>
        </w:rPr>
        <w:t>Esta dirección electrónica debe ser precisa, de tal modo que no implique realizar una búsqueda en toda la información que ahí se encuentre, debiendo cumplir</w:t>
      </w:r>
      <w:r w:rsidRPr="009C72E8">
        <w:rPr>
          <w:rFonts w:ascii="Palatino Linotype" w:eastAsia="Palatino Linotype" w:hAnsi="Palatino Linotype" w:cs="Palatino Linotype"/>
          <w:sz w:val="22"/>
          <w:szCs w:val="22"/>
        </w:rPr>
        <w:t xml:space="preserve"> una serie de requisitos, a saber:</w:t>
      </w:r>
    </w:p>
    <w:p w14:paraId="48FC1F94" w14:textId="77777777" w:rsidR="00AF64FD" w:rsidRPr="009C72E8" w:rsidRDefault="00AF64FD">
      <w:pPr>
        <w:pBdr>
          <w:top w:val="nil"/>
          <w:left w:val="nil"/>
          <w:bottom w:val="nil"/>
          <w:right w:val="nil"/>
          <w:between w:val="nil"/>
        </w:pBdr>
        <w:spacing w:line="360" w:lineRule="auto"/>
        <w:ind w:left="720" w:right="48"/>
        <w:jc w:val="both"/>
        <w:rPr>
          <w:rFonts w:ascii="Palatino Linotype" w:eastAsia="Palatino Linotype" w:hAnsi="Palatino Linotype" w:cs="Palatino Linotype"/>
          <w:b/>
          <w:sz w:val="22"/>
          <w:szCs w:val="22"/>
        </w:rPr>
      </w:pPr>
    </w:p>
    <w:p w14:paraId="0B545ACB" w14:textId="77777777" w:rsidR="00AF64FD" w:rsidRPr="009C72E8" w:rsidRDefault="00816891">
      <w:pPr>
        <w:numPr>
          <w:ilvl w:val="0"/>
          <w:numId w:val="4"/>
        </w:numPr>
        <w:pBdr>
          <w:top w:val="nil"/>
          <w:left w:val="nil"/>
          <w:bottom w:val="nil"/>
          <w:right w:val="nil"/>
          <w:between w:val="nil"/>
        </w:pBdr>
        <w:spacing w:line="360" w:lineRule="auto"/>
        <w:ind w:right="48"/>
        <w:jc w:val="both"/>
        <w:rPr>
          <w:rFonts w:ascii="Palatino Linotype" w:eastAsia="Palatino Linotype" w:hAnsi="Palatino Linotype" w:cs="Palatino Linotype"/>
          <w:b/>
          <w:sz w:val="22"/>
          <w:szCs w:val="22"/>
        </w:rPr>
      </w:pPr>
      <w:r w:rsidRPr="009C72E8">
        <w:rPr>
          <w:rFonts w:ascii="Palatino Linotype" w:eastAsia="Palatino Linotype" w:hAnsi="Palatino Linotype" w:cs="Palatino Linotype"/>
          <w:b/>
          <w:sz w:val="22"/>
          <w:szCs w:val="22"/>
        </w:rPr>
        <w:t>La dirección electrónica debe señalarse en un plazo no mayor a cinco días hábiles;</w:t>
      </w:r>
    </w:p>
    <w:p w14:paraId="3E2BD20C" w14:textId="77777777" w:rsidR="00AF64FD" w:rsidRPr="009C72E8" w:rsidRDefault="00816891">
      <w:pPr>
        <w:numPr>
          <w:ilvl w:val="0"/>
          <w:numId w:val="4"/>
        </w:numPr>
        <w:pBdr>
          <w:top w:val="nil"/>
          <w:left w:val="nil"/>
          <w:bottom w:val="nil"/>
          <w:right w:val="nil"/>
          <w:between w:val="nil"/>
        </w:pBdr>
        <w:spacing w:line="360" w:lineRule="auto"/>
        <w:ind w:right="48"/>
        <w:jc w:val="both"/>
        <w:rPr>
          <w:rFonts w:ascii="Palatino Linotype" w:eastAsia="Palatino Linotype" w:hAnsi="Palatino Linotype" w:cs="Palatino Linotype"/>
          <w:b/>
          <w:sz w:val="22"/>
          <w:szCs w:val="22"/>
        </w:rPr>
      </w:pPr>
      <w:r w:rsidRPr="009C72E8">
        <w:rPr>
          <w:rFonts w:ascii="Palatino Linotype" w:eastAsia="Palatino Linotype" w:hAnsi="Palatino Linotype" w:cs="Palatino Linotype"/>
          <w:b/>
          <w:sz w:val="22"/>
          <w:szCs w:val="22"/>
        </w:rPr>
        <w:lastRenderedPageBreak/>
        <w:t>La dirección electrónica debe ser precisa, de tal modo que no implique realizar una búsqueda en toda la información que ahí se encuentre; y,</w:t>
      </w:r>
    </w:p>
    <w:p w14:paraId="3225E7F5" w14:textId="77777777" w:rsidR="00AF64FD" w:rsidRPr="009C72E8" w:rsidRDefault="00816891">
      <w:pPr>
        <w:numPr>
          <w:ilvl w:val="0"/>
          <w:numId w:val="4"/>
        </w:numPr>
        <w:pBdr>
          <w:top w:val="nil"/>
          <w:left w:val="nil"/>
          <w:bottom w:val="nil"/>
          <w:right w:val="nil"/>
          <w:between w:val="nil"/>
        </w:pBdr>
        <w:spacing w:line="360" w:lineRule="auto"/>
        <w:ind w:right="48"/>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b/>
          <w:sz w:val="22"/>
          <w:szCs w:val="22"/>
        </w:rPr>
        <w:t>La dirección electrónica debe ir acompañada del procedimiento a seguir, en caso de que la información se encuentre en distintos puntos del sitio electrónico referido; y,</w:t>
      </w:r>
    </w:p>
    <w:p w14:paraId="7340746C" w14:textId="77777777" w:rsidR="00AF64FD" w:rsidRPr="009C72E8" w:rsidRDefault="00816891">
      <w:pPr>
        <w:numPr>
          <w:ilvl w:val="0"/>
          <w:numId w:val="4"/>
        </w:numPr>
        <w:pBdr>
          <w:top w:val="nil"/>
          <w:left w:val="nil"/>
          <w:bottom w:val="nil"/>
          <w:right w:val="nil"/>
          <w:between w:val="nil"/>
        </w:pBdr>
        <w:spacing w:line="360" w:lineRule="auto"/>
        <w:ind w:right="48"/>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b/>
          <w:sz w:val="22"/>
          <w:szCs w:val="22"/>
          <w:u w:val="single"/>
        </w:rPr>
        <w:t>La dirección electrónica se debe entregar en formato abierto,</w:t>
      </w:r>
      <w:r w:rsidRPr="009C72E8">
        <w:rPr>
          <w:rFonts w:ascii="Palatino Linotype" w:eastAsia="Palatino Linotype" w:hAnsi="Palatino Linotype" w:cs="Palatino Linotype"/>
          <w:b/>
          <w:sz w:val="22"/>
          <w:szCs w:val="22"/>
        </w:rPr>
        <w:t xml:space="preserve"> para que el Recurrente pueda copiar y pegar sin la necesidad de transcribir la liga electrónica.</w:t>
      </w:r>
    </w:p>
    <w:p w14:paraId="0ABF4BF3" w14:textId="77777777" w:rsidR="00AF64FD" w:rsidRPr="009C72E8" w:rsidRDefault="00AF64F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67D14E5D" w14:textId="77777777" w:rsidR="00AF64FD" w:rsidRPr="009C72E8" w:rsidRDefault="00816891">
      <w:pPr>
        <w:spacing w:line="360" w:lineRule="auto"/>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Ahora bien, de la revisión de esta, se logra vislumbrar que en encuentran en un formato cerrado, es decir, que no se puede copiar y pegar para tener acceso; sobre el tema, Trujillo, Humberto (2019), en el “Diccionario de Transparencia y Acceso a la Información Pública” (p. 136 y 137), precisa que cuando un Sujeto Obligado 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63B8429D" w14:textId="77777777" w:rsidR="00AF64FD" w:rsidRPr="009C72E8" w:rsidRDefault="00AF64FD">
      <w:pPr>
        <w:spacing w:line="360" w:lineRule="auto"/>
        <w:jc w:val="both"/>
        <w:rPr>
          <w:rFonts w:ascii="Palatino Linotype" w:eastAsia="Palatino Linotype" w:hAnsi="Palatino Linotype" w:cs="Palatino Linotype"/>
          <w:sz w:val="22"/>
          <w:szCs w:val="22"/>
        </w:rPr>
      </w:pPr>
    </w:p>
    <w:p w14:paraId="2EE07267" w14:textId="77777777" w:rsidR="00AF64FD" w:rsidRPr="009C72E8" w:rsidRDefault="00816891">
      <w:pPr>
        <w:spacing w:line="360" w:lineRule="auto"/>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14:paraId="7391AC70" w14:textId="77777777" w:rsidR="00AF64FD" w:rsidRPr="009C72E8" w:rsidRDefault="00AF64FD">
      <w:pPr>
        <w:spacing w:line="360" w:lineRule="auto"/>
        <w:jc w:val="both"/>
        <w:rPr>
          <w:rFonts w:ascii="Palatino Linotype" w:eastAsia="Palatino Linotype" w:hAnsi="Palatino Linotype" w:cs="Palatino Linotype"/>
          <w:sz w:val="22"/>
          <w:szCs w:val="22"/>
        </w:rPr>
      </w:pPr>
    </w:p>
    <w:p w14:paraId="3691286B" w14:textId="77777777" w:rsidR="00AF64FD" w:rsidRPr="009C72E8" w:rsidRDefault="00816891">
      <w:pPr>
        <w:spacing w:line="360" w:lineRule="auto"/>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79C861B7" w14:textId="77777777" w:rsidR="00AF64FD" w:rsidRPr="009C72E8" w:rsidRDefault="00AF64FD">
      <w:pPr>
        <w:spacing w:line="360" w:lineRule="auto"/>
        <w:jc w:val="both"/>
        <w:rPr>
          <w:rFonts w:ascii="Palatino Linotype" w:eastAsia="Palatino Linotype" w:hAnsi="Palatino Linotype" w:cs="Palatino Linotype"/>
          <w:sz w:val="22"/>
          <w:szCs w:val="22"/>
        </w:rPr>
      </w:pPr>
    </w:p>
    <w:p w14:paraId="1759A950" w14:textId="77777777" w:rsidR="00AF64FD" w:rsidRPr="009C72E8" w:rsidRDefault="00816891">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9C72E8">
        <w:rPr>
          <w:rFonts w:ascii="Palatino Linotype" w:eastAsia="Palatino Linotype" w:hAnsi="Palatino Linotype" w:cs="Palatino Linotype"/>
          <w:b/>
          <w:sz w:val="22"/>
          <w:szCs w:val="22"/>
        </w:rPr>
        <w:t xml:space="preserve">Dato abierto: </w:t>
      </w:r>
      <w:r w:rsidRPr="009C72E8">
        <w:rPr>
          <w:rFonts w:ascii="Palatino Linotype" w:eastAsia="Palatino Linotype" w:hAnsi="Palatino Linotype" w:cs="Palatino Linotype"/>
          <w:sz w:val="22"/>
          <w:szCs w:val="22"/>
        </w:rPr>
        <w:t xml:space="preserve">Datos digitales de carácter público que son accesibles en línea que pueden ser usados, reutilizados y redistribuidos por cualquier persona, mismos que se </w:t>
      </w:r>
      <w:r w:rsidRPr="009C72E8">
        <w:rPr>
          <w:rFonts w:ascii="Palatino Linotype" w:eastAsia="Palatino Linotype" w:hAnsi="Palatino Linotype" w:cs="Palatino Linotype"/>
          <w:sz w:val="22"/>
          <w:szCs w:val="22"/>
        </w:rPr>
        <w:lastRenderedPageBreak/>
        <w:t>conforman de diversas características, entre las cuales se encuentra que se encuentren en formatos abiertos.</w:t>
      </w:r>
    </w:p>
    <w:p w14:paraId="65C1110A" w14:textId="77777777" w:rsidR="00AF64FD" w:rsidRPr="009C72E8" w:rsidRDefault="00AF64FD">
      <w:pPr>
        <w:pBdr>
          <w:top w:val="nil"/>
          <w:left w:val="nil"/>
          <w:bottom w:val="nil"/>
          <w:right w:val="nil"/>
          <w:between w:val="nil"/>
        </w:pBdr>
        <w:spacing w:line="360" w:lineRule="auto"/>
        <w:ind w:left="720"/>
        <w:jc w:val="both"/>
        <w:rPr>
          <w:rFonts w:ascii="Palatino Linotype" w:eastAsia="Palatino Linotype" w:hAnsi="Palatino Linotype" w:cs="Palatino Linotype"/>
          <w:b/>
          <w:sz w:val="22"/>
          <w:szCs w:val="22"/>
        </w:rPr>
      </w:pPr>
    </w:p>
    <w:p w14:paraId="3AB7A891" w14:textId="77777777" w:rsidR="00AF64FD" w:rsidRPr="009C72E8" w:rsidRDefault="00816891">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9C72E8">
        <w:rPr>
          <w:rFonts w:ascii="Palatino Linotype" w:eastAsia="Palatino Linotype" w:hAnsi="Palatino Linotype" w:cs="Palatino Linotype"/>
          <w:b/>
          <w:sz w:val="22"/>
          <w:szCs w:val="22"/>
        </w:rPr>
        <w:t xml:space="preserve">Formato accesible: </w:t>
      </w:r>
      <w:r w:rsidRPr="009C72E8">
        <w:rPr>
          <w:rFonts w:ascii="Palatino Linotype" w:eastAsia="Palatino Linotype" w:hAnsi="Palatino Linotype" w:cs="Palatino Linotype"/>
          <w:sz w:val="22"/>
          <w:szCs w:val="22"/>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32CA86C9" w14:textId="77777777" w:rsidR="00AF64FD" w:rsidRPr="009C72E8" w:rsidRDefault="00AF64FD">
      <w:pPr>
        <w:spacing w:line="360" w:lineRule="auto"/>
        <w:jc w:val="both"/>
        <w:rPr>
          <w:rFonts w:ascii="Palatino Linotype" w:eastAsia="Palatino Linotype" w:hAnsi="Palatino Linotype" w:cs="Palatino Linotype"/>
          <w:sz w:val="22"/>
          <w:szCs w:val="22"/>
        </w:rPr>
      </w:pPr>
    </w:p>
    <w:p w14:paraId="1EA1AB22" w14:textId="77777777" w:rsidR="00AF64FD" w:rsidRPr="009C72E8" w:rsidRDefault="00816891">
      <w:pPr>
        <w:spacing w:line="360" w:lineRule="auto"/>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Conforme a lo anterior, se considera que en el caso de que la información peticionada obre en ligas electrónicas, el Sujeto Obligado deberá privilegiar la entrega de estas, en datos abiertos, es decir, en un formato que permita la accesibilidad y facilidad a los Particulares, para obtener la información contenida estas.</w:t>
      </w:r>
    </w:p>
    <w:p w14:paraId="3B2EF039" w14:textId="77777777" w:rsidR="00AF64FD" w:rsidRPr="009C72E8" w:rsidRDefault="00AF64FD">
      <w:pPr>
        <w:pBdr>
          <w:top w:val="nil"/>
          <w:left w:val="nil"/>
          <w:bottom w:val="nil"/>
          <w:right w:val="nil"/>
          <w:between w:val="nil"/>
        </w:pBdr>
        <w:ind w:left="720"/>
        <w:rPr>
          <w:rFonts w:ascii="Palatino Linotype" w:eastAsia="Palatino Linotype" w:hAnsi="Palatino Linotype" w:cs="Palatino Linotype"/>
          <w:b/>
          <w:sz w:val="22"/>
          <w:szCs w:val="22"/>
        </w:rPr>
      </w:pPr>
    </w:p>
    <w:p w14:paraId="12C28F61" w14:textId="77777777" w:rsidR="00AF64FD" w:rsidRPr="009C72E8" w:rsidRDefault="0081689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 xml:space="preserve">En el presente asunto, El Tesorero Municipal entregó la dirección electrónica en formato cerrado, lo que propicia que el Recurrente deba transcribir cada uno de los caracteres, lo que facilita a errores y con ello la imposibilidad o dificultad para acceder a la información. </w:t>
      </w:r>
    </w:p>
    <w:p w14:paraId="4D033974" w14:textId="77777777" w:rsidR="00AF64FD" w:rsidRPr="009C72E8" w:rsidRDefault="00AF64F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FC00058" w14:textId="77777777" w:rsidR="00AF64FD" w:rsidRPr="009C72E8" w:rsidRDefault="0081689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Tal y como se aprecia, la dirección electrónica incumple lo que estipula el artículo 161 antes citado, en razón de lo siguiente:</w:t>
      </w:r>
    </w:p>
    <w:p w14:paraId="53D9E458" w14:textId="77777777" w:rsidR="00AF64FD" w:rsidRPr="009C72E8" w:rsidRDefault="00AF64F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6919DC88" w14:textId="77777777" w:rsidR="00AF64FD" w:rsidRPr="009C72E8" w:rsidRDefault="00816891">
      <w:pPr>
        <w:numPr>
          <w:ilvl w:val="0"/>
          <w:numId w:val="5"/>
        </w:num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La dirección electrónica se encuentra en formato cerrado, por lo que no resulta accesible para el Recurrente; y,</w:t>
      </w:r>
    </w:p>
    <w:p w14:paraId="202E4212" w14:textId="77777777" w:rsidR="00AF64FD" w:rsidRPr="009C72E8" w:rsidRDefault="00816891">
      <w:pPr>
        <w:numPr>
          <w:ilvl w:val="0"/>
          <w:numId w:val="5"/>
        </w:num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Se encuentra fuera del plazo de cinco días establecidos para tal efecto.</w:t>
      </w:r>
    </w:p>
    <w:p w14:paraId="29A97F43" w14:textId="77777777" w:rsidR="00AF64FD" w:rsidRPr="009C72E8" w:rsidRDefault="00AF64FD">
      <w:pPr>
        <w:pBdr>
          <w:top w:val="nil"/>
          <w:left w:val="nil"/>
          <w:bottom w:val="nil"/>
          <w:right w:val="nil"/>
          <w:between w:val="nil"/>
        </w:pBdr>
        <w:spacing w:line="360" w:lineRule="auto"/>
        <w:ind w:left="720" w:right="-150"/>
        <w:jc w:val="both"/>
        <w:rPr>
          <w:rFonts w:ascii="Palatino Linotype" w:eastAsia="Palatino Linotype" w:hAnsi="Palatino Linotype" w:cs="Palatino Linotype"/>
          <w:sz w:val="22"/>
          <w:szCs w:val="22"/>
        </w:rPr>
      </w:pPr>
    </w:p>
    <w:p w14:paraId="6683F532" w14:textId="77777777" w:rsidR="00AF64FD" w:rsidRPr="009C72E8" w:rsidRDefault="0081689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 xml:space="preserve">Sin embargo, aún y cuando la dirección electrónica se encuentra en formato cerrado, se aprecia que el Recurrente tuvo acceso a la información ahí disponible, al señalar que en la página no </w:t>
      </w:r>
      <w:r w:rsidRPr="009C72E8">
        <w:rPr>
          <w:rFonts w:ascii="Palatino Linotype" w:eastAsia="Palatino Linotype" w:hAnsi="Palatino Linotype" w:cs="Palatino Linotype"/>
          <w:sz w:val="22"/>
          <w:szCs w:val="22"/>
        </w:rPr>
        <w:lastRenderedPageBreak/>
        <w:t xml:space="preserve">publican los informes trimestrales con sus módulos completos, de acuerdo a los lineamientos para la integración y entrega de los informes trimestrales al OSFEM. </w:t>
      </w:r>
    </w:p>
    <w:p w14:paraId="6F62606B" w14:textId="77777777" w:rsidR="00AF64FD" w:rsidRPr="009C72E8" w:rsidRDefault="00AF64F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2C19E03C" w14:textId="77777777" w:rsidR="00AF64FD" w:rsidRPr="009C72E8" w:rsidRDefault="0081689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Entonces, en la página oficial del Ayuntamiento, siguiendo el procedimiento que establece el Sujeto Obligado en informe justificado, se localiza la siguiente información:</w:t>
      </w:r>
    </w:p>
    <w:p w14:paraId="77BC1EE8" w14:textId="77777777" w:rsidR="00AF64FD" w:rsidRPr="009C72E8" w:rsidRDefault="00816891">
      <w:pPr>
        <w:pBdr>
          <w:top w:val="nil"/>
          <w:left w:val="nil"/>
          <w:bottom w:val="nil"/>
          <w:right w:val="nil"/>
          <w:between w:val="nil"/>
        </w:pBdr>
        <w:spacing w:line="360" w:lineRule="auto"/>
        <w:ind w:right="-150"/>
        <w:jc w:val="center"/>
        <w:rPr>
          <w:rFonts w:ascii="Palatino Linotype" w:eastAsia="Palatino Linotype" w:hAnsi="Palatino Linotype" w:cs="Palatino Linotype"/>
          <w:sz w:val="22"/>
          <w:szCs w:val="22"/>
        </w:rPr>
      </w:pPr>
      <w:r w:rsidRPr="009C72E8">
        <w:rPr>
          <w:rFonts w:ascii="Palatino Linotype" w:eastAsia="Palatino Linotype" w:hAnsi="Palatino Linotype" w:cs="Palatino Linotype"/>
          <w:noProof/>
          <w:sz w:val="22"/>
          <w:szCs w:val="22"/>
          <w:lang w:val="es-MX"/>
        </w:rPr>
        <w:drawing>
          <wp:inline distT="0" distB="0" distL="0" distR="0" wp14:anchorId="68DF01AB" wp14:editId="4E4FFAED">
            <wp:extent cx="5148360" cy="3276746"/>
            <wp:effectExtent l="0" t="0" r="0" b="0"/>
            <wp:docPr id="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148360" cy="3276746"/>
                    </a:xfrm>
                    <a:prstGeom prst="rect">
                      <a:avLst/>
                    </a:prstGeom>
                    <a:ln/>
                  </pic:spPr>
                </pic:pic>
              </a:graphicData>
            </a:graphic>
          </wp:inline>
        </w:drawing>
      </w:r>
    </w:p>
    <w:p w14:paraId="06FAA491" w14:textId="77777777" w:rsidR="00AF64FD" w:rsidRPr="009C72E8" w:rsidRDefault="0081689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Es necesario precisar que la Ley General de Contabilidad Gubernamental, que es de orden público y tiene por objeto establecer los criterios generales que regirán la contabilidad gubernamental y la emisión de información financiera de los entes públicos, aplicable para los poderes ejecutivos, legislativo, judicial de la federación y los estados, así como los Ayuntamientos de los Municipios.</w:t>
      </w:r>
    </w:p>
    <w:p w14:paraId="588812EF" w14:textId="77777777" w:rsidR="00AF64FD" w:rsidRPr="009C72E8" w:rsidRDefault="0081689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 xml:space="preserve"> </w:t>
      </w:r>
    </w:p>
    <w:p w14:paraId="774B46DE" w14:textId="77777777" w:rsidR="00AF64FD" w:rsidRPr="009C72E8" w:rsidRDefault="0081689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Dicho cuerpo normativo establece en sus artículos 56, 58 y 74, lo siguiente:</w:t>
      </w:r>
    </w:p>
    <w:p w14:paraId="1DEAB002" w14:textId="77777777" w:rsidR="00AF64FD" w:rsidRPr="009C72E8" w:rsidRDefault="00AF64F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4F6EEBDB" w14:textId="77777777" w:rsidR="00AF64FD" w:rsidRPr="009C72E8" w:rsidRDefault="00816891">
      <w:pPr>
        <w:pBdr>
          <w:top w:val="nil"/>
          <w:left w:val="nil"/>
          <w:bottom w:val="nil"/>
          <w:right w:val="nil"/>
          <w:between w:val="nil"/>
        </w:pBdr>
        <w:ind w:left="567" w:right="850"/>
        <w:jc w:val="center"/>
        <w:rPr>
          <w:rFonts w:ascii="Palatino Linotype" w:eastAsia="Palatino Linotype" w:hAnsi="Palatino Linotype" w:cs="Palatino Linotype"/>
          <w:b/>
          <w:i/>
          <w:sz w:val="22"/>
          <w:szCs w:val="22"/>
        </w:rPr>
      </w:pPr>
      <w:r w:rsidRPr="009C72E8">
        <w:rPr>
          <w:rFonts w:ascii="Palatino Linotype" w:eastAsia="Palatino Linotype" w:hAnsi="Palatino Linotype" w:cs="Palatino Linotype"/>
          <w:b/>
          <w:i/>
          <w:sz w:val="22"/>
          <w:szCs w:val="22"/>
        </w:rPr>
        <w:t>TÍTULO QUINTO</w:t>
      </w:r>
    </w:p>
    <w:p w14:paraId="6D5B1410" w14:textId="77777777" w:rsidR="00AF64FD" w:rsidRPr="009C72E8" w:rsidRDefault="00816891">
      <w:pPr>
        <w:pBdr>
          <w:top w:val="nil"/>
          <w:left w:val="nil"/>
          <w:bottom w:val="nil"/>
          <w:right w:val="nil"/>
          <w:between w:val="nil"/>
        </w:pBdr>
        <w:ind w:left="567" w:right="850"/>
        <w:jc w:val="center"/>
        <w:rPr>
          <w:rFonts w:ascii="Palatino Linotype" w:eastAsia="Palatino Linotype" w:hAnsi="Palatino Linotype" w:cs="Palatino Linotype"/>
          <w:b/>
          <w:i/>
          <w:sz w:val="22"/>
          <w:szCs w:val="22"/>
        </w:rPr>
      </w:pPr>
      <w:r w:rsidRPr="009C72E8">
        <w:rPr>
          <w:rFonts w:ascii="Palatino Linotype" w:eastAsia="Palatino Linotype" w:hAnsi="Palatino Linotype" w:cs="Palatino Linotype"/>
          <w:b/>
          <w:i/>
          <w:sz w:val="22"/>
          <w:szCs w:val="22"/>
        </w:rPr>
        <w:t>De la Transparencia y Difusión de la Información Financiera</w:t>
      </w:r>
    </w:p>
    <w:p w14:paraId="5A1D8C0B" w14:textId="77777777" w:rsidR="00AF64FD" w:rsidRPr="009C72E8" w:rsidRDefault="00816891">
      <w:pPr>
        <w:pBdr>
          <w:top w:val="nil"/>
          <w:left w:val="nil"/>
          <w:bottom w:val="nil"/>
          <w:right w:val="nil"/>
          <w:between w:val="nil"/>
        </w:pBdr>
        <w:ind w:left="567" w:right="850"/>
        <w:jc w:val="center"/>
        <w:rPr>
          <w:rFonts w:ascii="Palatino Linotype" w:eastAsia="Palatino Linotype" w:hAnsi="Palatino Linotype" w:cs="Palatino Linotype"/>
          <w:b/>
          <w:i/>
          <w:sz w:val="22"/>
          <w:szCs w:val="22"/>
        </w:rPr>
      </w:pPr>
      <w:r w:rsidRPr="009C72E8">
        <w:rPr>
          <w:rFonts w:ascii="Palatino Linotype" w:eastAsia="Palatino Linotype" w:hAnsi="Palatino Linotype" w:cs="Palatino Linotype"/>
          <w:b/>
          <w:i/>
          <w:sz w:val="22"/>
          <w:szCs w:val="22"/>
        </w:rPr>
        <w:lastRenderedPageBreak/>
        <w:t>CAPÍTULO I</w:t>
      </w:r>
    </w:p>
    <w:p w14:paraId="3A9260EE" w14:textId="77777777" w:rsidR="00AF64FD" w:rsidRPr="009C72E8" w:rsidRDefault="00816891">
      <w:pPr>
        <w:pBdr>
          <w:top w:val="nil"/>
          <w:left w:val="nil"/>
          <w:bottom w:val="nil"/>
          <w:right w:val="nil"/>
          <w:between w:val="nil"/>
        </w:pBdr>
        <w:ind w:left="567" w:right="850"/>
        <w:jc w:val="center"/>
        <w:rPr>
          <w:rFonts w:ascii="Palatino Linotype" w:eastAsia="Palatino Linotype" w:hAnsi="Palatino Linotype" w:cs="Palatino Linotype"/>
          <w:b/>
          <w:i/>
          <w:sz w:val="22"/>
          <w:szCs w:val="22"/>
        </w:rPr>
      </w:pPr>
      <w:r w:rsidRPr="009C72E8">
        <w:rPr>
          <w:rFonts w:ascii="Palatino Linotype" w:eastAsia="Palatino Linotype" w:hAnsi="Palatino Linotype" w:cs="Palatino Linotype"/>
          <w:b/>
          <w:i/>
          <w:sz w:val="22"/>
          <w:szCs w:val="22"/>
        </w:rPr>
        <w:t>Disposiciones Generales</w:t>
      </w:r>
    </w:p>
    <w:p w14:paraId="1C9D699F" w14:textId="77777777" w:rsidR="00AF64FD" w:rsidRPr="009C72E8" w:rsidRDefault="00816891">
      <w:pPr>
        <w:pBdr>
          <w:top w:val="nil"/>
          <w:left w:val="nil"/>
          <w:bottom w:val="nil"/>
          <w:right w:val="nil"/>
          <w:between w:val="nil"/>
        </w:pBdr>
        <w:spacing w:line="360" w:lineRule="auto"/>
        <w:ind w:left="567" w:right="850"/>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i/>
          <w:sz w:val="22"/>
          <w:szCs w:val="22"/>
        </w:rPr>
        <w:t xml:space="preserve">Artículo 56.- La generación y publicación de la información financiera de los entes públicos a que se refiere este Título, se hará conforme a las normas, estructura, formatos y contenido de la información, que para tal efecto establezca el consejo y difundirse en la página de Internet del respectivo ente público. </w:t>
      </w:r>
    </w:p>
    <w:p w14:paraId="5DE9C676" w14:textId="77777777" w:rsidR="00AF64FD" w:rsidRPr="009C72E8" w:rsidRDefault="00AF64FD">
      <w:pPr>
        <w:pBdr>
          <w:top w:val="nil"/>
          <w:left w:val="nil"/>
          <w:bottom w:val="nil"/>
          <w:right w:val="nil"/>
          <w:between w:val="nil"/>
        </w:pBdr>
        <w:spacing w:line="360" w:lineRule="auto"/>
        <w:ind w:left="567" w:right="850"/>
        <w:jc w:val="both"/>
        <w:rPr>
          <w:rFonts w:ascii="Palatino Linotype" w:eastAsia="Palatino Linotype" w:hAnsi="Palatino Linotype" w:cs="Palatino Linotype"/>
          <w:i/>
          <w:sz w:val="22"/>
          <w:szCs w:val="22"/>
        </w:rPr>
      </w:pPr>
    </w:p>
    <w:p w14:paraId="6C6F8491" w14:textId="77777777" w:rsidR="00AF64FD" w:rsidRPr="009C72E8" w:rsidRDefault="00816891">
      <w:pPr>
        <w:pBdr>
          <w:top w:val="nil"/>
          <w:left w:val="nil"/>
          <w:bottom w:val="nil"/>
          <w:right w:val="nil"/>
          <w:between w:val="nil"/>
        </w:pBdr>
        <w:spacing w:line="360" w:lineRule="auto"/>
        <w:ind w:left="567" w:right="850"/>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i/>
          <w:sz w:val="22"/>
          <w:szCs w:val="22"/>
        </w:rPr>
        <w:t xml:space="preserve">Dicha información podrá complementar la que otros ordenamientos jurídicos aplicables ya disponen en este ámbito para presentarse en informes periódicos y en las cuentas públicas. Asimismo, la información se difundirá en los medios oficiales de difusión en términos de las disposiciones aplicables. </w:t>
      </w:r>
    </w:p>
    <w:p w14:paraId="0D3D9781" w14:textId="77777777" w:rsidR="00AF64FD" w:rsidRPr="009C72E8" w:rsidRDefault="00AF64FD">
      <w:pPr>
        <w:pBdr>
          <w:top w:val="nil"/>
          <w:left w:val="nil"/>
          <w:bottom w:val="nil"/>
          <w:right w:val="nil"/>
          <w:between w:val="nil"/>
        </w:pBdr>
        <w:spacing w:line="360" w:lineRule="auto"/>
        <w:ind w:left="567" w:right="850"/>
        <w:jc w:val="both"/>
        <w:rPr>
          <w:rFonts w:ascii="Palatino Linotype" w:eastAsia="Palatino Linotype" w:hAnsi="Palatino Linotype" w:cs="Palatino Linotype"/>
          <w:i/>
          <w:sz w:val="22"/>
          <w:szCs w:val="22"/>
        </w:rPr>
      </w:pPr>
    </w:p>
    <w:p w14:paraId="0EE9E7D7" w14:textId="77777777" w:rsidR="00AF64FD" w:rsidRPr="009C72E8" w:rsidRDefault="00816891">
      <w:pPr>
        <w:pBdr>
          <w:top w:val="nil"/>
          <w:left w:val="nil"/>
          <w:bottom w:val="nil"/>
          <w:right w:val="nil"/>
          <w:between w:val="nil"/>
        </w:pBdr>
        <w:spacing w:line="360" w:lineRule="auto"/>
        <w:ind w:left="567" w:right="850"/>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i/>
          <w:sz w:val="22"/>
          <w:szCs w:val="22"/>
        </w:rPr>
        <w:t>Artículo 57.- La Secretaría de Hacienda, las secretarías de finanzas o sus equivalentes de las entidades federativas, así como las tesorerías de los municipios y sus equivalentes en las demarcaciones territoriales del Distrito Federal, establecerán, en su respectiva página de Internet, los enlaces electrónicos que permitan acceder a la información financiera de todos los entes públicos que conforman el correspondiente orden de gobierno así como a los órganos o instancias de transparencia competentes. En el caso de las secretarías de finanzas o sus equivalentes, podrán incluir, previo convenio administrativo, la información financiera de los municipios de la entidad federativa o, en el caso del Distrito Federal, de sus demarcaciones territoriales.</w:t>
      </w:r>
    </w:p>
    <w:p w14:paraId="3E6FCA85" w14:textId="77777777" w:rsidR="00AF64FD" w:rsidRPr="009C72E8" w:rsidRDefault="00AF64FD">
      <w:pPr>
        <w:pBdr>
          <w:top w:val="nil"/>
          <w:left w:val="nil"/>
          <w:bottom w:val="nil"/>
          <w:right w:val="nil"/>
          <w:between w:val="nil"/>
        </w:pBdr>
        <w:spacing w:line="360" w:lineRule="auto"/>
        <w:ind w:left="567" w:right="850"/>
        <w:jc w:val="both"/>
        <w:rPr>
          <w:rFonts w:ascii="Palatino Linotype" w:eastAsia="Palatino Linotype" w:hAnsi="Palatino Linotype" w:cs="Palatino Linotype"/>
          <w:i/>
          <w:sz w:val="22"/>
          <w:szCs w:val="22"/>
        </w:rPr>
      </w:pPr>
    </w:p>
    <w:p w14:paraId="61B9189F" w14:textId="77777777" w:rsidR="00AF64FD" w:rsidRPr="009C72E8" w:rsidRDefault="00816891">
      <w:pPr>
        <w:pBdr>
          <w:top w:val="nil"/>
          <w:left w:val="nil"/>
          <w:bottom w:val="nil"/>
          <w:right w:val="nil"/>
          <w:between w:val="nil"/>
        </w:pBdr>
        <w:spacing w:line="360" w:lineRule="auto"/>
        <w:ind w:left="567" w:right="850"/>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i/>
          <w:sz w:val="22"/>
          <w:szCs w:val="22"/>
        </w:rPr>
        <w:t>A</w:t>
      </w:r>
      <w:r w:rsidRPr="009C72E8">
        <w:rPr>
          <w:rFonts w:ascii="Palatino Linotype" w:eastAsia="Palatino Linotype" w:hAnsi="Palatino Linotype" w:cs="Palatino Linotype"/>
          <w:b/>
          <w:i/>
          <w:sz w:val="22"/>
          <w:szCs w:val="22"/>
        </w:rPr>
        <w:t>rtículo 58.- La información financiera que deba incluirse en Internet en términos de este Título deberá publicarse por lo menos trimestralmente,</w:t>
      </w:r>
      <w:r w:rsidRPr="009C72E8">
        <w:rPr>
          <w:rFonts w:ascii="Palatino Linotype" w:eastAsia="Palatino Linotype" w:hAnsi="Palatino Linotype" w:cs="Palatino Linotype"/>
          <w:i/>
          <w:sz w:val="22"/>
          <w:szCs w:val="22"/>
        </w:rPr>
        <w:t xml:space="preserve"> a excepción de los informes y documentos de naturaleza anual y otros que por virtud de esta Ley o disposición legal aplicable tengan un plazo y periodicidad determinada, y difundirse en dicho medio dentro de los treinta días naturales siguientes al cierre del </w:t>
      </w:r>
      <w:r w:rsidRPr="009C72E8">
        <w:rPr>
          <w:rFonts w:ascii="Palatino Linotype" w:eastAsia="Palatino Linotype" w:hAnsi="Palatino Linotype" w:cs="Palatino Linotype"/>
          <w:i/>
          <w:sz w:val="22"/>
          <w:szCs w:val="22"/>
        </w:rPr>
        <w:lastRenderedPageBreak/>
        <w:t>período que corresponda. Asimismo, deberá permanecer disponible en Internet la información correspondiente de los últimos seis ejercicios fiscales.</w:t>
      </w:r>
    </w:p>
    <w:p w14:paraId="14F27078" w14:textId="77777777" w:rsidR="00AF64FD" w:rsidRPr="009C72E8" w:rsidRDefault="00AF64F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3D163DE" w14:textId="77777777" w:rsidR="00AF64FD" w:rsidRPr="009C72E8" w:rsidRDefault="0081689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Tal y como se aprecia, la información financiera y contable que generen los entes fiscalizables deben publicarse de manera trimestral, a excepción de los informes que se generen de manera anual. En la página oficial del Consejo Nacional de Armonización contable se tiene publicada la información que deben difundir los entes públicos en sus respectivos medios electrónicos, siendo la siguiente:</w:t>
      </w:r>
    </w:p>
    <w:p w14:paraId="02F0FEF0" w14:textId="77777777" w:rsidR="00AF64FD" w:rsidRPr="009C72E8" w:rsidRDefault="00816891">
      <w:pPr>
        <w:pBdr>
          <w:top w:val="nil"/>
          <w:left w:val="nil"/>
          <w:bottom w:val="nil"/>
          <w:right w:val="nil"/>
          <w:between w:val="nil"/>
        </w:pBdr>
        <w:spacing w:line="360" w:lineRule="auto"/>
        <w:ind w:right="-150"/>
        <w:jc w:val="center"/>
        <w:rPr>
          <w:rFonts w:ascii="Palatino Linotype" w:eastAsia="Palatino Linotype" w:hAnsi="Palatino Linotype" w:cs="Palatino Linotype"/>
          <w:sz w:val="22"/>
          <w:szCs w:val="22"/>
        </w:rPr>
      </w:pPr>
      <w:r w:rsidRPr="009C72E8">
        <w:rPr>
          <w:rFonts w:ascii="Palatino Linotype" w:eastAsia="Palatino Linotype" w:hAnsi="Palatino Linotype" w:cs="Palatino Linotype"/>
          <w:noProof/>
          <w:sz w:val="22"/>
          <w:szCs w:val="22"/>
          <w:lang w:val="es-MX"/>
        </w:rPr>
        <w:drawing>
          <wp:inline distT="0" distB="0" distL="0" distR="0" wp14:anchorId="6D5A2EF6" wp14:editId="37C87D8B">
            <wp:extent cx="3519469" cy="5233868"/>
            <wp:effectExtent l="0" t="0" r="0" b="0"/>
            <wp:docPr id="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3519469" cy="5233868"/>
                    </a:xfrm>
                    <a:prstGeom prst="rect">
                      <a:avLst/>
                    </a:prstGeom>
                    <a:ln/>
                  </pic:spPr>
                </pic:pic>
              </a:graphicData>
            </a:graphic>
          </wp:inline>
        </w:drawing>
      </w:r>
    </w:p>
    <w:p w14:paraId="7270F502" w14:textId="77777777" w:rsidR="00AF64FD" w:rsidRPr="009C72E8" w:rsidRDefault="00AF64F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727433EE" w14:textId="77777777" w:rsidR="00AF64FD" w:rsidRPr="009C72E8" w:rsidRDefault="00AF64F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6EF91916" w14:textId="77777777" w:rsidR="00AF64FD" w:rsidRPr="009C72E8" w:rsidRDefault="0081689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Si bien, la información financiera que se encuentra publicada en el apartado CONCAC, conforme la Ley de Contabilidad Gubernamental, también forma parte de los informes trimestrales que se remiten al OSFEM; no obstante, la información financiera, presupuestal y patrimonial que publica el Ayuntamiento en el sitio electrónico referido sólo contempla documentos en formato PDF, como se muestra a continuación:</w:t>
      </w:r>
    </w:p>
    <w:p w14:paraId="654442EC" w14:textId="77777777" w:rsidR="00AF64FD" w:rsidRPr="009C72E8" w:rsidRDefault="00816891">
      <w:pPr>
        <w:pBdr>
          <w:top w:val="nil"/>
          <w:left w:val="nil"/>
          <w:bottom w:val="nil"/>
          <w:right w:val="nil"/>
          <w:between w:val="nil"/>
        </w:pBdr>
        <w:spacing w:line="360" w:lineRule="auto"/>
        <w:ind w:right="-150"/>
        <w:jc w:val="center"/>
        <w:rPr>
          <w:rFonts w:ascii="Palatino Linotype" w:eastAsia="Palatino Linotype" w:hAnsi="Palatino Linotype" w:cs="Palatino Linotype"/>
          <w:sz w:val="22"/>
          <w:szCs w:val="22"/>
        </w:rPr>
      </w:pPr>
      <w:r w:rsidRPr="009C72E8">
        <w:rPr>
          <w:rFonts w:ascii="Palatino Linotype" w:eastAsia="Palatino Linotype" w:hAnsi="Palatino Linotype" w:cs="Palatino Linotype"/>
          <w:noProof/>
          <w:sz w:val="22"/>
          <w:szCs w:val="22"/>
          <w:lang w:val="es-MX"/>
        </w:rPr>
        <w:drawing>
          <wp:inline distT="0" distB="0" distL="0" distR="0" wp14:anchorId="2184FFCF" wp14:editId="06567887">
            <wp:extent cx="4284962" cy="4354394"/>
            <wp:effectExtent l="0" t="0" r="0" b="0"/>
            <wp:docPr id="3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4284962" cy="4354394"/>
                    </a:xfrm>
                    <a:prstGeom prst="rect">
                      <a:avLst/>
                    </a:prstGeom>
                    <a:ln/>
                  </pic:spPr>
                </pic:pic>
              </a:graphicData>
            </a:graphic>
          </wp:inline>
        </w:drawing>
      </w:r>
    </w:p>
    <w:p w14:paraId="06C8412A" w14:textId="77777777" w:rsidR="00AF64FD" w:rsidRPr="009C72E8" w:rsidRDefault="0081689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 xml:space="preserve">Mientras que, el OSFEM, para la integración del informe trimestral, contempla ciertos documentos en diversos formatos, como lo es, a manera de ejemplo el </w:t>
      </w:r>
      <w:r w:rsidRPr="009C72E8">
        <w:rPr>
          <w:rFonts w:ascii="Palatino Linotype" w:eastAsia="Palatino Linotype" w:hAnsi="Palatino Linotype" w:cs="Palatino Linotype"/>
          <w:b/>
          <w:sz w:val="22"/>
          <w:szCs w:val="22"/>
        </w:rPr>
        <w:t>estado analítico del activo</w:t>
      </w:r>
      <w:r w:rsidRPr="009C72E8">
        <w:rPr>
          <w:rFonts w:ascii="Palatino Linotype" w:eastAsia="Palatino Linotype" w:hAnsi="Palatino Linotype" w:cs="Palatino Linotype"/>
          <w:sz w:val="22"/>
          <w:szCs w:val="22"/>
        </w:rPr>
        <w:t xml:space="preserve">, que el módulo I, establece que debe entregarse en formato PDF y TXT, mientras que </w:t>
      </w:r>
      <w:r w:rsidRPr="009C72E8">
        <w:rPr>
          <w:rFonts w:ascii="Palatino Linotype" w:eastAsia="Palatino Linotype" w:hAnsi="Palatino Linotype" w:cs="Palatino Linotype"/>
          <w:sz w:val="22"/>
          <w:szCs w:val="22"/>
        </w:rPr>
        <w:lastRenderedPageBreak/>
        <w:t xml:space="preserve">algunos otros, se entregan en formato XLSX, como lo es el </w:t>
      </w:r>
      <w:r w:rsidRPr="009C72E8">
        <w:rPr>
          <w:rFonts w:ascii="Palatino Linotype" w:eastAsia="Palatino Linotype" w:hAnsi="Palatino Linotype" w:cs="Palatino Linotype"/>
          <w:b/>
          <w:sz w:val="22"/>
          <w:szCs w:val="22"/>
        </w:rPr>
        <w:t>anexo al estado de situación financiera</w:t>
      </w:r>
      <w:r w:rsidRPr="009C72E8">
        <w:rPr>
          <w:rFonts w:ascii="Palatino Linotype" w:eastAsia="Palatino Linotype" w:hAnsi="Palatino Linotype" w:cs="Palatino Linotype"/>
          <w:sz w:val="22"/>
          <w:szCs w:val="22"/>
        </w:rPr>
        <w:t>; se inserta imagen de referencia:</w:t>
      </w:r>
    </w:p>
    <w:p w14:paraId="4B788B2D" w14:textId="77777777" w:rsidR="00AF64FD" w:rsidRPr="009C72E8" w:rsidRDefault="00AF64F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6A80098C" w14:textId="77777777" w:rsidR="00AF64FD" w:rsidRPr="009C72E8" w:rsidRDefault="0081689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noProof/>
          <w:sz w:val="22"/>
          <w:szCs w:val="22"/>
          <w:lang w:val="es-MX"/>
        </w:rPr>
        <w:drawing>
          <wp:inline distT="0" distB="0" distL="0" distR="0" wp14:anchorId="3E5A7BBB" wp14:editId="3049809D">
            <wp:extent cx="5544324" cy="5877745"/>
            <wp:effectExtent l="0" t="0" r="0" b="0"/>
            <wp:docPr id="3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5544324" cy="5877745"/>
                    </a:xfrm>
                    <a:prstGeom prst="rect">
                      <a:avLst/>
                    </a:prstGeom>
                    <a:ln/>
                  </pic:spPr>
                </pic:pic>
              </a:graphicData>
            </a:graphic>
          </wp:inline>
        </w:drawing>
      </w:r>
    </w:p>
    <w:p w14:paraId="4CFB35A5" w14:textId="77777777" w:rsidR="00AF64FD" w:rsidRPr="009C72E8" w:rsidRDefault="0081689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 xml:space="preserve">Además, los informes trimestrales se integran de cuatro módulos con información específica en cada uno de ellos, información que no se contempla en el apartado CONAC, del sitio electrónico del Sujeto Obligado, tal como información de la conciliación de nómina, obras públicas, entre </w:t>
      </w:r>
      <w:r w:rsidRPr="009C72E8">
        <w:rPr>
          <w:rFonts w:ascii="Palatino Linotype" w:eastAsia="Palatino Linotype" w:hAnsi="Palatino Linotype" w:cs="Palatino Linotype"/>
          <w:sz w:val="22"/>
          <w:szCs w:val="22"/>
        </w:rPr>
        <w:lastRenderedPageBreak/>
        <w:t>otra, misma, que al igual que lo anterior referido, se debe proporcionar en formato XLSX y TXT; se inserta imagen de referencia:</w:t>
      </w:r>
    </w:p>
    <w:p w14:paraId="5C45E976" w14:textId="77777777" w:rsidR="00AF64FD" w:rsidRPr="009C72E8" w:rsidRDefault="00AF64F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11A2AA3" w14:textId="77777777" w:rsidR="00AF64FD" w:rsidRPr="009C72E8" w:rsidRDefault="00816891">
      <w:pPr>
        <w:pBdr>
          <w:top w:val="nil"/>
          <w:left w:val="nil"/>
          <w:bottom w:val="nil"/>
          <w:right w:val="nil"/>
          <w:between w:val="nil"/>
        </w:pBdr>
        <w:spacing w:line="360" w:lineRule="auto"/>
        <w:ind w:right="-150"/>
        <w:jc w:val="center"/>
        <w:rPr>
          <w:rFonts w:ascii="Palatino Linotype" w:eastAsia="Palatino Linotype" w:hAnsi="Palatino Linotype" w:cs="Palatino Linotype"/>
          <w:sz w:val="22"/>
          <w:szCs w:val="22"/>
        </w:rPr>
      </w:pPr>
      <w:r w:rsidRPr="009C72E8">
        <w:lastRenderedPageBreak/>
        <w:t xml:space="preserve"> </w:t>
      </w:r>
      <w:r w:rsidRPr="009C72E8">
        <w:rPr>
          <w:noProof/>
          <w:lang w:val="es-MX"/>
        </w:rPr>
        <w:drawing>
          <wp:inline distT="0" distB="0" distL="0" distR="0" wp14:anchorId="0ED7CC0C" wp14:editId="07BBA701">
            <wp:extent cx="5760720" cy="6751955"/>
            <wp:effectExtent l="0" t="0" r="0" b="0"/>
            <wp:docPr id="3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5760720" cy="6751955"/>
                    </a:xfrm>
                    <a:prstGeom prst="rect">
                      <a:avLst/>
                    </a:prstGeom>
                    <a:ln/>
                  </pic:spPr>
                </pic:pic>
              </a:graphicData>
            </a:graphic>
          </wp:inline>
        </w:drawing>
      </w:r>
    </w:p>
    <w:p w14:paraId="63E26FBA" w14:textId="77777777" w:rsidR="00AF64FD" w:rsidRPr="009C72E8" w:rsidRDefault="00AF64F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0E51B7A" w14:textId="77777777" w:rsidR="00AF64FD" w:rsidRPr="009C72E8" w:rsidRDefault="00AF64F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705BBB49" w14:textId="77777777" w:rsidR="00AF64FD" w:rsidRPr="009C72E8" w:rsidRDefault="00AF64F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A2CC08E" w14:textId="77777777" w:rsidR="00AF64FD" w:rsidRPr="009C72E8" w:rsidRDefault="0081689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lastRenderedPageBreak/>
        <w:t>Entonces, conforme a lo anteriormente referido, se determina que la información contenida en el apartado CONAC en la página oficial del Ayuntamiento, no atiende lo relativo al informe que se remite trimestralmente al OSFEM para cumplir con las obligaciones fiscalizables, ya que se integran tanto de información y formatos diferentes.</w:t>
      </w:r>
    </w:p>
    <w:p w14:paraId="71E3CF4A" w14:textId="77777777" w:rsidR="00AF64FD" w:rsidRPr="009C72E8" w:rsidRDefault="00AF64F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4B944391" w14:textId="77777777" w:rsidR="00AF64FD" w:rsidRPr="009C72E8" w:rsidRDefault="0081689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Al ser el informe trimestral un documento que se genera para cumplir con las obligaciones fiscalizables que establece el Órgano Superior de Fiscalización del Estado de México, es que se tiene la obligación de generar, administrar y poseer, en consecuencia, es información susceptible de transparentarse y ser materia de solicitudes de acceso a la información pública, como lo es el presente asunto.</w:t>
      </w:r>
    </w:p>
    <w:p w14:paraId="11F0EAEB" w14:textId="77777777" w:rsidR="00AF64FD" w:rsidRPr="009C72E8" w:rsidRDefault="00AF64F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6270F9A8" w14:textId="77777777" w:rsidR="00AF64FD" w:rsidRPr="009C72E8" w:rsidRDefault="0081689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bookmarkStart w:id="4" w:name="_heading=h.6a527jlgg3k2" w:colFirst="0" w:colLast="0"/>
      <w:bookmarkEnd w:id="4"/>
      <w:r w:rsidRPr="009C72E8">
        <w:rPr>
          <w:rFonts w:ascii="Palatino Linotype" w:eastAsia="Palatino Linotype" w:hAnsi="Palatino Linotype" w:cs="Palatino Linotype"/>
          <w:sz w:val="22"/>
          <w:szCs w:val="22"/>
        </w:rPr>
        <w:t>Es así que, al haber requerido el particular de manera específica toda la información que integra el tercer informe trimestral del 2024 con sus cuatro módulos, se entiende que requiere toda la información que lo integra, así como los formatos que se remitieron para el cumplimiento de las obligaciones fiscales que fue remitido al OSFEM, por lo que la información que proporcionó el Sujeto Obligado no colma la pretensión del Recurrente.</w:t>
      </w:r>
    </w:p>
    <w:p w14:paraId="23269C64" w14:textId="77777777" w:rsidR="00AF64FD" w:rsidRPr="009C72E8" w:rsidRDefault="00AF64F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B4A738F" w14:textId="77777777" w:rsidR="00AF64FD" w:rsidRPr="009C72E8" w:rsidRDefault="0081689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bookmarkStart w:id="5" w:name="_heading=h.w10hv38oz9hv" w:colFirst="0" w:colLast="0"/>
      <w:bookmarkEnd w:id="5"/>
      <w:r w:rsidRPr="009C72E8">
        <w:rPr>
          <w:rFonts w:ascii="Palatino Linotype" w:eastAsia="Palatino Linotype" w:hAnsi="Palatino Linotype" w:cs="Palatino Linotype"/>
          <w:sz w:val="22"/>
          <w:szCs w:val="22"/>
        </w:rPr>
        <w:t xml:space="preserve">En consecuencia, se </w:t>
      </w:r>
      <w:r w:rsidRPr="009C72E8">
        <w:rPr>
          <w:rFonts w:ascii="Palatino Linotype" w:eastAsia="Palatino Linotype" w:hAnsi="Palatino Linotype" w:cs="Palatino Linotype"/>
          <w:b/>
          <w:sz w:val="22"/>
          <w:szCs w:val="22"/>
        </w:rPr>
        <w:t>REVOCA</w:t>
      </w:r>
      <w:r w:rsidRPr="009C72E8">
        <w:rPr>
          <w:rFonts w:ascii="Palatino Linotype" w:eastAsia="Palatino Linotype" w:hAnsi="Palatino Linotype" w:cs="Palatino Linotype"/>
          <w:sz w:val="22"/>
          <w:szCs w:val="22"/>
        </w:rPr>
        <w:t xml:space="preserve"> la respuesta y se ORDENA entregar el tercer informe trimestral enviado por el Ayuntamiento de Cuautitlán Izcalli al Órgano Superior de Fiscalización del Estado de México.</w:t>
      </w:r>
    </w:p>
    <w:p w14:paraId="123FF684" w14:textId="77777777" w:rsidR="00AF64FD" w:rsidRPr="009C72E8" w:rsidRDefault="00AF64F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AE0D6F5" w14:textId="77777777" w:rsidR="00AF64FD" w:rsidRPr="009C72E8" w:rsidRDefault="0081689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Para la elaboración de las versiones públicas, el Sujeto Obligado estará a lo dispuesto en el Considerando Quinto de la presente resolución.</w:t>
      </w:r>
    </w:p>
    <w:p w14:paraId="5EA346E6" w14:textId="77777777" w:rsidR="00AF64FD" w:rsidRPr="009C72E8" w:rsidRDefault="00AF64F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8E3D3DA" w14:textId="77777777" w:rsidR="00AF64FD" w:rsidRPr="009C72E8" w:rsidRDefault="0081689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 xml:space="preserve">Por último y no menos importante, </w:t>
      </w:r>
      <w:r w:rsidRPr="009C72E8">
        <w:rPr>
          <w:rFonts w:ascii="Palatino Linotype" w:eastAsia="Palatino Linotype" w:hAnsi="Palatino Linotype" w:cs="Palatino Linotype"/>
        </w:rPr>
        <w:t xml:space="preserve">respecto de las manifestaciones realizadas por el Recurrente como razones o motivos de inconformidad, consistentes en </w:t>
      </w:r>
      <w:r w:rsidRPr="009C72E8">
        <w:rPr>
          <w:rFonts w:ascii="Palatino Linotype" w:eastAsia="Palatino Linotype" w:hAnsi="Palatino Linotype" w:cs="Palatino Linotype"/>
          <w:i/>
        </w:rPr>
        <w:t xml:space="preserve">“…quiero la </w:t>
      </w:r>
      <w:r w:rsidRPr="009C72E8">
        <w:rPr>
          <w:rFonts w:ascii="Palatino Linotype" w:eastAsia="Palatino Linotype" w:hAnsi="Palatino Linotype" w:cs="Palatino Linotype"/>
          <w:i/>
        </w:rPr>
        <w:lastRenderedPageBreak/>
        <w:t xml:space="preserve">información completa y que se pongan a leer la Ley e inicien los procedimientos de responsabilidad en contra de los servidores y funcionarios que claramente </w:t>
      </w:r>
      <w:proofErr w:type="spellStart"/>
      <w:r w:rsidRPr="009C72E8">
        <w:rPr>
          <w:rFonts w:ascii="Palatino Linotype" w:eastAsia="Palatino Linotype" w:hAnsi="Palatino Linotype" w:cs="Palatino Linotype"/>
          <w:i/>
        </w:rPr>
        <w:t>estan</w:t>
      </w:r>
      <w:proofErr w:type="spellEnd"/>
      <w:r w:rsidRPr="009C72E8">
        <w:rPr>
          <w:rFonts w:ascii="Palatino Linotype" w:eastAsia="Palatino Linotype" w:hAnsi="Palatino Linotype" w:cs="Palatino Linotype"/>
          <w:i/>
        </w:rPr>
        <w:t xml:space="preserve"> obstaculizando el Ejercicio de mi derecho a la información” (sic)</w:t>
      </w:r>
      <w:r w:rsidRPr="009C72E8">
        <w:rPr>
          <w:rFonts w:ascii="Palatino Linotype" w:eastAsia="Palatino Linotype" w:hAnsi="Palatino Linotype" w:cs="Palatino Linotype"/>
        </w:rPr>
        <w:t>; y derivado que el Recurso de Revisión no es el medio para sancionar, este Organismo Garante sugiere a la persona solicitante, interponer su queja o denuncia ante la autoridad competente.</w:t>
      </w:r>
    </w:p>
    <w:p w14:paraId="1743140F" w14:textId="77777777" w:rsidR="00AF64FD" w:rsidRPr="009C72E8" w:rsidRDefault="00AF64F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3655054" w14:textId="77777777" w:rsidR="00AF64FD" w:rsidRPr="009C72E8" w:rsidRDefault="00816891">
      <w:pPr>
        <w:spacing w:line="360" w:lineRule="auto"/>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b/>
          <w:sz w:val="22"/>
          <w:szCs w:val="22"/>
        </w:rPr>
        <w:t xml:space="preserve">Quinto. Versión Pública. </w:t>
      </w:r>
      <w:r w:rsidRPr="009C72E8">
        <w:rPr>
          <w:rFonts w:ascii="Palatino Linotype" w:eastAsia="Palatino Linotype" w:hAnsi="Palatino Linotype" w:cs="Palatino Linotype"/>
          <w:sz w:val="22"/>
          <w:szCs w:val="22"/>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parte </w:t>
      </w:r>
      <w:r w:rsidRPr="009C72E8">
        <w:rPr>
          <w:rFonts w:ascii="Palatino Linotype" w:eastAsia="Palatino Linotype" w:hAnsi="Palatino Linotype" w:cs="Palatino Linotype"/>
          <w:b/>
          <w:sz w:val="22"/>
          <w:szCs w:val="22"/>
        </w:rPr>
        <w:t>Recurrente</w:t>
      </w:r>
      <w:r w:rsidRPr="009C72E8">
        <w:rPr>
          <w:rFonts w:ascii="Palatino Linotype" w:eastAsia="Palatino Linotype" w:hAnsi="Palatino Linotype" w:cs="Palatino Linotype"/>
          <w:sz w:val="22"/>
          <w:szCs w:val="22"/>
        </w:rPr>
        <w:t xml:space="preserve"> sin menoscabar el derecho a la protección de los datos personales de terceros.</w:t>
      </w:r>
    </w:p>
    <w:p w14:paraId="60C767ED" w14:textId="77777777" w:rsidR="00AF64FD" w:rsidRPr="009C72E8" w:rsidRDefault="00816891">
      <w:pPr>
        <w:spacing w:before="240" w:after="240" w:line="360" w:lineRule="auto"/>
        <w:ind w:right="50"/>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Lo anterior, de conformidad a lo que señalan los artículos 3, fracciones IX, XX, XXXII, XLV; 6, 137 y 143 fracción I, de la Ley de Transparencia y Acceso a la Información Pública del Estado de México y Municipios vigente, que se leen como sigue:</w:t>
      </w:r>
    </w:p>
    <w:p w14:paraId="5CEADEE4" w14:textId="77777777" w:rsidR="00AF64FD" w:rsidRPr="009C72E8" w:rsidRDefault="00816891">
      <w:pPr>
        <w:spacing w:line="360" w:lineRule="auto"/>
        <w:ind w:left="851" w:right="616"/>
        <w:jc w:val="both"/>
        <w:rPr>
          <w:rFonts w:ascii="Palatino Linotype" w:eastAsia="Palatino Linotype" w:hAnsi="Palatino Linotype" w:cs="Palatino Linotype"/>
          <w:b/>
          <w:i/>
          <w:sz w:val="22"/>
          <w:szCs w:val="22"/>
        </w:rPr>
      </w:pPr>
      <w:r w:rsidRPr="009C72E8">
        <w:rPr>
          <w:rFonts w:ascii="Palatino Linotype" w:eastAsia="Palatino Linotype" w:hAnsi="Palatino Linotype" w:cs="Palatino Linotype"/>
          <w:b/>
          <w:i/>
          <w:sz w:val="22"/>
          <w:szCs w:val="22"/>
        </w:rPr>
        <w:t xml:space="preserve"> “Artículo 3. Para los efectos de la presente Ley se entenderá por:</w:t>
      </w:r>
    </w:p>
    <w:p w14:paraId="3975AAF8" w14:textId="77777777" w:rsidR="00AF64FD" w:rsidRPr="009C72E8" w:rsidRDefault="00816891">
      <w:pPr>
        <w:spacing w:line="360" w:lineRule="auto"/>
        <w:ind w:left="851" w:right="616"/>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b/>
          <w:i/>
          <w:sz w:val="22"/>
          <w:szCs w:val="22"/>
        </w:rPr>
        <w:t>IX. Datos personales:</w:t>
      </w:r>
      <w:r w:rsidRPr="009C72E8">
        <w:rPr>
          <w:rFonts w:ascii="Palatino Linotype" w:eastAsia="Palatino Linotype" w:hAnsi="Palatino Linotype" w:cs="Palatino Linotype"/>
          <w:i/>
          <w:sz w:val="22"/>
          <w:szCs w:val="22"/>
        </w:rPr>
        <w:t xml:space="preserve"> </w:t>
      </w:r>
      <w:r w:rsidRPr="009C72E8">
        <w:rPr>
          <w:rFonts w:ascii="Palatino Linotype" w:eastAsia="Palatino Linotype" w:hAnsi="Palatino Linotype" w:cs="Palatino Linotype"/>
          <w:b/>
          <w:i/>
          <w:sz w:val="22"/>
          <w:szCs w:val="22"/>
        </w:rPr>
        <w:t>La información concerniente a una persona, identificada o identificable</w:t>
      </w:r>
      <w:r w:rsidRPr="009C72E8">
        <w:rPr>
          <w:rFonts w:ascii="Palatino Linotype" w:eastAsia="Palatino Linotype" w:hAnsi="Palatino Linotype" w:cs="Palatino Linotype"/>
          <w:i/>
          <w:sz w:val="22"/>
          <w:szCs w:val="22"/>
        </w:rPr>
        <w:t xml:space="preserve"> según lo dispuesto por la Ley de Protección de Datos Personales del Estado de México;</w:t>
      </w:r>
    </w:p>
    <w:p w14:paraId="722CB346" w14:textId="77777777" w:rsidR="00AF64FD" w:rsidRPr="009C72E8" w:rsidRDefault="00816891">
      <w:pPr>
        <w:spacing w:line="360" w:lineRule="auto"/>
        <w:ind w:left="851" w:right="616"/>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b/>
          <w:i/>
          <w:sz w:val="22"/>
          <w:szCs w:val="22"/>
        </w:rPr>
        <w:t>XX. Información clasificada:</w:t>
      </w:r>
      <w:r w:rsidRPr="009C72E8">
        <w:rPr>
          <w:rFonts w:ascii="Palatino Linotype" w:eastAsia="Palatino Linotype" w:hAnsi="Palatino Linotype" w:cs="Palatino Linotype"/>
          <w:i/>
          <w:sz w:val="22"/>
          <w:szCs w:val="22"/>
        </w:rPr>
        <w:t xml:space="preserve"> Aquella considerada por la presente Ley como reservada o confidencial;</w:t>
      </w:r>
    </w:p>
    <w:p w14:paraId="37E673B3" w14:textId="77777777" w:rsidR="00AF64FD" w:rsidRPr="009C72E8" w:rsidRDefault="00816891">
      <w:pPr>
        <w:spacing w:line="360" w:lineRule="auto"/>
        <w:ind w:left="851" w:right="616"/>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b/>
          <w:i/>
          <w:sz w:val="22"/>
          <w:szCs w:val="22"/>
        </w:rPr>
        <w:t>XXXII. Protección de Datos Personales:</w:t>
      </w:r>
      <w:r w:rsidRPr="009C72E8">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1EF169D4" w14:textId="77777777" w:rsidR="00AF64FD" w:rsidRPr="009C72E8" w:rsidRDefault="00816891">
      <w:pPr>
        <w:spacing w:line="360" w:lineRule="auto"/>
        <w:ind w:left="851" w:right="616"/>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b/>
          <w:i/>
          <w:sz w:val="22"/>
          <w:szCs w:val="22"/>
        </w:rPr>
        <w:lastRenderedPageBreak/>
        <w:t>XLV. Versión pública</w:t>
      </w:r>
      <w:r w:rsidRPr="009C72E8">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2E75AEA7" w14:textId="77777777" w:rsidR="00AF64FD" w:rsidRPr="009C72E8" w:rsidRDefault="00AF64FD">
      <w:pPr>
        <w:spacing w:line="360" w:lineRule="auto"/>
        <w:ind w:left="851" w:right="616"/>
        <w:jc w:val="both"/>
        <w:rPr>
          <w:rFonts w:ascii="Palatino Linotype" w:eastAsia="Palatino Linotype" w:hAnsi="Palatino Linotype" w:cs="Palatino Linotype"/>
          <w:i/>
          <w:sz w:val="22"/>
          <w:szCs w:val="22"/>
        </w:rPr>
      </w:pPr>
    </w:p>
    <w:p w14:paraId="73B9FED4" w14:textId="77777777" w:rsidR="00AF64FD" w:rsidRPr="009C72E8" w:rsidRDefault="00816891">
      <w:pPr>
        <w:spacing w:line="360" w:lineRule="auto"/>
        <w:ind w:left="851" w:right="616"/>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b/>
          <w:i/>
          <w:sz w:val="22"/>
          <w:szCs w:val="22"/>
        </w:rPr>
        <w:t>“Artículo 6.</w:t>
      </w:r>
      <w:r w:rsidRPr="009C72E8">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4171F3C4" w14:textId="77777777" w:rsidR="00AF64FD" w:rsidRPr="009C72E8" w:rsidRDefault="00AF64FD">
      <w:pPr>
        <w:spacing w:line="360" w:lineRule="auto"/>
        <w:ind w:left="851" w:right="616"/>
        <w:jc w:val="both"/>
        <w:rPr>
          <w:rFonts w:ascii="Palatino Linotype" w:eastAsia="Palatino Linotype" w:hAnsi="Palatino Linotype" w:cs="Palatino Linotype"/>
          <w:i/>
          <w:sz w:val="22"/>
          <w:szCs w:val="22"/>
        </w:rPr>
      </w:pPr>
    </w:p>
    <w:p w14:paraId="4BA17DA5" w14:textId="77777777" w:rsidR="00AF64FD" w:rsidRPr="009C72E8" w:rsidRDefault="00816891">
      <w:pPr>
        <w:spacing w:line="360" w:lineRule="auto"/>
        <w:ind w:left="851" w:right="616"/>
        <w:jc w:val="both"/>
        <w:rPr>
          <w:rFonts w:ascii="Palatino Linotype" w:eastAsia="Palatino Linotype" w:hAnsi="Palatino Linotype" w:cs="Palatino Linotype"/>
          <w:b/>
          <w:i/>
          <w:sz w:val="22"/>
          <w:szCs w:val="22"/>
        </w:rPr>
      </w:pPr>
      <w:r w:rsidRPr="009C72E8">
        <w:rPr>
          <w:rFonts w:ascii="Palatino Linotype" w:eastAsia="Palatino Linotype" w:hAnsi="Palatino Linotype" w:cs="Palatino Linotype"/>
          <w:b/>
          <w:i/>
          <w:sz w:val="22"/>
          <w:szCs w:val="22"/>
        </w:rPr>
        <w:t>“Artículo 137.</w:t>
      </w:r>
      <w:r w:rsidRPr="009C72E8">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D5DFBCF" w14:textId="77777777" w:rsidR="00AF64FD" w:rsidRPr="009C72E8" w:rsidRDefault="00AF64FD">
      <w:pPr>
        <w:spacing w:line="360" w:lineRule="auto"/>
        <w:ind w:left="851" w:right="616"/>
        <w:jc w:val="both"/>
        <w:rPr>
          <w:rFonts w:ascii="Palatino Linotype" w:eastAsia="Palatino Linotype" w:hAnsi="Palatino Linotype" w:cs="Palatino Linotype"/>
          <w:b/>
          <w:i/>
          <w:sz w:val="22"/>
          <w:szCs w:val="22"/>
        </w:rPr>
      </w:pPr>
    </w:p>
    <w:p w14:paraId="6991F802" w14:textId="77777777" w:rsidR="00AF64FD" w:rsidRPr="009C72E8" w:rsidRDefault="00816891">
      <w:pPr>
        <w:spacing w:line="360" w:lineRule="auto"/>
        <w:ind w:left="851" w:right="616"/>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b/>
          <w:i/>
          <w:sz w:val="22"/>
          <w:szCs w:val="22"/>
        </w:rPr>
        <w:t>“Artículo 143</w:t>
      </w:r>
      <w:r w:rsidRPr="009C72E8">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1FE44D54" w14:textId="77777777" w:rsidR="00AF64FD" w:rsidRPr="009C72E8" w:rsidRDefault="00816891">
      <w:pPr>
        <w:spacing w:line="360" w:lineRule="auto"/>
        <w:ind w:left="851" w:right="616"/>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b/>
          <w:i/>
          <w:sz w:val="22"/>
          <w:szCs w:val="22"/>
        </w:rPr>
        <w:t>I.</w:t>
      </w:r>
      <w:r w:rsidRPr="009C72E8">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147758E0" w14:textId="77777777" w:rsidR="00AF64FD" w:rsidRPr="009C72E8" w:rsidRDefault="00816891">
      <w:pPr>
        <w:spacing w:line="360" w:lineRule="auto"/>
        <w:ind w:left="851" w:right="616"/>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4199362F" w14:textId="77777777" w:rsidR="00AF64FD" w:rsidRPr="009C72E8" w:rsidRDefault="00816891">
      <w:pPr>
        <w:spacing w:line="360" w:lineRule="auto"/>
        <w:ind w:left="851" w:right="616"/>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2DC07461" w14:textId="77777777" w:rsidR="00AF64FD" w:rsidRPr="009C72E8" w:rsidRDefault="00AF64FD">
      <w:pPr>
        <w:spacing w:line="360" w:lineRule="auto"/>
        <w:ind w:left="993" w:right="1041"/>
        <w:jc w:val="both"/>
        <w:rPr>
          <w:rFonts w:ascii="Palatino Linotype" w:eastAsia="Palatino Linotype" w:hAnsi="Palatino Linotype" w:cs="Palatino Linotype"/>
          <w:i/>
          <w:sz w:val="22"/>
          <w:szCs w:val="22"/>
        </w:rPr>
      </w:pPr>
    </w:p>
    <w:p w14:paraId="4B3D75C5" w14:textId="77777777" w:rsidR="00AF64FD" w:rsidRPr="009C72E8" w:rsidRDefault="00816891">
      <w:pPr>
        <w:spacing w:line="360" w:lineRule="auto"/>
        <w:ind w:right="51"/>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lastRenderedPageBreak/>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w:t>
      </w:r>
      <w:r w:rsidRPr="009C72E8">
        <w:rPr>
          <w:rFonts w:ascii="Palatino Linotype" w:eastAsia="Palatino Linotype" w:hAnsi="Palatino Linotype" w:cs="Palatino Linotype"/>
          <w:b/>
          <w:sz w:val="22"/>
          <w:szCs w:val="22"/>
        </w:rPr>
        <w:t>Sujeto Obligado</w:t>
      </w:r>
      <w:r w:rsidRPr="009C72E8">
        <w:rPr>
          <w:rFonts w:ascii="Palatino Linotype" w:eastAsia="Palatino Linotype" w:hAnsi="Palatino Linotype" w:cs="Palatino Linotype"/>
          <w:sz w:val="22"/>
          <w:szCs w:val="22"/>
        </w:rPr>
        <w:t xml:space="preserve"> para satisfacer el derecho de acceso a la información pública de la parte </w:t>
      </w:r>
      <w:r w:rsidRPr="009C72E8">
        <w:rPr>
          <w:rFonts w:ascii="Palatino Linotype" w:eastAsia="Palatino Linotype" w:hAnsi="Palatino Linotype" w:cs="Palatino Linotype"/>
          <w:b/>
          <w:sz w:val="22"/>
          <w:szCs w:val="22"/>
        </w:rPr>
        <w:t>Recurrente</w:t>
      </w:r>
      <w:r w:rsidRPr="009C72E8">
        <w:rPr>
          <w:rFonts w:ascii="Palatino Linotype" w:eastAsia="Palatino Linotype" w:hAnsi="Palatino Linotype" w:cs="Palatino Linotype"/>
          <w:sz w:val="22"/>
          <w:szCs w:val="22"/>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0FDBD9D1" w14:textId="77777777" w:rsidR="00AF64FD" w:rsidRPr="009C72E8" w:rsidRDefault="00AF64FD">
      <w:pPr>
        <w:spacing w:line="360" w:lineRule="auto"/>
        <w:ind w:right="51"/>
        <w:jc w:val="both"/>
        <w:rPr>
          <w:rFonts w:ascii="Palatino Linotype" w:eastAsia="Palatino Linotype" w:hAnsi="Palatino Linotype" w:cs="Palatino Linotype"/>
          <w:sz w:val="22"/>
          <w:szCs w:val="22"/>
        </w:rPr>
      </w:pPr>
    </w:p>
    <w:p w14:paraId="003FD2D7" w14:textId="77777777" w:rsidR="00AF64FD" w:rsidRPr="009C72E8" w:rsidRDefault="00816891">
      <w:pPr>
        <w:spacing w:line="360" w:lineRule="auto"/>
        <w:ind w:right="50"/>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B882027" w14:textId="77777777" w:rsidR="00AF64FD" w:rsidRPr="009C72E8" w:rsidRDefault="00AF64FD">
      <w:pPr>
        <w:spacing w:line="360" w:lineRule="auto"/>
        <w:ind w:right="50"/>
        <w:jc w:val="both"/>
        <w:rPr>
          <w:rFonts w:ascii="Palatino Linotype" w:eastAsia="Palatino Linotype" w:hAnsi="Palatino Linotype" w:cs="Palatino Linotype"/>
          <w:sz w:val="22"/>
          <w:szCs w:val="22"/>
        </w:rPr>
      </w:pPr>
    </w:p>
    <w:p w14:paraId="20464BCB" w14:textId="77777777" w:rsidR="00AF64FD" w:rsidRPr="009C72E8" w:rsidRDefault="00816891">
      <w:pPr>
        <w:spacing w:line="360" w:lineRule="auto"/>
        <w:ind w:right="51"/>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43D66185" w14:textId="77777777" w:rsidR="00AF64FD" w:rsidRPr="009C72E8" w:rsidRDefault="00AF64FD">
      <w:pPr>
        <w:spacing w:line="360" w:lineRule="auto"/>
        <w:ind w:right="51"/>
        <w:jc w:val="both"/>
        <w:rPr>
          <w:rFonts w:ascii="Palatino Linotype" w:eastAsia="Palatino Linotype" w:hAnsi="Palatino Linotype" w:cs="Palatino Linotype"/>
          <w:sz w:val="22"/>
          <w:szCs w:val="22"/>
        </w:rPr>
      </w:pPr>
    </w:p>
    <w:p w14:paraId="1267FCB1" w14:textId="77777777" w:rsidR="00AF64FD" w:rsidRPr="009C72E8" w:rsidRDefault="00816891">
      <w:pPr>
        <w:spacing w:line="360" w:lineRule="auto"/>
        <w:ind w:left="992" w:right="616"/>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b/>
          <w:i/>
          <w:sz w:val="22"/>
          <w:szCs w:val="22"/>
        </w:rPr>
        <w:t>“Artículo 49.</w:t>
      </w:r>
      <w:r w:rsidRPr="009C72E8">
        <w:rPr>
          <w:rFonts w:ascii="Palatino Linotype" w:eastAsia="Palatino Linotype" w:hAnsi="Palatino Linotype" w:cs="Palatino Linotype"/>
          <w:i/>
          <w:sz w:val="22"/>
          <w:szCs w:val="22"/>
        </w:rPr>
        <w:t xml:space="preserve"> </w:t>
      </w:r>
      <w:r w:rsidRPr="009C72E8">
        <w:rPr>
          <w:rFonts w:ascii="Palatino Linotype" w:eastAsia="Palatino Linotype" w:hAnsi="Palatino Linotype" w:cs="Palatino Linotype"/>
          <w:b/>
          <w:i/>
          <w:sz w:val="22"/>
          <w:szCs w:val="22"/>
        </w:rPr>
        <w:t>Los Comités de Transparencia</w:t>
      </w:r>
      <w:r w:rsidRPr="009C72E8">
        <w:rPr>
          <w:rFonts w:ascii="Palatino Linotype" w:eastAsia="Palatino Linotype" w:hAnsi="Palatino Linotype" w:cs="Palatino Linotype"/>
          <w:i/>
          <w:sz w:val="22"/>
          <w:szCs w:val="22"/>
        </w:rPr>
        <w:t xml:space="preserve"> tendrán las siguientes atribuciones:</w:t>
      </w:r>
    </w:p>
    <w:p w14:paraId="3A55CFD1" w14:textId="77777777" w:rsidR="00AF64FD" w:rsidRPr="009C72E8" w:rsidRDefault="00816891">
      <w:pPr>
        <w:spacing w:line="360" w:lineRule="auto"/>
        <w:ind w:left="992" w:right="616"/>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b/>
          <w:i/>
          <w:sz w:val="22"/>
          <w:szCs w:val="22"/>
        </w:rPr>
        <w:t>VIII. Aprobar, modificar o revocar la clasificación de la información</w:t>
      </w:r>
      <w:r w:rsidRPr="009C72E8">
        <w:rPr>
          <w:rFonts w:ascii="Palatino Linotype" w:eastAsia="Palatino Linotype" w:hAnsi="Palatino Linotype" w:cs="Palatino Linotype"/>
          <w:i/>
          <w:sz w:val="22"/>
          <w:szCs w:val="22"/>
        </w:rPr>
        <w:t>…”</w:t>
      </w:r>
    </w:p>
    <w:p w14:paraId="091263A4" w14:textId="77777777" w:rsidR="00AF64FD" w:rsidRPr="009C72E8" w:rsidRDefault="00816891">
      <w:pPr>
        <w:spacing w:line="360" w:lineRule="auto"/>
        <w:ind w:left="992" w:right="616"/>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i/>
          <w:sz w:val="22"/>
          <w:szCs w:val="22"/>
        </w:rPr>
        <w:t>“</w:t>
      </w:r>
      <w:r w:rsidRPr="009C72E8">
        <w:rPr>
          <w:rFonts w:ascii="Palatino Linotype" w:eastAsia="Palatino Linotype" w:hAnsi="Palatino Linotype" w:cs="Palatino Linotype"/>
          <w:b/>
          <w:i/>
          <w:sz w:val="22"/>
          <w:szCs w:val="22"/>
        </w:rPr>
        <w:t>Artículo 53.</w:t>
      </w:r>
      <w:r w:rsidRPr="009C72E8">
        <w:rPr>
          <w:rFonts w:ascii="Palatino Linotype" w:eastAsia="Palatino Linotype" w:hAnsi="Palatino Linotype" w:cs="Palatino Linotype"/>
          <w:i/>
          <w:sz w:val="22"/>
          <w:szCs w:val="22"/>
        </w:rPr>
        <w:t xml:space="preserve"> Las </w:t>
      </w:r>
      <w:r w:rsidRPr="009C72E8">
        <w:rPr>
          <w:rFonts w:ascii="Palatino Linotype" w:eastAsia="Palatino Linotype" w:hAnsi="Palatino Linotype" w:cs="Palatino Linotype"/>
          <w:b/>
          <w:i/>
          <w:sz w:val="22"/>
          <w:szCs w:val="22"/>
        </w:rPr>
        <w:t>Unidades de Transparencia</w:t>
      </w:r>
      <w:r w:rsidRPr="009C72E8">
        <w:rPr>
          <w:rFonts w:ascii="Palatino Linotype" w:eastAsia="Palatino Linotype" w:hAnsi="Palatino Linotype" w:cs="Palatino Linotype"/>
          <w:i/>
          <w:sz w:val="22"/>
          <w:szCs w:val="22"/>
        </w:rPr>
        <w:t xml:space="preserve"> tendrán las siguientes </w:t>
      </w:r>
      <w:r w:rsidRPr="009C72E8">
        <w:rPr>
          <w:rFonts w:ascii="Palatino Linotype" w:eastAsia="Palatino Linotype" w:hAnsi="Palatino Linotype" w:cs="Palatino Linotype"/>
          <w:b/>
          <w:i/>
          <w:sz w:val="22"/>
          <w:szCs w:val="22"/>
        </w:rPr>
        <w:t>funciones</w:t>
      </w:r>
      <w:r w:rsidRPr="009C72E8">
        <w:rPr>
          <w:rFonts w:ascii="Palatino Linotype" w:eastAsia="Palatino Linotype" w:hAnsi="Palatino Linotype" w:cs="Palatino Linotype"/>
          <w:i/>
          <w:sz w:val="22"/>
          <w:szCs w:val="22"/>
        </w:rPr>
        <w:t>:</w:t>
      </w:r>
    </w:p>
    <w:p w14:paraId="21852E79" w14:textId="77777777" w:rsidR="00AF64FD" w:rsidRPr="009C72E8" w:rsidRDefault="00816891">
      <w:pPr>
        <w:spacing w:line="360" w:lineRule="auto"/>
        <w:ind w:left="992" w:right="616"/>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b/>
          <w:i/>
          <w:sz w:val="22"/>
          <w:szCs w:val="22"/>
        </w:rPr>
        <w:t>X. Presentar ante el Comité, el proyecto de clasificación de información</w:t>
      </w:r>
      <w:r w:rsidRPr="009C72E8">
        <w:rPr>
          <w:rFonts w:ascii="Palatino Linotype" w:eastAsia="Palatino Linotype" w:hAnsi="Palatino Linotype" w:cs="Palatino Linotype"/>
          <w:i/>
          <w:sz w:val="22"/>
          <w:szCs w:val="22"/>
        </w:rPr>
        <w:t xml:space="preserve">…” </w:t>
      </w:r>
    </w:p>
    <w:p w14:paraId="0D548BA9" w14:textId="77777777" w:rsidR="00AF64FD" w:rsidRPr="009C72E8" w:rsidRDefault="00816891">
      <w:pPr>
        <w:spacing w:line="360" w:lineRule="auto"/>
        <w:ind w:left="992" w:right="616"/>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b/>
          <w:i/>
          <w:sz w:val="22"/>
          <w:szCs w:val="22"/>
        </w:rPr>
        <w:lastRenderedPageBreak/>
        <w:t>“Artículo 59.</w:t>
      </w:r>
      <w:r w:rsidRPr="009C72E8">
        <w:rPr>
          <w:rFonts w:ascii="Palatino Linotype" w:eastAsia="Palatino Linotype" w:hAnsi="Palatino Linotype" w:cs="Palatino Linotype"/>
          <w:i/>
          <w:sz w:val="22"/>
          <w:szCs w:val="22"/>
        </w:rPr>
        <w:t xml:space="preserve"> Los </w:t>
      </w:r>
      <w:r w:rsidRPr="009C72E8">
        <w:rPr>
          <w:rFonts w:ascii="Palatino Linotype" w:eastAsia="Palatino Linotype" w:hAnsi="Palatino Linotype" w:cs="Palatino Linotype"/>
          <w:b/>
          <w:i/>
          <w:sz w:val="22"/>
          <w:szCs w:val="22"/>
        </w:rPr>
        <w:t>servidores públicos habilitados</w:t>
      </w:r>
      <w:r w:rsidRPr="009C72E8">
        <w:rPr>
          <w:rFonts w:ascii="Palatino Linotype" w:eastAsia="Palatino Linotype" w:hAnsi="Palatino Linotype" w:cs="Palatino Linotype"/>
          <w:i/>
          <w:sz w:val="22"/>
          <w:szCs w:val="22"/>
        </w:rPr>
        <w:t xml:space="preserve"> tendrán las </w:t>
      </w:r>
      <w:r w:rsidRPr="009C72E8">
        <w:rPr>
          <w:rFonts w:ascii="Palatino Linotype" w:eastAsia="Palatino Linotype" w:hAnsi="Palatino Linotype" w:cs="Palatino Linotype"/>
          <w:b/>
          <w:i/>
          <w:sz w:val="22"/>
          <w:szCs w:val="22"/>
        </w:rPr>
        <w:t>funciones</w:t>
      </w:r>
      <w:r w:rsidRPr="009C72E8">
        <w:rPr>
          <w:rFonts w:ascii="Palatino Linotype" w:eastAsia="Palatino Linotype" w:hAnsi="Palatino Linotype" w:cs="Palatino Linotype"/>
          <w:i/>
          <w:sz w:val="22"/>
          <w:szCs w:val="22"/>
        </w:rPr>
        <w:t xml:space="preserve"> siguientes:</w:t>
      </w:r>
    </w:p>
    <w:p w14:paraId="7F7E929B" w14:textId="77777777" w:rsidR="00AF64FD" w:rsidRPr="009C72E8" w:rsidRDefault="00816891">
      <w:pPr>
        <w:spacing w:line="360" w:lineRule="auto"/>
        <w:ind w:left="992" w:right="616"/>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9C72E8">
        <w:rPr>
          <w:rFonts w:ascii="Palatino Linotype" w:eastAsia="Palatino Linotype" w:hAnsi="Palatino Linotype" w:cs="Palatino Linotype"/>
          <w:i/>
          <w:sz w:val="22"/>
          <w:szCs w:val="22"/>
        </w:rPr>
        <w:t>, la cual tendrá los fundamentos y argumentos en que se basa dicha propuesta…”(Sic)</w:t>
      </w:r>
    </w:p>
    <w:p w14:paraId="35CB37B3" w14:textId="77777777" w:rsidR="00AF64FD" w:rsidRPr="009C72E8" w:rsidRDefault="00AF64FD">
      <w:pPr>
        <w:spacing w:line="360" w:lineRule="auto"/>
        <w:ind w:left="992" w:right="1043"/>
        <w:jc w:val="both"/>
        <w:rPr>
          <w:rFonts w:ascii="Palatino Linotype" w:eastAsia="Palatino Linotype" w:hAnsi="Palatino Linotype" w:cs="Palatino Linotype"/>
          <w:i/>
          <w:sz w:val="22"/>
          <w:szCs w:val="22"/>
        </w:rPr>
      </w:pPr>
    </w:p>
    <w:p w14:paraId="50249D60" w14:textId="77777777" w:rsidR="00AF64FD" w:rsidRPr="009C72E8" w:rsidRDefault="00816891">
      <w:pPr>
        <w:spacing w:line="360" w:lineRule="auto"/>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27B6536D" w14:textId="77777777" w:rsidR="00AF64FD" w:rsidRPr="009C72E8" w:rsidRDefault="00AF64FD">
      <w:pPr>
        <w:spacing w:line="360" w:lineRule="auto"/>
        <w:jc w:val="both"/>
        <w:rPr>
          <w:rFonts w:ascii="Palatino Linotype" w:eastAsia="Palatino Linotype" w:hAnsi="Palatino Linotype" w:cs="Palatino Linotype"/>
          <w:sz w:val="22"/>
          <w:szCs w:val="22"/>
        </w:rPr>
      </w:pPr>
    </w:p>
    <w:p w14:paraId="18AB577D" w14:textId="77777777" w:rsidR="00AF64FD" w:rsidRPr="009C72E8" w:rsidRDefault="00816891">
      <w:pPr>
        <w:spacing w:line="360" w:lineRule="auto"/>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0048168E" w14:textId="77777777" w:rsidR="00AF64FD" w:rsidRPr="009C72E8" w:rsidRDefault="00AF64FD">
      <w:pPr>
        <w:spacing w:line="360" w:lineRule="auto"/>
        <w:jc w:val="both"/>
        <w:rPr>
          <w:rFonts w:ascii="Palatino Linotype" w:eastAsia="Palatino Linotype" w:hAnsi="Palatino Linotype" w:cs="Palatino Linotype"/>
          <w:sz w:val="22"/>
          <w:szCs w:val="22"/>
        </w:rPr>
      </w:pPr>
    </w:p>
    <w:p w14:paraId="6895E547" w14:textId="77777777" w:rsidR="00AF64FD" w:rsidRPr="009C72E8" w:rsidRDefault="00816891">
      <w:pPr>
        <w:spacing w:after="240" w:line="360" w:lineRule="auto"/>
        <w:ind w:left="851" w:right="616"/>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i/>
          <w:sz w:val="22"/>
          <w:szCs w:val="22"/>
        </w:rPr>
        <w:t>“</w:t>
      </w:r>
      <w:r w:rsidRPr="009C72E8">
        <w:rPr>
          <w:rFonts w:ascii="Palatino Linotype" w:eastAsia="Palatino Linotype" w:hAnsi="Palatino Linotype" w:cs="Palatino Linotype"/>
          <w:b/>
          <w:i/>
          <w:sz w:val="22"/>
          <w:szCs w:val="22"/>
        </w:rPr>
        <w:t>Artículo 149.</w:t>
      </w:r>
      <w:r w:rsidRPr="009C72E8">
        <w:rPr>
          <w:rFonts w:ascii="Palatino Linotype" w:eastAsia="Palatino Linotype" w:hAnsi="Palatino Linotype" w:cs="Palatino Linotype"/>
          <w:i/>
          <w:sz w:val="22"/>
          <w:szCs w:val="22"/>
        </w:rPr>
        <w:t xml:space="preserve"> El </w:t>
      </w:r>
      <w:r w:rsidRPr="009C72E8">
        <w:rPr>
          <w:rFonts w:ascii="Palatino Linotype" w:eastAsia="Palatino Linotype" w:hAnsi="Palatino Linotype" w:cs="Palatino Linotype"/>
          <w:b/>
          <w:i/>
          <w:sz w:val="22"/>
          <w:szCs w:val="22"/>
        </w:rPr>
        <w:t>acuerdo que clasifique la información como confidencial</w:t>
      </w:r>
      <w:r w:rsidRPr="009C72E8">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14:paraId="5989CEA0" w14:textId="77777777" w:rsidR="00AF64FD" w:rsidRPr="009C72E8" w:rsidRDefault="00AF64FD">
      <w:pPr>
        <w:spacing w:before="240" w:line="360" w:lineRule="auto"/>
        <w:ind w:right="51"/>
        <w:jc w:val="both"/>
        <w:rPr>
          <w:rFonts w:ascii="Palatino Linotype" w:eastAsia="Palatino Linotype" w:hAnsi="Palatino Linotype" w:cs="Palatino Linotype"/>
          <w:i/>
          <w:sz w:val="22"/>
          <w:szCs w:val="22"/>
        </w:rPr>
      </w:pPr>
    </w:p>
    <w:p w14:paraId="16C8C5B1" w14:textId="77777777" w:rsidR="00AF64FD" w:rsidRPr="009C72E8" w:rsidRDefault="00816891">
      <w:pPr>
        <w:spacing w:line="360" w:lineRule="auto"/>
        <w:ind w:right="51"/>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 xml:space="preserve">Es decir, el </w:t>
      </w:r>
      <w:r w:rsidRPr="009C72E8">
        <w:rPr>
          <w:rFonts w:ascii="Palatino Linotype" w:eastAsia="Palatino Linotype" w:hAnsi="Palatino Linotype" w:cs="Palatino Linotype"/>
          <w:b/>
          <w:sz w:val="22"/>
          <w:szCs w:val="22"/>
        </w:rPr>
        <w:t>Sujeto Obligado</w:t>
      </w:r>
      <w:r w:rsidRPr="009C72E8">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w:t>
      </w:r>
      <w:r w:rsidRPr="009C72E8">
        <w:rPr>
          <w:rFonts w:ascii="Palatino Linotype" w:eastAsia="Palatino Linotype" w:hAnsi="Palatino Linotype" w:cs="Palatino Linotype"/>
          <w:sz w:val="22"/>
          <w:szCs w:val="22"/>
        </w:rPr>
        <w:lastRenderedPageBreak/>
        <w:t>documento ilegible, incompleto o tachado; en otras palabras si no se exponen de manera puntual las razones de la versión pública de la documentación entregada se estaría violentando el derecho de acceso a la información de la parte solicitante.</w:t>
      </w:r>
    </w:p>
    <w:p w14:paraId="2F54CA8E" w14:textId="77777777" w:rsidR="00AF64FD" w:rsidRPr="009C72E8" w:rsidRDefault="00AF64FD">
      <w:pPr>
        <w:spacing w:line="360" w:lineRule="auto"/>
        <w:ind w:right="51"/>
        <w:jc w:val="both"/>
        <w:rPr>
          <w:rFonts w:ascii="Palatino Linotype" w:eastAsia="Palatino Linotype" w:hAnsi="Palatino Linotype" w:cs="Palatino Linotype"/>
          <w:sz w:val="22"/>
          <w:szCs w:val="22"/>
        </w:rPr>
      </w:pPr>
    </w:p>
    <w:p w14:paraId="62EB665A" w14:textId="77777777" w:rsidR="00AF64FD" w:rsidRPr="009C72E8" w:rsidRDefault="00816891">
      <w:pPr>
        <w:spacing w:line="360" w:lineRule="auto"/>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 xml:space="preserve">Al respecto, se destaca que la versión pública que elabore el </w:t>
      </w:r>
      <w:r w:rsidRPr="009C72E8">
        <w:rPr>
          <w:rFonts w:ascii="Palatino Linotype" w:eastAsia="Palatino Linotype" w:hAnsi="Palatino Linotype" w:cs="Palatino Linotype"/>
          <w:b/>
          <w:sz w:val="22"/>
          <w:szCs w:val="22"/>
        </w:rPr>
        <w:t>SUJETO OBLIGADO</w:t>
      </w:r>
      <w:r w:rsidRPr="009C72E8">
        <w:rPr>
          <w:rFonts w:ascii="Palatino Linotype" w:eastAsia="Palatino Linotype" w:hAnsi="Palatino Linotype" w:cs="Palatino Linotype"/>
          <w:sz w:val="22"/>
          <w:szCs w:val="22"/>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9C72E8">
        <w:rPr>
          <w:rFonts w:ascii="Palatino Linotype" w:eastAsia="Palatino Linotype" w:hAnsi="Palatino Linotype" w:cs="Palatino Linotype"/>
          <w:b/>
          <w:sz w:val="22"/>
          <w:szCs w:val="22"/>
        </w:rPr>
        <w:t>LINEAMIENTOS GENERALES EN MATERIA DE CLASIFICACIÓN Y DESCLASIFICACIÓN DE LA INFORMACIÓN, ASÍ COMO PARA LA ELABORACIÓN DE VERSIONES PÚBLICAS</w:t>
      </w:r>
      <w:r w:rsidRPr="009C72E8">
        <w:rPr>
          <w:rFonts w:ascii="Palatino Linotype" w:eastAsia="Palatino Linotype" w:hAnsi="Palatino Linotype" w:cs="Palatino Linotype"/>
          <w:sz w:val="22"/>
          <w:szCs w:val="22"/>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7BC27072" w14:textId="77777777" w:rsidR="00AF64FD" w:rsidRPr="009C72E8" w:rsidRDefault="00AF64FD">
      <w:pPr>
        <w:spacing w:line="360" w:lineRule="auto"/>
        <w:ind w:left="709" w:right="709"/>
        <w:jc w:val="both"/>
        <w:rPr>
          <w:rFonts w:ascii="Palatino Linotype" w:eastAsia="Palatino Linotype" w:hAnsi="Palatino Linotype" w:cs="Palatino Linotype"/>
          <w:b/>
          <w:i/>
          <w:sz w:val="22"/>
          <w:szCs w:val="22"/>
        </w:rPr>
      </w:pPr>
    </w:p>
    <w:p w14:paraId="6D60B8E0" w14:textId="77777777" w:rsidR="00AF64FD" w:rsidRPr="009C72E8" w:rsidRDefault="00816891">
      <w:pPr>
        <w:pBdr>
          <w:top w:val="nil"/>
          <w:left w:val="nil"/>
          <w:bottom w:val="nil"/>
          <w:right w:val="nil"/>
          <w:between w:val="nil"/>
        </w:pBdr>
        <w:spacing w:line="360" w:lineRule="auto"/>
        <w:ind w:left="851" w:right="616"/>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32A16622" w14:textId="77777777" w:rsidR="00AF64FD" w:rsidRPr="009C72E8" w:rsidRDefault="00816891">
      <w:pPr>
        <w:pBdr>
          <w:top w:val="nil"/>
          <w:left w:val="nil"/>
          <w:bottom w:val="nil"/>
          <w:right w:val="nil"/>
          <w:between w:val="nil"/>
        </w:pBdr>
        <w:spacing w:line="360" w:lineRule="auto"/>
        <w:ind w:left="851" w:right="616"/>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i/>
          <w:sz w:val="22"/>
          <w:szCs w:val="22"/>
        </w:rPr>
        <w:t>“</w:t>
      </w:r>
      <w:r w:rsidRPr="009C72E8">
        <w:rPr>
          <w:rFonts w:ascii="Palatino Linotype" w:eastAsia="Palatino Linotype" w:hAnsi="Palatino Linotype" w:cs="Palatino Linotype"/>
          <w:b/>
          <w:i/>
          <w:sz w:val="22"/>
          <w:szCs w:val="22"/>
        </w:rPr>
        <w:t>Segundo.-</w:t>
      </w:r>
      <w:r w:rsidRPr="009C72E8">
        <w:rPr>
          <w:rFonts w:ascii="Palatino Linotype" w:eastAsia="Palatino Linotype" w:hAnsi="Palatino Linotype" w:cs="Palatino Linotype"/>
          <w:i/>
          <w:sz w:val="22"/>
          <w:szCs w:val="22"/>
        </w:rPr>
        <w:t xml:space="preserve"> Para efectos de los presentes Lineamientos Generales, se entenderá por:</w:t>
      </w:r>
    </w:p>
    <w:p w14:paraId="74D7EA75" w14:textId="77777777" w:rsidR="00AF64FD" w:rsidRPr="009C72E8" w:rsidRDefault="00816891">
      <w:pPr>
        <w:pBdr>
          <w:top w:val="nil"/>
          <w:left w:val="nil"/>
          <w:bottom w:val="nil"/>
          <w:right w:val="nil"/>
          <w:between w:val="nil"/>
        </w:pBdr>
        <w:spacing w:line="360" w:lineRule="auto"/>
        <w:ind w:left="851" w:right="616"/>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b/>
          <w:i/>
          <w:sz w:val="22"/>
          <w:szCs w:val="22"/>
        </w:rPr>
        <w:t>XVIII.</w:t>
      </w:r>
      <w:r w:rsidRPr="009C72E8">
        <w:rPr>
          <w:rFonts w:ascii="Palatino Linotype" w:eastAsia="Palatino Linotype" w:hAnsi="Palatino Linotype" w:cs="Palatino Linotype"/>
          <w:i/>
          <w:sz w:val="22"/>
          <w:szCs w:val="22"/>
        </w:rPr>
        <w:t xml:space="preserve"> </w:t>
      </w:r>
      <w:r w:rsidRPr="009C72E8">
        <w:rPr>
          <w:rFonts w:ascii="Palatino Linotype" w:eastAsia="Palatino Linotype" w:hAnsi="Palatino Linotype" w:cs="Palatino Linotype"/>
          <w:b/>
          <w:i/>
          <w:sz w:val="22"/>
          <w:szCs w:val="22"/>
        </w:rPr>
        <w:t>Versión pública:</w:t>
      </w:r>
      <w:r w:rsidRPr="009C72E8">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9C72E8">
        <w:rPr>
          <w:rFonts w:ascii="Palatino Linotype" w:eastAsia="Palatino Linotype" w:hAnsi="Palatino Linotype" w:cs="Palatino Linotype"/>
          <w:b/>
          <w:i/>
          <w:sz w:val="22"/>
          <w:szCs w:val="22"/>
          <w:u w:val="single"/>
        </w:rPr>
        <w:t>fundando y motivando la</w:t>
      </w:r>
      <w:r w:rsidRPr="009C72E8">
        <w:rPr>
          <w:rFonts w:ascii="Palatino Linotype" w:eastAsia="Palatino Linotype" w:hAnsi="Palatino Linotype" w:cs="Palatino Linotype"/>
          <w:i/>
          <w:sz w:val="22"/>
          <w:szCs w:val="22"/>
        </w:rPr>
        <w:t xml:space="preserve"> reserva o </w:t>
      </w:r>
      <w:r w:rsidRPr="009C72E8">
        <w:rPr>
          <w:rFonts w:ascii="Palatino Linotype" w:eastAsia="Palatino Linotype" w:hAnsi="Palatino Linotype" w:cs="Palatino Linotype"/>
          <w:b/>
          <w:i/>
          <w:sz w:val="22"/>
          <w:szCs w:val="22"/>
          <w:u w:val="single"/>
        </w:rPr>
        <w:t>confidencialidad</w:t>
      </w:r>
      <w:r w:rsidRPr="009C72E8">
        <w:rPr>
          <w:rFonts w:ascii="Palatino Linotype" w:eastAsia="Palatino Linotype" w:hAnsi="Palatino Linotype" w:cs="Palatino Linotype"/>
          <w:i/>
          <w:sz w:val="22"/>
          <w:szCs w:val="22"/>
        </w:rPr>
        <w:t>, a través de la resolución que para tal efecto emita el Comité de Transparencia.</w:t>
      </w:r>
    </w:p>
    <w:p w14:paraId="1A4A8EFB" w14:textId="77777777" w:rsidR="00AF64FD" w:rsidRPr="009C72E8" w:rsidRDefault="00816891">
      <w:pPr>
        <w:pBdr>
          <w:top w:val="nil"/>
          <w:left w:val="nil"/>
          <w:bottom w:val="nil"/>
          <w:right w:val="nil"/>
          <w:between w:val="nil"/>
        </w:pBdr>
        <w:spacing w:line="360" w:lineRule="auto"/>
        <w:ind w:left="851" w:right="616"/>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b/>
          <w:i/>
          <w:sz w:val="22"/>
          <w:szCs w:val="22"/>
        </w:rPr>
        <w:t>Cuarto.</w:t>
      </w:r>
      <w:r w:rsidRPr="009C72E8">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w:t>
      </w:r>
      <w:r w:rsidRPr="009C72E8">
        <w:rPr>
          <w:rFonts w:ascii="Palatino Linotype" w:eastAsia="Palatino Linotype" w:hAnsi="Palatino Linotype" w:cs="Palatino Linotype"/>
          <w:i/>
          <w:sz w:val="22"/>
          <w:szCs w:val="22"/>
        </w:rPr>
        <w:lastRenderedPageBreak/>
        <w:t>lineamientos, así como en aquellas disposiciones legales aplicables a la materia en el ámbito de sus respectivas competencias, en tanto estas últimas no contravengan lo dispuesto en la Ley General.</w:t>
      </w:r>
    </w:p>
    <w:p w14:paraId="395BEC0E" w14:textId="77777777" w:rsidR="00AF64FD" w:rsidRPr="009C72E8" w:rsidRDefault="00816891">
      <w:pPr>
        <w:pBdr>
          <w:top w:val="nil"/>
          <w:left w:val="nil"/>
          <w:bottom w:val="nil"/>
          <w:right w:val="nil"/>
          <w:between w:val="nil"/>
        </w:pBdr>
        <w:spacing w:line="360" w:lineRule="auto"/>
        <w:ind w:left="851" w:right="616"/>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167BA9C2" w14:textId="77777777" w:rsidR="00AF64FD" w:rsidRPr="009C72E8" w:rsidRDefault="00816891">
      <w:pPr>
        <w:pBdr>
          <w:top w:val="nil"/>
          <w:left w:val="nil"/>
          <w:bottom w:val="nil"/>
          <w:right w:val="nil"/>
          <w:between w:val="nil"/>
        </w:pBdr>
        <w:spacing w:line="360" w:lineRule="auto"/>
        <w:ind w:left="851" w:right="616"/>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b/>
          <w:i/>
          <w:sz w:val="22"/>
          <w:szCs w:val="22"/>
        </w:rPr>
        <w:t>Quinto.</w:t>
      </w:r>
      <w:r w:rsidRPr="009C72E8">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12C34B2" w14:textId="77777777" w:rsidR="00AF64FD" w:rsidRPr="009C72E8" w:rsidRDefault="00816891">
      <w:pPr>
        <w:pBdr>
          <w:top w:val="nil"/>
          <w:left w:val="nil"/>
          <w:bottom w:val="nil"/>
          <w:right w:val="nil"/>
          <w:between w:val="nil"/>
        </w:pBdr>
        <w:spacing w:line="360" w:lineRule="auto"/>
        <w:ind w:left="851" w:right="616"/>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b/>
          <w:i/>
          <w:sz w:val="22"/>
          <w:szCs w:val="22"/>
        </w:rPr>
        <w:t>…</w:t>
      </w:r>
    </w:p>
    <w:p w14:paraId="37EE5380" w14:textId="77777777" w:rsidR="00AF64FD" w:rsidRPr="009C72E8" w:rsidRDefault="00816891">
      <w:pPr>
        <w:pBdr>
          <w:top w:val="nil"/>
          <w:left w:val="nil"/>
          <w:bottom w:val="nil"/>
          <w:right w:val="nil"/>
          <w:between w:val="nil"/>
        </w:pBdr>
        <w:spacing w:line="360" w:lineRule="auto"/>
        <w:ind w:left="851" w:right="616"/>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b/>
          <w:i/>
          <w:sz w:val="22"/>
          <w:szCs w:val="22"/>
        </w:rPr>
        <w:t>Séptimo.</w:t>
      </w:r>
      <w:r w:rsidRPr="009C72E8">
        <w:rPr>
          <w:rFonts w:ascii="Palatino Linotype" w:eastAsia="Palatino Linotype" w:hAnsi="Palatino Linotype" w:cs="Palatino Linotype"/>
          <w:i/>
          <w:sz w:val="22"/>
          <w:szCs w:val="22"/>
        </w:rPr>
        <w:t xml:space="preserve"> La clasificación de la información se llevará a cabo en el momento en que:</w:t>
      </w:r>
    </w:p>
    <w:p w14:paraId="4D06303D" w14:textId="77777777" w:rsidR="00AF64FD" w:rsidRPr="009C72E8" w:rsidRDefault="00816891">
      <w:pPr>
        <w:pBdr>
          <w:top w:val="nil"/>
          <w:left w:val="nil"/>
          <w:bottom w:val="nil"/>
          <w:right w:val="nil"/>
          <w:between w:val="nil"/>
        </w:pBdr>
        <w:spacing w:line="360" w:lineRule="auto"/>
        <w:ind w:left="851" w:right="616"/>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b/>
          <w:i/>
          <w:sz w:val="22"/>
          <w:szCs w:val="22"/>
        </w:rPr>
        <w:t>I.</w:t>
      </w:r>
      <w:r w:rsidRPr="009C72E8">
        <w:rPr>
          <w:rFonts w:ascii="Palatino Linotype" w:eastAsia="Palatino Linotype" w:hAnsi="Palatino Linotype" w:cs="Palatino Linotype"/>
          <w:i/>
          <w:sz w:val="22"/>
          <w:szCs w:val="22"/>
        </w:rPr>
        <w:t xml:space="preserve"> Se reciba una solicitud de acceso a la información;</w:t>
      </w:r>
    </w:p>
    <w:p w14:paraId="01756CBB" w14:textId="77777777" w:rsidR="00AF64FD" w:rsidRPr="009C72E8" w:rsidRDefault="00816891">
      <w:pPr>
        <w:pBdr>
          <w:top w:val="nil"/>
          <w:left w:val="nil"/>
          <w:bottom w:val="nil"/>
          <w:right w:val="nil"/>
          <w:between w:val="nil"/>
        </w:pBdr>
        <w:spacing w:line="360" w:lineRule="auto"/>
        <w:ind w:left="851" w:right="616"/>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b/>
          <w:i/>
          <w:sz w:val="22"/>
          <w:szCs w:val="22"/>
        </w:rPr>
        <w:t>II.</w:t>
      </w:r>
      <w:r w:rsidRPr="009C72E8">
        <w:rPr>
          <w:rFonts w:ascii="Palatino Linotype" w:eastAsia="Palatino Linotype" w:hAnsi="Palatino Linotype" w:cs="Palatino Linotype"/>
          <w:i/>
          <w:sz w:val="22"/>
          <w:szCs w:val="22"/>
        </w:rPr>
        <w:t xml:space="preserve"> Se  determine mediante resolución del Comité de Transparencia, el órgano garante </w:t>
      </w:r>
    </w:p>
    <w:p w14:paraId="10D8E9E0" w14:textId="77777777" w:rsidR="00AF64FD" w:rsidRPr="009C72E8" w:rsidRDefault="00816891">
      <w:pPr>
        <w:pBdr>
          <w:top w:val="nil"/>
          <w:left w:val="nil"/>
          <w:bottom w:val="nil"/>
          <w:right w:val="nil"/>
          <w:between w:val="nil"/>
        </w:pBdr>
        <w:spacing w:line="360" w:lineRule="auto"/>
        <w:ind w:left="851" w:right="616"/>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i/>
          <w:sz w:val="22"/>
          <w:szCs w:val="22"/>
        </w:rPr>
        <w:t>competente, o en cumplimiento a una sentencia del Poder Judicial; o</w:t>
      </w:r>
    </w:p>
    <w:p w14:paraId="6C90E2BB" w14:textId="77777777" w:rsidR="00AF64FD" w:rsidRPr="009C72E8" w:rsidRDefault="00816891">
      <w:pPr>
        <w:pBdr>
          <w:top w:val="nil"/>
          <w:left w:val="nil"/>
          <w:bottom w:val="nil"/>
          <w:right w:val="nil"/>
          <w:between w:val="nil"/>
        </w:pBdr>
        <w:spacing w:line="360" w:lineRule="auto"/>
        <w:ind w:left="851" w:right="616"/>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b/>
          <w:i/>
          <w:sz w:val="22"/>
          <w:szCs w:val="22"/>
        </w:rPr>
        <w:t>III.</w:t>
      </w:r>
      <w:r w:rsidRPr="009C72E8">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0D5719A8" w14:textId="77777777" w:rsidR="00AF64FD" w:rsidRPr="009C72E8" w:rsidRDefault="00816891">
      <w:pPr>
        <w:pBdr>
          <w:top w:val="nil"/>
          <w:left w:val="nil"/>
          <w:bottom w:val="nil"/>
          <w:right w:val="nil"/>
          <w:between w:val="nil"/>
        </w:pBdr>
        <w:spacing w:line="360" w:lineRule="auto"/>
        <w:ind w:left="851" w:right="616"/>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61800BAF" w14:textId="77777777" w:rsidR="00AF64FD" w:rsidRPr="009C72E8" w:rsidRDefault="00816891">
      <w:pPr>
        <w:pBdr>
          <w:top w:val="nil"/>
          <w:left w:val="nil"/>
          <w:bottom w:val="nil"/>
          <w:right w:val="nil"/>
          <w:between w:val="nil"/>
        </w:pBdr>
        <w:spacing w:line="360" w:lineRule="auto"/>
        <w:ind w:left="851" w:right="616"/>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b/>
          <w:i/>
          <w:sz w:val="22"/>
          <w:szCs w:val="22"/>
        </w:rPr>
        <w:t>Octavo.</w:t>
      </w:r>
      <w:r w:rsidRPr="009C72E8">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84D279F" w14:textId="77777777" w:rsidR="00AF64FD" w:rsidRPr="009C72E8" w:rsidRDefault="00816891">
      <w:pPr>
        <w:pBdr>
          <w:top w:val="nil"/>
          <w:left w:val="nil"/>
          <w:bottom w:val="nil"/>
          <w:right w:val="nil"/>
          <w:between w:val="nil"/>
        </w:pBdr>
        <w:spacing w:line="360" w:lineRule="auto"/>
        <w:ind w:left="851" w:right="616"/>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i/>
          <w:sz w:val="22"/>
          <w:szCs w:val="22"/>
        </w:rPr>
        <w:lastRenderedPageBreak/>
        <w:t>Para motivar la clasificación se deberán señalar las razones o circunstancias especiales que lo llevaron a concluir que el caso particular se ajusta al supuesto previsto por la norma legal invocada como fundamento.</w:t>
      </w:r>
    </w:p>
    <w:p w14:paraId="12F5B995" w14:textId="77777777" w:rsidR="00AF64FD" w:rsidRPr="009C72E8" w:rsidRDefault="00816891">
      <w:pPr>
        <w:pBdr>
          <w:top w:val="nil"/>
          <w:left w:val="nil"/>
          <w:bottom w:val="nil"/>
          <w:right w:val="nil"/>
          <w:between w:val="nil"/>
        </w:pBdr>
        <w:spacing w:line="360" w:lineRule="auto"/>
        <w:ind w:left="851" w:right="616"/>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77DD5328" w14:textId="77777777" w:rsidR="00AF64FD" w:rsidRPr="009C72E8" w:rsidRDefault="00816891">
      <w:pPr>
        <w:pBdr>
          <w:top w:val="nil"/>
          <w:left w:val="nil"/>
          <w:bottom w:val="nil"/>
          <w:right w:val="nil"/>
          <w:between w:val="nil"/>
        </w:pBdr>
        <w:spacing w:line="360" w:lineRule="auto"/>
        <w:ind w:left="851" w:right="616"/>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b/>
          <w:i/>
          <w:sz w:val="22"/>
          <w:szCs w:val="22"/>
        </w:rPr>
        <w:t>Noveno.</w:t>
      </w:r>
      <w:r w:rsidRPr="009C72E8">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0CC110F" w14:textId="77777777" w:rsidR="00AF64FD" w:rsidRPr="009C72E8" w:rsidRDefault="00816891">
      <w:pPr>
        <w:pBdr>
          <w:top w:val="nil"/>
          <w:left w:val="nil"/>
          <w:bottom w:val="nil"/>
          <w:right w:val="nil"/>
          <w:between w:val="nil"/>
        </w:pBdr>
        <w:spacing w:line="360" w:lineRule="auto"/>
        <w:ind w:left="851" w:right="616"/>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b/>
          <w:i/>
          <w:sz w:val="22"/>
          <w:szCs w:val="22"/>
        </w:rPr>
        <w:t>Décimo.</w:t>
      </w:r>
      <w:r w:rsidRPr="009C72E8">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2FB712BD" w14:textId="77777777" w:rsidR="00AF64FD" w:rsidRPr="009C72E8" w:rsidRDefault="00816891">
      <w:pPr>
        <w:pBdr>
          <w:top w:val="nil"/>
          <w:left w:val="nil"/>
          <w:bottom w:val="nil"/>
          <w:right w:val="nil"/>
          <w:between w:val="nil"/>
        </w:pBdr>
        <w:spacing w:line="360" w:lineRule="auto"/>
        <w:ind w:left="851" w:right="616"/>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1D56AF89" w14:textId="77777777" w:rsidR="00AF64FD" w:rsidRPr="009C72E8" w:rsidRDefault="00816891">
      <w:pPr>
        <w:pBdr>
          <w:top w:val="nil"/>
          <w:left w:val="nil"/>
          <w:bottom w:val="nil"/>
          <w:right w:val="nil"/>
          <w:between w:val="nil"/>
        </w:pBdr>
        <w:spacing w:line="360" w:lineRule="auto"/>
        <w:ind w:left="851" w:right="616"/>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b/>
          <w:i/>
          <w:sz w:val="22"/>
          <w:szCs w:val="22"/>
        </w:rPr>
        <w:t>Décimo primero.</w:t>
      </w:r>
      <w:r w:rsidRPr="009C72E8">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2198D5B4" w14:textId="77777777" w:rsidR="00AF64FD" w:rsidRPr="009C72E8" w:rsidRDefault="00816891">
      <w:pPr>
        <w:pBdr>
          <w:top w:val="nil"/>
          <w:left w:val="nil"/>
          <w:bottom w:val="nil"/>
          <w:right w:val="nil"/>
          <w:between w:val="nil"/>
        </w:pBdr>
        <w:spacing w:line="360" w:lineRule="auto"/>
        <w:ind w:left="851" w:right="616"/>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i/>
          <w:sz w:val="22"/>
          <w:szCs w:val="22"/>
        </w:rPr>
        <w:t>[…]</w:t>
      </w:r>
    </w:p>
    <w:p w14:paraId="7F4B1BB0" w14:textId="77777777" w:rsidR="00AF64FD" w:rsidRPr="009C72E8" w:rsidRDefault="00816891">
      <w:pPr>
        <w:pBdr>
          <w:top w:val="nil"/>
          <w:left w:val="nil"/>
          <w:bottom w:val="nil"/>
          <w:right w:val="nil"/>
          <w:between w:val="nil"/>
        </w:pBdr>
        <w:spacing w:line="360" w:lineRule="auto"/>
        <w:ind w:left="851" w:right="616"/>
        <w:jc w:val="center"/>
        <w:rPr>
          <w:rFonts w:ascii="Palatino Linotype" w:eastAsia="Palatino Linotype" w:hAnsi="Palatino Linotype" w:cs="Palatino Linotype"/>
          <w:sz w:val="22"/>
          <w:szCs w:val="22"/>
        </w:rPr>
      </w:pPr>
      <w:r w:rsidRPr="009C72E8">
        <w:rPr>
          <w:rFonts w:ascii="Palatino Linotype" w:eastAsia="Palatino Linotype" w:hAnsi="Palatino Linotype" w:cs="Palatino Linotype"/>
          <w:b/>
          <w:i/>
          <w:sz w:val="22"/>
          <w:szCs w:val="22"/>
        </w:rPr>
        <w:t>CAPÍTULO VIII</w:t>
      </w:r>
    </w:p>
    <w:p w14:paraId="7F722775" w14:textId="77777777" w:rsidR="00AF64FD" w:rsidRPr="009C72E8" w:rsidRDefault="00816891">
      <w:pPr>
        <w:pBdr>
          <w:top w:val="nil"/>
          <w:left w:val="nil"/>
          <w:bottom w:val="nil"/>
          <w:right w:val="nil"/>
          <w:between w:val="nil"/>
        </w:pBdr>
        <w:spacing w:line="360" w:lineRule="auto"/>
        <w:ind w:left="851" w:right="616"/>
        <w:jc w:val="center"/>
        <w:rPr>
          <w:rFonts w:ascii="Palatino Linotype" w:eastAsia="Palatino Linotype" w:hAnsi="Palatino Linotype" w:cs="Palatino Linotype"/>
          <w:b/>
          <w:i/>
          <w:sz w:val="22"/>
          <w:szCs w:val="22"/>
        </w:rPr>
      </w:pPr>
      <w:r w:rsidRPr="009C72E8">
        <w:rPr>
          <w:rFonts w:ascii="Palatino Linotype" w:eastAsia="Palatino Linotype" w:hAnsi="Palatino Linotype" w:cs="Palatino Linotype"/>
          <w:b/>
          <w:i/>
          <w:sz w:val="22"/>
          <w:szCs w:val="22"/>
        </w:rPr>
        <w:lastRenderedPageBreak/>
        <w:t>DE LOS ELEMENTOS PARA LA CLASIFICACIÓN</w:t>
      </w:r>
    </w:p>
    <w:p w14:paraId="5960A71E" w14:textId="77777777" w:rsidR="00AF64FD" w:rsidRPr="009C72E8" w:rsidRDefault="00816891">
      <w:pPr>
        <w:pBdr>
          <w:top w:val="nil"/>
          <w:left w:val="nil"/>
          <w:bottom w:val="nil"/>
          <w:right w:val="nil"/>
          <w:between w:val="nil"/>
        </w:pBdr>
        <w:spacing w:line="360" w:lineRule="auto"/>
        <w:ind w:left="851" w:right="616"/>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b/>
          <w:i/>
          <w:sz w:val="22"/>
          <w:szCs w:val="22"/>
        </w:rPr>
        <w:t>Quincuagésimo</w:t>
      </w:r>
      <w:r w:rsidRPr="009C72E8">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6BF80E3A" w14:textId="77777777" w:rsidR="00AF64FD" w:rsidRPr="009C72E8" w:rsidRDefault="00816891">
      <w:pPr>
        <w:pBdr>
          <w:top w:val="nil"/>
          <w:left w:val="nil"/>
          <w:bottom w:val="nil"/>
          <w:right w:val="nil"/>
          <w:between w:val="nil"/>
        </w:pBdr>
        <w:spacing w:line="360" w:lineRule="auto"/>
        <w:ind w:left="851" w:right="616"/>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b/>
          <w:i/>
          <w:sz w:val="22"/>
          <w:szCs w:val="22"/>
        </w:rPr>
        <w:t>Quincuagésimo primero</w:t>
      </w:r>
      <w:r w:rsidRPr="009C72E8">
        <w:rPr>
          <w:rFonts w:ascii="Palatino Linotype" w:eastAsia="Palatino Linotype" w:hAnsi="Palatino Linotype" w:cs="Palatino Linotype"/>
          <w:i/>
          <w:sz w:val="22"/>
          <w:szCs w:val="22"/>
        </w:rPr>
        <w:t>. Toda acta del Comité de Transparencia deberá contener:</w:t>
      </w:r>
    </w:p>
    <w:p w14:paraId="2646A93A" w14:textId="77777777" w:rsidR="00AF64FD" w:rsidRPr="009C72E8" w:rsidRDefault="00816891">
      <w:pPr>
        <w:pBdr>
          <w:top w:val="nil"/>
          <w:left w:val="nil"/>
          <w:bottom w:val="nil"/>
          <w:right w:val="nil"/>
          <w:between w:val="nil"/>
        </w:pBdr>
        <w:spacing w:line="360" w:lineRule="auto"/>
        <w:ind w:left="851" w:right="616"/>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i/>
          <w:sz w:val="22"/>
          <w:szCs w:val="22"/>
        </w:rPr>
        <w:t xml:space="preserve">I. El número de sesión y fecha; </w:t>
      </w:r>
    </w:p>
    <w:p w14:paraId="7FD6EE1C" w14:textId="77777777" w:rsidR="00AF64FD" w:rsidRPr="009C72E8" w:rsidRDefault="00816891">
      <w:pPr>
        <w:pBdr>
          <w:top w:val="nil"/>
          <w:left w:val="nil"/>
          <w:bottom w:val="nil"/>
          <w:right w:val="nil"/>
          <w:between w:val="nil"/>
        </w:pBdr>
        <w:spacing w:line="360" w:lineRule="auto"/>
        <w:ind w:left="851" w:right="616"/>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i/>
          <w:sz w:val="22"/>
          <w:szCs w:val="22"/>
        </w:rPr>
        <w:t>II. El nombre del área que solicitó la clasificación de información;</w:t>
      </w:r>
    </w:p>
    <w:p w14:paraId="7379926B" w14:textId="77777777" w:rsidR="00AF64FD" w:rsidRPr="009C72E8" w:rsidRDefault="00816891">
      <w:pPr>
        <w:pBdr>
          <w:top w:val="nil"/>
          <w:left w:val="nil"/>
          <w:bottom w:val="nil"/>
          <w:right w:val="nil"/>
          <w:between w:val="nil"/>
        </w:pBdr>
        <w:spacing w:line="360" w:lineRule="auto"/>
        <w:ind w:left="851" w:right="616"/>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i/>
          <w:sz w:val="22"/>
          <w:szCs w:val="22"/>
        </w:rPr>
        <w:t>III. La fundamentación legal y motivación correspondiente;</w:t>
      </w:r>
    </w:p>
    <w:p w14:paraId="19F30298" w14:textId="77777777" w:rsidR="00AF64FD" w:rsidRPr="009C72E8" w:rsidRDefault="00816891">
      <w:pPr>
        <w:pBdr>
          <w:top w:val="nil"/>
          <w:left w:val="nil"/>
          <w:bottom w:val="nil"/>
          <w:right w:val="nil"/>
          <w:between w:val="nil"/>
        </w:pBdr>
        <w:spacing w:line="360" w:lineRule="auto"/>
        <w:ind w:left="851" w:right="616"/>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i/>
          <w:sz w:val="22"/>
          <w:szCs w:val="22"/>
        </w:rPr>
        <w:t>IV. La resolución o resoluciones aprobadas; y</w:t>
      </w:r>
    </w:p>
    <w:p w14:paraId="1AB72E1A" w14:textId="77777777" w:rsidR="00AF64FD" w:rsidRPr="009C72E8" w:rsidRDefault="00816891">
      <w:pPr>
        <w:pBdr>
          <w:top w:val="nil"/>
          <w:left w:val="nil"/>
          <w:bottom w:val="nil"/>
          <w:right w:val="nil"/>
          <w:between w:val="nil"/>
        </w:pBdr>
        <w:spacing w:line="360" w:lineRule="auto"/>
        <w:ind w:left="851" w:right="616"/>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i/>
          <w:sz w:val="22"/>
          <w:szCs w:val="22"/>
        </w:rPr>
        <w:t xml:space="preserve">V. La rúbrica o firma digital de cada integrante del Comité de Transparencia. </w:t>
      </w:r>
    </w:p>
    <w:p w14:paraId="00706DB9" w14:textId="77777777" w:rsidR="00AF64FD" w:rsidRPr="009C72E8" w:rsidRDefault="00816891">
      <w:pPr>
        <w:pBdr>
          <w:top w:val="nil"/>
          <w:left w:val="nil"/>
          <w:bottom w:val="nil"/>
          <w:right w:val="nil"/>
          <w:between w:val="nil"/>
        </w:pBdr>
        <w:spacing w:line="360" w:lineRule="auto"/>
        <w:ind w:left="851" w:right="616"/>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742DF040" w14:textId="77777777" w:rsidR="00AF64FD" w:rsidRPr="009C72E8" w:rsidRDefault="00816891">
      <w:pPr>
        <w:pBdr>
          <w:top w:val="nil"/>
          <w:left w:val="nil"/>
          <w:bottom w:val="nil"/>
          <w:right w:val="nil"/>
          <w:between w:val="nil"/>
        </w:pBdr>
        <w:spacing w:line="360" w:lineRule="auto"/>
        <w:ind w:left="851" w:right="616"/>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i/>
          <w:sz w:val="22"/>
          <w:szCs w:val="22"/>
        </w:rPr>
        <w:t>I. Los motivos y razonamientos que sustenten la confirmación o modificación de la prueba de daño;</w:t>
      </w:r>
    </w:p>
    <w:p w14:paraId="2166C13D" w14:textId="77777777" w:rsidR="00AF64FD" w:rsidRPr="009C72E8" w:rsidRDefault="00816891">
      <w:pPr>
        <w:pBdr>
          <w:top w:val="nil"/>
          <w:left w:val="nil"/>
          <w:bottom w:val="nil"/>
          <w:right w:val="nil"/>
          <w:between w:val="nil"/>
        </w:pBdr>
        <w:spacing w:line="360" w:lineRule="auto"/>
        <w:ind w:left="851" w:right="616"/>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i/>
          <w:sz w:val="22"/>
          <w:szCs w:val="22"/>
        </w:rPr>
        <w:t>II. Descripción de las partes o secciones reservadas, en caso de clasificación parcial;</w:t>
      </w:r>
    </w:p>
    <w:p w14:paraId="7E0FF515" w14:textId="77777777" w:rsidR="00AF64FD" w:rsidRPr="009C72E8" w:rsidRDefault="00816891">
      <w:pPr>
        <w:pBdr>
          <w:top w:val="nil"/>
          <w:left w:val="nil"/>
          <w:bottom w:val="nil"/>
          <w:right w:val="nil"/>
          <w:between w:val="nil"/>
        </w:pBdr>
        <w:spacing w:line="360" w:lineRule="auto"/>
        <w:ind w:left="851" w:right="616"/>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i/>
          <w:sz w:val="22"/>
          <w:szCs w:val="22"/>
        </w:rPr>
        <w:t>III. El periodo por el que mantendrá su clasificación y fecha de expiración; y</w:t>
      </w:r>
    </w:p>
    <w:p w14:paraId="453A221C" w14:textId="77777777" w:rsidR="00AF64FD" w:rsidRPr="009C72E8" w:rsidRDefault="00816891">
      <w:pPr>
        <w:pBdr>
          <w:top w:val="nil"/>
          <w:left w:val="nil"/>
          <w:bottom w:val="nil"/>
          <w:right w:val="nil"/>
          <w:between w:val="nil"/>
        </w:pBdr>
        <w:spacing w:line="360" w:lineRule="auto"/>
        <w:ind w:left="851" w:right="616"/>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i/>
          <w:sz w:val="22"/>
          <w:szCs w:val="22"/>
        </w:rPr>
        <w:t>IV. El nombre del titular y área encargada de realizar la versión pública del documento, en su caso.</w:t>
      </w:r>
    </w:p>
    <w:p w14:paraId="623B7332" w14:textId="77777777" w:rsidR="00AF64FD" w:rsidRPr="009C72E8" w:rsidRDefault="00816891">
      <w:pPr>
        <w:pBdr>
          <w:top w:val="nil"/>
          <w:left w:val="nil"/>
          <w:bottom w:val="nil"/>
          <w:right w:val="nil"/>
          <w:between w:val="nil"/>
        </w:pBdr>
        <w:spacing w:after="160" w:line="360" w:lineRule="auto"/>
        <w:ind w:left="851" w:right="616"/>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1DBF3C01" w14:textId="77777777" w:rsidR="00AF64FD" w:rsidRPr="009C72E8" w:rsidRDefault="00816891">
      <w:pPr>
        <w:pBdr>
          <w:top w:val="nil"/>
          <w:left w:val="nil"/>
          <w:bottom w:val="nil"/>
          <w:right w:val="nil"/>
          <w:between w:val="nil"/>
        </w:pBdr>
        <w:spacing w:after="160" w:line="360" w:lineRule="auto"/>
        <w:ind w:left="851" w:right="616"/>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4C6DA8FC" w14:textId="77777777" w:rsidR="00AF64FD" w:rsidRPr="009C72E8" w:rsidRDefault="00816891">
      <w:pPr>
        <w:pBdr>
          <w:top w:val="nil"/>
          <w:left w:val="nil"/>
          <w:bottom w:val="nil"/>
          <w:right w:val="nil"/>
          <w:between w:val="nil"/>
        </w:pBdr>
        <w:spacing w:after="160" w:line="360" w:lineRule="auto"/>
        <w:ind w:left="851" w:right="616"/>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b/>
          <w:i/>
          <w:sz w:val="22"/>
          <w:szCs w:val="22"/>
        </w:rPr>
        <w:t>Quincuagésimo segundo</w:t>
      </w:r>
      <w:r w:rsidRPr="009C72E8">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w:t>
      </w:r>
      <w:r w:rsidRPr="009C72E8">
        <w:rPr>
          <w:rFonts w:ascii="Palatino Linotype" w:eastAsia="Palatino Linotype" w:hAnsi="Palatino Linotype" w:cs="Palatino Linotype"/>
          <w:i/>
          <w:sz w:val="22"/>
          <w:szCs w:val="22"/>
        </w:rPr>
        <w:lastRenderedPageBreak/>
        <w:t>áreas de los sujetos obligados deberán tomar las medidas pertinentes tendientes a asegurar que el espacio utilizado para testar la información no podrá ser empleado para la sobreposición de contenido distinto al autorizado por el Comité.</w:t>
      </w:r>
    </w:p>
    <w:p w14:paraId="25F8B559" w14:textId="77777777" w:rsidR="00AF64FD" w:rsidRPr="009C72E8" w:rsidRDefault="00816891">
      <w:pPr>
        <w:pBdr>
          <w:top w:val="nil"/>
          <w:left w:val="nil"/>
          <w:bottom w:val="nil"/>
          <w:right w:val="nil"/>
          <w:between w:val="nil"/>
        </w:pBdr>
        <w:spacing w:after="160" w:line="360" w:lineRule="auto"/>
        <w:ind w:left="851" w:right="616"/>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5151DD17" w14:textId="77777777" w:rsidR="00AF64FD" w:rsidRPr="009C72E8" w:rsidRDefault="00816891">
      <w:pPr>
        <w:pBdr>
          <w:top w:val="nil"/>
          <w:left w:val="nil"/>
          <w:bottom w:val="nil"/>
          <w:right w:val="nil"/>
          <w:between w:val="nil"/>
        </w:pBdr>
        <w:spacing w:after="160" w:line="360" w:lineRule="auto"/>
        <w:ind w:left="851" w:right="616"/>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4C9B9951" w14:textId="77777777" w:rsidR="00AF64FD" w:rsidRPr="009C72E8" w:rsidRDefault="00816891">
      <w:pPr>
        <w:pBdr>
          <w:top w:val="nil"/>
          <w:left w:val="nil"/>
          <w:bottom w:val="nil"/>
          <w:right w:val="nil"/>
          <w:between w:val="nil"/>
        </w:pBdr>
        <w:spacing w:after="160" w:line="360" w:lineRule="auto"/>
        <w:ind w:left="851" w:right="616"/>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085589BA" w14:textId="77777777" w:rsidR="00AF64FD" w:rsidRPr="009C72E8" w:rsidRDefault="00816891">
      <w:pPr>
        <w:pBdr>
          <w:top w:val="nil"/>
          <w:left w:val="nil"/>
          <w:bottom w:val="nil"/>
          <w:right w:val="nil"/>
          <w:between w:val="nil"/>
        </w:pBdr>
        <w:spacing w:after="160" w:line="360" w:lineRule="auto"/>
        <w:ind w:left="851" w:right="616"/>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i/>
          <w:sz w:val="22"/>
          <w:szCs w:val="22"/>
        </w:rPr>
        <w:t>III. Señalar las personas o instancias autorizadas a acceder a la información clasificada.</w:t>
      </w:r>
    </w:p>
    <w:p w14:paraId="54915B1E" w14:textId="77777777" w:rsidR="00AF64FD" w:rsidRPr="009C72E8" w:rsidRDefault="00816891">
      <w:pPr>
        <w:pBdr>
          <w:top w:val="nil"/>
          <w:left w:val="nil"/>
          <w:bottom w:val="nil"/>
          <w:right w:val="nil"/>
          <w:between w:val="nil"/>
        </w:pBdr>
        <w:spacing w:after="160" w:line="360" w:lineRule="auto"/>
        <w:ind w:left="851" w:right="616"/>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676170BA" w14:textId="77777777" w:rsidR="00AF64FD" w:rsidRPr="009C72E8" w:rsidRDefault="00816891">
      <w:pPr>
        <w:pBdr>
          <w:top w:val="nil"/>
          <w:left w:val="nil"/>
          <w:bottom w:val="nil"/>
          <w:right w:val="nil"/>
          <w:between w:val="nil"/>
        </w:pBdr>
        <w:spacing w:after="160" w:line="360" w:lineRule="auto"/>
        <w:ind w:left="851" w:right="709"/>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i/>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202E7FD1" w14:textId="77777777" w:rsidR="00AF64FD" w:rsidRPr="009C72E8" w:rsidRDefault="00816891">
      <w:pPr>
        <w:pBdr>
          <w:top w:val="nil"/>
          <w:left w:val="nil"/>
          <w:bottom w:val="nil"/>
          <w:right w:val="nil"/>
          <w:between w:val="nil"/>
        </w:pBdr>
        <w:spacing w:after="160" w:line="360" w:lineRule="auto"/>
        <w:ind w:left="851" w:right="709"/>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i/>
          <w:sz w:val="22"/>
          <w:szCs w:val="22"/>
        </w:rPr>
        <w:t xml:space="preserve">Quincuagésimo quinto. Cada área del sujeto obligado podrá designar formalmente a una o más personas como responsables del </w:t>
      </w:r>
      <w:proofErr w:type="spellStart"/>
      <w:r w:rsidRPr="009C72E8">
        <w:rPr>
          <w:rFonts w:ascii="Palatino Linotype" w:eastAsia="Palatino Linotype" w:hAnsi="Palatino Linotype" w:cs="Palatino Linotype"/>
          <w:i/>
          <w:sz w:val="22"/>
          <w:szCs w:val="22"/>
        </w:rPr>
        <w:t>testado</w:t>
      </w:r>
      <w:proofErr w:type="spellEnd"/>
      <w:r w:rsidRPr="009C72E8">
        <w:rPr>
          <w:rFonts w:ascii="Palatino Linotype" w:eastAsia="Palatino Linotype" w:hAnsi="Palatino Linotype" w:cs="Palatino Linotype"/>
          <w:i/>
          <w:sz w:val="22"/>
          <w:szCs w:val="22"/>
        </w:rPr>
        <w:t xml:space="preserve">, que sean encargadas de la adecuada elaboración o supervisión de las versiones públicas de los documentos o expedientes, verificando que cumplan con los requisitos señalados en las Leyes Generales, los </w:t>
      </w:r>
      <w:r w:rsidRPr="009C72E8">
        <w:rPr>
          <w:rFonts w:ascii="Palatino Linotype" w:eastAsia="Palatino Linotype" w:hAnsi="Palatino Linotype" w:cs="Palatino Linotype"/>
          <w:i/>
          <w:sz w:val="22"/>
          <w:szCs w:val="22"/>
        </w:rPr>
        <w:lastRenderedPageBreak/>
        <w:t>presentes Lineamientos y demás normativa aplicable antes de su confirmación por el Comité de Transparencia.” (Sic)</w:t>
      </w:r>
    </w:p>
    <w:p w14:paraId="32EA2C26" w14:textId="77777777" w:rsidR="00AF64FD" w:rsidRPr="009C72E8" w:rsidRDefault="00AF64FD">
      <w:pPr>
        <w:spacing w:line="360" w:lineRule="auto"/>
        <w:jc w:val="both"/>
        <w:rPr>
          <w:rFonts w:ascii="Palatino Linotype" w:eastAsia="Palatino Linotype" w:hAnsi="Palatino Linotype" w:cs="Palatino Linotype"/>
          <w:sz w:val="22"/>
          <w:szCs w:val="22"/>
        </w:rPr>
      </w:pPr>
    </w:p>
    <w:p w14:paraId="5CAC829F" w14:textId="77777777" w:rsidR="00AF64FD" w:rsidRPr="009C72E8" w:rsidRDefault="00816891">
      <w:pPr>
        <w:spacing w:line="360" w:lineRule="auto"/>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 xml:space="preserve">Efectivamente, cuando se clasifica información como confidencial es importante someterlo al Comité de Transparencia, quien debe confirmar, modificar o revocar la clasificación. </w:t>
      </w:r>
    </w:p>
    <w:p w14:paraId="611BFF47" w14:textId="77777777" w:rsidR="00AF64FD" w:rsidRPr="009C72E8" w:rsidRDefault="00816891">
      <w:pPr>
        <w:spacing w:before="240" w:after="240" w:line="360" w:lineRule="auto"/>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 xml:space="preserve">Derivado de la información que se ordena entregar pudiera existir información de la Dirección de Seguridad Pública del Ayuntamiento o su equivalente,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w:t>
      </w:r>
      <w:r w:rsidRPr="009C72E8">
        <w:rPr>
          <w:rFonts w:ascii="Palatino Linotype" w:eastAsia="Palatino Linotype" w:hAnsi="Palatino Linotype" w:cs="Palatino Linotype"/>
          <w:b/>
          <w:sz w:val="22"/>
          <w:szCs w:val="22"/>
          <w:u w:val="single"/>
        </w:rPr>
        <w:t>sólo por cuanto hace al nombre</w:t>
      </w:r>
      <w:r w:rsidRPr="009C72E8">
        <w:rPr>
          <w:rFonts w:ascii="Palatino Linotype" w:eastAsia="Palatino Linotype" w:hAnsi="Palatino Linotype" w:cs="Palatino Linotype"/>
          <w:b/>
          <w:sz w:val="22"/>
          <w:szCs w:val="22"/>
        </w:rPr>
        <w:t xml:space="preserve">, </w:t>
      </w:r>
      <w:r w:rsidRPr="009C72E8">
        <w:rPr>
          <w:rFonts w:ascii="Palatino Linotype" w:eastAsia="Palatino Linotype" w:hAnsi="Palatino Linotype" w:cs="Palatino Linotype"/>
          <w:sz w:val="22"/>
          <w:szCs w:val="22"/>
        </w:rPr>
        <w:t xml:space="preserve">dejando intocable el rubro de percepciones que por su naturaleza conciernen a la ciudadanía por referirse a recursos de carácter público; circunstancia que en nada afecta al derecho tutelado por este Organismo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 </w:t>
      </w:r>
      <w:r w:rsidRPr="009C72E8">
        <w:rPr>
          <w:rFonts w:ascii="Palatino Linotype" w:eastAsia="Palatino Linotype" w:hAnsi="Palatino Linotype" w:cs="Palatino Linotype"/>
          <w:b/>
          <w:sz w:val="22"/>
          <w:szCs w:val="22"/>
        </w:rPr>
        <w:t>que desempeñen funciones operativas</w:t>
      </w:r>
      <w:r w:rsidRPr="009C72E8">
        <w:rPr>
          <w:rFonts w:ascii="Palatino Linotype" w:eastAsia="Palatino Linotype" w:hAnsi="Palatino Linotype" w:cs="Palatino Linotype"/>
          <w:sz w:val="22"/>
          <w:szCs w:val="22"/>
        </w:rPr>
        <w:t>.</w:t>
      </w:r>
    </w:p>
    <w:p w14:paraId="0A1D27C1" w14:textId="77777777" w:rsidR="00AF64FD" w:rsidRPr="009C72E8" w:rsidRDefault="00816891">
      <w:pPr>
        <w:spacing w:before="240" w:after="240" w:line="360" w:lineRule="auto"/>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 xml:space="preserve">Al respecto, la información </w:t>
      </w:r>
      <w:r w:rsidRPr="009C72E8">
        <w:rPr>
          <w:rFonts w:ascii="Palatino Linotype" w:eastAsia="Palatino Linotype" w:hAnsi="Palatino Linotype" w:cs="Palatino Linotype"/>
          <w:b/>
          <w:sz w:val="22"/>
          <w:szCs w:val="22"/>
        </w:rPr>
        <w:t>de los elementos que realizan funciones operativas, entre ellos su nombre y cargo, deben ser protegidos</w:t>
      </w:r>
      <w:r w:rsidRPr="009C72E8">
        <w:rPr>
          <w:rFonts w:ascii="Palatino Linotype" w:eastAsia="Palatino Linotype" w:hAnsi="Palatino Linotype" w:cs="Palatino Linotype"/>
          <w:sz w:val="22"/>
          <w:szCs w:val="22"/>
        </w:rPr>
        <w:t xml:space="preserve"> con la finalidad de evitar la identificación de las personas al amparo de la protección a la vida, salud y seguridad; porque los miembros de las instituciones policiales o que realizan actividades operativas en materia de seguridad pública, se encuentran en un régimen de excepción a diferencia de los servidores públicos con funciones administrativas, ello obedece a que el sólo ejercicio de las funciones que tienen encomendadas lleva implícito el riesgo a su integridad, toda vez que son responsables de </w:t>
      </w:r>
      <w:r w:rsidRPr="009C72E8">
        <w:rPr>
          <w:rFonts w:ascii="Palatino Linotype" w:eastAsia="Palatino Linotype" w:hAnsi="Palatino Linotype" w:cs="Palatino Linotype"/>
          <w:sz w:val="22"/>
          <w:szCs w:val="22"/>
        </w:rPr>
        <w:lastRenderedPageBreak/>
        <w:t>procurar el orden, la estabilidad y la defensa de la sociedad a la que pertenecen, lo que se traduce en la prevención de delitos y combate a los delincuentes.</w:t>
      </w:r>
    </w:p>
    <w:p w14:paraId="1B8ACC3D" w14:textId="77777777" w:rsidR="00AF64FD" w:rsidRPr="009C72E8" w:rsidRDefault="00816891">
      <w:pPr>
        <w:spacing w:before="240" w:after="240" w:line="360" w:lineRule="auto"/>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vigente a la fecha de presentación de la solicitud, así como los requisitos previstos por los numerales Vigésimo tercero y Trigésimo tercero, de los Lineamientos generales en materia de clasificación y desclasificación de la información, así como para la elaboración de versiones públicas, vigentes a la fecha de presentación de la solicitud, al aplicar la prueba de daño correspondiente.</w:t>
      </w:r>
    </w:p>
    <w:p w14:paraId="36CA11AF" w14:textId="77777777" w:rsidR="00AF64FD" w:rsidRPr="009C72E8" w:rsidRDefault="00816891">
      <w:pPr>
        <w:spacing w:before="240" w:after="240" w:line="360" w:lineRule="auto"/>
        <w:jc w:val="both"/>
        <w:rPr>
          <w:rFonts w:ascii="Palatino Linotype" w:eastAsia="Palatino Linotype" w:hAnsi="Palatino Linotype" w:cs="Palatino Linotype"/>
          <w:b/>
          <w:sz w:val="22"/>
          <w:szCs w:val="22"/>
        </w:rPr>
      </w:pPr>
      <w:r w:rsidRPr="009C72E8">
        <w:rPr>
          <w:rFonts w:ascii="Palatino Linotype" w:eastAsia="Palatino Linotype" w:hAnsi="Palatino Linotype" w:cs="Palatino Linotype"/>
          <w:sz w:val="22"/>
          <w:szCs w:val="22"/>
        </w:rPr>
        <w:t xml:space="preserve">Como sustento de lo anterior, es preciso mencionar que el </w:t>
      </w:r>
      <w:r w:rsidRPr="009C72E8">
        <w:rPr>
          <w:rFonts w:ascii="Palatino Linotype" w:eastAsia="Palatino Linotype" w:hAnsi="Palatino Linotype" w:cs="Palatino Linotype"/>
          <w:b/>
          <w:sz w:val="22"/>
          <w:szCs w:val="22"/>
        </w:rPr>
        <w:t xml:space="preserve">actual Pleno de este Instituto ha sostenido el criterio de no dar a conocer los nombres de aquellos servidores públicos que realizan funciones operativas en materia de seguridad pública, </w:t>
      </w:r>
      <w:r w:rsidRPr="009C72E8">
        <w:rPr>
          <w:rFonts w:ascii="Palatino Linotype" w:eastAsia="Palatino Linotype" w:hAnsi="Palatino Linotype" w:cs="Palatino Linotype"/>
          <w:sz w:val="22"/>
          <w:szCs w:val="22"/>
        </w:rPr>
        <w:t xml:space="preserve">pues los vuelve identificables y posiblemente reconocibles para grupos delictivos, que pudieran relacionarlos directamente con actividades u operativos pasados, presentes o ubicarlos simplemente por el hecho de pertenecer a una organización que lleva a cabo actividades de prevención y salvaguarda de la integridad de las personas en el combate a la delincuencia; así, dicha información puede ser utilizada para </w:t>
      </w:r>
      <w:r w:rsidRPr="009C72E8">
        <w:rPr>
          <w:rFonts w:ascii="Palatino Linotype" w:eastAsia="Palatino Linotype" w:hAnsi="Palatino Linotype" w:cs="Palatino Linotype"/>
          <w:b/>
          <w:sz w:val="22"/>
          <w:szCs w:val="22"/>
        </w:rPr>
        <w:t xml:space="preserve">vulnerar la vida, seguridad o salud de dichos elementos, incluso la de sus familias o entorno social. </w:t>
      </w:r>
    </w:p>
    <w:p w14:paraId="01153208" w14:textId="77777777" w:rsidR="00AF64FD" w:rsidRPr="009C72E8" w:rsidRDefault="00816891">
      <w:pPr>
        <w:spacing w:before="240" w:after="240" w:line="360" w:lineRule="auto"/>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 xml:space="preserve">En tal contexto, es procedente la clasificación del nombre de los elementos operativos como información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w:t>
      </w:r>
      <w:r w:rsidRPr="009C72E8">
        <w:rPr>
          <w:rFonts w:ascii="Palatino Linotype" w:eastAsia="Palatino Linotype" w:hAnsi="Palatino Linotype" w:cs="Palatino Linotype"/>
          <w:sz w:val="22"/>
          <w:szCs w:val="22"/>
        </w:rPr>
        <w:lastRenderedPageBreak/>
        <w:t>materia de seguridad pública para la preservación del orden y la paz pública, por lo que, no se trata de una medida desproporcional, ni excesiva.</w:t>
      </w:r>
    </w:p>
    <w:p w14:paraId="252D0D03" w14:textId="77777777" w:rsidR="00AF64FD" w:rsidRPr="009C72E8" w:rsidRDefault="00816891">
      <w:pPr>
        <w:spacing w:before="240" w:after="240" w:line="360" w:lineRule="auto"/>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En ese entendido, la leyenda de clasificación que se genere, deberá establecer ambos supuestos de clasificación: reserva y confidencialidad, en congruencia con los requisitos establecidos en los lineamientos citados.</w:t>
      </w:r>
    </w:p>
    <w:p w14:paraId="4C58F718" w14:textId="77777777" w:rsidR="00AF64FD" w:rsidRPr="009C72E8" w:rsidRDefault="00816891">
      <w:pPr>
        <w:spacing w:before="120" w:after="120" w:line="360" w:lineRule="auto"/>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orientador histórico 06/09, emitido por el entonces Instituto Federal de Acceso a la Información y Protección de Datos, que establece lo siguiente:</w:t>
      </w:r>
    </w:p>
    <w:p w14:paraId="0C0C323F" w14:textId="77777777" w:rsidR="00AF64FD" w:rsidRPr="009C72E8" w:rsidRDefault="00816891">
      <w:pPr>
        <w:tabs>
          <w:tab w:val="left" w:pos="4962"/>
        </w:tabs>
        <w:spacing w:before="120" w:after="120"/>
        <w:ind w:left="851" w:right="902"/>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b/>
          <w:i/>
          <w:sz w:val="22"/>
          <w:szCs w:val="22"/>
        </w:rPr>
        <w:t>“Nombres de servidores públicos dedicados a actividades en materia de seguridad, por excepción pueden considerarse información reservada.</w:t>
      </w:r>
      <w:r w:rsidRPr="009C72E8">
        <w:rPr>
          <w:rFonts w:ascii="Palatino Linotype" w:eastAsia="Palatino Linotype" w:hAnsi="Palatino Linotype" w:cs="Palatino Linotype"/>
          <w:i/>
          <w:sz w:val="22"/>
          <w:szCs w:val="22"/>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w:t>
      </w:r>
      <w:r w:rsidRPr="009C72E8">
        <w:rPr>
          <w:rFonts w:ascii="Palatino Linotype" w:eastAsia="Palatino Linotype" w:hAnsi="Palatino Linotype" w:cs="Palatino Linotype"/>
          <w:i/>
          <w:sz w:val="22"/>
          <w:szCs w:val="22"/>
        </w:rPr>
        <w:lastRenderedPageBreak/>
        <w:t>componente fundamental en el esfuerzo que realiza el Estado Mexicano para garantizar la seguridad del país en sus diferentes vertientes.”</w:t>
      </w:r>
    </w:p>
    <w:p w14:paraId="4AF04080" w14:textId="77777777" w:rsidR="00AF64FD" w:rsidRPr="009C72E8" w:rsidRDefault="00816891">
      <w:pPr>
        <w:spacing w:before="240" w:after="240" w:line="360" w:lineRule="auto"/>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9C72E8">
        <w:rPr>
          <w:rFonts w:ascii="Palatino Linotype" w:eastAsia="Palatino Linotype" w:hAnsi="Palatino Linotype" w:cs="Palatino Linotype"/>
          <w:b/>
          <w:sz w:val="22"/>
          <w:szCs w:val="22"/>
        </w:rPr>
        <w:t>funciones de carácter operativo.</w:t>
      </w:r>
    </w:p>
    <w:p w14:paraId="7DE74F61" w14:textId="77777777" w:rsidR="00AF64FD" w:rsidRPr="009C72E8" w:rsidRDefault="00816891">
      <w:pPr>
        <w:spacing w:before="240" w:after="360" w:line="360" w:lineRule="auto"/>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Sirven de sustento a lo anterior las tesis jurisprudenciales emitidas por la Suprema corte de Justicia de la Nación, que son del literal siguiente:</w:t>
      </w:r>
    </w:p>
    <w:p w14:paraId="2DDD371F" w14:textId="77777777" w:rsidR="00AF64FD" w:rsidRPr="009C72E8" w:rsidRDefault="00816891">
      <w:pPr>
        <w:spacing w:before="120" w:after="120"/>
        <w:ind w:left="851" w:right="760"/>
        <w:jc w:val="both"/>
        <w:rPr>
          <w:rFonts w:ascii="Palatino Linotype" w:eastAsia="Palatino Linotype" w:hAnsi="Palatino Linotype" w:cs="Palatino Linotype"/>
          <w:b/>
          <w:i/>
          <w:sz w:val="22"/>
          <w:szCs w:val="22"/>
        </w:rPr>
      </w:pPr>
      <w:r w:rsidRPr="009C72E8">
        <w:rPr>
          <w:rFonts w:ascii="Palatino Linotype" w:eastAsia="Palatino Linotype" w:hAnsi="Palatino Linotype" w:cs="Palatino Linotype"/>
          <w:b/>
          <w:i/>
          <w:sz w:val="22"/>
          <w:szCs w:val="22"/>
        </w:rPr>
        <w:t xml:space="preserve">“DERECHO A LA INFORMACIÓN. SU EJERCICIO SE ENCUENTRA LIMITADO TANTO POR LOS INTERESES NACIONALES Y DE LA SOCIEDAD, COMO POR LOS DERECHOS DE TERCEROS. </w:t>
      </w:r>
      <w:r w:rsidRPr="009C72E8">
        <w:rPr>
          <w:rFonts w:ascii="Palatino Linotype" w:eastAsia="Palatino Linotype" w:hAnsi="Palatino Linotype" w:cs="Palatino Linotype"/>
          <w:i/>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9C72E8">
        <w:rPr>
          <w:rFonts w:ascii="Palatino Linotype" w:eastAsia="Palatino Linotype" w:hAnsi="Palatino Linotype" w:cs="Palatino Linotype"/>
          <w:b/>
          <w:i/>
          <w:sz w:val="22"/>
          <w:szCs w:val="22"/>
        </w:rPr>
        <w:t>restringen el acceso a la información en esta materia, en razón de que su conocimiento público puede generar daños a los intereses nacionales y, por el otro, sancionan la inobservancia de esa reserva;</w:t>
      </w:r>
      <w:r w:rsidRPr="009C72E8">
        <w:rPr>
          <w:rFonts w:ascii="Palatino Linotype" w:eastAsia="Palatino Linotype" w:hAnsi="Palatino Linotype" w:cs="Palatino Linotype"/>
          <w:i/>
          <w:sz w:val="22"/>
          <w:szCs w:val="22"/>
        </w:rPr>
        <w:t xml:space="preserve"> por lo que hace al interés social, se cuenta con normas que tienden a proteger la averiguación de los delitos, la salud y la moral públicas, </w:t>
      </w:r>
      <w:r w:rsidRPr="009C72E8">
        <w:rPr>
          <w:rFonts w:ascii="Palatino Linotype" w:eastAsia="Palatino Linotype" w:hAnsi="Palatino Linotype" w:cs="Palatino Linotype"/>
          <w:b/>
          <w:i/>
          <w:sz w:val="22"/>
          <w:szCs w:val="22"/>
        </w:rPr>
        <w:t>mientras que por lo que respecta a la protección de la persona existen normas que protegen el derecho a la vida o a la privacidad de los gobernados.</w:t>
      </w:r>
      <w:r w:rsidRPr="009C72E8">
        <w:rPr>
          <w:rFonts w:ascii="Palatino Linotype" w:eastAsia="Palatino Linotype" w:hAnsi="Palatino Linotype" w:cs="Palatino Linotype"/>
          <w:i/>
          <w:sz w:val="22"/>
          <w:szCs w:val="22"/>
        </w:rPr>
        <w:t>”</w:t>
      </w:r>
    </w:p>
    <w:p w14:paraId="1A9875E8" w14:textId="77777777" w:rsidR="00AF64FD" w:rsidRPr="009C72E8" w:rsidRDefault="00816891">
      <w:pPr>
        <w:spacing w:before="120" w:after="120"/>
        <w:ind w:left="851" w:right="760"/>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b/>
          <w:i/>
          <w:sz w:val="22"/>
          <w:szCs w:val="22"/>
        </w:rPr>
        <w:lastRenderedPageBreak/>
        <w:t>“TRANSPARENCIA Y ACCESO A LA INFORMACIÓN PÚBLICA GUBERNAMENTAL. EL ARTÍCULO 14, FRACCIÓN I, DE LA LEY FEDERAL RELATIVA, NO VIOLA LA GARANTÍA DE ACCESO A LA INFORMACIÓN.</w:t>
      </w:r>
      <w:r w:rsidRPr="009C72E8">
        <w:rPr>
          <w:rFonts w:ascii="Palatino Linotype" w:eastAsia="Palatino Linotype" w:hAnsi="Palatino Linotype" w:cs="Palatino Linotype"/>
          <w:i/>
          <w:sz w:val="22"/>
          <w:szCs w:val="22"/>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9C72E8">
        <w:rPr>
          <w:rFonts w:ascii="Palatino Linotype" w:eastAsia="Palatino Linotype" w:hAnsi="Palatino Linotype" w:cs="Palatino Linotype"/>
          <w:b/>
          <w:i/>
          <w:sz w:val="22"/>
          <w:szCs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9C72E8">
        <w:rPr>
          <w:rFonts w:ascii="Palatino Linotype" w:eastAsia="Palatino Linotype" w:hAnsi="Palatino Linotype" w:cs="Palatino Linotype"/>
          <w:i/>
          <w:sz w:val="22"/>
          <w:szCs w:val="22"/>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65F0105B" w14:textId="77777777" w:rsidR="00AF64FD" w:rsidRPr="009C72E8" w:rsidRDefault="00AF64FD">
      <w:pPr>
        <w:spacing w:line="360" w:lineRule="auto"/>
        <w:jc w:val="both"/>
        <w:rPr>
          <w:rFonts w:ascii="Palatino Linotype" w:eastAsia="Palatino Linotype" w:hAnsi="Palatino Linotype" w:cs="Palatino Linotype"/>
          <w:sz w:val="22"/>
          <w:szCs w:val="22"/>
        </w:rPr>
      </w:pPr>
    </w:p>
    <w:p w14:paraId="45B07369" w14:textId="77777777" w:rsidR="00AF64FD" w:rsidRPr="009C72E8" w:rsidRDefault="00816891">
      <w:pPr>
        <w:shd w:val="clear" w:color="auto" w:fill="FFFFFF"/>
        <w:spacing w:line="360" w:lineRule="auto"/>
        <w:ind w:right="51"/>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w:t>
      </w:r>
      <w:r w:rsidRPr="009C72E8">
        <w:rPr>
          <w:rFonts w:ascii="Palatino Linotype" w:eastAsia="Palatino Linotype" w:hAnsi="Palatino Linotype" w:cs="Palatino Linotype"/>
          <w:sz w:val="22"/>
          <w:szCs w:val="22"/>
        </w:rPr>
        <w:lastRenderedPageBreak/>
        <w:t xml:space="preserve">se exponen de manera puntual las razones de ello se estaría violentando desde un inicio el derecho de acceso a la información del solicitante, por lo que el acuerdo respectivo, deberá hacerse del conocimiento de la parte </w:t>
      </w:r>
      <w:r w:rsidRPr="009C72E8">
        <w:rPr>
          <w:rFonts w:ascii="Palatino Linotype" w:eastAsia="Palatino Linotype" w:hAnsi="Palatino Linotype" w:cs="Palatino Linotype"/>
          <w:b/>
          <w:sz w:val="22"/>
          <w:szCs w:val="22"/>
        </w:rPr>
        <w:t>Recurrente</w:t>
      </w:r>
      <w:r w:rsidRPr="009C72E8">
        <w:rPr>
          <w:rFonts w:ascii="Palatino Linotype" w:eastAsia="Palatino Linotype" w:hAnsi="Palatino Linotype" w:cs="Palatino Linotype"/>
          <w:sz w:val="22"/>
          <w:szCs w:val="22"/>
        </w:rPr>
        <w:t>.</w:t>
      </w:r>
    </w:p>
    <w:p w14:paraId="1D4862C1" w14:textId="77777777" w:rsidR="00AF64FD" w:rsidRPr="009C72E8" w:rsidRDefault="00AF64FD">
      <w:pPr>
        <w:shd w:val="clear" w:color="auto" w:fill="FFFFFF"/>
        <w:spacing w:line="360" w:lineRule="auto"/>
        <w:ind w:right="51"/>
        <w:jc w:val="both"/>
        <w:rPr>
          <w:rFonts w:ascii="Palatino Linotype" w:eastAsia="Palatino Linotype" w:hAnsi="Palatino Linotype" w:cs="Palatino Linotype"/>
          <w:sz w:val="22"/>
          <w:szCs w:val="22"/>
        </w:rPr>
      </w:pPr>
    </w:p>
    <w:p w14:paraId="7D015742" w14:textId="77777777" w:rsidR="00AF64FD" w:rsidRPr="009C72E8" w:rsidRDefault="00816891">
      <w:pPr>
        <w:spacing w:line="360" w:lineRule="auto"/>
        <w:ind w:right="49"/>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 xml:space="preserve">Es así como, en mérito de lo expuesto en líneas anteriores, resultan parcialmente fundadas las razones o motivos de inconformidad hechos valer por la parte </w:t>
      </w:r>
      <w:r w:rsidRPr="009C72E8">
        <w:rPr>
          <w:rFonts w:ascii="Palatino Linotype" w:eastAsia="Palatino Linotype" w:hAnsi="Palatino Linotype" w:cs="Palatino Linotype"/>
          <w:b/>
          <w:sz w:val="22"/>
          <w:szCs w:val="22"/>
        </w:rPr>
        <w:t>RECURRENTE</w:t>
      </w:r>
      <w:r w:rsidRPr="009C72E8">
        <w:rPr>
          <w:rFonts w:ascii="Palatino Linotype" w:eastAsia="Palatino Linotype" w:hAnsi="Palatino Linotype" w:cs="Palatino Linotype"/>
          <w:sz w:val="22"/>
          <w:szCs w:val="22"/>
        </w:rPr>
        <w:t xml:space="preserve"> dentro del recurso de revisión </w:t>
      </w:r>
      <w:r w:rsidRPr="009C72E8">
        <w:rPr>
          <w:rFonts w:ascii="Palatino Linotype" w:eastAsia="Palatino Linotype" w:hAnsi="Palatino Linotype" w:cs="Palatino Linotype"/>
          <w:b/>
          <w:sz w:val="22"/>
          <w:szCs w:val="22"/>
        </w:rPr>
        <w:t>02789/INFOEM/IP/RR/2025</w:t>
      </w:r>
      <w:r w:rsidRPr="009C72E8">
        <w:rPr>
          <w:rFonts w:ascii="Palatino Linotype" w:eastAsia="Palatino Linotype" w:hAnsi="Palatino Linotype" w:cs="Palatino Linotype"/>
          <w:sz w:val="22"/>
          <w:szCs w:val="22"/>
        </w:rPr>
        <w:t xml:space="preserve">; por ello, y con fundamento en la fracción III del numeral 186 de la Ley de Transparencia y Acceso a la Información Pública del Estado de México y Municipios, por lo que se </w:t>
      </w:r>
      <w:r w:rsidRPr="009C72E8">
        <w:rPr>
          <w:rFonts w:ascii="Palatino Linotype" w:eastAsia="Palatino Linotype" w:hAnsi="Palatino Linotype" w:cs="Palatino Linotype"/>
          <w:b/>
          <w:sz w:val="22"/>
          <w:szCs w:val="22"/>
        </w:rPr>
        <w:t xml:space="preserve">REVOCA </w:t>
      </w:r>
      <w:r w:rsidRPr="009C72E8">
        <w:rPr>
          <w:rFonts w:ascii="Palatino Linotype" w:eastAsia="Palatino Linotype" w:hAnsi="Palatino Linotype" w:cs="Palatino Linotype"/>
          <w:sz w:val="22"/>
          <w:szCs w:val="22"/>
        </w:rPr>
        <w:t xml:space="preserve">la respuesta del </w:t>
      </w:r>
      <w:r w:rsidRPr="009C72E8">
        <w:rPr>
          <w:rFonts w:ascii="Palatino Linotype" w:eastAsia="Palatino Linotype" w:hAnsi="Palatino Linotype" w:cs="Palatino Linotype"/>
          <w:b/>
          <w:sz w:val="22"/>
          <w:szCs w:val="22"/>
        </w:rPr>
        <w:t xml:space="preserve">SUJETO OBLIGADO </w:t>
      </w:r>
      <w:r w:rsidRPr="009C72E8">
        <w:rPr>
          <w:rFonts w:ascii="Palatino Linotype" w:eastAsia="Palatino Linotype" w:hAnsi="Palatino Linotype" w:cs="Palatino Linotype"/>
          <w:sz w:val="22"/>
          <w:szCs w:val="22"/>
        </w:rPr>
        <w:t xml:space="preserve">a la solicitud de información </w:t>
      </w:r>
      <w:r w:rsidRPr="009C72E8">
        <w:rPr>
          <w:rFonts w:ascii="Palatino Linotype" w:eastAsia="Palatino Linotype" w:hAnsi="Palatino Linotype" w:cs="Palatino Linotype"/>
          <w:b/>
          <w:sz w:val="22"/>
          <w:szCs w:val="22"/>
        </w:rPr>
        <w:t>00434/CUAUTIZC/IP/2025.</w:t>
      </w:r>
    </w:p>
    <w:p w14:paraId="377D7451" w14:textId="77777777" w:rsidR="00AF64FD" w:rsidRPr="009C72E8" w:rsidRDefault="00AF64FD">
      <w:pPr>
        <w:spacing w:line="360" w:lineRule="auto"/>
        <w:ind w:right="49"/>
        <w:jc w:val="both"/>
        <w:rPr>
          <w:rFonts w:ascii="Palatino Linotype" w:eastAsia="Palatino Linotype" w:hAnsi="Palatino Linotype" w:cs="Palatino Linotype"/>
          <w:sz w:val="22"/>
          <w:szCs w:val="22"/>
        </w:rPr>
      </w:pPr>
    </w:p>
    <w:p w14:paraId="62E40C48" w14:textId="77777777" w:rsidR="00AF64FD" w:rsidRPr="009C72E8" w:rsidRDefault="00816891">
      <w:pPr>
        <w:spacing w:line="360" w:lineRule="auto"/>
        <w:ind w:right="49"/>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t>Así, con fundamento en lo prescrito en los artículos 5, párrafos trigésimo séptimo, trigésimo octavo y trigésimo noveno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61B82396" w14:textId="77777777" w:rsidR="00AF64FD" w:rsidRPr="009C72E8" w:rsidRDefault="00816891">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bookmarkStart w:id="6" w:name="_heading=h.lnxbz9" w:colFirst="0" w:colLast="0"/>
      <w:bookmarkEnd w:id="6"/>
      <w:r w:rsidRPr="009C72E8">
        <w:rPr>
          <w:rFonts w:ascii="Palatino Linotype" w:eastAsia="Palatino Linotype" w:hAnsi="Palatino Linotype" w:cs="Palatino Linotype"/>
          <w:b/>
          <w:sz w:val="22"/>
          <w:szCs w:val="22"/>
        </w:rPr>
        <w:t xml:space="preserve">III. R E S U E L V E </w:t>
      </w:r>
    </w:p>
    <w:p w14:paraId="703A0DE0" w14:textId="77777777" w:rsidR="00AF64FD" w:rsidRPr="009C72E8" w:rsidRDefault="00816891">
      <w:pPr>
        <w:spacing w:before="240" w:after="240" w:line="360" w:lineRule="auto"/>
        <w:jc w:val="both"/>
        <w:rPr>
          <w:rFonts w:ascii="Palatino Linotype" w:eastAsia="Palatino Linotype" w:hAnsi="Palatino Linotype" w:cs="Palatino Linotype"/>
          <w:sz w:val="22"/>
          <w:szCs w:val="22"/>
        </w:rPr>
      </w:pPr>
      <w:bookmarkStart w:id="7" w:name="_heading=h.1fob9te" w:colFirst="0" w:colLast="0"/>
      <w:bookmarkEnd w:id="7"/>
      <w:r w:rsidRPr="009C72E8">
        <w:rPr>
          <w:rFonts w:ascii="Palatino Linotype" w:eastAsia="Palatino Linotype" w:hAnsi="Palatino Linotype" w:cs="Palatino Linotype"/>
          <w:b/>
          <w:sz w:val="22"/>
          <w:szCs w:val="22"/>
        </w:rPr>
        <w:t xml:space="preserve">Primero. </w:t>
      </w:r>
      <w:r w:rsidRPr="009C72E8">
        <w:rPr>
          <w:rFonts w:ascii="Palatino Linotype" w:eastAsia="Palatino Linotype" w:hAnsi="Palatino Linotype" w:cs="Palatino Linotype"/>
          <w:sz w:val="22"/>
          <w:szCs w:val="22"/>
        </w:rPr>
        <w:t xml:space="preserve">Resultan </w:t>
      </w:r>
      <w:r w:rsidRPr="009C72E8">
        <w:rPr>
          <w:rFonts w:ascii="Palatino Linotype" w:eastAsia="Palatino Linotype" w:hAnsi="Palatino Linotype" w:cs="Palatino Linotype"/>
          <w:b/>
          <w:sz w:val="22"/>
          <w:szCs w:val="22"/>
        </w:rPr>
        <w:t>parcialmente</w:t>
      </w:r>
      <w:r w:rsidRPr="009C72E8">
        <w:rPr>
          <w:rFonts w:ascii="Palatino Linotype" w:eastAsia="Palatino Linotype" w:hAnsi="Palatino Linotype" w:cs="Palatino Linotype"/>
          <w:sz w:val="22"/>
          <w:szCs w:val="22"/>
        </w:rPr>
        <w:t xml:space="preserve"> </w:t>
      </w:r>
      <w:r w:rsidRPr="009C72E8">
        <w:rPr>
          <w:rFonts w:ascii="Palatino Linotype" w:eastAsia="Palatino Linotype" w:hAnsi="Palatino Linotype" w:cs="Palatino Linotype"/>
          <w:b/>
          <w:sz w:val="22"/>
          <w:szCs w:val="22"/>
        </w:rPr>
        <w:t>fundadas</w:t>
      </w:r>
      <w:r w:rsidRPr="009C72E8">
        <w:rPr>
          <w:rFonts w:ascii="Palatino Linotype" w:eastAsia="Palatino Linotype" w:hAnsi="Palatino Linotype" w:cs="Palatino Linotype"/>
          <w:sz w:val="22"/>
          <w:szCs w:val="22"/>
        </w:rPr>
        <w:t xml:space="preserve"> las razones o motivos de inconformidad hechos valer por </w:t>
      </w:r>
      <w:r w:rsidRPr="009C72E8">
        <w:rPr>
          <w:rFonts w:ascii="Palatino Linotype" w:eastAsia="Palatino Linotype" w:hAnsi="Palatino Linotype" w:cs="Palatino Linotype"/>
          <w:b/>
          <w:sz w:val="22"/>
          <w:szCs w:val="22"/>
        </w:rPr>
        <w:t>la parte Recurrente</w:t>
      </w:r>
      <w:r w:rsidRPr="009C72E8">
        <w:rPr>
          <w:rFonts w:ascii="Palatino Linotype" w:eastAsia="Palatino Linotype" w:hAnsi="Palatino Linotype" w:cs="Palatino Linotype"/>
          <w:sz w:val="22"/>
          <w:szCs w:val="22"/>
        </w:rPr>
        <w:t xml:space="preserve"> en el recurso de revisión </w:t>
      </w:r>
      <w:r w:rsidRPr="009C72E8">
        <w:rPr>
          <w:rFonts w:ascii="Palatino Linotype" w:eastAsia="Palatino Linotype" w:hAnsi="Palatino Linotype" w:cs="Palatino Linotype"/>
          <w:b/>
          <w:sz w:val="22"/>
          <w:szCs w:val="22"/>
        </w:rPr>
        <w:t>02789/INFOEM/IP/RR/2025</w:t>
      </w:r>
      <w:r w:rsidRPr="009C72E8">
        <w:rPr>
          <w:rFonts w:ascii="Palatino Linotype" w:eastAsia="Palatino Linotype" w:hAnsi="Palatino Linotype" w:cs="Palatino Linotype"/>
          <w:sz w:val="22"/>
          <w:szCs w:val="22"/>
        </w:rPr>
        <w:t xml:space="preserve">; por lo que, en términos del </w:t>
      </w:r>
      <w:r w:rsidRPr="009C72E8">
        <w:rPr>
          <w:rFonts w:ascii="Palatino Linotype" w:eastAsia="Palatino Linotype" w:hAnsi="Palatino Linotype" w:cs="Palatino Linotype"/>
          <w:b/>
          <w:sz w:val="22"/>
          <w:szCs w:val="22"/>
        </w:rPr>
        <w:t>Considerando</w:t>
      </w:r>
      <w:r w:rsidRPr="009C72E8">
        <w:rPr>
          <w:rFonts w:ascii="Palatino Linotype" w:eastAsia="Palatino Linotype" w:hAnsi="Palatino Linotype" w:cs="Palatino Linotype"/>
          <w:sz w:val="22"/>
          <w:szCs w:val="22"/>
        </w:rPr>
        <w:t xml:space="preserve"> </w:t>
      </w:r>
      <w:r w:rsidRPr="009C72E8">
        <w:rPr>
          <w:rFonts w:ascii="Palatino Linotype" w:eastAsia="Palatino Linotype" w:hAnsi="Palatino Linotype" w:cs="Palatino Linotype"/>
          <w:b/>
          <w:sz w:val="22"/>
          <w:szCs w:val="22"/>
        </w:rPr>
        <w:t xml:space="preserve">Cuarto </w:t>
      </w:r>
      <w:r w:rsidRPr="009C72E8">
        <w:rPr>
          <w:rFonts w:ascii="Palatino Linotype" w:eastAsia="Palatino Linotype" w:hAnsi="Palatino Linotype" w:cs="Palatino Linotype"/>
          <w:sz w:val="22"/>
          <w:szCs w:val="22"/>
        </w:rPr>
        <w:t xml:space="preserve">de esta resolución, se </w:t>
      </w:r>
      <w:r w:rsidRPr="009C72E8">
        <w:rPr>
          <w:rFonts w:ascii="Palatino Linotype" w:eastAsia="Palatino Linotype" w:hAnsi="Palatino Linotype" w:cs="Palatino Linotype"/>
          <w:b/>
          <w:sz w:val="22"/>
          <w:szCs w:val="22"/>
        </w:rPr>
        <w:t xml:space="preserve">REVOCA </w:t>
      </w:r>
      <w:r w:rsidRPr="009C72E8">
        <w:rPr>
          <w:rFonts w:ascii="Palatino Linotype" w:eastAsia="Palatino Linotype" w:hAnsi="Palatino Linotype" w:cs="Palatino Linotype"/>
          <w:sz w:val="22"/>
          <w:szCs w:val="22"/>
        </w:rPr>
        <w:t xml:space="preserve">la respuesta emitida por el </w:t>
      </w:r>
      <w:r w:rsidRPr="009C72E8">
        <w:rPr>
          <w:rFonts w:ascii="Palatino Linotype" w:eastAsia="Palatino Linotype" w:hAnsi="Palatino Linotype" w:cs="Palatino Linotype"/>
          <w:b/>
          <w:sz w:val="22"/>
          <w:szCs w:val="22"/>
        </w:rPr>
        <w:t>Sujeto Obligado.</w:t>
      </w:r>
    </w:p>
    <w:p w14:paraId="7E334926" w14:textId="77777777" w:rsidR="00AF64FD" w:rsidRPr="009C72E8" w:rsidRDefault="00816891">
      <w:pPr>
        <w:spacing w:before="240" w:after="240" w:line="360" w:lineRule="auto"/>
        <w:ind w:right="49"/>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b/>
          <w:sz w:val="22"/>
          <w:szCs w:val="22"/>
        </w:rPr>
        <w:t xml:space="preserve">Segundo. </w:t>
      </w:r>
      <w:r w:rsidRPr="009C72E8">
        <w:rPr>
          <w:rFonts w:ascii="Palatino Linotype" w:eastAsia="Palatino Linotype" w:hAnsi="Palatino Linotype" w:cs="Palatino Linotype"/>
          <w:sz w:val="22"/>
          <w:szCs w:val="22"/>
        </w:rPr>
        <w:t xml:space="preserve">Se </w:t>
      </w:r>
      <w:r w:rsidRPr="009C72E8">
        <w:rPr>
          <w:rFonts w:ascii="Palatino Linotype" w:eastAsia="Palatino Linotype" w:hAnsi="Palatino Linotype" w:cs="Palatino Linotype"/>
          <w:b/>
          <w:sz w:val="22"/>
          <w:szCs w:val="22"/>
        </w:rPr>
        <w:t>Ordena</w:t>
      </w:r>
      <w:r w:rsidRPr="009C72E8">
        <w:rPr>
          <w:rFonts w:ascii="Palatino Linotype" w:eastAsia="Palatino Linotype" w:hAnsi="Palatino Linotype" w:cs="Palatino Linotype"/>
          <w:sz w:val="22"/>
          <w:szCs w:val="22"/>
        </w:rPr>
        <w:t xml:space="preserve"> al </w:t>
      </w:r>
      <w:r w:rsidRPr="009C72E8">
        <w:rPr>
          <w:rFonts w:ascii="Palatino Linotype" w:eastAsia="Palatino Linotype" w:hAnsi="Palatino Linotype" w:cs="Palatino Linotype"/>
          <w:b/>
          <w:sz w:val="22"/>
          <w:szCs w:val="22"/>
        </w:rPr>
        <w:t>Sujeto Obligado</w:t>
      </w:r>
      <w:r w:rsidRPr="009C72E8">
        <w:rPr>
          <w:rFonts w:ascii="Palatino Linotype" w:eastAsia="Palatino Linotype" w:hAnsi="Palatino Linotype" w:cs="Palatino Linotype"/>
          <w:sz w:val="22"/>
          <w:szCs w:val="22"/>
        </w:rPr>
        <w:t xml:space="preserve">, en términos de los Considerandos </w:t>
      </w:r>
      <w:r w:rsidRPr="009C72E8">
        <w:rPr>
          <w:rFonts w:ascii="Palatino Linotype" w:eastAsia="Palatino Linotype" w:hAnsi="Palatino Linotype" w:cs="Palatino Linotype"/>
          <w:b/>
          <w:sz w:val="22"/>
          <w:szCs w:val="22"/>
        </w:rPr>
        <w:t xml:space="preserve">Cuarto y Quinto </w:t>
      </w:r>
      <w:r w:rsidRPr="009C72E8">
        <w:rPr>
          <w:rFonts w:ascii="Palatino Linotype" w:eastAsia="Palatino Linotype" w:hAnsi="Palatino Linotype" w:cs="Palatino Linotype"/>
          <w:sz w:val="22"/>
          <w:szCs w:val="22"/>
        </w:rPr>
        <w:t>de esta resolución, haga entrega vía SAIMEX, en versión pública, la siguiente información:</w:t>
      </w:r>
    </w:p>
    <w:p w14:paraId="108A43E6" w14:textId="77777777" w:rsidR="00AF64FD" w:rsidRPr="009C72E8" w:rsidRDefault="00816891">
      <w:pPr>
        <w:widowControl w:val="0"/>
        <w:numPr>
          <w:ilvl w:val="0"/>
          <w:numId w:val="7"/>
        </w:numPr>
        <w:pBdr>
          <w:top w:val="nil"/>
          <w:left w:val="nil"/>
          <w:bottom w:val="nil"/>
          <w:right w:val="nil"/>
          <w:between w:val="nil"/>
        </w:pBdr>
        <w:tabs>
          <w:tab w:val="left" w:pos="1701"/>
          <w:tab w:val="left" w:pos="1843"/>
        </w:tabs>
        <w:spacing w:before="360" w:after="240" w:line="360" w:lineRule="auto"/>
        <w:ind w:left="567" w:right="142"/>
        <w:jc w:val="both"/>
        <w:rPr>
          <w:rFonts w:ascii="Palatino Linotype" w:eastAsia="Palatino Linotype" w:hAnsi="Palatino Linotype" w:cs="Palatino Linotype"/>
          <w:b/>
          <w:sz w:val="22"/>
          <w:szCs w:val="22"/>
        </w:rPr>
      </w:pPr>
      <w:r w:rsidRPr="009C72E8">
        <w:rPr>
          <w:rFonts w:ascii="Palatino Linotype" w:eastAsia="Palatino Linotype" w:hAnsi="Palatino Linotype" w:cs="Palatino Linotype"/>
          <w:b/>
          <w:sz w:val="22"/>
          <w:szCs w:val="22"/>
        </w:rPr>
        <w:t xml:space="preserve">Tercer informe trimestral del año dos mil veinticuatro enviado al Órgano Superior </w:t>
      </w:r>
      <w:r w:rsidRPr="009C72E8">
        <w:rPr>
          <w:rFonts w:ascii="Palatino Linotype" w:eastAsia="Palatino Linotype" w:hAnsi="Palatino Linotype" w:cs="Palatino Linotype"/>
          <w:b/>
          <w:sz w:val="22"/>
          <w:szCs w:val="22"/>
        </w:rPr>
        <w:lastRenderedPageBreak/>
        <w:t>de Fiscalización del Estado de México.</w:t>
      </w:r>
    </w:p>
    <w:p w14:paraId="235B833B" w14:textId="77777777" w:rsidR="00AF64FD" w:rsidRPr="009C72E8" w:rsidRDefault="00816891">
      <w:pPr>
        <w:pBdr>
          <w:top w:val="nil"/>
          <w:left w:val="nil"/>
          <w:bottom w:val="nil"/>
          <w:right w:val="nil"/>
          <w:between w:val="nil"/>
        </w:pBdr>
        <w:spacing w:line="360" w:lineRule="auto"/>
        <w:ind w:left="284" w:right="616"/>
        <w:jc w:val="both"/>
        <w:rPr>
          <w:rFonts w:ascii="Palatino Linotype" w:eastAsia="Palatino Linotype" w:hAnsi="Palatino Linotype" w:cs="Palatino Linotype"/>
          <w:i/>
          <w:sz w:val="22"/>
          <w:szCs w:val="22"/>
        </w:rPr>
      </w:pPr>
      <w:r w:rsidRPr="009C72E8">
        <w:rPr>
          <w:rFonts w:ascii="Palatino Linotype" w:eastAsia="Palatino Linotype" w:hAnsi="Palatino Linotype" w:cs="Palatino Linotype"/>
          <w:i/>
          <w:sz w:val="22"/>
          <w:szCs w:val="22"/>
        </w:rPr>
        <w:t xml:space="preserve">Debiendo acompañar con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w:t>
      </w:r>
      <w:r w:rsidRPr="009C72E8">
        <w:rPr>
          <w:rFonts w:ascii="Palatino Linotype" w:eastAsia="Palatino Linotype" w:hAnsi="Palatino Linotype" w:cs="Palatino Linotype"/>
          <w:b/>
          <w:i/>
          <w:sz w:val="22"/>
          <w:szCs w:val="22"/>
        </w:rPr>
        <w:t>Recurrente</w:t>
      </w:r>
      <w:r w:rsidRPr="009C72E8">
        <w:rPr>
          <w:rFonts w:ascii="Palatino Linotype" w:eastAsia="Palatino Linotype" w:hAnsi="Palatino Linotype" w:cs="Palatino Linotype"/>
          <w:i/>
          <w:sz w:val="22"/>
          <w:szCs w:val="22"/>
        </w:rPr>
        <w:t xml:space="preserve">, mismo que igualmente hará de su conocimiento. </w:t>
      </w:r>
    </w:p>
    <w:p w14:paraId="08C63C83" w14:textId="77777777" w:rsidR="00AF64FD" w:rsidRPr="009C72E8" w:rsidRDefault="00816891">
      <w:pPr>
        <w:spacing w:before="240" w:after="240" w:line="360" w:lineRule="auto"/>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b/>
          <w:sz w:val="22"/>
          <w:szCs w:val="22"/>
        </w:rPr>
        <w:t xml:space="preserve">Tercero.  Notifíquese vía SAIMEX, </w:t>
      </w:r>
      <w:r w:rsidRPr="009C72E8">
        <w:rPr>
          <w:rFonts w:ascii="Palatino Linotype" w:eastAsia="Palatino Linotype" w:hAnsi="Palatino Linotype" w:cs="Palatino Linotype"/>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380C2B68" w14:textId="77777777" w:rsidR="00AF64FD" w:rsidRPr="009C72E8" w:rsidRDefault="00816891">
      <w:pPr>
        <w:spacing w:before="240" w:after="240" w:line="360" w:lineRule="auto"/>
        <w:ind w:right="49"/>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b/>
          <w:sz w:val="22"/>
          <w:szCs w:val="22"/>
        </w:rPr>
        <w:t xml:space="preserve">Cuarto. Notifíquese a través del SAIMEX, </w:t>
      </w:r>
      <w:r w:rsidRPr="009C72E8">
        <w:rPr>
          <w:rFonts w:ascii="Palatino Linotype" w:eastAsia="Palatino Linotype" w:hAnsi="Palatino Linotype" w:cs="Palatino Linotype"/>
          <w:sz w:val="22"/>
          <w:szCs w:val="22"/>
        </w:rPr>
        <w:t>al Titular de la Unidad de Transparencia que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5EA0900" w14:textId="77777777" w:rsidR="00AF64FD" w:rsidRPr="009C72E8" w:rsidRDefault="00816891">
      <w:pPr>
        <w:spacing w:before="240" w:after="240" w:line="360" w:lineRule="auto"/>
        <w:ind w:right="49"/>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b/>
          <w:sz w:val="22"/>
          <w:szCs w:val="22"/>
        </w:rPr>
        <w:t xml:space="preserve">Quinto. Notifíquese vía SAIMEX, </w:t>
      </w:r>
      <w:r w:rsidRPr="009C72E8">
        <w:rPr>
          <w:rFonts w:ascii="Palatino Linotype" w:eastAsia="Palatino Linotype" w:hAnsi="Palatino Linotype" w:cs="Palatino Linotype"/>
          <w:sz w:val="22"/>
          <w:szCs w:val="22"/>
        </w:rPr>
        <w:t>a</w:t>
      </w:r>
      <w:r w:rsidRPr="009C72E8">
        <w:rPr>
          <w:rFonts w:ascii="Palatino Linotype" w:eastAsia="Palatino Linotype" w:hAnsi="Palatino Linotype" w:cs="Palatino Linotype"/>
          <w:b/>
          <w:sz w:val="22"/>
          <w:szCs w:val="22"/>
        </w:rPr>
        <w:t xml:space="preserve"> la parte Recurrente</w:t>
      </w:r>
      <w:r w:rsidRPr="009C72E8">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 </w:t>
      </w:r>
    </w:p>
    <w:p w14:paraId="3E682522" w14:textId="77777777" w:rsidR="00AF64FD" w:rsidRPr="00DF3727" w:rsidRDefault="00816891">
      <w:pPr>
        <w:spacing w:before="240" w:after="240" w:line="360" w:lineRule="auto"/>
        <w:jc w:val="both"/>
        <w:rPr>
          <w:rFonts w:ascii="Palatino Linotype" w:eastAsia="Palatino Linotype" w:hAnsi="Palatino Linotype" w:cs="Palatino Linotype"/>
          <w:sz w:val="22"/>
          <w:szCs w:val="22"/>
        </w:rPr>
      </w:pPr>
      <w:r w:rsidRPr="009C72E8">
        <w:rPr>
          <w:rFonts w:ascii="Palatino Linotype" w:eastAsia="Palatino Linotype" w:hAnsi="Palatino Linotype" w:cs="Palatino Linotype"/>
          <w:sz w:val="22"/>
          <w:szCs w:val="22"/>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B14081" w:rsidRPr="009C72E8">
        <w:rPr>
          <w:rFonts w:ascii="Palatino Linotype" w:eastAsia="Palatino Linotype" w:hAnsi="Palatino Linotype" w:cs="Palatino Linotype"/>
          <w:sz w:val="22"/>
          <w:szCs w:val="22"/>
        </w:rPr>
        <w:t xml:space="preserve"> (AUSENCIA JUSTIFICADA)</w:t>
      </w:r>
      <w:r w:rsidRPr="009C72E8">
        <w:rPr>
          <w:rFonts w:ascii="Palatino Linotype" w:eastAsia="Palatino Linotype" w:hAnsi="Palatino Linotype" w:cs="Palatino Linotype"/>
          <w:sz w:val="22"/>
          <w:szCs w:val="22"/>
        </w:rPr>
        <w:t>, Y GUADALUPE RAMÍREZ PEÑA</w:t>
      </w:r>
      <w:r w:rsidR="00CF5447" w:rsidRPr="009C72E8">
        <w:rPr>
          <w:rFonts w:ascii="Palatino Linotype" w:eastAsia="Palatino Linotype" w:hAnsi="Palatino Linotype" w:cs="Palatino Linotype"/>
          <w:sz w:val="22"/>
          <w:szCs w:val="22"/>
        </w:rPr>
        <w:t xml:space="preserve"> (EMITIENDO VOTO PARTICULAR)</w:t>
      </w:r>
      <w:r w:rsidRPr="009C72E8">
        <w:rPr>
          <w:rFonts w:ascii="Palatino Linotype" w:eastAsia="Palatino Linotype" w:hAnsi="Palatino Linotype" w:cs="Palatino Linotype"/>
          <w:sz w:val="22"/>
          <w:szCs w:val="22"/>
        </w:rPr>
        <w:t>; EN LA DÉCIMA NOVENA ORDINARIA CELEBRADA EL VEINTIOCHO DE MAYO DEL DOS MIL VEINTICINCO, ANTE EL SECRETARIO TÉCNICO DEL PLENO ALEXIS TAPIA RAMÍREZ.</w:t>
      </w:r>
    </w:p>
    <w:p w14:paraId="3C6564EA" w14:textId="77777777" w:rsidR="00AF64FD" w:rsidRPr="00DF3727" w:rsidRDefault="00AF64FD">
      <w:pPr>
        <w:spacing w:before="240" w:after="240" w:line="360" w:lineRule="auto"/>
        <w:jc w:val="both"/>
        <w:rPr>
          <w:rFonts w:ascii="Palatino Linotype" w:eastAsia="Palatino Linotype" w:hAnsi="Palatino Linotype" w:cs="Palatino Linotype"/>
          <w:sz w:val="22"/>
          <w:szCs w:val="22"/>
        </w:rPr>
      </w:pPr>
    </w:p>
    <w:p w14:paraId="18DD3D80" w14:textId="77777777" w:rsidR="00AF64FD" w:rsidRPr="00DF3727" w:rsidRDefault="00AF64FD">
      <w:pPr>
        <w:spacing w:before="240" w:after="240" w:line="360" w:lineRule="auto"/>
        <w:jc w:val="both"/>
        <w:rPr>
          <w:rFonts w:ascii="Palatino Linotype" w:eastAsia="Palatino Linotype" w:hAnsi="Palatino Linotype" w:cs="Palatino Linotype"/>
          <w:sz w:val="22"/>
          <w:szCs w:val="22"/>
        </w:rPr>
      </w:pPr>
    </w:p>
    <w:p w14:paraId="7A8D1ED4" w14:textId="77777777" w:rsidR="00AF64FD" w:rsidRPr="00DF3727" w:rsidRDefault="00AF64FD">
      <w:pPr>
        <w:spacing w:before="240" w:after="240" w:line="360" w:lineRule="auto"/>
        <w:jc w:val="both"/>
        <w:rPr>
          <w:rFonts w:ascii="Palatino Linotype" w:eastAsia="Palatino Linotype" w:hAnsi="Palatino Linotype" w:cs="Palatino Linotype"/>
          <w:sz w:val="22"/>
          <w:szCs w:val="22"/>
        </w:rPr>
      </w:pPr>
    </w:p>
    <w:p w14:paraId="12E4A839" w14:textId="16B4363F" w:rsidR="00AF64FD" w:rsidRPr="00DF3727" w:rsidRDefault="00AF64FD">
      <w:pPr>
        <w:spacing w:before="240" w:after="240" w:line="360" w:lineRule="auto"/>
        <w:jc w:val="both"/>
        <w:rPr>
          <w:rFonts w:ascii="Palatino Linotype" w:eastAsia="Palatino Linotype" w:hAnsi="Palatino Linotype" w:cs="Palatino Linotype"/>
          <w:sz w:val="22"/>
          <w:szCs w:val="22"/>
        </w:rPr>
      </w:pPr>
    </w:p>
    <w:p w14:paraId="1A91D7B8" w14:textId="680D7699" w:rsidR="00DF3727" w:rsidRPr="00DF3727" w:rsidRDefault="00DF3727">
      <w:pPr>
        <w:spacing w:before="240" w:after="240" w:line="360" w:lineRule="auto"/>
        <w:jc w:val="both"/>
        <w:rPr>
          <w:rFonts w:ascii="Palatino Linotype" w:eastAsia="Palatino Linotype" w:hAnsi="Palatino Linotype" w:cs="Palatino Linotype"/>
          <w:sz w:val="22"/>
          <w:szCs w:val="22"/>
        </w:rPr>
      </w:pPr>
    </w:p>
    <w:p w14:paraId="678BB3BB" w14:textId="757AF934" w:rsidR="00DF3727" w:rsidRPr="00DF3727" w:rsidRDefault="00DF3727">
      <w:pPr>
        <w:spacing w:before="240" w:after="240" w:line="360" w:lineRule="auto"/>
        <w:jc w:val="both"/>
        <w:rPr>
          <w:rFonts w:ascii="Palatino Linotype" w:eastAsia="Palatino Linotype" w:hAnsi="Palatino Linotype" w:cs="Palatino Linotype"/>
          <w:sz w:val="22"/>
          <w:szCs w:val="22"/>
        </w:rPr>
      </w:pPr>
    </w:p>
    <w:p w14:paraId="09B72BCA" w14:textId="5317AD70" w:rsidR="00DF3727" w:rsidRPr="00DF3727" w:rsidRDefault="00DF3727">
      <w:pPr>
        <w:spacing w:before="240" w:after="240" w:line="360" w:lineRule="auto"/>
        <w:jc w:val="both"/>
        <w:rPr>
          <w:rFonts w:ascii="Palatino Linotype" w:eastAsia="Palatino Linotype" w:hAnsi="Palatino Linotype" w:cs="Palatino Linotype"/>
          <w:sz w:val="22"/>
          <w:szCs w:val="22"/>
        </w:rPr>
      </w:pPr>
    </w:p>
    <w:p w14:paraId="4E657F59" w14:textId="26D3551F" w:rsidR="00DF3727" w:rsidRPr="00DF3727" w:rsidRDefault="00DF3727">
      <w:pPr>
        <w:spacing w:before="240" w:after="240" w:line="360" w:lineRule="auto"/>
        <w:jc w:val="both"/>
        <w:rPr>
          <w:rFonts w:ascii="Palatino Linotype" w:eastAsia="Palatino Linotype" w:hAnsi="Palatino Linotype" w:cs="Palatino Linotype"/>
          <w:sz w:val="22"/>
          <w:szCs w:val="22"/>
        </w:rPr>
      </w:pPr>
    </w:p>
    <w:p w14:paraId="14754D4C" w14:textId="73231793" w:rsidR="00DF3727" w:rsidRPr="00DF3727" w:rsidRDefault="00DF3727">
      <w:pPr>
        <w:spacing w:before="240" w:after="240" w:line="360" w:lineRule="auto"/>
        <w:jc w:val="both"/>
        <w:rPr>
          <w:rFonts w:ascii="Palatino Linotype" w:eastAsia="Palatino Linotype" w:hAnsi="Palatino Linotype" w:cs="Palatino Linotype"/>
          <w:sz w:val="22"/>
          <w:szCs w:val="22"/>
        </w:rPr>
      </w:pPr>
    </w:p>
    <w:p w14:paraId="244C60BC" w14:textId="2127C95E" w:rsidR="00DF3727" w:rsidRPr="00DF3727" w:rsidRDefault="00DF3727">
      <w:pPr>
        <w:spacing w:before="240" w:after="240" w:line="360" w:lineRule="auto"/>
        <w:jc w:val="both"/>
        <w:rPr>
          <w:rFonts w:ascii="Palatino Linotype" w:eastAsia="Palatino Linotype" w:hAnsi="Palatino Linotype" w:cs="Palatino Linotype"/>
          <w:sz w:val="22"/>
          <w:szCs w:val="22"/>
        </w:rPr>
      </w:pPr>
    </w:p>
    <w:p w14:paraId="0E64D00D" w14:textId="4C8E3F57" w:rsidR="00DF3727" w:rsidRPr="00DF3727" w:rsidRDefault="00DF3727">
      <w:pPr>
        <w:spacing w:before="240" w:after="240" w:line="360" w:lineRule="auto"/>
        <w:jc w:val="both"/>
        <w:rPr>
          <w:rFonts w:ascii="Palatino Linotype" w:eastAsia="Palatino Linotype" w:hAnsi="Palatino Linotype" w:cs="Palatino Linotype"/>
          <w:sz w:val="22"/>
          <w:szCs w:val="22"/>
        </w:rPr>
      </w:pPr>
    </w:p>
    <w:p w14:paraId="0820C46D" w14:textId="6C1C3893" w:rsidR="00DF3727" w:rsidRPr="00DF3727" w:rsidRDefault="00DF3727">
      <w:pPr>
        <w:spacing w:before="240" w:after="240" w:line="360" w:lineRule="auto"/>
        <w:jc w:val="both"/>
        <w:rPr>
          <w:rFonts w:ascii="Palatino Linotype" w:eastAsia="Palatino Linotype" w:hAnsi="Palatino Linotype" w:cs="Palatino Linotype"/>
          <w:sz w:val="22"/>
          <w:szCs w:val="22"/>
        </w:rPr>
      </w:pPr>
    </w:p>
    <w:p w14:paraId="11B35B56" w14:textId="28C3B681" w:rsidR="00DF3727" w:rsidRPr="00DF3727" w:rsidRDefault="00DF3727">
      <w:pPr>
        <w:spacing w:before="240" w:after="240" w:line="360" w:lineRule="auto"/>
        <w:jc w:val="both"/>
        <w:rPr>
          <w:rFonts w:ascii="Palatino Linotype" w:eastAsia="Palatino Linotype" w:hAnsi="Palatino Linotype" w:cs="Palatino Linotype"/>
          <w:sz w:val="22"/>
          <w:szCs w:val="22"/>
        </w:rPr>
      </w:pPr>
    </w:p>
    <w:p w14:paraId="773D388B" w14:textId="02AF29DB" w:rsidR="00DF3727" w:rsidRPr="00DF3727" w:rsidRDefault="00DF3727">
      <w:pPr>
        <w:spacing w:before="240" w:after="240" w:line="360" w:lineRule="auto"/>
        <w:jc w:val="both"/>
        <w:rPr>
          <w:rFonts w:ascii="Palatino Linotype" w:eastAsia="Palatino Linotype" w:hAnsi="Palatino Linotype" w:cs="Palatino Linotype"/>
          <w:sz w:val="22"/>
          <w:szCs w:val="22"/>
        </w:rPr>
      </w:pPr>
    </w:p>
    <w:p w14:paraId="14E565B1" w14:textId="77777777" w:rsidR="00DF3727" w:rsidRPr="00DF3727" w:rsidRDefault="00DF3727">
      <w:pPr>
        <w:spacing w:before="240" w:after="240" w:line="360" w:lineRule="auto"/>
        <w:jc w:val="both"/>
        <w:rPr>
          <w:rFonts w:ascii="Palatino Linotype" w:eastAsia="Palatino Linotype" w:hAnsi="Palatino Linotype" w:cs="Palatino Linotype"/>
          <w:sz w:val="22"/>
          <w:szCs w:val="22"/>
        </w:rPr>
      </w:pPr>
    </w:p>
    <w:sectPr w:rsidR="00DF3727" w:rsidRPr="00DF3727">
      <w:headerReference w:type="default" r:id="rId17"/>
      <w:footerReference w:type="default" r:id="rId18"/>
      <w:headerReference w:type="first" r:id="rId19"/>
      <w:footerReference w:type="first" r:id="rId20"/>
      <w:pgSz w:w="12240" w:h="15840"/>
      <w:pgMar w:top="1985" w:right="1467"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B5BAE" w14:textId="77777777" w:rsidR="004D3493" w:rsidRDefault="004D3493">
      <w:r>
        <w:separator/>
      </w:r>
    </w:p>
  </w:endnote>
  <w:endnote w:type="continuationSeparator" w:id="0">
    <w:p w14:paraId="38D7AAD7" w14:textId="77777777" w:rsidR="004D3493" w:rsidRDefault="004D3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C2D07" w14:textId="77777777" w:rsidR="00AF64FD" w:rsidRDefault="0081689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C72E8">
      <w:rPr>
        <w:rFonts w:ascii="Palatino Linotype" w:eastAsia="Palatino Linotype" w:hAnsi="Palatino Linotype" w:cs="Palatino Linotype"/>
        <w:b/>
        <w:noProof/>
        <w:color w:val="000000"/>
        <w:sz w:val="20"/>
        <w:szCs w:val="20"/>
      </w:rPr>
      <w:t>44</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C72E8">
      <w:rPr>
        <w:rFonts w:ascii="Palatino Linotype" w:eastAsia="Palatino Linotype" w:hAnsi="Palatino Linotype" w:cs="Palatino Linotype"/>
        <w:b/>
        <w:noProof/>
        <w:color w:val="000000"/>
        <w:sz w:val="20"/>
        <w:szCs w:val="20"/>
      </w:rPr>
      <w:t>44</w:t>
    </w:r>
    <w:r>
      <w:rPr>
        <w:rFonts w:ascii="Palatino Linotype" w:eastAsia="Palatino Linotype" w:hAnsi="Palatino Linotype" w:cs="Palatino Linotype"/>
        <w:b/>
        <w:color w:val="000000"/>
        <w:sz w:val="20"/>
        <w:szCs w:val="20"/>
      </w:rPr>
      <w:fldChar w:fldCharType="end"/>
    </w:r>
  </w:p>
  <w:p w14:paraId="5FA81738" w14:textId="77777777" w:rsidR="00AF64FD" w:rsidRDefault="00AF64FD">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07703" w14:textId="77777777" w:rsidR="00AF64FD" w:rsidRDefault="0081689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C72E8">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C72E8">
      <w:rPr>
        <w:rFonts w:ascii="Palatino Linotype" w:eastAsia="Palatino Linotype" w:hAnsi="Palatino Linotype" w:cs="Palatino Linotype"/>
        <w:b/>
        <w:noProof/>
        <w:color w:val="000000"/>
        <w:sz w:val="20"/>
        <w:szCs w:val="20"/>
      </w:rPr>
      <w:t>44</w:t>
    </w:r>
    <w:r>
      <w:rPr>
        <w:rFonts w:ascii="Palatino Linotype" w:eastAsia="Palatino Linotype" w:hAnsi="Palatino Linotype" w:cs="Palatino Linotype"/>
        <w:b/>
        <w:color w:val="000000"/>
        <w:sz w:val="20"/>
        <w:szCs w:val="20"/>
      </w:rPr>
      <w:fldChar w:fldCharType="end"/>
    </w:r>
  </w:p>
  <w:p w14:paraId="0FB276C6" w14:textId="77777777" w:rsidR="00AF64FD" w:rsidRDefault="00AF64FD">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497DB" w14:textId="77777777" w:rsidR="004D3493" w:rsidRDefault="004D3493">
      <w:r>
        <w:separator/>
      </w:r>
    </w:p>
  </w:footnote>
  <w:footnote w:type="continuationSeparator" w:id="0">
    <w:p w14:paraId="4DAB25E6" w14:textId="77777777" w:rsidR="004D3493" w:rsidRDefault="004D34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35EDF" w14:textId="77777777" w:rsidR="00AF64FD" w:rsidRDefault="00816891">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5CC214D0" wp14:editId="1CA56281">
          <wp:simplePos x="0" y="0"/>
          <wp:positionH relativeFrom="column">
            <wp:posOffset>-1080127</wp:posOffset>
          </wp:positionH>
          <wp:positionV relativeFrom="paragraph">
            <wp:posOffset>-488307</wp:posOffset>
          </wp:positionV>
          <wp:extent cx="7809865" cy="10165715"/>
          <wp:effectExtent l="0" t="0" r="0" b="0"/>
          <wp:wrapNone/>
          <wp:docPr id="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5953" w:type="dxa"/>
      <w:tblInd w:w="3261" w:type="dxa"/>
      <w:tblLayout w:type="fixed"/>
      <w:tblLook w:val="0400" w:firstRow="0" w:lastRow="0" w:firstColumn="0" w:lastColumn="0" w:noHBand="0" w:noVBand="1"/>
    </w:tblPr>
    <w:tblGrid>
      <w:gridCol w:w="2489"/>
      <w:gridCol w:w="3464"/>
    </w:tblGrid>
    <w:tr w:rsidR="00AF64FD" w14:paraId="7CC11E8C" w14:textId="77777777">
      <w:tc>
        <w:tcPr>
          <w:tcW w:w="2489" w:type="dxa"/>
          <w:shd w:val="clear" w:color="auto" w:fill="auto"/>
        </w:tcPr>
        <w:p w14:paraId="5DBB8F6A" w14:textId="77777777" w:rsidR="00AF64FD" w:rsidRDefault="0081689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7F79BFD4" w14:textId="77777777" w:rsidR="00AF64FD" w:rsidRDefault="0081689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02789/INFOEM/IP/RR/2025</w:t>
          </w:r>
        </w:p>
      </w:tc>
    </w:tr>
    <w:tr w:rsidR="00AF64FD" w14:paraId="26A20E31" w14:textId="77777777">
      <w:trPr>
        <w:trHeight w:val="228"/>
      </w:trPr>
      <w:tc>
        <w:tcPr>
          <w:tcW w:w="2489" w:type="dxa"/>
          <w:shd w:val="clear" w:color="auto" w:fill="auto"/>
          <w:vAlign w:val="center"/>
        </w:tcPr>
        <w:p w14:paraId="17BDEEDA" w14:textId="77777777" w:rsidR="00AF64FD" w:rsidRDefault="0081689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6C80DCC3" w14:textId="77777777" w:rsidR="00AF64FD" w:rsidRDefault="00816891">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Cuautitlán Izcalli</w:t>
          </w:r>
        </w:p>
      </w:tc>
    </w:tr>
    <w:tr w:rsidR="00AF64FD" w14:paraId="3EFAD2C1" w14:textId="77777777">
      <w:tc>
        <w:tcPr>
          <w:tcW w:w="2489" w:type="dxa"/>
          <w:shd w:val="clear" w:color="auto" w:fill="auto"/>
          <w:vAlign w:val="center"/>
        </w:tcPr>
        <w:p w14:paraId="32073043" w14:textId="77777777" w:rsidR="00AF64FD" w:rsidRDefault="00816891">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58D35899" w14:textId="77777777" w:rsidR="00AF64FD" w:rsidRDefault="0081689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774028A" w14:textId="77777777" w:rsidR="00AF64FD" w:rsidRDefault="00816891">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9F56C" w14:textId="77777777" w:rsidR="00AF64FD" w:rsidRDefault="0081689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 </w:t>
    </w:r>
  </w:p>
  <w:tbl>
    <w:tblPr>
      <w:tblStyle w:val="a3"/>
      <w:tblW w:w="5670" w:type="dxa"/>
      <w:tblInd w:w="3261" w:type="dxa"/>
      <w:tblLayout w:type="fixed"/>
      <w:tblLook w:val="0400" w:firstRow="0" w:lastRow="0" w:firstColumn="0" w:lastColumn="0" w:noHBand="0" w:noVBand="1"/>
    </w:tblPr>
    <w:tblGrid>
      <w:gridCol w:w="2551"/>
      <w:gridCol w:w="3119"/>
    </w:tblGrid>
    <w:tr w:rsidR="00AF64FD" w14:paraId="5B2A84E1" w14:textId="77777777">
      <w:tc>
        <w:tcPr>
          <w:tcW w:w="2551" w:type="dxa"/>
          <w:shd w:val="clear" w:color="auto" w:fill="auto"/>
          <w:vAlign w:val="center"/>
        </w:tcPr>
        <w:p w14:paraId="13F91BD6" w14:textId="77777777" w:rsidR="00AF64FD" w:rsidRDefault="0081689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56AD8DEC" w14:textId="77777777" w:rsidR="00AF64FD" w:rsidRDefault="00816891">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02789/INFOEM/IP/RR/2025</w:t>
          </w:r>
        </w:p>
      </w:tc>
    </w:tr>
    <w:tr w:rsidR="00AF64FD" w14:paraId="70E62D6B" w14:textId="77777777">
      <w:trPr>
        <w:trHeight w:val="130"/>
      </w:trPr>
      <w:tc>
        <w:tcPr>
          <w:tcW w:w="2551" w:type="dxa"/>
          <w:shd w:val="clear" w:color="auto" w:fill="auto"/>
          <w:vAlign w:val="center"/>
        </w:tcPr>
        <w:p w14:paraId="09388608" w14:textId="77777777" w:rsidR="00AF64FD" w:rsidRDefault="0081689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587A8FA9" w14:textId="77777777" w:rsidR="00AF64FD" w:rsidRDefault="00816891">
          <w:pPr>
            <w:tabs>
              <w:tab w:val="left" w:pos="3153"/>
            </w:tabs>
            <w:ind w:left="-45"/>
            <w:jc w:val="both"/>
            <w:rPr>
              <w:rFonts w:ascii="Palatino Linotype" w:eastAsia="Palatino Linotype" w:hAnsi="Palatino Linotype" w:cs="Palatino Linotype"/>
              <w:b/>
              <w:sz w:val="22"/>
              <w:szCs w:val="22"/>
            </w:rPr>
          </w:pPr>
          <w:r>
            <w:rPr>
              <w:noProof/>
              <w:lang w:val="es-MX"/>
            </w:rPr>
            <w:drawing>
              <wp:anchor distT="0" distB="0" distL="0" distR="0" simplePos="0" relativeHeight="251659264" behindDoc="1" locked="0" layoutInCell="1" hidden="0" allowOverlap="1" wp14:anchorId="0FC0BAC5" wp14:editId="6FC9CB1D">
                <wp:simplePos x="0" y="0"/>
                <wp:positionH relativeFrom="column">
                  <wp:posOffset>-4425307</wp:posOffset>
                </wp:positionH>
                <wp:positionV relativeFrom="paragraph">
                  <wp:posOffset>-361942</wp:posOffset>
                </wp:positionV>
                <wp:extent cx="7809865" cy="10165715"/>
                <wp:effectExtent l="0" t="0" r="0" b="0"/>
                <wp:wrapNone/>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AF64FD" w14:paraId="79CBA032" w14:textId="77777777">
      <w:trPr>
        <w:trHeight w:val="228"/>
      </w:trPr>
      <w:tc>
        <w:tcPr>
          <w:tcW w:w="2551" w:type="dxa"/>
          <w:shd w:val="clear" w:color="auto" w:fill="auto"/>
          <w:vAlign w:val="center"/>
        </w:tcPr>
        <w:p w14:paraId="496958B5" w14:textId="77777777" w:rsidR="00AF64FD" w:rsidRDefault="0081689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697CF4E3" w14:textId="77777777" w:rsidR="00AF64FD" w:rsidRDefault="00816891">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Cuautitlán Izcalli</w:t>
          </w:r>
        </w:p>
      </w:tc>
    </w:tr>
    <w:tr w:rsidR="00AF64FD" w14:paraId="673197E5" w14:textId="77777777">
      <w:tc>
        <w:tcPr>
          <w:tcW w:w="2551" w:type="dxa"/>
          <w:shd w:val="clear" w:color="auto" w:fill="auto"/>
          <w:vAlign w:val="center"/>
        </w:tcPr>
        <w:p w14:paraId="13CDA869" w14:textId="77777777" w:rsidR="00AF64FD" w:rsidRDefault="0081689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53C27C91" w14:textId="77777777" w:rsidR="00AF64FD" w:rsidRDefault="00816891">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49D287F" w14:textId="77777777" w:rsidR="00AF64FD" w:rsidRDefault="00AF64FD">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829BA"/>
    <w:multiLevelType w:val="multilevel"/>
    <w:tmpl w:val="0B422F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2A70EA7"/>
    <w:multiLevelType w:val="multilevel"/>
    <w:tmpl w:val="9B0456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99B3906"/>
    <w:multiLevelType w:val="multilevel"/>
    <w:tmpl w:val="B14E7C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8AE11EE"/>
    <w:multiLevelType w:val="multilevel"/>
    <w:tmpl w:val="1BCCDE56"/>
    <w:lvl w:ilvl="0">
      <w:start w:val="1"/>
      <w:numFmt w:val="bullet"/>
      <w:pStyle w:val="Listaconvieta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C214224"/>
    <w:multiLevelType w:val="multilevel"/>
    <w:tmpl w:val="1F30D2E6"/>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3046A1F"/>
    <w:multiLevelType w:val="multilevel"/>
    <w:tmpl w:val="F320C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66C591C"/>
    <w:multiLevelType w:val="multilevel"/>
    <w:tmpl w:val="BBF4F5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2"/>
  </w:num>
  <w:num w:numId="3">
    <w:abstractNumId w:val="6"/>
  </w:num>
  <w:num w:numId="4">
    <w:abstractNumId w:val="5"/>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4FD"/>
    <w:rsid w:val="004D3493"/>
    <w:rsid w:val="005F7C93"/>
    <w:rsid w:val="00816891"/>
    <w:rsid w:val="00896BA2"/>
    <w:rsid w:val="009C72E8"/>
    <w:rsid w:val="00AF64FD"/>
    <w:rsid w:val="00B14081"/>
    <w:rsid w:val="00CF5447"/>
    <w:rsid w:val="00DF3727"/>
    <w:rsid w:val="00E33224"/>
    <w:rsid w:val="00EB7A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7817A"/>
  <w15:docId w15:val="{85A4411A-9D9A-493D-841C-6A81AC9A6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1"/>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9">
    <w:name w:val="9"/>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8">
    <w:name w:val="8"/>
    <w:basedOn w:val="TableNormal10"/>
    <w:tblPr>
      <w:tblStyleRowBandSize w:val="1"/>
      <w:tblStyleColBandSize w:val="1"/>
      <w:tblCellMar>
        <w:left w:w="115" w:type="dxa"/>
        <w:right w:w="115" w:type="dxa"/>
      </w:tblCellMar>
    </w:tbl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10"/>
    <w:tblPr>
      <w:tblStyleRowBandSize w:val="1"/>
      <w:tblStyleColBandSize w:val="1"/>
      <w:tblCellMar>
        <w:left w:w="115" w:type="dxa"/>
        <w:right w:w="1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2"/>
    <w:tblPr>
      <w:tblStyleRowBandSize w:val="1"/>
      <w:tblStyleColBandSize w:val="1"/>
      <w:tblCellMar>
        <w:left w:w="115" w:type="dxa"/>
        <w:right w:w="115" w:type="dxa"/>
      </w:tblCellMar>
    </w:tblPr>
  </w:style>
  <w:style w:type="table" w:customStyle="1" w:styleId="3">
    <w:name w:val="3"/>
    <w:basedOn w:val="TableNormal2"/>
    <w:tblPr>
      <w:tblStyleRowBandSize w:val="1"/>
      <w:tblStyleColBandSize w:val="1"/>
      <w:tblCellMar>
        <w:left w:w="115" w:type="dxa"/>
        <w:right w:w="115" w:type="dxa"/>
      </w:tblCellMar>
    </w:tblPr>
  </w:style>
  <w:style w:type="table" w:customStyle="1" w:styleId="2">
    <w:name w:val="2"/>
    <w:basedOn w:val="TableNormal3"/>
    <w:tblPr>
      <w:tblStyleRowBandSize w:val="1"/>
      <w:tblStyleColBandSize w:val="1"/>
      <w:tblCellMar>
        <w:left w:w="115" w:type="dxa"/>
        <w:right w:w="115" w:type="dxa"/>
      </w:tblCellMar>
    </w:tblPr>
  </w:style>
  <w:style w:type="table" w:customStyle="1" w:styleId="1">
    <w:name w:val="1"/>
    <w:basedOn w:val="TableNormal3"/>
    <w:tblPr>
      <w:tblStyleRowBandSize w:val="1"/>
      <w:tblStyleColBandSize w:val="1"/>
      <w:tblCellMar>
        <w:left w:w="115" w:type="dxa"/>
        <w:right w:w="115" w:type="dxa"/>
      </w:tblCellMar>
    </w:tblPr>
  </w:style>
  <w:style w:type="table" w:customStyle="1" w:styleId="12">
    <w:name w:val="12"/>
    <w:basedOn w:val="TableNormal4"/>
    <w:tblPr>
      <w:tblStyleRowBandSize w:val="1"/>
      <w:tblStyleColBandSize w:val="1"/>
      <w:tblCellMar>
        <w:left w:w="108" w:type="dxa"/>
        <w:right w:w="108" w:type="dxa"/>
      </w:tblCellMar>
    </w:tblPr>
  </w:style>
  <w:style w:type="table" w:customStyle="1" w:styleId="11">
    <w:name w:val="11"/>
    <w:basedOn w:val="TableNormal4"/>
    <w:tblPr>
      <w:tblStyleRowBandSize w:val="1"/>
      <w:tblStyleColBandSize w:val="1"/>
      <w:tblCellMar>
        <w:left w:w="115" w:type="dxa"/>
        <w:right w:w="115" w:type="dxa"/>
      </w:tblCellMar>
    </w:tblPr>
  </w:style>
  <w:style w:type="table" w:customStyle="1" w:styleId="10">
    <w:name w:val="10"/>
    <w:basedOn w:val="TableNormal4"/>
    <w:tblPr>
      <w:tblStyleRowBandSize w:val="1"/>
      <w:tblStyleColBandSize w:val="1"/>
      <w:tblCellMar>
        <w:left w:w="115" w:type="dxa"/>
        <w:right w:w="115" w:type="dxa"/>
      </w:tblCellMar>
    </w:tblPr>
  </w:style>
  <w:style w:type="paragraph" w:customStyle="1" w:styleId="p1">
    <w:name w:val="p1"/>
    <w:basedOn w:val="Normal"/>
    <w:rsid w:val="007216A1"/>
    <w:rPr>
      <w:rFonts w:ascii="Helvetica" w:hAnsi="Helvetica"/>
      <w:color w:val="323231"/>
      <w:sz w:val="15"/>
      <w:szCs w:val="15"/>
      <w:lang w:eastAsia="es-ES_tradnl"/>
    </w:rPr>
  </w:style>
  <w:style w:type="paragraph" w:styleId="Listaconvietas">
    <w:name w:val="List Bullet"/>
    <w:basedOn w:val="Normal"/>
    <w:uiPriority w:val="99"/>
    <w:unhideWhenUsed/>
    <w:rsid w:val="006E17BA"/>
    <w:pPr>
      <w:numPr>
        <w:numId w:val="5"/>
      </w:numPr>
      <w:contextualSpacing/>
    </w:pPr>
  </w:style>
  <w:style w:type="table" w:customStyle="1" w:styleId="Tablaconcuadrcula2">
    <w:name w:val="Tabla con cuadrícula2"/>
    <w:basedOn w:val="Tablanormal"/>
    <w:next w:val="Tablaconcuadrcula"/>
    <w:uiPriority w:val="39"/>
    <w:rsid w:val="00493B0C"/>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iFzOyZSwPhscbUba5dFcYDWBHQ==">CgMxLjAyCGguZ2pkZ3hzMgloLjMwajB6bGwyCWguMnM4ZXlvMTIIaC50eWpjd3QyDmguNmE1MjdqbGdnM2syMg5oLncxMGh2MzhvejlodjIIaC5sbnhiejkyCWguMWZvYjl0ZTgAciExeFZEczktY0p0MU9wX1d6YzZFVnNMZERiak01RzRCeTU=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44</Pages>
  <Words>10949</Words>
  <Characters>60223</Characters>
  <Application>Microsoft Office Word</Application>
  <DocSecurity>0</DocSecurity>
  <Lines>501</Lines>
  <Paragraphs>142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71030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Maricela Villagómez Martínez</cp:lastModifiedBy>
  <cp:revision>2</cp:revision>
  <cp:lastPrinted>2025-05-30T17:45:00Z</cp:lastPrinted>
  <dcterms:created xsi:type="dcterms:W3CDTF">2025-06-11T17:30:00Z</dcterms:created>
  <dcterms:modified xsi:type="dcterms:W3CDTF">2025-06-11T17:30:00Z</dcterms:modified>
</cp:coreProperties>
</file>