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860" w:rsidRPr="00BA63CA" w:rsidRDefault="00AF1602">
      <w:pPr>
        <w:tabs>
          <w:tab w:val="left" w:pos="3465"/>
        </w:tabs>
        <w:spacing w:line="360" w:lineRule="auto"/>
        <w:ind w:right="-787"/>
        <w:jc w:val="both"/>
        <w:rPr>
          <w:rFonts w:ascii="Palatino Linotype" w:eastAsia="Palatino Linotype" w:hAnsi="Palatino Linotype" w:cs="Palatino Linotype"/>
        </w:rPr>
      </w:pPr>
      <w:r w:rsidRPr="00BA63CA">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veintiséis (26) de febrero de dos mil veinticinco.</w:t>
      </w:r>
    </w:p>
    <w:p w:rsidR="00E01860" w:rsidRPr="00BA63CA" w:rsidRDefault="00E01860">
      <w:pPr>
        <w:tabs>
          <w:tab w:val="left" w:pos="3465"/>
        </w:tabs>
        <w:spacing w:line="360" w:lineRule="auto"/>
        <w:ind w:right="-787"/>
        <w:jc w:val="both"/>
        <w:rPr>
          <w:rFonts w:ascii="Palatino Linotype" w:eastAsia="Palatino Linotype" w:hAnsi="Palatino Linotype" w:cs="Palatino Linotype"/>
        </w:rPr>
      </w:pPr>
    </w:p>
    <w:p w:rsidR="00E01860" w:rsidRPr="00BA63CA" w:rsidRDefault="00AF1602">
      <w:pPr>
        <w:spacing w:line="360" w:lineRule="auto"/>
        <w:ind w:right="-787"/>
        <w:jc w:val="both"/>
        <w:rPr>
          <w:rFonts w:ascii="Palatino Linotype" w:eastAsia="Palatino Linotype" w:hAnsi="Palatino Linotype" w:cs="Palatino Linotype"/>
        </w:rPr>
      </w:pPr>
      <w:r w:rsidRPr="00BA63CA">
        <w:rPr>
          <w:rFonts w:ascii="Palatino Linotype" w:eastAsia="Palatino Linotype" w:hAnsi="Palatino Linotype" w:cs="Palatino Linotype"/>
          <w:b/>
        </w:rPr>
        <w:t xml:space="preserve">VISTAS </w:t>
      </w:r>
      <w:r w:rsidRPr="00BA63CA">
        <w:rPr>
          <w:rFonts w:ascii="Palatino Linotype" w:eastAsia="Palatino Linotype" w:hAnsi="Palatino Linotype" w:cs="Palatino Linotype"/>
        </w:rPr>
        <w:t xml:space="preserve">las constancias para resolver </w:t>
      </w:r>
      <w:r w:rsidRPr="00BA63CA">
        <w:rPr>
          <w:rFonts w:ascii="Palatino Linotype" w:eastAsia="Palatino Linotype" w:hAnsi="Palatino Linotype" w:cs="Palatino Linotype"/>
          <w:color w:val="000000"/>
        </w:rPr>
        <w:t xml:space="preserve">el Recurso de Revisión </w:t>
      </w:r>
      <w:r w:rsidRPr="00BA63CA">
        <w:rPr>
          <w:rFonts w:ascii="Palatino Linotype" w:eastAsia="Palatino Linotype" w:hAnsi="Palatino Linotype" w:cs="Palatino Linotype"/>
          <w:b/>
          <w:color w:val="000000"/>
        </w:rPr>
        <w:t>04343/INFOEM/IP/RR/2024</w:t>
      </w:r>
      <w:r w:rsidRPr="00BA63CA">
        <w:rPr>
          <w:rFonts w:ascii="Palatino Linotype" w:eastAsia="Palatino Linotype" w:hAnsi="Palatino Linotype" w:cs="Palatino Linotype"/>
          <w:color w:val="000000"/>
        </w:rPr>
        <w:t xml:space="preserve">, promovido </w:t>
      </w:r>
      <w:r w:rsidRPr="00BA63CA">
        <w:rPr>
          <w:rFonts w:ascii="Palatino Linotype" w:eastAsia="Palatino Linotype" w:hAnsi="Palatino Linotype" w:cs="Palatino Linotype"/>
          <w:b/>
        </w:rPr>
        <w:t>por un usuario que no registró nombre alguno</w:t>
      </w:r>
      <w:r w:rsidRPr="00BA63CA">
        <w:rPr>
          <w:rFonts w:ascii="Palatino Linotype" w:eastAsia="Palatino Linotype" w:hAnsi="Palatino Linotype" w:cs="Palatino Linotype"/>
          <w:color w:val="000000"/>
        </w:rPr>
        <w:t>,</w:t>
      </w:r>
      <w:r w:rsidRPr="00BA63CA">
        <w:rPr>
          <w:rFonts w:ascii="Palatino Linotype" w:eastAsia="Palatino Linotype" w:hAnsi="Palatino Linotype" w:cs="Palatino Linotype"/>
          <w:b/>
        </w:rPr>
        <w:t xml:space="preserve"> </w:t>
      </w:r>
      <w:r w:rsidRPr="00BA63CA">
        <w:rPr>
          <w:rFonts w:ascii="Palatino Linotype" w:eastAsia="Palatino Linotype" w:hAnsi="Palatino Linotype" w:cs="Palatino Linotype"/>
        </w:rPr>
        <w:t xml:space="preserve">a quien en lo sucesivo se denominará </w:t>
      </w:r>
      <w:r w:rsidRPr="00BA63CA">
        <w:rPr>
          <w:rFonts w:ascii="Palatino Linotype" w:eastAsia="Palatino Linotype" w:hAnsi="Palatino Linotype" w:cs="Palatino Linotype"/>
          <w:b/>
        </w:rPr>
        <w:t>RECURRENTE</w:t>
      </w:r>
      <w:r w:rsidRPr="00BA63CA">
        <w:rPr>
          <w:rFonts w:ascii="Palatino Linotype" w:eastAsia="Palatino Linotype" w:hAnsi="Palatino Linotype" w:cs="Palatino Linotype"/>
        </w:rPr>
        <w:t xml:space="preserve">, en contra de la respuesta otorgada a la solicitud de información </w:t>
      </w:r>
      <w:r w:rsidRPr="00BA63CA">
        <w:rPr>
          <w:rFonts w:ascii="Palatino Linotype" w:eastAsia="Palatino Linotype" w:hAnsi="Palatino Linotype" w:cs="Palatino Linotype"/>
          <w:b/>
        </w:rPr>
        <w:t>01462/TOLUCA/IP/2024</w:t>
      </w:r>
      <w:r w:rsidRPr="00BA63CA">
        <w:rPr>
          <w:rFonts w:ascii="Palatino Linotype" w:eastAsia="Palatino Linotype" w:hAnsi="Palatino Linotype" w:cs="Palatino Linotype"/>
        </w:rPr>
        <w:t xml:space="preserve">, por parte del </w:t>
      </w:r>
      <w:r w:rsidRPr="00BA63CA">
        <w:rPr>
          <w:rFonts w:ascii="Palatino Linotype" w:eastAsia="Palatino Linotype" w:hAnsi="Palatino Linotype" w:cs="Palatino Linotype"/>
          <w:b/>
        </w:rPr>
        <w:t xml:space="preserve">Ayuntamiento de Toluca, </w:t>
      </w:r>
      <w:r w:rsidRPr="00BA63CA">
        <w:rPr>
          <w:rFonts w:ascii="Palatino Linotype" w:eastAsia="Palatino Linotype" w:hAnsi="Palatino Linotype" w:cs="Palatino Linotype"/>
        </w:rPr>
        <w:t xml:space="preserve">en adelante el </w:t>
      </w:r>
      <w:r w:rsidRPr="00BA63CA">
        <w:rPr>
          <w:rFonts w:ascii="Palatino Linotype" w:eastAsia="Palatino Linotype" w:hAnsi="Palatino Linotype" w:cs="Palatino Linotype"/>
          <w:b/>
        </w:rPr>
        <w:t>SUJETO OBLIGADO,</w:t>
      </w:r>
      <w:r w:rsidRPr="00BA63CA">
        <w:rPr>
          <w:rFonts w:ascii="Palatino Linotype" w:eastAsia="Palatino Linotype" w:hAnsi="Palatino Linotype" w:cs="Palatino Linotype"/>
        </w:rPr>
        <w:t xml:space="preserve"> se emite la presente resolución con base en los siguientes:</w:t>
      </w:r>
    </w:p>
    <w:p w:rsidR="00E01860" w:rsidRPr="00BA63CA" w:rsidRDefault="00E01860">
      <w:pPr>
        <w:spacing w:line="360" w:lineRule="auto"/>
        <w:ind w:right="-787"/>
        <w:jc w:val="both"/>
        <w:rPr>
          <w:rFonts w:ascii="Palatino Linotype" w:eastAsia="Palatino Linotype" w:hAnsi="Palatino Linotype" w:cs="Palatino Linotype"/>
        </w:rPr>
      </w:pPr>
    </w:p>
    <w:p w:rsidR="00E01860" w:rsidRPr="00BA63CA" w:rsidRDefault="00AF1602">
      <w:pPr>
        <w:pStyle w:val="Ttulo1"/>
        <w:spacing w:before="0" w:line="360" w:lineRule="auto"/>
        <w:ind w:right="-787"/>
        <w:jc w:val="center"/>
        <w:rPr>
          <w:rFonts w:ascii="Palatino Linotype" w:eastAsia="Palatino Linotype" w:hAnsi="Palatino Linotype" w:cs="Palatino Linotype"/>
          <w:b/>
          <w:color w:val="000000"/>
          <w:sz w:val="24"/>
          <w:szCs w:val="24"/>
        </w:rPr>
      </w:pPr>
      <w:bookmarkStart w:id="0" w:name="_heading=h.gjdgxs" w:colFirst="0" w:colLast="0"/>
      <w:bookmarkEnd w:id="0"/>
      <w:r w:rsidRPr="00BA63CA">
        <w:rPr>
          <w:rFonts w:ascii="Palatino Linotype" w:eastAsia="Palatino Linotype" w:hAnsi="Palatino Linotype" w:cs="Palatino Linotype"/>
          <w:b/>
          <w:color w:val="000000"/>
          <w:sz w:val="24"/>
          <w:szCs w:val="24"/>
        </w:rPr>
        <w:t>A N T E C E D E N T E S</w:t>
      </w:r>
    </w:p>
    <w:p w:rsidR="00E01860" w:rsidRPr="00BA63CA" w:rsidRDefault="00E01860">
      <w:pPr>
        <w:pBdr>
          <w:top w:val="nil"/>
          <w:left w:val="nil"/>
          <w:bottom w:val="nil"/>
          <w:right w:val="nil"/>
          <w:between w:val="nil"/>
        </w:pBdr>
        <w:spacing w:line="360" w:lineRule="auto"/>
        <w:ind w:left="720" w:right="-787"/>
        <w:jc w:val="both"/>
        <w:rPr>
          <w:rFonts w:ascii="Palatino Linotype" w:eastAsia="Palatino Linotype" w:hAnsi="Palatino Linotype" w:cs="Palatino Linotype"/>
          <w:b/>
          <w:color w:val="000000"/>
          <w:u w:val="single"/>
        </w:rPr>
      </w:pPr>
    </w:p>
    <w:p w:rsidR="00E01860" w:rsidRPr="00BA63CA" w:rsidRDefault="00AF1602">
      <w:pPr>
        <w:numPr>
          <w:ilvl w:val="0"/>
          <w:numId w:val="1"/>
        </w:numPr>
        <w:pBdr>
          <w:top w:val="nil"/>
          <w:left w:val="nil"/>
          <w:bottom w:val="nil"/>
          <w:right w:val="nil"/>
          <w:between w:val="nil"/>
        </w:pBdr>
        <w:tabs>
          <w:tab w:val="left" w:pos="0"/>
        </w:tabs>
        <w:spacing w:line="360" w:lineRule="auto"/>
        <w:ind w:left="0" w:right="-787" w:firstLine="0"/>
        <w:jc w:val="both"/>
        <w:rPr>
          <w:color w:val="000000"/>
        </w:rPr>
      </w:pPr>
      <w:r w:rsidRPr="00BA63CA">
        <w:rPr>
          <w:rFonts w:ascii="Palatino Linotype" w:eastAsia="Palatino Linotype" w:hAnsi="Palatino Linotype" w:cs="Palatino Linotype"/>
          <w:color w:val="000000"/>
        </w:rPr>
        <w:t xml:space="preserve">El </w:t>
      </w:r>
      <w:r w:rsidRPr="00BA63CA">
        <w:rPr>
          <w:rFonts w:ascii="Palatino Linotype" w:eastAsia="Palatino Linotype" w:hAnsi="Palatino Linotype" w:cs="Palatino Linotype"/>
          <w:b/>
          <w:color w:val="000000"/>
        </w:rPr>
        <w:t>diecisiete de junio de dos mil veinticuatro</w:t>
      </w:r>
      <w:r w:rsidRPr="00BA63CA">
        <w:rPr>
          <w:rFonts w:ascii="Palatino Linotype" w:eastAsia="Palatino Linotype" w:hAnsi="Palatino Linotype" w:cs="Palatino Linotype"/>
          <w:color w:val="000000"/>
        </w:rPr>
        <w:t>,</w:t>
      </w:r>
      <w:r w:rsidRPr="00BA63CA">
        <w:rPr>
          <w:rFonts w:ascii="Palatino Linotype" w:eastAsia="Palatino Linotype" w:hAnsi="Palatino Linotype" w:cs="Palatino Linotype"/>
          <w:b/>
          <w:color w:val="000000"/>
        </w:rPr>
        <w:t xml:space="preserve"> </w:t>
      </w:r>
      <w:r w:rsidRPr="00BA63CA">
        <w:rPr>
          <w:rFonts w:ascii="Palatino Linotype" w:eastAsia="Palatino Linotype" w:hAnsi="Palatino Linotype" w:cs="Palatino Linotype"/>
          <w:color w:val="000000"/>
        </w:rPr>
        <w:t>se presentó ante el Sujeto Obligado a través del Sistema de Acceso a la Información Mexiquense (SAIMEX), la siguiente solicitud de información pública:</w:t>
      </w:r>
    </w:p>
    <w:p w:rsidR="00E01860" w:rsidRPr="00BA63CA" w:rsidRDefault="00E01860">
      <w:pPr>
        <w:pBdr>
          <w:top w:val="nil"/>
          <w:left w:val="nil"/>
          <w:bottom w:val="nil"/>
          <w:right w:val="nil"/>
          <w:between w:val="nil"/>
        </w:pBdr>
        <w:ind w:right="-787"/>
        <w:jc w:val="both"/>
        <w:rPr>
          <w:rFonts w:ascii="Palatino Linotype" w:eastAsia="Palatino Linotype" w:hAnsi="Palatino Linotype" w:cs="Palatino Linotype"/>
          <w:color w:val="000000"/>
        </w:rPr>
      </w:pPr>
    </w:p>
    <w:p w:rsidR="00E01860" w:rsidRPr="00BA63CA" w:rsidRDefault="00AF1602">
      <w:pPr>
        <w:pBdr>
          <w:top w:val="nil"/>
          <w:left w:val="nil"/>
          <w:bottom w:val="nil"/>
          <w:right w:val="nil"/>
          <w:between w:val="nil"/>
        </w:pBdr>
        <w:ind w:left="567" w:right="-787"/>
        <w:jc w:val="both"/>
        <w:rPr>
          <w:rFonts w:ascii="Palatino Linotype" w:eastAsia="Palatino Linotype" w:hAnsi="Palatino Linotype" w:cs="Palatino Linotype"/>
          <w:i/>
          <w:color w:val="000000"/>
        </w:rPr>
      </w:pPr>
      <w:r w:rsidRPr="00BA63CA">
        <w:rPr>
          <w:rFonts w:ascii="Palatino Linotype" w:eastAsia="Palatino Linotype" w:hAnsi="Palatino Linotype" w:cs="Palatino Linotype"/>
          <w:i/>
          <w:color w:val="000000"/>
        </w:rPr>
        <w:t>“Deseo conocer las rutas, frecuencias y horarios de los camiones recolectores de basura en el municipio de Toluca, Cuántos contenedores de basura hay, su localización y si se cuenta con supervisores de ruta, acompañando de la documentación que acredite la respuesta del sujeto obligado.” (Sic)</w:t>
      </w:r>
    </w:p>
    <w:p w:rsidR="00E01860" w:rsidRPr="00BA63CA" w:rsidRDefault="00E01860">
      <w:pPr>
        <w:spacing w:line="360" w:lineRule="auto"/>
        <w:ind w:right="-787"/>
        <w:jc w:val="both"/>
        <w:rPr>
          <w:rFonts w:ascii="Palatino Linotype" w:eastAsia="Palatino Linotype" w:hAnsi="Palatino Linotype" w:cs="Palatino Linotype"/>
        </w:rPr>
      </w:pPr>
    </w:p>
    <w:p w:rsidR="00E01860" w:rsidRPr="00BA63CA" w:rsidRDefault="00AF1602">
      <w:pPr>
        <w:numPr>
          <w:ilvl w:val="0"/>
          <w:numId w:val="10"/>
        </w:numPr>
        <w:pBdr>
          <w:top w:val="nil"/>
          <w:left w:val="nil"/>
          <w:bottom w:val="nil"/>
          <w:right w:val="nil"/>
          <w:between w:val="nil"/>
        </w:pBdr>
        <w:tabs>
          <w:tab w:val="left" w:pos="0"/>
        </w:tabs>
        <w:spacing w:line="360" w:lineRule="auto"/>
        <w:ind w:left="709" w:right="-787"/>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 xml:space="preserve">Se eligió como modalidad de entrega de la información: A través del </w:t>
      </w:r>
      <w:r w:rsidRPr="00BA63CA">
        <w:rPr>
          <w:rFonts w:ascii="Palatino Linotype" w:eastAsia="Palatino Linotype" w:hAnsi="Palatino Linotype" w:cs="Palatino Linotype"/>
          <w:b/>
          <w:color w:val="000000"/>
        </w:rPr>
        <w:t>SAIMEX.</w:t>
      </w:r>
    </w:p>
    <w:p w:rsidR="00E01860" w:rsidRPr="00BA63CA" w:rsidRDefault="00E01860">
      <w:pPr>
        <w:pBdr>
          <w:top w:val="nil"/>
          <w:left w:val="nil"/>
          <w:bottom w:val="nil"/>
          <w:right w:val="nil"/>
          <w:between w:val="nil"/>
        </w:pBdr>
        <w:tabs>
          <w:tab w:val="left" w:pos="0"/>
        </w:tabs>
        <w:spacing w:line="360" w:lineRule="auto"/>
        <w:ind w:left="709" w:right="-787"/>
        <w:jc w:val="both"/>
        <w:rPr>
          <w:rFonts w:ascii="Palatino Linotype" w:eastAsia="Palatino Linotype" w:hAnsi="Palatino Linotype" w:cs="Palatino Linotype"/>
          <w:color w:val="000000"/>
        </w:rPr>
      </w:pPr>
    </w:p>
    <w:p w:rsidR="00E01860" w:rsidRPr="00BA63CA" w:rsidRDefault="00AF1602">
      <w:pPr>
        <w:numPr>
          <w:ilvl w:val="0"/>
          <w:numId w:val="1"/>
        </w:numPr>
        <w:pBdr>
          <w:top w:val="nil"/>
          <w:left w:val="nil"/>
          <w:bottom w:val="nil"/>
          <w:right w:val="nil"/>
          <w:between w:val="nil"/>
        </w:pBdr>
        <w:tabs>
          <w:tab w:val="left" w:pos="0"/>
        </w:tabs>
        <w:spacing w:line="360" w:lineRule="auto"/>
        <w:ind w:left="0" w:right="-787" w:firstLine="0"/>
        <w:jc w:val="both"/>
        <w:rPr>
          <w:color w:val="000000"/>
        </w:rPr>
      </w:pPr>
      <w:r w:rsidRPr="00BA63CA">
        <w:rPr>
          <w:rFonts w:ascii="Palatino Linotype" w:eastAsia="Palatino Linotype" w:hAnsi="Palatino Linotype" w:cs="Palatino Linotype"/>
          <w:color w:val="000000"/>
        </w:rPr>
        <w:t>El</w:t>
      </w:r>
      <w:r w:rsidRPr="00BA63CA">
        <w:rPr>
          <w:rFonts w:ascii="Palatino Linotype" w:eastAsia="Palatino Linotype" w:hAnsi="Palatino Linotype" w:cs="Palatino Linotype"/>
          <w:b/>
          <w:color w:val="000000"/>
        </w:rPr>
        <w:t xml:space="preserve"> ocho de julio de dos mil veinticuatro</w:t>
      </w:r>
      <w:r w:rsidRPr="00BA63CA">
        <w:rPr>
          <w:rFonts w:ascii="Palatino Linotype" w:eastAsia="Palatino Linotype" w:hAnsi="Palatino Linotype" w:cs="Palatino Linotype"/>
          <w:color w:val="000000"/>
        </w:rPr>
        <w:t>, el Sujeto Obligado</w:t>
      </w:r>
      <w:r w:rsidRPr="00BA63CA">
        <w:rPr>
          <w:rFonts w:ascii="Palatino Linotype" w:eastAsia="Palatino Linotype" w:hAnsi="Palatino Linotype" w:cs="Palatino Linotype"/>
          <w:b/>
          <w:color w:val="000000"/>
        </w:rPr>
        <w:t>,</w:t>
      </w:r>
      <w:r w:rsidRPr="00BA63CA">
        <w:rPr>
          <w:rFonts w:ascii="Palatino Linotype" w:eastAsia="Palatino Linotype" w:hAnsi="Palatino Linotype" w:cs="Palatino Linotype"/>
          <w:color w:val="000000"/>
        </w:rPr>
        <w:t xml:space="preserve"> dio respuesta a través del archivo digital siguiente:</w:t>
      </w:r>
    </w:p>
    <w:p w:rsidR="00E01860" w:rsidRPr="00BA63CA" w:rsidRDefault="00AF1602">
      <w:pPr>
        <w:pBdr>
          <w:top w:val="nil"/>
          <w:left w:val="nil"/>
          <w:bottom w:val="nil"/>
          <w:right w:val="nil"/>
          <w:between w:val="nil"/>
        </w:pBdr>
        <w:tabs>
          <w:tab w:val="left" w:pos="567"/>
        </w:tabs>
        <w:ind w:left="567" w:right="-220"/>
        <w:jc w:val="both"/>
        <w:rPr>
          <w:rFonts w:ascii="Palatino Linotype" w:eastAsia="Palatino Linotype" w:hAnsi="Palatino Linotype" w:cs="Palatino Linotype"/>
          <w:b/>
          <w:i/>
          <w:color w:val="000000"/>
          <w:sz w:val="22"/>
          <w:szCs w:val="22"/>
        </w:rPr>
      </w:pPr>
      <w:r w:rsidRPr="00BA63CA">
        <w:rPr>
          <w:rFonts w:ascii="Palatino Linotype" w:eastAsia="Palatino Linotype" w:hAnsi="Palatino Linotype" w:cs="Palatino Linotype"/>
          <w:b/>
          <w:i/>
          <w:color w:val="000000"/>
          <w:sz w:val="22"/>
          <w:szCs w:val="22"/>
        </w:rPr>
        <w:t>Respuesta 01462_24.pdf</w:t>
      </w:r>
    </w:p>
    <w:p w:rsidR="00E01860" w:rsidRPr="00BA63CA" w:rsidRDefault="00AF1602">
      <w:pPr>
        <w:pBdr>
          <w:top w:val="nil"/>
          <w:left w:val="nil"/>
          <w:bottom w:val="nil"/>
          <w:right w:val="nil"/>
          <w:between w:val="nil"/>
        </w:pBdr>
        <w:tabs>
          <w:tab w:val="left" w:pos="567"/>
        </w:tabs>
        <w:ind w:left="567" w:right="-2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lastRenderedPageBreak/>
        <w:t>Oficio de fecha 08 de julio de 2024 firmado por la Titular de la Unidad de Transparencia, manifiesta que el Servidor Público Habilitado de la Dirección General de Servicios Públicos, a través del Departamento de Recolección Transferencia y Disposición Final de Residuos Sólidos informa:</w:t>
      </w:r>
    </w:p>
    <w:p w:rsidR="00E01860" w:rsidRPr="00BA63CA" w:rsidRDefault="00E01860">
      <w:pPr>
        <w:pBdr>
          <w:top w:val="nil"/>
          <w:left w:val="nil"/>
          <w:bottom w:val="nil"/>
          <w:right w:val="nil"/>
          <w:between w:val="nil"/>
        </w:pBdr>
        <w:tabs>
          <w:tab w:val="left" w:pos="567"/>
        </w:tabs>
        <w:ind w:left="567" w:right="-220"/>
        <w:jc w:val="both"/>
        <w:rPr>
          <w:rFonts w:ascii="Palatino Linotype" w:eastAsia="Palatino Linotype" w:hAnsi="Palatino Linotype" w:cs="Palatino Linotype"/>
          <w:color w:val="000000"/>
          <w:sz w:val="22"/>
          <w:szCs w:val="22"/>
        </w:rPr>
      </w:pPr>
    </w:p>
    <w:p w:rsidR="00E01860" w:rsidRPr="00BA63CA" w:rsidRDefault="00AF1602">
      <w:pPr>
        <w:numPr>
          <w:ilvl w:val="0"/>
          <w:numId w:val="6"/>
        </w:numPr>
        <w:pBdr>
          <w:top w:val="nil"/>
          <w:left w:val="nil"/>
          <w:bottom w:val="nil"/>
          <w:right w:val="nil"/>
          <w:between w:val="nil"/>
        </w:pBdr>
        <w:tabs>
          <w:tab w:val="left" w:pos="567"/>
        </w:tabs>
        <w:ind w:right="-2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 xml:space="preserve">Las rutas, frecuencias, horarios, contenedores y su localización se puede localizar en el link </w:t>
      </w:r>
      <w:hyperlink r:id="rId8">
        <w:r w:rsidRPr="00BA63CA">
          <w:rPr>
            <w:rFonts w:ascii="Palatino Linotype" w:eastAsia="Palatino Linotype" w:hAnsi="Palatino Linotype" w:cs="Palatino Linotype"/>
            <w:color w:val="0563C1"/>
            <w:sz w:val="22"/>
            <w:szCs w:val="22"/>
            <w:u w:val="single"/>
          </w:rPr>
          <w:t>https://toluca.datasets.mx</w:t>
        </w:r>
      </w:hyperlink>
      <w:r w:rsidRPr="00BA63CA">
        <w:rPr>
          <w:rFonts w:ascii="Palatino Linotype" w:eastAsia="Palatino Linotype" w:hAnsi="Palatino Linotype" w:cs="Palatino Linotype"/>
          <w:color w:val="000000"/>
          <w:sz w:val="22"/>
          <w:szCs w:val="22"/>
        </w:rPr>
        <w:t xml:space="preserve"> </w:t>
      </w:r>
    </w:p>
    <w:p w:rsidR="00E01860" w:rsidRPr="00BA63CA" w:rsidRDefault="00E01860">
      <w:pPr>
        <w:pBdr>
          <w:top w:val="nil"/>
          <w:left w:val="nil"/>
          <w:bottom w:val="nil"/>
          <w:right w:val="nil"/>
          <w:between w:val="nil"/>
        </w:pBdr>
        <w:tabs>
          <w:tab w:val="left" w:pos="567"/>
        </w:tabs>
        <w:ind w:left="1287" w:right="-220"/>
        <w:jc w:val="both"/>
        <w:rPr>
          <w:rFonts w:ascii="Palatino Linotype" w:eastAsia="Palatino Linotype" w:hAnsi="Palatino Linotype" w:cs="Palatino Linotype"/>
          <w:color w:val="000000"/>
          <w:sz w:val="22"/>
          <w:szCs w:val="22"/>
        </w:rPr>
      </w:pPr>
    </w:p>
    <w:p w:rsidR="00E01860" w:rsidRPr="00BA63CA" w:rsidRDefault="00AF1602">
      <w:pPr>
        <w:numPr>
          <w:ilvl w:val="0"/>
          <w:numId w:val="6"/>
        </w:numPr>
        <w:pBdr>
          <w:top w:val="nil"/>
          <w:left w:val="nil"/>
          <w:bottom w:val="nil"/>
          <w:right w:val="nil"/>
          <w:between w:val="nil"/>
        </w:pBdr>
        <w:tabs>
          <w:tab w:val="left" w:pos="567"/>
        </w:tabs>
        <w:ind w:right="-2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La valoración y comportamiento de las rutas se lleva a cabo por medio del Jefe de Departamento, choferes de las unidades y en coordinación con las autoridades auxiliares, Delegados, Subdelegados y Copacis.</w:t>
      </w:r>
    </w:p>
    <w:p w:rsidR="00E01860" w:rsidRPr="00BA63CA" w:rsidRDefault="00E01860">
      <w:pPr>
        <w:pBdr>
          <w:top w:val="nil"/>
          <w:left w:val="nil"/>
          <w:bottom w:val="nil"/>
          <w:right w:val="nil"/>
          <w:between w:val="nil"/>
        </w:pBdr>
        <w:tabs>
          <w:tab w:val="left" w:pos="567"/>
        </w:tabs>
        <w:ind w:right="-787"/>
        <w:jc w:val="both"/>
        <w:rPr>
          <w:rFonts w:ascii="Palatino Linotype" w:eastAsia="Palatino Linotype" w:hAnsi="Palatino Linotype" w:cs="Palatino Linotype"/>
          <w:color w:val="000000"/>
        </w:rPr>
      </w:pPr>
    </w:p>
    <w:p w:rsidR="00E01860" w:rsidRPr="00BA63CA" w:rsidRDefault="00AF1602">
      <w:pPr>
        <w:numPr>
          <w:ilvl w:val="0"/>
          <w:numId w:val="1"/>
        </w:numPr>
        <w:pBdr>
          <w:top w:val="nil"/>
          <w:left w:val="nil"/>
          <w:bottom w:val="nil"/>
          <w:right w:val="nil"/>
          <w:between w:val="nil"/>
        </w:pBdr>
        <w:tabs>
          <w:tab w:val="left" w:pos="0"/>
        </w:tabs>
        <w:spacing w:line="360" w:lineRule="auto"/>
        <w:ind w:left="0" w:right="-787" w:firstLine="0"/>
        <w:jc w:val="both"/>
        <w:rPr>
          <w:color w:val="000000"/>
        </w:rPr>
      </w:pPr>
      <w:r w:rsidRPr="00BA63CA">
        <w:rPr>
          <w:rFonts w:ascii="Palatino Linotype" w:eastAsia="Palatino Linotype" w:hAnsi="Palatino Linotype" w:cs="Palatino Linotype"/>
          <w:color w:val="000000"/>
        </w:rPr>
        <w:t>El</w:t>
      </w:r>
      <w:r w:rsidRPr="00BA63CA">
        <w:rPr>
          <w:rFonts w:ascii="Palatino Linotype" w:eastAsia="Palatino Linotype" w:hAnsi="Palatino Linotype" w:cs="Palatino Linotype"/>
          <w:b/>
          <w:color w:val="000000"/>
        </w:rPr>
        <w:t xml:space="preserve"> nueve de julio de dos mil veinticuatro</w:t>
      </w:r>
      <w:r w:rsidRPr="00BA63CA">
        <w:rPr>
          <w:rFonts w:ascii="Palatino Linotype" w:eastAsia="Palatino Linotype" w:hAnsi="Palatino Linotype" w:cs="Palatino Linotype"/>
          <w:color w:val="000000"/>
        </w:rPr>
        <w:t>, el particular interpuso el recurso de revisión en contra de la respuesta otorgada por el Sujeto Obligado, realizando las siguientes manifestaciones:</w:t>
      </w:r>
    </w:p>
    <w:p w:rsidR="00E01860" w:rsidRPr="00BA63CA" w:rsidRDefault="00AF1602">
      <w:pPr>
        <w:numPr>
          <w:ilvl w:val="0"/>
          <w:numId w:val="9"/>
        </w:numPr>
        <w:pBdr>
          <w:top w:val="nil"/>
          <w:left w:val="nil"/>
          <w:bottom w:val="nil"/>
          <w:right w:val="nil"/>
          <w:between w:val="nil"/>
        </w:pBdr>
        <w:ind w:left="992" w:right="-220"/>
        <w:jc w:val="both"/>
        <w:rPr>
          <w:rFonts w:ascii="Palatino Linotype" w:eastAsia="Palatino Linotype" w:hAnsi="Palatino Linotype" w:cs="Palatino Linotype"/>
          <w:i/>
          <w:color w:val="000000"/>
          <w:sz w:val="22"/>
          <w:szCs w:val="22"/>
        </w:rPr>
      </w:pPr>
      <w:bookmarkStart w:id="1" w:name="_heading=h.30j0zll" w:colFirst="0" w:colLast="0"/>
      <w:bookmarkEnd w:id="1"/>
      <w:r w:rsidRPr="00BA63CA">
        <w:rPr>
          <w:rFonts w:ascii="Palatino Linotype" w:eastAsia="Palatino Linotype" w:hAnsi="Palatino Linotype" w:cs="Palatino Linotype"/>
          <w:b/>
          <w:color w:val="000000"/>
          <w:sz w:val="22"/>
          <w:szCs w:val="22"/>
        </w:rPr>
        <w:t xml:space="preserve">Acto impugnado: </w:t>
      </w:r>
    </w:p>
    <w:p w:rsidR="00E01860" w:rsidRPr="00BA63CA" w:rsidRDefault="00AF1602">
      <w:pPr>
        <w:pBdr>
          <w:top w:val="nil"/>
          <w:left w:val="nil"/>
          <w:bottom w:val="nil"/>
          <w:right w:val="nil"/>
          <w:between w:val="nil"/>
        </w:pBdr>
        <w:ind w:left="992" w:right="-220" w:hanging="360"/>
        <w:jc w:val="both"/>
        <w:rPr>
          <w:rFonts w:ascii="Palatino Linotype" w:eastAsia="Palatino Linotype" w:hAnsi="Palatino Linotype" w:cs="Palatino Linotype"/>
          <w:i/>
          <w:color w:val="000000"/>
          <w:sz w:val="22"/>
          <w:szCs w:val="22"/>
        </w:rPr>
      </w:pPr>
      <w:r w:rsidRPr="00BA63CA">
        <w:rPr>
          <w:rFonts w:ascii="Palatino Linotype" w:eastAsia="Palatino Linotype" w:hAnsi="Palatino Linotype" w:cs="Palatino Linotype"/>
          <w:i/>
          <w:color w:val="000000"/>
          <w:sz w:val="22"/>
          <w:szCs w:val="22"/>
        </w:rPr>
        <w:t>“La respuesta del sujeto obligado otorgada por medio de su Unidad de Transparencia” (Sic)</w:t>
      </w:r>
    </w:p>
    <w:p w:rsidR="00E01860" w:rsidRPr="00BA63CA" w:rsidRDefault="00E01860">
      <w:pPr>
        <w:pBdr>
          <w:top w:val="nil"/>
          <w:left w:val="nil"/>
          <w:bottom w:val="nil"/>
          <w:right w:val="nil"/>
          <w:between w:val="nil"/>
        </w:pBdr>
        <w:ind w:left="992" w:right="-220" w:hanging="360"/>
        <w:jc w:val="both"/>
        <w:rPr>
          <w:rFonts w:ascii="Palatino Linotype" w:eastAsia="Palatino Linotype" w:hAnsi="Palatino Linotype" w:cs="Palatino Linotype"/>
          <w:i/>
          <w:color w:val="000000"/>
          <w:sz w:val="22"/>
          <w:szCs w:val="22"/>
        </w:rPr>
      </w:pPr>
    </w:p>
    <w:p w:rsidR="00E01860" w:rsidRPr="00BA63CA" w:rsidRDefault="00AF1602">
      <w:pPr>
        <w:numPr>
          <w:ilvl w:val="0"/>
          <w:numId w:val="9"/>
        </w:numPr>
        <w:pBdr>
          <w:top w:val="nil"/>
          <w:left w:val="nil"/>
          <w:bottom w:val="nil"/>
          <w:right w:val="nil"/>
          <w:between w:val="nil"/>
        </w:pBdr>
        <w:ind w:left="992" w:right="-220"/>
        <w:jc w:val="both"/>
        <w:rPr>
          <w:rFonts w:ascii="Palatino Linotype" w:eastAsia="Palatino Linotype" w:hAnsi="Palatino Linotype" w:cs="Palatino Linotype"/>
          <w:i/>
          <w:color w:val="000000"/>
          <w:sz w:val="22"/>
          <w:szCs w:val="22"/>
        </w:rPr>
      </w:pPr>
      <w:bookmarkStart w:id="2" w:name="_heading=h.1fob9te" w:colFirst="0" w:colLast="0"/>
      <w:bookmarkEnd w:id="2"/>
      <w:r w:rsidRPr="00BA63CA">
        <w:rPr>
          <w:rFonts w:ascii="Palatino Linotype" w:eastAsia="Palatino Linotype" w:hAnsi="Palatino Linotype" w:cs="Palatino Linotype"/>
          <w:b/>
          <w:color w:val="000000"/>
          <w:sz w:val="22"/>
          <w:szCs w:val="22"/>
        </w:rPr>
        <w:t>Razones o Motivos de inconformidad:</w:t>
      </w:r>
    </w:p>
    <w:p w:rsidR="00E01860" w:rsidRPr="00BA63CA" w:rsidRDefault="00AF1602">
      <w:pPr>
        <w:pBdr>
          <w:top w:val="nil"/>
          <w:left w:val="nil"/>
          <w:bottom w:val="nil"/>
          <w:right w:val="nil"/>
          <w:between w:val="nil"/>
        </w:pBdr>
        <w:ind w:left="992" w:right="-220" w:hanging="360"/>
        <w:jc w:val="both"/>
        <w:rPr>
          <w:rFonts w:ascii="Palatino Linotype" w:eastAsia="Palatino Linotype" w:hAnsi="Palatino Linotype" w:cs="Palatino Linotype"/>
          <w:i/>
          <w:color w:val="000000"/>
          <w:sz w:val="22"/>
          <w:szCs w:val="22"/>
        </w:rPr>
      </w:pPr>
      <w:r w:rsidRPr="00BA63CA">
        <w:rPr>
          <w:rFonts w:ascii="Palatino Linotype" w:eastAsia="Palatino Linotype" w:hAnsi="Palatino Linotype" w:cs="Palatino Linotype"/>
          <w:i/>
          <w:color w:val="000000"/>
          <w:sz w:val="22"/>
          <w:szCs w:val="22"/>
        </w:rPr>
        <w:t>“El sujeto obligado no responde a lo solicitado por el suscrito, especificamente a las rutas, frecuencias y horarios de los camiones recolectores de basura. Limitandose a compartirme un enlace en donde solo se aprecian puntos fijos de recolección (no viene el tipo de camión, modelo, horario de tención, etc), y la localización de recolectores sin que obre información adicional en cada rubro.” (Sic)</w:t>
      </w:r>
    </w:p>
    <w:p w:rsidR="00E01860" w:rsidRPr="00BA63CA" w:rsidRDefault="00E01860">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color w:val="000000"/>
          <w:u w:val="single"/>
        </w:rPr>
      </w:pPr>
    </w:p>
    <w:p w:rsidR="00E01860" w:rsidRPr="00BA63CA" w:rsidRDefault="00AF1602">
      <w:pPr>
        <w:numPr>
          <w:ilvl w:val="0"/>
          <w:numId w:val="1"/>
        </w:numPr>
        <w:pBdr>
          <w:top w:val="nil"/>
          <w:left w:val="nil"/>
          <w:bottom w:val="nil"/>
          <w:right w:val="nil"/>
          <w:between w:val="nil"/>
        </w:pBdr>
        <w:tabs>
          <w:tab w:val="left" w:pos="0"/>
        </w:tabs>
        <w:spacing w:line="360" w:lineRule="auto"/>
        <w:ind w:left="0" w:right="-787" w:firstLine="0"/>
        <w:jc w:val="both"/>
        <w:rPr>
          <w:color w:val="000000"/>
        </w:rPr>
      </w:pPr>
      <w:r w:rsidRPr="00BA63CA">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sidRPr="00BA63CA">
        <w:rPr>
          <w:rFonts w:ascii="Palatino Linotype" w:eastAsia="Palatino Linotype" w:hAnsi="Palatino Linotype" w:cs="Palatino Linotype"/>
          <w:b/>
          <w:color w:val="000000"/>
        </w:rPr>
        <w:t xml:space="preserve">acuerdo de admisión </w:t>
      </w:r>
      <w:r w:rsidRPr="00BA63CA">
        <w:rPr>
          <w:rFonts w:ascii="Palatino Linotype" w:eastAsia="Palatino Linotype" w:hAnsi="Palatino Linotype" w:cs="Palatino Linotype"/>
          <w:color w:val="000000"/>
        </w:rPr>
        <w:t xml:space="preserve">de fecha </w:t>
      </w:r>
      <w:r w:rsidRPr="00BA63CA">
        <w:rPr>
          <w:rFonts w:ascii="Palatino Linotype" w:eastAsia="Palatino Linotype" w:hAnsi="Palatino Linotype" w:cs="Palatino Linotype"/>
          <w:b/>
          <w:color w:val="000000"/>
        </w:rPr>
        <w:t xml:space="preserve">once de julio de dos mil veinticuatro, </w:t>
      </w:r>
      <w:r w:rsidRPr="00BA63CA">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Pr="00BA63CA">
        <w:rPr>
          <w:rFonts w:ascii="Palatino Linotype" w:eastAsia="Palatino Linotype" w:hAnsi="Palatino Linotype" w:cs="Palatino Linotype"/>
        </w:rPr>
        <w:t>manifestara</w:t>
      </w:r>
      <w:r w:rsidRPr="00BA63CA">
        <w:rPr>
          <w:rFonts w:ascii="Palatino Linotype" w:eastAsia="Palatino Linotype" w:hAnsi="Palatino Linotype" w:cs="Palatino Linotype"/>
          <w:color w:val="000000"/>
        </w:rPr>
        <w:t xml:space="preserve"> lo que a su derecho conviniera, </w:t>
      </w:r>
      <w:r w:rsidRPr="00BA63CA">
        <w:rPr>
          <w:rFonts w:ascii="Palatino Linotype" w:eastAsia="Palatino Linotype" w:hAnsi="Palatino Linotype" w:cs="Palatino Linotype"/>
        </w:rPr>
        <w:t>ofreciera</w:t>
      </w:r>
      <w:r w:rsidRPr="00BA63CA">
        <w:rPr>
          <w:rFonts w:ascii="Palatino Linotype" w:eastAsia="Palatino Linotype" w:hAnsi="Palatino Linotype" w:cs="Palatino Linotype"/>
          <w:color w:val="000000"/>
        </w:rPr>
        <w:t xml:space="preserve"> pruebas y alegatos según corresponda al caso concreto, de esta forma para que el </w:t>
      </w:r>
      <w:r w:rsidRPr="00BA63CA">
        <w:rPr>
          <w:rFonts w:ascii="Palatino Linotype" w:eastAsia="Palatino Linotype" w:hAnsi="Palatino Linotype" w:cs="Palatino Linotype"/>
          <w:b/>
          <w:color w:val="000000"/>
        </w:rPr>
        <w:t xml:space="preserve">SUJETO OBLIGADO </w:t>
      </w:r>
      <w:r w:rsidRPr="00BA63CA">
        <w:rPr>
          <w:rFonts w:ascii="Palatino Linotype" w:eastAsia="Palatino Linotype" w:hAnsi="Palatino Linotype" w:cs="Palatino Linotype"/>
        </w:rPr>
        <w:t>presentará</w:t>
      </w:r>
      <w:r w:rsidRPr="00BA63CA">
        <w:rPr>
          <w:rFonts w:ascii="Palatino Linotype" w:eastAsia="Palatino Linotype" w:hAnsi="Palatino Linotype" w:cs="Palatino Linotype"/>
          <w:color w:val="000000"/>
        </w:rPr>
        <w:t xml:space="preserve"> el Informe Justificado procedente.</w:t>
      </w:r>
    </w:p>
    <w:p w:rsidR="00E01860" w:rsidRPr="00BA63CA" w:rsidRDefault="00E01860">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color w:val="000000"/>
          <w:u w:val="single"/>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sidRPr="00BA63CA">
        <w:rPr>
          <w:rFonts w:ascii="Palatino Linotype" w:eastAsia="Palatino Linotype" w:hAnsi="Palatino Linotype" w:cs="Palatino Linotype"/>
          <w:color w:val="000000"/>
        </w:rPr>
        <w:lastRenderedPageBreak/>
        <w:t>El Recurrente</w:t>
      </w:r>
      <w:r w:rsidRPr="00BA63CA">
        <w:rPr>
          <w:rFonts w:ascii="Palatino Linotype" w:eastAsia="Palatino Linotype" w:hAnsi="Palatino Linotype" w:cs="Palatino Linotype"/>
          <w:b/>
          <w:color w:val="000000"/>
        </w:rPr>
        <w:t xml:space="preserve"> </w:t>
      </w:r>
      <w:r w:rsidRPr="00BA63CA">
        <w:rPr>
          <w:rFonts w:ascii="Palatino Linotype" w:eastAsia="Palatino Linotype" w:hAnsi="Palatino Linotype" w:cs="Palatino Linotype"/>
          <w:color w:val="000000"/>
        </w:rPr>
        <w:t>dejó de realizar manifestaciones que a su derecho conviniera y asistiera. Por su parte, el Sujeto Obligado,</w:t>
      </w:r>
      <w:r w:rsidRPr="00BA63CA">
        <w:rPr>
          <w:rFonts w:ascii="Palatino Linotype" w:eastAsia="Palatino Linotype" w:hAnsi="Palatino Linotype" w:cs="Palatino Linotype"/>
          <w:b/>
          <w:color w:val="000000"/>
        </w:rPr>
        <w:t xml:space="preserve"> el cinco de agosto de dos mil veinticuatro </w:t>
      </w:r>
      <w:r w:rsidRPr="00BA63CA">
        <w:rPr>
          <w:rFonts w:ascii="Palatino Linotype" w:eastAsia="Palatino Linotype" w:hAnsi="Palatino Linotype" w:cs="Palatino Linotype"/>
          <w:color w:val="000000"/>
        </w:rPr>
        <w:t xml:space="preserve">presentó </w:t>
      </w:r>
      <w:r w:rsidRPr="00BA63CA">
        <w:rPr>
          <w:rFonts w:ascii="Palatino Linotype" w:eastAsia="Palatino Linotype" w:hAnsi="Palatino Linotype" w:cs="Palatino Linotype"/>
          <w:b/>
          <w:color w:val="000000"/>
        </w:rPr>
        <w:t>informe justificado</w:t>
      </w:r>
      <w:r w:rsidRPr="00BA63CA">
        <w:rPr>
          <w:rFonts w:ascii="Palatino Linotype" w:eastAsia="Palatino Linotype" w:hAnsi="Palatino Linotype" w:cs="Palatino Linotype"/>
          <w:color w:val="000000"/>
        </w:rPr>
        <w:t>, a través de los siguientes archivos electrónicos:</w:t>
      </w:r>
    </w:p>
    <w:p w:rsidR="00E01860" w:rsidRPr="00BA63CA" w:rsidRDefault="00AF1602">
      <w:pPr>
        <w:pBdr>
          <w:top w:val="nil"/>
          <w:left w:val="nil"/>
          <w:bottom w:val="nil"/>
          <w:right w:val="nil"/>
          <w:between w:val="nil"/>
        </w:pBdr>
        <w:ind w:left="567" w:right="-220"/>
        <w:jc w:val="both"/>
        <w:rPr>
          <w:rFonts w:ascii="Palatino Linotype" w:eastAsia="Palatino Linotype" w:hAnsi="Palatino Linotype" w:cs="Palatino Linotype"/>
          <w:b/>
          <w:i/>
          <w:color w:val="000000"/>
          <w:sz w:val="22"/>
          <w:szCs w:val="22"/>
        </w:rPr>
      </w:pPr>
      <w:r w:rsidRPr="00BA63CA">
        <w:rPr>
          <w:rFonts w:ascii="Palatino Linotype" w:eastAsia="Palatino Linotype" w:hAnsi="Palatino Linotype" w:cs="Palatino Linotype"/>
          <w:b/>
          <w:i/>
          <w:color w:val="000000"/>
          <w:sz w:val="22"/>
          <w:szCs w:val="22"/>
        </w:rPr>
        <w:t>04343.pdf</w:t>
      </w:r>
    </w:p>
    <w:p w:rsidR="00E01860" w:rsidRPr="00BA63CA" w:rsidRDefault="00AF1602">
      <w:pPr>
        <w:pBdr>
          <w:top w:val="nil"/>
          <w:left w:val="nil"/>
          <w:bottom w:val="nil"/>
          <w:right w:val="nil"/>
          <w:between w:val="nil"/>
        </w:pBdr>
        <w:ind w:left="567" w:right="-2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Oficio 2010A4000/UT/RR/0435/2024 de fecha 05 de agosto de 2024, firmado por la Titular de la Unidad de Transparencia, a través del cual rinde Informe Justificado ratificando su respuesta primigenia. Sin embargo se puede apreciar que amplió su respuesta al especificar el contenido del link y como acceder a la información referente  la recolección de basura en el municipio de Toluca, como es: delegación, horario, número de camión, días de atención en ruta, entre otros; así como en puntos fijos, contenedores fijos y rellenos sanitarios, adjuntando capturas de pantalla de la información que se muestra al ingresar al link.</w:t>
      </w:r>
    </w:p>
    <w:p w:rsidR="00E01860" w:rsidRPr="00BA63CA" w:rsidRDefault="00E01860">
      <w:pPr>
        <w:pBdr>
          <w:top w:val="nil"/>
          <w:left w:val="nil"/>
          <w:bottom w:val="nil"/>
          <w:right w:val="nil"/>
          <w:between w:val="nil"/>
        </w:pBdr>
        <w:ind w:left="567" w:right="-220"/>
        <w:jc w:val="both"/>
        <w:rPr>
          <w:rFonts w:ascii="Palatino Linotype" w:eastAsia="Palatino Linotype" w:hAnsi="Palatino Linotype" w:cs="Palatino Linotype"/>
          <w:color w:val="000000"/>
          <w:sz w:val="22"/>
          <w:szCs w:val="22"/>
        </w:rPr>
      </w:pPr>
    </w:p>
    <w:p w:rsidR="00E01860" w:rsidRPr="00BA63CA" w:rsidRDefault="00AF1602">
      <w:pPr>
        <w:pBdr>
          <w:top w:val="nil"/>
          <w:left w:val="nil"/>
          <w:bottom w:val="nil"/>
          <w:right w:val="nil"/>
          <w:between w:val="nil"/>
        </w:pBdr>
        <w:ind w:left="567" w:right="-2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Manifestando que se hizo entrega del link donde se puede consultar la información que posee el Sujeto Obligado, ya que no existe la obligación de generar la información a conforme a lo solicitado por el particular.</w:t>
      </w:r>
    </w:p>
    <w:p w:rsidR="00E01860" w:rsidRPr="00BA63CA" w:rsidRDefault="00E01860">
      <w:pPr>
        <w:pBdr>
          <w:top w:val="nil"/>
          <w:left w:val="nil"/>
          <w:bottom w:val="nil"/>
          <w:right w:val="nil"/>
          <w:between w:val="nil"/>
        </w:pBdr>
        <w:ind w:left="567" w:right="-220"/>
        <w:jc w:val="both"/>
        <w:rPr>
          <w:rFonts w:ascii="Palatino Linotype" w:eastAsia="Palatino Linotype" w:hAnsi="Palatino Linotype" w:cs="Palatino Linotype"/>
          <w:color w:val="000000"/>
          <w:sz w:val="22"/>
          <w:szCs w:val="22"/>
        </w:rPr>
      </w:pPr>
    </w:p>
    <w:p w:rsidR="00E01860" w:rsidRPr="00BA63CA" w:rsidRDefault="00AF1602">
      <w:pPr>
        <w:pBdr>
          <w:top w:val="nil"/>
          <w:left w:val="nil"/>
          <w:bottom w:val="nil"/>
          <w:right w:val="nil"/>
          <w:between w:val="nil"/>
        </w:pBdr>
        <w:ind w:left="567" w:right="-2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En lo que respecta al punto de solicitud donde refiere “</w:t>
      </w:r>
      <w:r w:rsidRPr="00BA63CA">
        <w:rPr>
          <w:rFonts w:ascii="Palatino Linotype" w:eastAsia="Palatino Linotype" w:hAnsi="Palatino Linotype" w:cs="Palatino Linotype"/>
          <w:i/>
          <w:color w:val="000000"/>
          <w:sz w:val="22"/>
          <w:szCs w:val="22"/>
        </w:rPr>
        <w:t>si se cuenta con supervisores de ruta, acompañando de la documentación que acredite la respuesta del sujeto obligado”</w:t>
      </w:r>
      <w:r w:rsidRPr="00BA63CA">
        <w:rPr>
          <w:rFonts w:ascii="Palatino Linotype" w:eastAsia="Palatino Linotype" w:hAnsi="Palatino Linotype" w:cs="Palatino Linotype"/>
          <w:color w:val="000000"/>
          <w:sz w:val="22"/>
          <w:szCs w:val="22"/>
        </w:rPr>
        <w:t>, al respecto la Dirección General de Servicios Públicos informa que de acuerdo con las atribuciones y obligaciones el Director de Residuos Sólidos y el Jefe de Departamento de Recolección, Transferencia y disposición final de Residuos, están facultados como supervisores generales de las rutas de recolección.</w:t>
      </w:r>
    </w:p>
    <w:p w:rsidR="00E01860" w:rsidRPr="00BA63CA" w:rsidRDefault="00E01860">
      <w:pPr>
        <w:pBdr>
          <w:top w:val="nil"/>
          <w:left w:val="nil"/>
          <w:bottom w:val="nil"/>
          <w:right w:val="nil"/>
          <w:between w:val="nil"/>
        </w:pBdr>
        <w:ind w:left="567" w:right="-220"/>
        <w:jc w:val="both"/>
        <w:rPr>
          <w:rFonts w:ascii="Palatino Linotype" w:eastAsia="Palatino Linotype" w:hAnsi="Palatino Linotype" w:cs="Palatino Linotype"/>
          <w:color w:val="000000"/>
          <w:sz w:val="22"/>
          <w:szCs w:val="22"/>
        </w:rPr>
      </w:pPr>
    </w:p>
    <w:p w:rsidR="00E01860" w:rsidRPr="00BA63CA" w:rsidRDefault="00AF1602">
      <w:pPr>
        <w:pBdr>
          <w:top w:val="nil"/>
          <w:left w:val="nil"/>
          <w:bottom w:val="nil"/>
          <w:right w:val="nil"/>
          <w:between w:val="nil"/>
        </w:pBdr>
        <w:ind w:left="567" w:right="-220"/>
        <w:jc w:val="both"/>
        <w:rPr>
          <w:rFonts w:ascii="Palatino Linotype" w:eastAsia="Palatino Linotype" w:hAnsi="Palatino Linotype" w:cs="Palatino Linotype"/>
          <w:b/>
          <w:i/>
          <w:color w:val="000000"/>
          <w:sz w:val="22"/>
          <w:szCs w:val="22"/>
        </w:rPr>
      </w:pPr>
      <w:r w:rsidRPr="00BA63CA">
        <w:rPr>
          <w:rFonts w:ascii="Palatino Linotype" w:eastAsia="Palatino Linotype" w:hAnsi="Palatino Linotype" w:cs="Palatino Linotype"/>
          <w:b/>
          <w:i/>
          <w:color w:val="000000"/>
          <w:sz w:val="22"/>
          <w:szCs w:val="22"/>
        </w:rPr>
        <w:t>ANEXO 1.pdf</w:t>
      </w:r>
    </w:p>
    <w:p w:rsidR="00E01860" w:rsidRPr="00BA63CA" w:rsidRDefault="00AF1602">
      <w:pPr>
        <w:pBdr>
          <w:top w:val="nil"/>
          <w:left w:val="nil"/>
          <w:bottom w:val="nil"/>
          <w:right w:val="nil"/>
          <w:between w:val="nil"/>
        </w:pBdr>
        <w:ind w:left="567" w:right="-2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Oficio 208012002/0460/2024 de fecha 02 de agosto de 2024, firmado por el Jefe del Departamento de Recolección, Transferencia y Disposición Final de Residuos Sólidos, a través del cual informa que en lo tocante al punto de solicitud ““</w:t>
      </w:r>
      <w:r w:rsidRPr="00BA63CA">
        <w:rPr>
          <w:rFonts w:ascii="Palatino Linotype" w:eastAsia="Palatino Linotype" w:hAnsi="Palatino Linotype" w:cs="Palatino Linotype"/>
          <w:i/>
          <w:color w:val="000000"/>
          <w:sz w:val="22"/>
          <w:szCs w:val="22"/>
        </w:rPr>
        <w:t xml:space="preserve">si se cuenta con supervisores de ruta, acompañando de la documentación que acredite la respuesta del sujeto obligado”, </w:t>
      </w:r>
      <w:r w:rsidRPr="00BA63CA">
        <w:rPr>
          <w:rFonts w:ascii="Palatino Linotype" w:eastAsia="Palatino Linotype" w:hAnsi="Palatino Linotype" w:cs="Palatino Linotype"/>
          <w:color w:val="000000"/>
          <w:sz w:val="22"/>
          <w:szCs w:val="22"/>
        </w:rPr>
        <w:t>de acuerdo con las atribuciones y obligaciones el Director de Residuos Sólidos y el Jefe de Departamento de Recolección, Transferencia y disposición Final de Residuos, están facultados como supervisores generales de las rutas de recolección.</w:t>
      </w:r>
    </w:p>
    <w:p w:rsidR="00E01860" w:rsidRPr="00BA63CA" w:rsidRDefault="00E01860">
      <w:pPr>
        <w:pBdr>
          <w:top w:val="nil"/>
          <w:left w:val="nil"/>
          <w:bottom w:val="nil"/>
          <w:right w:val="nil"/>
          <w:between w:val="nil"/>
        </w:pBdr>
        <w:ind w:left="567" w:right="-220"/>
        <w:jc w:val="both"/>
        <w:rPr>
          <w:rFonts w:ascii="Palatino Linotype" w:eastAsia="Palatino Linotype" w:hAnsi="Palatino Linotype" w:cs="Palatino Linotype"/>
          <w:color w:val="000000"/>
          <w:sz w:val="22"/>
          <w:szCs w:val="22"/>
        </w:rPr>
      </w:pPr>
    </w:p>
    <w:p w:rsidR="00E01860" w:rsidRPr="00BA63CA" w:rsidRDefault="00AF1602">
      <w:pPr>
        <w:pBdr>
          <w:top w:val="nil"/>
          <w:left w:val="nil"/>
          <w:bottom w:val="nil"/>
          <w:right w:val="nil"/>
          <w:between w:val="nil"/>
        </w:pBdr>
        <w:ind w:left="567" w:right="-220"/>
        <w:jc w:val="both"/>
        <w:rPr>
          <w:rFonts w:ascii="Palatino Linotype" w:eastAsia="Palatino Linotype" w:hAnsi="Palatino Linotype" w:cs="Palatino Linotype"/>
          <w:b/>
          <w:i/>
          <w:color w:val="000000"/>
          <w:sz w:val="22"/>
          <w:szCs w:val="22"/>
        </w:rPr>
      </w:pPr>
      <w:r w:rsidRPr="00BA63CA">
        <w:rPr>
          <w:rFonts w:ascii="Palatino Linotype" w:eastAsia="Palatino Linotype" w:hAnsi="Palatino Linotype" w:cs="Palatino Linotype"/>
          <w:b/>
          <w:i/>
          <w:color w:val="000000"/>
          <w:sz w:val="22"/>
          <w:szCs w:val="22"/>
        </w:rPr>
        <w:t>261-274_.pdf</w:t>
      </w:r>
    </w:p>
    <w:p w:rsidR="00E01860" w:rsidRPr="00BA63CA" w:rsidRDefault="00AF1602">
      <w:pPr>
        <w:pBdr>
          <w:top w:val="nil"/>
          <w:left w:val="nil"/>
          <w:bottom w:val="nil"/>
          <w:right w:val="nil"/>
          <w:between w:val="nil"/>
        </w:pBdr>
        <w:ind w:left="567" w:right="-2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Documento que contiene 14 mapas en los que se pueden visualizar rutas de recolección, el nombre de la delegación y la localidad.</w:t>
      </w:r>
    </w:p>
    <w:p w:rsidR="00E01860" w:rsidRPr="00BA63CA" w:rsidRDefault="00E01860">
      <w:pPr>
        <w:pBdr>
          <w:top w:val="nil"/>
          <w:left w:val="nil"/>
          <w:bottom w:val="nil"/>
          <w:right w:val="nil"/>
          <w:between w:val="nil"/>
        </w:pBdr>
        <w:ind w:left="567" w:right="-220"/>
        <w:jc w:val="both"/>
        <w:rPr>
          <w:rFonts w:ascii="Palatino Linotype" w:eastAsia="Palatino Linotype" w:hAnsi="Palatino Linotype" w:cs="Palatino Linotype"/>
          <w:color w:val="000000"/>
          <w:sz w:val="22"/>
          <w:szCs w:val="22"/>
        </w:rPr>
      </w:pPr>
    </w:p>
    <w:p w:rsidR="00E01860" w:rsidRPr="00BA63CA" w:rsidRDefault="00AF1602">
      <w:pPr>
        <w:pBdr>
          <w:top w:val="nil"/>
          <w:left w:val="nil"/>
          <w:bottom w:val="nil"/>
          <w:right w:val="nil"/>
          <w:between w:val="nil"/>
        </w:pBdr>
        <w:ind w:left="567" w:right="-220"/>
        <w:jc w:val="both"/>
        <w:rPr>
          <w:rFonts w:ascii="Palatino Linotype" w:eastAsia="Palatino Linotype" w:hAnsi="Palatino Linotype" w:cs="Palatino Linotype"/>
          <w:b/>
          <w:i/>
          <w:color w:val="000000"/>
          <w:sz w:val="22"/>
          <w:szCs w:val="22"/>
        </w:rPr>
      </w:pPr>
      <w:r w:rsidRPr="00BA63CA">
        <w:rPr>
          <w:rFonts w:ascii="Palatino Linotype" w:eastAsia="Palatino Linotype" w:hAnsi="Palatino Linotype" w:cs="Palatino Linotype"/>
          <w:b/>
          <w:i/>
          <w:color w:val="000000"/>
          <w:sz w:val="22"/>
          <w:szCs w:val="22"/>
        </w:rPr>
        <w:t>241-260_.pdf</w:t>
      </w:r>
    </w:p>
    <w:p w:rsidR="00E01860" w:rsidRPr="00BA63CA" w:rsidRDefault="00AF1602">
      <w:pPr>
        <w:pBdr>
          <w:top w:val="nil"/>
          <w:left w:val="nil"/>
          <w:bottom w:val="nil"/>
          <w:right w:val="nil"/>
          <w:between w:val="nil"/>
        </w:pBdr>
        <w:ind w:left="567" w:right="-2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lastRenderedPageBreak/>
        <w:t>Documento que contiene 20 mapas en los que se pueden visualizar rutas de recolección, el nombre de la delegación y la localidad.</w:t>
      </w:r>
    </w:p>
    <w:p w:rsidR="00E01860" w:rsidRPr="00BA63CA" w:rsidRDefault="00E01860">
      <w:pPr>
        <w:pBdr>
          <w:top w:val="nil"/>
          <w:left w:val="nil"/>
          <w:bottom w:val="nil"/>
          <w:right w:val="nil"/>
          <w:between w:val="nil"/>
        </w:pBdr>
        <w:ind w:left="567" w:right="-220"/>
        <w:jc w:val="both"/>
        <w:rPr>
          <w:rFonts w:ascii="Palatino Linotype" w:eastAsia="Palatino Linotype" w:hAnsi="Palatino Linotype" w:cs="Palatino Linotype"/>
          <w:b/>
          <w:i/>
          <w:color w:val="000000"/>
          <w:sz w:val="22"/>
          <w:szCs w:val="22"/>
        </w:rPr>
      </w:pPr>
    </w:p>
    <w:p w:rsidR="00E01860" w:rsidRPr="00BA63CA" w:rsidRDefault="00AF1602">
      <w:pPr>
        <w:pBdr>
          <w:top w:val="nil"/>
          <w:left w:val="nil"/>
          <w:bottom w:val="nil"/>
          <w:right w:val="nil"/>
          <w:between w:val="nil"/>
        </w:pBdr>
        <w:ind w:left="567" w:right="-220"/>
        <w:jc w:val="both"/>
        <w:rPr>
          <w:rFonts w:ascii="Palatino Linotype" w:eastAsia="Palatino Linotype" w:hAnsi="Palatino Linotype" w:cs="Palatino Linotype"/>
          <w:b/>
          <w:i/>
          <w:color w:val="000000"/>
          <w:sz w:val="22"/>
          <w:szCs w:val="22"/>
        </w:rPr>
      </w:pPr>
      <w:r w:rsidRPr="00BA63CA">
        <w:rPr>
          <w:rFonts w:ascii="Palatino Linotype" w:eastAsia="Palatino Linotype" w:hAnsi="Palatino Linotype" w:cs="Palatino Linotype"/>
          <w:b/>
          <w:i/>
          <w:color w:val="000000"/>
          <w:sz w:val="22"/>
          <w:szCs w:val="22"/>
        </w:rPr>
        <w:t>221-240_.pdf</w:t>
      </w:r>
    </w:p>
    <w:p w:rsidR="00E01860" w:rsidRPr="00BA63CA" w:rsidRDefault="00AF1602">
      <w:pPr>
        <w:pBdr>
          <w:top w:val="nil"/>
          <w:left w:val="nil"/>
          <w:bottom w:val="nil"/>
          <w:right w:val="nil"/>
          <w:between w:val="nil"/>
        </w:pBdr>
        <w:ind w:left="567" w:right="-2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Documento que contiene 20 mapas en los que se pueden visualizar rutas de recolección, el nombre de la delegación y la localidad.</w:t>
      </w:r>
    </w:p>
    <w:p w:rsidR="00E01860" w:rsidRPr="00BA63CA" w:rsidRDefault="00E01860">
      <w:pPr>
        <w:pBdr>
          <w:top w:val="nil"/>
          <w:left w:val="nil"/>
          <w:bottom w:val="nil"/>
          <w:right w:val="nil"/>
          <w:between w:val="nil"/>
        </w:pBdr>
        <w:ind w:left="567" w:right="-220"/>
        <w:jc w:val="both"/>
        <w:rPr>
          <w:rFonts w:ascii="Palatino Linotype" w:eastAsia="Palatino Linotype" w:hAnsi="Palatino Linotype" w:cs="Palatino Linotype"/>
          <w:b/>
          <w:i/>
          <w:color w:val="000000"/>
          <w:sz w:val="22"/>
          <w:szCs w:val="22"/>
        </w:rPr>
      </w:pPr>
    </w:p>
    <w:p w:rsidR="00E01860" w:rsidRPr="00BA63CA" w:rsidRDefault="00E01860">
      <w:pPr>
        <w:pBdr>
          <w:top w:val="nil"/>
          <w:left w:val="nil"/>
          <w:bottom w:val="nil"/>
          <w:right w:val="nil"/>
          <w:between w:val="nil"/>
        </w:pBdr>
        <w:spacing w:line="360" w:lineRule="auto"/>
        <w:ind w:right="-787"/>
        <w:jc w:val="both"/>
        <w:rPr>
          <w:color w:val="000000"/>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color w:val="000000"/>
        </w:rPr>
      </w:pPr>
      <w:r w:rsidRPr="00BA63CA">
        <w:rPr>
          <w:rFonts w:ascii="Palatino Linotype" w:eastAsia="Palatino Linotype" w:hAnsi="Palatino Linotype" w:cs="Palatino Linotype"/>
          <w:color w:val="000000"/>
        </w:rPr>
        <w:t>Este Órgano Garante no pasa por alto justificar, que la dilación en la resolución del presente asunto, encuentra justificación en el incremento de recursos de revisión a resolverse por este Instituto, circunstancia atípica que ha rebasado las capacidades técnicas y humanas para la emisión de las resoluciones a dichos medios de impugnación, motivo por el que el</w:t>
      </w:r>
      <w:r w:rsidRPr="00BA63CA">
        <w:rPr>
          <w:rFonts w:ascii="Palatino Linotype" w:eastAsia="Palatino Linotype" w:hAnsi="Palatino Linotype" w:cs="Palatino Linotype"/>
          <w:b/>
          <w:color w:val="000000"/>
        </w:rPr>
        <w:t xml:space="preserve"> veinte de febrero de dos mil veinticinco</w:t>
      </w:r>
      <w:r w:rsidRPr="00BA63CA">
        <w:rPr>
          <w:rFonts w:ascii="Palatino Linotype" w:eastAsia="Palatino Linotype" w:hAnsi="Palatino Linotype" w:cs="Palatino Linotype"/>
          <w:color w:val="000000"/>
        </w:rPr>
        <w:t xml:space="preserve"> se acordó ampliar el término para resolver el presente asunto.</w:t>
      </w:r>
    </w:p>
    <w:p w:rsidR="00E01860" w:rsidRPr="00BA63CA" w:rsidRDefault="00E01860">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color w:val="000000"/>
        </w:rPr>
      </w:pPr>
      <w:r w:rsidRPr="00BA63CA">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E01860" w:rsidRPr="00BA63CA" w:rsidRDefault="00E01860">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color w:val="000000"/>
        </w:rPr>
      </w:pPr>
      <w:r w:rsidRPr="00BA63CA">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E01860" w:rsidRPr="00BA63CA" w:rsidRDefault="00E01860">
      <w:pPr>
        <w:pBdr>
          <w:top w:val="nil"/>
          <w:left w:val="nil"/>
          <w:bottom w:val="nil"/>
          <w:right w:val="nil"/>
          <w:between w:val="nil"/>
        </w:pBdr>
        <w:ind w:left="720" w:right="-787"/>
        <w:rPr>
          <w:rFonts w:ascii="Palatino Linotype" w:eastAsia="Palatino Linotype" w:hAnsi="Palatino Linotype" w:cs="Palatino Linotype"/>
          <w:color w:val="000000"/>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color w:val="000000"/>
        </w:rPr>
      </w:pPr>
      <w:r w:rsidRPr="00BA63CA">
        <w:rPr>
          <w:rFonts w:ascii="Palatino Linotype" w:eastAsia="Palatino Linotype" w:hAnsi="Palatino Linotype" w:cs="Palatino Linotype"/>
          <w:color w:val="000000"/>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E01860" w:rsidRPr="00BA63CA" w:rsidRDefault="00E01860">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color w:val="000000"/>
        </w:rPr>
      </w:pPr>
      <w:r w:rsidRPr="00BA63CA">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 dicha dilación atendiendo a los siguientes criterios:   </w:t>
      </w:r>
    </w:p>
    <w:p w:rsidR="00E01860" w:rsidRPr="00BA63CA" w:rsidRDefault="00AF1602">
      <w:pPr>
        <w:numPr>
          <w:ilvl w:val="0"/>
          <w:numId w:val="11"/>
        </w:numPr>
        <w:pBdr>
          <w:top w:val="nil"/>
          <w:left w:val="nil"/>
          <w:bottom w:val="nil"/>
          <w:right w:val="nil"/>
          <w:between w:val="nil"/>
        </w:pBdr>
        <w:spacing w:line="360" w:lineRule="auto"/>
        <w:ind w:right="-2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 xml:space="preserve">Complejidad del </w:t>
      </w:r>
      <w:r w:rsidRPr="00BA63CA">
        <w:rPr>
          <w:rFonts w:ascii="Palatino Linotype" w:eastAsia="Palatino Linotype" w:hAnsi="Palatino Linotype" w:cs="Palatino Linotype"/>
          <w:sz w:val="22"/>
          <w:szCs w:val="22"/>
        </w:rPr>
        <w:t>asunto</w:t>
      </w:r>
      <w:r w:rsidRPr="00BA63CA">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 </w:t>
      </w:r>
    </w:p>
    <w:p w:rsidR="00E01860" w:rsidRPr="00BA63CA" w:rsidRDefault="00AF1602">
      <w:pPr>
        <w:numPr>
          <w:ilvl w:val="0"/>
          <w:numId w:val="11"/>
        </w:numPr>
        <w:pBdr>
          <w:top w:val="nil"/>
          <w:left w:val="nil"/>
          <w:bottom w:val="nil"/>
          <w:right w:val="nil"/>
          <w:between w:val="nil"/>
        </w:pBdr>
        <w:spacing w:line="360" w:lineRule="auto"/>
        <w:ind w:right="-2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Actividad Procesal del interesado. Acciones u omisiones del interesado.</w:t>
      </w:r>
    </w:p>
    <w:p w:rsidR="00E01860" w:rsidRPr="00BA63CA" w:rsidRDefault="00AF1602">
      <w:pPr>
        <w:numPr>
          <w:ilvl w:val="0"/>
          <w:numId w:val="11"/>
        </w:numPr>
        <w:pBdr>
          <w:top w:val="nil"/>
          <w:left w:val="nil"/>
          <w:bottom w:val="nil"/>
          <w:right w:val="nil"/>
          <w:between w:val="nil"/>
        </w:pBdr>
        <w:spacing w:line="360" w:lineRule="auto"/>
        <w:ind w:right="-2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rsidR="00E01860" w:rsidRPr="00BA63CA" w:rsidRDefault="00AF1602">
      <w:pPr>
        <w:spacing w:line="360" w:lineRule="auto"/>
        <w:ind w:left="851" w:right="-220" w:hanging="284"/>
        <w:jc w:val="both"/>
        <w:rPr>
          <w:rFonts w:ascii="Palatino Linotype" w:eastAsia="Palatino Linotype" w:hAnsi="Palatino Linotype" w:cs="Palatino Linotype"/>
          <w:sz w:val="22"/>
          <w:szCs w:val="22"/>
        </w:rPr>
      </w:pPr>
      <w:r w:rsidRPr="00BA63CA">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rsidR="00E01860" w:rsidRPr="00BA63CA" w:rsidRDefault="00E01860">
      <w:pPr>
        <w:spacing w:line="360" w:lineRule="auto"/>
        <w:ind w:left="851" w:right="-787" w:hanging="284"/>
        <w:jc w:val="both"/>
        <w:rPr>
          <w:rFonts w:ascii="Palatino Linotype" w:eastAsia="Palatino Linotype" w:hAnsi="Palatino Linotype" w:cs="Palatino Linotype"/>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color w:val="000000"/>
        </w:rPr>
      </w:pPr>
      <w:r w:rsidRPr="00BA63CA">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01860" w:rsidRPr="00BA63CA" w:rsidRDefault="00E01860">
      <w:pPr>
        <w:pBdr>
          <w:top w:val="nil"/>
          <w:left w:val="nil"/>
          <w:bottom w:val="nil"/>
          <w:right w:val="nil"/>
          <w:between w:val="nil"/>
        </w:pBdr>
        <w:spacing w:line="360" w:lineRule="auto"/>
        <w:ind w:right="-787"/>
        <w:jc w:val="both"/>
        <w:rPr>
          <w:color w:val="000000"/>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sidRPr="00BA63CA">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w:t>
      </w:r>
      <w:r w:rsidRPr="00BA63CA">
        <w:rPr>
          <w:rFonts w:ascii="Palatino Linotype" w:eastAsia="Palatino Linotype" w:hAnsi="Palatino Linotype" w:cs="Palatino Linotype"/>
        </w:rPr>
        <w:t>del rubro</w:t>
      </w:r>
      <w:r w:rsidRPr="00BA63CA">
        <w:rPr>
          <w:rFonts w:ascii="Palatino Linotype" w:eastAsia="Palatino Linotype" w:hAnsi="Palatino Linotype" w:cs="Palatino Linotype"/>
          <w:color w:val="000000"/>
        </w:rPr>
        <w:t xml:space="preserve"> </w:t>
      </w:r>
      <w:r w:rsidRPr="00BA63CA">
        <w:rPr>
          <w:rFonts w:ascii="Palatino Linotype" w:eastAsia="Palatino Linotype" w:hAnsi="Palatino Linotype" w:cs="Palatino Linotype"/>
          <w:i/>
          <w:color w:val="000000"/>
        </w:rPr>
        <w:t xml:space="preserve">“TÉRMINOS PROCESALES. PARA DETERMINAR SI UN FUNCIONARIO JUDICIAL ACTUÓ INDEBIDAMENTE POR </w:t>
      </w:r>
      <w:r w:rsidRPr="00BA63CA">
        <w:rPr>
          <w:rFonts w:ascii="Palatino Linotype" w:eastAsia="Palatino Linotype" w:hAnsi="Palatino Linotype" w:cs="Palatino Linotype"/>
          <w:i/>
          <w:color w:val="000000"/>
        </w:rPr>
        <w:lastRenderedPageBreak/>
        <w:t>NO RESPETARLOS SE DEBE ATENDER AL PRESUPUESTO QUE CONSIDERÓ EL LEGISLADOR AL FIJARLOS Y LAS CARACTERÍSTICAS DEL CASO.”</w:t>
      </w:r>
      <w:r w:rsidRPr="00BA63CA">
        <w:rPr>
          <w:rFonts w:ascii="Palatino Linotype" w:eastAsia="Palatino Linotype" w:hAnsi="Palatino Linotype" w:cs="Palatino Linotype"/>
          <w:color w:val="000000"/>
        </w:rPr>
        <w:t xml:space="preserve">, visible en la Gaceta del </w:t>
      </w:r>
      <w:r w:rsidRPr="00BA63CA">
        <w:rPr>
          <w:rFonts w:ascii="Palatino Linotype" w:eastAsia="Palatino Linotype" w:hAnsi="Palatino Linotype" w:cs="Palatino Linotype"/>
        </w:rPr>
        <w:t>Semanario</w:t>
      </w:r>
      <w:r w:rsidRPr="00BA63CA">
        <w:rPr>
          <w:rFonts w:ascii="Palatino Linotype" w:eastAsia="Palatino Linotype" w:hAnsi="Palatino Linotype" w:cs="Palatino Linotype"/>
          <w:color w:val="000000"/>
        </w:rPr>
        <w:t xml:space="preserve"> Judicial de la Federación con el registro digital 205635.</w:t>
      </w:r>
    </w:p>
    <w:p w:rsidR="00E01860" w:rsidRPr="00BA63CA" w:rsidRDefault="00E01860">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bookmarkStart w:id="3" w:name="_heading=h.3znysh7" w:colFirst="0" w:colLast="0"/>
      <w:bookmarkEnd w:id="3"/>
      <w:r w:rsidRPr="00BA63CA">
        <w:rPr>
          <w:rFonts w:ascii="Palatino Linotype" w:eastAsia="Palatino Linotype" w:hAnsi="Palatino Linotype" w:cs="Palatino Linotype"/>
          <w:color w:val="000000"/>
        </w:rPr>
        <w:t xml:space="preserve">Seguidamente, en fecha </w:t>
      </w:r>
      <w:r w:rsidRPr="00BA63CA">
        <w:rPr>
          <w:rFonts w:ascii="Palatino Linotype" w:eastAsia="Palatino Linotype" w:hAnsi="Palatino Linotype" w:cs="Palatino Linotype"/>
          <w:b/>
          <w:color w:val="000000"/>
        </w:rPr>
        <w:t>veintiséis de febrero de dos mil veinticinco</w:t>
      </w:r>
      <w:r w:rsidRPr="00BA63CA">
        <w:rPr>
          <w:rFonts w:ascii="Palatino Linotype" w:eastAsia="Palatino Linotype" w:hAnsi="Palatino Linotype" w:cs="Palatino Linotype"/>
          <w:color w:val="000000"/>
        </w:rPr>
        <w:t xml:space="preserve">, la Comisionada Ponente dictó el </w:t>
      </w:r>
      <w:r w:rsidRPr="00BA63CA">
        <w:rPr>
          <w:rFonts w:ascii="Palatino Linotype" w:eastAsia="Palatino Linotype" w:hAnsi="Palatino Linotype" w:cs="Palatino Linotype"/>
          <w:b/>
          <w:color w:val="000000"/>
        </w:rPr>
        <w:t>cierre del periodo de instrucción</w:t>
      </w:r>
      <w:r w:rsidRPr="00BA63CA">
        <w:rPr>
          <w:rFonts w:ascii="Palatino Linotype" w:eastAsia="Palatino Linotype" w:hAnsi="Palatino Linotype" w:cs="Palatino Linotype"/>
          <w:color w:val="000000"/>
        </w:rPr>
        <w:t xml:space="preserve"> y, ordenó la resolución que conforme a Derecho proceda.</w:t>
      </w:r>
    </w:p>
    <w:p w:rsidR="00E01860" w:rsidRPr="00BA63CA" w:rsidRDefault="00E01860">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rsidR="00E01860" w:rsidRPr="00BA63CA" w:rsidRDefault="00E01860">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rsidR="00E01860" w:rsidRPr="00BA63CA" w:rsidRDefault="00AF1602">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r w:rsidRPr="00BA63CA">
        <w:rPr>
          <w:rFonts w:ascii="Palatino Linotype" w:eastAsia="Palatino Linotype" w:hAnsi="Palatino Linotype" w:cs="Palatino Linotype"/>
          <w:b/>
          <w:color w:val="000000"/>
        </w:rPr>
        <w:t>C O N S I D E R A C I O N E S</w:t>
      </w:r>
    </w:p>
    <w:p w:rsidR="00E01860" w:rsidRPr="00BA63CA" w:rsidRDefault="00E01860">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p>
    <w:p w:rsidR="00E01860" w:rsidRPr="00BA63CA" w:rsidRDefault="00AF1602">
      <w:pPr>
        <w:pStyle w:val="Ttulo2"/>
        <w:spacing w:before="0" w:line="360" w:lineRule="auto"/>
        <w:ind w:right="-787"/>
        <w:rPr>
          <w:rFonts w:ascii="Palatino Linotype" w:eastAsia="Palatino Linotype" w:hAnsi="Palatino Linotype" w:cs="Palatino Linotype"/>
          <w:b/>
          <w:color w:val="000000"/>
          <w:sz w:val="24"/>
          <w:szCs w:val="24"/>
        </w:rPr>
      </w:pPr>
      <w:bookmarkStart w:id="4" w:name="_heading=h.2et92p0" w:colFirst="0" w:colLast="0"/>
      <w:bookmarkEnd w:id="4"/>
      <w:r w:rsidRPr="00BA63CA">
        <w:rPr>
          <w:rFonts w:ascii="Palatino Linotype" w:eastAsia="Palatino Linotype" w:hAnsi="Palatino Linotype" w:cs="Palatino Linotype"/>
          <w:b/>
          <w:color w:val="000000"/>
          <w:sz w:val="24"/>
          <w:szCs w:val="24"/>
        </w:rPr>
        <w:t>PRIMERA. Competencia</w:t>
      </w:r>
    </w:p>
    <w:p w:rsidR="00E01860" w:rsidRPr="00BA63CA" w:rsidRDefault="00AF1602">
      <w:pPr>
        <w:numPr>
          <w:ilvl w:val="0"/>
          <w:numId w:val="1"/>
        </w:numPr>
        <w:pBdr>
          <w:top w:val="nil"/>
          <w:left w:val="nil"/>
          <w:bottom w:val="nil"/>
          <w:right w:val="nil"/>
          <w:between w:val="nil"/>
        </w:pBdr>
        <w:spacing w:line="360" w:lineRule="auto"/>
        <w:ind w:left="0" w:right="-787" w:firstLine="0"/>
        <w:jc w:val="both"/>
        <w:rPr>
          <w:color w:val="000000"/>
        </w:rPr>
      </w:pPr>
      <w:r w:rsidRPr="00BA63CA">
        <w:rPr>
          <w:rFonts w:ascii="Palatino Linotype" w:eastAsia="Palatino Linotype" w:hAnsi="Palatino Linotype" w:cs="Palatino Linotype"/>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E01860" w:rsidRPr="00BA63CA" w:rsidRDefault="00AF1602">
      <w:pPr>
        <w:pStyle w:val="Ttulo2"/>
        <w:spacing w:before="0" w:line="360" w:lineRule="auto"/>
        <w:ind w:right="-787"/>
        <w:rPr>
          <w:rFonts w:ascii="Palatino Linotype" w:eastAsia="Palatino Linotype" w:hAnsi="Palatino Linotype" w:cs="Palatino Linotype"/>
          <w:b/>
          <w:color w:val="000000"/>
          <w:sz w:val="24"/>
          <w:szCs w:val="24"/>
        </w:rPr>
      </w:pPr>
      <w:bookmarkStart w:id="5" w:name="_heading=h.tyjcwt" w:colFirst="0" w:colLast="0"/>
      <w:bookmarkEnd w:id="5"/>
      <w:r w:rsidRPr="00BA63CA">
        <w:rPr>
          <w:rFonts w:ascii="Palatino Linotype" w:eastAsia="Palatino Linotype" w:hAnsi="Palatino Linotype" w:cs="Palatino Linotype"/>
          <w:b/>
          <w:color w:val="000000"/>
          <w:sz w:val="24"/>
          <w:szCs w:val="24"/>
        </w:rPr>
        <w:lastRenderedPageBreak/>
        <w:t>SEGUNDA. Procedencia</w:t>
      </w:r>
    </w:p>
    <w:p w:rsidR="00E01860" w:rsidRPr="00BA63CA" w:rsidRDefault="00AF1602">
      <w:pPr>
        <w:numPr>
          <w:ilvl w:val="0"/>
          <w:numId w:val="1"/>
        </w:numPr>
        <w:spacing w:line="360" w:lineRule="auto"/>
        <w:ind w:left="0" w:right="-787" w:firstLine="0"/>
        <w:jc w:val="both"/>
      </w:pPr>
      <w:r w:rsidRPr="00BA63CA">
        <w:rPr>
          <w:rFonts w:ascii="Palatino Linotype" w:eastAsia="Palatino Linotype" w:hAnsi="Palatino Linotype" w:cs="Palatino Linotype"/>
        </w:rPr>
        <w:t xml:space="preserve">Este Órgano Garante considera que el medio de impugnación reúne los requisitos de procedencia </w:t>
      </w:r>
      <w:r w:rsidRPr="00BA63CA">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E01860" w:rsidRPr="00BA63CA" w:rsidRDefault="00E01860">
      <w:pPr>
        <w:spacing w:line="360" w:lineRule="auto"/>
        <w:ind w:right="-787"/>
        <w:jc w:val="both"/>
        <w:rPr>
          <w:rFonts w:ascii="Palatino Linotype" w:eastAsia="Palatino Linotype" w:hAnsi="Palatino Linotype" w:cs="Palatino Linotype"/>
        </w:rPr>
      </w:pPr>
    </w:p>
    <w:p w:rsidR="00E01860" w:rsidRPr="00BA63CA" w:rsidRDefault="00AF1602">
      <w:pPr>
        <w:numPr>
          <w:ilvl w:val="0"/>
          <w:numId w:val="1"/>
        </w:numPr>
        <w:spacing w:line="360" w:lineRule="auto"/>
        <w:ind w:left="0" w:right="-787" w:firstLine="0"/>
        <w:jc w:val="both"/>
      </w:pPr>
      <w:r w:rsidRPr="00BA63CA">
        <w:rPr>
          <w:rFonts w:ascii="Palatino Linotype" w:eastAsia="Palatino Linotype" w:hAnsi="Palatino Linotype" w:cs="Palatino Linotype"/>
        </w:rPr>
        <w:t>Por otro lado, el escrito contiene las formalidades previstas por el artículo 180, último párrafo, de la citada Ley de la materia, por lo que es procedente que este Instituto conozca y resuelva el presente recurso.</w:t>
      </w:r>
    </w:p>
    <w:p w:rsidR="00E01860" w:rsidRPr="00BA63CA" w:rsidRDefault="00E01860">
      <w:pPr>
        <w:pBdr>
          <w:top w:val="nil"/>
          <w:left w:val="nil"/>
          <w:bottom w:val="nil"/>
          <w:right w:val="nil"/>
          <w:between w:val="nil"/>
        </w:pBdr>
        <w:spacing w:line="360" w:lineRule="auto"/>
        <w:ind w:right="-787"/>
        <w:rPr>
          <w:rFonts w:ascii="Palatino Linotype" w:eastAsia="Palatino Linotype" w:hAnsi="Palatino Linotype" w:cs="Palatino Linotype"/>
          <w:color w:val="000000"/>
        </w:rPr>
      </w:pPr>
    </w:p>
    <w:p w:rsidR="00E01860" w:rsidRPr="00BA63CA" w:rsidRDefault="00AF1602">
      <w:pPr>
        <w:pStyle w:val="Ttulo1"/>
        <w:spacing w:before="0" w:line="360" w:lineRule="auto"/>
        <w:ind w:right="-787"/>
        <w:rPr>
          <w:rFonts w:ascii="Palatino Linotype" w:eastAsia="Palatino Linotype" w:hAnsi="Palatino Linotype" w:cs="Palatino Linotype"/>
          <w:b/>
          <w:color w:val="000000"/>
          <w:sz w:val="24"/>
          <w:szCs w:val="24"/>
        </w:rPr>
      </w:pPr>
      <w:bookmarkStart w:id="6" w:name="_heading=h.3dy6vkm" w:colFirst="0" w:colLast="0"/>
      <w:bookmarkEnd w:id="6"/>
      <w:r w:rsidRPr="00BA63CA">
        <w:rPr>
          <w:rFonts w:ascii="Palatino Linotype" w:eastAsia="Palatino Linotype" w:hAnsi="Palatino Linotype" w:cs="Palatino Linotype"/>
          <w:b/>
          <w:color w:val="000000"/>
          <w:sz w:val="24"/>
          <w:szCs w:val="24"/>
        </w:rPr>
        <w:t>TERCERA. Descripción de hechos y planteamiento de la controversia.</w:t>
      </w:r>
    </w:p>
    <w:p w:rsidR="00E01860" w:rsidRPr="00BA63CA" w:rsidRDefault="00AF1602">
      <w:pPr>
        <w:numPr>
          <w:ilvl w:val="0"/>
          <w:numId w:val="1"/>
        </w:numPr>
        <w:pBdr>
          <w:top w:val="nil"/>
          <w:left w:val="nil"/>
          <w:bottom w:val="nil"/>
          <w:right w:val="nil"/>
          <w:between w:val="nil"/>
        </w:pBdr>
        <w:spacing w:line="360" w:lineRule="auto"/>
        <w:ind w:left="0" w:right="-787" w:firstLine="0"/>
        <w:jc w:val="both"/>
        <w:rPr>
          <w:color w:val="000000"/>
        </w:rPr>
      </w:pPr>
      <w:r w:rsidRPr="00BA63CA">
        <w:rPr>
          <w:rFonts w:ascii="Palatino Linotype" w:eastAsia="Palatino Linotype" w:hAnsi="Palatino Linotype" w:cs="Palatino Linotype"/>
          <w:color w:val="000000"/>
        </w:rPr>
        <w:t>Se solicitó tener acceso, a la información que a continuación se describe:</w:t>
      </w:r>
    </w:p>
    <w:p w:rsidR="00E01860" w:rsidRPr="00BA63CA" w:rsidRDefault="00AF1602">
      <w:pPr>
        <w:pBdr>
          <w:top w:val="nil"/>
          <w:left w:val="nil"/>
          <w:bottom w:val="nil"/>
          <w:right w:val="nil"/>
          <w:between w:val="nil"/>
        </w:pBdr>
        <w:spacing w:line="360" w:lineRule="auto"/>
        <w:ind w:left="1134" w:right="-787"/>
        <w:jc w:val="both"/>
        <w:rPr>
          <w:rFonts w:ascii="Palatino Linotype" w:eastAsia="Palatino Linotype" w:hAnsi="Palatino Linotype" w:cs="Palatino Linotype"/>
          <w:i/>
          <w:color w:val="000000"/>
          <w:sz w:val="22"/>
          <w:szCs w:val="22"/>
        </w:rPr>
      </w:pPr>
      <w:r w:rsidRPr="00BA63CA">
        <w:rPr>
          <w:rFonts w:ascii="Palatino Linotype" w:eastAsia="Palatino Linotype" w:hAnsi="Palatino Linotype" w:cs="Palatino Linotype"/>
          <w:i/>
          <w:color w:val="000000"/>
          <w:sz w:val="22"/>
          <w:szCs w:val="22"/>
        </w:rPr>
        <w:t>De los camiones recolectores de basura:</w:t>
      </w:r>
    </w:p>
    <w:p w:rsidR="00E01860" w:rsidRPr="00BA63CA" w:rsidRDefault="00AF1602">
      <w:pPr>
        <w:numPr>
          <w:ilvl w:val="0"/>
          <w:numId w:val="7"/>
        </w:numPr>
        <w:pBdr>
          <w:top w:val="nil"/>
          <w:left w:val="nil"/>
          <w:bottom w:val="nil"/>
          <w:right w:val="nil"/>
          <w:between w:val="nil"/>
        </w:pBdr>
        <w:spacing w:line="360" w:lineRule="auto"/>
        <w:ind w:right="-787"/>
        <w:jc w:val="both"/>
        <w:rPr>
          <w:rFonts w:ascii="Palatino Linotype" w:eastAsia="Palatino Linotype" w:hAnsi="Palatino Linotype" w:cs="Palatino Linotype"/>
          <w:i/>
          <w:color w:val="000000"/>
          <w:sz w:val="22"/>
          <w:szCs w:val="22"/>
        </w:rPr>
      </w:pPr>
      <w:r w:rsidRPr="00BA63CA">
        <w:rPr>
          <w:rFonts w:ascii="Palatino Linotype" w:eastAsia="Palatino Linotype" w:hAnsi="Palatino Linotype" w:cs="Palatino Linotype"/>
          <w:i/>
          <w:color w:val="000000"/>
          <w:sz w:val="22"/>
          <w:szCs w:val="22"/>
        </w:rPr>
        <w:t>Rutas</w:t>
      </w:r>
    </w:p>
    <w:p w:rsidR="00E01860" w:rsidRPr="00BA63CA" w:rsidRDefault="00AF1602">
      <w:pPr>
        <w:numPr>
          <w:ilvl w:val="0"/>
          <w:numId w:val="7"/>
        </w:numPr>
        <w:pBdr>
          <w:top w:val="nil"/>
          <w:left w:val="nil"/>
          <w:bottom w:val="nil"/>
          <w:right w:val="nil"/>
          <w:between w:val="nil"/>
        </w:pBdr>
        <w:spacing w:line="360" w:lineRule="auto"/>
        <w:ind w:right="-787"/>
        <w:jc w:val="both"/>
        <w:rPr>
          <w:rFonts w:ascii="Palatino Linotype" w:eastAsia="Palatino Linotype" w:hAnsi="Palatino Linotype" w:cs="Palatino Linotype"/>
          <w:i/>
          <w:color w:val="000000"/>
          <w:sz w:val="22"/>
          <w:szCs w:val="22"/>
        </w:rPr>
      </w:pPr>
      <w:r w:rsidRPr="00BA63CA">
        <w:rPr>
          <w:rFonts w:ascii="Palatino Linotype" w:eastAsia="Palatino Linotype" w:hAnsi="Palatino Linotype" w:cs="Palatino Linotype"/>
          <w:i/>
          <w:color w:val="000000"/>
          <w:sz w:val="22"/>
          <w:szCs w:val="22"/>
        </w:rPr>
        <w:t>Frecuencias</w:t>
      </w:r>
    </w:p>
    <w:p w:rsidR="00E01860" w:rsidRPr="00BA63CA" w:rsidRDefault="00AF1602">
      <w:pPr>
        <w:numPr>
          <w:ilvl w:val="0"/>
          <w:numId w:val="7"/>
        </w:numPr>
        <w:pBdr>
          <w:top w:val="nil"/>
          <w:left w:val="nil"/>
          <w:bottom w:val="nil"/>
          <w:right w:val="nil"/>
          <w:between w:val="nil"/>
        </w:pBdr>
        <w:spacing w:line="360" w:lineRule="auto"/>
        <w:ind w:right="-787"/>
        <w:jc w:val="both"/>
        <w:rPr>
          <w:rFonts w:ascii="Palatino Linotype" w:eastAsia="Palatino Linotype" w:hAnsi="Palatino Linotype" w:cs="Palatino Linotype"/>
          <w:i/>
          <w:color w:val="000000"/>
          <w:sz w:val="22"/>
          <w:szCs w:val="22"/>
        </w:rPr>
      </w:pPr>
      <w:r w:rsidRPr="00BA63CA">
        <w:rPr>
          <w:rFonts w:ascii="Palatino Linotype" w:eastAsia="Palatino Linotype" w:hAnsi="Palatino Linotype" w:cs="Palatino Linotype"/>
          <w:i/>
          <w:color w:val="000000"/>
          <w:sz w:val="22"/>
          <w:szCs w:val="22"/>
        </w:rPr>
        <w:t>Horarios</w:t>
      </w:r>
    </w:p>
    <w:p w:rsidR="00E01860" w:rsidRPr="00BA63CA" w:rsidRDefault="00AF1602">
      <w:pPr>
        <w:pBdr>
          <w:top w:val="nil"/>
          <w:left w:val="nil"/>
          <w:bottom w:val="nil"/>
          <w:right w:val="nil"/>
          <w:between w:val="nil"/>
        </w:pBdr>
        <w:spacing w:line="360" w:lineRule="auto"/>
        <w:ind w:left="1134" w:right="-787"/>
        <w:jc w:val="both"/>
        <w:rPr>
          <w:rFonts w:ascii="Palatino Linotype" w:eastAsia="Palatino Linotype" w:hAnsi="Palatino Linotype" w:cs="Palatino Linotype"/>
          <w:i/>
          <w:color w:val="000000"/>
          <w:sz w:val="22"/>
          <w:szCs w:val="22"/>
        </w:rPr>
      </w:pPr>
      <w:r w:rsidRPr="00BA63CA">
        <w:rPr>
          <w:rFonts w:ascii="Palatino Linotype" w:eastAsia="Palatino Linotype" w:hAnsi="Palatino Linotype" w:cs="Palatino Linotype"/>
          <w:i/>
          <w:color w:val="000000"/>
          <w:sz w:val="22"/>
          <w:szCs w:val="22"/>
        </w:rPr>
        <w:t>De los contenedores de basura:</w:t>
      </w:r>
    </w:p>
    <w:p w:rsidR="00E01860" w:rsidRPr="00BA63CA" w:rsidRDefault="00AF1602">
      <w:pPr>
        <w:numPr>
          <w:ilvl w:val="0"/>
          <w:numId w:val="7"/>
        </w:numPr>
        <w:pBdr>
          <w:top w:val="nil"/>
          <w:left w:val="nil"/>
          <w:bottom w:val="nil"/>
          <w:right w:val="nil"/>
          <w:between w:val="nil"/>
        </w:pBdr>
        <w:spacing w:line="360" w:lineRule="auto"/>
        <w:ind w:right="-787"/>
        <w:jc w:val="both"/>
        <w:rPr>
          <w:rFonts w:ascii="Palatino Linotype" w:eastAsia="Palatino Linotype" w:hAnsi="Palatino Linotype" w:cs="Palatino Linotype"/>
          <w:i/>
          <w:color w:val="000000"/>
          <w:sz w:val="22"/>
          <w:szCs w:val="22"/>
        </w:rPr>
      </w:pPr>
      <w:r w:rsidRPr="00BA63CA">
        <w:rPr>
          <w:rFonts w:ascii="Palatino Linotype" w:eastAsia="Palatino Linotype" w:hAnsi="Palatino Linotype" w:cs="Palatino Linotype"/>
          <w:i/>
          <w:color w:val="000000"/>
          <w:sz w:val="22"/>
          <w:szCs w:val="22"/>
        </w:rPr>
        <w:t>Cantidad</w:t>
      </w:r>
    </w:p>
    <w:p w:rsidR="00E01860" w:rsidRPr="00BA63CA" w:rsidRDefault="00AF1602">
      <w:pPr>
        <w:numPr>
          <w:ilvl w:val="0"/>
          <w:numId w:val="7"/>
        </w:numPr>
        <w:pBdr>
          <w:top w:val="nil"/>
          <w:left w:val="nil"/>
          <w:bottom w:val="nil"/>
          <w:right w:val="nil"/>
          <w:between w:val="nil"/>
        </w:pBdr>
        <w:spacing w:line="360" w:lineRule="auto"/>
        <w:ind w:right="-787"/>
        <w:jc w:val="both"/>
        <w:rPr>
          <w:rFonts w:ascii="Palatino Linotype" w:eastAsia="Palatino Linotype" w:hAnsi="Palatino Linotype" w:cs="Palatino Linotype"/>
          <w:i/>
          <w:color w:val="000000"/>
          <w:sz w:val="22"/>
          <w:szCs w:val="22"/>
        </w:rPr>
      </w:pPr>
      <w:r w:rsidRPr="00BA63CA">
        <w:rPr>
          <w:rFonts w:ascii="Palatino Linotype" w:eastAsia="Palatino Linotype" w:hAnsi="Palatino Linotype" w:cs="Palatino Linotype"/>
          <w:i/>
          <w:color w:val="000000"/>
          <w:sz w:val="22"/>
          <w:szCs w:val="22"/>
        </w:rPr>
        <w:t>Localización</w:t>
      </w:r>
    </w:p>
    <w:p w:rsidR="00E01860" w:rsidRPr="00BA63CA" w:rsidRDefault="00AF1602">
      <w:pPr>
        <w:numPr>
          <w:ilvl w:val="0"/>
          <w:numId w:val="7"/>
        </w:numPr>
        <w:pBdr>
          <w:top w:val="nil"/>
          <w:left w:val="nil"/>
          <w:bottom w:val="nil"/>
          <w:right w:val="nil"/>
          <w:between w:val="nil"/>
        </w:pBdr>
        <w:spacing w:line="360" w:lineRule="auto"/>
        <w:ind w:right="-787"/>
        <w:jc w:val="both"/>
        <w:rPr>
          <w:rFonts w:ascii="Palatino Linotype" w:eastAsia="Palatino Linotype" w:hAnsi="Palatino Linotype" w:cs="Palatino Linotype"/>
          <w:i/>
          <w:color w:val="000000"/>
          <w:sz w:val="22"/>
          <w:szCs w:val="22"/>
        </w:rPr>
      </w:pPr>
      <w:r w:rsidRPr="00BA63CA">
        <w:rPr>
          <w:rFonts w:ascii="Palatino Linotype" w:eastAsia="Palatino Linotype" w:hAnsi="Palatino Linotype" w:cs="Palatino Linotype"/>
          <w:i/>
          <w:color w:val="000000"/>
          <w:sz w:val="22"/>
          <w:szCs w:val="22"/>
        </w:rPr>
        <w:t>Si se cuenta con supervisores de ruta</w:t>
      </w:r>
    </w:p>
    <w:p w:rsidR="00E01860" w:rsidRPr="00BA63CA" w:rsidRDefault="00E01860">
      <w:pPr>
        <w:pBdr>
          <w:top w:val="nil"/>
          <w:left w:val="nil"/>
          <w:bottom w:val="nil"/>
          <w:right w:val="nil"/>
          <w:between w:val="nil"/>
        </w:pBdr>
        <w:spacing w:line="360" w:lineRule="auto"/>
        <w:ind w:left="1134" w:right="-787"/>
        <w:jc w:val="both"/>
        <w:rPr>
          <w:rFonts w:ascii="Palatino Linotype" w:eastAsia="Palatino Linotype" w:hAnsi="Palatino Linotype" w:cs="Palatino Linotype"/>
          <w:color w:val="000000"/>
          <w:sz w:val="22"/>
          <w:szCs w:val="22"/>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color w:val="000000"/>
        </w:rPr>
      </w:pPr>
      <w:r w:rsidRPr="00BA63CA">
        <w:rPr>
          <w:rFonts w:ascii="Palatino Linotype" w:eastAsia="Palatino Linotype" w:hAnsi="Palatino Linotype" w:cs="Palatino Linotype"/>
        </w:rPr>
        <w:t>En respuesta, el Sujeto Obligado</w:t>
      </w:r>
      <w:r w:rsidRPr="00BA63CA">
        <w:rPr>
          <w:rFonts w:ascii="Palatino Linotype" w:eastAsia="Palatino Linotype" w:hAnsi="Palatino Linotype" w:cs="Palatino Linotype"/>
          <w:b/>
        </w:rPr>
        <w:t xml:space="preserve"> </w:t>
      </w:r>
      <w:r w:rsidRPr="00BA63CA">
        <w:rPr>
          <w:rFonts w:ascii="Palatino Linotype" w:eastAsia="Palatino Linotype" w:hAnsi="Palatino Linotype" w:cs="Palatino Linotype"/>
        </w:rPr>
        <w:t>remitió los archivos ya descritos en el anterior párrafo 2, inconforme con la respuesta, se interpuso Recurso de Revisión argumentando que no se respondió a lo solicitado.</w:t>
      </w:r>
    </w:p>
    <w:p w:rsidR="00E01860" w:rsidRPr="00BA63CA" w:rsidRDefault="00AF1602">
      <w:pPr>
        <w:numPr>
          <w:ilvl w:val="0"/>
          <w:numId w:val="1"/>
        </w:numPr>
        <w:spacing w:line="360" w:lineRule="auto"/>
        <w:ind w:left="0" w:right="-787" w:firstLine="0"/>
        <w:jc w:val="both"/>
      </w:pPr>
      <w:r w:rsidRPr="00BA63CA">
        <w:rPr>
          <w:rFonts w:ascii="Palatino Linotype" w:eastAsia="Palatino Linotype" w:hAnsi="Palatino Linotype" w:cs="Palatino Linotype"/>
        </w:rPr>
        <w:lastRenderedPageBreak/>
        <w:t>En dichas condiciones, la controversia a resolver en el presente proveído, corresponde a determinar si se actualiza la causal de procedencia prevista en el artículo 179, fracción V,</w:t>
      </w:r>
      <w:r w:rsidRPr="00BA63CA">
        <w:rPr>
          <w:rFonts w:ascii="Palatino Linotype" w:eastAsia="Palatino Linotype" w:hAnsi="Palatino Linotype" w:cs="Palatino Linotype"/>
          <w:b/>
        </w:rPr>
        <w:t xml:space="preserve"> </w:t>
      </w:r>
      <w:r w:rsidRPr="00BA63CA">
        <w:rPr>
          <w:rFonts w:ascii="Palatino Linotype" w:eastAsia="Palatino Linotype" w:hAnsi="Palatino Linotype" w:cs="Palatino Linotype"/>
        </w:rPr>
        <w:t>de la Ley de Transparencia y Acceso a la Información Pública del Estado de</w:t>
      </w:r>
      <w:r w:rsidRPr="00BA63CA">
        <w:rPr>
          <w:rFonts w:ascii="Palatino Linotype" w:eastAsia="Palatino Linotype" w:hAnsi="Palatino Linotype" w:cs="Palatino Linotype"/>
          <w:b/>
        </w:rPr>
        <w:t xml:space="preserve"> </w:t>
      </w:r>
      <w:r w:rsidRPr="00BA63CA">
        <w:rPr>
          <w:rFonts w:ascii="Palatino Linotype" w:eastAsia="Palatino Linotype" w:hAnsi="Palatino Linotype" w:cs="Palatino Linotype"/>
        </w:rPr>
        <w:t>México</w:t>
      </w:r>
      <w:r w:rsidRPr="00BA63CA">
        <w:rPr>
          <w:rFonts w:ascii="Palatino Linotype" w:eastAsia="Palatino Linotype" w:hAnsi="Palatino Linotype" w:cs="Palatino Linotype"/>
          <w:b/>
        </w:rPr>
        <w:t xml:space="preserve"> </w:t>
      </w:r>
      <w:r w:rsidRPr="00BA63CA">
        <w:rPr>
          <w:rFonts w:ascii="Palatino Linotype" w:eastAsia="Palatino Linotype" w:hAnsi="Palatino Linotype" w:cs="Palatino Linotype"/>
        </w:rPr>
        <w:t>y</w:t>
      </w:r>
      <w:r w:rsidRPr="00BA63CA">
        <w:rPr>
          <w:rFonts w:ascii="Palatino Linotype" w:eastAsia="Palatino Linotype" w:hAnsi="Palatino Linotype" w:cs="Palatino Linotype"/>
          <w:b/>
        </w:rPr>
        <w:t xml:space="preserve"> </w:t>
      </w:r>
      <w:r w:rsidRPr="00BA63CA">
        <w:rPr>
          <w:rFonts w:ascii="Palatino Linotype" w:eastAsia="Palatino Linotype" w:hAnsi="Palatino Linotype" w:cs="Palatino Linotype"/>
        </w:rPr>
        <w:t xml:space="preserve">Municipios; </w:t>
      </w:r>
      <w:r w:rsidRPr="00BA63CA">
        <w:rPr>
          <w:rFonts w:ascii="Palatino Linotype" w:eastAsia="Palatino Linotype" w:hAnsi="Palatino Linotype" w:cs="Palatino Linotype"/>
          <w:color w:val="000000"/>
        </w:rPr>
        <w:t xml:space="preserve">fracción que determina la hipótesis relativa a la entrega de información incompleta; </w:t>
      </w:r>
      <w:r w:rsidRPr="00BA63CA">
        <w:rPr>
          <w:rFonts w:ascii="Palatino Linotype" w:eastAsia="Palatino Linotype" w:hAnsi="Palatino Linotype" w:cs="Palatino Linotype"/>
        </w:rPr>
        <w:t>contexto del cual se dolió el Recurrente al momento de impugnar el acto.</w:t>
      </w:r>
      <w:r w:rsidRPr="00BA63CA">
        <w:rPr>
          <w:rFonts w:ascii="Palatino Linotype" w:eastAsia="Palatino Linotype" w:hAnsi="Palatino Linotype" w:cs="Palatino Linotype"/>
          <w:color w:val="000000"/>
        </w:rPr>
        <w:t xml:space="preserve"> De modo tal que el presente recurso de revisión se </w:t>
      </w:r>
      <w:r w:rsidRPr="00BA63CA">
        <w:rPr>
          <w:rFonts w:ascii="Palatino Linotype" w:eastAsia="Palatino Linotype" w:hAnsi="Palatino Linotype" w:cs="Palatino Linotype"/>
        </w:rPr>
        <w:t>abocará</w:t>
      </w:r>
      <w:r w:rsidRPr="00BA63CA">
        <w:rPr>
          <w:rFonts w:ascii="Palatino Linotype" w:eastAsia="Palatino Linotype" w:hAnsi="Palatino Linotype" w:cs="Palatino Linotype"/>
          <w:color w:val="000000"/>
        </w:rPr>
        <w:t xml:space="preserve"> en determinar si el Sujeto Obligado con su respuesta ciertamente actualiza la causal de procedencia</w:t>
      </w:r>
      <w:r w:rsidRPr="00BA63CA">
        <w:rPr>
          <w:rFonts w:ascii="Palatino Linotype" w:eastAsia="Palatino Linotype" w:hAnsi="Palatino Linotype" w:cs="Palatino Linotype"/>
          <w:b/>
          <w:color w:val="000000"/>
        </w:rPr>
        <w:t xml:space="preserve"> </w:t>
      </w:r>
      <w:r w:rsidRPr="00BA63CA">
        <w:rPr>
          <w:rFonts w:ascii="Palatino Linotype" w:eastAsia="Palatino Linotype" w:hAnsi="Palatino Linotype" w:cs="Palatino Linotype"/>
          <w:color w:val="000000"/>
        </w:rPr>
        <w:t xml:space="preserve">señalada. </w:t>
      </w:r>
    </w:p>
    <w:p w:rsidR="00E01860" w:rsidRPr="00BA63CA" w:rsidRDefault="00E01860">
      <w:pPr>
        <w:spacing w:line="360" w:lineRule="auto"/>
        <w:ind w:right="-787"/>
        <w:rPr>
          <w:rFonts w:ascii="Palatino Linotype" w:eastAsia="Palatino Linotype" w:hAnsi="Palatino Linotype" w:cs="Palatino Linotype"/>
        </w:rPr>
      </w:pPr>
    </w:p>
    <w:p w:rsidR="00E01860" w:rsidRPr="00BA63CA" w:rsidRDefault="00AF1602">
      <w:pPr>
        <w:pStyle w:val="Ttulo2"/>
        <w:spacing w:before="0" w:line="360" w:lineRule="auto"/>
        <w:ind w:right="-787"/>
        <w:rPr>
          <w:rFonts w:ascii="Palatino Linotype" w:eastAsia="Palatino Linotype" w:hAnsi="Palatino Linotype" w:cs="Palatino Linotype"/>
          <w:b/>
          <w:color w:val="000000"/>
          <w:sz w:val="24"/>
          <w:szCs w:val="24"/>
        </w:rPr>
      </w:pPr>
      <w:bookmarkStart w:id="7" w:name="_heading=h.1t3h5sf" w:colFirst="0" w:colLast="0"/>
      <w:bookmarkEnd w:id="7"/>
      <w:r w:rsidRPr="00BA63CA">
        <w:rPr>
          <w:rFonts w:ascii="Palatino Linotype" w:eastAsia="Palatino Linotype" w:hAnsi="Palatino Linotype" w:cs="Palatino Linotype"/>
          <w:b/>
          <w:color w:val="000000"/>
          <w:sz w:val="24"/>
          <w:szCs w:val="24"/>
        </w:rPr>
        <w:t>CUARTA. Estudio de la controversia.</w:t>
      </w:r>
    </w:p>
    <w:p w:rsidR="00E01860" w:rsidRPr="00BA63CA" w:rsidRDefault="00AF1602">
      <w:pPr>
        <w:numPr>
          <w:ilvl w:val="0"/>
          <w:numId w:val="1"/>
        </w:numPr>
        <w:spacing w:line="360" w:lineRule="auto"/>
        <w:ind w:left="0" w:right="-787" w:firstLine="0"/>
        <w:jc w:val="both"/>
      </w:pPr>
      <w:r w:rsidRPr="00BA63CA">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E01860" w:rsidRPr="00BA63CA" w:rsidRDefault="00E01860">
      <w:pPr>
        <w:spacing w:line="360" w:lineRule="auto"/>
        <w:ind w:right="-787"/>
        <w:jc w:val="both"/>
        <w:rPr>
          <w:rFonts w:ascii="Palatino Linotype" w:eastAsia="Palatino Linotype" w:hAnsi="Palatino Linotype" w:cs="Palatino Linotype"/>
        </w:rPr>
      </w:pPr>
    </w:p>
    <w:p w:rsidR="00E01860" w:rsidRPr="00BA63CA" w:rsidRDefault="00AF1602">
      <w:pPr>
        <w:numPr>
          <w:ilvl w:val="0"/>
          <w:numId w:val="1"/>
        </w:numPr>
        <w:spacing w:line="360" w:lineRule="auto"/>
        <w:ind w:left="0" w:right="-787" w:firstLine="0"/>
        <w:jc w:val="both"/>
      </w:pPr>
      <w:r w:rsidRPr="00BA63CA">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E01860" w:rsidRPr="00BA63CA" w:rsidRDefault="00AF1602">
      <w:pPr>
        <w:numPr>
          <w:ilvl w:val="0"/>
          <w:numId w:val="1"/>
        </w:numPr>
        <w:spacing w:line="360" w:lineRule="auto"/>
        <w:ind w:left="0" w:right="-787" w:firstLine="0"/>
        <w:jc w:val="both"/>
      </w:pPr>
      <w:r w:rsidRPr="00BA63CA">
        <w:rPr>
          <w:rFonts w:ascii="Palatino Linotype" w:eastAsia="Palatino Linotype" w:hAnsi="Palatino Linotype" w:cs="Palatino Linotype"/>
        </w:rPr>
        <w:lastRenderedPageBreak/>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E01860" w:rsidRPr="00BA63CA" w:rsidRDefault="00E01860">
      <w:pPr>
        <w:spacing w:line="360" w:lineRule="auto"/>
        <w:ind w:right="-787"/>
        <w:jc w:val="both"/>
        <w:rPr>
          <w:rFonts w:ascii="Palatino Linotype" w:eastAsia="Palatino Linotype" w:hAnsi="Palatino Linotype" w:cs="Palatino Linotype"/>
        </w:rPr>
      </w:pPr>
    </w:p>
    <w:p w:rsidR="00E01860" w:rsidRPr="00BA63CA" w:rsidRDefault="00AF1602">
      <w:pPr>
        <w:numPr>
          <w:ilvl w:val="0"/>
          <w:numId w:val="8"/>
        </w:numPr>
        <w:pBdr>
          <w:top w:val="nil"/>
          <w:left w:val="nil"/>
          <w:bottom w:val="nil"/>
          <w:right w:val="nil"/>
          <w:between w:val="nil"/>
        </w:pBdr>
        <w:spacing w:line="360" w:lineRule="auto"/>
        <w:ind w:right="-787"/>
        <w:rPr>
          <w:rFonts w:ascii="Palatino Linotype" w:eastAsia="Palatino Linotype" w:hAnsi="Palatino Linotype" w:cs="Palatino Linotype"/>
          <w:b/>
          <w:color w:val="000000"/>
        </w:rPr>
      </w:pPr>
      <w:r w:rsidRPr="00BA63CA">
        <w:rPr>
          <w:rFonts w:ascii="Palatino Linotype" w:eastAsia="Palatino Linotype" w:hAnsi="Palatino Linotype" w:cs="Palatino Linotype"/>
          <w:b/>
          <w:color w:val="000000"/>
        </w:rPr>
        <w:t>Del Sujeto Obligado.</w:t>
      </w:r>
    </w:p>
    <w:p w:rsidR="00E01860" w:rsidRPr="00BA63CA" w:rsidRDefault="00AF1602">
      <w:pPr>
        <w:numPr>
          <w:ilvl w:val="0"/>
          <w:numId w:val="1"/>
        </w:numPr>
        <w:spacing w:line="360" w:lineRule="auto"/>
        <w:ind w:left="0" w:right="-787" w:firstLine="0"/>
        <w:jc w:val="both"/>
      </w:pPr>
      <w:r w:rsidRPr="00BA63CA">
        <w:rPr>
          <w:rFonts w:ascii="Palatino Linotype" w:eastAsia="Palatino Linotype" w:hAnsi="Palatino Linotype" w:cs="Palatino Linotype"/>
        </w:rPr>
        <w:t>Los municipios tendrán a su cargo la prestación, explotación, administración y conservación de los servicios públicos municipales, entre ellos el de “Limpia, recolección, segregada, traslado, tratamiento y disposición final de los residuos sólidos urbanos…”, de conformidad con la Ley Orgánica Municipal del Estado de México, artículo 125, fracción III.</w:t>
      </w:r>
    </w:p>
    <w:p w:rsidR="00E01860" w:rsidRPr="00BA63CA" w:rsidRDefault="00E01860">
      <w:pPr>
        <w:spacing w:line="360" w:lineRule="auto"/>
        <w:ind w:right="-787"/>
        <w:jc w:val="both"/>
      </w:pPr>
    </w:p>
    <w:p w:rsidR="00E01860" w:rsidRPr="00BA63CA" w:rsidRDefault="00AF1602">
      <w:pPr>
        <w:numPr>
          <w:ilvl w:val="0"/>
          <w:numId w:val="1"/>
        </w:numPr>
        <w:spacing w:line="360" w:lineRule="auto"/>
        <w:ind w:left="0" w:right="-787" w:firstLine="0"/>
        <w:jc w:val="both"/>
      </w:pPr>
      <w:r w:rsidRPr="00BA63CA">
        <w:rPr>
          <w:rFonts w:ascii="Palatino Linotype" w:eastAsia="Palatino Linotype" w:hAnsi="Palatino Linotype" w:cs="Palatino Linotype"/>
        </w:rPr>
        <w:t>Para el despacho de sus asuntos, la Administración Pública Municipal se auxiliará de diversas dependencias, entre ellas, la Dirección General de Servicios Públicos, quien tiene dentro de sus funciones de acuerdo al artículo 3.52 del Código Reglamentario Municipal de Toluca, la siguientes:</w:t>
      </w:r>
    </w:p>
    <w:p w:rsidR="00E01860" w:rsidRPr="00BA63CA" w:rsidRDefault="00AF1602">
      <w:pPr>
        <w:ind w:left="566" w:right="-220"/>
        <w:jc w:val="center"/>
        <w:rPr>
          <w:rFonts w:ascii="Palatino Linotype" w:eastAsia="Palatino Linotype" w:hAnsi="Palatino Linotype" w:cs="Palatino Linotype"/>
          <w:b/>
          <w:i/>
          <w:sz w:val="22"/>
          <w:szCs w:val="22"/>
        </w:rPr>
      </w:pPr>
      <w:r w:rsidRPr="00BA63CA">
        <w:rPr>
          <w:rFonts w:ascii="Palatino Linotype" w:eastAsia="Palatino Linotype" w:hAnsi="Palatino Linotype" w:cs="Palatino Linotype"/>
          <w:b/>
          <w:i/>
          <w:sz w:val="22"/>
          <w:szCs w:val="22"/>
        </w:rPr>
        <w:t>Código Reglamentario Municipal de Toluca</w:t>
      </w:r>
    </w:p>
    <w:p w:rsidR="00E01860" w:rsidRPr="00BA63CA" w:rsidRDefault="00AF1602">
      <w:pPr>
        <w:ind w:left="566" w:right="-220"/>
        <w:jc w:val="center"/>
        <w:rPr>
          <w:rFonts w:ascii="Palatino Linotype" w:eastAsia="Palatino Linotype" w:hAnsi="Palatino Linotype" w:cs="Palatino Linotype"/>
          <w:b/>
          <w:i/>
          <w:sz w:val="22"/>
          <w:szCs w:val="22"/>
        </w:rPr>
      </w:pPr>
      <w:r w:rsidRPr="00BA63CA">
        <w:rPr>
          <w:rFonts w:ascii="Palatino Linotype" w:eastAsia="Palatino Linotype" w:hAnsi="Palatino Linotype" w:cs="Palatino Linotype"/>
          <w:b/>
          <w:i/>
          <w:sz w:val="22"/>
          <w:szCs w:val="22"/>
        </w:rPr>
        <w:t>DE LA DIRECCIÓN GENERAL DE SERVICIOS PÚBLICOS</w:t>
      </w:r>
    </w:p>
    <w:p w:rsidR="00E01860" w:rsidRPr="00BA63CA" w:rsidRDefault="00E01860">
      <w:pPr>
        <w:ind w:left="566" w:right="-220"/>
        <w:jc w:val="both"/>
        <w:rPr>
          <w:rFonts w:ascii="Palatino Linotype" w:eastAsia="Palatino Linotype" w:hAnsi="Palatino Linotype" w:cs="Palatino Linotype"/>
          <w:b/>
          <w:i/>
          <w:sz w:val="22"/>
          <w:szCs w:val="22"/>
        </w:rPr>
      </w:pP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b/>
          <w:i/>
          <w:sz w:val="22"/>
          <w:szCs w:val="22"/>
        </w:rPr>
        <w:t xml:space="preserve">Artículo 3.52. </w:t>
      </w:r>
      <w:r w:rsidRPr="00BA63CA">
        <w:rPr>
          <w:rFonts w:ascii="Palatino Linotype" w:eastAsia="Palatino Linotype" w:hAnsi="Palatino Linotype" w:cs="Palatino Linotype"/>
          <w:i/>
          <w:sz w:val="22"/>
          <w:szCs w:val="22"/>
        </w:rPr>
        <w:t xml:space="preserve">La o el titular de la Dirección General de Servicios Públicos tendrá las siguientes atribuciones: </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lastRenderedPageBreak/>
        <w:t>I. Dirigir, coordinar, administrar y planear la prestación de los servicios públicos cuidando que la prestación de estos tenga el menor impacto negativo para el medio ambiente;</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XVI. Coordinar los servicios de limpia, recolección, transporte, transferencia y disposición final de residuos sólidos;</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XVII. Coordinar el transporte y depósito de residuos sólidos urbanos y de manejo especial a los sitios de disposición final que establezca el Ayuntamiento; promoviendo su reutilización;</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XIX. Realizar la recolección de residuos sólidos urbanos y de manejo especial, que estarán debidamente separados en orgánicos e inorgánicos, de las casas habitación, en vías y sitios públicos, así como de edificios de uso particular;</w:t>
      </w:r>
    </w:p>
    <w:p w:rsidR="00E01860" w:rsidRPr="00BA63CA" w:rsidRDefault="00E01860">
      <w:pPr>
        <w:ind w:left="566" w:right="-220"/>
        <w:jc w:val="both"/>
        <w:rPr>
          <w:rFonts w:ascii="Palatino Linotype" w:eastAsia="Palatino Linotype" w:hAnsi="Palatino Linotype" w:cs="Palatino Linotype"/>
          <w:i/>
          <w:sz w:val="22"/>
          <w:szCs w:val="22"/>
        </w:rPr>
      </w:pP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 xml:space="preserve">La Dirección General de Servicios Públicos para el cumplimiento de sus atribuciones se auxiliará de la Dirección de Alumbrado Público, de la </w:t>
      </w:r>
      <w:r w:rsidRPr="00BA63CA">
        <w:rPr>
          <w:rFonts w:ascii="Palatino Linotype" w:eastAsia="Palatino Linotype" w:hAnsi="Palatino Linotype" w:cs="Palatino Linotype"/>
          <w:b/>
          <w:i/>
          <w:sz w:val="22"/>
          <w:szCs w:val="22"/>
        </w:rPr>
        <w:t>Dirección de Residuos Sólidos</w:t>
      </w:r>
      <w:r w:rsidRPr="00BA63CA">
        <w:rPr>
          <w:rFonts w:ascii="Palatino Linotype" w:eastAsia="Palatino Linotype" w:hAnsi="Palatino Linotype" w:cs="Palatino Linotype"/>
          <w:i/>
          <w:sz w:val="22"/>
          <w:szCs w:val="22"/>
        </w:rPr>
        <w:t>, de la Dirección de Mantenimiento Urbano y de la Dirección de Mantenimiento de Áreas Verdes y Panteones.</w:t>
      </w:r>
    </w:p>
    <w:p w:rsidR="00E01860" w:rsidRPr="00BA63CA" w:rsidRDefault="00E01860">
      <w:pPr>
        <w:ind w:left="1134" w:right="-787"/>
        <w:jc w:val="both"/>
        <w:rPr>
          <w:rFonts w:ascii="Palatino Linotype" w:eastAsia="Palatino Linotype" w:hAnsi="Palatino Linotype" w:cs="Palatino Linotype"/>
          <w:i/>
        </w:rPr>
      </w:pPr>
    </w:p>
    <w:p w:rsidR="00E01860" w:rsidRPr="00BA63CA" w:rsidRDefault="00E01860">
      <w:pPr>
        <w:spacing w:line="360" w:lineRule="auto"/>
        <w:ind w:right="-787"/>
        <w:jc w:val="both"/>
      </w:pPr>
    </w:p>
    <w:p w:rsidR="00E01860" w:rsidRPr="00BA63CA" w:rsidRDefault="00AF1602">
      <w:pPr>
        <w:numPr>
          <w:ilvl w:val="0"/>
          <w:numId w:val="1"/>
        </w:numPr>
        <w:spacing w:line="360" w:lineRule="auto"/>
        <w:ind w:left="0" w:right="-787" w:firstLine="0"/>
        <w:jc w:val="both"/>
        <w:rPr>
          <w:rFonts w:ascii="Palatino Linotype" w:eastAsia="Palatino Linotype" w:hAnsi="Palatino Linotype" w:cs="Palatino Linotype"/>
        </w:rPr>
      </w:pPr>
      <w:r w:rsidRPr="00BA63CA">
        <w:rPr>
          <w:rFonts w:ascii="Palatino Linotype" w:eastAsia="Palatino Linotype" w:hAnsi="Palatino Linotype" w:cs="Palatino Linotype"/>
        </w:rPr>
        <w:t>La Dirección de Residuos Sólidos cuenta como unidad administrativa subalterna con el Departamento de Recolección, Transferencia y Disposición Final de Residuos Sólidos, mismas que de conformidad con el Manual de Organización de la Dirección General de Servicios Públicos, tienen el objetivo y funciones siguientes:</w:t>
      </w:r>
    </w:p>
    <w:p w:rsidR="00E01860" w:rsidRPr="00BA63CA" w:rsidRDefault="00AF1602">
      <w:pPr>
        <w:ind w:left="566" w:right="-220"/>
        <w:jc w:val="center"/>
        <w:rPr>
          <w:rFonts w:ascii="Palatino Linotype" w:eastAsia="Palatino Linotype" w:hAnsi="Palatino Linotype" w:cs="Palatino Linotype"/>
          <w:b/>
          <w:i/>
          <w:sz w:val="22"/>
          <w:szCs w:val="22"/>
        </w:rPr>
      </w:pPr>
      <w:r w:rsidRPr="00BA63CA">
        <w:rPr>
          <w:rFonts w:ascii="Palatino Linotype" w:eastAsia="Palatino Linotype" w:hAnsi="Palatino Linotype" w:cs="Palatino Linotype"/>
          <w:b/>
          <w:i/>
          <w:sz w:val="22"/>
          <w:szCs w:val="22"/>
        </w:rPr>
        <w:t>Manual de Organización de la Dirección General de Servicios Públicos</w:t>
      </w:r>
    </w:p>
    <w:p w:rsidR="00E01860" w:rsidRPr="00BA63CA" w:rsidRDefault="00E01860">
      <w:pPr>
        <w:ind w:left="566" w:right="-220"/>
        <w:jc w:val="center"/>
        <w:rPr>
          <w:rFonts w:ascii="Palatino Linotype" w:eastAsia="Palatino Linotype" w:hAnsi="Palatino Linotype" w:cs="Palatino Linotype"/>
          <w:b/>
          <w:i/>
          <w:sz w:val="22"/>
          <w:szCs w:val="22"/>
        </w:rPr>
      </w:pPr>
    </w:p>
    <w:p w:rsidR="00E01860" w:rsidRPr="00BA63CA" w:rsidRDefault="00AF1602">
      <w:pPr>
        <w:ind w:left="566" w:right="-220"/>
        <w:jc w:val="both"/>
        <w:rPr>
          <w:rFonts w:ascii="Palatino Linotype" w:eastAsia="Palatino Linotype" w:hAnsi="Palatino Linotype" w:cs="Palatino Linotype"/>
          <w:b/>
          <w:i/>
          <w:sz w:val="22"/>
          <w:szCs w:val="22"/>
        </w:rPr>
      </w:pPr>
      <w:r w:rsidRPr="00BA63CA">
        <w:rPr>
          <w:rFonts w:ascii="Palatino Linotype" w:eastAsia="Palatino Linotype" w:hAnsi="Palatino Linotype" w:cs="Palatino Linotype"/>
          <w:b/>
          <w:i/>
          <w:sz w:val="22"/>
          <w:szCs w:val="22"/>
        </w:rPr>
        <w:t xml:space="preserve">208012000 Dirección de Residuos Sólidos </w:t>
      </w:r>
    </w:p>
    <w:p w:rsidR="00E01860" w:rsidRPr="00BA63CA" w:rsidRDefault="00E01860">
      <w:pPr>
        <w:ind w:left="566" w:right="-220"/>
        <w:jc w:val="both"/>
        <w:rPr>
          <w:rFonts w:ascii="Palatino Linotype" w:eastAsia="Palatino Linotype" w:hAnsi="Palatino Linotype" w:cs="Palatino Linotype"/>
          <w:b/>
          <w:i/>
          <w:sz w:val="22"/>
          <w:szCs w:val="22"/>
        </w:rPr>
      </w:pPr>
    </w:p>
    <w:p w:rsidR="00E01860" w:rsidRPr="00BA63CA" w:rsidRDefault="00AF1602">
      <w:pPr>
        <w:ind w:left="566" w:right="-220"/>
        <w:jc w:val="both"/>
        <w:rPr>
          <w:rFonts w:ascii="Palatino Linotype" w:eastAsia="Palatino Linotype" w:hAnsi="Palatino Linotype" w:cs="Palatino Linotype"/>
          <w:b/>
          <w:i/>
          <w:sz w:val="22"/>
          <w:szCs w:val="22"/>
        </w:rPr>
      </w:pPr>
      <w:r w:rsidRPr="00BA63CA">
        <w:rPr>
          <w:rFonts w:ascii="Palatino Linotype" w:eastAsia="Palatino Linotype" w:hAnsi="Palatino Linotype" w:cs="Palatino Linotype"/>
          <w:b/>
          <w:i/>
          <w:sz w:val="22"/>
          <w:szCs w:val="22"/>
        </w:rPr>
        <w:t xml:space="preserve">Objetivo </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Planear, organizar, dirigir, operar y evaluar los servicios de limpia, recolección, transporte y disposición final de residuos sólidos urbanos no peligrosos, así como propiciar el mejoramiento y ampliación de cobertura de los mismos, para evitar que los residuos sólidos, tanto orgánicos como inorgánicos, originen focos de infección, peligro, molestias o la propagación de enfermedades para la ciudadanía.</w:t>
      </w:r>
    </w:p>
    <w:p w:rsidR="00E01860" w:rsidRPr="00BA63CA" w:rsidRDefault="00E01860">
      <w:pPr>
        <w:ind w:left="566" w:right="-220"/>
        <w:jc w:val="both"/>
        <w:rPr>
          <w:rFonts w:ascii="Palatino Linotype" w:eastAsia="Palatino Linotype" w:hAnsi="Palatino Linotype" w:cs="Palatino Linotype"/>
          <w:i/>
          <w:sz w:val="22"/>
          <w:szCs w:val="22"/>
        </w:rPr>
      </w:pPr>
    </w:p>
    <w:p w:rsidR="00E01860" w:rsidRPr="00BA63CA" w:rsidRDefault="00AF1602">
      <w:pPr>
        <w:ind w:left="566" w:right="-220"/>
        <w:jc w:val="both"/>
        <w:rPr>
          <w:rFonts w:ascii="Palatino Linotype" w:eastAsia="Palatino Linotype" w:hAnsi="Palatino Linotype" w:cs="Palatino Linotype"/>
          <w:b/>
          <w:i/>
          <w:sz w:val="22"/>
          <w:szCs w:val="22"/>
        </w:rPr>
      </w:pPr>
      <w:r w:rsidRPr="00BA63CA">
        <w:rPr>
          <w:rFonts w:ascii="Palatino Linotype" w:eastAsia="Palatino Linotype" w:hAnsi="Palatino Linotype" w:cs="Palatino Linotype"/>
          <w:b/>
          <w:i/>
          <w:sz w:val="22"/>
          <w:szCs w:val="22"/>
        </w:rPr>
        <w:t xml:space="preserve">Funciones: </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 xml:space="preserve">1. Planear, organizar, implementar, dirigir, operar, vigilar y evaluar las acciones necesarias para garantizar que los servicios de barrido manual en las vialidades y espacios públicos, así como la </w:t>
      </w:r>
      <w:r w:rsidRPr="00BA63CA">
        <w:rPr>
          <w:rFonts w:ascii="Palatino Linotype" w:eastAsia="Palatino Linotype" w:hAnsi="Palatino Linotype" w:cs="Palatino Linotype"/>
          <w:i/>
          <w:sz w:val="22"/>
          <w:szCs w:val="22"/>
        </w:rPr>
        <w:lastRenderedPageBreak/>
        <w:t xml:space="preserve">recolección, transporte y disposición final de los residuos sólidos, se realicen oportunamente para evitar la acumulación de basura; </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b/>
          <w:i/>
          <w:sz w:val="22"/>
          <w:szCs w:val="22"/>
        </w:rPr>
        <w:t>2. Analizar y determinar los puntos estratégicos para la recolección</w:t>
      </w:r>
      <w:r w:rsidRPr="00BA63CA">
        <w:rPr>
          <w:rFonts w:ascii="Palatino Linotype" w:eastAsia="Palatino Linotype" w:hAnsi="Palatino Linotype" w:cs="Palatino Linotype"/>
          <w:i/>
          <w:sz w:val="22"/>
          <w:szCs w:val="22"/>
        </w:rPr>
        <w:t xml:space="preserve"> y disposición final de los residuos sólidos urbanos generados en el Municipio de Toluca; </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b/>
          <w:i/>
          <w:sz w:val="22"/>
          <w:szCs w:val="22"/>
        </w:rPr>
        <w:t>3. Administrar y establecer en colonias, sectores, delegaciones y subdelegaciones municipales rutas adecuadas para cada sector que requiera y solicite el servicio de recolección de residuos sólidos</w:t>
      </w:r>
      <w:r w:rsidRPr="00BA63CA">
        <w:rPr>
          <w:rFonts w:ascii="Palatino Linotype" w:eastAsia="Palatino Linotype" w:hAnsi="Palatino Linotype" w:cs="Palatino Linotype"/>
          <w:i/>
          <w:sz w:val="22"/>
          <w:szCs w:val="22"/>
        </w:rPr>
        <w:t xml:space="preserve">; </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 xml:space="preserve">4. Diseñar e implementar jornadas de limpieza con trabajos y acciones en delegaciones y colonias en conjunto con la ciudadanía; </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 xml:space="preserve">5. Planear, organizar, dirigir, impulsar y coordinar las campañas de limpieza con la colaboración de la ciudadanía del Municipio de Toluca; </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 xml:space="preserve">6. Fijar e implementar acciones para el manejo adecuado de los residuos sólidos urbanos; </w:t>
      </w:r>
    </w:p>
    <w:p w:rsidR="00E01860" w:rsidRPr="00BA63CA" w:rsidRDefault="00AF1602">
      <w:pPr>
        <w:ind w:left="566" w:right="-220"/>
        <w:jc w:val="both"/>
        <w:rPr>
          <w:rFonts w:ascii="Palatino Linotype" w:eastAsia="Palatino Linotype" w:hAnsi="Palatino Linotype" w:cs="Palatino Linotype"/>
          <w:b/>
          <w:i/>
          <w:sz w:val="22"/>
          <w:szCs w:val="22"/>
        </w:rPr>
      </w:pPr>
      <w:r w:rsidRPr="00BA63CA">
        <w:rPr>
          <w:rFonts w:ascii="Palatino Linotype" w:eastAsia="Palatino Linotype" w:hAnsi="Palatino Linotype" w:cs="Palatino Linotype"/>
          <w:b/>
          <w:i/>
          <w:sz w:val="22"/>
          <w:szCs w:val="22"/>
        </w:rPr>
        <w:t xml:space="preserve">7. Organizar y llevar a cabo acciones de supervisión sobre las condiciones higiénicas de las vialidades y lugares de dominio público del municipio, así como controlar la aparición de sitios de acumulación de residuos sólidos que provoquen la contaminación del medio ambiente; </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 xml:space="preserve">8. Proponer convenios con autoridades federales, estales, municipales y sectores de la ciudadanía, para hacer frente a contingencias en cuestión de residuos sólidos no peligrosos; y </w:t>
      </w:r>
    </w:p>
    <w:p w:rsidR="00E01860" w:rsidRPr="00BA63CA" w:rsidRDefault="00AF1602">
      <w:pPr>
        <w:ind w:left="566" w:right="-220"/>
        <w:jc w:val="both"/>
        <w:rPr>
          <w:rFonts w:ascii="Palatino Linotype" w:eastAsia="Palatino Linotype" w:hAnsi="Palatino Linotype" w:cs="Palatino Linotype"/>
          <w:b/>
          <w:i/>
          <w:sz w:val="22"/>
          <w:szCs w:val="22"/>
        </w:rPr>
      </w:pPr>
      <w:r w:rsidRPr="00BA63CA">
        <w:rPr>
          <w:rFonts w:ascii="Palatino Linotype" w:eastAsia="Palatino Linotype" w:hAnsi="Palatino Linotype" w:cs="Palatino Linotype"/>
          <w:b/>
          <w:i/>
          <w:sz w:val="22"/>
          <w:szCs w:val="22"/>
        </w:rPr>
        <w:t>9. Realizar todas aquellas actividades que sean inherentes y aplicables al área de su competencia.</w:t>
      </w:r>
    </w:p>
    <w:p w:rsidR="00E01860" w:rsidRPr="00BA63CA" w:rsidRDefault="00E01860">
      <w:pPr>
        <w:ind w:left="566" w:right="-220"/>
        <w:jc w:val="both"/>
        <w:rPr>
          <w:rFonts w:ascii="Palatino Linotype" w:eastAsia="Palatino Linotype" w:hAnsi="Palatino Linotype" w:cs="Palatino Linotype"/>
          <w:b/>
          <w:i/>
          <w:sz w:val="22"/>
          <w:szCs w:val="22"/>
        </w:rPr>
      </w:pPr>
    </w:p>
    <w:p w:rsidR="00E01860" w:rsidRPr="00BA63CA" w:rsidRDefault="00E01860">
      <w:pPr>
        <w:ind w:left="566" w:right="-220"/>
        <w:jc w:val="both"/>
        <w:rPr>
          <w:rFonts w:ascii="Palatino Linotype" w:eastAsia="Palatino Linotype" w:hAnsi="Palatino Linotype" w:cs="Palatino Linotype"/>
          <w:b/>
          <w:i/>
          <w:sz w:val="22"/>
          <w:szCs w:val="22"/>
        </w:rPr>
      </w:pPr>
    </w:p>
    <w:p w:rsidR="00E01860" w:rsidRPr="00BA63CA" w:rsidRDefault="00AF1602">
      <w:pPr>
        <w:ind w:left="566" w:right="-220"/>
        <w:jc w:val="both"/>
        <w:rPr>
          <w:rFonts w:ascii="Palatino Linotype" w:eastAsia="Palatino Linotype" w:hAnsi="Palatino Linotype" w:cs="Palatino Linotype"/>
          <w:b/>
          <w:i/>
          <w:sz w:val="22"/>
          <w:szCs w:val="22"/>
        </w:rPr>
      </w:pPr>
      <w:r w:rsidRPr="00BA63CA">
        <w:rPr>
          <w:rFonts w:ascii="Palatino Linotype" w:eastAsia="Palatino Linotype" w:hAnsi="Palatino Linotype" w:cs="Palatino Linotype"/>
          <w:b/>
          <w:i/>
          <w:sz w:val="22"/>
          <w:szCs w:val="22"/>
        </w:rPr>
        <w:t>208012002 Departamento de Recolección, Transferencia y Disposición Final de Residuos Sólidos</w:t>
      </w:r>
    </w:p>
    <w:p w:rsidR="00E01860" w:rsidRPr="00BA63CA" w:rsidRDefault="00E01860">
      <w:pPr>
        <w:ind w:left="566" w:right="-220"/>
        <w:jc w:val="both"/>
        <w:rPr>
          <w:rFonts w:ascii="Palatino Linotype" w:eastAsia="Palatino Linotype" w:hAnsi="Palatino Linotype" w:cs="Palatino Linotype"/>
          <w:b/>
          <w:i/>
          <w:sz w:val="22"/>
          <w:szCs w:val="22"/>
        </w:rPr>
      </w:pPr>
    </w:p>
    <w:p w:rsidR="00E01860" w:rsidRPr="00BA63CA" w:rsidRDefault="00AF1602">
      <w:pPr>
        <w:ind w:left="566" w:right="-220"/>
        <w:jc w:val="both"/>
        <w:rPr>
          <w:rFonts w:ascii="Palatino Linotype" w:eastAsia="Palatino Linotype" w:hAnsi="Palatino Linotype" w:cs="Palatino Linotype"/>
          <w:b/>
          <w:i/>
          <w:sz w:val="22"/>
          <w:szCs w:val="22"/>
        </w:rPr>
      </w:pPr>
      <w:r w:rsidRPr="00BA63CA">
        <w:rPr>
          <w:rFonts w:ascii="Palatino Linotype" w:eastAsia="Palatino Linotype" w:hAnsi="Palatino Linotype" w:cs="Palatino Linotype"/>
          <w:b/>
          <w:i/>
          <w:sz w:val="22"/>
          <w:szCs w:val="22"/>
        </w:rPr>
        <w:t xml:space="preserve">Objetivo </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Planear, organizar y ejecutar la prestación de los servicios de recolección de residuos sólidos domiciliarios no peligrosos en delegaciones y subdelegaciones del municipio hasta su disposición final, con el propósito de fomentar la preservación del medio ambiente.</w:t>
      </w:r>
    </w:p>
    <w:p w:rsidR="00E01860" w:rsidRPr="00BA63CA" w:rsidRDefault="00E01860">
      <w:pPr>
        <w:ind w:left="566" w:right="-220"/>
        <w:jc w:val="both"/>
        <w:rPr>
          <w:rFonts w:ascii="Palatino Linotype" w:eastAsia="Palatino Linotype" w:hAnsi="Palatino Linotype" w:cs="Palatino Linotype"/>
          <w:i/>
          <w:sz w:val="22"/>
          <w:szCs w:val="22"/>
        </w:rPr>
      </w:pPr>
    </w:p>
    <w:p w:rsidR="00E01860" w:rsidRPr="00BA63CA" w:rsidRDefault="00AF1602">
      <w:pPr>
        <w:ind w:left="566" w:right="-220"/>
        <w:jc w:val="both"/>
        <w:rPr>
          <w:rFonts w:ascii="Palatino Linotype" w:eastAsia="Palatino Linotype" w:hAnsi="Palatino Linotype" w:cs="Palatino Linotype"/>
          <w:b/>
          <w:i/>
          <w:sz w:val="22"/>
          <w:szCs w:val="22"/>
        </w:rPr>
      </w:pPr>
      <w:r w:rsidRPr="00BA63CA">
        <w:rPr>
          <w:rFonts w:ascii="Palatino Linotype" w:eastAsia="Palatino Linotype" w:hAnsi="Palatino Linotype" w:cs="Palatino Linotype"/>
          <w:b/>
          <w:i/>
          <w:sz w:val="22"/>
          <w:szCs w:val="22"/>
        </w:rPr>
        <w:t xml:space="preserve">Funciones: </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b/>
          <w:i/>
          <w:sz w:val="22"/>
          <w:szCs w:val="22"/>
        </w:rPr>
        <w:t>1. Programar, ejecutar y supervisar el servicio de recolección de residuos sólidos con base en las necesidades y características de cada delegación y subdelegación del territorio municipal</w:t>
      </w:r>
      <w:r w:rsidRPr="00BA63CA">
        <w:rPr>
          <w:rFonts w:ascii="Palatino Linotype" w:eastAsia="Palatino Linotype" w:hAnsi="Palatino Linotype" w:cs="Palatino Linotype"/>
          <w:i/>
          <w:sz w:val="22"/>
          <w:szCs w:val="22"/>
        </w:rPr>
        <w:t xml:space="preserve">; </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 xml:space="preserve">2. Organizar, dirigir y establecer comunicación permanente con la ciudadanía con la finalidad de recabar y registrar quejas o sugerencias relacionadas con la prestación del servicio de recolección de residuos sólidos; </w:t>
      </w:r>
    </w:p>
    <w:p w:rsidR="00E01860" w:rsidRPr="00BA63CA" w:rsidRDefault="00AF1602">
      <w:pPr>
        <w:ind w:left="566" w:right="-220"/>
        <w:jc w:val="both"/>
        <w:rPr>
          <w:rFonts w:ascii="Palatino Linotype" w:eastAsia="Palatino Linotype" w:hAnsi="Palatino Linotype" w:cs="Palatino Linotype"/>
          <w:b/>
          <w:i/>
          <w:sz w:val="22"/>
          <w:szCs w:val="22"/>
        </w:rPr>
      </w:pPr>
      <w:r w:rsidRPr="00BA63CA">
        <w:rPr>
          <w:rFonts w:ascii="Palatino Linotype" w:eastAsia="Palatino Linotype" w:hAnsi="Palatino Linotype" w:cs="Palatino Linotype"/>
          <w:b/>
          <w:i/>
          <w:sz w:val="22"/>
          <w:szCs w:val="22"/>
        </w:rPr>
        <w:lastRenderedPageBreak/>
        <w:t xml:space="preserve">3. Planear, organizar, proponer, establecer y controlar mejoras en las rutas para la recolección de residuos sólidos, con la finalidad de especificar las paradas y tiempos de recorridos con base en el incremento poblacional; </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b/>
          <w:i/>
          <w:sz w:val="22"/>
          <w:szCs w:val="22"/>
        </w:rPr>
        <w:t>4. Planear, organizar, ejecutar, registrar y controlar recorridos de supervisión para verificar que la recolección de residuos sólidos en delegaciones y subdelegaciones y la disposición final de los mismos se realice adecuadamente</w:t>
      </w:r>
      <w:r w:rsidRPr="00BA63CA">
        <w:rPr>
          <w:rFonts w:ascii="Palatino Linotype" w:eastAsia="Palatino Linotype" w:hAnsi="Palatino Linotype" w:cs="Palatino Linotype"/>
          <w:i/>
          <w:sz w:val="22"/>
          <w:szCs w:val="22"/>
        </w:rPr>
        <w:t xml:space="preserve">; </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 xml:space="preserve">5. Registrar, supervisar y vigilar el destino de los residuos sólidos que se recolecten diariamente en el territorio municipal, a fin de evitar el manejo inadecuado de sustancias que representen un peligro para la sociedad o el medio ambiente; </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 xml:space="preserve">6. Planear, organizar, implementar, evaluar y controlar operativos de recolección de residuos sólidos antes, durante y después de la realización de eventos cívicos, culturales y deportivos, dentro del territorio municipal en coordinación con el Departamento de Limpia; </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 xml:space="preserve">7. Promover el mantenimiento de carácter preventivo y correctivo a las instalaciones y equipo para la prestación del servicio de recolección, transporte y disposición final que tiene a su cargo; </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 xml:space="preserve">8. Diseñar e implementar programas para regular la prevención, separación, transporte, almacenamiento, manejo, tratamiento y disposición final de los residuos sólidos urbanos no peligrosos, en observancia de las normas oficiales mexicanas y normas técnicas estatales; </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9. Prestar el servicio de recolección de residuos no peligrosos a solicitud de las empresas, comercios y servicios;</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 xml:space="preserve">10. Planear, organizar, ejecutar y controlar el apoyo a las instituciones públicas educativas para la recolección de residuos sólidos cuando así lo soliciten; y </w:t>
      </w:r>
    </w:p>
    <w:p w:rsidR="00E01860" w:rsidRPr="00BA63CA" w:rsidRDefault="00AF1602">
      <w:pPr>
        <w:ind w:left="566" w:right="-220"/>
        <w:jc w:val="both"/>
        <w:rPr>
          <w:rFonts w:ascii="Palatino Linotype" w:eastAsia="Palatino Linotype" w:hAnsi="Palatino Linotype" w:cs="Palatino Linotype"/>
          <w:b/>
          <w:i/>
          <w:sz w:val="22"/>
          <w:szCs w:val="22"/>
        </w:rPr>
      </w:pPr>
      <w:r w:rsidRPr="00BA63CA">
        <w:rPr>
          <w:rFonts w:ascii="Palatino Linotype" w:eastAsia="Palatino Linotype" w:hAnsi="Palatino Linotype" w:cs="Palatino Linotype"/>
          <w:b/>
          <w:i/>
          <w:sz w:val="22"/>
          <w:szCs w:val="22"/>
        </w:rPr>
        <w:t>11. Realizar todas aquellas actividades que sean inherentes y aplicables al área de su competencia.</w:t>
      </w:r>
    </w:p>
    <w:p w:rsidR="00E01860" w:rsidRPr="00BA63CA" w:rsidRDefault="00E01860">
      <w:pPr>
        <w:ind w:right="-787"/>
        <w:jc w:val="both"/>
        <w:rPr>
          <w:rFonts w:ascii="Palatino Linotype" w:eastAsia="Palatino Linotype" w:hAnsi="Palatino Linotype" w:cs="Palatino Linotype"/>
          <w:i/>
        </w:rPr>
      </w:pPr>
    </w:p>
    <w:p w:rsidR="00E01860" w:rsidRPr="00BA63CA" w:rsidRDefault="00E01860">
      <w:pPr>
        <w:ind w:right="-787"/>
        <w:jc w:val="both"/>
        <w:rPr>
          <w:rFonts w:ascii="Palatino Linotype" w:eastAsia="Palatino Linotype" w:hAnsi="Palatino Linotype" w:cs="Palatino Linotype"/>
        </w:rPr>
      </w:pPr>
    </w:p>
    <w:p w:rsidR="00E01860" w:rsidRPr="00BA63CA" w:rsidRDefault="00AF1602">
      <w:pPr>
        <w:numPr>
          <w:ilvl w:val="0"/>
          <w:numId w:val="1"/>
        </w:numPr>
        <w:spacing w:line="360" w:lineRule="auto"/>
        <w:ind w:left="0" w:right="-787" w:firstLine="0"/>
        <w:jc w:val="both"/>
        <w:rPr>
          <w:rFonts w:ascii="Palatino Linotype" w:eastAsia="Palatino Linotype" w:hAnsi="Palatino Linotype" w:cs="Palatino Linotype"/>
        </w:rPr>
      </w:pPr>
      <w:r w:rsidRPr="00BA63CA">
        <w:rPr>
          <w:rFonts w:ascii="Palatino Linotype" w:eastAsia="Palatino Linotype" w:hAnsi="Palatino Linotype" w:cs="Palatino Linotype"/>
        </w:rPr>
        <w:t xml:space="preserve">Es de recordar que el Sujeto Obligado en respuesta inicial emite pronunciamiento a través de la Dirección General de Servicios Públicos, unidad administrativa competente, por lo que podemos advertir que </w:t>
      </w:r>
      <w:r w:rsidRPr="00BA63CA">
        <w:rPr>
          <w:rFonts w:ascii="Palatino Linotype" w:eastAsia="Palatino Linotype" w:hAnsi="Palatino Linotype" w:cs="Palatino Linotype"/>
          <w:b/>
        </w:rPr>
        <w:t xml:space="preserve">EL SUJETO OBLIGADO </w:t>
      </w:r>
      <w:r w:rsidRPr="00BA63CA">
        <w:rPr>
          <w:rFonts w:ascii="Palatino Linotype" w:eastAsia="Palatino Linotype" w:hAnsi="Palatino Linotype" w:cs="Palatino Linotype"/>
        </w:rPr>
        <w:t>siguió el procedimiento inmerso en la normatividad aplicable, ya que turnó los requerimientos de información a las unidades administrativas competentes, vigilando lo establecido por el artículo 162 de la Ley de Transparencia y Acceso a la Información Pública del Estado de México y Municipios, al turnar la solicitud de información a las áreas en las que pudiera obrar la información de conformidad con la fracción XXXIX del artículo tercero de la legislación local vigente en materia de transparencia:</w:t>
      </w:r>
    </w:p>
    <w:p w:rsidR="00E01860" w:rsidRPr="00BA63CA" w:rsidRDefault="00E01860">
      <w:pPr>
        <w:spacing w:line="360" w:lineRule="auto"/>
        <w:ind w:right="-787"/>
        <w:jc w:val="both"/>
        <w:rPr>
          <w:rFonts w:ascii="Palatino Linotype" w:eastAsia="Palatino Linotype" w:hAnsi="Palatino Linotype" w:cs="Palatino Linotype"/>
        </w:rPr>
      </w:pPr>
    </w:p>
    <w:p w:rsidR="00E01860" w:rsidRPr="00BA63CA" w:rsidRDefault="00AF1602">
      <w:pPr>
        <w:ind w:left="1134"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b/>
          <w:i/>
          <w:sz w:val="22"/>
          <w:szCs w:val="22"/>
        </w:rPr>
        <w:t>XXXIX.</w:t>
      </w:r>
      <w:r w:rsidRPr="00BA63CA">
        <w:rPr>
          <w:rFonts w:ascii="Palatino Linotype" w:eastAsia="Palatino Linotype" w:hAnsi="Palatino Linotype" w:cs="Palatino Linotype"/>
          <w:i/>
          <w:sz w:val="22"/>
          <w:szCs w:val="22"/>
        </w:rPr>
        <w:t xml:space="preserve"> </w:t>
      </w:r>
      <w:r w:rsidRPr="00BA63CA">
        <w:rPr>
          <w:rFonts w:ascii="Palatino Linotype" w:eastAsia="Palatino Linotype" w:hAnsi="Palatino Linotype" w:cs="Palatino Linotype"/>
          <w:b/>
          <w:i/>
          <w:sz w:val="22"/>
          <w:szCs w:val="22"/>
        </w:rPr>
        <w:t>Servidor público habilitado</w:t>
      </w:r>
      <w:r w:rsidRPr="00BA63CA">
        <w:rPr>
          <w:rFonts w:ascii="Palatino Linotype" w:eastAsia="Palatino Linotype" w:hAnsi="Palatino Linotype" w:cs="Palatino Linotype"/>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E01860" w:rsidRPr="00BA63CA" w:rsidRDefault="00E01860">
      <w:pPr>
        <w:spacing w:line="360" w:lineRule="auto"/>
        <w:ind w:right="-787"/>
        <w:jc w:val="both"/>
        <w:rPr>
          <w:rFonts w:ascii="Palatino Linotype" w:eastAsia="Palatino Linotype" w:hAnsi="Palatino Linotype" w:cs="Palatino Linotype"/>
        </w:rPr>
      </w:pPr>
    </w:p>
    <w:p w:rsidR="00E01860" w:rsidRPr="00BA63CA" w:rsidRDefault="00AF1602">
      <w:pPr>
        <w:numPr>
          <w:ilvl w:val="0"/>
          <w:numId w:val="1"/>
        </w:numPr>
        <w:spacing w:line="360" w:lineRule="auto"/>
        <w:ind w:left="0" w:right="-787" w:firstLine="0"/>
        <w:jc w:val="both"/>
        <w:rPr>
          <w:rFonts w:ascii="Palatino Linotype" w:eastAsia="Palatino Linotype" w:hAnsi="Palatino Linotype" w:cs="Palatino Linotype"/>
        </w:rPr>
      </w:pPr>
      <w:r w:rsidRPr="00BA63CA">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rsidR="00E01860" w:rsidRPr="00BA63CA" w:rsidRDefault="00AF1602">
      <w:pPr>
        <w:ind w:left="1134"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w:t>
      </w:r>
      <w:r w:rsidRPr="00BA63CA">
        <w:rPr>
          <w:rFonts w:ascii="Palatino Linotype" w:eastAsia="Palatino Linotype" w:hAnsi="Palatino Linotype" w:cs="Palatino Linotype"/>
          <w:b/>
          <w:i/>
          <w:sz w:val="22"/>
          <w:szCs w:val="22"/>
        </w:rPr>
        <w:t>Artículo 162.</w:t>
      </w:r>
      <w:r w:rsidRPr="00BA63CA">
        <w:rPr>
          <w:rFonts w:ascii="Palatino Linotype" w:eastAsia="Palatino Linotype" w:hAnsi="Palatino Linotype" w:cs="Palatino Linotype"/>
          <w:i/>
          <w:sz w:val="22"/>
          <w:szCs w:val="22"/>
        </w:rPr>
        <w:t xml:space="preserve"> Las unidades de transparencia deberán garantizar que las solicitudes se turnen a </w:t>
      </w:r>
      <w:r w:rsidRPr="00BA63CA">
        <w:rPr>
          <w:rFonts w:ascii="Palatino Linotype" w:eastAsia="Palatino Linotype" w:hAnsi="Palatino Linotype" w:cs="Palatino Linotype"/>
          <w:b/>
          <w:i/>
          <w:sz w:val="22"/>
          <w:szCs w:val="22"/>
        </w:rPr>
        <w:t>todas las Áreas competentes</w:t>
      </w:r>
      <w:r w:rsidRPr="00BA63CA">
        <w:rPr>
          <w:rFonts w:ascii="Palatino Linotype" w:eastAsia="Palatino Linotype" w:hAnsi="Palatino Linotype" w:cs="Palatino Linotype"/>
          <w:i/>
          <w:sz w:val="22"/>
          <w:szCs w:val="22"/>
        </w:rPr>
        <w:t xml:space="preserve"> que cuenten con la información o deban tenerla de acuerdo a sus facultades, competencias y funciones, con el objeto de que realicen una búsqueda exhaustiva y razonable de la información solicitada.”</w:t>
      </w:r>
    </w:p>
    <w:p w:rsidR="00E01860" w:rsidRPr="00BA63CA" w:rsidRDefault="00E01860">
      <w:pPr>
        <w:spacing w:line="360" w:lineRule="auto"/>
        <w:ind w:right="-787"/>
        <w:jc w:val="both"/>
        <w:rPr>
          <w:rFonts w:ascii="Palatino Linotype" w:eastAsia="Palatino Linotype" w:hAnsi="Palatino Linotype" w:cs="Palatino Linotype"/>
        </w:rPr>
      </w:pPr>
    </w:p>
    <w:p w:rsidR="00E01860" w:rsidRPr="00BA63CA" w:rsidRDefault="00AF1602">
      <w:pPr>
        <w:numPr>
          <w:ilvl w:val="0"/>
          <w:numId w:val="1"/>
        </w:numPr>
        <w:spacing w:line="360" w:lineRule="auto"/>
        <w:ind w:left="0" w:right="-787" w:firstLine="0"/>
        <w:jc w:val="both"/>
        <w:rPr>
          <w:rFonts w:ascii="Palatino Linotype" w:eastAsia="Palatino Linotype" w:hAnsi="Palatino Linotype" w:cs="Palatino Linotype"/>
        </w:rPr>
      </w:pPr>
      <w:r w:rsidRPr="00BA63CA">
        <w:rPr>
          <w:rFonts w:ascii="Palatino Linotype" w:eastAsia="Palatino Linotype" w:hAnsi="Palatino Linotype" w:cs="Palatino Linotype"/>
        </w:rPr>
        <w:t>Es de señalar que de la respuesta emitida el particular se dolió argumentando que el Sujeto Obligado no responde a lo solicitado, derivado de ello, el Sujeto Obligado en informe justificando abundó en el contenido de la liga que da respuesta a la solicitud, y además realizando las precisiones sobre cada uno de los puntos en los que versa la solicitud de información.</w:t>
      </w:r>
    </w:p>
    <w:p w:rsidR="00E01860" w:rsidRPr="00BA63CA" w:rsidRDefault="00E01860">
      <w:pPr>
        <w:spacing w:line="360" w:lineRule="auto"/>
        <w:ind w:right="-787"/>
        <w:jc w:val="both"/>
        <w:rPr>
          <w:rFonts w:ascii="Palatino Linotype" w:eastAsia="Palatino Linotype" w:hAnsi="Palatino Linotype" w:cs="Palatino Linotype"/>
        </w:rPr>
      </w:pPr>
    </w:p>
    <w:p w:rsidR="00E01860" w:rsidRPr="00BA63CA" w:rsidRDefault="00AF1602">
      <w:pPr>
        <w:numPr>
          <w:ilvl w:val="0"/>
          <w:numId w:val="1"/>
        </w:numPr>
        <w:spacing w:line="360" w:lineRule="auto"/>
        <w:ind w:left="0" w:right="-787" w:firstLine="0"/>
        <w:jc w:val="both"/>
        <w:rPr>
          <w:rFonts w:ascii="Palatino Linotype" w:eastAsia="Palatino Linotype" w:hAnsi="Palatino Linotype" w:cs="Palatino Linotype"/>
        </w:rPr>
      </w:pPr>
      <w:r w:rsidRPr="00BA63CA">
        <w:rPr>
          <w:rFonts w:ascii="Palatino Linotype" w:eastAsia="Palatino Linotype" w:hAnsi="Palatino Linotype" w:cs="Palatino Linotype"/>
        </w:rPr>
        <w:t>Por lo anterior se analizará en el siguiente cuadro la información solicitada, la respuesta proporcionada y lo manifestado en Informe Justificado, a fin de determinar si el Sujeto Obligado de atención al requerimiento de información:</w:t>
      </w:r>
    </w:p>
    <w:p w:rsidR="00E01860" w:rsidRPr="00BA63CA" w:rsidRDefault="00E01860">
      <w:pPr>
        <w:spacing w:line="360" w:lineRule="auto"/>
        <w:ind w:right="-787"/>
        <w:jc w:val="both"/>
        <w:rPr>
          <w:rFonts w:ascii="Palatino Linotype" w:eastAsia="Palatino Linotype" w:hAnsi="Palatino Linotype" w:cs="Palatino Linotype"/>
          <w:b/>
        </w:rPr>
      </w:pPr>
    </w:p>
    <w:p w:rsidR="00D010C3" w:rsidRPr="00BA63CA" w:rsidRDefault="00D010C3">
      <w:pPr>
        <w:spacing w:line="360" w:lineRule="auto"/>
        <w:ind w:right="-787"/>
        <w:jc w:val="both"/>
        <w:rPr>
          <w:rFonts w:ascii="Palatino Linotype" w:eastAsia="Palatino Linotype" w:hAnsi="Palatino Linotype" w:cs="Palatino Linotype"/>
          <w:b/>
        </w:rPr>
      </w:pPr>
    </w:p>
    <w:p w:rsidR="00D010C3" w:rsidRPr="00BA63CA" w:rsidRDefault="00D010C3">
      <w:pPr>
        <w:spacing w:line="360" w:lineRule="auto"/>
        <w:ind w:right="-787"/>
        <w:jc w:val="both"/>
        <w:rPr>
          <w:rFonts w:ascii="Palatino Linotype" w:eastAsia="Palatino Linotype" w:hAnsi="Palatino Linotype" w:cs="Palatino Linotype"/>
          <w:b/>
        </w:rPr>
      </w:pPr>
    </w:p>
    <w:tbl>
      <w:tblPr>
        <w:tblStyle w:val="a8"/>
        <w:tblW w:w="9630"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890"/>
        <w:gridCol w:w="1965"/>
        <w:gridCol w:w="1695"/>
        <w:gridCol w:w="2640"/>
        <w:gridCol w:w="1440"/>
      </w:tblGrid>
      <w:tr w:rsidR="00E01860" w:rsidRPr="00BA63CA">
        <w:tc>
          <w:tcPr>
            <w:tcW w:w="1890" w:type="dxa"/>
            <w:shd w:val="clear" w:color="auto" w:fill="D9D9D9"/>
          </w:tcPr>
          <w:p w:rsidR="00E01860" w:rsidRPr="00BA63CA" w:rsidRDefault="00AF1602">
            <w:pPr>
              <w:pBdr>
                <w:top w:val="nil"/>
                <w:left w:val="nil"/>
                <w:bottom w:val="nil"/>
                <w:right w:val="nil"/>
                <w:between w:val="nil"/>
              </w:pBdr>
              <w:ind w:right="-20"/>
              <w:jc w:val="center"/>
              <w:rPr>
                <w:rFonts w:ascii="Palatino Linotype" w:eastAsia="Palatino Linotype" w:hAnsi="Palatino Linotype" w:cs="Palatino Linotype"/>
                <w:b/>
                <w:color w:val="000000"/>
                <w:sz w:val="22"/>
                <w:szCs w:val="22"/>
              </w:rPr>
            </w:pPr>
            <w:r w:rsidRPr="00BA63CA">
              <w:rPr>
                <w:rFonts w:ascii="Palatino Linotype" w:eastAsia="Palatino Linotype" w:hAnsi="Palatino Linotype" w:cs="Palatino Linotype"/>
                <w:b/>
                <w:color w:val="000000"/>
                <w:sz w:val="22"/>
                <w:szCs w:val="22"/>
              </w:rPr>
              <w:lastRenderedPageBreak/>
              <w:t>Solicitud</w:t>
            </w:r>
          </w:p>
          <w:p w:rsidR="00E01860" w:rsidRPr="00BA63CA" w:rsidRDefault="00E01860">
            <w:pPr>
              <w:pBdr>
                <w:top w:val="nil"/>
                <w:left w:val="nil"/>
                <w:bottom w:val="nil"/>
                <w:right w:val="nil"/>
                <w:between w:val="nil"/>
              </w:pBdr>
              <w:ind w:right="-20"/>
              <w:jc w:val="center"/>
              <w:rPr>
                <w:rFonts w:ascii="Palatino Linotype" w:eastAsia="Palatino Linotype" w:hAnsi="Palatino Linotype" w:cs="Palatino Linotype"/>
                <w:b/>
                <w:color w:val="000000"/>
                <w:sz w:val="22"/>
                <w:szCs w:val="22"/>
              </w:rPr>
            </w:pPr>
          </w:p>
        </w:tc>
        <w:tc>
          <w:tcPr>
            <w:tcW w:w="1965" w:type="dxa"/>
            <w:shd w:val="clear" w:color="auto" w:fill="D9D9D9"/>
          </w:tcPr>
          <w:p w:rsidR="00E01860" w:rsidRPr="00BA63CA" w:rsidRDefault="00AF1602">
            <w:pPr>
              <w:pBdr>
                <w:top w:val="nil"/>
                <w:left w:val="nil"/>
                <w:bottom w:val="nil"/>
                <w:right w:val="nil"/>
                <w:between w:val="nil"/>
              </w:pBdr>
              <w:ind w:right="-20"/>
              <w:jc w:val="center"/>
              <w:rPr>
                <w:rFonts w:ascii="Palatino Linotype" w:eastAsia="Palatino Linotype" w:hAnsi="Palatino Linotype" w:cs="Palatino Linotype"/>
                <w:b/>
                <w:color w:val="000000"/>
                <w:sz w:val="22"/>
                <w:szCs w:val="22"/>
              </w:rPr>
            </w:pPr>
            <w:r w:rsidRPr="00BA63CA">
              <w:rPr>
                <w:rFonts w:ascii="Palatino Linotype" w:eastAsia="Palatino Linotype" w:hAnsi="Palatino Linotype" w:cs="Palatino Linotype"/>
                <w:b/>
                <w:color w:val="000000"/>
                <w:sz w:val="22"/>
                <w:szCs w:val="22"/>
              </w:rPr>
              <w:t>Respuesta</w:t>
            </w:r>
          </w:p>
          <w:p w:rsidR="00E01860" w:rsidRPr="00BA63CA" w:rsidRDefault="00E01860">
            <w:pPr>
              <w:pBdr>
                <w:top w:val="nil"/>
                <w:left w:val="nil"/>
                <w:bottom w:val="nil"/>
                <w:right w:val="nil"/>
                <w:between w:val="nil"/>
              </w:pBdr>
              <w:ind w:right="-20"/>
              <w:jc w:val="both"/>
              <w:rPr>
                <w:rFonts w:ascii="Palatino Linotype" w:eastAsia="Palatino Linotype" w:hAnsi="Palatino Linotype" w:cs="Palatino Linotype"/>
                <w:i/>
                <w:color w:val="000000"/>
                <w:sz w:val="22"/>
                <w:szCs w:val="22"/>
              </w:rPr>
            </w:pPr>
          </w:p>
        </w:tc>
        <w:tc>
          <w:tcPr>
            <w:tcW w:w="1695" w:type="dxa"/>
            <w:shd w:val="clear" w:color="auto" w:fill="D9D9D9"/>
          </w:tcPr>
          <w:p w:rsidR="00E01860" w:rsidRPr="00BA63CA" w:rsidRDefault="00AF1602" w:rsidP="00D010C3">
            <w:pPr>
              <w:pBdr>
                <w:top w:val="nil"/>
                <w:left w:val="nil"/>
                <w:bottom w:val="nil"/>
                <w:right w:val="nil"/>
                <w:between w:val="nil"/>
              </w:pBdr>
              <w:ind w:right="-82"/>
              <w:jc w:val="center"/>
              <w:rPr>
                <w:rFonts w:ascii="Palatino Linotype" w:eastAsia="Palatino Linotype" w:hAnsi="Palatino Linotype" w:cs="Palatino Linotype"/>
                <w:b/>
                <w:color w:val="000000"/>
                <w:sz w:val="22"/>
                <w:szCs w:val="22"/>
              </w:rPr>
            </w:pPr>
            <w:r w:rsidRPr="00BA63CA">
              <w:rPr>
                <w:rFonts w:ascii="Palatino Linotype" w:eastAsia="Palatino Linotype" w:hAnsi="Palatino Linotype" w:cs="Palatino Linotype"/>
                <w:b/>
                <w:color w:val="000000"/>
                <w:sz w:val="22"/>
                <w:szCs w:val="22"/>
              </w:rPr>
              <w:t>Razones o Motivos de inconformidad</w:t>
            </w:r>
          </w:p>
        </w:tc>
        <w:tc>
          <w:tcPr>
            <w:tcW w:w="2640" w:type="dxa"/>
            <w:shd w:val="clear" w:color="auto" w:fill="D9D9D9"/>
          </w:tcPr>
          <w:p w:rsidR="00E01860" w:rsidRPr="00BA63CA" w:rsidRDefault="00AF1602">
            <w:pPr>
              <w:pBdr>
                <w:top w:val="nil"/>
                <w:left w:val="nil"/>
                <w:bottom w:val="nil"/>
                <w:right w:val="nil"/>
                <w:between w:val="nil"/>
              </w:pBdr>
              <w:ind w:right="-20"/>
              <w:jc w:val="center"/>
              <w:rPr>
                <w:rFonts w:ascii="Palatino Linotype" w:eastAsia="Palatino Linotype" w:hAnsi="Palatino Linotype" w:cs="Palatino Linotype"/>
                <w:b/>
                <w:color w:val="000000"/>
                <w:sz w:val="22"/>
                <w:szCs w:val="22"/>
              </w:rPr>
            </w:pPr>
            <w:r w:rsidRPr="00BA63CA">
              <w:rPr>
                <w:rFonts w:ascii="Palatino Linotype" w:eastAsia="Palatino Linotype" w:hAnsi="Palatino Linotype" w:cs="Palatino Linotype"/>
                <w:b/>
                <w:color w:val="000000"/>
                <w:sz w:val="22"/>
                <w:szCs w:val="22"/>
              </w:rPr>
              <w:t>Informe Justificado</w:t>
            </w:r>
          </w:p>
        </w:tc>
        <w:tc>
          <w:tcPr>
            <w:tcW w:w="1440" w:type="dxa"/>
            <w:shd w:val="clear" w:color="auto" w:fill="D9D9D9"/>
          </w:tcPr>
          <w:p w:rsidR="00E01860" w:rsidRPr="00BA63CA" w:rsidRDefault="00AF1602">
            <w:pPr>
              <w:pBdr>
                <w:top w:val="nil"/>
                <w:left w:val="nil"/>
                <w:bottom w:val="nil"/>
                <w:right w:val="nil"/>
                <w:between w:val="nil"/>
              </w:pBdr>
              <w:ind w:right="-20"/>
              <w:jc w:val="center"/>
              <w:rPr>
                <w:rFonts w:ascii="Palatino Linotype" w:eastAsia="Palatino Linotype" w:hAnsi="Palatino Linotype" w:cs="Palatino Linotype"/>
                <w:b/>
                <w:color w:val="000000"/>
                <w:sz w:val="22"/>
                <w:szCs w:val="22"/>
              </w:rPr>
            </w:pPr>
            <w:r w:rsidRPr="00BA63CA">
              <w:rPr>
                <w:rFonts w:ascii="Palatino Linotype" w:eastAsia="Palatino Linotype" w:hAnsi="Palatino Linotype" w:cs="Palatino Linotype"/>
                <w:b/>
                <w:color w:val="000000"/>
                <w:sz w:val="22"/>
                <w:szCs w:val="22"/>
              </w:rPr>
              <w:t>¿Colma?</w:t>
            </w:r>
          </w:p>
        </w:tc>
      </w:tr>
      <w:tr w:rsidR="00E01860" w:rsidRPr="00BA63CA">
        <w:tc>
          <w:tcPr>
            <w:tcW w:w="1890" w:type="dxa"/>
            <w:shd w:val="clear" w:color="auto" w:fill="D9D9D9"/>
          </w:tcPr>
          <w:p w:rsidR="00E01860" w:rsidRPr="00BA63CA" w:rsidRDefault="00AF1602">
            <w:pPr>
              <w:pBdr>
                <w:top w:val="nil"/>
                <w:left w:val="nil"/>
                <w:bottom w:val="nil"/>
                <w:right w:val="nil"/>
                <w:between w:val="nil"/>
              </w:pBdr>
              <w:ind w:right="-20"/>
              <w:jc w:val="center"/>
              <w:rPr>
                <w:rFonts w:ascii="Palatino Linotype" w:eastAsia="Palatino Linotype" w:hAnsi="Palatino Linotype" w:cs="Palatino Linotype"/>
                <w:b/>
                <w:color w:val="000000"/>
                <w:sz w:val="22"/>
                <w:szCs w:val="22"/>
              </w:rPr>
            </w:pPr>
            <w:r w:rsidRPr="00BA63CA">
              <w:rPr>
                <w:rFonts w:ascii="Palatino Linotype" w:eastAsia="Palatino Linotype" w:hAnsi="Palatino Linotype" w:cs="Palatino Linotype"/>
                <w:b/>
                <w:i/>
                <w:color w:val="000000"/>
                <w:sz w:val="22"/>
                <w:szCs w:val="22"/>
              </w:rPr>
              <w:t>De los camiones recolectores de basura</w:t>
            </w:r>
          </w:p>
        </w:tc>
        <w:tc>
          <w:tcPr>
            <w:tcW w:w="1965" w:type="dxa"/>
            <w:shd w:val="clear" w:color="auto" w:fill="D9D9D9"/>
          </w:tcPr>
          <w:p w:rsidR="00E01860" w:rsidRPr="00BA63CA" w:rsidRDefault="00AF1602">
            <w:pPr>
              <w:pBdr>
                <w:top w:val="nil"/>
                <w:left w:val="nil"/>
                <w:bottom w:val="nil"/>
                <w:right w:val="nil"/>
                <w:between w:val="nil"/>
              </w:pBdr>
              <w:ind w:right="-20"/>
              <w:jc w:val="center"/>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b/>
                <w:color w:val="000000"/>
                <w:sz w:val="22"/>
                <w:szCs w:val="22"/>
              </w:rPr>
              <w:t xml:space="preserve">* </w:t>
            </w:r>
            <w:r w:rsidRPr="00BA63CA">
              <w:rPr>
                <w:rFonts w:ascii="Palatino Linotype" w:eastAsia="Palatino Linotype" w:hAnsi="Palatino Linotype" w:cs="Palatino Linotype"/>
                <w:color w:val="000000"/>
                <w:sz w:val="22"/>
                <w:szCs w:val="22"/>
              </w:rPr>
              <w:t>La ventana que despliega el link no arroja la información de manera automática. De manera manual se tiene que buscar la manera de ingresar a la información</w:t>
            </w:r>
          </w:p>
        </w:tc>
        <w:tc>
          <w:tcPr>
            <w:tcW w:w="1695" w:type="dxa"/>
            <w:shd w:val="clear" w:color="auto" w:fill="D9D9D9"/>
          </w:tcPr>
          <w:p w:rsidR="00E01860" w:rsidRPr="00BA63CA" w:rsidRDefault="00AF1602">
            <w:pPr>
              <w:pBdr>
                <w:top w:val="nil"/>
                <w:left w:val="nil"/>
                <w:bottom w:val="nil"/>
                <w:right w:val="nil"/>
                <w:between w:val="nil"/>
              </w:pBdr>
              <w:ind w:right="-20"/>
              <w:jc w:val="center"/>
              <w:rPr>
                <w:rFonts w:ascii="Palatino Linotype" w:eastAsia="Palatino Linotype" w:hAnsi="Palatino Linotype" w:cs="Palatino Linotype"/>
                <w:b/>
                <w:color w:val="000000"/>
                <w:sz w:val="22"/>
                <w:szCs w:val="22"/>
              </w:rPr>
            </w:pPr>
            <w:r w:rsidRPr="00BA63CA">
              <w:rPr>
                <w:rFonts w:ascii="Palatino Linotype" w:eastAsia="Palatino Linotype" w:hAnsi="Palatino Linotype" w:cs="Palatino Linotype"/>
                <w:i/>
                <w:color w:val="000000"/>
                <w:sz w:val="22"/>
                <w:szCs w:val="22"/>
              </w:rPr>
              <w:t>De los camiones recolectores de basura</w:t>
            </w:r>
          </w:p>
        </w:tc>
        <w:tc>
          <w:tcPr>
            <w:tcW w:w="2640" w:type="dxa"/>
            <w:shd w:val="clear" w:color="auto" w:fill="D9D9D9"/>
          </w:tcPr>
          <w:p w:rsidR="00E01860" w:rsidRPr="00BA63CA" w:rsidRDefault="00AF1602">
            <w:pPr>
              <w:pBdr>
                <w:top w:val="nil"/>
                <w:left w:val="nil"/>
                <w:bottom w:val="nil"/>
                <w:right w:val="nil"/>
                <w:between w:val="nil"/>
              </w:pBdr>
              <w:ind w:right="-20"/>
              <w:jc w:val="center"/>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b/>
                <w:color w:val="000000"/>
                <w:sz w:val="22"/>
                <w:szCs w:val="22"/>
              </w:rPr>
              <w:t>*</w:t>
            </w:r>
            <w:r w:rsidRPr="00BA63CA">
              <w:rPr>
                <w:rFonts w:ascii="Palatino Linotype" w:eastAsia="Palatino Linotype" w:hAnsi="Palatino Linotype" w:cs="Palatino Linotype"/>
                <w:color w:val="000000"/>
                <w:sz w:val="22"/>
                <w:szCs w:val="22"/>
              </w:rPr>
              <w:t xml:space="preserve"> De manera específica y con capturas de pantalla muestra la información que contiene el link, respecto de lo solicitado</w:t>
            </w:r>
          </w:p>
        </w:tc>
        <w:tc>
          <w:tcPr>
            <w:tcW w:w="1440" w:type="dxa"/>
            <w:shd w:val="clear" w:color="auto" w:fill="D9D9D9"/>
          </w:tcPr>
          <w:p w:rsidR="00E01860" w:rsidRPr="00BA63CA" w:rsidRDefault="00E01860">
            <w:pPr>
              <w:pBdr>
                <w:top w:val="nil"/>
                <w:left w:val="nil"/>
                <w:bottom w:val="nil"/>
                <w:right w:val="nil"/>
                <w:between w:val="nil"/>
              </w:pBdr>
              <w:ind w:right="-20"/>
              <w:jc w:val="center"/>
              <w:rPr>
                <w:rFonts w:ascii="Palatino Linotype" w:eastAsia="Palatino Linotype" w:hAnsi="Palatino Linotype" w:cs="Palatino Linotype"/>
                <w:b/>
                <w:color w:val="000000"/>
                <w:sz w:val="22"/>
                <w:szCs w:val="22"/>
              </w:rPr>
            </w:pPr>
          </w:p>
        </w:tc>
      </w:tr>
      <w:tr w:rsidR="00E01860" w:rsidRPr="00BA63CA">
        <w:tc>
          <w:tcPr>
            <w:tcW w:w="1890" w:type="dxa"/>
          </w:tcPr>
          <w:p w:rsidR="00E01860" w:rsidRPr="00BA63CA" w:rsidRDefault="00AF1602">
            <w:pPr>
              <w:numPr>
                <w:ilvl w:val="0"/>
                <w:numId w:val="5"/>
              </w:numPr>
              <w:pBdr>
                <w:top w:val="nil"/>
                <w:left w:val="nil"/>
                <w:bottom w:val="nil"/>
                <w:right w:val="nil"/>
                <w:between w:val="nil"/>
              </w:pBdr>
              <w:ind w:left="313"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Rutas</w:t>
            </w:r>
          </w:p>
        </w:tc>
        <w:tc>
          <w:tcPr>
            <w:tcW w:w="1965" w:type="dxa"/>
          </w:tcPr>
          <w:p w:rsidR="00E01860" w:rsidRPr="00BA63CA" w:rsidRDefault="00AF1602">
            <w:pPr>
              <w:pBdr>
                <w:top w:val="nil"/>
                <w:left w:val="nil"/>
                <w:bottom w:val="nil"/>
                <w:right w:val="nil"/>
                <w:between w:val="nil"/>
              </w:pBdr>
              <w:ind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 xml:space="preserve">se puede localizar en el link </w:t>
            </w:r>
            <w:hyperlink r:id="rId9">
              <w:r w:rsidRPr="00BA63CA">
                <w:rPr>
                  <w:rFonts w:ascii="Palatino Linotype" w:eastAsia="Palatino Linotype" w:hAnsi="Palatino Linotype" w:cs="Palatino Linotype"/>
                  <w:color w:val="0563C1"/>
                  <w:sz w:val="22"/>
                  <w:szCs w:val="22"/>
                  <w:u w:val="single"/>
                </w:rPr>
                <w:t>https://toluca.datasets.mx</w:t>
              </w:r>
            </w:hyperlink>
          </w:p>
        </w:tc>
        <w:tc>
          <w:tcPr>
            <w:tcW w:w="1695" w:type="dxa"/>
          </w:tcPr>
          <w:p w:rsidR="00E01860" w:rsidRPr="00BA63CA" w:rsidRDefault="00AF1602">
            <w:pPr>
              <w:pBdr>
                <w:top w:val="nil"/>
                <w:left w:val="nil"/>
                <w:bottom w:val="nil"/>
                <w:right w:val="nil"/>
                <w:between w:val="nil"/>
              </w:pBdr>
              <w:ind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No responde a las rutas.</w:t>
            </w:r>
          </w:p>
        </w:tc>
        <w:tc>
          <w:tcPr>
            <w:tcW w:w="2640" w:type="dxa"/>
          </w:tcPr>
          <w:p w:rsidR="00E01860" w:rsidRPr="00BA63CA" w:rsidRDefault="00AF1602">
            <w:pPr>
              <w:pBdr>
                <w:top w:val="nil"/>
                <w:left w:val="nil"/>
                <w:bottom w:val="nil"/>
                <w:right w:val="nil"/>
                <w:between w:val="nil"/>
              </w:pBdr>
              <w:ind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En el link se visualiza la ruta de recolección, en donde aprecian los datos de ruta, número económico, KM, número de paradas, etc.</w:t>
            </w:r>
          </w:p>
          <w:p w:rsidR="00E01860" w:rsidRPr="00BA63CA" w:rsidRDefault="00E01860">
            <w:pPr>
              <w:pBdr>
                <w:top w:val="nil"/>
                <w:left w:val="nil"/>
                <w:bottom w:val="nil"/>
                <w:right w:val="nil"/>
                <w:between w:val="nil"/>
              </w:pBdr>
              <w:ind w:right="-20"/>
              <w:jc w:val="both"/>
              <w:rPr>
                <w:rFonts w:ascii="Palatino Linotype" w:eastAsia="Palatino Linotype" w:hAnsi="Palatino Linotype" w:cs="Palatino Linotype"/>
                <w:color w:val="000000"/>
                <w:sz w:val="22"/>
                <w:szCs w:val="22"/>
              </w:rPr>
            </w:pPr>
          </w:p>
          <w:p w:rsidR="00E01860" w:rsidRPr="00BA63CA" w:rsidRDefault="00AF1602">
            <w:pPr>
              <w:pBdr>
                <w:top w:val="nil"/>
                <w:left w:val="nil"/>
                <w:bottom w:val="nil"/>
                <w:right w:val="nil"/>
                <w:between w:val="nil"/>
              </w:pBdr>
              <w:ind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En archivos anexos se adjuntó un total de 54 mapas en los que se pueden visualizar rutas de recolección, el nombre de la delegación y la localidad.</w:t>
            </w:r>
          </w:p>
        </w:tc>
        <w:tc>
          <w:tcPr>
            <w:tcW w:w="1440" w:type="dxa"/>
          </w:tcPr>
          <w:p w:rsidR="00E01860" w:rsidRPr="00BA63CA" w:rsidRDefault="00AF1602">
            <w:pPr>
              <w:pBdr>
                <w:top w:val="nil"/>
                <w:left w:val="nil"/>
                <w:bottom w:val="nil"/>
                <w:right w:val="nil"/>
                <w:between w:val="nil"/>
              </w:pBdr>
              <w:ind w:right="-20"/>
              <w:jc w:val="center"/>
              <w:rPr>
                <w:rFonts w:ascii="Palatino Linotype" w:eastAsia="Palatino Linotype" w:hAnsi="Palatino Linotype" w:cs="Palatino Linotype"/>
                <w:b/>
                <w:color w:val="000000"/>
                <w:sz w:val="22"/>
                <w:szCs w:val="22"/>
              </w:rPr>
            </w:pPr>
            <w:r w:rsidRPr="00BA63CA">
              <w:rPr>
                <w:rFonts w:ascii="Palatino Linotype" w:eastAsia="Palatino Linotype" w:hAnsi="Palatino Linotype" w:cs="Palatino Linotype"/>
                <w:b/>
                <w:color w:val="000000"/>
                <w:sz w:val="22"/>
                <w:szCs w:val="22"/>
              </w:rPr>
              <w:t>SI</w:t>
            </w:r>
          </w:p>
        </w:tc>
      </w:tr>
      <w:tr w:rsidR="00E01860" w:rsidRPr="00BA63CA">
        <w:tc>
          <w:tcPr>
            <w:tcW w:w="1890" w:type="dxa"/>
          </w:tcPr>
          <w:p w:rsidR="00E01860" w:rsidRPr="00BA63CA" w:rsidRDefault="00AF1602">
            <w:pPr>
              <w:numPr>
                <w:ilvl w:val="0"/>
                <w:numId w:val="5"/>
              </w:numPr>
              <w:pBdr>
                <w:top w:val="nil"/>
                <w:left w:val="nil"/>
                <w:bottom w:val="nil"/>
                <w:right w:val="nil"/>
                <w:between w:val="nil"/>
              </w:pBdr>
              <w:ind w:left="313"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Frecuencia</w:t>
            </w:r>
          </w:p>
        </w:tc>
        <w:tc>
          <w:tcPr>
            <w:tcW w:w="1965" w:type="dxa"/>
          </w:tcPr>
          <w:p w:rsidR="00E01860" w:rsidRPr="00BA63CA" w:rsidRDefault="00AF1602">
            <w:pPr>
              <w:pBdr>
                <w:top w:val="nil"/>
                <w:left w:val="nil"/>
                <w:bottom w:val="nil"/>
                <w:right w:val="nil"/>
                <w:between w:val="nil"/>
              </w:pBdr>
              <w:ind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 xml:space="preserve">se puede localizar en el link </w:t>
            </w:r>
            <w:hyperlink r:id="rId10">
              <w:r w:rsidRPr="00BA63CA">
                <w:rPr>
                  <w:rFonts w:ascii="Palatino Linotype" w:eastAsia="Palatino Linotype" w:hAnsi="Palatino Linotype" w:cs="Palatino Linotype"/>
                  <w:color w:val="0563C1"/>
                  <w:sz w:val="22"/>
                  <w:szCs w:val="22"/>
                  <w:u w:val="single"/>
                </w:rPr>
                <w:t>https://toluca.datasets.mx</w:t>
              </w:r>
            </w:hyperlink>
          </w:p>
        </w:tc>
        <w:tc>
          <w:tcPr>
            <w:tcW w:w="1695" w:type="dxa"/>
          </w:tcPr>
          <w:p w:rsidR="00E01860" w:rsidRPr="00BA63CA" w:rsidRDefault="00AF1602">
            <w:pPr>
              <w:pBdr>
                <w:top w:val="nil"/>
                <w:left w:val="nil"/>
                <w:bottom w:val="nil"/>
                <w:right w:val="nil"/>
                <w:between w:val="nil"/>
              </w:pBdr>
              <w:ind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No responde a la frecuencia.</w:t>
            </w:r>
          </w:p>
        </w:tc>
        <w:tc>
          <w:tcPr>
            <w:tcW w:w="2640" w:type="dxa"/>
          </w:tcPr>
          <w:p w:rsidR="00E01860" w:rsidRPr="00BA63CA" w:rsidRDefault="00AF1602">
            <w:pPr>
              <w:pBdr>
                <w:top w:val="nil"/>
                <w:left w:val="nil"/>
                <w:bottom w:val="nil"/>
                <w:right w:val="nil"/>
                <w:between w:val="nil"/>
              </w:pBdr>
              <w:ind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En el link al seleccionar la delegación que se desea observar, se aprecia el calendario de los días de recolección.</w:t>
            </w:r>
          </w:p>
        </w:tc>
        <w:tc>
          <w:tcPr>
            <w:tcW w:w="1440" w:type="dxa"/>
          </w:tcPr>
          <w:p w:rsidR="00E01860" w:rsidRPr="00BA63CA" w:rsidRDefault="00AF1602">
            <w:pPr>
              <w:pBdr>
                <w:top w:val="nil"/>
                <w:left w:val="nil"/>
                <w:bottom w:val="nil"/>
                <w:right w:val="nil"/>
                <w:between w:val="nil"/>
              </w:pBdr>
              <w:ind w:right="-20"/>
              <w:jc w:val="center"/>
              <w:rPr>
                <w:rFonts w:ascii="Palatino Linotype" w:eastAsia="Palatino Linotype" w:hAnsi="Palatino Linotype" w:cs="Palatino Linotype"/>
                <w:b/>
                <w:color w:val="000000"/>
                <w:sz w:val="22"/>
                <w:szCs w:val="22"/>
              </w:rPr>
            </w:pPr>
            <w:r w:rsidRPr="00BA63CA">
              <w:rPr>
                <w:rFonts w:ascii="Palatino Linotype" w:eastAsia="Palatino Linotype" w:hAnsi="Palatino Linotype" w:cs="Palatino Linotype"/>
                <w:b/>
                <w:color w:val="000000"/>
                <w:sz w:val="22"/>
                <w:szCs w:val="22"/>
              </w:rPr>
              <w:t>SI</w:t>
            </w:r>
          </w:p>
        </w:tc>
      </w:tr>
      <w:tr w:rsidR="00E01860" w:rsidRPr="00BA63CA">
        <w:tc>
          <w:tcPr>
            <w:tcW w:w="1890" w:type="dxa"/>
          </w:tcPr>
          <w:p w:rsidR="00E01860" w:rsidRPr="00BA63CA" w:rsidRDefault="00AF1602">
            <w:pPr>
              <w:numPr>
                <w:ilvl w:val="0"/>
                <w:numId w:val="5"/>
              </w:numPr>
              <w:pBdr>
                <w:top w:val="nil"/>
                <w:left w:val="nil"/>
                <w:bottom w:val="nil"/>
                <w:right w:val="nil"/>
                <w:between w:val="nil"/>
              </w:pBdr>
              <w:ind w:left="313"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Horarios</w:t>
            </w:r>
          </w:p>
        </w:tc>
        <w:tc>
          <w:tcPr>
            <w:tcW w:w="1965" w:type="dxa"/>
          </w:tcPr>
          <w:p w:rsidR="00E01860" w:rsidRPr="00BA63CA" w:rsidRDefault="00AF1602">
            <w:pPr>
              <w:pBdr>
                <w:top w:val="nil"/>
                <w:left w:val="nil"/>
                <w:bottom w:val="nil"/>
                <w:right w:val="nil"/>
                <w:between w:val="nil"/>
              </w:pBdr>
              <w:ind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 xml:space="preserve">se puede localizar en el link </w:t>
            </w:r>
            <w:hyperlink r:id="rId11">
              <w:r w:rsidRPr="00BA63CA">
                <w:rPr>
                  <w:rFonts w:ascii="Palatino Linotype" w:eastAsia="Palatino Linotype" w:hAnsi="Palatino Linotype" w:cs="Palatino Linotype"/>
                  <w:color w:val="0563C1"/>
                  <w:sz w:val="22"/>
                  <w:szCs w:val="22"/>
                  <w:u w:val="single"/>
                </w:rPr>
                <w:t>https://toluca.datasets.mx</w:t>
              </w:r>
            </w:hyperlink>
          </w:p>
        </w:tc>
        <w:tc>
          <w:tcPr>
            <w:tcW w:w="1695" w:type="dxa"/>
          </w:tcPr>
          <w:p w:rsidR="00E01860" w:rsidRPr="00BA63CA" w:rsidRDefault="00AF1602">
            <w:pPr>
              <w:pBdr>
                <w:top w:val="nil"/>
                <w:left w:val="nil"/>
                <w:bottom w:val="nil"/>
                <w:right w:val="nil"/>
                <w:between w:val="nil"/>
              </w:pBdr>
              <w:ind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No responde a los horarios.</w:t>
            </w:r>
          </w:p>
        </w:tc>
        <w:tc>
          <w:tcPr>
            <w:tcW w:w="2640" w:type="dxa"/>
          </w:tcPr>
          <w:p w:rsidR="00E01860" w:rsidRPr="00BA63CA" w:rsidRDefault="00AF1602">
            <w:pPr>
              <w:pBdr>
                <w:top w:val="nil"/>
                <w:left w:val="nil"/>
                <w:bottom w:val="nil"/>
                <w:right w:val="nil"/>
                <w:between w:val="nil"/>
              </w:pBdr>
              <w:ind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En el link al seleccionar la delegación que se desea observar, se aprecia el horario de entrada y salida en la ruta de recolección.</w:t>
            </w:r>
          </w:p>
        </w:tc>
        <w:tc>
          <w:tcPr>
            <w:tcW w:w="1440" w:type="dxa"/>
          </w:tcPr>
          <w:p w:rsidR="00E01860" w:rsidRPr="00BA63CA" w:rsidRDefault="00AF1602">
            <w:pPr>
              <w:pBdr>
                <w:top w:val="nil"/>
                <w:left w:val="nil"/>
                <w:bottom w:val="nil"/>
                <w:right w:val="nil"/>
                <w:between w:val="nil"/>
              </w:pBdr>
              <w:ind w:right="-20"/>
              <w:jc w:val="center"/>
              <w:rPr>
                <w:rFonts w:ascii="Palatino Linotype" w:eastAsia="Palatino Linotype" w:hAnsi="Palatino Linotype" w:cs="Palatino Linotype"/>
                <w:b/>
                <w:color w:val="000000"/>
                <w:sz w:val="22"/>
                <w:szCs w:val="22"/>
              </w:rPr>
            </w:pPr>
            <w:r w:rsidRPr="00BA63CA">
              <w:rPr>
                <w:rFonts w:ascii="Palatino Linotype" w:eastAsia="Palatino Linotype" w:hAnsi="Palatino Linotype" w:cs="Palatino Linotype"/>
                <w:b/>
                <w:color w:val="000000"/>
                <w:sz w:val="22"/>
                <w:szCs w:val="22"/>
              </w:rPr>
              <w:t>SI</w:t>
            </w:r>
          </w:p>
        </w:tc>
      </w:tr>
      <w:tr w:rsidR="00E01860" w:rsidRPr="00BA63CA">
        <w:tc>
          <w:tcPr>
            <w:tcW w:w="1890" w:type="dxa"/>
            <w:shd w:val="clear" w:color="auto" w:fill="D9D9D9"/>
          </w:tcPr>
          <w:p w:rsidR="00E01860" w:rsidRPr="00BA63CA" w:rsidRDefault="00AF1602">
            <w:pPr>
              <w:pBdr>
                <w:top w:val="nil"/>
                <w:left w:val="nil"/>
                <w:bottom w:val="nil"/>
                <w:right w:val="nil"/>
                <w:between w:val="nil"/>
              </w:pBdr>
              <w:ind w:right="-20"/>
              <w:jc w:val="center"/>
              <w:rPr>
                <w:rFonts w:ascii="Palatino Linotype" w:eastAsia="Palatino Linotype" w:hAnsi="Palatino Linotype" w:cs="Palatino Linotype"/>
                <w:b/>
                <w:color w:val="000000"/>
                <w:sz w:val="22"/>
                <w:szCs w:val="22"/>
              </w:rPr>
            </w:pPr>
            <w:r w:rsidRPr="00BA63CA">
              <w:rPr>
                <w:rFonts w:ascii="Palatino Linotype" w:eastAsia="Palatino Linotype" w:hAnsi="Palatino Linotype" w:cs="Palatino Linotype"/>
                <w:b/>
                <w:i/>
                <w:color w:val="000000"/>
                <w:sz w:val="22"/>
                <w:szCs w:val="22"/>
              </w:rPr>
              <w:lastRenderedPageBreak/>
              <w:t>De los contenedores de basura</w:t>
            </w:r>
          </w:p>
        </w:tc>
        <w:tc>
          <w:tcPr>
            <w:tcW w:w="1965" w:type="dxa"/>
            <w:shd w:val="clear" w:color="auto" w:fill="D9D9D9"/>
          </w:tcPr>
          <w:p w:rsidR="00E01860" w:rsidRPr="00BA63CA" w:rsidRDefault="00E01860">
            <w:pPr>
              <w:pBdr>
                <w:top w:val="nil"/>
                <w:left w:val="nil"/>
                <w:bottom w:val="nil"/>
                <w:right w:val="nil"/>
                <w:between w:val="nil"/>
              </w:pBdr>
              <w:ind w:right="-20"/>
              <w:jc w:val="both"/>
              <w:rPr>
                <w:rFonts w:ascii="Palatino Linotype" w:eastAsia="Palatino Linotype" w:hAnsi="Palatino Linotype" w:cs="Palatino Linotype"/>
                <w:color w:val="000000"/>
                <w:sz w:val="22"/>
                <w:szCs w:val="22"/>
              </w:rPr>
            </w:pPr>
          </w:p>
        </w:tc>
        <w:tc>
          <w:tcPr>
            <w:tcW w:w="1695" w:type="dxa"/>
            <w:shd w:val="clear" w:color="auto" w:fill="D9D9D9"/>
          </w:tcPr>
          <w:p w:rsidR="00E01860" w:rsidRPr="00BA63CA" w:rsidRDefault="00E01860">
            <w:pPr>
              <w:pBdr>
                <w:top w:val="nil"/>
                <w:left w:val="nil"/>
                <w:bottom w:val="nil"/>
                <w:right w:val="nil"/>
                <w:between w:val="nil"/>
              </w:pBdr>
              <w:ind w:right="-20"/>
              <w:jc w:val="both"/>
              <w:rPr>
                <w:rFonts w:ascii="Palatino Linotype" w:eastAsia="Palatino Linotype" w:hAnsi="Palatino Linotype" w:cs="Palatino Linotype"/>
                <w:color w:val="000000"/>
                <w:sz w:val="22"/>
                <w:szCs w:val="22"/>
              </w:rPr>
            </w:pPr>
          </w:p>
        </w:tc>
        <w:tc>
          <w:tcPr>
            <w:tcW w:w="2640" w:type="dxa"/>
            <w:shd w:val="clear" w:color="auto" w:fill="D9D9D9"/>
          </w:tcPr>
          <w:p w:rsidR="00E01860" w:rsidRPr="00BA63CA" w:rsidRDefault="00E01860">
            <w:pPr>
              <w:pBdr>
                <w:top w:val="nil"/>
                <w:left w:val="nil"/>
                <w:bottom w:val="nil"/>
                <w:right w:val="nil"/>
                <w:between w:val="nil"/>
              </w:pBdr>
              <w:ind w:right="-20"/>
              <w:jc w:val="both"/>
              <w:rPr>
                <w:rFonts w:ascii="Palatino Linotype" w:eastAsia="Palatino Linotype" w:hAnsi="Palatino Linotype" w:cs="Palatino Linotype"/>
                <w:color w:val="000000"/>
                <w:sz w:val="22"/>
                <w:szCs w:val="22"/>
              </w:rPr>
            </w:pPr>
          </w:p>
        </w:tc>
        <w:tc>
          <w:tcPr>
            <w:tcW w:w="1440" w:type="dxa"/>
            <w:shd w:val="clear" w:color="auto" w:fill="D9D9D9"/>
          </w:tcPr>
          <w:p w:rsidR="00E01860" w:rsidRPr="00BA63CA" w:rsidRDefault="00E01860">
            <w:pPr>
              <w:pBdr>
                <w:top w:val="nil"/>
                <w:left w:val="nil"/>
                <w:bottom w:val="nil"/>
                <w:right w:val="nil"/>
                <w:between w:val="nil"/>
              </w:pBdr>
              <w:ind w:right="-20"/>
              <w:jc w:val="center"/>
              <w:rPr>
                <w:rFonts w:ascii="Palatino Linotype" w:eastAsia="Palatino Linotype" w:hAnsi="Palatino Linotype" w:cs="Palatino Linotype"/>
                <w:b/>
                <w:color w:val="000000"/>
                <w:sz w:val="22"/>
                <w:szCs w:val="22"/>
              </w:rPr>
            </w:pPr>
          </w:p>
        </w:tc>
      </w:tr>
      <w:tr w:rsidR="00E01860" w:rsidRPr="00BA63CA">
        <w:tc>
          <w:tcPr>
            <w:tcW w:w="1890" w:type="dxa"/>
          </w:tcPr>
          <w:p w:rsidR="00E01860" w:rsidRPr="00BA63CA" w:rsidRDefault="00AF1602">
            <w:pPr>
              <w:numPr>
                <w:ilvl w:val="0"/>
                <w:numId w:val="5"/>
              </w:numPr>
              <w:pBdr>
                <w:top w:val="nil"/>
                <w:left w:val="nil"/>
                <w:bottom w:val="nil"/>
                <w:right w:val="nil"/>
                <w:between w:val="nil"/>
              </w:pBdr>
              <w:ind w:left="313"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Cantidad</w:t>
            </w:r>
          </w:p>
        </w:tc>
        <w:tc>
          <w:tcPr>
            <w:tcW w:w="1965" w:type="dxa"/>
          </w:tcPr>
          <w:p w:rsidR="00E01860" w:rsidRPr="00BA63CA" w:rsidRDefault="00AF1602">
            <w:pPr>
              <w:pBdr>
                <w:top w:val="nil"/>
                <w:left w:val="nil"/>
                <w:bottom w:val="nil"/>
                <w:right w:val="nil"/>
                <w:between w:val="nil"/>
              </w:pBdr>
              <w:ind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 xml:space="preserve">se puede localizar en el link </w:t>
            </w:r>
            <w:hyperlink r:id="rId12">
              <w:r w:rsidRPr="00BA63CA">
                <w:rPr>
                  <w:rFonts w:ascii="Palatino Linotype" w:eastAsia="Palatino Linotype" w:hAnsi="Palatino Linotype" w:cs="Palatino Linotype"/>
                  <w:color w:val="0563C1"/>
                  <w:sz w:val="22"/>
                  <w:szCs w:val="22"/>
                  <w:u w:val="single"/>
                </w:rPr>
                <w:t>https://toluca.datasets.mx</w:t>
              </w:r>
            </w:hyperlink>
          </w:p>
        </w:tc>
        <w:tc>
          <w:tcPr>
            <w:tcW w:w="1695" w:type="dxa"/>
          </w:tcPr>
          <w:p w:rsidR="00E01860" w:rsidRPr="00BA63CA" w:rsidRDefault="00AF1602">
            <w:pPr>
              <w:pBdr>
                <w:top w:val="nil"/>
                <w:left w:val="nil"/>
                <w:bottom w:val="nil"/>
                <w:right w:val="nil"/>
                <w:between w:val="nil"/>
              </w:pBdr>
              <w:ind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Sin inconformidad</w:t>
            </w:r>
          </w:p>
        </w:tc>
        <w:tc>
          <w:tcPr>
            <w:tcW w:w="2640" w:type="dxa"/>
          </w:tcPr>
          <w:p w:rsidR="00E01860" w:rsidRPr="00BA63CA" w:rsidRDefault="00AF1602">
            <w:pPr>
              <w:pBdr>
                <w:top w:val="nil"/>
                <w:left w:val="nil"/>
                <w:bottom w:val="nil"/>
                <w:right w:val="nil"/>
                <w:between w:val="nil"/>
              </w:pBdr>
              <w:ind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En el link al habilitar el apartado de “contenedores recepción de residuos sólidos”, se puede visualizar la cantidad de los mismos.</w:t>
            </w:r>
          </w:p>
        </w:tc>
        <w:tc>
          <w:tcPr>
            <w:tcW w:w="1440" w:type="dxa"/>
          </w:tcPr>
          <w:p w:rsidR="00E01860" w:rsidRPr="00BA63CA" w:rsidRDefault="00AF1602">
            <w:pPr>
              <w:pBdr>
                <w:top w:val="nil"/>
                <w:left w:val="nil"/>
                <w:bottom w:val="nil"/>
                <w:right w:val="nil"/>
                <w:between w:val="nil"/>
              </w:pBdr>
              <w:ind w:right="-20"/>
              <w:jc w:val="center"/>
              <w:rPr>
                <w:rFonts w:ascii="Palatino Linotype" w:eastAsia="Palatino Linotype" w:hAnsi="Palatino Linotype" w:cs="Palatino Linotype"/>
                <w:b/>
                <w:color w:val="000000"/>
                <w:sz w:val="22"/>
                <w:szCs w:val="22"/>
              </w:rPr>
            </w:pPr>
            <w:r w:rsidRPr="00BA63CA">
              <w:rPr>
                <w:rFonts w:ascii="Palatino Linotype" w:eastAsia="Palatino Linotype" w:hAnsi="Palatino Linotype" w:cs="Palatino Linotype"/>
                <w:b/>
                <w:color w:val="000000"/>
                <w:sz w:val="22"/>
                <w:szCs w:val="22"/>
              </w:rPr>
              <w:t>Actos consentidos</w:t>
            </w:r>
          </w:p>
        </w:tc>
      </w:tr>
      <w:tr w:rsidR="00E01860" w:rsidRPr="00BA63CA">
        <w:tc>
          <w:tcPr>
            <w:tcW w:w="1890" w:type="dxa"/>
          </w:tcPr>
          <w:p w:rsidR="00E01860" w:rsidRPr="00BA63CA" w:rsidRDefault="00AF1602">
            <w:pPr>
              <w:numPr>
                <w:ilvl w:val="0"/>
                <w:numId w:val="5"/>
              </w:numPr>
              <w:pBdr>
                <w:top w:val="nil"/>
                <w:left w:val="nil"/>
                <w:bottom w:val="nil"/>
                <w:right w:val="nil"/>
                <w:between w:val="nil"/>
              </w:pBdr>
              <w:ind w:left="313"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Localización</w:t>
            </w:r>
          </w:p>
        </w:tc>
        <w:tc>
          <w:tcPr>
            <w:tcW w:w="1965" w:type="dxa"/>
          </w:tcPr>
          <w:p w:rsidR="00E01860" w:rsidRPr="00BA63CA" w:rsidRDefault="00AF1602">
            <w:pPr>
              <w:pBdr>
                <w:top w:val="nil"/>
                <w:left w:val="nil"/>
                <w:bottom w:val="nil"/>
                <w:right w:val="nil"/>
                <w:between w:val="nil"/>
              </w:pBdr>
              <w:ind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 xml:space="preserve">se puede localizar en el link </w:t>
            </w:r>
            <w:hyperlink r:id="rId13">
              <w:r w:rsidRPr="00BA63CA">
                <w:rPr>
                  <w:rFonts w:ascii="Palatino Linotype" w:eastAsia="Palatino Linotype" w:hAnsi="Palatino Linotype" w:cs="Palatino Linotype"/>
                  <w:color w:val="0563C1"/>
                  <w:sz w:val="22"/>
                  <w:szCs w:val="22"/>
                  <w:u w:val="single"/>
                </w:rPr>
                <w:t>https://toluca.datasets.mx</w:t>
              </w:r>
            </w:hyperlink>
          </w:p>
        </w:tc>
        <w:tc>
          <w:tcPr>
            <w:tcW w:w="1695" w:type="dxa"/>
          </w:tcPr>
          <w:p w:rsidR="00E01860" w:rsidRPr="00BA63CA" w:rsidRDefault="00AF1602">
            <w:pPr>
              <w:pBdr>
                <w:top w:val="nil"/>
                <w:left w:val="nil"/>
                <w:bottom w:val="nil"/>
                <w:right w:val="nil"/>
                <w:between w:val="nil"/>
              </w:pBdr>
              <w:ind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La localización de recolectores.</w:t>
            </w:r>
          </w:p>
        </w:tc>
        <w:tc>
          <w:tcPr>
            <w:tcW w:w="2640" w:type="dxa"/>
          </w:tcPr>
          <w:p w:rsidR="00E01860" w:rsidRPr="00BA63CA" w:rsidRDefault="00AF1602">
            <w:pPr>
              <w:pBdr>
                <w:top w:val="nil"/>
                <w:left w:val="nil"/>
                <w:bottom w:val="nil"/>
                <w:right w:val="nil"/>
                <w:between w:val="nil"/>
              </w:pBdr>
              <w:ind w:right="-20"/>
              <w:jc w:val="both"/>
              <w:rPr>
                <w:rFonts w:ascii="Palatino Linotype" w:eastAsia="Palatino Linotype" w:hAnsi="Palatino Linotype" w:cs="Palatino Linotype"/>
                <w:b/>
                <w:color w:val="000000"/>
                <w:sz w:val="22"/>
                <w:szCs w:val="22"/>
              </w:rPr>
            </w:pPr>
            <w:r w:rsidRPr="00BA63CA">
              <w:rPr>
                <w:rFonts w:ascii="Palatino Linotype" w:eastAsia="Palatino Linotype" w:hAnsi="Palatino Linotype" w:cs="Palatino Linotype"/>
                <w:color w:val="000000"/>
                <w:sz w:val="22"/>
                <w:szCs w:val="22"/>
              </w:rPr>
              <w:t>En el link al habilitar el apartado de “contenedores recepción de residuos sólidos”, se pueden visualizar sus ubicaciones en el mapa y al aplicar zoom, se aprecia exactamente su ubicación.</w:t>
            </w:r>
          </w:p>
          <w:p w:rsidR="00E01860" w:rsidRPr="00BA63CA" w:rsidRDefault="00E01860">
            <w:pPr>
              <w:pBdr>
                <w:top w:val="nil"/>
                <w:left w:val="nil"/>
                <w:bottom w:val="nil"/>
                <w:right w:val="nil"/>
                <w:between w:val="nil"/>
              </w:pBdr>
              <w:ind w:right="-20"/>
              <w:jc w:val="both"/>
              <w:rPr>
                <w:rFonts w:ascii="Palatino Linotype" w:eastAsia="Palatino Linotype" w:hAnsi="Palatino Linotype" w:cs="Palatino Linotype"/>
                <w:color w:val="000000"/>
                <w:sz w:val="22"/>
                <w:szCs w:val="22"/>
              </w:rPr>
            </w:pPr>
          </w:p>
        </w:tc>
        <w:tc>
          <w:tcPr>
            <w:tcW w:w="1440" w:type="dxa"/>
          </w:tcPr>
          <w:p w:rsidR="00E01860" w:rsidRPr="00BA63CA" w:rsidRDefault="00AF1602">
            <w:pPr>
              <w:pBdr>
                <w:top w:val="nil"/>
                <w:left w:val="nil"/>
                <w:bottom w:val="nil"/>
                <w:right w:val="nil"/>
                <w:between w:val="nil"/>
              </w:pBdr>
              <w:ind w:right="-20"/>
              <w:jc w:val="center"/>
              <w:rPr>
                <w:rFonts w:ascii="Palatino Linotype" w:eastAsia="Palatino Linotype" w:hAnsi="Palatino Linotype" w:cs="Palatino Linotype"/>
                <w:b/>
                <w:color w:val="000000"/>
                <w:sz w:val="22"/>
                <w:szCs w:val="22"/>
              </w:rPr>
            </w:pPr>
            <w:r w:rsidRPr="00BA63CA">
              <w:rPr>
                <w:rFonts w:ascii="Palatino Linotype" w:eastAsia="Palatino Linotype" w:hAnsi="Palatino Linotype" w:cs="Palatino Linotype"/>
                <w:b/>
                <w:color w:val="000000"/>
                <w:sz w:val="22"/>
                <w:szCs w:val="22"/>
              </w:rPr>
              <w:t>SI</w:t>
            </w:r>
          </w:p>
        </w:tc>
      </w:tr>
      <w:tr w:rsidR="00E01860" w:rsidRPr="00BA63CA">
        <w:tc>
          <w:tcPr>
            <w:tcW w:w="1890" w:type="dxa"/>
          </w:tcPr>
          <w:p w:rsidR="00E01860" w:rsidRPr="00BA63CA" w:rsidRDefault="00AF1602">
            <w:pPr>
              <w:numPr>
                <w:ilvl w:val="0"/>
                <w:numId w:val="5"/>
              </w:numPr>
              <w:pBdr>
                <w:top w:val="nil"/>
                <w:left w:val="nil"/>
                <w:bottom w:val="nil"/>
                <w:right w:val="nil"/>
                <w:between w:val="nil"/>
              </w:pBdr>
              <w:ind w:left="313"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Si cuenta con supervisores de ruta</w:t>
            </w:r>
          </w:p>
        </w:tc>
        <w:tc>
          <w:tcPr>
            <w:tcW w:w="1965" w:type="dxa"/>
          </w:tcPr>
          <w:p w:rsidR="00E01860" w:rsidRPr="00BA63CA" w:rsidRDefault="00AF1602">
            <w:pPr>
              <w:pBdr>
                <w:top w:val="nil"/>
                <w:left w:val="nil"/>
                <w:bottom w:val="nil"/>
                <w:right w:val="nil"/>
                <w:between w:val="nil"/>
              </w:pBdr>
              <w:ind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Se lleva a cabo por medio del Jefe de Departamento de Recolección Transferencia y Disposición Final de Residuos Sólidos, choferes de las unidades y en coordinación con las autoridades auxiliares, Delegados, Subdelegados y Copacis.</w:t>
            </w:r>
          </w:p>
        </w:tc>
        <w:tc>
          <w:tcPr>
            <w:tcW w:w="1695" w:type="dxa"/>
          </w:tcPr>
          <w:p w:rsidR="00E01860" w:rsidRPr="00BA63CA" w:rsidRDefault="00AF1602">
            <w:pPr>
              <w:pBdr>
                <w:top w:val="nil"/>
                <w:left w:val="nil"/>
                <w:bottom w:val="nil"/>
                <w:right w:val="nil"/>
                <w:between w:val="nil"/>
              </w:pBdr>
              <w:ind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Sin inconformidad</w:t>
            </w:r>
          </w:p>
        </w:tc>
        <w:tc>
          <w:tcPr>
            <w:tcW w:w="2640" w:type="dxa"/>
          </w:tcPr>
          <w:p w:rsidR="00E01860" w:rsidRPr="00BA63CA" w:rsidRDefault="00AF1602">
            <w:pPr>
              <w:pBdr>
                <w:top w:val="nil"/>
                <w:left w:val="nil"/>
                <w:bottom w:val="nil"/>
                <w:right w:val="nil"/>
                <w:between w:val="nil"/>
              </w:pBdr>
              <w:ind w:right="-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 xml:space="preserve">De acuerdo con las atribuciones y obligaciones el Director de Residuos Sólidos y el Jefe de Departamento de Recolección, Transferencia y </w:t>
            </w:r>
            <w:r w:rsidRPr="00BA63CA">
              <w:rPr>
                <w:rFonts w:ascii="Palatino Linotype" w:eastAsia="Palatino Linotype" w:hAnsi="Palatino Linotype" w:cs="Palatino Linotype"/>
                <w:sz w:val="22"/>
                <w:szCs w:val="22"/>
              </w:rPr>
              <w:t>Disposición</w:t>
            </w:r>
            <w:r w:rsidRPr="00BA63CA">
              <w:rPr>
                <w:rFonts w:ascii="Palatino Linotype" w:eastAsia="Palatino Linotype" w:hAnsi="Palatino Linotype" w:cs="Palatino Linotype"/>
                <w:color w:val="000000"/>
                <w:sz w:val="22"/>
                <w:szCs w:val="22"/>
              </w:rPr>
              <w:t xml:space="preserve"> Final de Residuos, están facultados como supervisores generales de las rutas de recolección.</w:t>
            </w:r>
          </w:p>
        </w:tc>
        <w:tc>
          <w:tcPr>
            <w:tcW w:w="1440" w:type="dxa"/>
          </w:tcPr>
          <w:p w:rsidR="00E01860" w:rsidRPr="00BA63CA" w:rsidRDefault="00AF1602">
            <w:pPr>
              <w:pBdr>
                <w:top w:val="nil"/>
                <w:left w:val="nil"/>
                <w:bottom w:val="nil"/>
                <w:right w:val="nil"/>
                <w:between w:val="nil"/>
              </w:pBdr>
              <w:ind w:right="-20"/>
              <w:jc w:val="center"/>
              <w:rPr>
                <w:rFonts w:ascii="Palatino Linotype" w:eastAsia="Palatino Linotype" w:hAnsi="Palatino Linotype" w:cs="Palatino Linotype"/>
                <w:b/>
                <w:color w:val="000000"/>
                <w:sz w:val="22"/>
                <w:szCs w:val="22"/>
              </w:rPr>
            </w:pPr>
            <w:r w:rsidRPr="00BA63CA">
              <w:rPr>
                <w:rFonts w:ascii="Palatino Linotype" w:eastAsia="Palatino Linotype" w:hAnsi="Palatino Linotype" w:cs="Palatino Linotype"/>
                <w:b/>
                <w:color w:val="000000"/>
                <w:sz w:val="22"/>
                <w:szCs w:val="22"/>
              </w:rPr>
              <w:t>Actos consentidos</w:t>
            </w:r>
          </w:p>
        </w:tc>
      </w:tr>
    </w:tbl>
    <w:p w:rsidR="00E01860" w:rsidRPr="00BA63CA" w:rsidRDefault="00E01860">
      <w:pPr>
        <w:spacing w:line="360" w:lineRule="auto"/>
        <w:ind w:right="-787"/>
        <w:jc w:val="both"/>
        <w:rPr>
          <w:rFonts w:ascii="Palatino Linotype" w:eastAsia="Palatino Linotype" w:hAnsi="Palatino Linotype" w:cs="Palatino Linotype"/>
          <w:b/>
        </w:rPr>
      </w:pPr>
    </w:p>
    <w:p w:rsidR="00E01860" w:rsidRPr="00BA63CA" w:rsidRDefault="00AF1602">
      <w:pPr>
        <w:numPr>
          <w:ilvl w:val="0"/>
          <w:numId w:val="1"/>
        </w:numPr>
        <w:spacing w:line="360" w:lineRule="auto"/>
        <w:ind w:left="0" w:right="-787" w:firstLine="0"/>
        <w:jc w:val="both"/>
        <w:rPr>
          <w:rFonts w:ascii="Palatino Linotype" w:eastAsia="Palatino Linotype" w:hAnsi="Palatino Linotype" w:cs="Palatino Linotype"/>
          <w:b/>
          <w:color w:val="000000"/>
        </w:rPr>
      </w:pPr>
      <w:r w:rsidRPr="00BA63CA">
        <w:rPr>
          <w:rFonts w:ascii="Palatino Linotype" w:eastAsia="Palatino Linotype" w:hAnsi="Palatino Linotype" w:cs="Palatino Linotype"/>
          <w:color w:val="000000"/>
        </w:rPr>
        <w:t xml:space="preserve">Ahora bien, es importante precisar que en los motivos de inconformidad señaló textualmente </w:t>
      </w:r>
      <w:r w:rsidRPr="00BA63CA">
        <w:rPr>
          <w:rFonts w:ascii="Palatino Linotype" w:eastAsia="Palatino Linotype" w:hAnsi="Palatino Linotype" w:cs="Palatino Linotype"/>
          <w:i/>
          <w:color w:val="000000"/>
        </w:rPr>
        <w:t xml:space="preserve">“… Limitándose a compartirme un enlace en donde solo se aprecian puntos fijos de </w:t>
      </w:r>
      <w:r w:rsidRPr="00BA63CA">
        <w:rPr>
          <w:rFonts w:ascii="Palatino Linotype" w:eastAsia="Palatino Linotype" w:hAnsi="Palatino Linotype" w:cs="Palatino Linotype"/>
          <w:i/>
          <w:color w:val="000000"/>
        </w:rPr>
        <w:lastRenderedPageBreak/>
        <w:t>recolección (</w:t>
      </w:r>
      <w:r w:rsidRPr="00BA63CA">
        <w:rPr>
          <w:rFonts w:ascii="Palatino Linotype" w:eastAsia="Palatino Linotype" w:hAnsi="Palatino Linotype" w:cs="Palatino Linotype"/>
          <w:b/>
          <w:i/>
          <w:color w:val="000000"/>
        </w:rPr>
        <w:t>no viene el tipo de camión, modelo</w:t>
      </w:r>
      <w:r w:rsidRPr="00BA63CA">
        <w:rPr>
          <w:rFonts w:ascii="Palatino Linotype" w:eastAsia="Palatino Linotype" w:hAnsi="Palatino Linotype" w:cs="Palatino Linotype"/>
          <w:i/>
          <w:color w:val="000000"/>
        </w:rPr>
        <w:t>, horario de tención, etc)… (Sic)</w:t>
      </w:r>
      <w:r w:rsidRPr="00BA63CA">
        <w:rPr>
          <w:rFonts w:ascii="Palatino Linotype" w:eastAsia="Palatino Linotype" w:hAnsi="Palatino Linotype" w:cs="Palatino Linotype"/>
          <w:color w:val="000000"/>
        </w:rPr>
        <w:t xml:space="preserve">, por lo que, en cuanto al tipo de camión y modelo, constituye nuevos requerimientos de información, configurándose así lo que se conoce como </w:t>
      </w:r>
      <w:r w:rsidRPr="00BA63CA">
        <w:rPr>
          <w:rFonts w:ascii="Palatino Linotype" w:eastAsia="Palatino Linotype" w:hAnsi="Palatino Linotype" w:cs="Palatino Linotype"/>
          <w:b/>
          <w:i/>
          <w:color w:val="000000"/>
        </w:rPr>
        <w:t xml:space="preserve">plus petitio, </w:t>
      </w:r>
      <w:r w:rsidRPr="00BA63CA">
        <w:rPr>
          <w:rFonts w:ascii="Palatino Linotype" w:eastAsia="Palatino Linotype" w:hAnsi="Palatino Linotype" w:cs="Palatino Linotype"/>
          <w:color w:val="000000"/>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w:t>
      </w:r>
      <w:r w:rsidRPr="00BA63CA">
        <w:rPr>
          <w:rFonts w:ascii="Palatino Linotype" w:eastAsia="Palatino Linotype" w:hAnsi="Palatino Linotype" w:cs="Palatino Linotype"/>
          <w:b/>
          <w:color w:val="000000"/>
        </w:rPr>
        <w:t>la parte</w:t>
      </w:r>
      <w:r w:rsidRPr="00BA63CA">
        <w:rPr>
          <w:rFonts w:ascii="Palatino Linotype" w:eastAsia="Palatino Linotype" w:hAnsi="Palatino Linotype" w:cs="Palatino Linotype"/>
          <w:color w:val="000000"/>
        </w:rPr>
        <w:t xml:space="preserve"> </w:t>
      </w:r>
      <w:r w:rsidRPr="00BA63CA">
        <w:rPr>
          <w:rFonts w:ascii="Palatino Linotype" w:eastAsia="Palatino Linotype" w:hAnsi="Palatino Linotype" w:cs="Palatino Linotype"/>
          <w:b/>
          <w:color w:val="000000"/>
        </w:rPr>
        <w:t>Recurrente</w:t>
      </w:r>
      <w:r w:rsidRPr="00BA63CA">
        <w:rPr>
          <w:rFonts w:ascii="Palatino Linotype" w:eastAsia="Palatino Linotype" w:hAnsi="Palatino Linotype" w:cs="Palatino Linotype"/>
          <w:color w:val="000000"/>
        </w:rPr>
        <w:t xml:space="preserve"> amplíe su solicitud en el Recurso de Revisión, cuestión que tuvo lugar en el presente caso, pues </w:t>
      </w:r>
      <w:r w:rsidRPr="00BA63CA">
        <w:rPr>
          <w:rFonts w:ascii="Palatino Linotype" w:eastAsia="Palatino Linotype" w:hAnsi="Palatino Linotype" w:cs="Palatino Linotype"/>
          <w:b/>
          <w:color w:val="000000"/>
        </w:rPr>
        <w:t>el Solicitante</w:t>
      </w:r>
      <w:r w:rsidRPr="00BA63CA">
        <w:rPr>
          <w:rFonts w:ascii="Palatino Linotype" w:eastAsia="Palatino Linotype" w:hAnsi="Palatino Linotype" w:cs="Palatino Linotype"/>
          <w:color w:val="000000"/>
        </w:rPr>
        <w:t xml:space="preserve"> formuló nuevos cuestionamientos, en los que solicitó información que no formó parte de su solicitud inicial y por lo tanto son inatendibles a través del recurso de revisión. </w:t>
      </w:r>
    </w:p>
    <w:p w:rsidR="00E01860" w:rsidRPr="00BA63CA" w:rsidRDefault="00E01860">
      <w:pPr>
        <w:pBdr>
          <w:top w:val="nil"/>
          <w:left w:val="nil"/>
          <w:bottom w:val="nil"/>
          <w:right w:val="nil"/>
          <w:between w:val="nil"/>
        </w:pBdr>
        <w:spacing w:line="360" w:lineRule="auto"/>
        <w:ind w:left="644" w:right="-787"/>
        <w:jc w:val="both"/>
        <w:rPr>
          <w:rFonts w:ascii="Palatino Linotype" w:eastAsia="Palatino Linotype" w:hAnsi="Palatino Linotype" w:cs="Palatino Linotype"/>
          <w:color w:val="000000"/>
        </w:rPr>
      </w:pPr>
    </w:p>
    <w:p w:rsidR="00E01860" w:rsidRPr="00BA63CA" w:rsidRDefault="00AF1602">
      <w:pPr>
        <w:numPr>
          <w:ilvl w:val="0"/>
          <w:numId w:val="1"/>
        </w:numP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 xml:space="preserve">En este tenor, es posible determinar que para el caso que nos ocupa los argumentos formulados como motivos o razones de inconformidad respecto </w:t>
      </w:r>
      <w:r w:rsidRPr="00BA63CA">
        <w:rPr>
          <w:rFonts w:ascii="Palatino Linotype" w:eastAsia="Palatino Linotype" w:hAnsi="Palatino Linotype" w:cs="Palatino Linotype"/>
          <w:b/>
          <w:color w:val="000000"/>
        </w:rPr>
        <w:t>del tipo de camión y modelo</w:t>
      </w:r>
      <w:r w:rsidRPr="00BA63CA">
        <w:rPr>
          <w:rFonts w:ascii="Palatino Linotype" w:eastAsia="Palatino Linotype" w:hAnsi="Palatino Linotype" w:cs="Palatino Linotype"/>
          <w:color w:val="000000"/>
        </w:rPr>
        <w:t xml:space="preserve"> son una ampliación a la solicitud inicial y corresponden a nuevos requerimientos de información, que no se encuentran relacionados con lo solicitado en un primer momento; siendo importante señalar que una vez formulada una solicitud, 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rsidR="00E01860" w:rsidRPr="00BA63CA" w:rsidRDefault="00E01860">
      <w:pPr>
        <w:pBdr>
          <w:top w:val="nil"/>
          <w:left w:val="nil"/>
          <w:bottom w:val="nil"/>
          <w:right w:val="nil"/>
          <w:between w:val="nil"/>
        </w:pBdr>
        <w:ind w:left="708" w:right="-787"/>
        <w:rPr>
          <w:rFonts w:ascii="Palatino Linotype" w:eastAsia="Palatino Linotype" w:hAnsi="Palatino Linotype" w:cs="Palatino Linotype"/>
          <w:color w:val="000000"/>
        </w:rPr>
      </w:pPr>
    </w:p>
    <w:p w:rsidR="00E01860" w:rsidRPr="00BA63CA" w:rsidRDefault="00AF1602">
      <w:pPr>
        <w:numPr>
          <w:ilvl w:val="0"/>
          <w:numId w:val="1"/>
        </w:numP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Robustece lo anterior lo plasmado en el criterio orientador número 01/17 emitido por el Instituto Nacional de Transparencia, Acceso a la Información y Protección de Datos Personales, INAI, que lleva por rubro y texto lo que a continuación se transcribe:</w:t>
      </w:r>
    </w:p>
    <w:p w:rsidR="00E01860" w:rsidRPr="00BA63CA" w:rsidRDefault="00AF1602">
      <w:pPr>
        <w:pBdr>
          <w:top w:val="nil"/>
          <w:left w:val="nil"/>
          <w:bottom w:val="nil"/>
          <w:right w:val="nil"/>
          <w:between w:val="nil"/>
        </w:pBdr>
        <w:spacing w:before="240" w:after="240"/>
        <w:ind w:left="566" w:right="-79"/>
        <w:jc w:val="both"/>
        <w:rPr>
          <w:rFonts w:ascii="Palatino Linotype" w:eastAsia="Palatino Linotype" w:hAnsi="Palatino Linotype" w:cs="Palatino Linotype"/>
          <w:i/>
          <w:color w:val="000000"/>
          <w:sz w:val="22"/>
          <w:szCs w:val="22"/>
        </w:rPr>
      </w:pPr>
      <w:r w:rsidRPr="00BA63CA">
        <w:rPr>
          <w:rFonts w:ascii="Palatino Linotype" w:eastAsia="Palatino Linotype" w:hAnsi="Palatino Linotype" w:cs="Palatino Linotype"/>
          <w:i/>
          <w:color w:val="000000"/>
          <w:sz w:val="22"/>
          <w:szCs w:val="22"/>
        </w:rPr>
        <w:lastRenderedPageBreak/>
        <w:t>“</w:t>
      </w:r>
      <w:r w:rsidRPr="00BA63CA">
        <w:rPr>
          <w:rFonts w:ascii="Palatino Linotype" w:eastAsia="Palatino Linotype" w:hAnsi="Palatino Linotype" w:cs="Palatino Linotype"/>
          <w:b/>
          <w:i/>
          <w:color w:val="000000"/>
          <w:sz w:val="22"/>
          <w:szCs w:val="22"/>
        </w:rPr>
        <w:t xml:space="preserve">Es improcedente ampliar las solicitudes de acceso a información, a través de la interposición del recurso de revisión. </w:t>
      </w:r>
      <w:r w:rsidRPr="00BA63CA">
        <w:rPr>
          <w:rFonts w:ascii="Palatino Linotype" w:eastAsia="Palatino Linotype" w:hAnsi="Palatino Linotype" w:cs="Palatino Linotype"/>
          <w:i/>
          <w:color w:val="000000"/>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BA63CA">
        <w:rPr>
          <w:rFonts w:ascii="Palatino Linotype" w:eastAsia="Palatino Linotype" w:hAnsi="Palatino Linotype" w:cs="Palatino Linotype"/>
          <w:b/>
          <w:i/>
          <w:color w:val="000000"/>
          <w:sz w:val="22"/>
          <w:szCs w:val="22"/>
        </w:rPr>
        <w:t>.</w:t>
      </w:r>
      <w:r w:rsidRPr="00BA63CA">
        <w:rPr>
          <w:rFonts w:ascii="Palatino Linotype" w:eastAsia="Palatino Linotype" w:hAnsi="Palatino Linotype" w:cs="Palatino Linotype"/>
          <w:i/>
          <w:color w:val="000000"/>
          <w:sz w:val="22"/>
          <w:szCs w:val="22"/>
        </w:rPr>
        <w:t>”(Sic)</w:t>
      </w:r>
    </w:p>
    <w:p w:rsidR="00E01860" w:rsidRPr="00BA63CA" w:rsidRDefault="00E01860">
      <w:pPr>
        <w:pBdr>
          <w:top w:val="nil"/>
          <w:left w:val="nil"/>
          <w:bottom w:val="nil"/>
          <w:right w:val="nil"/>
          <w:between w:val="nil"/>
        </w:pBdr>
        <w:spacing w:before="240" w:after="240"/>
        <w:ind w:right="-787"/>
        <w:jc w:val="both"/>
        <w:rPr>
          <w:rFonts w:ascii="Palatino Linotype" w:eastAsia="Palatino Linotype" w:hAnsi="Palatino Linotype" w:cs="Palatino Linotype"/>
          <w:i/>
          <w:color w:val="000000"/>
        </w:rPr>
      </w:pPr>
    </w:p>
    <w:p w:rsidR="00E01860" w:rsidRPr="00BA63CA" w:rsidRDefault="00AF1602">
      <w:pPr>
        <w:numPr>
          <w:ilvl w:val="0"/>
          <w:numId w:val="1"/>
        </w:numPr>
        <w:spacing w:line="360" w:lineRule="auto"/>
        <w:ind w:left="0" w:right="-787" w:firstLine="0"/>
        <w:jc w:val="both"/>
      </w:pPr>
      <w:r w:rsidRPr="00BA63CA">
        <w:rPr>
          <w:rFonts w:ascii="Palatino Linotype" w:eastAsia="Palatino Linotype" w:hAnsi="Palatino Linotype" w:cs="Palatino Linotype"/>
          <w:color w:val="000000"/>
        </w:rPr>
        <w:t xml:space="preserve">En cuanto a los puntos de solicitud </w:t>
      </w:r>
      <w:r w:rsidRPr="00BA63CA">
        <w:rPr>
          <w:rFonts w:ascii="Palatino Linotype" w:eastAsia="Palatino Linotype" w:hAnsi="Palatino Linotype" w:cs="Palatino Linotype"/>
          <w:b/>
          <w:color w:val="000000"/>
          <w:u w:val="single"/>
        </w:rPr>
        <w:t>4. Localización de los contenedores de basura</w:t>
      </w:r>
      <w:r w:rsidRPr="00BA63CA">
        <w:rPr>
          <w:rFonts w:ascii="Palatino Linotype" w:eastAsia="Palatino Linotype" w:hAnsi="Palatino Linotype" w:cs="Palatino Linotype"/>
          <w:color w:val="000000"/>
        </w:rPr>
        <w:t xml:space="preserve">, y </w:t>
      </w:r>
      <w:r w:rsidRPr="00BA63CA">
        <w:rPr>
          <w:rFonts w:ascii="Palatino Linotype" w:eastAsia="Palatino Linotype" w:hAnsi="Palatino Linotype" w:cs="Palatino Linotype"/>
          <w:b/>
          <w:color w:val="000000"/>
          <w:u w:val="single"/>
        </w:rPr>
        <w:t>6. Si cuenta con supervisores de ruta</w:t>
      </w:r>
      <w:r w:rsidRPr="00BA63CA">
        <w:rPr>
          <w:rFonts w:ascii="Palatino Linotype" w:eastAsia="Palatino Linotype" w:hAnsi="Palatino Linotype" w:cs="Palatino Linotype"/>
          <w:color w:val="000000"/>
        </w:rPr>
        <w:t xml:space="preserve">, </w:t>
      </w:r>
      <w:r w:rsidRPr="00BA63CA">
        <w:rPr>
          <w:rFonts w:ascii="Palatino Linotype" w:eastAsia="Palatino Linotype" w:hAnsi="Palatino Linotype" w:cs="Palatino Linotype"/>
        </w:rPr>
        <w:t>en lo que respecta a ambos puntos,</w:t>
      </w:r>
      <w:r w:rsidRPr="00BA63CA">
        <w:rPr>
          <w:rFonts w:ascii="Palatino Linotype" w:eastAsia="Palatino Linotype" w:hAnsi="Palatino Linotype" w:cs="Palatino Linotype"/>
          <w:i/>
        </w:rPr>
        <w:t xml:space="preserve"> </w:t>
      </w:r>
      <w:r w:rsidRPr="00BA63CA">
        <w:rPr>
          <w:rFonts w:ascii="Palatino Linotype" w:eastAsia="Palatino Linotype" w:hAnsi="Palatino Linotype" w:cs="Palatino Linotype"/>
        </w:rPr>
        <w:t xml:space="preserve">si bien Sujeto Obligado se pronunció, lo cierto es que el recurrente no se inconformó por ello en el apartado de Razones o Motivos de inconformidad, </w:t>
      </w:r>
      <w:r w:rsidRPr="00BA63CA">
        <w:rPr>
          <w:rFonts w:ascii="Palatino Linotype" w:eastAsia="Palatino Linotype" w:hAnsi="Palatino Linotype" w:cs="Palatino Linotype"/>
          <w:color w:val="000000"/>
        </w:rPr>
        <w:t>por lo que se deben tener como actos consentidos, lo anterior por no haber hecho pronunciamiento de impugnación a estos puntos de la solicitud.</w:t>
      </w:r>
    </w:p>
    <w:p w:rsidR="00E01860" w:rsidRPr="00BA63CA" w:rsidRDefault="00E01860">
      <w:pPr>
        <w:spacing w:line="360" w:lineRule="auto"/>
        <w:ind w:right="-787"/>
        <w:jc w:val="both"/>
        <w:rPr>
          <w:rFonts w:ascii="Palatino Linotype" w:eastAsia="Palatino Linotype" w:hAnsi="Palatino Linotype" w:cs="Palatino Linotype"/>
        </w:rPr>
      </w:pPr>
    </w:p>
    <w:p w:rsidR="00E01860" w:rsidRPr="00BA63CA" w:rsidRDefault="00AF1602">
      <w:pPr>
        <w:numPr>
          <w:ilvl w:val="0"/>
          <w:numId w:val="1"/>
        </w:numPr>
        <w:spacing w:line="360" w:lineRule="auto"/>
        <w:ind w:left="0" w:right="-787" w:firstLine="0"/>
        <w:jc w:val="both"/>
      </w:pPr>
      <w:r w:rsidRPr="00BA63CA">
        <w:rPr>
          <w:rFonts w:ascii="Palatino Linotype" w:eastAsia="Palatino Linotype" w:hAnsi="Palatino Linotype" w:cs="Palatino Linotype"/>
        </w:rPr>
        <w:t xml:space="preserve">Luego entonces, al no existir inconformidad, la información se tiene por </w:t>
      </w:r>
      <w:r w:rsidRPr="00BA63CA">
        <w:rPr>
          <w:rFonts w:ascii="Palatino Linotype" w:eastAsia="Palatino Linotype" w:hAnsi="Palatino Linotype" w:cs="Palatino Linotype"/>
          <w:color w:val="000000"/>
        </w:rPr>
        <w:t>consentida</w:t>
      </w:r>
      <w:r w:rsidRPr="00BA63CA">
        <w:rPr>
          <w:rFonts w:ascii="Palatino Linotype" w:eastAsia="Palatino Linotype" w:hAnsi="Palatino Linotype" w:cs="Palatino Linotype"/>
        </w:rPr>
        <w:t>, ya</w:t>
      </w:r>
      <w:r w:rsidRPr="00BA63CA">
        <w:rPr>
          <w:rFonts w:ascii="Palatino Linotype" w:eastAsia="Palatino Linotype" w:hAnsi="Palatino Linotype" w:cs="Palatino Linotype"/>
          <w:b/>
        </w:rPr>
        <w:t xml:space="preserve"> </w:t>
      </w:r>
      <w:r w:rsidRPr="00BA63CA">
        <w:rPr>
          <w:rFonts w:ascii="Palatino Linotype" w:eastAsia="Palatino Linotype" w:hAnsi="Palatino Linotype" w:cs="Palatino Linotype"/>
        </w:rPr>
        <w:t xml:space="preserve">que la falta de impugnación respecto de los requerimientos que no fueron manifestados en el recurso de revisión, debe entenderse como </w:t>
      </w:r>
      <w:r w:rsidRPr="00BA63CA">
        <w:rPr>
          <w:rFonts w:ascii="Palatino Linotype" w:eastAsia="Palatino Linotype" w:hAnsi="Palatino Linotype" w:cs="Palatino Linotype"/>
          <w:b/>
        </w:rPr>
        <w:t>actos consentidos</w:t>
      </w:r>
      <w:r w:rsidRPr="00BA63CA">
        <w:rPr>
          <w:rFonts w:ascii="Palatino Linotype" w:eastAsia="Palatino Linotype" w:hAnsi="Palatino Linotype" w:cs="Palatino Linotype"/>
        </w:rPr>
        <w:t>.</w:t>
      </w:r>
    </w:p>
    <w:p w:rsidR="00E01860" w:rsidRPr="00BA63CA" w:rsidRDefault="00E01860">
      <w:pPr>
        <w:spacing w:line="360" w:lineRule="auto"/>
        <w:ind w:right="-787"/>
        <w:jc w:val="both"/>
        <w:rPr>
          <w:rFonts w:ascii="Palatino Linotype" w:eastAsia="Palatino Linotype" w:hAnsi="Palatino Linotype" w:cs="Palatino Linotype"/>
        </w:rPr>
      </w:pPr>
    </w:p>
    <w:p w:rsidR="00E01860" w:rsidRPr="00BA63CA" w:rsidRDefault="00AF1602">
      <w:pPr>
        <w:numPr>
          <w:ilvl w:val="0"/>
          <w:numId w:val="1"/>
        </w:numPr>
        <w:spacing w:line="360" w:lineRule="auto"/>
        <w:ind w:left="0" w:right="-787" w:firstLine="0"/>
        <w:jc w:val="both"/>
      </w:pPr>
      <w:r w:rsidRPr="00BA63CA">
        <w:rPr>
          <w:rFonts w:ascii="Palatino Linotype" w:eastAsia="Palatino Linotype" w:hAnsi="Palatino Linotype" w:cs="Palatino Linotype"/>
        </w:rPr>
        <w:t>Esto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E01860" w:rsidRPr="00BA63CA" w:rsidRDefault="00E01860">
      <w:pPr>
        <w:pBdr>
          <w:top w:val="nil"/>
          <w:left w:val="nil"/>
          <w:bottom w:val="nil"/>
          <w:right w:val="nil"/>
          <w:between w:val="nil"/>
        </w:pBdr>
        <w:spacing w:line="360" w:lineRule="auto"/>
        <w:ind w:right="-787"/>
        <w:jc w:val="both"/>
      </w:pPr>
    </w:p>
    <w:p w:rsidR="00E01860" w:rsidRPr="00BA63CA" w:rsidRDefault="00AF1602">
      <w:pPr>
        <w:pBdr>
          <w:top w:val="nil"/>
          <w:left w:val="nil"/>
          <w:bottom w:val="nil"/>
          <w:right w:val="nil"/>
          <w:between w:val="nil"/>
        </w:pBdr>
        <w:ind w:left="708" w:right="-220"/>
        <w:jc w:val="both"/>
        <w:rPr>
          <w:rFonts w:ascii="Palatino Linotype" w:eastAsia="Palatino Linotype" w:hAnsi="Palatino Linotype" w:cs="Palatino Linotype"/>
          <w:i/>
          <w:color w:val="000000"/>
          <w:sz w:val="22"/>
          <w:szCs w:val="22"/>
        </w:rPr>
      </w:pPr>
      <w:r w:rsidRPr="00BA63CA">
        <w:rPr>
          <w:rFonts w:ascii="Palatino Linotype" w:eastAsia="Palatino Linotype" w:hAnsi="Palatino Linotype" w:cs="Palatino Linotype"/>
          <w:b/>
          <w:i/>
          <w:color w:val="000000"/>
          <w:sz w:val="22"/>
          <w:szCs w:val="22"/>
        </w:rPr>
        <w:lastRenderedPageBreak/>
        <w:t>“REVISIÓN EN AMPARO. LOS RESOLUTIVOS NO COMBATIDOS DEBEN DECLARARSE FIRMES. </w:t>
      </w:r>
      <w:r w:rsidRPr="00BA63CA">
        <w:rPr>
          <w:rFonts w:ascii="Palatino Linotype" w:eastAsia="Palatino Linotype" w:hAnsi="Palatino Linotype" w:cs="Palatino Linotype"/>
          <w:i/>
          <w:color w:val="000000"/>
          <w:sz w:val="22"/>
          <w:szCs w:val="22"/>
          <w:u w:val="single"/>
        </w:rPr>
        <w:t>Cuando algún resolutivo de la sentencia impugnada afecta a EL RECURRENTE, y ésta no expresa agravio en contra de las consideraciones que le sirven de base, dicho resolutivo debe declararse firme.</w:t>
      </w:r>
      <w:r w:rsidRPr="00BA63CA">
        <w:rPr>
          <w:rFonts w:ascii="Palatino Linotype" w:eastAsia="Palatino Linotype" w:hAnsi="Palatino Linotype" w:cs="Palatino Linotype"/>
          <w:i/>
          <w:color w:val="000000"/>
          <w:sz w:val="22"/>
          <w:szCs w:val="22"/>
        </w:rPr>
        <w:t> Esto es, en el caso referido, no obstante que la materia de la revisión comprende a todos los resolutivos que afectan a EL RECURRENTE, </w:t>
      </w:r>
      <w:r w:rsidRPr="00BA63CA">
        <w:rPr>
          <w:rFonts w:ascii="Palatino Linotype" w:eastAsia="Palatino Linotype" w:hAnsi="Palatino Linotype" w:cs="Palatino Linotype"/>
          <w:i/>
          <w:color w:val="000000"/>
          <w:sz w:val="22"/>
          <w:szCs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BA63CA">
        <w:rPr>
          <w:rFonts w:ascii="Palatino Linotype" w:eastAsia="Palatino Linotype" w:hAnsi="Palatino Linotype" w:cs="Palatino Linotype"/>
          <w:i/>
          <w:color w:val="000000"/>
          <w:sz w:val="22"/>
          <w:szCs w:val="22"/>
        </w:rPr>
        <w:t>.”</w:t>
      </w:r>
    </w:p>
    <w:p w:rsidR="00E01860" w:rsidRPr="00BA63CA" w:rsidRDefault="00AF1602">
      <w:pPr>
        <w:pBdr>
          <w:top w:val="nil"/>
          <w:left w:val="nil"/>
          <w:bottom w:val="nil"/>
          <w:right w:val="nil"/>
          <w:between w:val="nil"/>
        </w:pBdr>
        <w:ind w:left="708" w:right="-2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(Énfasis añadido)</w:t>
      </w:r>
    </w:p>
    <w:p w:rsidR="00E01860" w:rsidRPr="00BA63CA" w:rsidRDefault="00E01860">
      <w:pPr>
        <w:pBdr>
          <w:top w:val="nil"/>
          <w:left w:val="nil"/>
          <w:bottom w:val="nil"/>
          <w:right w:val="nil"/>
          <w:between w:val="nil"/>
        </w:pBdr>
        <w:ind w:right="-787"/>
        <w:jc w:val="both"/>
        <w:rPr>
          <w:rFonts w:ascii="Palatino Linotype" w:eastAsia="Palatino Linotype" w:hAnsi="Palatino Linotype" w:cs="Palatino Linotype"/>
          <w:color w:val="000000"/>
        </w:rPr>
      </w:pPr>
    </w:p>
    <w:p w:rsidR="00E01860" w:rsidRPr="00BA63CA" w:rsidRDefault="00AF1602">
      <w:pPr>
        <w:numPr>
          <w:ilvl w:val="0"/>
          <w:numId w:val="1"/>
        </w:numPr>
        <w:spacing w:line="360" w:lineRule="auto"/>
        <w:ind w:left="0" w:right="-787" w:firstLine="0"/>
        <w:jc w:val="both"/>
      </w:pPr>
      <w:r w:rsidRPr="00BA63CA">
        <w:rPr>
          <w:rFonts w:ascii="Palatino Linotype" w:eastAsia="Palatino Linotype" w:hAnsi="Palatino Linotype" w:cs="Palatino Linotype"/>
        </w:rPr>
        <w:t xml:space="preserve">Consecutivamente, </w:t>
      </w:r>
      <w:r w:rsidRPr="00BA63CA">
        <w:rPr>
          <w:rFonts w:ascii="Palatino Linotype" w:eastAsia="Palatino Linotype" w:hAnsi="Palatino Linotype" w:cs="Palatino Linotype"/>
          <w:b/>
        </w:rPr>
        <w:t xml:space="preserve">la parte de la respuesta que no fue impugnada debe </w:t>
      </w:r>
      <w:r w:rsidRPr="00BA63CA">
        <w:rPr>
          <w:rFonts w:ascii="Palatino Linotype" w:eastAsia="Palatino Linotype" w:hAnsi="Palatino Linotype" w:cs="Palatino Linotype"/>
        </w:rPr>
        <w:t>declararse</w:t>
      </w:r>
      <w:r w:rsidRPr="00BA63CA">
        <w:rPr>
          <w:rFonts w:ascii="Palatino Linotype" w:eastAsia="Palatino Linotype" w:hAnsi="Palatino Linotype" w:cs="Palatino Linotype"/>
          <w:b/>
        </w:rPr>
        <w:t xml:space="preserve"> </w:t>
      </w:r>
      <w:r w:rsidRPr="00BA63CA">
        <w:rPr>
          <w:rFonts w:ascii="Palatino Linotype" w:eastAsia="Palatino Linotype" w:hAnsi="Palatino Linotype" w:cs="Palatino Linotype"/>
        </w:rPr>
        <w:t>consentida</w:t>
      </w:r>
      <w:r w:rsidRPr="00BA63CA">
        <w:rPr>
          <w:rFonts w:ascii="Palatino Linotype" w:eastAsia="Palatino Linotype" w:hAnsi="Palatino Linotype" w:cs="Palatino Linotype"/>
          <w:b/>
        </w:rPr>
        <w:t xml:space="preserve"> por el recurrente, toda vez que no realizó </w:t>
      </w:r>
      <w:r w:rsidRPr="00BA63CA">
        <w:rPr>
          <w:rFonts w:ascii="Palatino Linotype" w:eastAsia="Palatino Linotype" w:hAnsi="Palatino Linotype" w:cs="Palatino Linotype"/>
        </w:rPr>
        <w:t>manifestaciones</w:t>
      </w:r>
      <w:r w:rsidRPr="00BA63CA">
        <w:rPr>
          <w:rFonts w:ascii="Palatino Linotype" w:eastAsia="Palatino Linotype" w:hAnsi="Palatino Linotype" w:cs="Palatino Linotype"/>
          <w:b/>
        </w:rPr>
        <w:t xml:space="preserve"> de inconformidad</w:t>
      </w:r>
      <w:r w:rsidRPr="00BA63CA">
        <w:rPr>
          <w:rFonts w:ascii="Palatino Linotype" w:eastAsia="Palatino Linotype" w:hAnsi="Palatino Linotype" w:cs="Palatino Linotype"/>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E01860" w:rsidRPr="00BA63CA" w:rsidRDefault="00AF1602">
      <w:pPr>
        <w:pBdr>
          <w:top w:val="nil"/>
          <w:left w:val="nil"/>
          <w:bottom w:val="nil"/>
          <w:right w:val="nil"/>
          <w:between w:val="nil"/>
        </w:pBdr>
        <w:ind w:left="566" w:right="-220"/>
        <w:jc w:val="both"/>
        <w:rPr>
          <w:rFonts w:ascii="Palatino Linotype" w:eastAsia="Palatino Linotype" w:hAnsi="Palatino Linotype" w:cs="Palatino Linotype"/>
          <w:i/>
          <w:color w:val="000000"/>
          <w:sz w:val="22"/>
        </w:rPr>
      </w:pPr>
      <w:r w:rsidRPr="00BA63CA">
        <w:rPr>
          <w:rFonts w:ascii="Palatino Linotype" w:eastAsia="Palatino Linotype" w:hAnsi="Palatino Linotype" w:cs="Palatino Linotype"/>
          <w:b/>
          <w:i/>
          <w:color w:val="000000"/>
          <w:sz w:val="22"/>
        </w:rPr>
        <w:t>“ACTOS CONSENTIDOS. SON LOS QUE NO SE IMPUGNAN MEDIANTE EL RECURSO IDÓNEO. </w:t>
      </w:r>
      <w:r w:rsidRPr="00BA63CA">
        <w:rPr>
          <w:rFonts w:ascii="Palatino Linotype" w:eastAsia="Palatino Linotype" w:hAnsi="Palatino Linotype" w:cs="Palatino Linotype"/>
          <w:i/>
          <w:color w:val="000000"/>
          <w:sz w:val="22"/>
          <w:u w:val="single"/>
        </w:rPr>
        <w:t>Debe reputarse como consentido el acto que no se impugnó por el medio establecido por la ley</w:t>
      </w:r>
      <w:r w:rsidRPr="00BA63CA">
        <w:rPr>
          <w:rFonts w:ascii="Palatino Linotype" w:eastAsia="Palatino Linotype" w:hAnsi="Palatino Linotype" w:cs="Palatino Linotype"/>
          <w:i/>
          <w:color w:val="000000"/>
          <w:sz w:val="22"/>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E01860" w:rsidRPr="00BA63CA" w:rsidRDefault="00AF1602">
      <w:pPr>
        <w:pBdr>
          <w:top w:val="nil"/>
          <w:left w:val="nil"/>
          <w:bottom w:val="nil"/>
          <w:right w:val="nil"/>
          <w:between w:val="nil"/>
        </w:pBdr>
        <w:ind w:left="566" w:right="-220"/>
        <w:jc w:val="both"/>
        <w:rPr>
          <w:rFonts w:ascii="Palatino Linotype" w:eastAsia="Palatino Linotype" w:hAnsi="Palatino Linotype" w:cs="Palatino Linotype"/>
          <w:color w:val="000000"/>
          <w:sz w:val="22"/>
        </w:rPr>
      </w:pPr>
      <w:r w:rsidRPr="00BA63CA">
        <w:rPr>
          <w:rFonts w:ascii="Palatino Linotype" w:eastAsia="Palatino Linotype" w:hAnsi="Palatino Linotype" w:cs="Palatino Linotype"/>
          <w:color w:val="000000"/>
          <w:sz w:val="22"/>
        </w:rPr>
        <w:t>(Énfasis añadido)</w:t>
      </w:r>
    </w:p>
    <w:p w:rsidR="00E01860" w:rsidRPr="00BA63CA" w:rsidRDefault="00E01860">
      <w:pPr>
        <w:spacing w:line="360" w:lineRule="auto"/>
        <w:ind w:right="-787"/>
        <w:jc w:val="both"/>
        <w:rPr>
          <w:rFonts w:ascii="Palatino Linotype" w:eastAsia="Palatino Linotype" w:hAnsi="Palatino Linotype" w:cs="Palatino Linotype"/>
        </w:rPr>
      </w:pPr>
    </w:p>
    <w:p w:rsidR="00E01860" w:rsidRPr="00BA63CA" w:rsidRDefault="00AF1602">
      <w:pPr>
        <w:numPr>
          <w:ilvl w:val="0"/>
          <w:numId w:val="1"/>
        </w:numP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Por otra parte, para precisar si se atendieron los puntos de solicitud restantes, se mostrará con capturas de pantalla si se colmó con los requerimientos de rutas, frecuencia, y horarios de los camiones recolectores de basura, así como de la localización de los contenedores de basura.</w:t>
      </w:r>
    </w:p>
    <w:p w:rsidR="00E01860" w:rsidRPr="00BA63CA" w:rsidRDefault="00E01860">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 xml:space="preserve">Al abrir el link proporcionado en respuesta, se puede apreciar un mapa del municipio de Toluca, mismo que tiene la opción de acercar y alejar, al acercarlo se ve a </w:t>
      </w:r>
      <w:r w:rsidRPr="00BA63CA">
        <w:rPr>
          <w:rFonts w:ascii="Palatino Linotype" w:eastAsia="Palatino Linotype" w:hAnsi="Palatino Linotype" w:cs="Palatino Linotype"/>
          <w:color w:val="000000"/>
        </w:rPr>
        <w:lastRenderedPageBreak/>
        <w:t xml:space="preserve">mayor detalle el nombre de las calles, comercios, hospitales, escuelas, por mencionar algunos elementos, al centro superior se muestra un recuadro denominado “buscar ruta”, del lado izquierdo se muestran 6 botones, el primero de ellos de opciones y al seleccionarlo se despliega el nombre de los 4 íconos y el de información, el primer ícono es </w:t>
      </w:r>
      <w:r w:rsidRPr="00BA63CA">
        <w:rPr>
          <w:rFonts w:ascii="Palatino Linotype" w:eastAsia="Palatino Linotype" w:hAnsi="Palatino Linotype" w:cs="Palatino Linotype"/>
          <w:i/>
          <w:color w:val="000000"/>
        </w:rPr>
        <w:t>Delegaciones</w:t>
      </w:r>
      <w:r w:rsidRPr="00BA63CA">
        <w:rPr>
          <w:rFonts w:ascii="Palatino Linotype" w:eastAsia="Palatino Linotype" w:hAnsi="Palatino Linotype" w:cs="Palatino Linotype"/>
          <w:color w:val="000000"/>
        </w:rPr>
        <w:t xml:space="preserve">, el segundo </w:t>
      </w:r>
      <w:r w:rsidRPr="00BA63CA">
        <w:rPr>
          <w:rFonts w:ascii="Palatino Linotype" w:eastAsia="Palatino Linotype" w:hAnsi="Palatino Linotype" w:cs="Palatino Linotype"/>
          <w:i/>
          <w:color w:val="000000"/>
        </w:rPr>
        <w:t xml:space="preserve">Contenedores fijos, </w:t>
      </w:r>
      <w:r w:rsidRPr="00BA63CA">
        <w:rPr>
          <w:rFonts w:ascii="Palatino Linotype" w:eastAsia="Palatino Linotype" w:hAnsi="Palatino Linotype" w:cs="Palatino Linotype"/>
          <w:color w:val="000000"/>
        </w:rPr>
        <w:t xml:space="preserve">el tercero </w:t>
      </w:r>
      <w:r w:rsidRPr="00BA63CA">
        <w:rPr>
          <w:rFonts w:ascii="Palatino Linotype" w:eastAsia="Palatino Linotype" w:hAnsi="Palatino Linotype" w:cs="Palatino Linotype"/>
          <w:i/>
          <w:color w:val="000000"/>
        </w:rPr>
        <w:t>Puntos fijos,</w:t>
      </w:r>
      <w:r w:rsidRPr="00BA63CA">
        <w:rPr>
          <w:rFonts w:ascii="Palatino Linotype" w:eastAsia="Palatino Linotype" w:hAnsi="Palatino Linotype" w:cs="Palatino Linotype"/>
          <w:color w:val="000000"/>
        </w:rPr>
        <w:t xml:space="preserve"> el cuarto </w:t>
      </w:r>
      <w:r w:rsidRPr="00BA63CA">
        <w:rPr>
          <w:rFonts w:ascii="Palatino Linotype" w:eastAsia="Palatino Linotype" w:hAnsi="Palatino Linotype" w:cs="Palatino Linotype"/>
          <w:i/>
          <w:color w:val="000000"/>
        </w:rPr>
        <w:t>Rellenos Sanitarios</w:t>
      </w:r>
      <w:r w:rsidRPr="00BA63CA">
        <w:rPr>
          <w:rFonts w:ascii="Palatino Linotype" w:eastAsia="Palatino Linotype" w:hAnsi="Palatino Linotype" w:cs="Palatino Linotype"/>
          <w:color w:val="000000"/>
        </w:rPr>
        <w:t>, al seleccionar cada uno despliega una ventana con la descripción de la información y la opción denominada “encender capa”, tal como se muestra en las siguientes capturas de pantalla:</w:t>
      </w:r>
    </w:p>
    <w:p w:rsidR="00E01860" w:rsidRPr="00BA63CA" w:rsidRDefault="00E01860">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E01860" w:rsidRPr="00BA63CA" w:rsidRDefault="00AF1602">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Ventana al ingresar al link</w:t>
      </w:r>
    </w:p>
    <w:p w:rsidR="00E01860" w:rsidRPr="00BA63CA" w:rsidRDefault="00AF1602">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noProof/>
          <w:color w:val="000000"/>
          <w:lang w:val="es-MX" w:eastAsia="es-MX"/>
        </w:rPr>
        <w:drawing>
          <wp:inline distT="0" distB="0" distL="0" distR="0">
            <wp:extent cx="5612130" cy="2629535"/>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612130" cy="2629535"/>
                    </a:xfrm>
                    <a:prstGeom prst="rect">
                      <a:avLst/>
                    </a:prstGeom>
                    <a:ln/>
                  </pic:spPr>
                </pic:pic>
              </a:graphicData>
            </a:graphic>
          </wp:inline>
        </w:drawing>
      </w:r>
    </w:p>
    <w:p w:rsidR="00E01860" w:rsidRPr="00BA63CA" w:rsidRDefault="00E01860">
      <w:pPr>
        <w:pBdr>
          <w:top w:val="nil"/>
          <w:left w:val="nil"/>
          <w:bottom w:val="nil"/>
          <w:right w:val="nil"/>
          <w:between w:val="nil"/>
        </w:pBdr>
        <w:spacing w:line="360" w:lineRule="auto"/>
        <w:ind w:right="-787"/>
        <w:jc w:val="both"/>
        <w:rPr>
          <w:color w:val="000000"/>
        </w:rPr>
      </w:pPr>
    </w:p>
    <w:p w:rsidR="00E01860" w:rsidRPr="00BA63CA" w:rsidRDefault="00E01860">
      <w:pPr>
        <w:pBdr>
          <w:top w:val="nil"/>
          <w:left w:val="nil"/>
          <w:bottom w:val="nil"/>
          <w:right w:val="nil"/>
          <w:between w:val="nil"/>
        </w:pBdr>
        <w:spacing w:line="360" w:lineRule="auto"/>
        <w:ind w:right="-787"/>
        <w:jc w:val="both"/>
        <w:rPr>
          <w:color w:val="000000"/>
        </w:rPr>
      </w:pPr>
    </w:p>
    <w:p w:rsidR="00E01860" w:rsidRPr="00BA63CA" w:rsidRDefault="00E01860">
      <w:pPr>
        <w:pBdr>
          <w:top w:val="nil"/>
          <w:left w:val="nil"/>
          <w:bottom w:val="nil"/>
          <w:right w:val="nil"/>
          <w:between w:val="nil"/>
        </w:pBdr>
        <w:spacing w:line="360" w:lineRule="auto"/>
        <w:ind w:right="-787"/>
        <w:jc w:val="both"/>
        <w:rPr>
          <w:color w:val="000000"/>
        </w:rPr>
      </w:pPr>
    </w:p>
    <w:p w:rsidR="00D010C3" w:rsidRPr="00BA63CA" w:rsidRDefault="00D010C3">
      <w:pPr>
        <w:pBdr>
          <w:top w:val="nil"/>
          <w:left w:val="nil"/>
          <w:bottom w:val="nil"/>
          <w:right w:val="nil"/>
          <w:between w:val="nil"/>
        </w:pBdr>
        <w:spacing w:line="360" w:lineRule="auto"/>
        <w:ind w:right="-787"/>
        <w:jc w:val="both"/>
        <w:rPr>
          <w:color w:val="000000"/>
        </w:rPr>
      </w:pPr>
    </w:p>
    <w:p w:rsidR="00D010C3" w:rsidRPr="00BA63CA" w:rsidRDefault="00D010C3">
      <w:pPr>
        <w:pBdr>
          <w:top w:val="nil"/>
          <w:left w:val="nil"/>
          <w:bottom w:val="nil"/>
          <w:right w:val="nil"/>
          <w:between w:val="nil"/>
        </w:pBdr>
        <w:spacing w:line="360" w:lineRule="auto"/>
        <w:ind w:right="-787"/>
        <w:jc w:val="both"/>
        <w:rPr>
          <w:color w:val="000000"/>
        </w:rPr>
      </w:pPr>
    </w:p>
    <w:p w:rsidR="00E01860" w:rsidRPr="00BA63CA" w:rsidRDefault="00E01860">
      <w:pPr>
        <w:pBdr>
          <w:top w:val="nil"/>
          <w:left w:val="nil"/>
          <w:bottom w:val="nil"/>
          <w:right w:val="nil"/>
          <w:between w:val="nil"/>
        </w:pBdr>
        <w:spacing w:line="360" w:lineRule="auto"/>
        <w:ind w:right="-787"/>
        <w:jc w:val="both"/>
        <w:rPr>
          <w:color w:val="000000"/>
        </w:rPr>
      </w:pPr>
    </w:p>
    <w:p w:rsidR="00E01860" w:rsidRPr="00BA63CA" w:rsidRDefault="00E01860">
      <w:pPr>
        <w:pBdr>
          <w:top w:val="nil"/>
          <w:left w:val="nil"/>
          <w:bottom w:val="nil"/>
          <w:right w:val="nil"/>
          <w:between w:val="nil"/>
        </w:pBdr>
        <w:spacing w:line="360" w:lineRule="auto"/>
        <w:ind w:right="-787"/>
        <w:jc w:val="both"/>
        <w:rPr>
          <w:color w:val="000000"/>
        </w:rPr>
      </w:pPr>
    </w:p>
    <w:p w:rsidR="00E01860" w:rsidRPr="00BA63CA" w:rsidRDefault="00AF1602">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lastRenderedPageBreak/>
        <w:t>Visualización al seleccionar el botón de opciones y cada uno de los íconos:</w:t>
      </w:r>
    </w:p>
    <w:p w:rsidR="00E01860" w:rsidRPr="00BA63CA" w:rsidRDefault="00AF1602">
      <w:pPr>
        <w:pBdr>
          <w:top w:val="nil"/>
          <w:left w:val="nil"/>
          <w:bottom w:val="nil"/>
          <w:right w:val="nil"/>
          <w:between w:val="nil"/>
        </w:pBdr>
        <w:spacing w:line="360" w:lineRule="auto"/>
        <w:ind w:right="-787"/>
        <w:jc w:val="both"/>
        <w:rPr>
          <w:color w:val="000000"/>
        </w:rPr>
      </w:pPr>
      <w:r w:rsidRPr="00BA63CA">
        <w:rPr>
          <w:noProof/>
          <w:color w:val="000000"/>
          <w:lang w:val="es-MX" w:eastAsia="es-MX"/>
        </w:rPr>
        <w:drawing>
          <wp:inline distT="0" distB="0" distL="0" distR="0">
            <wp:extent cx="5612130" cy="2945765"/>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612130" cy="2945765"/>
                    </a:xfrm>
                    <a:prstGeom prst="rect">
                      <a:avLst/>
                    </a:prstGeom>
                    <a:ln/>
                  </pic:spPr>
                </pic:pic>
              </a:graphicData>
            </a:graphic>
          </wp:inline>
        </w:drawing>
      </w:r>
    </w:p>
    <w:p w:rsidR="00E01860" w:rsidRPr="00BA63CA" w:rsidRDefault="00AF1602">
      <w:pPr>
        <w:pBdr>
          <w:top w:val="nil"/>
          <w:left w:val="nil"/>
          <w:bottom w:val="nil"/>
          <w:right w:val="nil"/>
          <w:between w:val="nil"/>
        </w:pBdr>
        <w:spacing w:line="360" w:lineRule="auto"/>
        <w:ind w:right="-787"/>
        <w:jc w:val="both"/>
        <w:rPr>
          <w:color w:val="000000"/>
        </w:rPr>
      </w:pPr>
      <w:r w:rsidRPr="00BA63CA">
        <w:rPr>
          <w:noProof/>
          <w:color w:val="000000"/>
          <w:lang w:val="es-MX" w:eastAsia="es-MX"/>
        </w:rPr>
        <w:drawing>
          <wp:inline distT="0" distB="0" distL="0" distR="0">
            <wp:extent cx="5612130" cy="306324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612130" cy="3063240"/>
                    </a:xfrm>
                    <a:prstGeom prst="rect">
                      <a:avLst/>
                    </a:prstGeom>
                    <a:ln/>
                  </pic:spPr>
                </pic:pic>
              </a:graphicData>
            </a:graphic>
          </wp:inline>
        </w:drawing>
      </w:r>
    </w:p>
    <w:p w:rsidR="00E01860" w:rsidRPr="00BA63CA" w:rsidRDefault="00E01860">
      <w:pPr>
        <w:pBdr>
          <w:top w:val="nil"/>
          <w:left w:val="nil"/>
          <w:bottom w:val="nil"/>
          <w:right w:val="nil"/>
          <w:between w:val="nil"/>
        </w:pBdr>
        <w:spacing w:line="360" w:lineRule="auto"/>
        <w:ind w:right="-787"/>
        <w:jc w:val="both"/>
        <w:rPr>
          <w:color w:val="000000"/>
        </w:rPr>
      </w:pPr>
    </w:p>
    <w:p w:rsidR="00E01860" w:rsidRPr="00BA63CA" w:rsidRDefault="00AF1602">
      <w:pPr>
        <w:pBdr>
          <w:top w:val="nil"/>
          <w:left w:val="nil"/>
          <w:bottom w:val="nil"/>
          <w:right w:val="nil"/>
          <w:between w:val="nil"/>
        </w:pBdr>
        <w:spacing w:line="360" w:lineRule="auto"/>
        <w:ind w:right="-787"/>
        <w:jc w:val="both"/>
        <w:rPr>
          <w:color w:val="000000"/>
        </w:rPr>
      </w:pPr>
      <w:r w:rsidRPr="00BA63CA">
        <w:rPr>
          <w:noProof/>
          <w:color w:val="000000"/>
          <w:lang w:val="es-MX" w:eastAsia="es-MX"/>
        </w:rPr>
        <w:lastRenderedPageBreak/>
        <w:drawing>
          <wp:inline distT="0" distB="0" distL="0" distR="0">
            <wp:extent cx="5612130" cy="3298825"/>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612130" cy="3298825"/>
                    </a:xfrm>
                    <a:prstGeom prst="rect">
                      <a:avLst/>
                    </a:prstGeom>
                    <a:ln/>
                  </pic:spPr>
                </pic:pic>
              </a:graphicData>
            </a:graphic>
          </wp:inline>
        </w:drawing>
      </w:r>
    </w:p>
    <w:p w:rsidR="00E01860" w:rsidRPr="00BA63CA" w:rsidRDefault="00E01860">
      <w:pPr>
        <w:pBdr>
          <w:top w:val="nil"/>
          <w:left w:val="nil"/>
          <w:bottom w:val="nil"/>
          <w:right w:val="nil"/>
          <w:between w:val="nil"/>
        </w:pBdr>
        <w:spacing w:line="360" w:lineRule="auto"/>
        <w:ind w:right="-787"/>
        <w:jc w:val="both"/>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 xml:space="preserve">Como se aprecia, al seleccionar los íconos de </w:t>
      </w:r>
      <w:r w:rsidRPr="00BA63CA">
        <w:rPr>
          <w:rFonts w:ascii="Palatino Linotype" w:eastAsia="Palatino Linotype" w:hAnsi="Palatino Linotype" w:cs="Palatino Linotype"/>
        </w:rPr>
        <w:t>contenedores</w:t>
      </w:r>
      <w:r w:rsidRPr="00BA63CA">
        <w:rPr>
          <w:rFonts w:ascii="Palatino Linotype" w:eastAsia="Palatino Linotype" w:hAnsi="Palatino Linotype" w:cs="Palatino Linotype"/>
          <w:color w:val="000000"/>
        </w:rPr>
        <w:t xml:space="preserve"> fijos y puntos fijos se despliega la información general relativa a objetivo, recepción, horario y atención.</w:t>
      </w:r>
    </w:p>
    <w:p w:rsidR="00E01860" w:rsidRPr="00BA63CA" w:rsidRDefault="00E01860">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 xml:space="preserve">Al encender las capas </w:t>
      </w:r>
      <w:r w:rsidRPr="00BA63CA">
        <w:rPr>
          <w:rFonts w:ascii="Palatino Linotype" w:eastAsia="Palatino Linotype" w:hAnsi="Palatino Linotype" w:cs="Palatino Linotype"/>
        </w:rPr>
        <w:t>de</w:t>
      </w:r>
      <w:r w:rsidRPr="00BA63CA">
        <w:rPr>
          <w:rFonts w:ascii="Palatino Linotype" w:eastAsia="Palatino Linotype" w:hAnsi="Palatino Linotype" w:cs="Palatino Linotype"/>
          <w:color w:val="000000"/>
        </w:rPr>
        <w:t xml:space="preserve"> estos se visualiza la </w:t>
      </w:r>
      <w:r w:rsidRPr="00BA63CA">
        <w:rPr>
          <w:rFonts w:ascii="Palatino Linotype" w:eastAsia="Palatino Linotype" w:hAnsi="Palatino Linotype" w:cs="Palatino Linotype"/>
          <w:b/>
          <w:color w:val="000000"/>
        </w:rPr>
        <w:t>localización</w:t>
      </w:r>
      <w:r w:rsidRPr="00BA63CA">
        <w:rPr>
          <w:rFonts w:ascii="Palatino Linotype" w:eastAsia="Palatino Linotype" w:hAnsi="Palatino Linotype" w:cs="Palatino Linotype"/>
          <w:color w:val="000000"/>
        </w:rPr>
        <w:t>, y como se señaló en párrafos anteriores al acercar o alejar el mapa se puede apreciar con exactitud la ubicación de los contenedores fijos:</w:t>
      </w:r>
    </w:p>
    <w:p w:rsidR="00E01860" w:rsidRPr="00BA63CA" w:rsidRDefault="00AF1602">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noProof/>
          <w:color w:val="000000"/>
          <w:lang w:val="es-MX" w:eastAsia="es-MX"/>
        </w:rPr>
        <w:lastRenderedPageBreak/>
        <w:drawing>
          <wp:inline distT="0" distB="0" distL="0" distR="0">
            <wp:extent cx="5612130" cy="2922905"/>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612130" cy="2922905"/>
                    </a:xfrm>
                    <a:prstGeom prst="rect">
                      <a:avLst/>
                    </a:prstGeom>
                    <a:ln/>
                  </pic:spPr>
                </pic:pic>
              </a:graphicData>
            </a:graphic>
          </wp:inline>
        </w:drawing>
      </w:r>
    </w:p>
    <w:p w:rsidR="00E01860" w:rsidRPr="00BA63CA" w:rsidRDefault="00AF1602">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noProof/>
          <w:color w:val="000000"/>
          <w:lang w:val="es-MX" w:eastAsia="es-MX"/>
        </w:rPr>
        <w:drawing>
          <wp:inline distT="0" distB="0" distL="0" distR="0">
            <wp:extent cx="5612130" cy="3033395"/>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612130" cy="3033395"/>
                    </a:xfrm>
                    <a:prstGeom prst="rect">
                      <a:avLst/>
                    </a:prstGeom>
                    <a:ln/>
                  </pic:spPr>
                </pic:pic>
              </a:graphicData>
            </a:graphic>
          </wp:inline>
        </w:drawing>
      </w:r>
    </w:p>
    <w:p w:rsidR="00E01860" w:rsidRPr="00BA63CA" w:rsidRDefault="00E01860">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D010C3" w:rsidRPr="00BA63CA" w:rsidRDefault="00D010C3">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D010C3" w:rsidRPr="00BA63CA" w:rsidRDefault="00D010C3">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lastRenderedPageBreak/>
        <w:t xml:space="preserve">Ahora bien, para visualizar </w:t>
      </w:r>
      <w:r w:rsidRPr="00BA63CA">
        <w:rPr>
          <w:rFonts w:ascii="Palatino Linotype" w:eastAsia="Palatino Linotype" w:hAnsi="Palatino Linotype" w:cs="Palatino Linotype"/>
          <w:b/>
          <w:color w:val="000000"/>
        </w:rPr>
        <w:t>de los camiones recolectores de basura la ruta, frecuencia y horario,</w:t>
      </w:r>
      <w:r w:rsidRPr="00BA63CA">
        <w:rPr>
          <w:rFonts w:ascii="Palatino Linotype" w:eastAsia="Palatino Linotype" w:hAnsi="Palatino Linotype" w:cs="Palatino Linotype"/>
          <w:color w:val="000000"/>
        </w:rPr>
        <w:t xml:space="preserve"> al dar clic en el recuadro ubicado al </w:t>
      </w:r>
      <w:r w:rsidRPr="00BA63CA">
        <w:rPr>
          <w:rFonts w:ascii="Palatino Linotype" w:eastAsia="Palatino Linotype" w:hAnsi="Palatino Linotype" w:cs="Palatino Linotype"/>
        </w:rPr>
        <w:t>centro</w:t>
      </w:r>
      <w:r w:rsidRPr="00BA63CA">
        <w:rPr>
          <w:rFonts w:ascii="Palatino Linotype" w:eastAsia="Palatino Linotype" w:hAnsi="Palatino Linotype" w:cs="Palatino Linotype"/>
          <w:color w:val="000000"/>
        </w:rPr>
        <w:t xml:space="preserve"> de la parte superior del mapa, denominado “buscar ruta”, despliega las opciones de diversas localidades de las que se desea obtener la información:</w:t>
      </w:r>
    </w:p>
    <w:p w:rsidR="00E01860" w:rsidRPr="00BA63CA" w:rsidRDefault="00E01860">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E01860" w:rsidRPr="00BA63CA" w:rsidRDefault="00AF1602">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noProof/>
          <w:color w:val="000000"/>
          <w:lang w:val="es-MX" w:eastAsia="es-MX"/>
        </w:rPr>
        <w:drawing>
          <wp:inline distT="0" distB="0" distL="0" distR="0">
            <wp:extent cx="5612130" cy="2675255"/>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612130" cy="2675255"/>
                    </a:xfrm>
                    <a:prstGeom prst="rect">
                      <a:avLst/>
                    </a:prstGeom>
                    <a:ln/>
                  </pic:spPr>
                </pic:pic>
              </a:graphicData>
            </a:graphic>
          </wp:inline>
        </w:drawing>
      </w:r>
    </w:p>
    <w:p w:rsidR="00E01860" w:rsidRPr="00BA63CA" w:rsidRDefault="00E01860">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D010C3" w:rsidRPr="00BA63CA" w:rsidRDefault="00D010C3">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D010C3" w:rsidRPr="00BA63CA" w:rsidRDefault="00D010C3">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D010C3" w:rsidRPr="00BA63CA" w:rsidRDefault="00D010C3">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D010C3" w:rsidRPr="00BA63CA" w:rsidRDefault="00D010C3">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D010C3" w:rsidRPr="00BA63CA" w:rsidRDefault="00D010C3">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D010C3" w:rsidRPr="00BA63CA" w:rsidRDefault="00D010C3">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D010C3" w:rsidRPr="00BA63CA" w:rsidRDefault="00D010C3">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D010C3" w:rsidRPr="00BA63CA" w:rsidRDefault="00D010C3">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D010C3" w:rsidRPr="00BA63CA" w:rsidRDefault="00D010C3">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lastRenderedPageBreak/>
        <w:t>Al seleccionar alguna localidad se muestra en el mapa la ruta de recolección, mostrando el inicio de la ruta, los puntos de recolección hasta el fin de la misma, del lado izquierdo se visualiza la información de ruta, número económico del camión, km de recorrido, número de paradas, horario de inicio y fin de la ruta y los días de recolección:</w:t>
      </w:r>
    </w:p>
    <w:p w:rsidR="00D010C3" w:rsidRPr="00BA63CA" w:rsidRDefault="00D010C3" w:rsidP="00D010C3">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E01860" w:rsidRPr="00BA63CA" w:rsidRDefault="00AF1602">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noProof/>
          <w:color w:val="000000"/>
          <w:lang w:val="es-MX" w:eastAsia="es-MX"/>
        </w:rPr>
        <w:drawing>
          <wp:inline distT="0" distB="0" distL="0" distR="0">
            <wp:extent cx="5612130" cy="308229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612130" cy="3082290"/>
                    </a:xfrm>
                    <a:prstGeom prst="rect">
                      <a:avLst/>
                    </a:prstGeom>
                    <a:ln/>
                  </pic:spPr>
                </pic:pic>
              </a:graphicData>
            </a:graphic>
          </wp:inline>
        </w:drawing>
      </w:r>
    </w:p>
    <w:p w:rsidR="00E01860" w:rsidRPr="00BA63CA" w:rsidRDefault="00E01860">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D010C3" w:rsidRPr="00BA63CA" w:rsidRDefault="00D010C3">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Por último, al dar clic en el ícono de información abre una nueva ventana que contiene el “</w:t>
      </w:r>
      <w:r w:rsidRPr="00BA63CA">
        <w:rPr>
          <w:rFonts w:ascii="Palatino Linotype" w:eastAsia="Palatino Linotype" w:hAnsi="Palatino Linotype" w:cs="Palatino Linotype"/>
          <w:i/>
          <w:color w:val="000000"/>
        </w:rPr>
        <w:t xml:space="preserve">Manual para uso de la página web de las rutas de recolección de Toluca” </w:t>
      </w:r>
      <w:r w:rsidRPr="00BA63CA">
        <w:rPr>
          <w:rFonts w:ascii="Palatino Linotype" w:eastAsia="Palatino Linotype" w:hAnsi="Palatino Linotype" w:cs="Palatino Linotype"/>
          <w:color w:val="000000"/>
        </w:rPr>
        <w:t>mismo que describe paso a paso la forma de obtener la información de las rutas de recolección.</w:t>
      </w:r>
    </w:p>
    <w:p w:rsidR="00E01860" w:rsidRPr="00BA63CA" w:rsidRDefault="00E01860">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En ese mismo sentido es de recordar que el Sujeto Obligado en Informe Justificado adjuntó 54 mapas en los que se pueden visualizar rutas de recolección, el nombre de la delegación y la localidad.</w:t>
      </w: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color w:val="000000"/>
        </w:rPr>
        <w:lastRenderedPageBreak/>
        <w:t xml:space="preserve"> </w:t>
      </w:r>
      <w:r w:rsidRPr="00BA63CA">
        <w:rPr>
          <w:rFonts w:ascii="Palatino Linotype" w:eastAsia="Palatino Linotype" w:hAnsi="Palatino Linotype" w:cs="Palatino Linotype"/>
          <w:color w:val="000000"/>
        </w:rPr>
        <w:t xml:space="preserve">De lo anteriormente expuesto este Instituto determina </w:t>
      </w:r>
      <w:r w:rsidRPr="00BA63CA">
        <w:rPr>
          <w:rFonts w:ascii="Palatino Linotype" w:eastAsia="Palatino Linotype" w:hAnsi="Palatino Linotype" w:cs="Palatino Linotype"/>
        </w:rPr>
        <w:t>que se</w:t>
      </w:r>
      <w:r w:rsidRPr="00BA63CA">
        <w:rPr>
          <w:rFonts w:ascii="Palatino Linotype" w:eastAsia="Palatino Linotype" w:hAnsi="Palatino Linotype" w:cs="Palatino Linotype"/>
          <w:b/>
          <w:color w:val="000000"/>
        </w:rPr>
        <w:t xml:space="preserve"> ha satisfecho el derecho de acceso a la información del recurrente, al entregar la información relativa a las rutas, frecuencia y horarios de los camiones recolectores de basura y la localización de los contenedores de basura y/o puntos fijos de recolección.</w:t>
      </w:r>
    </w:p>
    <w:p w:rsidR="00E01860" w:rsidRPr="00BA63CA" w:rsidRDefault="00E01860">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color w:val="000000"/>
        </w:rPr>
      </w:pPr>
      <w:r w:rsidRPr="00BA63CA">
        <w:rPr>
          <w:rFonts w:ascii="Palatino Linotype" w:eastAsia="Palatino Linotype" w:hAnsi="Palatino Linotype" w:cs="Palatino Linotype"/>
          <w:color w:val="000000"/>
        </w:rPr>
        <w:t xml:space="preserve">Cabe precisar que el Sujeto Obligado no se encuentra forzado normativamente a procesar la información; ello, conforme al artículo 12 de la Ley de Transparencia y Acceso a la Información Pública del Estado de México y Municipios, que prevé que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w:t>
      </w:r>
      <w:r w:rsidRPr="00BA63CA">
        <w:rPr>
          <w:rFonts w:ascii="Palatino Linotype" w:eastAsia="Palatino Linotype" w:hAnsi="Palatino Linotype" w:cs="Palatino Linotype"/>
        </w:rPr>
        <w:t>resumir</w:t>
      </w:r>
      <w:r w:rsidRPr="00BA63CA">
        <w:rPr>
          <w:rFonts w:ascii="Palatino Linotype" w:eastAsia="Palatino Linotype" w:hAnsi="Palatino Linotype" w:cs="Palatino Linotype"/>
          <w:color w:val="000000"/>
        </w:rPr>
        <w:t>, efectuar cálculos o practicar investigaciones.</w:t>
      </w:r>
    </w:p>
    <w:p w:rsidR="00E01860" w:rsidRPr="00BA63CA" w:rsidRDefault="00E01860">
      <w:pPr>
        <w:tabs>
          <w:tab w:val="left" w:pos="4962"/>
        </w:tabs>
        <w:spacing w:line="360" w:lineRule="auto"/>
        <w:ind w:right="-787"/>
        <w:jc w:val="both"/>
        <w:rPr>
          <w:rFonts w:ascii="Palatino Linotype" w:eastAsia="Palatino Linotype" w:hAnsi="Palatino Linotype" w:cs="Palatino Linotype"/>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color w:val="000000"/>
        </w:rPr>
      </w:pPr>
      <w:r w:rsidRPr="00BA63CA">
        <w:rPr>
          <w:rFonts w:ascii="Palatino Linotype" w:eastAsia="Palatino Linotype" w:hAnsi="Palatino Linotype" w:cs="Palatino Linotype"/>
          <w:color w:val="000000"/>
        </w:rPr>
        <w:t xml:space="preserve">De esta manera, el derecho de acceso a la información pública se satisface en aquellos casos en que se entregue el soporte documental en el que conste la información solicitada, sin necesidad de elaborar documentos </w:t>
      </w:r>
      <w:r w:rsidRPr="00BA63CA">
        <w:rPr>
          <w:rFonts w:ascii="Palatino Linotype" w:eastAsia="Palatino Linotype" w:hAnsi="Palatino Linotype" w:cs="Palatino Linotype"/>
          <w:i/>
          <w:color w:val="000000"/>
        </w:rPr>
        <w:t>ad hoc</w:t>
      </w:r>
      <w:r w:rsidRPr="00BA63CA">
        <w:rPr>
          <w:rFonts w:ascii="Palatino Linotype" w:eastAsia="Palatino Linotype" w:hAnsi="Palatino Linotype" w:cs="Palatino Linotype"/>
          <w:color w:val="000000"/>
        </w:rPr>
        <w:t>; lo cual, toma sustento en el artículo 160 de la Ley de Transparencia y Acceso a la Información Pública del Estado de México y Municipios, el cual refiere que los sujetos obligados deberán entregar la información que obre en sus archivos. Además, resulta aplicable el Criterio 03/17 del Instituto Nacional de Transparencia, Acceso a la Información y Protección de Datos Personales que a continuación se cita:</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sidRPr="00BA63CA">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w:t>
      </w:r>
      <w:r w:rsidRPr="00BA63CA">
        <w:rPr>
          <w:rFonts w:ascii="Palatino Linotype" w:eastAsia="Palatino Linotype" w:hAnsi="Palatino Linotype" w:cs="Palatino Linotype"/>
          <w:i/>
          <w:sz w:val="22"/>
          <w:szCs w:val="22"/>
        </w:rPr>
        <w:lastRenderedPageBreak/>
        <w:t>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01860" w:rsidRPr="00BA63CA" w:rsidRDefault="00E01860">
      <w:pPr>
        <w:spacing w:line="360" w:lineRule="auto"/>
        <w:ind w:right="-787"/>
        <w:jc w:val="both"/>
        <w:rPr>
          <w:rFonts w:ascii="Palatino Linotype" w:eastAsia="Palatino Linotype" w:hAnsi="Palatino Linotype" w:cs="Palatino Linotype"/>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 xml:space="preserve">También lo es que no existe normatividad o precepto legal </w:t>
      </w:r>
      <w:r w:rsidRPr="00BA63CA">
        <w:rPr>
          <w:rFonts w:ascii="Palatino Linotype" w:eastAsia="Palatino Linotype" w:hAnsi="Palatino Linotype" w:cs="Palatino Linotype"/>
          <w:b/>
          <w:color w:val="000000"/>
        </w:rPr>
        <w:t>que lo impida</w:t>
      </w:r>
      <w:r w:rsidRPr="00BA63CA">
        <w:rPr>
          <w:rFonts w:ascii="Palatino Linotype" w:eastAsia="Palatino Linotype" w:hAnsi="Palatino Linotype" w:cs="Palatino Linotype"/>
          <w:color w:val="000000"/>
        </w:rPr>
        <w:t xml:space="preserve">, de modo tal que un pronunciamiento que de atención a lo requerido eventualmente puede colmar el cumplimiento de la presente resolución, lo cual no implica que el </w:t>
      </w:r>
      <w:r w:rsidRPr="00BA63CA">
        <w:rPr>
          <w:rFonts w:ascii="Palatino Linotype" w:eastAsia="Palatino Linotype" w:hAnsi="Palatino Linotype" w:cs="Palatino Linotype"/>
          <w:b/>
          <w:color w:val="000000"/>
        </w:rPr>
        <w:t>SUJETO OBLIGADO</w:t>
      </w:r>
      <w:r w:rsidRPr="00BA63CA">
        <w:rPr>
          <w:rFonts w:ascii="Palatino Linotype" w:eastAsia="Palatino Linotype" w:hAnsi="Palatino Linotype" w:cs="Palatino Linotype"/>
          <w:color w:val="000000"/>
        </w:rPr>
        <w:t xml:space="preserve"> procese la información.</w:t>
      </w:r>
    </w:p>
    <w:p w:rsidR="00E01860" w:rsidRPr="00BA63CA" w:rsidRDefault="00E01860">
      <w:pPr>
        <w:pBdr>
          <w:top w:val="nil"/>
          <w:left w:val="nil"/>
          <w:bottom w:val="nil"/>
          <w:right w:val="nil"/>
          <w:between w:val="nil"/>
        </w:pBdr>
        <w:spacing w:line="360" w:lineRule="auto"/>
        <w:ind w:right="-787"/>
        <w:jc w:val="both"/>
        <w:rPr>
          <w:rFonts w:ascii="Palatino Linotype" w:eastAsia="Palatino Linotype" w:hAnsi="Palatino Linotype" w:cs="Palatino Linotype"/>
          <w:i/>
          <w:color w:val="000000"/>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Así las cosas, 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E01860" w:rsidRPr="00BA63CA" w:rsidRDefault="00E01860">
      <w:pPr>
        <w:pBdr>
          <w:top w:val="nil"/>
          <w:left w:val="nil"/>
          <w:bottom w:val="nil"/>
          <w:right w:val="nil"/>
          <w:between w:val="nil"/>
        </w:pBdr>
        <w:spacing w:line="360" w:lineRule="auto"/>
        <w:ind w:left="502" w:right="-787"/>
        <w:jc w:val="both"/>
        <w:rPr>
          <w:rFonts w:ascii="Palatino Linotype" w:eastAsia="Palatino Linotype" w:hAnsi="Palatino Linotype" w:cs="Palatino Linotype"/>
          <w:i/>
          <w:color w:val="000000"/>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w:t>
      </w:r>
      <w:r w:rsidRPr="00BA63CA">
        <w:rPr>
          <w:rFonts w:ascii="Palatino Linotype" w:eastAsia="Palatino Linotype" w:hAnsi="Palatino Linotype" w:cs="Palatino Linotype"/>
        </w:rPr>
        <w:t>resumir</w:t>
      </w:r>
      <w:r w:rsidRPr="00BA63CA">
        <w:rPr>
          <w:rFonts w:ascii="Palatino Linotype" w:eastAsia="Palatino Linotype" w:hAnsi="Palatino Linotype" w:cs="Palatino Linotype"/>
          <w:color w:val="000000"/>
        </w:rPr>
        <w:t xml:space="preserve">, efectuar cálculos o practicar investigaciones; tal y como se señala a continuación: </w:t>
      </w:r>
    </w:p>
    <w:p w:rsidR="00E01860" w:rsidRPr="00BA63CA" w:rsidRDefault="00AF1602">
      <w:pPr>
        <w:pBdr>
          <w:top w:val="nil"/>
          <w:left w:val="nil"/>
          <w:bottom w:val="nil"/>
          <w:right w:val="nil"/>
          <w:between w:val="nil"/>
        </w:pBdr>
        <w:ind w:left="850" w:right="-220"/>
        <w:jc w:val="both"/>
        <w:rPr>
          <w:rFonts w:ascii="Palatino Linotype" w:eastAsia="Palatino Linotype" w:hAnsi="Palatino Linotype" w:cs="Palatino Linotype"/>
          <w:i/>
          <w:color w:val="000000"/>
          <w:sz w:val="22"/>
          <w:szCs w:val="22"/>
        </w:rPr>
      </w:pPr>
      <w:r w:rsidRPr="00BA63CA">
        <w:rPr>
          <w:rFonts w:ascii="Palatino Linotype" w:eastAsia="Palatino Linotype" w:hAnsi="Palatino Linotype" w:cs="Palatino Linotype"/>
          <w:i/>
          <w:color w:val="000000"/>
          <w:sz w:val="22"/>
          <w:szCs w:val="22"/>
        </w:rPr>
        <w:t>“</w:t>
      </w:r>
      <w:r w:rsidRPr="00BA63CA">
        <w:rPr>
          <w:rFonts w:ascii="Palatino Linotype" w:eastAsia="Palatino Linotype" w:hAnsi="Palatino Linotype" w:cs="Palatino Linotype"/>
          <w:b/>
          <w:i/>
          <w:color w:val="000000"/>
          <w:sz w:val="22"/>
          <w:szCs w:val="22"/>
        </w:rPr>
        <w:t>Artículo 12.</w:t>
      </w:r>
      <w:r w:rsidRPr="00BA63CA">
        <w:rPr>
          <w:rFonts w:ascii="Palatino Linotype" w:eastAsia="Palatino Linotype" w:hAnsi="Palatino Linotype" w:cs="Palatino Linotype"/>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E01860" w:rsidRPr="00BA63CA" w:rsidRDefault="00E01860">
      <w:pPr>
        <w:pBdr>
          <w:top w:val="nil"/>
          <w:left w:val="nil"/>
          <w:bottom w:val="nil"/>
          <w:right w:val="nil"/>
          <w:between w:val="nil"/>
        </w:pBdr>
        <w:ind w:left="850" w:right="-220"/>
        <w:jc w:val="both"/>
        <w:rPr>
          <w:rFonts w:ascii="Palatino Linotype" w:eastAsia="Palatino Linotype" w:hAnsi="Palatino Linotype" w:cs="Palatino Linotype"/>
          <w:i/>
          <w:color w:val="000000"/>
          <w:sz w:val="22"/>
          <w:szCs w:val="22"/>
        </w:rPr>
      </w:pPr>
    </w:p>
    <w:p w:rsidR="00E01860" w:rsidRPr="00BA63CA" w:rsidRDefault="00E01860">
      <w:pPr>
        <w:pBdr>
          <w:top w:val="nil"/>
          <w:left w:val="nil"/>
          <w:bottom w:val="nil"/>
          <w:right w:val="nil"/>
          <w:between w:val="nil"/>
        </w:pBdr>
        <w:ind w:left="850" w:right="-220"/>
        <w:jc w:val="both"/>
        <w:rPr>
          <w:rFonts w:ascii="Palatino Linotype" w:eastAsia="Palatino Linotype" w:hAnsi="Palatino Linotype" w:cs="Palatino Linotype"/>
          <w:b/>
          <w:i/>
          <w:color w:val="000000"/>
          <w:sz w:val="22"/>
          <w:szCs w:val="22"/>
          <w:u w:val="single"/>
        </w:rPr>
      </w:pPr>
    </w:p>
    <w:p w:rsidR="00E01860" w:rsidRPr="00BA63CA" w:rsidRDefault="00AF1602">
      <w:pPr>
        <w:pBdr>
          <w:top w:val="nil"/>
          <w:left w:val="nil"/>
          <w:bottom w:val="nil"/>
          <w:right w:val="nil"/>
          <w:between w:val="nil"/>
        </w:pBdr>
        <w:ind w:left="850" w:right="-220"/>
        <w:jc w:val="both"/>
        <w:rPr>
          <w:rFonts w:ascii="Palatino Linotype" w:eastAsia="Palatino Linotype" w:hAnsi="Palatino Linotype" w:cs="Palatino Linotype"/>
          <w:i/>
          <w:color w:val="000000"/>
          <w:sz w:val="22"/>
          <w:szCs w:val="22"/>
        </w:rPr>
      </w:pPr>
      <w:r w:rsidRPr="00BA63CA">
        <w:rPr>
          <w:rFonts w:ascii="Palatino Linotype" w:eastAsia="Palatino Linotype" w:hAnsi="Palatino Linotype" w:cs="Palatino Linotype"/>
          <w:b/>
          <w:i/>
          <w:color w:val="000000"/>
          <w:sz w:val="22"/>
          <w:szCs w:val="22"/>
          <w:u w:val="single"/>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BA63CA">
        <w:rPr>
          <w:rFonts w:ascii="Palatino Linotype" w:eastAsia="Palatino Linotype" w:hAnsi="Palatino Linotype" w:cs="Palatino Linotype"/>
          <w:b/>
          <w:i/>
          <w:color w:val="000000"/>
          <w:sz w:val="22"/>
          <w:szCs w:val="22"/>
          <w:u w:val="single"/>
        </w:rPr>
        <w:lastRenderedPageBreak/>
        <w:t>presentarla conforme al interés del solicitante; no estarán obligados a generarla, resumirla, efectuar cálculos o practicar investigaciones.</w:t>
      </w:r>
      <w:r w:rsidRPr="00BA63CA">
        <w:rPr>
          <w:rFonts w:ascii="Palatino Linotype" w:eastAsia="Palatino Linotype" w:hAnsi="Palatino Linotype" w:cs="Palatino Linotype"/>
          <w:i/>
          <w:color w:val="000000"/>
          <w:sz w:val="22"/>
          <w:szCs w:val="22"/>
        </w:rPr>
        <w:t>”</w:t>
      </w:r>
    </w:p>
    <w:p w:rsidR="00E01860" w:rsidRPr="00BA63CA" w:rsidRDefault="00AF1602">
      <w:pPr>
        <w:pBdr>
          <w:top w:val="nil"/>
          <w:left w:val="nil"/>
          <w:bottom w:val="nil"/>
          <w:right w:val="nil"/>
          <w:between w:val="nil"/>
        </w:pBdr>
        <w:ind w:left="850" w:right="-220"/>
        <w:jc w:val="both"/>
        <w:rPr>
          <w:rFonts w:ascii="Palatino Linotype" w:eastAsia="Palatino Linotype" w:hAnsi="Palatino Linotype" w:cs="Palatino Linotype"/>
          <w:color w:val="000000"/>
          <w:sz w:val="22"/>
          <w:szCs w:val="22"/>
        </w:rPr>
      </w:pPr>
      <w:r w:rsidRPr="00BA63CA">
        <w:rPr>
          <w:rFonts w:ascii="Palatino Linotype" w:eastAsia="Palatino Linotype" w:hAnsi="Palatino Linotype" w:cs="Palatino Linotype"/>
          <w:color w:val="000000"/>
          <w:sz w:val="22"/>
          <w:szCs w:val="22"/>
        </w:rPr>
        <w:t>(Énfasis añadido)</w:t>
      </w:r>
    </w:p>
    <w:p w:rsidR="00E01860" w:rsidRPr="00BA63CA" w:rsidRDefault="00E01860">
      <w:pPr>
        <w:pBdr>
          <w:top w:val="nil"/>
          <w:left w:val="nil"/>
          <w:bottom w:val="nil"/>
          <w:right w:val="nil"/>
          <w:between w:val="nil"/>
        </w:pBdr>
        <w:spacing w:line="360" w:lineRule="auto"/>
        <w:ind w:left="850" w:right="-220"/>
        <w:jc w:val="both"/>
        <w:rPr>
          <w:rFonts w:ascii="Palatino Linotype" w:eastAsia="Palatino Linotype" w:hAnsi="Palatino Linotype" w:cs="Palatino Linotype"/>
          <w:color w:val="000000"/>
          <w:sz w:val="22"/>
          <w:szCs w:val="22"/>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E01860" w:rsidRPr="00BA63CA" w:rsidRDefault="00E01860">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E01860" w:rsidRPr="00BA63CA" w:rsidRDefault="00AF1602">
      <w:pPr>
        <w:ind w:left="708" w:right="-220"/>
        <w:jc w:val="both"/>
        <w:rPr>
          <w:rFonts w:ascii="Palatino Linotype" w:eastAsia="Palatino Linotype" w:hAnsi="Palatino Linotype" w:cs="Palatino Linotype"/>
          <w:i/>
          <w:color w:val="000000"/>
          <w:sz w:val="22"/>
          <w:szCs w:val="22"/>
        </w:rPr>
      </w:pPr>
      <w:r w:rsidRPr="00BA63CA">
        <w:rPr>
          <w:rFonts w:ascii="Palatino Linotype" w:eastAsia="Palatino Linotype" w:hAnsi="Palatino Linotype" w:cs="Palatino Linotype"/>
          <w:i/>
          <w:color w:val="000000"/>
          <w:sz w:val="22"/>
          <w:szCs w:val="22"/>
        </w:rPr>
        <w:t>“</w:t>
      </w:r>
      <w:r w:rsidRPr="00BA63CA">
        <w:rPr>
          <w:rFonts w:ascii="Palatino Linotype" w:eastAsia="Palatino Linotype" w:hAnsi="Palatino Linotype" w:cs="Palatino Linotype"/>
          <w:b/>
          <w:i/>
          <w:color w:val="000000"/>
          <w:sz w:val="22"/>
          <w:szCs w:val="22"/>
        </w:rPr>
        <w:t xml:space="preserve">Artículo 3. </w:t>
      </w:r>
      <w:r w:rsidRPr="00BA63CA">
        <w:rPr>
          <w:rFonts w:ascii="Palatino Linotype" w:eastAsia="Palatino Linotype" w:hAnsi="Palatino Linotype" w:cs="Palatino Linotype"/>
          <w:i/>
          <w:color w:val="000000"/>
          <w:sz w:val="22"/>
          <w:szCs w:val="22"/>
        </w:rPr>
        <w:t>Para los efectos de la presente Ley se entenderá por:</w:t>
      </w:r>
    </w:p>
    <w:p w:rsidR="00E01860" w:rsidRPr="00BA63CA" w:rsidRDefault="00AF1602">
      <w:pPr>
        <w:ind w:left="708" w:right="-220"/>
        <w:jc w:val="both"/>
        <w:rPr>
          <w:rFonts w:ascii="Palatino Linotype" w:eastAsia="Palatino Linotype" w:hAnsi="Palatino Linotype" w:cs="Palatino Linotype"/>
          <w:i/>
          <w:color w:val="000000"/>
          <w:sz w:val="22"/>
          <w:szCs w:val="22"/>
        </w:rPr>
      </w:pPr>
      <w:r w:rsidRPr="00BA63CA">
        <w:rPr>
          <w:rFonts w:ascii="Palatino Linotype" w:eastAsia="Palatino Linotype" w:hAnsi="Palatino Linotype" w:cs="Palatino Linotype"/>
          <w:i/>
          <w:color w:val="000000"/>
          <w:sz w:val="22"/>
          <w:szCs w:val="22"/>
        </w:rPr>
        <w:t>(…)</w:t>
      </w:r>
    </w:p>
    <w:p w:rsidR="00E01860" w:rsidRPr="00BA63CA" w:rsidRDefault="00AF1602">
      <w:pPr>
        <w:ind w:left="708" w:right="-220"/>
        <w:jc w:val="both"/>
        <w:rPr>
          <w:rFonts w:ascii="Palatino Linotype" w:eastAsia="Palatino Linotype" w:hAnsi="Palatino Linotype" w:cs="Palatino Linotype"/>
          <w:i/>
          <w:color w:val="000000"/>
          <w:sz w:val="22"/>
          <w:szCs w:val="22"/>
        </w:rPr>
      </w:pPr>
      <w:r w:rsidRPr="00BA63CA">
        <w:rPr>
          <w:rFonts w:ascii="Palatino Linotype" w:eastAsia="Palatino Linotype" w:hAnsi="Palatino Linotype" w:cs="Palatino Linotype"/>
          <w:b/>
          <w:i/>
          <w:color w:val="000000"/>
          <w:sz w:val="22"/>
          <w:szCs w:val="22"/>
        </w:rPr>
        <w:t>XI. Documento:</w:t>
      </w:r>
      <w:r w:rsidRPr="00BA63CA">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w:t>
      </w:r>
      <w:r w:rsidRPr="00BA63CA">
        <w:rPr>
          <w:rFonts w:ascii="Palatino Linotype" w:eastAsia="Palatino Linotype" w:hAnsi="Palatino Linotype" w:cs="Palatino Linotype"/>
          <w:i/>
          <w:color w:val="000000"/>
          <w:sz w:val="22"/>
          <w:szCs w:val="22"/>
        </w:rPr>
        <w:lastRenderedPageBreak/>
        <w:t>integrantes, sin importar su fuente o fecha de elaboración. Los documentos podrán estar en cualquier medio, sea escrito, impreso, sonoro, visual, electrónico, informático u holográfico;</w:t>
      </w:r>
    </w:p>
    <w:p w:rsidR="00E01860" w:rsidRPr="00BA63CA" w:rsidRDefault="00AF1602">
      <w:pPr>
        <w:spacing w:line="360" w:lineRule="auto"/>
        <w:ind w:left="708" w:right="-220"/>
        <w:jc w:val="both"/>
        <w:rPr>
          <w:rFonts w:ascii="Palatino Linotype" w:eastAsia="Palatino Linotype" w:hAnsi="Palatino Linotype" w:cs="Palatino Linotype"/>
          <w:i/>
          <w:color w:val="000000"/>
          <w:sz w:val="22"/>
          <w:szCs w:val="22"/>
        </w:rPr>
      </w:pPr>
      <w:r w:rsidRPr="00BA63CA">
        <w:rPr>
          <w:rFonts w:ascii="Palatino Linotype" w:eastAsia="Palatino Linotype" w:hAnsi="Palatino Linotype" w:cs="Palatino Linotype"/>
          <w:i/>
          <w:color w:val="000000"/>
          <w:sz w:val="22"/>
          <w:szCs w:val="22"/>
        </w:rPr>
        <w:t>(…)”</w:t>
      </w:r>
    </w:p>
    <w:p w:rsidR="00E01860" w:rsidRPr="00BA63CA" w:rsidRDefault="00E01860">
      <w:pPr>
        <w:spacing w:line="360" w:lineRule="auto"/>
        <w:ind w:left="708" w:right="-220"/>
        <w:jc w:val="both"/>
        <w:rPr>
          <w:rFonts w:ascii="Palatino Linotype" w:eastAsia="Palatino Linotype" w:hAnsi="Palatino Linotype" w:cs="Palatino Linotype"/>
          <w:sz w:val="22"/>
          <w:szCs w:val="22"/>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E01860" w:rsidRPr="00BA63CA" w:rsidRDefault="00AF1602">
      <w:pPr>
        <w:ind w:left="566" w:right="-220"/>
        <w:jc w:val="both"/>
        <w:rPr>
          <w:rFonts w:ascii="Palatino Linotype" w:eastAsia="Palatino Linotype" w:hAnsi="Palatino Linotype" w:cs="Palatino Linotype"/>
          <w:b/>
          <w:i/>
          <w:sz w:val="22"/>
          <w:szCs w:val="22"/>
        </w:rPr>
      </w:pPr>
      <w:r w:rsidRPr="00BA63CA">
        <w:rPr>
          <w:rFonts w:ascii="Palatino Linotype" w:eastAsia="Palatino Linotype" w:hAnsi="Palatino Linotype" w:cs="Palatino Linotype"/>
          <w:b/>
          <w:sz w:val="22"/>
          <w:szCs w:val="22"/>
        </w:rPr>
        <w:t>“</w:t>
      </w:r>
      <w:r w:rsidRPr="00BA63CA">
        <w:rPr>
          <w:rFonts w:ascii="Palatino Linotype" w:eastAsia="Palatino Linotype" w:hAnsi="Palatino Linotype" w:cs="Palatino Linotype"/>
          <w:b/>
          <w:i/>
          <w:sz w:val="22"/>
          <w:szCs w:val="22"/>
        </w:rPr>
        <w:t>CRITERIO 0002-11</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A63C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En consecuencia el acceso a la información se refiere a que se cumplan cualquiera de los siguientes tres supuestos:</w:t>
      </w:r>
    </w:p>
    <w:p w:rsidR="00E01860" w:rsidRPr="00BA63CA" w:rsidRDefault="00AF1602">
      <w:pPr>
        <w:ind w:left="566" w:right="-220"/>
        <w:jc w:val="both"/>
        <w:rPr>
          <w:rFonts w:ascii="Palatino Linotype" w:eastAsia="Palatino Linotype" w:hAnsi="Palatino Linotype" w:cs="Palatino Linotype"/>
          <w:b/>
          <w:i/>
          <w:sz w:val="22"/>
          <w:szCs w:val="22"/>
        </w:rPr>
      </w:pPr>
      <w:r w:rsidRPr="00BA63CA">
        <w:rPr>
          <w:rFonts w:ascii="Palatino Linotype" w:eastAsia="Palatino Linotype" w:hAnsi="Palatino Linotype" w:cs="Palatino Linotype"/>
          <w:b/>
          <w:i/>
          <w:sz w:val="22"/>
          <w:szCs w:val="22"/>
        </w:rPr>
        <w:t xml:space="preserve">1) </w:t>
      </w:r>
      <w:r w:rsidRPr="00BA63CA">
        <w:rPr>
          <w:rFonts w:ascii="Palatino Linotype" w:eastAsia="Palatino Linotype" w:hAnsi="Palatino Linotype" w:cs="Palatino Linotype"/>
          <w:b/>
          <w:i/>
          <w:sz w:val="22"/>
          <w:szCs w:val="22"/>
          <w:u w:val="single"/>
        </w:rPr>
        <w:t>Que se trate de información registrada en cualquier soporte documental, que en ejercicio de las atribuciones conferidas, sea generada por los Sujetos Obligados;</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rsidR="00E01860" w:rsidRPr="00BA63CA" w:rsidRDefault="00AF1602">
      <w:pPr>
        <w:tabs>
          <w:tab w:val="left" w:pos="851"/>
        </w:tabs>
        <w:spacing w:line="360" w:lineRule="auto"/>
        <w:ind w:left="566" w:right="-220"/>
        <w:rPr>
          <w:rFonts w:ascii="Palatino Linotype" w:eastAsia="Palatino Linotype" w:hAnsi="Palatino Linotype" w:cs="Palatino Linotype"/>
          <w:sz w:val="22"/>
          <w:szCs w:val="22"/>
        </w:rPr>
      </w:pPr>
      <w:r w:rsidRPr="00BA63CA">
        <w:rPr>
          <w:rFonts w:ascii="Palatino Linotype" w:eastAsia="Palatino Linotype" w:hAnsi="Palatino Linotype" w:cs="Palatino Linotype"/>
          <w:sz w:val="22"/>
          <w:szCs w:val="22"/>
        </w:rPr>
        <w:t>(Énfasis Añadido)</w:t>
      </w:r>
    </w:p>
    <w:p w:rsidR="00E01860" w:rsidRPr="00BA63CA" w:rsidRDefault="00E01860">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Por su parte los artículos 160 y 166, de la Ley local en la materia, que se reproduce de la siguiente forma:</w:t>
      </w:r>
    </w:p>
    <w:p w:rsidR="00E01860" w:rsidRPr="00BA63CA" w:rsidRDefault="00AF1602">
      <w:pPr>
        <w:ind w:left="566" w:right="-79"/>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w:t>
      </w:r>
      <w:r w:rsidRPr="00BA63CA">
        <w:rPr>
          <w:rFonts w:ascii="Palatino Linotype" w:eastAsia="Palatino Linotype" w:hAnsi="Palatino Linotype" w:cs="Palatino Linotype"/>
          <w:b/>
          <w:i/>
          <w:sz w:val="22"/>
          <w:szCs w:val="22"/>
        </w:rPr>
        <w:t>Artículo 160.</w:t>
      </w:r>
      <w:r w:rsidRPr="00BA63CA">
        <w:rPr>
          <w:rFonts w:ascii="Palatino Linotype" w:eastAsia="Palatino Linotype" w:hAnsi="Palatino Linotype" w:cs="Palatino Linotype"/>
          <w:i/>
          <w:sz w:val="22"/>
          <w:szCs w:val="22"/>
        </w:rPr>
        <w:t xml:space="preserve"> </w:t>
      </w:r>
      <w:r w:rsidRPr="00BA63CA">
        <w:rPr>
          <w:rFonts w:ascii="Palatino Linotype" w:eastAsia="Palatino Linotype" w:hAnsi="Palatino Linotype" w:cs="Palatino Linotype"/>
          <w:i/>
          <w:sz w:val="22"/>
          <w:szCs w:val="22"/>
          <w:u w:val="single"/>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w:t>
      </w:r>
      <w:r w:rsidRPr="00BA63CA">
        <w:rPr>
          <w:rFonts w:ascii="Palatino Linotype" w:eastAsia="Palatino Linotype" w:hAnsi="Palatino Linotype" w:cs="Palatino Linotype"/>
          <w:i/>
          <w:sz w:val="22"/>
          <w:szCs w:val="22"/>
          <w:u w:val="single"/>
        </w:rPr>
        <w:lastRenderedPageBreak/>
        <w:t>conforme a las características físicas de la información o del lugar donde se encuentre así lo permita</w:t>
      </w:r>
      <w:r w:rsidRPr="00BA63CA">
        <w:rPr>
          <w:rFonts w:ascii="Palatino Linotype" w:eastAsia="Palatino Linotype" w:hAnsi="Palatino Linotype" w:cs="Palatino Linotype"/>
          <w:i/>
          <w:sz w:val="22"/>
          <w:szCs w:val="22"/>
        </w:rPr>
        <w:t>.</w:t>
      </w:r>
    </w:p>
    <w:p w:rsidR="00E01860" w:rsidRPr="00BA63CA" w:rsidRDefault="00E01860">
      <w:pPr>
        <w:ind w:left="566" w:right="-79"/>
        <w:jc w:val="both"/>
        <w:rPr>
          <w:rFonts w:ascii="Palatino Linotype" w:eastAsia="Palatino Linotype" w:hAnsi="Palatino Linotype" w:cs="Palatino Linotype"/>
          <w:i/>
          <w:sz w:val="22"/>
          <w:szCs w:val="22"/>
        </w:rPr>
      </w:pPr>
    </w:p>
    <w:p w:rsidR="00E01860" w:rsidRPr="00BA63CA" w:rsidRDefault="00AF1602">
      <w:pPr>
        <w:ind w:left="566" w:right="-79"/>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rsidR="00E01860" w:rsidRPr="00BA63CA" w:rsidRDefault="00AF1602">
      <w:pPr>
        <w:ind w:left="566" w:right="-79"/>
        <w:jc w:val="both"/>
        <w:rPr>
          <w:rFonts w:ascii="Palatino Linotype" w:eastAsia="Palatino Linotype" w:hAnsi="Palatino Linotype" w:cs="Palatino Linotype"/>
          <w:i/>
          <w:sz w:val="22"/>
          <w:szCs w:val="22"/>
          <w:u w:val="single"/>
        </w:rPr>
      </w:pPr>
      <w:r w:rsidRPr="00BA63CA">
        <w:rPr>
          <w:rFonts w:ascii="Palatino Linotype" w:eastAsia="Palatino Linotype" w:hAnsi="Palatino Linotype" w:cs="Palatino Linotype"/>
          <w:b/>
          <w:i/>
          <w:sz w:val="22"/>
          <w:szCs w:val="22"/>
        </w:rPr>
        <w:t>Artículo 166.</w:t>
      </w:r>
      <w:r w:rsidRPr="00BA63CA">
        <w:rPr>
          <w:rFonts w:ascii="Palatino Linotype" w:eastAsia="Palatino Linotype" w:hAnsi="Palatino Linotype" w:cs="Palatino Linotype"/>
          <w:i/>
          <w:sz w:val="22"/>
          <w:szCs w:val="22"/>
        </w:rPr>
        <w:t xml:space="preserve"> </w:t>
      </w:r>
      <w:r w:rsidRPr="00BA63CA">
        <w:rPr>
          <w:rFonts w:ascii="Palatino Linotype" w:eastAsia="Palatino Linotype" w:hAnsi="Palatino Linotype" w:cs="Palatino Linotype"/>
          <w:i/>
          <w:sz w:val="22"/>
          <w:szCs w:val="22"/>
          <w:u w:val="single"/>
        </w:rPr>
        <w:t>La obligación de acceso a la información pública se tendrá por cumplida cuando el solicitante tenga a su disposición la información requerida, o cuando realice la consulta de la misma en el lugar en el que ésta se localice.</w:t>
      </w:r>
    </w:p>
    <w:p w:rsidR="00E01860" w:rsidRPr="00BA63CA" w:rsidRDefault="00AF1602">
      <w:pPr>
        <w:spacing w:line="360" w:lineRule="auto"/>
        <w:ind w:left="566" w:right="-79"/>
        <w:jc w:val="both"/>
        <w:rPr>
          <w:rFonts w:ascii="Palatino Linotype" w:eastAsia="Palatino Linotype" w:hAnsi="Palatino Linotype" w:cs="Palatino Linotype"/>
          <w:sz w:val="22"/>
          <w:szCs w:val="22"/>
        </w:rPr>
      </w:pPr>
      <w:r w:rsidRPr="00BA63CA">
        <w:rPr>
          <w:rFonts w:ascii="Palatino Linotype" w:eastAsia="Palatino Linotype" w:hAnsi="Palatino Linotype" w:cs="Palatino Linotype"/>
          <w:sz w:val="22"/>
          <w:szCs w:val="22"/>
        </w:rPr>
        <w:t>(Énfasis añadido)</w:t>
      </w:r>
    </w:p>
    <w:p w:rsidR="00D010C3" w:rsidRPr="00BA63CA" w:rsidRDefault="00D010C3">
      <w:pPr>
        <w:spacing w:line="360" w:lineRule="auto"/>
        <w:ind w:left="566" w:right="-79"/>
        <w:jc w:val="both"/>
        <w:rPr>
          <w:rFonts w:ascii="Palatino Linotype" w:eastAsia="Palatino Linotype" w:hAnsi="Palatino Linotype" w:cs="Palatino Linotype"/>
          <w:sz w:val="22"/>
          <w:szCs w:val="22"/>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E01860" w:rsidRPr="00BA63CA" w:rsidRDefault="00E01860">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Expuesto lo anterior</w:t>
      </w:r>
      <w:r w:rsidRPr="00BA63CA">
        <w:rPr>
          <w:rFonts w:ascii="Palatino Linotype" w:eastAsia="Palatino Linotype" w:hAnsi="Palatino Linotype" w:cs="Palatino Linotype"/>
        </w:rPr>
        <w:t xml:space="preserve">, se advierte que el </w:t>
      </w:r>
      <w:r w:rsidRPr="00BA63CA">
        <w:rPr>
          <w:rFonts w:ascii="Palatino Linotype" w:eastAsia="Palatino Linotype" w:hAnsi="Palatino Linotype" w:cs="Palatino Linotype"/>
          <w:b/>
        </w:rPr>
        <w:t>SUJETO OBLIGADO modificó su acto</w:t>
      </w:r>
      <w:r w:rsidRPr="00BA63CA">
        <w:rPr>
          <w:rFonts w:ascii="Palatino Linotype" w:eastAsia="Palatino Linotype" w:hAnsi="Palatino Linotype" w:cs="Palatino Linotype"/>
        </w:rPr>
        <w:t xml:space="preserve"> al ampliar y especificar el contenido de la liga entregada en respuesta primigenia, misma que da acceso a la información requerida, además de anexar 52 mapas con las rutas de recolección de basura, en informe justificado.</w:t>
      </w:r>
    </w:p>
    <w:p w:rsidR="00E01860" w:rsidRPr="00BA63CA" w:rsidRDefault="00E01860">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 xml:space="preserve">Luego entonces, al haberse modificado la respuesta inicial, resulta necesario invocar la fracción III del artículo 192, de la </w:t>
      </w:r>
      <w:r w:rsidRPr="00BA63CA">
        <w:rPr>
          <w:rFonts w:ascii="Palatino Linotype" w:eastAsia="Palatino Linotype" w:hAnsi="Palatino Linotype" w:cs="Palatino Linotype"/>
          <w:b/>
          <w:color w:val="000000"/>
        </w:rPr>
        <w:t>Ley de Transparencia y Acceso a la Información Pública del Estado de México y Municipios</w:t>
      </w:r>
      <w:r w:rsidRPr="00BA63CA">
        <w:rPr>
          <w:rFonts w:ascii="Palatino Linotype" w:eastAsia="Palatino Linotype" w:hAnsi="Palatino Linotype" w:cs="Palatino Linotype"/>
          <w:color w:val="000000"/>
        </w:rPr>
        <w:t xml:space="preserve">, por contener la causal de sobreseimiento relativa a que el Sujeto Obligado </w:t>
      </w:r>
      <w:r w:rsidRPr="00BA63CA">
        <w:rPr>
          <w:rFonts w:ascii="Palatino Linotype" w:eastAsia="Palatino Linotype" w:hAnsi="Palatino Linotype" w:cs="Palatino Linotype"/>
          <w:b/>
          <w:color w:val="000000"/>
          <w:u w:val="single"/>
        </w:rPr>
        <w:t>modifique o revoque el acto</w:t>
      </w:r>
      <w:r w:rsidRPr="00BA63CA">
        <w:rPr>
          <w:rFonts w:ascii="Palatino Linotype" w:eastAsia="Palatino Linotype" w:hAnsi="Palatino Linotype" w:cs="Palatino Linotype"/>
          <w:color w:val="000000"/>
        </w:rPr>
        <w:t>; de ahí que la actualización de alguno de éstos trae como consecuencia que el medio de impugnación se concluya sin que se analice el objeto de estudio planteado, es decir se sobresea.</w:t>
      </w:r>
    </w:p>
    <w:p w:rsidR="00E01860" w:rsidRPr="00BA63CA" w:rsidRDefault="00E01860">
      <w:pPr>
        <w:spacing w:line="360" w:lineRule="auto"/>
        <w:ind w:right="-787"/>
        <w:jc w:val="both"/>
        <w:rPr>
          <w:rFonts w:ascii="Palatino Linotype" w:eastAsia="Palatino Linotype" w:hAnsi="Palatino Linotype" w:cs="Palatino Linotype"/>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lastRenderedPageBreak/>
        <w:t>Para los efectos de esta resolución, es oportuno precisar los alcances jurídicos de la fracción III de referencia, a saber:</w:t>
      </w:r>
    </w:p>
    <w:p w:rsidR="00E01860" w:rsidRPr="00BA63CA" w:rsidRDefault="00AF1602">
      <w:pPr>
        <w:numPr>
          <w:ilvl w:val="0"/>
          <w:numId w:val="3"/>
        </w:numPr>
        <w:spacing w:line="360" w:lineRule="auto"/>
        <w:ind w:left="708" w:right="-79" w:firstLine="0"/>
        <w:jc w:val="both"/>
        <w:rPr>
          <w:rFonts w:ascii="Palatino Linotype" w:eastAsia="Palatino Linotype" w:hAnsi="Palatino Linotype" w:cs="Palatino Linotype"/>
          <w:sz w:val="22"/>
          <w:szCs w:val="22"/>
        </w:rPr>
      </w:pPr>
      <w:r w:rsidRPr="00BA63CA">
        <w:rPr>
          <w:rFonts w:ascii="Palatino Linotype" w:eastAsia="Palatino Linotype" w:hAnsi="Palatino Linotype" w:cs="Palatino Linotype"/>
          <w:b/>
          <w:sz w:val="22"/>
          <w:szCs w:val="22"/>
        </w:rPr>
        <w:t>Modifique el acto impugnado:</w:t>
      </w:r>
      <w:r w:rsidRPr="00BA63CA">
        <w:rPr>
          <w:rFonts w:ascii="Palatino Linotype" w:eastAsia="Palatino Linotype" w:hAnsi="Palatino Linotype" w:cs="Palatino Linotype"/>
          <w:sz w:val="22"/>
          <w:szCs w:val="22"/>
        </w:rPr>
        <w:t xml:space="preserve"> Se actualiza cuando el </w:t>
      </w:r>
      <w:r w:rsidRPr="00BA63CA">
        <w:rPr>
          <w:rFonts w:ascii="Palatino Linotype" w:eastAsia="Palatino Linotype" w:hAnsi="Palatino Linotype" w:cs="Palatino Linotype"/>
          <w:b/>
          <w:sz w:val="22"/>
          <w:szCs w:val="22"/>
        </w:rPr>
        <w:t>SUJETO OBLIGADO</w:t>
      </w:r>
      <w:r w:rsidRPr="00BA63CA">
        <w:rPr>
          <w:rFonts w:ascii="Palatino Linotype" w:eastAsia="Palatino Linotype" w:hAnsi="Palatino Linotype" w:cs="Palatino Linotype"/>
          <w:sz w:val="22"/>
          <w:szCs w:val="22"/>
        </w:rPr>
        <w:t xml:space="preserve"> después de haber otorgado una respuesta y hasta antes de dictada la resolución del recurso de revisión, emite una diversa en la que subsane las deficiencias que hubiera tenido.</w:t>
      </w:r>
    </w:p>
    <w:p w:rsidR="00E01860" w:rsidRPr="00BA63CA" w:rsidRDefault="00AF1602">
      <w:pPr>
        <w:numPr>
          <w:ilvl w:val="0"/>
          <w:numId w:val="3"/>
        </w:numPr>
        <w:spacing w:line="360" w:lineRule="auto"/>
        <w:ind w:left="708" w:right="-79" w:firstLine="0"/>
        <w:jc w:val="both"/>
        <w:rPr>
          <w:rFonts w:ascii="Palatino Linotype" w:eastAsia="Palatino Linotype" w:hAnsi="Palatino Linotype" w:cs="Palatino Linotype"/>
          <w:sz w:val="22"/>
          <w:szCs w:val="22"/>
        </w:rPr>
      </w:pPr>
      <w:r w:rsidRPr="00BA63CA">
        <w:rPr>
          <w:rFonts w:ascii="Palatino Linotype" w:eastAsia="Palatino Linotype" w:hAnsi="Palatino Linotype" w:cs="Palatino Linotype"/>
          <w:b/>
          <w:sz w:val="22"/>
          <w:szCs w:val="22"/>
        </w:rPr>
        <w:t>Revoque el acto impugnado:</w:t>
      </w:r>
      <w:r w:rsidRPr="00BA63CA">
        <w:rPr>
          <w:rFonts w:ascii="Palatino Linotype" w:eastAsia="Palatino Linotype" w:hAnsi="Palatino Linotype" w:cs="Palatino Linotype"/>
          <w:sz w:val="22"/>
          <w:szCs w:val="22"/>
        </w:rPr>
        <w:t xml:space="preserve"> En este supuesto, el </w:t>
      </w:r>
      <w:r w:rsidRPr="00BA63CA">
        <w:rPr>
          <w:rFonts w:ascii="Palatino Linotype" w:eastAsia="Palatino Linotype" w:hAnsi="Palatino Linotype" w:cs="Palatino Linotype"/>
          <w:b/>
          <w:sz w:val="22"/>
          <w:szCs w:val="22"/>
        </w:rPr>
        <w:t>SUJETO OBLIGADO</w:t>
      </w:r>
      <w:r w:rsidRPr="00BA63CA">
        <w:rPr>
          <w:rFonts w:ascii="Palatino Linotype" w:eastAsia="Palatino Linotype" w:hAnsi="Palatino Linotype" w:cs="Palatino Linotype"/>
          <w:sz w:val="22"/>
          <w:szCs w:val="22"/>
        </w:rPr>
        <w:t xml:space="preserve"> deja sin efectos la primera respuesta y en su lugar emite otra que satisfaga lo solicitado por el particular en un primer momento.</w:t>
      </w:r>
    </w:p>
    <w:p w:rsidR="00E01860" w:rsidRPr="00BA63CA" w:rsidRDefault="00E01860">
      <w:pPr>
        <w:pBdr>
          <w:top w:val="nil"/>
          <w:left w:val="nil"/>
          <w:bottom w:val="nil"/>
          <w:right w:val="nil"/>
          <w:between w:val="nil"/>
        </w:pBdr>
        <w:spacing w:line="360" w:lineRule="auto"/>
        <w:ind w:right="-787"/>
        <w:rPr>
          <w:rFonts w:ascii="Palatino Linotype" w:eastAsia="Palatino Linotype" w:hAnsi="Palatino Linotype" w:cs="Palatino Linotype"/>
          <w:color w:val="000000"/>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rsidR="00E01860" w:rsidRPr="00BA63CA" w:rsidRDefault="00E01860">
      <w:pPr>
        <w:spacing w:line="360" w:lineRule="auto"/>
        <w:ind w:right="-787"/>
        <w:jc w:val="both"/>
        <w:rPr>
          <w:rFonts w:ascii="Palatino Linotype" w:eastAsia="Palatino Linotype" w:hAnsi="Palatino Linotype" w:cs="Palatino Linotype"/>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 xml:space="preserve">En el presente asunto, este Pleno advierte que el Sujeto Obligado con la información enviada a través del informe de justificado, </w:t>
      </w:r>
      <w:r w:rsidRPr="00BA63CA">
        <w:rPr>
          <w:rFonts w:ascii="Palatino Linotype" w:eastAsia="Palatino Linotype" w:hAnsi="Palatino Linotype" w:cs="Palatino Linotype"/>
          <w:b/>
          <w:color w:val="000000"/>
        </w:rPr>
        <w:t>modifica</w:t>
      </w:r>
      <w:r w:rsidRPr="00BA63CA">
        <w:rPr>
          <w:rFonts w:ascii="Palatino Linotype" w:eastAsia="Palatino Linotype" w:hAnsi="Palatino Linotype" w:cs="Palatino Linotype"/>
          <w:color w:val="000000"/>
        </w:rPr>
        <w:t xml:space="preserve"> el acto que le dio origen al recurso de revisión, lo que trae como consecuencia que el mismo quede sin materia, actualizándose de este modo, la hipótesis jurídica contenida en la fracción III del citado artículo 192.</w:t>
      </w:r>
    </w:p>
    <w:p w:rsidR="00E01860" w:rsidRPr="00BA63CA" w:rsidRDefault="00E01860">
      <w:pPr>
        <w:spacing w:line="360" w:lineRule="auto"/>
        <w:ind w:right="-787"/>
        <w:rPr>
          <w:rFonts w:ascii="Palatino Linotype" w:eastAsia="Palatino Linotype" w:hAnsi="Palatino Linotype" w:cs="Palatino Linotype"/>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De este modo, cuando el Sujeto Obligado</w:t>
      </w:r>
      <w:r w:rsidRPr="00BA63CA">
        <w:rPr>
          <w:rFonts w:ascii="Palatino Linotype" w:eastAsia="Palatino Linotype" w:hAnsi="Palatino Linotype" w:cs="Palatino Linotype"/>
          <w:b/>
          <w:color w:val="000000"/>
        </w:rPr>
        <w:t xml:space="preserve">, </w:t>
      </w:r>
      <w:r w:rsidRPr="00BA63CA">
        <w:rPr>
          <w:rFonts w:ascii="Palatino Linotype" w:eastAsia="Palatino Linotype" w:hAnsi="Palatino Linotype" w:cs="Palatino Linotype"/>
          <w:color w:val="000000"/>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controversia </w:t>
      </w:r>
      <w:r w:rsidRPr="00BA63CA">
        <w:rPr>
          <w:rFonts w:ascii="Palatino Linotype" w:eastAsia="Palatino Linotype" w:hAnsi="Palatino Linotype" w:cs="Palatino Linotype"/>
          <w:color w:val="000000"/>
        </w:rPr>
        <w:lastRenderedPageBreak/>
        <w:t>planteada, debido a que la afectación en su esfera de derechos fue restituida por la propia autoridad que emitió el acto motivo de impugnación.</w:t>
      </w:r>
    </w:p>
    <w:p w:rsidR="00E01860" w:rsidRPr="00BA63CA" w:rsidRDefault="00E01860">
      <w:pPr>
        <w:spacing w:line="360" w:lineRule="auto"/>
        <w:ind w:right="-787"/>
        <w:rPr>
          <w:rFonts w:ascii="Palatino Linotype" w:eastAsia="Palatino Linotype" w:hAnsi="Palatino Linotype" w:cs="Palatino Linotype"/>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Sirve de sustento a lo anterior la siguiente jurisprudencia por contradicción, cuyo rubro, texto y datos de identificación son los siguientes:</w:t>
      </w:r>
    </w:p>
    <w:p w:rsidR="00E01860" w:rsidRPr="00BA63CA" w:rsidRDefault="00AF1602">
      <w:pPr>
        <w:ind w:left="566" w:right="-220"/>
        <w:jc w:val="both"/>
        <w:rPr>
          <w:rFonts w:ascii="Palatino Linotype" w:eastAsia="Palatino Linotype" w:hAnsi="Palatino Linotype" w:cs="Palatino Linotype"/>
          <w:i/>
          <w:sz w:val="22"/>
          <w:szCs w:val="22"/>
        </w:rPr>
      </w:pPr>
      <w:r w:rsidRPr="00BA63CA">
        <w:rPr>
          <w:rFonts w:ascii="Palatino Linotype" w:eastAsia="Palatino Linotype" w:hAnsi="Palatino Linotype" w:cs="Palatino Linotype"/>
          <w:b/>
          <w:i/>
          <w:sz w:val="22"/>
          <w:szCs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BA63CA">
        <w:rPr>
          <w:rFonts w:ascii="Palatino Linotype" w:eastAsia="Palatino Linotype" w:hAnsi="Palatino Linotype" w:cs="Palatino Linotype"/>
          <w:i/>
          <w:sz w:val="22"/>
          <w:szCs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E01860" w:rsidRPr="00BA63CA" w:rsidRDefault="00E01860">
      <w:pPr>
        <w:spacing w:line="360" w:lineRule="auto"/>
        <w:ind w:right="-787"/>
        <w:jc w:val="both"/>
        <w:rPr>
          <w:rFonts w:ascii="Palatino Linotype" w:eastAsia="Palatino Linotype" w:hAnsi="Palatino Linotype" w:cs="Palatino Linotype"/>
          <w:i/>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color w:val="000000"/>
        </w:rPr>
        <w:t>La anterior jurisprudencia resulta aplicable al presente asunto, en dos aspectos:</w:t>
      </w:r>
    </w:p>
    <w:p w:rsidR="00E01860" w:rsidRPr="00BA63CA" w:rsidRDefault="00AF1602">
      <w:pPr>
        <w:numPr>
          <w:ilvl w:val="0"/>
          <w:numId w:val="4"/>
        </w:numPr>
        <w:spacing w:line="360" w:lineRule="auto"/>
        <w:ind w:left="566" w:right="-220" w:firstLine="0"/>
        <w:jc w:val="both"/>
        <w:rPr>
          <w:rFonts w:ascii="Palatino Linotype" w:eastAsia="Palatino Linotype" w:hAnsi="Palatino Linotype" w:cs="Palatino Linotype"/>
          <w:sz w:val="22"/>
          <w:szCs w:val="22"/>
        </w:rPr>
      </w:pPr>
      <w:r w:rsidRPr="00BA63CA">
        <w:rPr>
          <w:rFonts w:ascii="Palatino Linotype" w:eastAsia="Palatino Linotype" w:hAnsi="Palatino Linotype" w:cs="Palatino Linotype"/>
          <w:b/>
          <w:sz w:val="22"/>
          <w:szCs w:val="22"/>
        </w:rPr>
        <w:t>La cesación de los efectos perniciosos del acto de autoridad:</w:t>
      </w:r>
      <w:r w:rsidRPr="00BA63CA">
        <w:rPr>
          <w:rFonts w:ascii="Palatino Linotype" w:eastAsia="Palatino Linotype" w:hAnsi="Palatino Linotype" w:cs="Palatino Linotype"/>
          <w:sz w:val="22"/>
          <w:szCs w:val="22"/>
        </w:rPr>
        <w:t xml:space="preserve"> Al respecto, la Ley de Transparencia contempla la figura jurídica del sobreseimiento cuando el </w:t>
      </w:r>
      <w:r w:rsidRPr="00BA63CA">
        <w:rPr>
          <w:rFonts w:ascii="Palatino Linotype" w:eastAsia="Palatino Linotype" w:hAnsi="Palatino Linotype" w:cs="Palatino Linotype"/>
          <w:b/>
          <w:sz w:val="22"/>
          <w:szCs w:val="22"/>
        </w:rPr>
        <w:t>SUJETO OBLIGADO</w:t>
      </w:r>
      <w:r w:rsidRPr="00BA63CA">
        <w:rPr>
          <w:rFonts w:ascii="Palatino Linotype" w:eastAsia="Palatino Linotype" w:hAnsi="Palatino Linotype" w:cs="Palatino Linotype"/>
          <w:sz w:val="22"/>
          <w:szCs w:val="22"/>
        </w:rPr>
        <w:t xml:space="preserve"> de </w:t>
      </w:r>
      <w:r w:rsidRPr="00BA63CA">
        <w:rPr>
          <w:rFonts w:ascii="Palatino Linotype" w:eastAsia="Palatino Linotype" w:hAnsi="Palatino Linotype" w:cs="Palatino Linotype"/>
          <w:i/>
          <w:sz w:val="22"/>
          <w:szCs w:val="22"/>
        </w:rPr>
        <w:t>motu proprio</w:t>
      </w:r>
      <w:r w:rsidRPr="00BA63CA">
        <w:rPr>
          <w:rFonts w:ascii="Palatino Linotype" w:eastAsia="Palatino Linotype" w:hAnsi="Palatino Linotype" w:cs="Palatino Linotype"/>
          <w:sz w:val="22"/>
          <w:szCs w:val="22"/>
        </w:rPr>
        <w:t xml:space="preserve"> modifica o revoca de tal manera el acto motivo de la impugnación que lo deja sin materia; es decir, cesan los efectos de éste y el derecho de acceso a la información pública se encuentra satisfecho.</w:t>
      </w:r>
    </w:p>
    <w:p w:rsidR="00E01860" w:rsidRPr="00BA63CA" w:rsidRDefault="00AF1602">
      <w:pPr>
        <w:numPr>
          <w:ilvl w:val="0"/>
          <w:numId w:val="4"/>
        </w:numPr>
        <w:spacing w:line="360" w:lineRule="auto"/>
        <w:ind w:left="566" w:right="-220" w:firstLine="0"/>
        <w:jc w:val="both"/>
        <w:rPr>
          <w:rFonts w:ascii="Palatino Linotype" w:eastAsia="Palatino Linotype" w:hAnsi="Palatino Linotype" w:cs="Palatino Linotype"/>
          <w:sz w:val="22"/>
          <w:szCs w:val="22"/>
        </w:rPr>
      </w:pPr>
      <w:r w:rsidRPr="00BA63CA">
        <w:rPr>
          <w:rFonts w:ascii="Palatino Linotype" w:eastAsia="Palatino Linotype" w:hAnsi="Palatino Linotype" w:cs="Palatino Linotype"/>
          <w:b/>
          <w:sz w:val="22"/>
          <w:szCs w:val="22"/>
        </w:rPr>
        <w:lastRenderedPageBreak/>
        <w:t>El momento procesal para modificar el acto impugnado:</w:t>
      </w:r>
      <w:r w:rsidRPr="00BA63CA">
        <w:rPr>
          <w:rFonts w:ascii="Palatino Linotype" w:eastAsia="Palatino Linotype" w:hAnsi="Palatino Linotype" w:cs="Palatino Linotype"/>
          <w:sz w:val="22"/>
          <w:szCs w:val="22"/>
        </w:rPr>
        <w:t xml:space="preserve"> Para que se actualice el sobreseimiento de un recurso de revisión, el </w:t>
      </w:r>
      <w:r w:rsidRPr="00BA63CA">
        <w:rPr>
          <w:rFonts w:ascii="Palatino Linotype" w:eastAsia="Palatino Linotype" w:hAnsi="Palatino Linotype" w:cs="Palatino Linotype"/>
          <w:b/>
          <w:sz w:val="22"/>
          <w:szCs w:val="22"/>
        </w:rPr>
        <w:t>SUJETO OBLIGADO</w:t>
      </w:r>
      <w:r w:rsidRPr="00BA63CA">
        <w:rPr>
          <w:rFonts w:ascii="Palatino Linotype" w:eastAsia="Palatino Linotype" w:hAnsi="Palatino Linotype" w:cs="Palatino Linotype"/>
          <w:sz w:val="22"/>
          <w:szCs w:val="22"/>
        </w:rPr>
        <w:t xml:space="preserve"> puede entregar o completar la información al momento de rendir su informe de justificación o </w:t>
      </w:r>
      <w:r w:rsidRPr="00BA63CA">
        <w:rPr>
          <w:rFonts w:ascii="Palatino Linotype" w:eastAsia="Palatino Linotype" w:hAnsi="Palatino Linotype" w:cs="Palatino Linotype"/>
          <w:b/>
          <w:sz w:val="22"/>
          <w:szCs w:val="22"/>
          <w:u w:val="single"/>
        </w:rPr>
        <w:t>posteriormente</w:t>
      </w:r>
      <w:r w:rsidRPr="00BA63CA">
        <w:rPr>
          <w:rFonts w:ascii="Palatino Linotype" w:eastAsia="Palatino Linotype" w:hAnsi="Palatino Linotype" w:cs="Palatino Linotype"/>
          <w:sz w:val="22"/>
          <w:szCs w:val="22"/>
        </w:rPr>
        <w:t xml:space="preserve"> a éste, siempre y cuando el Pleno del Instituto no haya dictado resolución definitiva.</w:t>
      </w:r>
    </w:p>
    <w:p w:rsidR="00E01860" w:rsidRPr="00BA63CA" w:rsidRDefault="00E01860">
      <w:pPr>
        <w:spacing w:line="360" w:lineRule="auto"/>
        <w:ind w:right="-787"/>
        <w:jc w:val="both"/>
        <w:rPr>
          <w:rFonts w:ascii="Palatino Linotype" w:eastAsia="Palatino Linotype" w:hAnsi="Palatino Linotype" w:cs="Palatino Linotype"/>
        </w:rPr>
      </w:pPr>
    </w:p>
    <w:p w:rsidR="00E01860" w:rsidRPr="00BA63CA" w:rsidRDefault="00AF1602">
      <w:pPr>
        <w:numPr>
          <w:ilvl w:val="0"/>
          <w:numId w:val="2"/>
        </w:num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r w:rsidRPr="00BA63CA">
        <w:rPr>
          <w:rFonts w:ascii="Palatino Linotype" w:eastAsia="Palatino Linotype" w:hAnsi="Palatino Linotype" w:cs="Palatino Linotype"/>
          <w:b/>
          <w:color w:val="000000"/>
          <w:u w:val="single"/>
        </w:rPr>
        <w:t xml:space="preserve">Conclusión </w:t>
      </w:r>
    </w:p>
    <w:p w:rsidR="00E01860" w:rsidRPr="00BA63CA" w:rsidRDefault="00AF160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rPr>
      </w:pPr>
      <w:bookmarkStart w:id="8" w:name="_heading=h.4d34og8" w:colFirst="0" w:colLast="0"/>
      <w:bookmarkEnd w:id="8"/>
      <w:r w:rsidRPr="00BA63CA">
        <w:rPr>
          <w:rFonts w:ascii="Palatino Linotype" w:eastAsia="Palatino Linotype" w:hAnsi="Palatino Linotype" w:cs="Palatino Linotype"/>
        </w:rPr>
        <w:t xml:space="preserve">Bajo ese tenor con fundamento en la segunda hipótesis de la fracción I, del artículo 186, de la Ley de Transparencia y Acceso a la Información Pública del Estado de México y Municipios, se </w:t>
      </w:r>
      <w:r w:rsidRPr="00BA63CA">
        <w:rPr>
          <w:rFonts w:ascii="Palatino Linotype" w:eastAsia="Palatino Linotype" w:hAnsi="Palatino Linotype" w:cs="Palatino Linotype"/>
          <w:b/>
        </w:rPr>
        <w:t xml:space="preserve">Sobresee </w:t>
      </w:r>
      <w:r w:rsidRPr="00BA63CA">
        <w:rPr>
          <w:rFonts w:ascii="Palatino Linotype" w:eastAsia="Palatino Linotype" w:hAnsi="Palatino Linotype" w:cs="Palatino Linotype"/>
        </w:rPr>
        <w:t xml:space="preserve">el Recurso de Revisión </w:t>
      </w:r>
      <w:r w:rsidRPr="00BA63CA">
        <w:rPr>
          <w:rFonts w:ascii="Palatino Linotype" w:eastAsia="Palatino Linotype" w:hAnsi="Palatino Linotype" w:cs="Palatino Linotype"/>
          <w:b/>
          <w:color w:val="000000"/>
        </w:rPr>
        <w:t>04343/INFOEM/IP/RR/2024</w:t>
      </w:r>
      <w:r w:rsidRPr="00BA63CA">
        <w:rPr>
          <w:rFonts w:ascii="Palatino Linotype" w:eastAsia="Palatino Linotype" w:hAnsi="Palatino Linotype" w:cs="Palatino Linotype"/>
        </w:rPr>
        <w:t>, que ha sido materia del presente fallo.</w:t>
      </w:r>
    </w:p>
    <w:p w:rsidR="00E01860" w:rsidRPr="00BA63CA" w:rsidRDefault="00E01860">
      <w:pPr>
        <w:ind w:right="-787"/>
        <w:rPr>
          <w:rFonts w:ascii="Palatino Linotype" w:eastAsia="Palatino Linotype" w:hAnsi="Palatino Linotype" w:cs="Palatino Linotype"/>
          <w:color w:val="000000"/>
        </w:rPr>
      </w:pPr>
    </w:p>
    <w:p w:rsidR="00E01860" w:rsidRPr="00BA63CA" w:rsidRDefault="00AF1602">
      <w:pPr>
        <w:numPr>
          <w:ilvl w:val="0"/>
          <w:numId w:val="1"/>
        </w:numPr>
        <w:pBdr>
          <w:top w:val="nil"/>
          <w:left w:val="nil"/>
          <w:bottom w:val="nil"/>
          <w:right w:val="nil"/>
          <w:between w:val="nil"/>
        </w:pBdr>
        <w:spacing w:line="360" w:lineRule="auto"/>
        <w:ind w:left="0" w:right="-787" w:firstLine="0"/>
        <w:jc w:val="both"/>
        <w:rPr>
          <w:color w:val="000000"/>
        </w:rPr>
      </w:pPr>
      <w:r w:rsidRPr="00BA63CA">
        <w:rPr>
          <w:rFonts w:ascii="Palatino Linotype" w:eastAsia="Palatino Linotype" w:hAnsi="Palatino Linotype" w:cs="Palatino Linotype"/>
          <w:color w:val="000000"/>
        </w:rPr>
        <w:t>Así las cosas, con fundamento en lo prescrito en los artículos 5, párrafos trigésimo, trigésimo primero y trigésimo segundo de la Constitución Política del Estado Libre y Soberano de México; 2, fracción II; 29, 36 fracciones I y II; 176, 178, 179, 181 y 185 de la Ley de Transparencia y Acceso a la Información Pública del Estado de México y Municipios, este Pleno:</w:t>
      </w:r>
    </w:p>
    <w:p w:rsidR="00E01860" w:rsidRPr="00BA63CA" w:rsidRDefault="00E01860">
      <w:pPr>
        <w:spacing w:line="360" w:lineRule="auto"/>
        <w:ind w:right="-787"/>
        <w:rPr>
          <w:rFonts w:ascii="Palatino Linotype" w:eastAsia="Palatino Linotype" w:hAnsi="Palatino Linotype" w:cs="Palatino Linotype"/>
        </w:rPr>
      </w:pPr>
    </w:p>
    <w:p w:rsidR="00E01860" w:rsidRPr="00BA63CA" w:rsidRDefault="00AF1602">
      <w:pPr>
        <w:spacing w:line="360" w:lineRule="auto"/>
        <w:ind w:right="-787"/>
        <w:jc w:val="center"/>
        <w:rPr>
          <w:rFonts w:ascii="Palatino Linotype" w:eastAsia="Palatino Linotype" w:hAnsi="Palatino Linotype" w:cs="Palatino Linotype"/>
          <w:b/>
        </w:rPr>
      </w:pPr>
      <w:r w:rsidRPr="00BA63CA">
        <w:rPr>
          <w:rFonts w:ascii="Palatino Linotype" w:eastAsia="Palatino Linotype" w:hAnsi="Palatino Linotype" w:cs="Palatino Linotype"/>
          <w:b/>
        </w:rPr>
        <w:t>R E S U E L V E</w:t>
      </w:r>
    </w:p>
    <w:p w:rsidR="00E01860" w:rsidRPr="00BA63CA" w:rsidRDefault="00E01860">
      <w:pPr>
        <w:spacing w:line="360" w:lineRule="auto"/>
        <w:ind w:right="-787"/>
        <w:jc w:val="center"/>
        <w:rPr>
          <w:rFonts w:ascii="Palatino Linotype" w:eastAsia="Palatino Linotype" w:hAnsi="Palatino Linotype" w:cs="Palatino Linotype"/>
          <w:b/>
        </w:rPr>
      </w:pPr>
    </w:p>
    <w:p w:rsidR="00E01860" w:rsidRPr="00BA63CA" w:rsidRDefault="00AF1602">
      <w:pPr>
        <w:spacing w:line="360" w:lineRule="auto"/>
        <w:ind w:right="-787"/>
        <w:jc w:val="both"/>
        <w:rPr>
          <w:rFonts w:ascii="Palatino Linotype" w:eastAsia="Palatino Linotype" w:hAnsi="Palatino Linotype" w:cs="Palatino Linotype"/>
        </w:rPr>
      </w:pPr>
      <w:r w:rsidRPr="00BA63CA">
        <w:rPr>
          <w:rFonts w:ascii="Palatino Linotype" w:eastAsia="Palatino Linotype" w:hAnsi="Palatino Linotype" w:cs="Palatino Linotype"/>
          <w:b/>
        </w:rPr>
        <w:t>PRIMERO</w:t>
      </w:r>
      <w:r w:rsidRPr="00BA63CA">
        <w:rPr>
          <w:rFonts w:ascii="Palatino Linotype" w:eastAsia="Palatino Linotype" w:hAnsi="Palatino Linotype" w:cs="Palatino Linotype"/>
        </w:rPr>
        <w:t xml:space="preserve">. Se </w:t>
      </w:r>
      <w:r w:rsidRPr="00BA63CA">
        <w:rPr>
          <w:rFonts w:ascii="Palatino Linotype" w:eastAsia="Palatino Linotype" w:hAnsi="Palatino Linotype" w:cs="Palatino Linotype"/>
          <w:b/>
        </w:rPr>
        <w:t>SOBRESEE</w:t>
      </w:r>
      <w:r w:rsidRPr="00BA63CA">
        <w:rPr>
          <w:rFonts w:ascii="Palatino Linotype" w:eastAsia="Palatino Linotype" w:hAnsi="Palatino Linotype" w:cs="Palatino Linotype"/>
        </w:rPr>
        <w:t xml:space="preserve"> el Recurso de Revisión número </w:t>
      </w:r>
      <w:r w:rsidRPr="00BA63CA">
        <w:rPr>
          <w:rFonts w:ascii="Palatino Linotype" w:eastAsia="Palatino Linotype" w:hAnsi="Palatino Linotype" w:cs="Palatino Linotype"/>
          <w:b/>
          <w:color w:val="000000"/>
        </w:rPr>
        <w:t>04343/INFOEM/IP/RR/2024</w:t>
      </w:r>
      <w:r w:rsidRPr="00BA63CA">
        <w:rPr>
          <w:rFonts w:ascii="Palatino Linotype" w:eastAsia="Palatino Linotype" w:hAnsi="Palatino Linotype" w:cs="Palatino Linotype"/>
        </w:rPr>
        <w:t xml:space="preserve">, conforme al artículo 192, fracción III, de la Ley de la Materia, porque al modificar la respuesta, el Recurso de Revisión quedó sin materia en términos del  </w:t>
      </w:r>
      <w:r w:rsidRPr="00BA63CA">
        <w:rPr>
          <w:rFonts w:ascii="Palatino Linotype" w:eastAsia="Palatino Linotype" w:hAnsi="Palatino Linotype" w:cs="Palatino Linotype"/>
          <w:b/>
        </w:rPr>
        <w:t>Considerando Cuarto</w:t>
      </w:r>
      <w:r w:rsidRPr="00BA63CA">
        <w:rPr>
          <w:rFonts w:ascii="Palatino Linotype" w:eastAsia="Palatino Linotype" w:hAnsi="Palatino Linotype" w:cs="Palatino Linotype"/>
        </w:rPr>
        <w:t xml:space="preserve"> de la presente resolución.</w:t>
      </w:r>
    </w:p>
    <w:p w:rsidR="00E01860" w:rsidRPr="00BA63CA" w:rsidRDefault="00E01860">
      <w:pPr>
        <w:spacing w:line="360" w:lineRule="auto"/>
        <w:ind w:right="-787"/>
        <w:jc w:val="both"/>
        <w:rPr>
          <w:rFonts w:ascii="Palatino Linotype" w:eastAsia="Palatino Linotype" w:hAnsi="Palatino Linotype" w:cs="Palatino Linotype"/>
          <w:b/>
        </w:rPr>
      </w:pPr>
    </w:p>
    <w:p w:rsidR="00E01860" w:rsidRPr="00BA63CA" w:rsidRDefault="00AF1602">
      <w:pPr>
        <w:shd w:val="clear" w:color="auto" w:fill="FFFFFF"/>
        <w:spacing w:line="360" w:lineRule="auto"/>
        <w:ind w:right="-787"/>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b/>
        </w:rPr>
        <w:lastRenderedPageBreak/>
        <w:t xml:space="preserve">SEGUNDO. Notifíquese </w:t>
      </w:r>
      <w:r w:rsidRPr="00BA63CA">
        <w:rPr>
          <w:rFonts w:ascii="Palatino Linotype" w:eastAsia="Palatino Linotype" w:hAnsi="Palatino Linotype" w:cs="Palatino Linotype"/>
        </w:rPr>
        <w:t xml:space="preserve">al Titular de la Unidad de Transparencia del </w:t>
      </w:r>
      <w:r w:rsidRPr="00BA63CA">
        <w:rPr>
          <w:rFonts w:ascii="Palatino Linotype" w:eastAsia="Palatino Linotype" w:hAnsi="Palatino Linotype" w:cs="Palatino Linotype"/>
          <w:b/>
        </w:rPr>
        <w:t xml:space="preserve">SUJETO OBLIGADO </w:t>
      </w:r>
      <w:r w:rsidRPr="00BA63CA">
        <w:rPr>
          <w:rFonts w:ascii="Palatino Linotype" w:eastAsia="Palatino Linotype" w:hAnsi="Palatino Linotype" w:cs="Palatino Linotype"/>
        </w:rPr>
        <w:t>ví</w:t>
      </w:r>
      <w:bookmarkStart w:id="9" w:name="_GoBack"/>
      <w:bookmarkEnd w:id="9"/>
      <w:r w:rsidRPr="00BA63CA">
        <w:rPr>
          <w:rFonts w:ascii="Palatino Linotype" w:eastAsia="Palatino Linotype" w:hAnsi="Palatino Linotype" w:cs="Palatino Linotype"/>
        </w:rPr>
        <w:t>a SAIMEX, para su conocimiento</w:t>
      </w:r>
      <w:r w:rsidRPr="00BA63CA">
        <w:rPr>
          <w:rFonts w:ascii="Palatino Linotype" w:eastAsia="Palatino Linotype" w:hAnsi="Palatino Linotype" w:cs="Palatino Linotype"/>
          <w:color w:val="000000"/>
        </w:rPr>
        <w:t>.</w:t>
      </w:r>
    </w:p>
    <w:p w:rsidR="00E01860" w:rsidRPr="00BA63CA" w:rsidRDefault="00E01860">
      <w:pPr>
        <w:shd w:val="clear" w:color="auto" w:fill="FFFFFF"/>
        <w:spacing w:line="360" w:lineRule="auto"/>
        <w:ind w:right="-787"/>
        <w:jc w:val="both"/>
        <w:rPr>
          <w:rFonts w:ascii="Palatino Linotype" w:eastAsia="Palatino Linotype" w:hAnsi="Palatino Linotype" w:cs="Palatino Linotype"/>
          <w:color w:val="000000"/>
        </w:rPr>
      </w:pPr>
    </w:p>
    <w:p w:rsidR="00E01860" w:rsidRPr="00BA63CA" w:rsidRDefault="00AF1602">
      <w:pPr>
        <w:widowControl w:val="0"/>
        <w:pBdr>
          <w:top w:val="nil"/>
          <w:left w:val="nil"/>
          <w:bottom w:val="nil"/>
          <w:right w:val="nil"/>
          <w:between w:val="nil"/>
        </w:pBdr>
        <w:tabs>
          <w:tab w:val="left" w:pos="1701"/>
        </w:tabs>
        <w:spacing w:line="360" w:lineRule="auto"/>
        <w:ind w:right="-787"/>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b/>
          <w:color w:val="000000"/>
        </w:rPr>
        <w:t>TERCERO</w:t>
      </w:r>
      <w:r w:rsidRPr="00BA63CA">
        <w:rPr>
          <w:rFonts w:ascii="Palatino Linotype" w:eastAsia="Palatino Linotype" w:hAnsi="Palatino Linotype" w:cs="Palatino Linotype"/>
          <w:b/>
          <w:color w:val="222222"/>
        </w:rPr>
        <w:t xml:space="preserve">. Notifíquese </w:t>
      </w:r>
      <w:r w:rsidRPr="00BA63CA">
        <w:rPr>
          <w:rFonts w:ascii="Palatino Linotype" w:eastAsia="Palatino Linotype" w:hAnsi="Palatino Linotype" w:cs="Palatino Linotype"/>
          <w:color w:val="222222"/>
        </w:rPr>
        <w:t xml:space="preserve">a </w:t>
      </w:r>
      <w:r w:rsidRPr="00BA63CA">
        <w:rPr>
          <w:rFonts w:ascii="Palatino Linotype" w:eastAsia="Palatino Linotype" w:hAnsi="Palatino Linotype" w:cs="Palatino Linotype"/>
          <w:b/>
          <w:color w:val="222222"/>
        </w:rPr>
        <w:t>EL RECURRENTE</w:t>
      </w:r>
      <w:r w:rsidRPr="00BA63CA">
        <w:rPr>
          <w:rFonts w:ascii="Palatino Linotype" w:eastAsia="Palatino Linotype" w:hAnsi="Palatino Linotype" w:cs="Palatino Linotype"/>
          <w:color w:val="222222"/>
        </w:rPr>
        <w:t xml:space="preserve"> la presente resolución vía SAIMEX</w:t>
      </w:r>
      <w:r w:rsidRPr="00BA63CA">
        <w:rPr>
          <w:rFonts w:ascii="Palatino Linotype" w:eastAsia="Palatino Linotype" w:hAnsi="Palatino Linotype" w:cs="Palatino Linotype"/>
          <w:color w:val="000000"/>
        </w:rPr>
        <w:t>.</w:t>
      </w:r>
    </w:p>
    <w:p w:rsidR="00E01860" w:rsidRPr="00BA63CA" w:rsidRDefault="00E01860">
      <w:pPr>
        <w:widowControl w:val="0"/>
        <w:pBdr>
          <w:top w:val="nil"/>
          <w:left w:val="nil"/>
          <w:bottom w:val="nil"/>
          <w:right w:val="nil"/>
          <w:between w:val="nil"/>
        </w:pBdr>
        <w:tabs>
          <w:tab w:val="left" w:pos="1701"/>
        </w:tabs>
        <w:spacing w:line="360" w:lineRule="auto"/>
        <w:ind w:right="-787"/>
        <w:jc w:val="both"/>
        <w:rPr>
          <w:rFonts w:ascii="Palatino Linotype" w:eastAsia="Palatino Linotype" w:hAnsi="Palatino Linotype" w:cs="Palatino Linotype"/>
          <w:color w:val="222222"/>
        </w:rPr>
      </w:pPr>
    </w:p>
    <w:p w:rsidR="00E01860" w:rsidRPr="00BA63CA" w:rsidRDefault="00AF1602">
      <w:pPr>
        <w:widowControl w:val="0"/>
        <w:pBdr>
          <w:top w:val="nil"/>
          <w:left w:val="nil"/>
          <w:bottom w:val="nil"/>
          <w:right w:val="nil"/>
          <w:between w:val="nil"/>
        </w:pBdr>
        <w:tabs>
          <w:tab w:val="left" w:pos="1701"/>
        </w:tabs>
        <w:spacing w:line="360" w:lineRule="auto"/>
        <w:ind w:right="-787"/>
        <w:jc w:val="both"/>
        <w:rPr>
          <w:rFonts w:ascii="Palatino Linotype" w:eastAsia="Palatino Linotype" w:hAnsi="Palatino Linotype" w:cs="Palatino Linotype"/>
          <w:color w:val="000000"/>
        </w:rPr>
      </w:pPr>
      <w:r w:rsidRPr="00BA63CA">
        <w:rPr>
          <w:rFonts w:ascii="Palatino Linotype" w:eastAsia="Palatino Linotype" w:hAnsi="Palatino Linotype" w:cs="Palatino Linotype"/>
          <w:b/>
          <w:color w:val="222222"/>
        </w:rPr>
        <w:t xml:space="preserve">CUARTO. </w:t>
      </w:r>
      <w:r w:rsidRPr="00BA63CA">
        <w:rPr>
          <w:rFonts w:ascii="Palatino Linotype" w:eastAsia="Palatino Linotype" w:hAnsi="Palatino Linotype" w:cs="Palatino Linotype"/>
          <w:color w:val="000000"/>
        </w:rPr>
        <w:t xml:space="preserve">Se hace del conocimiento de </w:t>
      </w:r>
      <w:r w:rsidRPr="00BA63CA">
        <w:rPr>
          <w:rFonts w:ascii="Palatino Linotype" w:eastAsia="Palatino Linotype" w:hAnsi="Palatino Linotype" w:cs="Palatino Linotype"/>
          <w:b/>
          <w:color w:val="000000"/>
        </w:rPr>
        <w:t>EL RECURRENTE</w:t>
      </w:r>
      <w:r w:rsidRPr="00BA63CA">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w:t>
      </w:r>
      <w:r w:rsidRPr="00BA63CA">
        <w:rPr>
          <w:rFonts w:ascii="Palatino Linotype" w:eastAsia="Palatino Linotype" w:hAnsi="Palatino Linotype" w:cs="Palatino Linotype"/>
        </w:rPr>
        <w:t>impugnar vía</w:t>
      </w:r>
      <w:r w:rsidRPr="00BA63CA">
        <w:rPr>
          <w:rFonts w:ascii="Palatino Linotype" w:eastAsia="Palatino Linotype" w:hAnsi="Palatino Linotype" w:cs="Palatino Linotype"/>
          <w:color w:val="000000"/>
        </w:rPr>
        <w:t xml:space="preserve"> juicio de amparo en los términos de las leyes aplicables.</w:t>
      </w:r>
    </w:p>
    <w:p w:rsidR="004E63D2" w:rsidRPr="00BA63CA" w:rsidRDefault="004E63D2">
      <w:pPr>
        <w:widowControl w:val="0"/>
        <w:pBdr>
          <w:top w:val="nil"/>
          <w:left w:val="nil"/>
          <w:bottom w:val="nil"/>
          <w:right w:val="nil"/>
          <w:between w:val="nil"/>
        </w:pBdr>
        <w:tabs>
          <w:tab w:val="left" w:pos="1701"/>
        </w:tabs>
        <w:spacing w:line="360" w:lineRule="auto"/>
        <w:ind w:right="-787"/>
        <w:jc w:val="both"/>
        <w:rPr>
          <w:rFonts w:ascii="Palatino Linotype" w:eastAsia="Palatino Linotype" w:hAnsi="Palatino Linotype" w:cs="Palatino Linotype"/>
          <w:color w:val="000000"/>
        </w:rPr>
      </w:pPr>
    </w:p>
    <w:p w:rsidR="004E63D2" w:rsidRPr="003C7186" w:rsidRDefault="004E63D2" w:rsidP="004E63D2">
      <w:pPr>
        <w:spacing w:line="360" w:lineRule="auto"/>
        <w:ind w:left="-142" w:right="-801" w:firstLine="1"/>
        <w:jc w:val="both"/>
        <w:rPr>
          <w:rFonts w:ascii="Palatino Linotype" w:hAnsi="Palatino Linotype"/>
        </w:rPr>
      </w:pPr>
      <w:r w:rsidRPr="00BA63C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SÉPTIMA SESIÓN ORDINARIA CELEBRADA EL VEINTISÉIS (26) DE FEBRERO DE DOS MIL VEINTICINCO, ANTE EL SECRETARIO TÉCNICO DEL PLENO ALEXIS TAPIA RAMÍREZ.</w:t>
      </w:r>
      <w:r w:rsidRPr="003C7186">
        <w:rPr>
          <w:rFonts w:ascii="Palatino Linotype" w:hAnsi="Palatino Linotype"/>
        </w:rPr>
        <w:t xml:space="preserve"> </w:t>
      </w:r>
    </w:p>
    <w:p w:rsidR="00E01860" w:rsidRDefault="00E01860">
      <w:pPr>
        <w:spacing w:before="240" w:after="240" w:line="360" w:lineRule="auto"/>
        <w:ind w:right="-787"/>
        <w:jc w:val="both"/>
        <w:rPr>
          <w:rFonts w:ascii="Palatino Linotype" w:eastAsia="Palatino Linotype" w:hAnsi="Palatino Linotype" w:cs="Palatino Linotype"/>
        </w:rPr>
      </w:pPr>
    </w:p>
    <w:p w:rsidR="00E01860" w:rsidRDefault="00E01860">
      <w:pPr>
        <w:spacing w:before="240" w:after="240" w:line="360" w:lineRule="auto"/>
        <w:ind w:right="-787"/>
        <w:jc w:val="both"/>
        <w:rPr>
          <w:rFonts w:ascii="Palatino Linotype" w:eastAsia="Palatino Linotype" w:hAnsi="Palatino Linotype" w:cs="Palatino Linotype"/>
        </w:rPr>
      </w:pPr>
    </w:p>
    <w:p w:rsidR="00E01860" w:rsidRDefault="00E01860">
      <w:pPr>
        <w:spacing w:before="240" w:after="240" w:line="360" w:lineRule="auto"/>
        <w:ind w:right="-787"/>
        <w:jc w:val="both"/>
        <w:rPr>
          <w:rFonts w:ascii="Palatino Linotype" w:eastAsia="Palatino Linotype" w:hAnsi="Palatino Linotype" w:cs="Palatino Linotype"/>
        </w:rPr>
      </w:pPr>
    </w:p>
    <w:p w:rsidR="00E01860" w:rsidRDefault="00E01860">
      <w:pPr>
        <w:spacing w:before="240" w:after="240" w:line="360" w:lineRule="auto"/>
        <w:ind w:right="-787"/>
        <w:jc w:val="both"/>
        <w:rPr>
          <w:rFonts w:ascii="Palatino Linotype" w:eastAsia="Palatino Linotype" w:hAnsi="Palatino Linotype" w:cs="Palatino Linotype"/>
        </w:rPr>
      </w:pPr>
    </w:p>
    <w:p w:rsidR="00E01860" w:rsidRDefault="00E01860">
      <w:pPr>
        <w:spacing w:before="240" w:after="240" w:line="360" w:lineRule="auto"/>
        <w:ind w:right="-787"/>
        <w:jc w:val="both"/>
        <w:rPr>
          <w:rFonts w:ascii="Palatino Linotype" w:eastAsia="Palatino Linotype" w:hAnsi="Palatino Linotype" w:cs="Palatino Linotype"/>
        </w:rPr>
      </w:pPr>
    </w:p>
    <w:p w:rsidR="00E01860" w:rsidRDefault="00E01860">
      <w:pPr>
        <w:spacing w:before="240" w:after="240" w:line="360" w:lineRule="auto"/>
        <w:ind w:right="-787"/>
        <w:jc w:val="both"/>
        <w:rPr>
          <w:rFonts w:ascii="Palatino Linotype" w:eastAsia="Palatino Linotype" w:hAnsi="Palatino Linotype" w:cs="Palatino Linotype"/>
        </w:rPr>
      </w:pPr>
    </w:p>
    <w:p w:rsidR="00E01860" w:rsidRDefault="00E01860">
      <w:pPr>
        <w:spacing w:before="240" w:after="240" w:line="360" w:lineRule="auto"/>
        <w:ind w:right="-787"/>
        <w:jc w:val="both"/>
        <w:rPr>
          <w:rFonts w:ascii="Palatino Linotype" w:eastAsia="Palatino Linotype" w:hAnsi="Palatino Linotype" w:cs="Palatino Linotype"/>
        </w:rPr>
      </w:pPr>
    </w:p>
    <w:p w:rsidR="00E01860" w:rsidRDefault="00AF1602">
      <w:pPr>
        <w:tabs>
          <w:tab w:val="left" w:pos="3374"/>
        </w:tabs>
        <w:spacing w:line="360" w:lineRule="auto"/>
        <w:ind w:right="-787"/>
        <w:rPr>
          <w:rFonts w:ascii="Palatino Linotype" w:eastAsia="Palatino Linotype" w:hAnsi="Palatino Linotype" w:cs="Palatino Linotype"/>
        </w:rPr>
      </w:pPr>
      <w:r>
        <w:rPr>
          <w:rFonts w:ascii="Palatino Linotype" w:eastAsia="Palatino Linotype" w:hAnsi="Palatino Linotype" w:cs="Palatino Linotype"/>
        </w:rPr>
        <w:tab/>
      </w:r>
    </w:p>
    <w:sectPr w:rsidR="00E01860">
      <w:headerReference w:type="even" r:id="rId22"/>
      <w:headerReference w:type="default" r:id="rId23"/>
      <w:footerReference w:type="default" r:id="rId24"/>
      <w:headerReference w:type="first" r:id="rId25"/>
      <w:footerReference w:type="first" r:id="rId26"/>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33D" w:rsidRDefault="009C433D">
      <w:r>
        <w:separator/>
      </w:r>
    </w:p>
  </w:endnote>
  <w:endnote w:type="continuationSeparator" w:id="0">
    <w:p w:rsidR="009C433D" w:rsidRDefault="009C4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Segoe UI Symbol"/>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860" w:rsidRDefault="00AF160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BA63CA">
      <w:rPr>
        <w:rFonts w:ascii="Palatino Linotype" w:eastAsia="Palatino Linotype" w:hAnsi="Palatino Linotype" w:cs="Palatino Linotype"/>
        <w:noProof/>
        <w:color w:val="000000"/>
        <w:sz w:val="20"/>
        <w:szCs w:val="20"/>
      </w:rPr>
      <w:t>32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BA63CA">
      <w:rPr>
        <w:rFonts w:ascii="Palatino Linotype" w:eastAsia="Palatino Linotype" w:hAnsi="Palatino Linotype" w:cs="Palatino Linotype"/>
        <w:noProof/>
        <w:color w:val="000000"/>
        <w:sz w:val="20"/>
        <w:szCs w:val="20"/>
      </w:rPr>
      <w:t>34</w:t>
    </w:r>
    <w:r>
      <w:rPr>
        <w:rFonts w:ascii="Palatino Linotype" w:eastAsia="Palatino Linotype" w:hAnsi="Palatino Linotype" w:cs="Palatino Linotype"/>
        <w:color w:val="000000"/>
        <w:sz w:val="20"/>
        <w:szCs w:val="20"/>
      </w:rPr>
      <w:fldChar w:fldCharType="end"/>
    </w:r>
  </w:p>
  <w:p w:rsidR="00E01860" w:rsidRDefault="00E0186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860" w:rsidRDefault="00AF160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BA63CA">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BA63CA">
      <w:rPr>
        <w:rFonts w:ascii="Palatino Linotype" w:eastAsia="Palatino Linotype" w:hAnsi="Palatino Linotype" w:cs="Palatino Linotype"/>
        <w:noProof/>
        <w:color w:val="000000"/>
        <w:sz w:val="20"/>
        <w:szCs w:val="20"/>
      </w:rPr>
      <w:t>34</w:t>
    </w:r>
    <w:r>
      <w:rPr>
        <w:rFonts w:ascii="Palatino Linotype" w:eastAsia="Palatino Linotype" w:hAnsi="Palatino Linotype" w:cs="Palatino Linotype"/>
        <w:color w:val="000000"/>
        <w:sz w:val="20"/>
        <w:szCs w:val="20"/>
      </w:rPr>
      <w:fldChar w:fldCharType="end"/>
    </w:r>
  </w:p>
  <w:p w:rsidR="00E01860" w:rsidRDefault="00E0186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33D" w:rsidRDefault="009C433D">
      <w:r>
        <w:separator/>
      </w:r>
    </w:p>
  </w:footnote>
  <w:footnote w:type="continuationSeparator" w:id="0">
    <w:p w:rsidR="009C433D" w:rsidRDefault="009C43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860" w:rsidRDefault="009C433D">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9"/>
      <w:tblW w:w="7890" w:type="dxa"/>
      <w:tblInd w:w="2552" w:type="dxa"/>
      <w:tblLayout w:type="fixed"/>
      <w:tblLook w:val="0400" w:firstRow="0" w:lastRow="0" w:firstColumn="0" w:lastColumn="0" w:noHBand="0" w:noVBand="1"/>
    </w:tblPr>
    <w:tblGrid>
      <w:gridCol w:w="3744"/>
      <w:gridCol w:w="4146"/>
    </w:tblGrid>
    <w:tr w:rsidR="00E01860">
      <w:trPr>
        <w:trHeight w:val="281"/>
      </w:trPr>
      <w:tc>
        <w:tcPr>
          <w:tcW w:w="3744" w:type="dxa"/>
          <w:vAlign w:val="center"/>
        </w:tcPr>
        <w:p w:rsidR="00E01860" w:rsidRDefault="00AF1602">
          <w:pPr>
            <w:ind w:left="850"/>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46" w:type="dxa"/>
          <w:vAlign w:val="center"/>
        </w:tcPr>
        <w:p w:rsidR="00E01860" w:rsidRDefault="00AF1602">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04343/INFOEM/IP/RR/2024</w:t>
          </w:r>
        </w:p>
      </w:tc>
    </w:tr>
    <w:tr w:rsidR="00E01860">
      <w:trPr>
        <w:trHeight w:val="342"/>
      </w:trPr>
      <w:tc>
        <w:tcPr>
          <w:tcW w:w="3744" w:type="dxa"/>
        </w:tcPr>
        <w:p w:rsidR="00E01860" w:rsidRDefault="00AF1602">
          <w:pPr>
            <w:ind w:left="850"/>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46" w:type="dxa"/>
          <w:vAlign w:val="center"/>
        </w:tcPr>
        <w:p w:rsidR="00E01860" w:rsidRDefault="00AF1602">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Toluca</w:t>
          </w:r>
        </w:p>
      </w:tc>
    </w:tr>
    <w:tr w:rsidR="00E01860">
      <w:trPr>
        <w:trHeight w:val="342"/>
      </w:trPr>
      <w:tc>
        <w:tcPr>
          <w:tcW w:w="3744" w:type="dxa"/>
          <w:vAlign w:val="center"/>
        </w:tcPr>
        <w:p w:rsidR="00E01860" w:rsidRDefault="00AF1602">
          <w:pPr>
            <w:ind w:left="850"/>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46" w:type="dxa"/>
          <w:vAlign w:val="center"/>
        </w:tcPr>
        <w:p w:rsidR="00E01860" w:rsidRDefault="00AF1602">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E01860" w:rsidRDefault="009C433D">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70.75pt;margin-top:-130.5pt;width:609.4pt;height:793.75pt;z-index:-251659776;mso-position-horizontal-relative:margin;mso-position-vertical-relative:margin">
          <v:imagedata r:id="rId1" o:title="image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a"/>
      <w:tblW w:w="7890" w:type="dxa"/>
      <w:tblInd w:w="2552" w:type="dxa"/>
      <w:tblLayout w:type="fixed"/>
      <w:tblLook w:val="0400" w:firstRow="0" w:lastRow="0" w:firstColumn="0" w:lastColumn="0" w:noHBand="0" w:noVBand="1"/>
    </w:tblPr>
    <w:tblGrid>
      <w:gridCol w:w="3744"/>
      <w:gridCol w:w="4146"/>
    </w:tblGrid>
    <w:tr w:rsidR="00E01860">
      <w:trPr>
        <w:trHeight w:val="281"/>
      </w:trPr>
      <w:tc>
        <w:tcPr>
          <w:tcW w:w="3744" w:type="dxa"/>
          <w:vAlign w:val="center"/>
        </w:tcPr>
        <w:p w:rsidR="00E01860" w:rsidRDefault="00AF1602">
          <w:pPr>
            <w:ind w:left="850"/>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46" w:type="dxa"/>
          <w:vAlign w:val="center"/>
        </w:tcPr>
        <w:p w:rsidR="00E01860" w:rsidRDefault="00AF1602">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04343/INFOEM/IP/RR/2024</w:t>
          </w:r>
        </w:p>
      </w:tc>
    </w:tr>
    <w:tr w:rsidR="00E01860">
      <w:trPr>
        <w:trHeight w:val="242"/>
      </w:trPr>
      <w:tc>
        <w:tcPr>
          <w:tcW w:w="3744" w:type="dxa"/>
          <w:vAlign w:val="center"/>
        </w:tcPr>
        <w:p w:rsidR="00E01860" w:rsidRDefault="00AF1602">
          <w:pPr>
            <w:ind w:left="850"/>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46" w:type="dxa"/>
        </w:tcPr>
        <w:p w:rsidR="00E01860" w:rsidRDefault="00E01860">
          <w:pPr>
            <w:pBdr>
              <w:top w:val="nil"/>
              <w:left w:val="nil"/>
              <w:bottom w:val="nil"/>
              <w:right w:val="nil"/>
              <w:between w:val="nil"/>
            </w:pBdr>
            <w:tabs>
              <w:tab w:val="right" w:pos="8838"/>
              <w:tab w:val="left" w:pos="521"/>
            </w:tabs>
            <w:ind w:right="-190"/>
            <w:rPr>
              <w:rFonts w:ascii="Palatino Linotype" w:eastAsia="Palatino Linotype" w:hAnsi="Palatino Linotype" w:cs="Palatino Linotype"/>
              <w:color w:val="000000"/>
              <w:sz w:val="22"/>
              <w:szCs w:val="22"/>
              <w:highlight w:val="green"/>
            </w:rPr>
          </w:pPr>
        </w:p>
      </w:tc>
    </w:tr>
    <w:tr w:rsidR="00E01860">
      <w:trPr>
        <w:trHeight w:val="342"/>
      </w:trPr>
      <w:tc>
        <w:tcPr>
          <w:tcW w:w="3744" w:type="dxa"/>
        </w:tcPr>
        <w:p w:rsidR="00E01860" w:rsidRDefault="00AF1602">
          <w:pPr>
            <w:ind w:left="850"/>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46" w:type="dxa"/>
          <w:vAlign w:val="center"/>
        </w:tcPr>
        <w:p w:rsidR="00E01860" w:rsidRDefault="00AF1602">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Toluca</w:t>
          </w:r>
        </w:p>
      </w:tc>
    </w:tr>
    <w:tr w:rsidR="00E01860">
      <w:trPr>
        <w:trHeight w:val="342"/>
      </w:trPr>
      <w:tc>
        <w:tcPr>
          <w:tcW w:w="3744" w:type="dxa"/>
          <w:vAlign w:val="center"/>
        </w:tcPr>
        <w:p w:rsidR="00E01860" w:rsidRDefault="00AF1602">
          <w:pPr>
            <w:ind w:left="850"/>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46" w:type="dxa"/>
          <w:vAlign w:val="center"/>
        </w:tcPr>
        <w:p w:rsidR="00E01860" w:rsidRDefault="00AF1602">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E01860" w:rsidRDefault="009C433D">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52B7C"/>
    <w:multiLevelType w:val="multilevel"/>
    <w:tmpl w:val="D9900FA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nsid w:val="02941C24"/>
    <w:multiLevelType w:val="multilevel"/>
    <w:tmpl w:val="8DFA5B0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11C73563"/>
    <w:multiLevelType w:val="multilevel"/>
    <w:tmpl w:val="AE3A9A1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nsid w:val="230B2668"/>
    <w:multiLevelType w:val="multilevel"/>
    <w:tmpl w:val="4D540F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76919F0"/>
    <w:multiLevelType w:val="multilevel"/>
    <w:tmpl w:val="685CF642"/>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5">
    <w:nsid w:val="30CD707B"/>
    <w:multiLevelType w:val="multilevel"/>
    <w:tmpl w:val="B6F213E4"/>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6">
    <w:nsid w:val="39C1527F"/>
    <w:multiLevelType w:val="multilevel"/>
    <w:tmpl w:val="530A2A14"/>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7">
    <w:nsid w:val="432C1E9E"/>
    <w:multiLevelType w:val="multilevel"/>
    <w:tmpl w:val="AF6E90C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B7B6D4C"/>
    <w:multiLevelType w:val="multilevel"/>
    <w:tmpl w:val="7638C174"/>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9">
    <w:nsid w:val="53AA7776"/>
    <w:multiLevelType w:val="multilevel"/>
    <w:tmpl w:val="8042056E"/>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0">
    <w:nsid w:val="60A55DB3"/>
    <w:multiLevelType w:val="multilevel"/>
    <w:tmpl w:val="E92C001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7"/>
  </w:num>
  <w:num w:numId="2">
    <w:abstractNumId w:val="5"/>
  </w:num>
  <w:num w:numId="3">
    <w:abstractNumId w:val="8"/>
  </w:num>
  <w:num w:numId="4">
    <w:abstractNumId w:val="2"/>
  </w:num>
  <w:num w:numId="5">
    <w:abstractNumId w:val="3"/>
  </w:num>
  <w:num w:numId="6">
    <w:abstractNumId w:val="0"/>
  </w:num>
  <w:num w:numId="7">
    <w:abstractNumId w:val="6"/>
  </w:num>
  <w:num w:numId="8">
    <w:abstractNumId w:val="9"/>
  </w:num>
  <w:num w:numId="9">
    <w:abstractNumId w:val="10"/>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860"/>
    <w:rsid w:val="004B4F32"/>
    <w:rsid w:val="004E63D2"/>
    <w:rsid w:val="009C433D"/>
    <w:rsid w:val="00AF1602"/>
    <w:rsid w:val="00BA63CA"/>
    <w:rsid w:val="00D010C3"/>
    <w:rsid w:val="00E018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07CBB3C-7E39-4A33-B013-23CEC7500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C21"/>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70" w:type="dxa"/>
        <w:bottom w:w="0" w:type="dxa"/>
        <w:right w:w="70" w:type="dxa"/>
      </w:tblCellMar>
    </w:tblPr>
  </w:style>
  <w:style w:type="table" w:customStyle="1" w:styleId="a1">
    <w:basedOn w:val="TableNormal2"/>
    <w:tblPr>
      <w:tblStyleRowBandSize w:val="1"/>
      <w:tblStyleColBandSize w:val="1"/>
      <w:tblCellMar>
        <w:top w:w="0" w:type="dxa"/>
        <w:left w:w="70" w:type="dxa"/>
        <w:bottom w:w="0" w:type="dxa"/>
        <w:right w:w="70" w:type="dxa"/>
      </w:tblCellMar>
    </w:tblPr>
  </w:style>
  <w:style w:type="table" w:customStyle="1" w:styleId="a2">
    <w:basedOn w:val="TableNormal2"/>
    <w:tblPr>
      <w:tblStyleRowBandSize w:val="1"/>
      <w:tblStyleColBandSize w:val="1"/>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2"/>
    <w:tblPr>
      <w:tblStyleRowBandSize w:val="1"/>
      <w:tblStyleColBandSize w:val="1"/>
      <w:tblCellMar>
        <w:top w:w="0" w:type="dxa"/>
        <w:left w:w="70" w:type="dxa"/>
        <w:bottom w:w="0" w:type="dxa"/>
        <w:right w:w="70" w:type="dxa"/>
      </w:tblCellMar>
    </w:tblPr>
  </w:style>
  <w:style w:type="table" w:customStyle="1" w:styleId="a4">
    <w:basedOn w:val="TableNormal2"/>
    <w:tblPr>
      <w:tblStyleRowBandSize w:val="1"/>
      <w:tblStyleColBandSize w:val="1"/>
      <w:tblCellMar>
        <w:top w:w="0" w:type="dxa"/>
        <w:left w:w="70" w:type="dxa"/>
        <w:bottom w:w="0" w:type="dxa"/>
        <w:right w:w="70" w:type="dxa"/>
      </w:tblCellMar>
    </w:tblPr>
  </w:style>
  <w:style w:type="character" w:styleId="Textoennegrita">
    <w:name w:val="Strong"/>
    <w:basedOn w:val="Fuentedeprrafopredeter"/>
    <w:uiPriority w:val="22"/>
    <w:qFormat/>
    <w:rsid w:val="007F0536"/>
    <w:rPr>
      <w:b/>
      <w:bCs/>
    </w:rPr>
  </w:style>
  <w:style w:type="paragraph" w:styleId="NormalWeb">
    <w:name w:val="Normal (Web)"/>
    <w:basedOn w:val="Normal"/>
    <w:uiPriority w:val="99"/>
    <w:unhideWhenUsed/>
    <w:rsid w:val="007F0536"/>
    <w:rPr>
      <w:rFonts w:ascii="Times New Roman" w:hAnsi="Times New Roman" w:cs="Times New Roman"/>
    </w:r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70" w:type="dxa"/>
        <w:bottom w:w="0" w:type="dxa"/>
        <w:right w:w="70" w:type="dxa"/>
      </w:tblCellMar>
    </w:tblPr>
  </w:style>
  <w:style w:type="table" w:customStyle="1" w:styleId="a7">
    <w:basedOn w:val="TableNormal1"/>
    <w:tblPr>
      <w:tblStyleRowBandSize w:val="1"/>
      <w:tblStyleColBandSize w:val="1"/>
      <w:tblCellMar>
        <w:top w:w="0" w:type="dxa"/>
        <w:left w:w="70" w:type="dxa"/>
        <w:bottom w:w="0" w:type="dxa"/>
        <w:right w:w="70"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70" w:type="dxa"/>
        <w:bottom w:w="0" w:type="dxa"/>
        <w:right w:w="70" w:type="dxa"/>
      </w:tblCellMar>
    </w:tblPr>
  </w:style>
  <w:style w:type="table" w:customStyle="1" w:styleId="aa">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toluca.datasets.mx" TargetMode="External"/><Relationship Id="rId13" Type="http://schemas.openxmlformats.org/officeDocument/2006/relationships/hyperlink" Target="https://toluca.datasets.mx"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toluca.datasets.mx" TargetMode="Externa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luca.datasets.m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toluca.datasets.mx"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toluca.datasets.mx" TargetMode="Externa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Z9QJbIvgxu1zJ61q4BB3gkBQLQ==">CgMxLjAyCGguZ2pkZ3hzMgloLjMwajB6bGwyCWguMWZvYjl0ZTIJaC4zem55c2g3MgloLjJldDkycDAyCGgudHlqY3d0MgloLjNkeTZ2a20yCWguMXQzaDVzZjIJaC40ZDM0b2c4OAByITFCSk9wQ2phbmp3SjBmb3dFakY3Yy1namRBM1JaWVBSNw==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34</Pages>
  <Words>7718</Words>
  <Characters>42453</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50071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INFOEM416</cp:lastModifiedBy>
  <cp:revision>4</cp:revision>
  <cp:lastPrinted>2025-02-27T17:26:00Z</cp:lastPrinted>
  <dcterms:created xsi:type="dcterms:W3CDTF">2025-02-20T01:41:00Z</dcterms:created>
  <dcterms:modified xsi:type="dcterms:W3CDTF">2025-02-27T17:26:00Z</dcterms:modified>
</cp:coreProperties>
</file>