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E89D6" w14:textId="77777777" w:rsidR="005A75AA" w:rsidRPr="00CD2063" w:rsidRDefault="005A75AA" w:rsidP="00CD2063">
      <w:pPr>
        <w:tabs>
          <w:tab w:val="left" w:pos="0"/>
          <w:tab w:val="left" w:pos="3465"/>
        </w:tabs>
        <w:spacing w:line="360" w:lineRule="auto"/>
        <w:jc w:val="both"/>
        <w:rPr>
          <w:rFonts w:ascii="Palatino Linotype" w:hAnsi="Palatino Linotype"/>
          <w:color w:val="000000" w:themeColor="text1"/>
        </w:rPr>
      </w:pPr>
    </w:p>
    <w:p w14:paraId="60EAB380" w14:textId="77777777" w:rsidR="005A75AA" w:rsidRPr="00CD2063" w:rsidRDefault="005A75AA" w:rsidP="00CD2063">
      <w:pPr>
        <w:tabs>
          <w:tab w:val="left" w:pos="0"/>
          <w:tab w:val="left" w:pos="3465"/>
        </w:tabs>
        <w:spacing w:line="360" w:lineRule="auto"/>
        <w:jc w:val="both"/>
        <w:rPr>
          <w:rFonts w:ascii="Palatino Linotype" w:hAnsi="Palatino Linotype"/>
          <w:color w:val="000000" w:themeColor="text1"/>
        </w:rPr>
      </w:pPr>
    </w:p>
    <w:p w14:paraId="73F7F940" w14:textId="0071D953" w:rsidR="00662C69" w:rsidRPr="00E73A39" w:rsidRDefault="009B11D6" w:rsidP="00CD2063">
      <w:pPr>
        <w:tabs>
          <w:tab w:val="left" w:pos="0"/>
          <w:tab w:val="left" w:pos="3465"/>
        </w:tabs>
        <w:spacing w:line="360" w:lineRule="auto"/>
        <w:jc w:val="both"/>
        <w:rPr>
          <w:rFonts w:ascii="Palatino Linotype" w:hAnsi="Palatino Linotype"/>
          <w:color w:val="000000" w:themeColor="text1"/>
        </w:rPr>
      </w:pPr>
      <w:r w:rsidRPr="00E73A39">
        <w:rPr>
          <w:rFonts w:ascii="Palatino Linotype" w:hAnsi="Palatino Linotype"/>
          <w:color w:val="000000" w:themeColor="text1"/>
        </w:rPr>
        <w:t>R</w:t>
      </w:r>
      <w:r w:rsidR="00662C69" w:rsidRPr="00E73A3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73A39">
        <w:rPr>
          <w:rFonts w:ascii="Palatino Linotype" w:hAnsi="Palatino Linotype"/>
          <w:color w:val="000000" w:themeColor="text1"/>
        </w:rPr>
        <w:t>icipios, con</w:t>
      </w:r>
      <w:r w:rsidR="00662C69" w:rsidRPr="00E73A39">
        <w:rPr>
          <w:rFonts w:ascii="Palatino Linotype" w:hAnsi="Palatino Linotype"/>
          <w:color w:val="000000" w:themeColor="text1"/>
        </w:rPr>
        <w:t xml:space="preserve"> </w:t>
      </w:r>
      <w:r w:rsidR="00485DB6" w:rsidRPr="00E73A39">
        <w:rPr>
          <w:rFonts w:ascii="Palatino Linotype" w:hAnsi="Palatino Linotype"/>
          <w:color w:val="000000" w:themeColor="text1"/>
        </w:rPr>
        <w:t xml:space="preserve">domicilio </w:t>
      </w:r>
      <w:r w:rsidR="00662C69" w:rsidRPr="00E73A39">
        <w:rPr>
          <w:rFonts w:ascii="Palatino Linotype" w:hAnsi="Palatino Linotype"/>
          <w:color w:val="000000" w:themeColor="text1"/>
        </w:rPr>
        <w:t xml:space="preserve">en Metepec, Estado de México; </w:t>
      </w:r>
      <w:r w:rsidR="00662C69" w:rsidRPr="00E73A39">
        <w:rPr>
          <w:rFonts w:ascii="Palatino Linotype" w:hAnsi="Palatino Linotype"/>
          <w:b/>
          <w:color w:val="000000" w:themeColor="text1"/>
        </w:rPr>
        <w:t xml:space="preserve">de </w:t>
      </w:r>
      <w:r w:rsidR="00B637DA" w:rsidRPr="00E73A39">
        <w:rPr>
          <w:rFonts w:ascii="Palatino Linotype" w:hAnsi="Palatino Linotype"/>
          <w:b/>
          <w:color w:val="000000" w:themeColor="text1"/>
        </w:rPr>
        <w:t xml:space="preserve">fecha </w:t>
      </w:r>
      <w:r w:rsidR="00A64283" w:rsidRPr="00E73A39">
        <w:rPr>
          <w:rFonts w:ascii="Palatino Linotype" w:hAnsi="Palatino Linotype"/>
          <w:b/>
          <w:color w:val="000000" w:themeColor="text1"/>
        </w:rPr>
        <w:t>veinti</w:t>
      </w:r>
      <w:r w:rsidR="00CD2063" w:rsidRPr="00E73A39">
        <w:rPr>
          <w:rFonts w:ascii="Palatino Linotype" w:hAnsi="Palatino Linotype"/>
          <w:b/>
          <w:color w:val="000000" w:themeColor="text1"/>
        </w:rPr>
        <w:t xml:space="preserve">ocho </w:t>
      </w:r>
      <w:r w:rsidR="00A64283" w:rsidRPr="00E73A39">
        <w:rPr>
          <w:rFonts w:ascii="Palatino Linotype" w:hAnsi="Palatino Linotype"/>
          <w:b/>
          <w:color w:val="000000" w:themeColor="text1"/>
        </w:rPr>
        <w:t>de mayo de dos mil veinticinco</w:t>
      </w:r>
      <w:r w:rsidR="00A64283" w:rsidRPr="00E73A39">
        <w:rPr>
          <w:rFonts w:ascii="Palatino Linotype" w:hAnsi="Palatino Linotype"/>
          <w:color w:val="000000" w:themeColor="text1"/>
        </w:rPr>
        <w:t>.</w:t>
      </w:r>
    </w:p>
    <w:p w14:paraId="5A51B5EC" w14:textId="77777777" w:rsidR="008A5A73" w:rsidRPr="00E73A39" w:rsidRDefault="008A5A73" w:rsidP="00CD2063">
      <w:pPr>
        <w:tabs>
          <w:tab w:val="left" w:pos="0"/>
          <w:tab w:val="left" w:pos="3465"/>
        </w:tabs>
        <w:spacing w:line="360" w:lineRule="auto"/>
        <w:jc w:val="both"/>
        <w:rPr>
          <w:rFonts w:ascii="Palatino Linotype" w:hAnsi="Palatino Linotype"/>
          <w:color w:val="000000" w:themeColor="text1"/>
        </w:rPr>
      </w:pPr>
    </w:p>
    <w:p w14:paraId="7DF270C3" w14:textId="4EEACE12" w:rsidR="00112BFF" w:rsidRPr="00E73A39" w:rsidRDefault="00112BFF" w:rsidP="00CD2063">
      <w:pPr>
        <w:pStyle w:val="Encabezado"/>
        <w:tabs>
          <w:tab w:val="left" w:pos="0"/>
        </w:tabs>
        <w:spacing w:line="360" w:lineRule="auto"/>
        <w:jc w:val="both"/>
        <w:rPr>
          <w:rFonts w:ascii="Palatino Linotype" w:eastAsia="Times New Roman" w:hAnsi="Palatino Linotype" w:cs="Times New Roman"/>
          <w:b/>
          <w:color w:val="000000" w:themeColor="text1"/>
        </w:rPr>
      </w:pPr>
      <w:r w:rsidRPr="00E73A39">
        <w:rPr>
          <w:rFonts w:ascii="Palatino Linotype" w:eastAsia="Times New Roman" w:hAnsi="Palatino Linotype" w:cs="Times New Roman"/>
          <w:b/>
          <w:color w:val="000000" w:themeColor="text1"/>
        </w:rPr>
        <w:t>VISTO</w:t>
      </w:r>
      <w:r w:rsidR="00620589" w:rsidRPr="00E73A39">
        <w:rPr>
          <w:rFonts w:ascii="Palatino Linotype" w:eastAsia="Times New Roman" w:hAnsi="Palatino Linotype" w:cs="Times New Roman"/>
          <w:color w:val="000000" w:themeColor="text1"/>
        </w:rPr>
        <w:t xml:space="preserve"> en </w:t>
      </w:r>
      <w:r w:rsidR="000249BD" w:rsidRPr="00E73A39">
        <w:rPr>
          <w:rFonts w:ascii="Palatino Linotype" w:eastAsia="Times New Roman" w:hAnsi="Palatino Linotype" w:cs="Times New Roman"/>
          <w:color w:val="000000" w:themeColor="text1"/>
        </w:rPr>
        <w:t>el</w:t>
      </w:r>
      <w:r w:rsidRPr="00E73A39">
        <w:rPr>
          <w:rFonts w:ascii="Palatino Linotype" w:eastAsia="Times New Roman" w:hAnsi="Palatino Linotype" w:cs="Times New Roman"/>
          <w:color w:val="000000" w:themeColor="text1"/>
        </w:rPr>
        <w:t xml:space="preserve"> expediente</w:t>
      </w:r>
      <w:r w:rsidR="000249BD" w:rsidRPr="00E73A39">
        <w:rPr>
          <w:rFonts w:ascii="Palatino Linotype" w:eastAsia="Times New Roman" w:hAnsi="Palatino Linotype" w:cs="Times New Roman"/>
          <w:color w:val="000000" w:themeColor="text1"/>
        </w:rPr>
        <w:t xml:space="preserve"> </w:t>
      </w:r>
      <w:r w:rsidRPr="00E73A39">
        <w:rPr>
          <w:rFonts w:ascii="Palatino Linotype" w:eastAsia="Times New Roman" w:hAnsi="Palatino Linotype" w:cs="Times New Roman"/>
          <w:color w:val="000000" w:themeColor="text1"/>
        </w:rPr>
        <w:t>electrónico formado con motivo de</w:t>
      </w:r>
      <w:r w:rsidR="000249BD" w:rsidRPr="00E73A39">
        <w:rPr>
          <w:rFonts w:ascii="Palatino Linotype" w:eastAsia="Times New Roman" w:hAnsi="Palatino Linotype" w:cs="Times New Roman"/>
          <w:color w:val="000000" w:themeColor="text1"/>
        </w:rPr>
        <w:t>l</w:t>
      </w:r>
      <w:r w:rsidRPr="00E73A39">
        <w:rPr>
          <w:rFonts w:ascii="Palatino Linotype" w:eastAsia="Times New Roman" w:hAnsi="Palatino Linotype" w:cs="Times New Roman"/>
          <w:color w:val="000000" w:themeColor="text1"/>
        </w:rPr>
        <w:t xml:space="preserve"> recurso de revisión número </w:t>
      </w:r>
      <w:r w:rsidR="00A64283" w:rsidRPr="00E73A39">
        <w:rPr>
          <w:rFonts w:ascii="Palatino Linotype" w:hAnsi="Palatino Linotype" w:cs="Arial"/>
          <w:b/>
          <w:bCs/>
          <w:color w:val="000000" w:themeColor="text1"/>
          <w:lang w:eastAsia="es-MX"/>
        </w:rPr>
        <w:t>01353</w:t>
      </w:r>
      <w:r w:rsidRPr="00E73A39">
        <w:rPr>
          <w:rFonts w:ascii="Palatino Linotype" w:hAnsi="Palatino Linotype" w:cs="Arial"/>
          <w:b/>
          <w:bCs/>
          <w:color w:val="000000" w:themeColor="text1"/>
          <w:lang w:eastAsia="es-MX"/>
        </w:rPr>
        <w:t>/INFOEM/IP/RR/</w:t>
      </w:r>
      <w:r w:rsidR="00006F07" w:rsidRPr="00E73A39">
        <w:rPr>
          <w:rFonts w:ascii="Palatino Linotype" w:hAnsi="Palatino Linotype" w:cs="Arial"/>
          <w:b/>
          <w:bCs/>
          <w:color w:val="000000" w:themeColor="text1"/>
          <w:lang w:eastAsia="es-MX"/>
        </w:rPr>
        <w:t>202</w:t>
      </w:r>
      <w:r w:rsidR="00A64283" w:rsidRPr="00E73A39">
        <w:rPr>
          <w:rFonts w:ascii="Palatino Linotype" w:hAnsi="Palatino Linotype" w:cs="Arial"/>
          <w:b/>
          <w:bCs/>
          <w:color w:val="000000" w:themeColor="text1"/>
          <w:lang w:eastAsia="es-MX"/>
        </w:rPr>
        <w:t>5</w:t>
      </w:r>
      <w:r w:rsidRPr="00E73A39">
        <w:rPr>
          <w:rFonts w:ascii="Palatino Linotype" w:eastAsia="Times New Roman" w:hAnsi="Palatino Linotype" w:cs="Arial"/>
          <w:bCs/>
          <w:color w:val="000000" w:themeColor="text1"/>
        </w:rPr>
        <w:t xml:space="preserve">, </w:t>
      </w:r>
      <w:r w:rsidRPr="00E73A39">
        <w:rPr>
          <w:rFonts w:ascii="Palatino Linotype" w:eastAsia="Times New Roman" w:hAnsi="Palatino Linotype" w:cs="Times New Roman"/>
          <w:color w:val="000000" w:themeColor="text1"/>
        </w:rPr>
        <w:t xml:space="preserve">promovido por </w:t>
      </w:r>
      <w:r w:rsidR="00A64283" w:rsidRPr="00E73A39">
        <w:rPr>
          <w:rFonts w:ascii="Palatino Linotype" w:hAnsi="Palatino Linotype"/>
          <w:b/>
          <w:bCs/>
          <w:color w:val="000000" w:themeColor="text1"/>
        </w:rPr>
        <w:t>un</w:t>
      </w:r>
      <w:r w:rsidR="00CD2063" w:rsidRPr="00E73A39">
        <w:rPr>
          <w:rFonts w:ascii="Palatino Linotype" w:hAnsi="Palatino Linotype"/>
          <w:b/>
          <w:bCs/>
          <w:color w:val="000000" w:themeColor="text1"/>
        </w:rPr>
        <w:t>a persona que no proporcionó datos de identificación,</w:t>
      </w:r>
      <w:r w:rsidR="00CD2063" w:rsidRPr="00E73A39">
        <w:rPr>
          <w:rFonts w:ascii="Palatino Linotype" w:hAnsi="Palatino Linotype"/>
          <w:bCs/>
          <w:color w:val="000000" w:themeColor="text1"/>
        </w:rPr>
        <w:t xml:space="preserve"> a quién en lo sucesivo dominaremos como </w:t>
      </w:r>
      <w:r w:rsidR="00CD2063" w:rsidRPr="00E73A39">
        <w:rPr>
          <w:rFonts w:ascii="Palatino Linotype" w:hAnsi="Palatino Linotype"/>
          <w:b/>
          <w:bCs/>
          <w:color w:val="000000" w:themeColor="text1"/>
        </w:rPr>
        <w:t xml:space="preserve">EL </w:t>
      </w:r>
      <w:r w:rsidR="00A64283" w:rsidRPr="00E73A39">
        <w:rPr>
          <w:rFonts w:ascii="Palatino Linotype" w:hAnsi="Palatino Linotype"/>
          <w:b/>
          <w:bCs/>
          <w:color w:val="000000" w:themeColor="text1"/>
        </w:rPr>
        <w:t>RECURRENTE</w:t>
      </w:r>
      <w:r w:rsidRPr="00E73A39">
        <w:rPr>
          <w:rFonts w:ascii="Palatino Linotype" w:eastAsia="Times New Roman" w:hAnsi="Palatino Linotype" w:cs="Arial"/>
          <w:color w:val="000000" w:themeColor="text1"/>
        </w:rPr>
        <w:t>, en contra de la respuesta d</w:t>
      </w:r>
      <w:r w:rsidR="000249BD" w:rsidRPr="00E73A39">
        <w:rPr>
          <w:rFonts w:ascii="Palatino Linotype" w:eastAsia="Times New Roman" w:hAnsi="Palatino Linotype" w:cs="Arial"/>
          <w:color w:val="000000" w:themeColor="text1"/>
        </w:rPr>
        <w:t xml:space="preserve">el </w:t>
      </w:r>
      <w:r w:rsidR="000249BD" w:rsidRPr="00E73A39">
        <w:rPr>
          <w:rFonts w:ascii="Palatino Linotype" w:eastAsia="Times New Roman" w:hAnsi="Palatino Linotype" w:cs="Arial"/>
          <w:b/>
          <w:bCs/>
          <w:color w:val="000000" w:themeColor="text1"/>
        </w:rPr>
        <w:t xml:space="preserve">Ayuntamiento de </w:t>
      </w:r>
      <w:r w:rsidR="00A64283" w:rsidRPr="00E73A39">
        <w:rPr>
          <w:rFonts w:ascii="Palatino Linotype" w:eastAsia="Times New Roman" w:hAnsi="Palatino Linotype" w:cs="Arial"/>
          <w:b/>
          <w:bCs/>
          <w:color w:val="000000" w:themeColor="text1"/>
        </w:rPr>
        <w:t>Toluca</w:t>
      </w:r>
      <w:r w:rsidRPr="00E73A39">
        <w:rPr>
          <w:rFonts w:ascii="Palatino Linotype" w:eastAsia="Calibri" w:hAnsi="Palatino Linotype" w:cs="Arial"/>
          <w:color w:val="000000" w:themeColor="text1"/>
          <w:lang w:val="es-ES"/>
        </w:rPr>
        <w:t xml:space="preserve">, </w:t>
      </w:r>
      <w:r w:rsidRPr="00E73A39">
        <w:rPr>
          <w:rFonts w:ascii="Palatino Linotype" w:eastAsia="Times New Roman" w:hAnsi="Palatino Linotype" w:cs="Times New Roman"/>
          <w:color w:val="000000" w:themeColor="text1"/>
        </w:rPr>
        <w:t>en lo sucesivo el</w:t>
      </w:r>
      <w:r w:rsidRPr="00E73A39">
        <w:rPr>
          <w:rFonts w:ascii="Palatino Linotype" w:eastAsia="Times New Roman" w:hAnsi="Palatino Linotype" w:cs="Times New Roman"/>
          <w:b/>
          <w:color w:val="000000" w:themeColor="text1"/>
        </w:rPr>
        <w:t xml:space="preserve"> SUJETO OBLIGADO, </w:t>
      </w:r>
      <w:r w:rsidRPr="00E73A39">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E73A39" w:rsidRDefault="00933948" w:rsidP="00CD2063">
      <w:pPr>
        <w:tabs>
          <w:tab w:val="left" w:pos="0"/>
        </w:tabs>
        <w:spacing w:line="360" w:lineRule="auto"/>
        <w:jc w:val="both"/>
        <w:rPr>
          <w:rFonts w:ascii="Palatino Linotype" w:hAnsi="Palatino Linotype"/>
          <w:color w:val="000000" w:themeColor="text1"/>
        </w:rPr>
      </w:pPr>
    </w:p>
    <w:p w14:paraId="468D1AB4" w14:textId="77C92CCF" w:rsidR="008A5A73" w:rsidRPr="00E73A39" w:rsidRDefault="00662C69" w:rsidP="00CD2063">
      <w:pPr>
        <w:pStyle w:val="Ttulo2"/>
        <w:tabs>
          <w:tab w:val="left" w:pos="0"/>
        </w:tabs>
        <w:jc w:val="center"/>
        <w:rPr>
          <w:rFonts w:ascii="Palatino Linotype" w:hAnsi="Palatino Linotype"/>
          <w:b/>
          <w:color w:val="000000" w:themeColor="text1"/>
          <w:sz w:val="24"/>
          <w:szCs w:val="24"/>
        </w:rPr>
      </w:pPr>
      <w:bookmarkStart w:id="0" w:name="_Toc461555884"/>
      <w:bookmarkStart w:id="1" w:name="_Toc466371847"/>
      <w:bookmarkStart w:id="2" w:name="_Toc2248730"/>
      <w:bookmarkStart w:id="3" w:name="_Toc88748489"/>
      <w:r w:rsidRPr="00E73A39">
        <w:rPr>
          <w:rFonts w:ascii="Palatino Linotype" w:hAnsi="Palatino Linotype"/>
          <w:b/>
          <w:color w:val="000000" w:themeColor="text1"/>
          <w:sz w:val="24"/>
          <w:szCs w:val="24"/>
        </w:rPr>
        <w:t>A</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N</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T</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E</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C</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E</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D</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E</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N</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T</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E</w:t>
      </w:r>
      <w:r w:rsidR="00CD20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S</w:t>
      </w:r>
      <w:bookmarkEnd w:id="0"/>
      <w:bookmarkEnd w:id="1"/>
      <w:bookmarkEnd w:id="2"/>
      <w:bookmarkEnd w:id="3"/>
    </w:p>
    <w:p w14:paraId="1294B304" w14:textId="77777777" w:rsidR="00C1682A" w:rsidRPr="00E73A39" w:rsidRDefault="00C1682A" w:rsidP="00CD2063">
      <w:pPr>
        <w:tabs>
          <w:tab w:val="left" w:pos="0"/>
        </w:tabs>
        <w:rPr>
          <w:rFonts w:ascii="Palatino Linotype" w:hAnsi="Palatino Linotype"/>
          <w:color w:val="000000" w:themeColor="text1"/>
          <w:lang w:eastAsia="en-US"/>
        </w:rPr>
      </w:pPr>
    </w:p>
    <w:p w14:paraId="69196E01" w14:textId="77777777" w:rsidR="00A22B63" w:rsidRPr="00E73A39" w:rsidRDefault="00A22B63" w:rsidP="00CD2063">
      <w:pPr>
        <w:tabs>
          <w:tab w:val="left" w:pos="0"/>
        </w:tabs>
        <w:rPr>
          <w:rFonts w:ascii="Palatino Linotype" w:hAnsi="Palatino Linotype"/>
          <w:color w:val="000000" w:themeColor="text1"/>
          <w:lang w:eastAsia="en-US"/>
        </w:rPr>
      </w:pPr>
    </w:p>
    <w:p w14:paraId="5C8255BB" w14:textId="45F28E58" w:rsidR="00946C27" w:rsidRPr="00E73A39" w:rsidRDefault="00112BFF"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El </w:t>
      </w:r>
      <w:r w:rsidR="00A64283" w:rsidRPr="00E73A39">
        <w:rPr>
          <w:rFonts w:ascii="Palatino Linotype" w:eastAsia="Calibri" w:hAnsi="Palatino Linotype" w:cs="Arial"/>
          <w:bCs/>
          <w:color w:val="000000" w:themeColor="text1"/>
          <w:lang w:val="es-ES"/>
        </w:rPr>
        <w:t>trece de enero de dos mil veinticinco</w:t>
      </w:r>
      <w:r w:rsidRPr="00E73A39">
        <w:rPr>
          <w:rFonts w:ascii="Palatino Linotype" w:eastAsia="Calibri" w:hAnsi="Palatino Linotype" w:cs="Arial"/>
          <w:color w:val="000000" w:themeColor="text1"/>
          <w:lang w:val="es-ES"/>
        </w:rPr>
        <w:t>,</w:t>
      </w:r>
      <w:r w:rsidRPr="00E73A39">
        <w:rPr>
          <w:rFonts w:ascii="Palatino Linotype" w:eastAsia="Calibri" w:hAnsi="Palatino Linotype" w:cs="Times New Roman"/>
          <w:color w:val="000000" w:themeColor="text1"/>
          <w:lang w:val="es-ES"/>
        </w:rPr>
        <w:t xml:space="preserve"> </w:t>
      </w:r>
      <w:r w:rsidRPr="00E73A39">
        <w:rPr>
          <w:rFonts w:ascii="Palatino Linotype" w:eastAsia="Calibri" w:hAnsi="Palatino Linotype" w:cs="Arial"/>
          <w:color w:val="000000" w:themeColor="text1"/>
          <w:lang w:val="es-ES"/>
        </w:rPr>
        <w:t>se</w:t>
      </w:r>
      <w:r w:rsidRPr="00E73A39">
        <w:rPr>
          <w:rFonts w:ascii="Palatino Linotype" w:eastAsia="Calibri" w:hAnsi="Palatino Linotype" w:cs="Arial"/>
          <w:b/>
          <w:color w:val="000000" w:themeColor="text1"/>
          <w:lang w:val="es-ES"/>
        </w:rPr>
        <w:t xml:space="preserve"> </w:t>
      </w:r>
      <w:r w:rsidR="00620589" w:rsidRPr="00E73A39">
        <w:rPr>
          <w:rFonts w:ascii="Palatino Linotype" w:hAnsi="Palatino Linotype"/>
          <w:color w:val="000000" w:themeColor="text1"/>
        </w:rPr>
        <w:t>presentaron</w:t>
      </w:r>
      <w:r w:rsidRPr="00E73A39">
        <w:rPr>
          <w:rFonts w:ascii="Palatino Linotype" w:hAnsi="Palatino Linotype"/>
          <w:b/>
          <w:color w:val="000000" w:themeColor="text1"/>
        </w:rPr>
        <w:t xml:space="preserve"> </w:t>
      </w:r>
      <w:r w:rsidRPr="00E73A39">
        <w:rPr>
          <w:rFonts w:ascii="Palatino Linotype" w:eastAsia="Calibri" w:hAnsi="Palatino Linotype" w:cs="Arial"/>
          <w:color w:val="000000" w:themeColor="text1"/>
        </w:rPr>
        <w:t xml:space="preserve">vía </w:t>
      </w:r>
      <w:r w:rsidR="001656D5" w:rsidRPr="00E73A39">
        <w:rPr>
          <w:rFonts w:ascii="Palatino Linotype" w:eastAsia="Calibri" w:hAnsi="Palatino Linotype" w:cs="Arial"/>
          <w:color w:val="000000" w:themeColor="text1"/>
        </w:rPr>
        <w:t xml:space="preserve">Sistema de Acceso a la Información Mexiquense </w:t>
      </w:r>
      <w:r w:rsidR="001656D5" w:rsidRPr="00E73A39">
        <w:rPr>
          <w:rFonts w:ascii="Palatino Linotype" w:eastAsia="Calibri" w:hAnsi="Palatino Linotype" w:cs="Arial"/>
          <w:b/>
          <w:color w:val="000000" w:themeColor="text1"/>
        </w:rPr>
        <w:t>(SAIMEX)</w:t>
      </w:r>
      <w:r w:rsidRPr="00E73A39">
        <w:rPr>
          <w:rFonts w:ascii="Palatino Linotype" w:eastAsia="Calibri" w:hAnsi="Palatino Linotype" w:cs="Arial"/>
          <w:b/>
          <w:color w:val="000000" w:themeColor="text1"/>
          <w:lang w:val="es-ES"/>
        </w:rPr>
        <w:t>,</w:t>
      </w:r>
      <w:r w:rsidRPr="00E73A39">
        <w:rPr>
          <w:rFonts w:ascii="Palatino Linotype" w:eastAsia="Calibri" w:hAnsi="Palatino Linotype" w:cs="Arial"/>
          <w:color w:val="000000" w:themeColor="text1"/>
          <w:lang w:val="es-ES"/>
        </w:rPr>
        <w:t xml:space="preserve"> la</w:t>
      </w:r>
      <w:r w:rsidR="000249BD" w:rsidRPr="00E73A39">
        <w:rPr>
          <w:rFonts w:ascii="Palatino Linotype" w:eastAsia="Calibri" w:hAnsi="Palatino Linotype" w:cs="Arial"/>
          <w:color w:val="000000" w:themeColor="text1"/>
          <w:lang w:val="es-ES"/>
        </w:rPr>
        <w:t xml:space="preserve"> </w:t>
      </w:r>
      <w:r w:rsidRPr="00E73A39">
        <w:rPr>
          <w:rFonts w:ascii="Palatino Linotype" w:eastAsia="Calibri" w:hAnsi="Palatino Linotype" w:cs="Arial"/>
          <w:color w:val="000000" w:themeColor="text1"/>
          <w:lang w:val="es-ES"/>
        </w:rPr>
        <w:t>solicitud de información pública registrada</w:t>
      </w:r>
      <w:r w:rsidR="00D956DB" w:rsidRPr="00E73A39">
        <w:rPr>
          <w:rFonts w:ascii="Palatino Linotype" w:eastAsia="Calibri" w:hAnsi="Palatino Linotype" w:cs="Arial"/>
          <w:color w:val="000000" w:themeColor="text1"/>
          <w:lang w:val="es-ES"/>
        </w:rPr>
        <w:t xml:space="preserve"> con </w:t>
      </w:r>
      <w:r w:rsidR="000249BD" w:rsidRPr="00E73A39">
        <w:rPr>
          <w:rFonts w:ascii="Palatino Linotype" w:eastAsia="Calibri" w:hAnsi="Palatino Linotype" w:cs="Arial"/>
          <w:color w:val="000000" w:themeColor="text1"/>
          <w:lang w:val="es-ES"/>
        </w:rPr>
        <w:t>el</w:t>
      </w:r>
      <w:r w:rsidRPr="00E73A39">
        <w:rPr>
          <w:rFonts w:ascii="Palatino Linotype" w:eastAsia="Calibri" w:hAnsi="Palatino Linotype" w:cs="Arial"/>
          <w:color w:val="000000" w:themeColor="text1"/>
          <w:lang w:val="es-ES"/>
        </w:rPr>
        <w:t xml:space="preserve"> número </w:t>
      </w:r>
      <w:r w:rsidR="00D956DB" w:rsidRPr="00E73A39">
        <w:rPr>
          <w:rFonts w:ascii="Palatino Linotype" w:hAnsi="Palatino Linotype"/>
          <w:b/>
          <w:color w:val="000000" w:themeColor="text1"/>
        </w:rPr>
        <w:t>00</w:t>
      </w:r>
      <w:r w:rsidR="00A64283" w:rsidRPr="00E73A39">
        <w:rPr>
          <w:rFonts w:ascii="Palatino Linotype" w:hAnsi="Palatino Linotype"/>
          <w:b/>
          <w:color w:val="000000" w:themeColor="text1"/>
        </w:rPr>
        <w:t>199</w:t>
      </w:r>
      <w:r w:rsidR="007D17AA" w:rsidRPr="00E73A39">
        <w:rPr>
          <w:rFonts w:ascii="Palatino Linotype" w:hAnsi="Palatino Linotype"/>
          <w:b/>
          <w:color w:val="000000" w:themeColor="text1"/>
        </w:rPr>
        <w:t>/</w:t>
      </w:r>
      <w:r w:rsidR="00A64283" w:rsidRPr="00E73A39">
        <w:rPr>
          <w:rFonts w:ascii="Palatino Linotype" w:hAnsi="Palatino Linotype"/>
          <w:b/>
          <w:color w:val="000000" w:themeColor="text1"/>
        </w:rPr>
        <w:t>TOLUCA</w:t>
      </w:r>
      <w:r w:rsidR="00006F07" w:rsidRPr="00E73A39">
        <w:rPr>
          <w:rFonts w:ascii="Palatino Linotype" w:hAnsi="Palatino Linotype"/>
          <w:b/>
          <w:color w:val="000000" w:themeColor="text1"/>
        </w:rPr>
        <w:t>/IP/202</w:t>
      </w:r>
      <w:r w:rsidR="00A64283" w:rsidRPr="00E73A39">
        <w:rPr>
          <w:rFonts w:ascii="Palatino Linotype" w:hAnsi="Palatino Linotype"/>
          <w:b/>
          <w:color w:val="000000" w:themeColor="text1"/>
        </w:rPr>
        <w:t>5</w:t>
      </w:r>
      <w:r w:rsidRPr="00E73A39">
        <w:rPr>
          <w:rFonts w:ascii="Palatino Linotype" w:hAnsi="Palatino Linotype"/>
          <w:b/>
          <w:bCs/>
          <w:color w:val="000000" w:themeColor="text1"/>
        </w:rPr>
        <w:t>,</w:t>
      </w:r>
      <w:r w:rsidRPr="00E73A39">
        <w:rPr>
          <w:rFonts w:ascii="Palatino Linotype" w:eastAsia="Calibri" w:hAnsi="Palatino Linotype" w:cs="Arial"/>
          <w:color w:val="000000" w:themeColor="text1"/>
          <w:lang w:val="es-ES"/>
        </w:rPr>
        <w:t xml:space="preserve"> mediante la</w:t>
      </w:r>
      <w:r w:rsidR="000249BD" w:rsidRPr="00E73A39">
        <w:rPr>
          <w:rFonts w:ascii="Palatino Linotype" w:eastAsia="Calibri" w:hAnsi="Palatino Linotype" w:cs="Arial"/>
          <w:color w:val="000000" w:themeColor="text1"/>
          <w:lang w:val="es-ES"/>
        </w:rPr>
        <w:t xml:space="preserve"> </w:t>
      </w:r>
      <w:r w:rsidRPr="00E73A39">
        <w:rPr>
          <w:rFonts w:ascii="Palatino Linotype" w:eastAsia="Calibri" w:hAnsi="Palatino Linotype" w:cs="Arial"/>
          <w:color w:val="000000" w:themeColor="text1"/>
          <w:lang w:val="es-ES"/>
        </w:rPr>
        <w:t>cual se requirió</w:t>
      </w:r>
      <w:r w:rsidR="007D17AA" w:rsidRPr="00E73A39">
        <w:rPr>
          <w:rFonts w:ascii="Palatino Linotype" w:eastAsia="Calibri" w:hAnsi="Palatino Linotype" w:cs="Arial"/>
          <w:color w:val="000000" w:themeColor="text1"/>
          <w:lang w:val="es-ES"/>
        </w:rPr>
        <w:t xml:space="preserve"> lo siguiente</w:t>
      </w:r>
      <w:r w:rsidRPr="00E73A39">
        <w:rPr>
          <w:rFonts w:ascii="Palatino Linotype" w:eastAsia="Calibri" w:hAnsi="Palatino Linotype" w:cs="Arial"/>
          <w:color w:val="000000" w:themeColor="text1"/>
          <w:lang w:val="es-ES"/>
        </w:rPr>
        <w:t>:</w:t>
      </w:r>
    </w:p>
    <w:p w14:paraId="570919F0" w14:textId="77777777" w:rsidR="009C14CD" w:rsidRPr="00E73A39" w:rsidRDefault="009C14CD" w:rsidP="00CD2063">
      <w:pPr>
        <w:tabs>
          <w:tab w:val="left" w:pos="0"/>
        </w:tabs>
        <w:jc w:val="both"/>
        <w:rPr>
          <w:rFonts w:ascii="Palatino Linotype" w:hAnsi="Palatino Linotype"/>
          <w:i/>
          <w:iCs/>
          <w:color w:val="000000" w:themeColor="text1"/>
        </w:rPr>
      </w:pPr>
    </w:p>
    <w:p w14:paraId="6ECE3332" w14:textId="401A2784" w:rsidR="009C14CD" w:rsidRPr="00E73A39" w:rsidRDefault="009C14CD" w:rsidP="00CD2063">
      <w:pPr>
        <w:tabs>
          <w:tab w:val="left" w:pos="0"/>
        </w:tabs>
        <w:ind w:left="567"/>
        <w:jc w:val="both"/>
        <w:rPr>
          <w:rFonts w:ascii="Palatino Linotype" w:hAnsi="Palatino Linotype"/>
          <w:i/>
          <w:iCs/>
          <w:color w:val="000000" w:themeColor="text1"/>
        </w:rPr>
      </w:pPr>
      <w:r w:rsidRPr="00E73A39">
        <w:rPr>
          <w:rFonts w:ascii="Palatino Linotype" w:hAnsi="Palatino Linotype"/>
          <w:i/>
          <w:iCs/>
          <w:color w:val="000000" w:themeColor="text1"/>
        </w:rPr>
        <w:t>“</w:t>
      </w:r>
      <w:r w:rsidR="00A64283" w:rsidRPr="00E73A39">
        <w:rPr>
          <w:rFonts w:ascii="Palatino Linotype" w:hAnsi="Palatino Linotype"/>
          <w:i/>
          <w:iCs/>
          <w:color w:val="000000" w:themeColor="text1"/>
        </w:rPr>
        <w:t xml:space="preserve">Solicito </w:t>
      </w:r>
      <w:r w:rsidR="00A64283" w:rsidRPr="00E73A39">
        <w:rPr>
          <w:rFonts w:ascii="Palatino Linotype" w:hAnsi="Palatino Linotype"/>
          <w:i/>
          <w:color w:val="000000" w:themeColor="text1"/>
        </w:rPr>
        <w:t>todas las resoluciones que recibio la unidad de transparencia en junio 2020</w:t>
      </w:r>
      <w:r w:rsidRPr="00E73A39">
        <w:rPr>
          <w:rFonts w:ascii="Palatino Linotype" w:hAnsi="Palatino Linotype"/>
          <w:i/>
          <w:iCs/>
          <w:color w:val="000000" w:themeColor="text1"/>
        </w:rPr>
        <w:t>” (Sic)</w:t>
      </w:r>
    </w:p>
    <w:p w14:paraId="7C5BCECC" w14:textId="77777777" w:rsidR="00A22B63" w:rsidRPr="00E73A39" w:rsidRDefault="00A22B63" w:rsidP="00CD2063">
      <w:pPr>
        <w:tabs>
          <w:tab w:val="left" w:pos="0"/>
        </w:tabs>
        <w:ind w:left="567"/>
        <w:jc w:val="both"/>
        <w:rPr>
          <w:rFonts w:ascii="Palatino Linotype" w:hAnsi="Palatino Linotype"/>
          <w:i/>
          <w:iCs/>
          <w:color w:val="000000" w:themeColor="text1"/>
        </w:rPr>
      </w:pPr>
    </w:p>
    <w:p w14:paraId="72EA22AC" w14:textId="77777777" w:rsidR="004F680B" w:rsidRPr="00E73A39" w:rsidRDefault="004F680B" w:rsidP="00CD2063">
      <w:pPr>
        <w:tabs>
          <w:tab w:val="left" w:pos="0"/>
          <w:tab w:val="left" w:pos="426"/>
          <w:tab w:val="left" w:pos="567"/>
        </w:tabs>
        <w:jc w:val="both"/>
        <w:rPr>
          <w:rFonts w:ascii="Palatino Linotype" w:hAnsi="Palatino Linotype"/>
          <w:b/>
          <w:color w:val="000000" w:themeColor="text1"/>
        </w:rPr>
      </w:pPr>
    </w:p>
    <w:p w14:paraId="0E59B6DE" w14:textId="0375E960" w:rsidR="001D6403" w:rsidRPr="00E73A39" w:rsidRDefault="007D17AA"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Se </w:t>
      </w:r>
      <w:r w:rsidR="0010179B" w:rsidRPr="00E73A39">
        <w:rPr>
          <w:rFonts w:ascii="Palatino Linotype" w:eastAsia="Times New Roman" w:hAnsi="Palatino Linotype" w:cs="Arial"/>
          <w:color w:val="000000" w:themeColor="text1"/>
          <w:lang w:val="es-ES"/>
        </w:rPr>
        <w:t xml:space="preserve">señaló como modalidad de entrega de la información: a través de </w:t>
      </w:r>
      <w:r w:rsidR="0010179B" w:rsidRPr="00E73A39">
        <w:rPr>
          <w:rFonts w:ascii="Palatino Linotype" w:eastAsia="Times New Roman" w:hAnsi="Palatino Linotype" w:cs="Arial"/>
          <w:b/>
          <w:color w:val="000000" w:themeColor="text1"/>
          <w:lang w:val="es-ES"/>
        </w:rPr>
        <w:t>SAIMEX</w:t>
      </w:r>
      <w:r w:rsidR="005B6592" w:rsidRPr="00E73A39">
        <w:rPr>
          <w:rFonts w:ascii="Palatino Linotype" w:eastAsia="Times New Roman" w:hAnsi="Palatino Linotype" w:cs="Arial"/>
          <w:b/>
          <w:color w:val="000000" w:themeColor="text1"/>
          <w:lang w:val="es-ES"/>
        </w:rPr>
        <w:t>.</w:t>
      </w:r>
    </w:p>
    <w:p w14:paraId="17EE6243" w14:textId="77777777" w:rsidR="001D6403" w:rsidRPr="00E73A39" w:rsidRDefault="001D6403" w:rsidP="00CD2063">
      <w:pPr>
        <w:tabs>
          <w:tab w:val="left" w:pos="0"/>
        </w:tabs>
        <w:rPr>
          <w:rFonts w:ascii="Palatino Linotype" w:eastAsia="Calibri" w:hAnsi="Palatino Linotype" w:cs="Arial"/>
          <w:color w:val="000000" w:themeColor="text1"/>
          <w:lang w:val="es-AR"/>
        </w:rPr>
      </w:pPr>
    </w:p>
    <w:p w14:paraId="59D5C2AD" w14:textId="276595F5" w:rsidR="000A5E8D" w:rsidRPr="00E73A39" w:rsidRDefault="00946C27" w:rsidP="00CD2063">
      <w:pPr>
        <w:pStyle w:val="Prrafodelista"/>
        <w:numPr>
          <w:ilvl w:val="0"/>
          <w:numId w:val="3"/>
        </w:numPr>
        <w:tabs>
          <w:tab w:val="left" w:pos="0"/>
          <w:tab w:val="left" w:pos="426"/>
          <w:tab w:val="left" w:pos="567"/>
        </w:tabs>
        <w:spacing w:line="276" w:lineRule="auto"/>
        <w:ind w:left="0" w:firstLine="0"/>
        <w:jc w:val="both"/>
        <w:rPr>
          <w:rFonts w:ascii="Palatino Linotype" w:hAnsi="Palatino Linotype"/>
          <w:color w:val="000000" w:themeColor="text1"/>
          <w:lang w:eastAsia="es-ES_tradnl"/>
        </w:rPr>
      </w:pPr>
      <w:r w:rsidRPr="00E73A39">
        <w:rPr>
          <w:rFonts w:ascii="Palatino Linotype" w:eastAsia="Calibri" w:hAnsi="Palatino Linotype" w:cs="Arial"/>
          <w:color w:val="000000" w:themeColor="text1"/>
          <w:lang w:val="es-AR"/>
        </w:rPr>
        <w:lastRenderedPageBreak/>
        <w:t>E</w:t>
      </w:r>
      <w:r w:rsidR="009C14CD" w:rsidRPr="00E73A39">
        <w:rPr>
          <w:rFonts w:ascii="Palatino Linotype" w:eastAsia="Calibri" w:hAnsi="Palatino Linotype" w:cs="Arial"/>
          <w:color w:val="000000" w:themeColor="text1"/>
          <w:lang w:val="es-AR"/>
        </w:rPr>
        <w:t>l</w:t>
      </w:r>
      <w:r w:rsidRPr="00E73A39">
        <w:rPr>
          <w:rFonts w:ascii="Palatino Linotype" w:eastAsia="Calibri" w:hAnsi="Palatino Linotype" w:cs="Arial"/>
          <w:color w:val="000000" w:themeColor="text1"/>
          <w:lang w:val="es-AR"/>
        </w:rPr>
        <w:t xml:space="preserve"> </w:t>
      </w:r>
      <w:r w:rsidRPr="00E73A39">
        <w:rPr>
          <w:rFonts w:ascii="Palatino Linotype" w:eastAsia="Times New Roman" w:hAnsi="Palatino Linotype" w:cs="Arial"/>
          <w:b/>
          <w:color w:val="000000" w:themeColor="text1"/>
          <w:lang w:val="es-ES"/>
        </w:rPr>
        <w:t xml:space="preserve">SUJETO </w:t>
      </w:r>
      <w:r w:rsidR="008B1D05" w:rsidRPr="00E73A39">
        <w:rPr>
          <w:rFonts w:ascii="Palatino Linotype" w:hAnsi="Palatino Linotype" w:cs="Arial"/>
          <w:b/>
          <w:color w:val="000000" w:themeColor="text1"/>
        </w:rPr>
        <w:t>OBLIGADO</w:t>
      </w:r>
      <w:r w:rsidR="008B1D05" w:rsidRPr="00E73A39">
        <w:rPr>
          <w:rFonts w:ascii="Palatino Linotype" w:hAnsi="Palatino Linotype" w:cs="Arial"/>
          <w:color w:val="000000" w:themeColor="text1"/>
        </w:rPr>
        <w:t xml:space="preserve"> fue omiso en emitir respuest</w:t>
      </w:r>
      <w:r w:rsidR="00A64283" w:rsidRPr="00E73A39">
        <w:rPr>
          <w:rFonts w:ascii="Palatino Linotype" w:hAnsi="Palatino Linotype" w:cs="Arial"/>
          <w:color w:val="000000" w:themeColor="text1"/>
        </w:rPr>
        <w:t>a a la solicitud de información.</w:t>
      </w:r>
    </w:p>
    <w:p w14:paraId="7F368F13" w14:textId="77777777" w:rsidR="00A64283" w:rsidRPr="00E73A39" w:rsidRDefault="00A64283" w:rsidP="00CD2063">
      <w:pPr>
        <w:pStyle w:val="Prrafodelista"/>
        <w:tabs>
          <w:tab w:val="left" w:pos="0"/>
          <w:tab w:val="left" w:pos="426"/>
          <w:tab w:val="left" w:pos="567"/>
        </w:tabs>
        <w:spacing w:line="276" w:lineRule="auto"/>
        <w:ind w:left="0"/>
        <w:jc w:val="both"/>
        <w:rPr>
          <w:rFonts w:ascii="Palatino Linotype" w:hAnsi="Palatino Linotype"/>
          <w:color w:val="000000" w:themeColor="text1"/>
          <w:lang w:eastAsia="es-ES_tradnl"/>
        </w:rPr>
      </w:pPr>
    </w:p>
    <w:p w14:paraId="6323F36D" w14:textId="79EEA070" w:rsidR="00D9301B" w:rsidRPr="00E73A39" w:rsidRDefault="00946C27"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Times New Roman" w:hAnsi="Palatino Linotype" w:cs="Arial"/>
          <w:color w:val="000000" w:themeColor="text1"/>
          <w:lang w:val="es-ES"/>
        </w:rPr>
        <w:t xml:space="preserve">El </w:t>
      </w:r>
      <w:r w:rsidR="00A64283" w:rsidRPr="00E73A39">
        <w:rPr>
          <w:rFonts w:ascii="Palatino Linotype" w:eastAsia="Times New Roman" w:hAnsi="Palatino Linotype" w:cs="Arial"/>
          <w:bCs/>
          <w:color w:val="000000" w:themeColor="text1"/>
          <w:lang w:val="es-ES"/>
        </w:rPr>
        <w:t>trece de febrero de dos mil veinticinco</w:t>
      </w:r>
      <w:r w:rsidRPr="00E73A39">
        <w:rPr>
          <w:rFonts w:ascii="Palatino Linotype" w:eastAsia="Times New Roman" w:hAnsi="Palatino Linotype" w:cs="Arial"/>
          <w:color w:val="000000" w:themeColor="text1"/>
          <w:lang w:val="es-ES"/>
        </w:rPr>
        <w:t xml:space="preserve">, </w:t>
      </w:r>
      <w:r w:rsidRPr="00E73A39">
        <w:rPr>
          <w:rFonts w:ascii="Palatino Linotype" w:hAnsi="Palatino Linotype"/>
          <w:color w:val="000000" w:themeColor="text1"/>
        </w:rPr>
        <w:t xml:space="preserve">se </w:t>
      </w:r>
      <w:r w:rsidR="00FD1469" w:rsidRPr="00E73A39">
        <w:rPr>
          <w:rFonts w:ascii="Palatino Linotype" w:eastAsia="Times New Roman" w:hAnsi="Palatino Linotype" w:cs="Arial"/>
          <w:color w:val="000000" w:themeColor="text1"/>
          <w:lang w:val="es-ES"/>
        </w:rPr>
        <w:t>interpus</w:t>
      </w:r>
      <w:r w:rsidR="009C14CD" w:rsidRPr="00E73A39">
        <w:rPr>
          <w:rFonts w:ascii="Palatino Linotype" w:eastAsia="Times New Roman" w:hAnsi="Palatino Linotype" w:cs="Arial"/>
          <w:color w:val="000000" w:themeColor="text1"/>
          <w:lang w:val="es-ES"/>
        </w:rPr>
        <w:t>o</w:t>
      </w:r>
      <w:r w:rsidR="00FD1469" w:rsidRPr="00E73A39">
        <w:rPr>
          <w:rFonts w:ascii="Palatino Linotype" w:eastAsia="Times New Roman" w:hAnsi="Palatino Linotype" w:cs="Arial"/>
          <w:color w:val="000000" w:themeColor="text1"/>
          <w:lang w:val="es-ES"/>
        </w:rPr>
        <w:t xml:space="preserve"> </w:t>
      </w:r>
      <w:r w:rsidR="009C14CD" w:rsidRPr="00E73A39">
        <w:rPr>
          <w:rFonts w:ascii="Palatino Linotype" w:eastAsia="Times New Roman" w:hAnsi="Palatino Linotype" w:cs="Arial"/>
          <w:color w:val="000000" w:themeColor="text1"/>
          <w:lang w:val="es-ES"/>
        </w:rPr>
        <w:t>el</w:t>
      </w:r>
      <w:r w:rsidRPr="00E73A39">
        <w:rPr>
          <w:rFonts w:ascii="Palatino Linotype" w:eastAsia="Times New Roman" w:hAnsi="Palatino Linotype" w:cs="Arial"/>
          <w:color w:val="000000" w:themeColor="text1"/>
          <w:lang w:val="es-ES"/>
        </w:rPr>
        <w:t xml:space="preserve">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740192FE" w14:textId="023C88CD" w:rsidR="00FD1469" w:rsidRPr="00E73A39" w:rsidRDefault="00FD1469"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4DB471A" w14:textId="7E16EA9B" w:rsidR="00BC1F07" w:rsidRPr="00E73A39" w:rsidRDefault="00284D3E" w:rsidP="00CD2063">
      <w:pPr>
        <w:tabs>
          <w:tab w:val="left" w:pos="0"/>
        </w:tabs>
        <w:ind w:left="567"/>
        <w:jc w:val="both"/>
        <w:rPr>
          <w:rFonts w:ascii="Palatino Linotype" w:hAnsi="Palatino Linotype"/>
          <w:color w:val="000000" w:themeColor="text1"/>
        </w:rPr>
      </w:pPr>
      <w:r w:rsidRPr="00E73A39">
        <w:rPr>
          <w:rFonts w:ascii="Palatino Linotype" w:eastAsia="Calibri" w:hAnsi="Palatino Linotype" w:cs="Arial"/>
          <w:b/>
          <w:color w:val="000000" w:themeColor="text1"/>
        </w:rPr>
        <w:t>Acto impugnado</w:t>
      </w:r>
      <w:r w:rsidRPr="00E73A39">
        <w:rPr>
          <w:rFonts w:ascii="Palatino Linotype" w:eastAsia="Calibri" w:hAnsi="Palatino Linotype" w:cs="Arial"/>
          <w:color w:val="000000" w:themeColor="text1"/>
        </w:rPr>
        <w:t>:</w:t>
      </w:r>
      <w:r w:rsidRPr="00E73A39">
        <w:rPr>
          <w:rFonts w:ascii="Palatino Linotype" w:eastAsia="Calibri" w:hAnsi="Palatino Linotype" w:cs="Arial"/>
          <w:i/>
          <w:iCs/>
          <w:color w:val="000000" w:themeColor="text1"/>
        </w:rPr>
        <w:t xml:space="preserve"> “</w:t>
      </w:r>
      <w:r w:rsidR="00A64283" w:rsidRPr="00E73A39">
        <w:rPr>
          <w:rFonts w:ascii="Palatino Linotype" w:hAnsi="Palatino Linotype"/>
          <w:i/>
          <w:iCs/>
          <w:color w:val="000000" w:themeColor="text1"/>
        </w:rPr>
        <w:t>No atiende la solicitud</w:t>
      </w:r>
      <w:r w:rsidR="00BC1F07" w:rsidRPr="00E73A39">
        <w:rPr>
          <w:rFonts w:ascii="Palatino Linotype" w:hAnsi="Palatino Linotype"/>
          <w:i/>
          <w:iCs/>
          <w:color w:val="000000" w:themeColor="text1"/>
        </w:rPr>
        <w:t>” (Sic)</w:t>
      </w:r>
    </w:p>
    <w:p w14:paraId="2BB8579E" w14:textId="77777777" w:rsidR="00284D3E" w:rsidRPr="00E73A39" w:rsidRDefault="00284D3E" w:rsidP="00CD2063">
      <w:pPr>
        <w:tabs>
          <w:tab w:val="left" w:pos="0"/>
        </w:tabs>
        <w:ind w:left="567"/>
        <w:jc w:val="both"/>
        <w:rPr>
          <w:rFonts w:ascii="Palatino Linotype" w:hAnsi="Palatino Linotype"/>
          <w:i/>
          <w:iCs/>
          <w:color w:val="000000" w:themeColor="text1"/>
        </w:rPr>
      </w:pPr>
    </w:p>
    <w:p w14:paraId="418DEA21" w14:textId="77777777" w:rsidR="00A22B63" w:rsidRPr="00E73A39" w:rsidRDefault="00A22B63" w:rsidP="00CD2063">
      <w:pPr>
        <w:tabs>
          <w:tab w:val="left" w:pos="0"/>
        </w:tabs>
        <w:ind w:left="567"/>
        <w:jc w:val="both"/>
        <w:rPr>
          <w:rFonts w:ascii="Palatino Linotype" w:hAnsi="Palatino Linotype"/>
          <w:i/>
          <w:iCs/>
          <w:color w:val="000000" w:themeColor="text1"/>
        </w:rPr>
      </w:pPr>
    </w:p>
    <w:p w14:paraId="5A062037" w14:textId="48C31883" w:rsidR="00284D3E" w:rsidRPr="00E73A39" w:rsidRDefault="00284D3E" w:rsidP="00CD2063">
      <w:pPr>
        <w:tabs>
          <w:tab w:val="left" w:pos="0"/>
        </w:tabs>
        <w:ind w:left="567"/>
        <w:jc w:val="both"/>
        <w:rPr>
          <w:rFonts w:ascii="Palatino Linotype" w:hAnsi="Palatino Linotype"/>
          <w:i/>
          <w:iCs/>
          <w:color w:val="000000" w:themeColor="text1"/>
        </w:rPr>
      </w:pPr>
      <w:r w:rsidRPr="00E73A39">
        <w:rPr>
          <w:rFonts w:ascii="Palatino Linotype" w:eastAsia="Calibri" w:hAnsi="Palatino Linotype" w:cs="Arial"/>
          <w:b/>
          <w:color w:val="000000" w:themeColor="text1"/>
        </w:rPr>
        <w:t>Razones o Motivos de inconformidad</w:t>
      </w:r>
      <w:r w:rsidRPr="00E73A39">
        <w:rPr>
          <w:rFonts w:ascii="Palatino Linotype" w:eastAsia="Calibri" w:hAnsi="Palatino Linotype" w:cs="Arial"/>
          <w:color w:val="000000" w:themeColor="text1"/>
        </w:rPr>
        <w:t>:</w:t>
      </w:r>
      <w:r w:rsidRPr="00E73A39">
        <w:rPr>
          <w:rFonts w:ascii="Palatino Linotype" w:eastAsia="Calibri" w:hAnsi="Palatino Linotype" w:cs="Arial"/>
          <w:i/>
          <w:iCs/>
          <w:color w:val="000000" w:themeColor="text1"/>
        </w:rPr>
        <w:t xml:space="preserve"> “</w:t>
      </w:r>
      <w:r w:rsidR="00A64283" w:rsidRPr="00E73A39">
        <w:rPr>
          <w:rFonts w:ascii="Palatino Linotype" w:hAnsi="Palatino Linotype"/>
          <w:i/>
          <w:iCs/>
          <w:color w:val="000000" w:themeColor="text1"/>
        </w:rPr>
        <w:t xml:space="preserve">No </w:t>
      </w:r>
      <w:r w:rsidR="00A64283" w:rsidRPr="00E73A39">
        <w:rPr>
          <w:rFonts w:ascii="Palatino Linotype" w:hAnsi="Palatino Linotype"/>
          <w:i/>
          <w:color w:val="000000" w:themeColor="text1"/>
        </w:rPr>
        <w:t> atiende la. Solicitud</w:t>
      </w:r>
      <w:r w:rsidRPr="00E73A39">
        <w:rPr>
          <w:rFonts w:ascii="Palatino Linotype" w:hAnsi="Palatino Linotype"/>
          <w:i/>
          <w:iCs/>
          <w:color w:val="000000" w:themeColor="text1"/>
        </w:rPr>
        <w:t>” (Sic)</w:t>
      </w:r>
    </w:p>
    <w:p w14:paraId="3B77CDB1" w14:textId="77777777" w:rsidR="00405B40" w:rsidRPr="00E73A39" w:rsidRDefault="00405B40"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07C89F33" w:rsidR="000D02C9" w:rsidRPr="00E73A39" w:rsidRDefault="000D02C9"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L</w:t>
      </w:r>
      <w:r w:rsidR="00D171D4" w:rsidRPr="00E73A39">
        <w:rPr>
          <w:rFonts w:ascii="Palatino Linotype" w:eastAsia="Calibri" w:hAnsi="Palatino Linotype" w:cs="Arial"/>
          <w:color w:val="000000" w:themeColor="text1"/>
          <w:lang w:val="es-ES"/>
        </w:rPr>
        <w:t xml:space="preserve">a </w:t>
      </w:r>
      <w:r w:rsidRPr="00E73A39">
        <w:rPr>
          <w:rFonts w:ascii="Palatino Linotype" w:eastAsia="Calibri" w:hAnsi="Palatino Linotype"/>
          <w:color w:val="000000" w:themeColor="text1"/>
        </w:rPr>
        <w:t>Comisionad</w:t>
      </w:r>
      <w:r w:rsidR="00D171D4" w:rsidRPr="00E73A39">
        <w:rPr>
          <w:rFonts w:ascii="Palatino Linotype" w:eastAsia="Calibri" w:hAnsi="Palatino Linotype"/>
          <w:color w:val="000000" w:themeColor="text1"/>
        </w:rPr>
        <w:t>a</w:t>
      </w:r>
      <w:r w:rsidRPr="00E73A39">
        <w:rPr>
          <w:rFonts w:ascii="Palatino Linotype" w:eastAsia="Calibri" w:hAnsi="Palatino Linotype" w:cs="Arial"/>
          <w:color w:val="000000" w:themeColor="text1"/>
        </w:rPr>
        <w:t xml:space="preserve"> Ponente</w:t>
      </w:r>
      <w:r w:rsidR="00D171D4" w:rsidRPr="00E73A39">
        <w:rPr>
          <w:rFonts w:ascii="Palatino Linotype" w:eastAsia="Calibri" w:hAnsi="Palatino Linotype" w:cs="Arial"/>
          <w:color w:val="000000" w:themeColor="text1"/>
        </w:rPr>
        <w:t xml:space="preserve"> </w:t>
      </w:r>
      <w:r w:rsidRPr="00E73A39">
        <w:rPr>
          <w:rFonts w:ascii="Palatino Linotype" w:eastAsia="Calibri" w:hAnsi="Palatino Linotype" w:cs="Arial"/>
          <w:color w:val="000000" w:themeColor="text1"/>
        </w:rPr>
        <w:t>con fundamento en lo dispuesto por el artículo 185 fracción II de la ley de la materia, a través de</w:t>
      </w:r>
      <w:r w:rsidR="00D171D4" w:rsidRPr="00E73A39">
        <w:rPr>
          <w:rFonts w:ascii="Palatino Linotype" w:eastAsia="Calibri" w:hAnsi="Palatino Linotype" w:cs="Arial"/>
          <w:color w:val="000000" w:themeColor="text1"/>
        </w:rPr>
        <w:t>l</w:t>
      </w:r>
      <w:r w:rsidRPr="00E73A39">
        <w:rPr>
          <w:rFonts w:ascii="Palatino Linotype" w:eastAsia="Calibri" w:hAnsi="Palatino Linotype" w:cs="Arial"/>
          <w:color w:val="000000" w:themeColor="text1"/>
        </w:rPr>
        <w:t xml:space="preserve"> acuerdo de admisión del </w:t>
      </w:r>
      <w:r w:rsidR="00A64283" w:rsidRPr="00E73A39">
        <w:rPr>
          <w:rFonts w:ascii="Palatino Linotype" w:eastAsia="Calibri" w:hAnsi="Palatino Linotype" w:cs="Arial"/>
          <w:color w:val="000000" w:themeColor="text1"/>
        </w:rPr>
        <w:t>diecisiete de febrero</w:t>
      </w:r>
      <w:r w:rsidR="00BA0921" w:rsidRPr="00E73A39">
        <w:rPr>
          <w:rFonts w:ascii="Palatino Linotype" w:eastAsia="Calibri" w:hAnsi="Palatino Linotype" w:cs="Arial"/>
          <w:color w:val="000000" w:themeColor="text1"/>
          <w:lang w:val="es-ES"/>
        </w:rPr>
        <w:t xml:space="preserve"> </w:t>
      </w:r>
      <w:r w:rsidR="00D171D4" w:rsidRPr="00E73A39">
        <w:rPr>
          <w:rFonts w:ascii="Palatino Linotype" w:eastAsia="Calibri" w:hAnsi="Palatino Linotype" w:cs="Arial"/>
          <w:color w:val="000000" w:themeColor="text1"/>
          <w:lang w:val="es-ES"/>
        </w:rPr>
        <w:t xml:space="preserve">de </w:t>
      </w:r>
      <w:r w:rsidR="00A64283" w:rsidRPr="00E73A39">
        <w:rPr>
          <w:rFonts w:ascii="Palatino Linotype" w:eastAsia="Calibri" w:hAnsi="Palatino Linotype" w:cs="Arial"/>
          <w:color w:val="000000" w:themeColor="text1"/>
          <w:lang w:val="es-ES"/>
        </w:rPr>
        <w:t>dos mil veinticinco</w:t>
      </w:r>
      <w:r w:rsidRPr="00E73A39">
        <w:rPr>
          <w:rFonts w:ascii="Palatino Linotype" w:eastAsia="Calibri" w:hAnsi="Palatino Linotype" w:cs="Arial"/>
          <w:color w:val="000000" w:themeColor="text1"/>
        </w:rPr>
        <w:t>, pus</w:t>
      </w:r>
      <w:r w:rsidR="00D171D4" w:rsidRPr="00E73A39">
        <w:rPr>
          <w:rFonts w:ascii="Palatino Linotype" w:eastAsia="Calibri" w:hAnsi="Palatino Linotype" w:cs="Arial"/>
          <w:color w:val="000000" w:themeColor="text1"/>
        </w:rPr>
        <w:t xml:space="preserve">o </w:t>
      </w:r>
      <w:r w:rsidRPr="00E73A39">
        <w:rPr>
          <w:rFonts w:ascii="Palatino Linotype" w:eastAsia="Calibri" w:hAnsi="Palatino Linotype" w:cs="Arial"/>
          <w:color w:val="000000" w:themeColor="text1"/>
        </w:rPr>
        <w:t xml:space="preserve">a disposición de las partes </w:t>
      </w:r>
      <w:r w:rsidR="00D171D4" w:rsidRPr="00E73A39">
        <w:rPr>
          <w:rFonts w:ascii="Palatino Linotype" w:eastAsia="Calibri" w:hAnsi="Palatino Linotype" w:cs="Arial"/>
          <w:color w:val="000000" w:themeColor="text1"/>
        </w:rPr>
        <w:t>el</w:t>
      </w:r>
      <w:r w:rsidRPr="00E73A39">
        <w:rPr>
          <w:rFonts w:ascii="Palatino Linotype" w:eastAsia="Calibri" w:hAnsi="Palatino Linotype" w:cs="Arial"/>
          <w:color w:val="000000" w:themeColor="text1"/>
        </w:rPr>
        <w:t xml:space="preserve"> expediente electrónico vía Sistema de Acceso a la Información Mexiquense </w:t>
      </w:r>
      <w:r w:rsidRPr="00E73A39">
        <w:rPr>
          <w:rFonts w:ascii="Palatino Linotype" w:eastAsia="Calibri" w:hAnsi="Palatino Linotype" w:cs="Arial"/>
          <w:b/>
          <w:color w:val="000000" w:themeColor="text1"/>
        </w:rPr>
        <w:t xml:space="preserve">SAIMEX, </w:t>
      </w:r>
      <w:r w:rsidRPr="00E73A39">
        <w:rPr>
          <w:rFonts w:ascii="Palatino Linotype" w:eastAsia="Calibri" w:hAnsi="Palatino Linotype" w:cs="Arial"/>
          <w:color w:val="000000" w:themeColor="text1"/>
        </w:rPr>
        <w:t>a efecto de que en un plazo máximo de siete días manifestaran</w:t>
      </w:r>
      <w:r w:rsidR="00D171D4" w:rsidRPr="00E73A39">
        <w:rPr>
          <w:rFonts w:ascii="Palatino Linotype" w:eastAsia="Calibri" w:hAnsi="Palatino Linotype" w:cs="Arial"/>
          <w:color w:val="000000" w:themeColor="text1"/>
        </w:rPr>
        <w:t xml:space="preserve"> </w:t>
      </w:r>
      <w:r w:rsidRPr="00E73A39">
        <w:rPr>
          <w:rFonts w:ascii="Palatino Linotype" w:eastAsia="Calibri" w:hAnsi="Palatino Linotype" w:cs="Arial"/>
          <w:color w:val="000000" w:themeColor="text1"/>
        </w:rPr>
        <w:t xml:space="preserve">lo que a su derecho conviniera, ofrecieran pruebas y alegatos según corresponda, de esta forma para que el </w:t>
      </w:r>
      <w:r w:rsidRPr="00E73A39">
        <w:rPr>
          <w:rFonts w:ascii="Palatino Linotype" w:eastAsia="Calibri" w:hAnsi="Palatino Linotype" w:cs="Arial"/>
          <w:b/>
          <w:color w:val="000000" w:themeColor="text1"/>
        </w:rPr>
        <w:t>SUJETO OBLIGADO</w:t>
      </w:r>
      <w:r w:rsidRPr="00E73A39">
        <w:rPr>
          <w:rFonts w:ascii="Palatino Linotype" w:eastAsia="Calibri" w:hAnsi="Palatino Linotype" w:cs="Arial"/>
          <w:color w:val="000000" w:themeColor="text1"/>
        </w:rPr>
        <w:t xml:space="preserve"> presentará </w:t>
      </w:r>
      <w:r w:rsidR="00D171D4" w:rsidRPr="00E73A39">
        <w:rPr>
          <w:rFonts w:ascii="Palatino Linotype" w:eastAsia="Calibri" w:hAnsi="Palatino Linotype" w:cs="Arial"/>
          <w:color w:val="000000" w:themeColor="text1"/>
        </w:rPr>
        <w:t>el</w:t>
      </w:r>
      <w:r w:rsidRPr="00E73A39">
        <w:rPr>
          <w:rFonts w:ascii="Palatino Linotype" w:eastAsia="Calibri" w:hAnsi="Palatino Linotype" w:cs="Arial"/>
          <w:color w:val="000000" w:themeColor="text1"/>
        </w:rPr>
        <w:t xml:space="preserve"> Informe Justificado procedente</w:t>
      </w:r>
      <w:r w:rsidR="00D171D4" w:rsidRPr="00E73A39">
        <w:rPr>
          <w:rFonts w:ascii="Palatino Linotype" w:eastAsia="Calibri" w:hAnsi="Palatino Linotype" w:cs="Arial"/>
          <w:color w:val="000000" w:themeColor="text1"/>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E73A39" w:rsidRDefault="002B50E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094C8E5D" w:rsidR="0099059B" w:rsidRPr="00E73A39" w:rsidRDefault="00BE2314"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El </w:t>
      </w:r>
      <w:r w:rsidR="00A64283" w:rsidRPr="00E73A39">
        <w:rPr>
          <w:rFonts w:ascii="Palatino Linotype" w:eastAsia="Calibri" w:hAnsi="Palatino Linotype" w:cs="Arial"/>
          <w:bCs/>
          <w:color w:val="000000" w:themeColor="text1"/>
          <w:lang w:val="es-ES"/>
        </w:rPr>
        <w:t>veintiséis de febrero</w:t>
      </w:r>
      <w:r w:rsidR="00BC1F07" w:rsidRPr="00E73A39">
        <w:rPr>
          <w:rFonts w:ascii="Palatino Linotype" w:eastAsia="Calibri" w:hAnsi="Palatino Linotype" w:cs="Arial"/>
          <w:bCs/>
          <w:color w:val="000000" w:themeColor="text1"/>
          <w:lang w:val="es-ES"/>
        </w:rPr>
        <w:t xml:space="preserve"> </w:t>
      </w:r>
      <w:r w:rsidR="00D130AF" w:rsidRPr="00E73A39">
        <w:rPr>
          <w:rFonts w:ascii="Palatino Linotype" w:eastAsia="Calibri" w:hAnsi="Palatino Linotype" w:cs="Arial"/>
          <w:bCs/>
          <w:color w:val="000000" w:themeColor="text1"/>
          <w:lang w:val="es-ES"/>
        </w:rPr>
        <w:t>de dos</w:t>
      </w:r>
      <w:r w:rsidR="00A64283" w:rsidRPr="00E73A39">
        <w:rPr>
          <w:rFonts w:ascii="Palatino Linotype" w:eastAsia="Calibri" w:hAnsi="Palatino Linotype" w:cs="Arial"/>
          <w:color w:val="000000" w:themeColor="text1"/>
          <w:lang w:val="es-ES"/>
        </w:rPr>
        <w:t xml:space="preserve"> mil veinticinco</w:t>
      </w:r>
      <w:r w:rsidR="00B41A55" w:rsidRPr="00E73A39">
        <w:rPr>
          <w:rFonts w:ascii="Palatino Linotype" w:eastAsia="Calibri" w:hAnsi="Palatino Linotype" w:cs="Arial"/>
          <w:color w:val="000000" w:themeColor="text1"/>
          <w:lang w:val="es-ES"/>
        </w:rPr>
        <w:t xml:space="preserve">, el </w:t>
      </w:r>
      <w:r w:rsidR="00B41A55" w:rsidRPr="00E73A39">
        <w:rPr>
          <w:rFonts w:ascii="Palatino Linotype" w:eastAsia="Calibri" w:hAnsi="Palatino Linotype" w:cs="Arial"/>
          <w:b/>
          <w:color w:val="000000" w:themeColor="text1"/>
          <w:lang w:val="es-ES"/>
        </w:rPr>
        <w:t>SUJETO OBLIGADO</w:t>
      </w:r>
      <w:r w:rsidR="00B41A55" w:rsidRPr="00E73A39">
        <w:rPr>
          <w:rFonts w:ascii="Palatino Linotype" w:eastAsia="Calibri" w:hAnsi="Palatino Linotype" w:cs="Arial"/>
          <w:color w:val="000000" w:themeColor="text1"/>
          <w:lang w:val="es-ES"/>
        </w:rPr>
        <w:t xml:space="preserve"> rindió su informe</w:t>
      </w:r>
      <w:r w:rsidR="00D171D4" w:rsidRPr="00E73A39">
        <w:rPr>
          <w:rFonts w:ascii="Palatino Linotype" w:eastAsia="Calibri" w:hAnsi="Palatino Linotype" w:cs="Arial"/>
          <w:color w:val="000000" w:themeColor="text1"/>
          <w:lang w:val="es-ES"/>
        </w:rPr>
        <w:t xml:space="preserve"> </w:t>
      </w:r>
      <w:r w:rsidR="00B41A55" w:rsidRPr="00E73A39">
        <w:rPr>
          <w:rFonts w:ascii="Palatino Linotype" w:eastAsia="Calibri" w:hAnsi="Palatino Linotype" w:cs="Arial"/>
          <w:color w:val="000000" w:themeColor="text1"/>
          <w:lang w:val="es-ES"/>
        </w:rPr>
        <w:t>justificado</w:t>
      </w:r>
      <w:r w:rsidR="005171E1" w:rsidRPr="00E73A39">
        <w:rPr>
          <w:rFonts w:ascii="Palatino Linotype" w:eastAsia="Calibri" w:hAnsi="Palatino Linotype" w:cs="Arial"/>
          <w:color w:val="000000" w:themeColor="text1"/>
          <w:lang w:val="es-ES"/>
        </w:rPr>
        <w:t xml:space="preserve"> </w:t>
      </w:r>
      <w:r w:rsidR="001D6403" w:rsidRPr="00E73A39">
        <w:rPr>
          <w:rFonts w:ascii="Palatino Linotype" w:eastAsia="Calibri" w:hAnsi="Palatino Linotype" w:cs="Arial"/>
          <w:color w:val="000000" w:themeColor="text1"/>
          <w:lang w:val="es-ES"/>
        </w:rPr>
        <w:t>por medio</w:t>
      </w:r>
      <w:r w:rsidR="000D25CC" w:rsidRPr="00E73A39">
        <w:rPr>
          <w:rFonts w:ascii="Palatino Linotype" w:eastAsia="Calibri" w:hAnsi="Palatino Linotype" w:cs="Arial"/>
          <w:color w:val="000000" w:themeColor="text1"/>
          <w:lang w:val="es-ES"/>
        </w:rPr>
        <w:t xml:space="preserve"> de</w:t>
      </w:r>
      <w:r w:rsidR="001D6403" w:rsidRPr="00E73A39">
        <w:rPr>
          <w:rFonts w:ascii="Palatino Linotype" w:eastAsia="Calibri" w:hAnsi="Palatino Linotype" w:cs="Arial"/>
          <w:color w:val="000000" w:themeColor="text1"/>
          <w:lang w:val="es-ES"/>
        </w:rPr>
        <w:t xml:space="preserve"> </w:t>
      </w:r>
      <w:r w:rsidR="00405B40" w:rsidRPr="00E73A39">
        <w:rPr>
          <w:rFonts w:ascii="Palatino Linotype" w:eastAsia="Calibri" w:hAnsi="Palatino Linotype" w:cs="Arial"/>
          <w:color w:val="000000" w:themeColor="text1"/>
          <w:lang w:val="es-ES"/>
        </w:rPr>
        <w:t>l</w:t>
      </w:r>
      <w:r w:rsidR="001D6403" w:rsidRPr="00E73A39">
        <w:rPr>
          <w:rFonts w:ascii="Palatino Linotype" w:eastAsia="Calibri" w:hAnsi="Palatino Linotype" w:cs="Arial"/>
          <w:color w:val="000000" w:themeColor="text1"/>
          <w:lang w:val="es-ES"/>
        </w:rPr>
        <w:t>os</w:t>
      </w:r>
      <w:r w:rsidR="00D171D4" w:rsidRPr="00E73A39">
        <w:rPr>
          <w:rFonts w:ascii="Palatino Linotype" w:eastAsia="Calibri" w:hAnsi="Palatino Linotype" w:cs="Arial"/>
          <w:color w:val="000000" w:themeColor="text1"/>
          <w:lang w:val="es-ES"/>
        </w:rPr>
        <w:t xml:space="preserve"> siguiente</w:t>
      </w:r>
      <w:r w:rsidR="001D6403" w:rsidRPr="00E73A39">
        <w:rPr>
          <w:rFonts w:ascii="Palatino Linotype" w:eastAsia="Calibri" w:hAnsi="Palatino Linotype" w:cs="Arial"/>
          <w:color w:val="000000" w:themeColor="text1"/>
          <w:lang w:val="es-ES"/>
        </w:rPr>
        <w:t>s</w:t>
      </w:r>
      <w:r w:rsidR="00405B40" w:rsidRPr="00E73A39">
        <w:rPr>
          <w:rFonts w:ascii="Palatino Linotype" w:eastAsia="Calibri" w:hAnsi="Palatino Linotype" w:cs="Arial"/>
          <w:color w:val="000000" w:themeColor="text1"/>
          <w:lang w:val="es-ES"/>
        </w:rPr>
        <w:t xml:space="preserve"> a</w:t>
      </w:r>
      <w:r w:rsidR="00AA5FE2" w:rsidRPr="00E73A39">
        <w:rPr>
          <w:rFonts w:ascii="Palatino Linotype" w:eastAsia="Calibri" w:hAnsi="Palatino Linotype" w:cs="Arial"/>
          <w:color w:val="000000" w:themeColor="text1"/>
          <w:lang w:val="es-ES"/>
        </w:rPr>
        <w:t>rchivo</w:t>
      </w:r>
      <w:r w:rsidR="001D6403" w:rsidRPr="00E73A39">
        <w:rPr>
          <w:rFonts w:ascii="Palatino Linotype" w:eastAsia="Calibri" w:hAnsi="Palatino Linotype" w:cs="Arial"/>
          <w:color w:val="000000" w:themeColor="text1"/>
          <w:lang w:val="es-ES"/>
        </w:rPr>
        <w:t>s</w:t>
      </w:r>
      <w:r w:rsidR="00405B40" w:rsidRPr="00E73A39">
        <w:rPr>
          <w:rFonts w:ascii="Palatino Linotype" w:eastAsia="Calibri" w:hAnsi="Palatino Linotype" w:cs="Arial"/>
          <w:color w:val="000000" w:themeColor="text1"/>
          <w:lang w:val="es-ES"/>
        </w:rPr>
        <w:t xml:space="preserve"> </w:t>
      </w:r>
      <w:r w:rsidR="00AA5FE2" w:rsidRPr="00E73A39">
        <w:rPr>
          <w:rFonts w:ascii="Palatino Linotype" w:eastAsia="Calibri" w:hAnsi="Palatino Linotype" w:cs="Arial"/>
          <w:color w:val="000000" w:themeColor="text1"/>
          <w:lang w:val="es-ES"/>
        </w:rPr>
        <w:t>electrónico</w:t>
      </w:r>
      <w:r w:rsidR="001D6403" w:rsidRPr="00E73A39">
        <w:rPr>
          <w:rFonts w:ascii="Palatino Linotype" w:eastAsia="Calibri" w:hAnsi="Palatino Linotype" w:cs="Arial"/>
          <w:color w:val="000000" w:themeColor="text1"/>
          <w:lang w:val="es-ES"/>
        </w:rPr>
        <w:t>s</w:t>
      </w:r>
      <w:r w:rsidR="00405B40" w:rsidRPr="00E73A39">
        <w:rPr>
          <w:rFonts w:ascii="Palatino Linotype" w:eastAsia="Calibri" w:hAnsi="Palatino Linotype" w:cs="Arial"/>
          <w:color w:val="000000" w:themeColor="text1"/>
          <w:lang w:val="es-ES"/>
        </w:rPr>
        <w:t>:</w:t>
      </w:r>
    </w:p>
    <w:p w14:paraId="026303E9" w14:textId="7EE41530" w:rsidR="00BC1F07" w:rsidRPr="00E73A39" w:rsidRDefault="00BC1F07"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4ABA31E" w14:textId="7E68D198" w:rsidR="00204170" w:rsidRPr="00E73A39" w:rsidRDefault="00A64283" w:rsidP="00CD2063">
      <w:pPr>
        <w:pStyle w:val="Prrafodelista"/>
        <w:tabs>
          <w:tab w:val="left" w:pos="0"/>
          <w:tab w:val="left" w:pos="426"/>
          <w:tab w:val="left" w:pos="567"/>
        </w:tabs>
        <w:ind w:left="567"/>
        <w:jc w:val="both"/>
        <w:rPr>
          <w:rFonts w:ascii="Palatino Linotype" w:hAnsi="Palatino Linotype"/>
          <w:color w:val="000000" w:themeColor="text1"/>
        </w:rPr>
      </w:pPr>
      <w:r w:rsidRPr="00E73A39">
        <w:rPr>
          <w:rFonts w:ascii="Palatino Linotype" w:eastAsia="Calibri" w:hAnsi="Palatino Linotype" w:cs="Arial"/>
          <w:b/>
          <w:color w:val="000000" w:themeColor="text1"/>
          <w:lang w:val="es-ES"/>
        </w:rPr>
        <w:t>Acta 50 Bis.pdf:</w:t>
      </w:r>
      <w:r w:rsidR="00F70C9E" w:rsidRPr="00E73A39">
        <w:rPr>
          <w:rFonts w:ascii="Palatino Linotype" w:eastAsia="Calibri" w:hAnsi="Palatino Linotype" w:cs="Arial"/>
          <w:b/>
          <w:color w:val="000000" w:themeColor="text1"/>
          <w:lang w:val="es-ES"/>
        </w:rPr>
        <w:t xml:space="preserve"> </w:t>
      </w:r>
      <w:r w:rsidR="00F70C9E" w:rsidRPr="00E73A39">
        <w:rPr>
          <w:rFonts w:ascii="Palatino Linotype" w:eastAsia="Calibri" w:hAnsi="Palatino Linotype" w:cs="Arial"/>
          <w:color w:val="000000" w:themeColor="text1"/>
          <w:lang w:val="es-ES"/>
        </w:rPr>
        <w:t xml:space="preserve">Acta </w:t>
      </w:r>
      <w:r w:rsidR="00204170" w:rsidRPr="00E73A39">
        <w:rPr>
          <w:rFonts w:ascii="Palatino Linotype" w:eastAsia="Calibri" w:hAnsi="Palatino Linotype" w:cs="Arial"/>
          <w:color w:val="000000" w:themeColor="text1"/>
          <w:lang w:val="es-ES"/>
        </w:rPr>
        <w:t xml:space="preserve">número CT/SE/50Bis/2025 </w:t>
      </w:r>
      <w:r w:rsidR="00F70C9E" w:rsidRPr="00E73A39">
        <w:rPr>
          <w:rFonts w:ascii="Palatino Linotype" w:eastAsia="Calibri" w:hAnsi="Palatino Linotype" w:cs="Arial"/>
          <w:color w:val="000000" w:themeColor="text1"/>
          <w:lang w:val="es-ES"/>
        </w:rPr>
        <w:t xml:space="preserve">de la Quincuagésima Bis Sesión Extraordinaria 2025 del Comité de Transparencia del Municipio de Toluca, por medio de la cual, se aprobó la solicitud de </w:t>
      </w:r>
      <w:r w:rsidR="00204170" w:rsidRPr="00E73A39">
        <w:rPr>
          <w:rFonts w:ascii="Palatino Linotype" w:eastAsia="Calibri" w:hAnsi="Palatino Linotype" w:cs="Arial"/>
          <w:color w:val="000000" w:themeColor="text1"/>
          <w:lang w:val="es-ES"/>
        </w:rPr>
        <w:t>prórroga</w:t>
      </w:r>
      <w:r w:rsidR="00F70C9E" w:rsidRPr="00E73A39">
        <w:rPr>
          <w:rFonts w:ascii="Palatino Linotype" w:eastAsia="Calibri" w:hAnsi="Palatino Linotype" w:cs="Arial"/>
          <w:color w:val="000000" w:themeColor="text1"/>
          <w:lang w:val="es-ES"/>
        </w:rPr>
        <w:t xml:space="preserve"> por siete días </w:t>
      </w:r>
      <w:r w:rsidR="00204170" w:rsidRPr="00E73A39">
        <w:rPr>
          <w:rFonts w:ascii="Palatino Linotype" w:eastAsia="Calibri" w:hAnsi="Palatino Linotype" w:cs="Arial"/>
          <w:color w:val="000000" w:themeColor="text1"/>
          <w:lang w:val="es-ES"/>
        </w:rPr>
        <w:t xml:space="preserve">hábiles, para dar respuesta a las solicitudes de información </w:t>
      </w:r>
      <w:r w:rsidR="00204170" w:rsidRPr="00E73A39">
        <w:rPr>
          <w:rFonts w:ascii="Palatino Linotype" w:hAnsi="Palatino Linotype"/>
          <w:color w:val="000000" w:themeColor="text1"/>
        </w:rPr>
        <w:t xml:space="preserve">00194/TOLUCA/IP/2025, </w:t>
      </w:r>
      <w:r w:rsidR="00204170" w:rsidRPr="00E73A39">
        <w:rPr>
          <w:rFonts w:ascii="Palatino Linotype" w:hAnsi="Palatino Linotype"/>
          <w:color w:val="000000" w:themeColor="text1"/>
        </w:rPr>
        <w:lastRenderedPageBreak/>
        <w:t xml:space="preserve">00195/TOLUCA/IP/2025, 00196/TOLUCA/IP/2025, 00197/TOLUCA/IP/2025, 00198/TOLUCA/IP/2025, </w:t>
      </w:r>
      <w:r w:rsidR="00204170" w:rsidRPr="00E73A39">
        <w:rPr>
          <w:rFonts w:ascii="Palatino Linotype" w:hAnsi="Palatino Linotype"/>
          <w:b/>
          <w:color w:val="000000" w:themeColor="text1"/>
        </w:rPr>
        <w:t>00199/TOLUCA/IP/2025,</w:t>
      </w:r>
      <w:r w:rsidR="00204170" w:rsidRPr="00E73A39">
        <w:rPr>
          <w:rFonts w:ascii="Palatino Linotype" w:hAnsi="Palatino Linotype"/>
          <w:color w:val="000000" w:themeColor="text1"/>
        </w:rPr>
        <w:t xml:space="preserve"> 00200/TOLUCA/IP/2025, 00201/TOLUCA/IP/2025, 00202/TOLUCA/IP/2025 y 00203/TOLUCA/IP/2025</w:t>
      </w:r>
    </w:p>
    <w:p w14:paraId="3005E62B" w14:textId="77777777" w:rsidR="00F70C9E" w:rsidRPr="00E73A39" w:rsidRDefault="00F70C9E" w:rsidP="00CD2063">
      <w:pPr>
        <w:pStyle w:val="Prrafodelista"/>
        <w:tabs>
          <w:tab w:val="left" w:pos="0"/>
          <w:tab w:val="left" w:pos="426"/>
          <w:tab w:val="left" w:pos="567"/>
        </w:tabs>
        <w:ind w:left="567"/>
        <w:jc w:val="both"/>
        <w:rPr>
          <w:rFonts w:ascii="Palatino Linotype" w:eastAsia="Calibri" w:hAnsi="Palatino Linotype" w:cs="Arial"/>
          <w:b/>
          <w:color w:val="000000" w:themeColor="text1"/>
          <w:lang w:val="es-ES"/>
        </w:rPr>
      </w:pPr>
    </w:p>
    <w:p w14:paraId="2A8EC6B1" w14:textId="1C2B6D94" w:rsidR="00A64283" w:rsidRPr="00E73A39" w:rsidRDefault="00A64283" w:rsidP="00CD2063">
      <w:pPr>
        <w:pStyle w:val="Prrafodelista"/>
        <w:tabs>
          <w:tab w:val="left" w:pos="0"/>
          <w:tab w:val="left" w:pos="426"/>
          <w:tab w:val="left" w:pos="567"/>
        </w:tabs>
        <w:ind w:left="567"/>
        <w:jc w:val="both"/>
        <w:rPr>
          <w:rFonts w:ascii="Palatino Linotype" w:eastAsia="Calibri" w:hAnsi="Palatino Linotype" w:cs="Arial"/>
          <w:color w:val="000000" w:themeColor="text1"/>
          <w:lang w:val="es-ES"/>
        </w:rPr>
      </w:pPr>
      <w:r w:rsidRPr="00E73A39">
        <w:rPr>
          <w:rFonts w:ascii="Palatino Linotype" w:eastAsia="Calibri" w:hAnsi="Palatino Linotype" w:cs="Arial"/>
          <w:b/>
          <w:color w:val="000000" w:themeColor="text1"/>
          <w:lang w:val="es-ES"/>
        </w:rPr>
        <w:t>Respuesta 199-2025.pdf</w:t>
      </w:r>
      <w:r w:rsidR="00204170" w:rsidRPr="00E73A39">
        <w:rPr>
          <w:rFonts w:ascii="Palatino Linotype" w:eastAsia="Calibri" w:hAnsi="Palatino Linotype" w:cs="Arial"/>
          <w:b/>
          <w:color w:val="000000" w:themeColor="text1"/>
          <w:lang w:val="es-ES"/>
        </w:rPr>
        <w:t>:</w:t>
      </w:r>
      <w:r w:rsidR="00204170" w:rsidRPr="00E73A39">
        <w:rPr>
          <w:rFonts w:ascii="Palatino Linotype" w:eastAsia="Calibri" w:hAnsi="Palatino Linotype" w:cs="Arial"/>
          <w:color w:val="000000" w:themeColor="text1"/>
          <w:lang w:val="es-ES"/>
        </w:rPr>
        <w:t xml:space="preserve"> Oficio suscrito por el Titular de la Unidad de Transparencia, por medio del cual, </w:t>
      </w:r>
      <w:r w:rsidR="004E6F27" w:rsidRPr="00E73A39">
        <w:rPr>
          <w:rFonts w:ascii="Palatino Linotype" w:eastAsia="Calibri" w:hAnsi="Palatino Linotype" w:cs="Arial"/>
          <w:color w:val="000000" w:themeColor="text1"/>
          <w:lang w:val="es-ES"/>
        </w:rPr>
        <w:t>informó que después de realizar una búsqueda exhaustiva y minuciosa dentro del Sistema SAIMEX no encontró resoluciones emitidas por el INFOEM en el mes de junio del año 2020, a la unidad de transparencia a su cargo, por no haberse generado, poseído o administrado.</w:t>
      </w:r>
    </w:p>
    <w:p w14:paraId="163DA97C" w14:textId="77777777" w:rsidR="00204170" w:rsidRPr="00E73A39" w:rsidRDefault="00204170" w:rsidP="00CD2063">
      <w:pPr>
        <w:pStyle w:val="Prrafodelista"/>
        <w:tabs>
          <w:tab w:val="left" w:pos="0"/>
          <w:tab w:val="left" w:pos="426"/>
          <w:tab w:val="left" w:pos="567"/>
        </w:tabs>
        <w:ind w:left="567"/>
        <w:jc w:val="both"/>
        <w:rPr>
          <w:rFonts w:ascii="Palatino Linotype" w:eastAsia="Calibri" w:hAnsi="Palatino Linotype" w:cs="Arial"/>
          <w:b/>
          <w:color w:val="000000" w:themeColor="text1"/>
          <w:lang w:val="es-ES"/>
        </w:rPr>
      </w:pPr>
    </w:p>
    <w:p w14:paraId="0016EF5D" w14:textId="157539A5" w:rsidR="00287742" w:rsidRPr="00E73A39" w:rsidRDefault="00A64283" w:rsidP="00CD2063">
      <w:pPr>
        <w:pStyle w:val="Prrafodelista"/>
        <w:tabs>
          <w:tab w:val="left" w:pos="0"/>
          <w:tab w:val="left" w:pos="426"/>
          <w:tab w:val="left" w:pos="567"/>
        </w:tabs>
        <w:ind w:left="567"/>
        <w:jc w:val="both"/>
        <w:rPr>
          <w:rFonts w:ascii="Palatino Linotype" w:hAnsi="Palatino Linotype"/>
          <w:color w:val="000000" w:themeColor="text1"/>
        </w:rPr>
      </w:pPr>
      <w:r w:rsidRPr="00E73A39">
        <w:rPr>
          <w:rFonts w:ascii="Palatino Linotype" w:eastAsia="Calibri" w:hAnsi="Palatino Linotype" w:cs="Arial"/>
          <w:b/>
          <w:color w:val="000000" w:themeColor="text1"/>
          <w:lang w:val="es-ES"/>
        </w:rPr>
        <w:t xml:space="preserve">Informe Justificado 1353.pdf: </w:t>
      </w:r>
      <w:r w:rsidRPr="00E73A39">
        <w:rPr>
          <w:rFonts w:ascii="Palatino Linotype" w:eastAsia="Calibri" w:hAnsi="Palatino Linotype" w:cs="Arial"/>
          <w:color w:val="000000" w:themeColor="text1"/>
          <w:lang w:val="es-ES"/>
        </w:rPr>
        <w:t xml:space="preserve">Oficio suscrito por el Titular de la Unidad de Transparencia, por medio del cual, </w:t>
      </w:r>
      <w:r w:rsidR="00287742" w:rsidRPr="00E73A39">
        <w:rPr>
          <w:rFonts w:ascii="Palatino Linotype" w:eastAsia="Calibri" w:hAnsi="Palatino Linotype" w:cs="Arial"/>
          <w:color w:val="000000" w:themeColor="text1"/>
          <w:lang w:val="es-ES"/>
        </w:rPr>
        <w:t>informó que</w:t>
      </w:r>
      <w:r w:rsidR="00287742" w:rsidRPr="00E73A39">
        <w:rPr>
          <w:rFonts w:ascii="Palatino Linotype" w:eastAsia="Calibri" w:hAnsi="Palatino Linotype" w:cs="Arial"/>
          <w:b/>
          <w:color w:val="000000" w:themeColor="text1"/>
          <w:lang w:val="es-ES"/>
        </w:rPr>
        <w:t xml:space="preserve"> la </w:t>
      </w:r>
      <w:r w:rsidR="00287742" w:rsidRPr="00E73A39">
        <w:rPr>
          <w:rFonts w:ascii="Palatino Linotype" w:hAnsi="Palatino Linotype"/>
          <w:color w:val="000000" w:themeColor="text1"/>
        </w:rPr>
        <w:t>Unidad de Transparencia solicitó la prórroga en fecha tres de febrero, que fue aprobada por el Comité de Transparencia mediante el Acta de la Quincuagésima Bis Sesión Extraordinaria de fecha treinta y uno de enero, pero debido a fallas en el Sistema SAIMEX la Unidad quedo imposibilitada de aprobar la prórroga en él sistema y a su vez reporto la falla mediante correo electrónico dirigido a la Dirección de Informática del INFOEM; no obstante, el trece de febrero de dos mil veinticinco, el Recurrente interpuso recurso de revisión ante el Órgano Garante.</w:t>
      </w:r>
    </w:p>
    <w:p w14:paraId="2150F5E2" w14:textId="77777777" w:rsidR="00EB3BBA" w:rsidRPr="00E73A39" w:rsidRDefault="00EB3BBA" w:rsidP="00CD2063">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0F9E0CFC" w14:textId="77777777" w:rsidR="00A22B63" w:rsidRPr="00E73A39" w:rsidRDefault="00A22B63" w:rsidP="00CD2063">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073833CB" w14:textId="6A3A63BF" w:rsidR="002B6587" w:rsidRPr="00E73A39" w:rsidRDefault="002B6587" w:rsidP="00CD2063">
      <w:pPr>
        <w:pStyle w:val="Prrafodelista"/>
        <w:numPr>
          <w:ilvl w:val="0"/>
          <w:numId w:val="3"/>
        </w:numPr>
        <w:tabs>
          <w:tab w:val="left" w:pos="0"/>
          <w:tab w:val="left" w:pos="426"/>
          <w:tab w:val="left" w:pos="567"/>
        </w:tabs>
        <w:spacing w:line="360" w:lineRule="auto"/>
        <w:ind w:left="0" w:firstLine="0"/>
        <w:jc w:val="both"/>
        <w:rPr>
          <w:rFonts w:ascii="Palatino Linotype" w:hAnsi="Palatino Linotype"/>
          <w:color w:val="000000" w:themeColor="text1"/>
        </w:rPr>
      </w:pPr>
      <w:r w:rsidRPr="00E73A39">
        <w:rPr>
          <w:rFonts w:ascii="Palatino Linotype" w:hAnsi="Palatino Linotype"/>
          <w:color w:val="000000" w:themeColor="text1"/>
        </w:rPr>
        <w:t xml:space="preserve">El </w:t>
      </w:r>
      <w:r w:rsidR="00107D89" w:rsidRPr="00E73A39">
        <w:rPr>
          <w:rFonts w:ascii="Palatino Linotype" w:hAnsi="Palatino Linotype"/>
          <w:color w:val="000000" w:themeColor="text1"/>
        </w:rPr>
        <w:t>quince</w:t>
      </w:r>
      <w:r w:rsidR="00A64283" w:rsidRPr="00E73A39">
        <w:rPr>
          <w:rFonts w:ascii="Palatino Linotype" w:hAnsi="Palatino Linotype"/>
          <w:color w:val="000000" w:themeColor="text1"/>
        </w:rPr>
        <w:t xml:space="preserve"> de mayo de dos mil veinticinco,</w:t>
      </w:r>
      <w:r w:rsidRPr="00E73A39">
        <w:rPr>
          <w:rFonts w:ascii="Palatino Linotype" w:hAnsi="Palatino Linotype"/>
          <w:color w:val="000000" w:themeColor="text1"/>
        </w:rPr>
        <w:t xml:space="preserve"> </w:t>
      </w:r>
      <w:r w:rsidRPr="00E73A39">
        <w:rPr>
          <w:rFonts w:ascii="Palatino Linotype" w:hAnsi="Palatino Linotype" w:cs="Tahoma"/>
          <w:color w:val="000000" w:themeColor="text1"/>
        </w:rPr>
        <w:t>se notificó el acuerdo mediante el cual se amplió el plazo para emitir resolución por un término de 15 días adicionales.</w:t>
      </w:r>
    </w:p>
    <w:p w14:paraId="74196E64" w14:textId="77777777" w:rsidR="002B6587" w:rsidRPr="00E73A39" w:rsidRDefault="002B6587" w:rsidP="00CD2063">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51C8E596" w14:textId="559B4AB5" w:rsidR="00836ADD" w:rsidRPr="00E73A39" w:rsidRDefault="00D130AF" w:rsidP="00CD2063">
      <w:pPr>
        <w:pStyle w:val="Prrafodelista"/>
        <w:numPr>
          <w:ilvl w:val="0"/>
          <w:numId w:val="3"/>
        </w:numPr>
        <w:tabs>
          <w:tab w:val="left" w:pos="0"/>
          <w:tab w:val="left" w:pos="426"/>
          <w:tab w:val="left" w:pos="567"/>
        </w:tabs>
        <w:spacing w:line="360" w:lineRule="auto"/>
        <w:ind w:left="0" w:firstLine="0"/>
        <w:jc w:val="both"/>
        <w:rPr>
          <w:rFonts w:ascii="Palatino Linotype" w:hAnsi="Palatino Linotype"/>
          <w:color w:val="000000" w:themeColor="text1"/>
        </w:rPr>
      </w:pPr>
      <w:r w:rsidRPr="00E73A39">
        <w:rPr>
          <w:rFonts w:ascii="Palatino Linotype" w:hAnsi="Palatino Linotype"/>
          <w:color w:val="000000" w:themeColor="text1"/>
        </w:rPr>
        <w:t>La Comisionada</w:t>
      </w:r>
      <w:r w:rsidR="009B36C8" w:rsidRPr="00E73A39">
        <w:rPr>
          <w:rFonts w:ascii="Palatino Linotype" w:hAnsi="Palatino Linotype"/>
          <w:color w:val="000000" w:themeColor="text1"/>
        </w:rPr>
        <w:t xml:space="preserve"> Ponente decretó</w:t>
      </w:r>
      <w:r w:rsidR="00AD225D" w:rsidRPr="00E73A39">
        <w:rPr>
          <w:rFonts w:ascii="Palatino Linotype" w:hAnsi="Palatino Linotype"/>
          <w:color w:val="000000" w:themeColor="text1"/>
        </w:rPr>
        <w:t xml:space="preserve"> el cierre de instrucción mediante acuerdo del </w:t>
      </w:r>
      <w:r w:rsidR="00A64283" w:rsidRPr="00E73A39">
        <w:rPr>
          <w:rFonts w:ascii="Palatino Linotype" w:hAnsi="Palatino Linotype"/>
          <w:color w:val="000000" w:themeColor="text1"/>
        </w:rPr>
        <w:t>veintiuno de mayo</w:t>
      </w:r>
      <w:r w:rsidR="00576667" w:rsidRPr="00E73A39">
        <w:rPr>
          <w:rFonts w:ascii="Palatino Linotype" w:hAnsi="Palatino Linotype"/>
          <w:color w:val="000000" w:themeColor="text1"/>
        </w:rPr>
        <w:t xml:space="preserve"> </w:t>
      </w:r>
      <w:r w:rsidR="00BE2314" w:rsidRPr="00E73A39">
        <w:rPr>
          <w:rFonts w:ascii="Palatino Linotype" w:hAnsi="Palatino Linotype"/>
          <w:color w:val="000000" w:themeColor="text1"/>
        </w:rPr>
        <w:t>de</w:t>
      </w:r>
      <w:r w:rsidR="00825DCF" w:rsidRPr="00E73A39">
        <w:rPr>
          <w:rFonts w:ascii="Palatino Linotype" w:hAnsi="Palatino Linotype"/>
          <w:color w:val="000000" w:themeColor="text1"/>
        </w:rPr>
        <w:t xml:space="preserve"> dos mil veinti</w:t>
      </w:r>
      <w:r w:rsidR="00A64283" w:rsidRPr="00E73A39">
        <w:rPr>
          <w:rFonts w:ascii="Palatino Linotype" w:hAnsi="Palatino Linotype"/>
          <w:color w:val="000000" w:themeColor="text1"/>
        </w:rPr>
        <w:t>cinco</w:t>
      </w:r>
      <w:r w:rsidR="00AD225D" w:rsidRPr="00E73A39">
        <w:rPr>
          <w:rFonts w:ascii="Palatino Linotype" w:hAnsi="Palatino Linotype"/>
          <w:color w:val="000000" w:themeColor="text1"/>
        </w:rPr>
        <w:t>;</w:t>
      </w:r>
      <w:r w:rsidR="003F0EEF" w:rsidRPr="00E73A39">
        <w:rPr>
          <w:rFonts w:ascii="Palatino Linotype" w:hAnsi="Palatino Linotype"/>
          <w:color w:val="000000" w:themeColor="text1"/>
        </w:rPr>
        <w:t xml:space="preserve"> </w:t>
      </w:r>
      <w:r w:rsidR="00AD225D" w:rsidRPr="00E73A39">
        <w:rPr>
          <w:rFonts w:ascii="Palatino Linotype" w:hAnsi="Palatino Linotype"/>
          <w:color w:val="000000" w:themeColor="text1"/>
        </w:rPr>
        <w:t>por lo que se ordenó turnar el expediente a resolución</w:t>
      </w:r>
      <w:r w:rsidR="00BE2314" w:rsidRPr="00E73A39">
        <w:rPr>
          <w:rFonts w:ascii="Palatino Linotype" w:hAnsi="Palatino Linotype"/>
          <w:color w:val="000000" w:themeColor="text1"/>
        </w:rPr>
        <w:t>, misma que ahora se pronuncia;</w:t>
      </w:r>
      <w:r w:rsidR="0079454A" w:rsidRPr="00E73A39">
        <w:rPr>
          <w:rFonts w:ascii="Palatino Linotype" w:hAnsi="Palatino Linotype"/>
          <w:color w:val="000000" w:themeColor="text1"/>
        </w:rPr>
        <w:t xml:space="preserve"> </w:t>
      </w:r>
      <w:r w:rsidR="00BE2314" w:rsidRPr="00E73A39">
        <w:rPr>
          <w:rFonts w:ascii="Palatino Linotype" w:hAnsi="Palatino Linotype"/>
          <w:color w:val="000000" w:themeColor="text1"/>
        </w:rPr>
        <w:t xml:space="preserve">y </w:t>
      </w:r>
    </w:p>
    <w:p w14:paraId="49A4F1F0" w14:textId="77777777" w:rsidR="0003153F" w:rsidRPr="00E73A39" w:rsidRDefault="0003153F" w:rsidP="00CD2063">
      <w:pPr>
        <w:pStyle w:val="Prrafodelista"/>
        <w:tabs>
          <w:tab w:val="left" w:pos="0"/>
          <w:tab w:val="left" w:pos="426"/>
          <w:tab w:val="left" w:pos="567"/>
        </w:tabs>
        <w:spacing w:line="360" w:lineRule="auto"/>
        <w:ind w:left="0"/>
        <w:jc w:val="both"/>
        <w:rPr>
          <w:rFonts w:ascii="Palatino Linotype" w:hAnsi="Palatino Linotype"/>
          <w:color w:val="000000" w:themeColor="text1"/>
        </w:rPr>
      </w:pPr>
    </w:p>
    <w:p w14:paraId="49ED3AA2" w14:textId="38BCFF5B" w:rsidR="00946C27" w:rsidRPr="00E73A39" w:rsidRDefault="00946C27" w:rsidP="00CD2063">
      <w:pPr>
        <w:pStyle w:val="Ttulo2"/>
        <w:tabs>
          <w:tab w:val="left" w:pos="0"/>
        </w:tabs>
        <w:jc w:val="center"/>
        <w:rPr>
          <w:rFonts w:ascii="Palatino Linotype" w:hAnsi="Palatino Linotype"/>
          <w:b/>
          <w:color w:val="000000" w:themeColor="text1"/>
          <w:sz w:val="24"/>
          <w:szCs w:val="24"/>
        </w:rPr>
      </w:pPr>
      <w:bookmarkStart w:id="18" w:name="_Toc88748490"/>
      <w:r w:rsidRPr="00E73A39">
        <w:rPr>
          <w:rFonts w:ascii="Palatino Linotype" w:hAnsi="Palatino Linotype"/>
          <w:b/>
          <w:color w:val="000000" w:themeColor="text1"/>
          <w:sz w:val="24"/>
          <w:szCs w:val="24"/>
        </w:rPr>
        <w:lastRenderedPageBreak/>
        <w:t>C</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O</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N</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S</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I</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D</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E</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R</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A</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N</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D</w:t>
      </w:r>
      <w:r w:rsidR="00A22B63" w:rsidRPr="00E73A39">
        <w:rPr>
          <w:rFonts w:ascii="Palatino Linotype" w:hAnsi="Palatino Linotype"/>
          <w:b/>
          <w:color w:val="000000" w:themeColor="text1"/>
          <w:sz w:val="24"/>
          <w:szCs w:val="24"/>
        </w:rPr>
        <w:t xml:space="preserve"> </w:t>
      </w:r>
      <w:r w:rsidRPr="00E73A39">
        <w:rPr>
          <w:rFonts w:ascii="Palatino Linotype" w:hAnsi="Palatino Linotype"/>
          <w:b/>
          <w:color w:val="000000" w:themeColor="text1"/>
          <w:sz w:val="24"/>
          <w:szCs w:val="24"/>
        </w:rPr>
        <w:t>O</w:t>
      </w:r>
      <w:bookmarkEnd w:id="18"/>
    </w:p>
    <w:p w14:paraId="6A5FAF93" w14:textId="77777777" w:rsidR="00946C27" w:rsidRPr="00E73A39" w:rsidRDefault="00946C27" w:rsidP="00CD2063">
      <w:pPr>
        <w:tabs>
          <w:tab w:val="left" w:pos="0"/>
        </w:tabs>
        <w:rPr>
          <w:rFonts w:ascii="Palatino Linotype" w:hAnsi="Palatino Linotype"/>
          <w:color w:val="000000" w:themeColor="text1"/>
          <w:lang w:eastAsia="en-US"/>
        </w:rPr>
      </w:pPr>
    </w:p>
    <w:p w14:paraId="2CEF2C06" w14:textId="30F762B1" w:rsidR="00946C27" w:rsidRPr="00E73A39" w:rsidRDefault="00946C27" w:rsidP="00CD2063">
      <w:pPr>
        <w:pStyle w:val="Ttulo2"/>
        <w:tabs>
          <w:tab w:val="left" w:pos="0"/>
        </w:tabs>
        <w:spacing w:before="0" w:line="360" w:lineRule="auto"/>
        <w:rPr>
          <w:rFonts w:ascii="Palatino Linotype" w:hAnsi="Palatino Linotype"/>
          <w:b/>
          <w:color w:val="000000" w:themeColor="text1"/>
          <w:sz w:val="24"/>
          <w:szCs w:val="24"/>
        </w:rPr>
      </w:pPr>
      <w:bookmarkStart w:id="19" w:name="_Toc491791303"/>
      <w:bookmarkStart w:id="20" w:name="_Toc535334651"/>
      <w:bookmarkStart w:id="21" w:name="_Toc2248732"/>
      <w:bookmarkStart w:id="22" w:name="_Toc88748491"/>
      <w:r w:rsidRPr="00E73A39">
        <w:rPr>
          <w:rFonts w:ascii="Palatino Linotype" w:hAnsi="Palatino Linotype"/>
          <w:b/>
          <w:color w:val="000000" w:themeColor="text1"/>
          <w:sz w:val="24"/>
          <w:szCs w:val="24"/>
        </w:rPr>
        <w:t>PRIMERO. De la competencia</w:t>
      </w:r>
      <w:bookmarkEnd w:id="19"/>
      <w:bookmarkEnd w:id="20"/>
      <w:bookmarkEnd w:id="21"/>
      <w:bookmarkEnd w:id="22"/>
    </w:p>
    <w:p w14:paraId="6BF7ED1E" w14:textId="77777777" w:rsidR="00946C27" w:rsidRPr="00E73A39" w:rsidRDefault="00946C27"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E73A39" w:rsidRDefault="00946C27"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Times New Roman"/>
          <w:color w:val="000000" w:themeColor="text1"/>
        </w:rPr>
        <w:t xml:space="preserve">Este </w:t>
      </w:r>
      <w:r w:rsidR="0079454A" w:rsidRPr="00E73A39">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E73A39">
        <w:rPr>
          <w:rFonts w:ascii="Palatino Linotype" w:hAnsi="Palatino Linotype"/>
          <w:color w:val="000000" w:themeColor="text1"/>
        </w:rPr>
        <w:t>.</w:t>
      </w:r>
    </w:p>
    <w:p w14:paraId="38FAB7E8" w14:textId="77777777" w:rsidR="00E869D5" w:rsidRPr="00E73A39" w:rsidRDefault="00E869D5"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1B1C136B" w:rsidR="00946C27" w:rsidRPr="00E73A39" w:rsidRDefault="00946C27" w:rsidP="00CD2063">
      <w:pPr>
        <w:pStyle w:val="Ttulo2"/>
        <w:tabs>
          <w:tab w:val="left" w:pos="0"/>
        </w:tabs>
        <w:spacing w:before="0" w:line="360" w:lineRule="auto"/>
        <w:rPr>
          <w:rFonts w:ascii="Palatino Linotype" w:hAnsi="Palatino Linotype"/>
          <w:b/>
          <w:color w:val="000000" w:themeColor="text1"/>
          <w:sz w:val="24"/>
          <w:szCs w:val="24"/>
        </w:rPr>
      </w:pPr>
      <w:bookmarkStart w:id="23" w:name="_Toc491791304"/>
      <w:bookmarkStart w:id="24" w:name="_Toc535334652"/>
      <w:bookmarkStart w:id="25" w:name="_Toc2248733"/>
      <w:bookmarkStart w:id="26" w:name="_Toc88748492"/>
      <w:r w:rsidRPr="00E73A39">
        <w:rPr>
          <w:rFonts w:ascii="Palatino Linotype" w:hAnsi="Palatino Linotype"/>
          <w:b/>
          <w:color w:val="000000" w:themeColor="text1"/>
          <w:sz w:val="24"/>
          <w:szCs w:val="24"/>
        </w:rPr>
        <w:t>SEGUNDO. De la oportunidad y procedencia.</w:t>
      </w:r>
      <w:bookmarkEnd w:id="23"/>
      <w:bookmarkEnd w:id="24"/>
      <w:bookmarkEnd w:id="25"/>
      <w:bookmarkEnd w:id="26"/>
    </w:p>
    <w:p w14:paraId="1F21BA6D" w14:textId="77777777" w:rsidR="002B6587" w:rsidRPr="00E73A39" w:rsidRDefault="002B6587" w:rsidP="00CD2063">
      <w:pPr>
        <w:tabs>
          <w:tab w:val="left" w:pos="0"/>
        </w:tabs>
        <w:rPr>
          <w:rFonts w:ascii="Palatino Linotype" w:hAnsi="Palatino Linotype"/>
          <w:color w:val="000000" w:themeColor="text1"/>
          <w:lang w:val="es-ES_tradnl" w:eastAsia="en-US"/>
        </w:rPr>
      </w:pPr>
    </w:p>
    <w:p w14:paraId="7AC7FA5E" w14:textId="50638F13" w:rsidR="00E95684" w:rsidRPr="00E73A39" w:rsidRDefault="00946C27"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E73A39">
        <w:rPr>
          <w:rFonts w:ascii="Palatino Linotype" w:eastAsia="Calibri" w:hAnsi="Palatino Linotype" w:cs="Arial"/>
          <w:color w:val="000000" w:themeColor="text1"/>
          <w:lang w:val="es-ES"/>
        </w:rPr>
        <w:t xml:space="preserve"> </w:t>
      </w:r>
      <w:r w:rsidR="00E95684" w:rsidRPr="00E73A39">
        <w:rPr>
          <w:rFonts w:ascii="Palatino Linotype" w:eastAsia="Calibri" w:hAnsi="Palatino Linotype" w:cs="Arial"/>
          <w:color w:val="000000" w:themeColor="text1"/>
        </w:rPr>
        <w:t>E</w:t>
      </w:r>
      <w:r w:rsidR="00576667" w:rsidRPr="00E73A39">
        <w:rPr>
          <w:rFonts w:ascii="Palatino Linotype" w:eastAsia="Calibri" w:hAnsi="Palatino Linotype" w:cs="Arial"/>
          <w:color w:val="000000" w:themeColor="text1"/>
        </w:rPr>
        <w:t xml:space="preserve">s </w:t>
      </w:r>
      <w:r w:rsidR="00576667" w:rsidRPr="00E73A39">
        <w:rPr>
          <w:rFonts w:ascii="Palatino Linotype" w:eastAsia="Calibri" w:hAnsi="Palatino Linotype" w:cs="Arial"/>
          <w:color w:val="000000" w:themeColor="text1"/>
          <w:lang w:val="es-ES"/>
        </w:rPr>
        <w:t xml:space="preserve">de precisar, que la Ley de Transparencia y Acceso a la Información Pública del Estado de México y Municipios, en el artículo 178 describe la procedencia del recurso de revisión, asimismo señala que el plazo del </w:t>
      </w:r>
      <w:r w:rsidR="00576667" w:rsidRPr="00E73A39">
        <w:rPr>
          <w:rFonts w:ascii="Palatino Linotype" w:eastAsia="Calibri" w:hAnsi="Palatino Linotype" w:cs="Arial"/>
          <w:b/>
          <w:color w:val="000000" w:themeColor="text1"/>
          <w:lang w:val="es-ES"/>
        </w:rPr>
        <w:t>SUJETO OBLIGADO</w:t>
      </w:r>
      <w:r w:rsidR="00576667" w:rsidRPr="00E73A39">
        <w:rPr>
          <w:rFonts w:ascii="Palatino Linotype" w:eastAsia="Calibri" w:hAnsi="Palatino Linotype" w:cs="Arial"/>
          <w:color w:val="000000" w:themeColor="text1"/>
          <w:lang w:val="es-ES"/>
        </w:rPr>
        <w:t xml:space="preserve"> para entregar la respuesta a una solicitud de información pública, es de quince días hábiles posteriores a </w:t>
      </w:r>
      <w:r w:rsidR="00576667" w:rsidRPr="00E73A39">
        <w:rPr>
          <w:rFonts w:ascii="Palatino Linotype" w:eastAsia="Calibri" w:hAnsi="Palatino Linotype" w:cs="Arial"/>
          <w:color w:val="000000" w:themeColor="text1"/>
          <w:lang w:val="es-ES"/>
        </w:rPr>
        <w:lastRenderedPageBreak/>
        <w:t>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484C5556" w14:textId="77777777" w:rsidR="00E15F90" w:rsidRPr="00E73A39" w:rsidRDefault="00E15F90"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1E8369E" w14:textId="0BA944E2" w:rsidR="00E15F90" w:rsidRPr="00E73A39" w:rsidRDefault="00E15F90"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Por ende, se constituye la figura jurídica de la </w:t>
      </w:r>
      <w:r w:rsidRPr="00E73A39">
        <w:rPr>
          <w:rFonts w:ascii="Palatino Linotype" w:eastAsia="Calibri" w:hAnsi="Palatino Linotype" w:cs="Arial"/>
          <w:i/>
          <w:color w:val="000000" w:themeColor="text1"/>
          <w:lang w:val="es-ES"/>
        </w:rPr>
        <w:t>negativa ficta</w:t>
      </w:r>
      <w:r w:rsidRPr="00E73A39">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E73A39">
        <w:rPr>
          <w:rFonts w:ascii="Palatino Linotype" w:eastAsia="Calibri" w:hAnsi="Palatino Linotype" w:cs="Arial"/>
          <w:b/>
          <w:color w:val="000000" w:themeColor="text1"/>
          <w:lang w:val="es-ES"/>
        </w:rPr>
        <w:t>178</w:t>
      </w:r>
      <w:r w:rsidRPr="00E73A39">
        <w:rPr>
          <w:rFonts w:ascii="Palatino Linotype" w:eastAsia="Calibri" w:hAnsi="Palatino Linotype" w:cs="Arial"/>
          <w:color w:val="000000" w:themeColor="text1"/>
          <w:lang w:val="es-ES"/>
        </w:rPr>
        <w:t xml:space="preserve"> segundo párrafo de </w:t>
      </w:r>
      <w:r w:rsidRPr="00E73A39">
        <w:rPr>
          <w:rFonts w:ascii="Palatino Linotype" w:eastAsia="Calibri" w:hAnsi="Palatino Linotype" w:cs="Arial"/>
          <w:b/>
          <w:color w:val="000000" w:themeColor="text1"/>
          <w:lang w:val="es-ES"/>
        </w:rPr>
        <w:t>Ley de Transparencia y Acceso a la Información Pública del Estado de México y Municipios</w:t>
      </w:r>
      <w:r w:rsidRPr="00E73A39">
        <w:rPr>
          <w:rFonts w:ascii="Palatino Linotype" w:eastAsia="Calibri" w:hAnsi="Palatino Linotype"/>
          <w:color w:val="000000" w:themeColor="text1"/>
          <w:shd w:val="clear" w:color="auto" w:fill="FFFFFF"/>
        </w:rPr>
        <w:t xml:space="preserve">, que dispone; ante la falta de respuesta del </w:t>
      </w:r>
      <w:r w:rsidRPr="00E73A39">
        <w:rPr>
          <w:rFonts w:ascii="Palatino Linotype" w:eastAsia="Calibri" w:hAnsi="Palatino Linotype"/>
          <w:b/>
          <w:color w:val="000000" w:themeColor="text1"/>
          <w:shd w:val="clear" w:color="auto" w:fill="FFFFFF"/>
        </w:rPr>
        <w:t>SUJETO OBLIGADO,</w:t>
      </w:r>
      <w:r w:rsidRPr="00E73A39">
        <w:rPr>
          <w:rFonts w:ascii="Palatino Linotype" w:eastAsia="Calibri" w:hAnsi="Palatino Linotype"/>
          <w:color w:val="000000" w:themeColor="text1"/>
          <w:shd w:val="clear" w:color="auto" w:fill="FFFFFF"/>
        </w:rPr>
        <w:t xml:space="preserve"> dentro de los plazos establecidos en esta Ley, a una solicitud de acceso a la información pública, el recurso </w:t>
      </w:r>
      <w:r w:rsidRPr="00E73A39">
        <w:rPr>
          <w:rFonts w:ascii="Palatino Linotype" w:eastAsia="Calibri" w:hAnsi="Palatino Linotype"/>
          <w:b/>
          <w:color w:val="000000" w:themeColor="text1"/>
          <w:shd w:val="clear" w:color="auto" w:fill="FFFFFF"/>
        </w:rPr>
        <w:t>podrá ser interpuesto en cualquier momento.</w:t>
      </w:r>
    </w:p>
    <w:p w14:paraId="372C4F90" w14:textId="77777777" w:rsidR="000D2E02" w:rsidRPr="00E73A39" w:rsidRDefault="000D2E02"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2E7AA3BC" w14:textId="680AB0F2" w:rsidR="00E15F90" w:rsidRPr="00E73A39" w:rsidRDefault="00E15F90"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Por lo que, tratándose de la </w:t>
      </w:r>
      <w:r w:rsidRPr="00E73A39">
        <w:rPr>
          <w:rFonts w:ascii="Palatino Linotype" w:eastAsia="Calibri" w:hAnsi="Palatino Linotype" w:cs="Arial"/>
          <w:i/>
          <w:color w:val="000000" w:themeColor="text1"/>
          <w:lang w:val="es-ES"/>
        </w:rPr>
        <w:t>negativa ficta</w:t>
      </w:r>
      <w:r w:rsidRPr="00E73A39">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73A39">
        <w:rPr>
          <w:rFonts w:ascii="Palatino Linotype" w:eastAsia="Calibri" w:hAnsi="Palatino Linotype" w:cs="Arial"/>
          <w:i/>
          <w:color w:val="000000" w:themeColor="text1"/>
          <w:lang w:val="es-ES"/>
        </w:rPr>
        <w:t>negativa ficta</w:t>
      </w:r>
      <w:r w:rsidRPr="00E73A39">
        <w:rPr>
          <w:rFonts w:ascii="Palatino Linotype" w:eastAsia="Calibri" w:hAnsi="Palatino Linotype" w:cs="Arial"/>
          <w:color w:val="000000" w:themeColor="text1"/>
          <w:lang w:val="es-ES"/>
        </w:rPr>
        <w:t>, que señala:</w:t>
      </w:r>
    </w:p>
    <w:p w14:paraId="7D33346A" w14:textId="5E6EE2D0" w:rsidR="00E15F90" w:rsidRPr="00E73A39" w:rsidRDefault="00E15F90" w:rsidP="00CD2063">
      <w:pPr>
        <w:pStyle w:val="Prrafodelista"/>
        <w:tabs>
          <w:tab w:val="left" w:pos="0"/>
          <w:tab w:val="left" w:pos="426"/>
          <w:tab w:val="left" w:pos="567"/>
        </w:tabs>
        <w:ind w:left="0"/>
        <w:jc w:val="both"/>
        <w:rPr>
          <w:rFonts w:ascii="Palatino Linotype" w:eastAsia="Calibri" w:hAnsi="Palatino Linotype" w:cs="Arial"/>
          <w:color w:val="000000" w:themeColor="text1"/>
          <w:lang w:val="es-ES"/>
        </w:rPr>
      </w:pPr>
    </w:p>
    <w:p w14:paraId="2425F40E" w14:textId="77777777" w:rsidR="00E15F90" w:rsidRPr="00E73A39" w:rsidRDefault="00E15F90" w:rsidP="00CD2063">
      <w:pPr>
        <w:tabs>
          <w:tab w:val="left" w:pos="0"/>
          <w:tab w:val="left" w:pos="7655"/>
        </w:tabs>
        <w:spacing w:before="240" w:after="240"/>
        <w:ind w:left="567"/>
        <w:jc w:val="center"/>
        <w:rPr>
          <w:rFonts w:ascii="Palatino Linotype" w:eastAsia="Calibri" w:hAnsi="Palatino Linotype" w:cs="Arial"/>
          <w:b/>
          <w:color w:val="000000" w:themeColor="text1"/>
          <w:lang w:val="es-ES" w:eastAsia="es-ES"/>
        </w:rPr>
      </w:pPr>
      <w:r w:rsidRPr="00E73A39">
        <w:rPr>
          <w:rFonts w:ascii="Palatino Linotype" w:eastAsia="Calibri" w:hAnsi="Palatino Linotype" w:cs="Arial"/>
          <w:b/>
          <w:color w:val="000000" w:themeColor="text1"/>
          <w:lang w:val="es-ES" w:eastAsia="es-ES"/>
        </w:rPr>
        <w:t>Criterio 0001-15</w:t>
      </w:r>
    </w:p>
    <w:p w14:paraId="5F0028B1" w14:textId="09860F0F" w:rsidR="00E15F90" w:rsidRPr="00E73A39" w:rsidRDefault="00E15F90" w:rsidP="00CD2063">
      <w:pPr>
        <w:tabs>
          <w:tab w:val="left" w:pos="0"/>
          <w:tab w:val="left" w:pos="7655"/>
        </w:tabs>
        <w:spacing w:before="240" w:after="240"/>
        <w:ind w:left="567"/>
        <w:jc w:val="both"/>
        <w:rPr>
          <w:rFonts w:ascii="Palatino Linotype" w:eastAsia="Calibri" w:hAnsi="Palatino Linotype" w:cs="Arial"/>
          <w:i/>
          <w:color w:val="000000" w:themeColor="text1"/>
          <w:lang w:val="es-ES" w:eastAsia="es-ES"/>
        </w:rPr>
      </w:pPr>
      <w:r w:rsidRPr="00E73A39">
        <w:rPr>
          <w:rFonts w:ascii="Palatino Linotype" w:eastAsia="Calibri" w:hAnsi="Palatino Linotype" w:cs="Arial"/>
          <w:b/>
          <w:i/>
          <w:color w:val="000000" w:themeColor="text1"/>
          <w:lang w:val="es-ES" w:eastAsia="es-ES"/>
        </w:rPr>
        <w:t>NEGATIVA FICTA. PLAZO PARA INTERPONER EL RECURSO DE REVISIÓN TRATÁNDOSE DE.</w:t>
      </w:r>
      <w:r w:rsidRPr="00E73A39">
        <w:rPr>
          <w:rFonts w:ascii="Palatino Linotype" w:eastAsia="Calibri" w:hAnsi="Palatino Linotype" w:cs="Arial"/>
          <w:i/>
          <w:color w:val="000000" w:themeColor="text1"/>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22599E" w14:textId="77777777" w:rsidR="00946C27" w:rsidRPr="00E73A39" w:rsidRDefault="00946C27"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B9CE9BE" w14:textId="727CBEAA" w:rsidR="00E15F90" w:rsidRPr="00E73A39" w:rsidRDefault="00E15F90"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Lo </w:t>
      </w:r>
      <w:r w:rsidRPr="00E73A39">
        <w:rPr>
          <w:rFonts w:ascii="Palatino Linotype" w:hAnsi="Palatino Linotype" w:cs="Arial"/>
          <w:color w:val="000000" w:themeColor="text1"/>
          <w:lang w:val="es-ES"/>
        </w:rPr>
        <w:t xml:space="preserve">anterior, se explica porque la </w:t>
      </w:r>
      <w:r w:rsidRPr="00E73A39">
        <w:rPr>
          <w:rFonts w:ascii="Palatino Linotype" w:hAnsi="Palatino Linotype" w:cs="Arial"/>
          <w:b/>
          <w:color w:val="000000" w:themeColor="text1"/>
          <w:u w:val="single"/>
          <w:lang w:val="es-ES"/>
        </w:rPr>
        <w:t>posible ausencia</w:t>
      </w:r>
      <w:r w:rsidRPr="00E73A39">
        <w:rPr>
          <w:rFonts w:ascii="Palatino Linotype" w:hAnsi="Palatino Linotype" w:cs="Arial"/>
          <w:color w:val="000000" w:themeColor="text1"/>
          <w:lang w:val="es-ES"/>
        </w:rPr>
        <w:t xml:space="preserve"> de una respuesta en la solicitud constituye un acto que vulnera el derecho de manera continua y actualizable cada día en tanto, no se emita la respuesta a la que esté impuesto el </w:t>
      </w:r>
      <w:r w:rsidRPr="00E73A39">
        <w:rPr>
          <w:rFonts w:ascii="Palatino Linotype" w:hAnsi="Palatino Linotype" w:cs="Arial"/>
          <w:b/>
          <w:color w:val="000000" w:themeColor="text1"/>
          <w:lang w:val="es-ES"/>
        </w:rPr>
        <w:t>SUJETO OBLIGADO</w:t>
      </w:r>
      <w:r w:rsidRPr="00E73A39">
        <w:rPr>
          <w:rFonts w:ascii="Palatino Linotype" w:hAnsi="Palatino Linotype" w:cs="Arial"/>
          <w:color w:val="000000" w:themeColor="text1"/>
          <w:lang w:val="es-ES"/>
        </w:rPr>
        <w:t>.</w:t>
      </w:r>
    </w:p>
    <w:p w14:paraId="5C68DA8F" w14:textId="77777777" w:rsidR="00E15F90" w:rsidRPr="00E73A39" w:rsidRDefault="00E15F90"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3BF90CB2" w:rsidR="00B950D2" w:rsidRPr="00E73A39" w:rsidRDefault="00163084"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olor w:val="000000" w:themeColor="text1"/>
        </w:rPr>
        <w:t>Por</w:t>
      </w:r>
      <w:r w:rsidRPr="00E73A39">
        <w:rPr>
          <w:rFonts w:ascii="Palatino Linotype" w:eastAsia="Calibri" w:hAnsi="Palatino Linotype" w:cs="Arial"/>
          <w:color w:val="000000" w:themeColor="text1"/>
        </w:rPr>
        <w:t xml:space="preserve"> otro lado, los</w:t>
      </w:r>
      <w:r w:rsidR="0032581C" w:rsidRPr="00E73A39">
        <w:rPr>
          <w:rFonts w:ascii="Palatino Linotype" w:eastAsia="Calibri" w:hAnsi="Palatino Linotype" w:cs="Arial"/>
          <w:color w:val="000000" w:themeColor="text1"/>
        </w:rPr>
        <w:t xml:space="preserve"> escrito</w:t>
      </w:r>
      <w:r w:rsidRPr="00E73A39">
        <w:rPr>
          <w:rFonts w:ascii="Palatino Linotype" w:eastAsia="Calibri" w:hAnsi="Palatino Linotype" w:cs="Arial"/>
          <w:color w:val="000000" w:themeColor="text1"/>
        </w:rPr>
        <w:t>s</w:t>
      </w:r>
      <w:r w:rsidR="0032581C" w:rsidRPr="00E73A39">
        <w:rPr>
          <w:rFonts w:ascii="Palatino Linotype" w:eastAsia="Calibri" w:hAnsi="Palatino Linotype" w:cs="Arial"/>
          <w:color w:val="000000" w:themeColor="text1"/>
        </w:rPr>
        <w:t xml:space="preserve"> contiene</w:t>
      </w:r>
      <w:r w:rsidRPr="00E73A39">
        <w:rPr>
          <w:rFonts w:ascii="Palatino Linotype" w:eastAsia="Calibri" w:hAnsi="Palatino Linotype" w:cs="Arial"/>
          <w:color w:val="000000" w:themeColor="text1"/>
        </w:rPr>
        <w:t>n</w:t>
      </w:r>
      <w:r w:rsidR="0032581C" w:rsidRPr="00E73A39">
        <w:rPr>
          <w:rFonts w:ascii="Palatino Linotype" w:eastAsia="Calibri" w:hAnsi="Palatino Linotype" w:cs="Arial"/>
          <w:color w:val="000000" w:themeColor="text1"/>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EA3847" w14:textId="77777777" w:rsidR="00D257D1" w:rsidRPr="00E73A39" w:rsidRDefault="00D257D1"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52CFC314" w14:textId="366953F8" w:rsidR="006B17D1" w:rsidRPr="00E73A39" w:rsidRDefault="00946C27" w:rsidP="00CD2063">
      <w:pPr>
        <w:pStyle w:val="Ttulo2"/>
        <w:tabs>
          <w:tab w:val="left" w:pos="0"/>
        </w:tabs>
        <w:spacing w:before="0" w:line="360" w:lineRule="auto"/>
        <w:rPr>
          <w:rFonts w:ascii="Palatino Linotype" w:hAnsi="Palatino Linotype"/>
          <w:b/>
          <w:color w:val="000000" w:themeColor="text1"/>
          <w:sz w:val="24"/>
          <w:szCs w:val="24"/>
        </w:rPr>
      </w:pPr>
      <w:bookmarkStart w:id="30" w:name="_Toc535334653"/>
      <w:bookmarkStart w:id="31" w:name="_Toc2248734"/>
      <w:bookmarkStart w:id="32" w:name="_Toc88748493"/>
      <w:r w:rsidRPr="00E73A39">
        <w:rPr>
          <w:rFonts w:ascii="Palatino Linotype" w:hAnsi="Palatino Linotype"/>
          <w:b/>
          <w:color w:val="000000" w:themeColor="text1"/>
          <w:sz w:val="24"/>
          <w:szCs w:val="24"/>
        </w:rPr>
        <w:lastRenderedPageBreak/>
        <w:t xml:space="preserve">TERCERO. </w:t>
      </w:r>
      <w:bookmarkEnd w:id="30"/>
      <w:bookmarkEnd w:id="31"/>
      <w:r w:rsidR="00B6449C" w:rsidRPr="00E73A39">
        <w:rPr>
          <w:rFonts w:ascii="Palatino Linotype" w:eastAsia="Palatino Linotype" w:hAnsi="Palatino Linotype" w:cs="Palatino Linotype"/>
          <w:b/>
          <w:color w:val="000000" w:themeColor="text1"/>
          <w:sz w:val="24"/>
          <w:szCs w:val="24"/>
        </w:rPr>
        <w:t>De las causales del sobreseimiento.</w:t>
      </w:r>
    </w:p>
    <w:p w14:paraId="55CA5F5A" w14:textId="77777777" w:rsidR="006B17D1" w:rsidRPr="00E73A39" w:rsidRDefault="006B17D1" w:rsidP="00CD2063">
      <w:pPr>
        <w:tabs>
          <w:tab w:val="left" w:pos="0"/>
        </w:tabs>
        <w:rPr>
          <w:rFonts w:ascii="Palatino Linotype" w:hAnsi="Palatino Linotype"/>
          <w:color w:val="000000" w:themeColor="text1"/>
          <w:lang w:val="es-ES_tradnl" w:eastAsia="en-US"/>
        </w:rPr>
      </w:pPr>
    </w:p>
    <w:p w14:paraId="0168AE7D" w14:textId="77777777"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bookmarkEnd w:id="32"/>
      <w:r w:rsidRPr="00E73A39">
        <w:rPr>
          <w:rFonts w:ascii="Palatino Linotype" w:eastAsia="Calibri" w:hAnsi="Palatino Linotype" w:cs="Arial"/>
          <w:color w:val="000000" w:themeColor="text1"/>
          <w:lang w:val="es-ES"/>
        </w:rPr>
        <w:t xml:space="preserve">El </w:t>
      </w:r>
      <w:r w:rsidRPr="00E73A39">
        <w:rPr>
          <w:rFonts w:ascii="Palatino Linotype" w:eastAsia="Palatino Linotype" w:hAnsi="Palatino Linotype" w:cs="Palatino Linotype"/>
          <w:color w:val="000000" w:themeColor="text1"/>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E73A39">
        <w:rPr>
          <w:rFonts w:ascii="Palatino Linotype" w:eastAsia="Palatino Linotype" w:hAnsi="Palatino Linotype" w:cs="Palatino Linotype"/>
          <w:b/>
          <w:color w:val="000000" w:themeColor="text1"/>
          <w:u w:val="single"/>
        </w:rPr>
        <w:t>sobreseimiento</w:t>
      </w:r>
      <w:r w:rsidRPr="00E73A39">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E73A39">
        <w:rPr>
          <w:rFonts w:ascii="Palatino Linotype" w:eastAsia="Palatino Linotype" w:hAnsi="Palatino Linotype" w:cs="Palatino Linotype"/>
          <w:b/>
          <w:color w:val="000000" w:themeColor="text1"/>
        </w:rPr>
        <w:t>SUJETO</w:t>
      </w:r>
      <w:r w:rsidRPr="00E73A39">
        <w:rPr>
          <w:rFonts w:ascii="Palatino Linotype" w:eastAsia="Palatino Linotype" w:hAnsi="Palatino Linotype" w:cs="Palatino Linotype"/>
          <w:color w:val="000000" w:themeColor="text1"/>
        </w:rPr>
        <w:t xml:space="preserve"> </w:t>
      </w:r>
      <w:r w:rsidRPr="00E73A39">
        <w:rPr>
          <w:rFonts w:ascii="Palatino Linotype" w:eastAsia="Palatino Linotype" w:hAnsi="Palatino Linotype" w:cs="Palatino Linotype"/>
          <w:b/>
          <w:color w:val="000000" w:themeColor="text1"/>
        </w:rPr>
        <w:t>OBLIGADO</w:t>
      </w:r>
      <w:r w:rsidRPr="00E73A39">
        <w:rPr>
          <w:rFonts w:ascii="Palatino Linotype" w:eastAsia="Palatino Linotype" w:hAnsi="Palatino Linotype" w:cs="Palatino Linotype"/>
          <w:color w:val="000000" w:themeColor="text1"/>
        </w:rPr>
        <w:t>.</w:t>
      </w:r>
    </w:p>
    <w:p w14:paraId="53C87ED4"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65E72CB" w14:textId="77777777"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 xml:space="preserve">De acuerdo al precepto legal contenido en la fracción III del artículo 192 de la </w:t>
      </w:r>
      <w:r w:rsidRPr="00E73A39">
        <w:rPr>
          <w:rFonts w:ascii="Palatino Linotype" w:eastAsia="Palatino Linotype" w:hAnsi="Palatino Linotype" w:cs="Palatino Linotype"/>
          <w:b/>
          <w:color w:val="000000" w:themeColor="text1"/>
        </w:rPr>
        <w:t>Ley de Transparencia y Acceso a la Información Pública del Estado de México y Municipios</w:t>
      </w:r>
      <w:r w:rsidRPr="00E73A39">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38D3C32E"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5DC4016C" w14:textId="77777777"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E73A39">
        <w:rPr>
          <w:rFonts w:ascii="Palatino Linotype" w:eastAsia="Palatino Linotype" w:hAnsi="Palatino Linotype" w:cs="Palatino Linotype"/>
          <w:b/>
          <w:color w:val="000000" w:themeColor="text1"/>
        </w:rPr>
        <w:t>SUJETO OBLIGADO</w:t>
      </w:r>
      <w:r w:rsidRPr="00E73A39">
        <w:rPr>
          <w:rFonts w:ascii="Palatino Linotype" w:eastAsia="Palatino Linotype" w:hAnsi="Palatino Linotype" w:cs="Palatino Linotype"/>
          <w:color w:val="000000" w:themeColor="text1"/>
        </w:rPr>
        <w:t>:</w:t>
      </w:r>
    </w:p>
    <w:p w14:paraId="16388209"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Palatino Linotype" w:hAnsi="Palatino Linotype" w:cs="Palatino Linotype"/>
          <w:color w:val="000000" w:themeColor="text1"/>
        </w:rPr>
      </w:pPr>
    </w:p>
    <w:p w14:paraId="7331198E" w14:textId="77777777" w:rsidR="00B6449C" w:rsidRPr="00E73A39" w:rsidRDefault="00B6449C" w:rsidP="00CD2063">
      <w:pPr>
        <w:numPr>
          <w:ilvl w:val="0"/>
          <w:numId w:val="25"/>
        </w:numPr>
        <w:tabs>
          <w:tab w:val="left" w:pos="0"/>
        </w:tabs>
        <w:ind w:left="567" w:firstLine="0"/>
        <w:jc w:val="both"/>
        <w:rPr>
          <w:rFonts w:ascii="Palatino Linotype" w:eastAsia="Palatino Linotype" w:hAnsi="Palatino Linotype" w:cs="Palatino Linotype"/>
          <w:color w:val="000000" w:themeColor="text1"/>
        </w:rPr>
      </w:pPr>
      <w:r w:rsidRPr="00E73A39">
        <w:rPr>
          <w:rFonts w:ascii="Palatino Linotype" w:eastAsia="Palatino Linotype" w:hAnsi="Palatino Linotype" w:cs="Palatino Linotype"/>
          <w:b/>
          <w:color w:val="000000" w:themeColor="text1"/>
        </w:rPr>
        <w:t>Modifique el acto impugnado:</w:t>
      </w:r>
      <w:r w:rsidRPr="00E73A39">
        <w:rPr>
          <w:rFonts w:ascii="Palatino Linotype" w:eastAsia="Palatino Linotype" w:hAnsi="Palatino Linotype" w:cs="Palatino Linotype"/>
          <w:color w:val="000000" w:themeColor="text1"/>
        </w:rPr>
        <w:t xml:space="preserve"> Se actualiza cuando el </w:t>
      </w:r>
      <w:r w:rsidRPr="00E73A39">
        <w:rPr>
          <w:rFonts w:ascii="Palatino Linotype" w:eastAsia="Palatino Linotype" w:hAnsi="Palatino Linotype" w:cs="Palatino Linotype"/>
          <w:b/>
          <w:color w:val="000000" w:themeColor="text1"/>
        </w:rPr>
        <w:t>SUJETO OBLIGADO</w:t>
      </w:r>
      <w:r w:rsidRPr="00E73A39">
        <w:rPr>
          <w:rFonts w:ascii="Palatino Linotype" w:eastAsia="Palatino Linotype" w:hAnsi="Palatino Linotype" w:cs="Palatino Linotype"/>
          <w:color w:val="000000" w:themeColor="text1"/>
        </w:rPr>
        <w:t xml:space="preserve"> después de haber otorgado una respuesta y hasta antes de dictada la </w:t>
      </w:r>
      <w:r w:rsidRPr="00E73A39">
        <w:rPr>
          <w:rFonts w:ascii="Palatino Linotype" w:eastAsia="Palatino Linotype" w:hAnsi="Palatino Linotype" w:cs="Palatino Linotype"/>
          <w:color w:val="000000" w:themeColor="text1"/>
        </w:rPr>
        <w:lastRenderedPageBreak/>
        <w:t>resolución del recurso de revisión, emite una diversa en la que subsane las deficiencias que hubiera tenido.</w:t>
      </w:r>
    </w:p>
    <w:p w14:paraId="3DAE560C" w14:textId="77777777" w:rsidR="00B6449C" w:rsidRPr="00E73A39" w:rsidRDefault="00B6449C" w:rsidP="00CD2063">
      <w:pPr>
        <w:tabs>
          <w:tab w:val="left" w:pos="0"/>
        </w:tabs>
        <w:ind w:left="567"/>
        <w:jc w:val="both"/>
        <w:rPr>
          <w:rFonts w:ascii="Palatino Linotype" w:eastAsia="Palatino Linotype" w:hAnsi="Palatino Linotype" w:cs="Palatino Linotype"/>
          <w:color w:val="000000" w:themeColor="text1"/>
        </w:rPr>
      </w:pPr>
    </w:p>
    <w:p w14:paraId="367CBDBC" w14:textId="6AFEE8FB" w:rsidR="00B6449C" w:rsidRPr="00E73A39" w:rsidRDefault="00B6449C" w:rsidP="00CD2063">
      <w:pPr>
        <w:numPr>
          <w:ilvl w:val="0"/>
          <w:numId w:val="25"/>
        </w:numPr>
        <w:tabs>
          <w:tab w:val="left" w:pos="0"/>
        </w:tabs>
        <w:ind w:left="567" w:firstLine="0"/>
        <w:jc w:val="both"/>
        <w:rPr>
          <w:rFonts w:ascii="Palatino Linotype" w:eastAsia="Palatino Linotype" w:hAnsi="Palatino Linotype" w:cs="Palatino Linotype"/>
          <w:color w:val="000000" w:themeColor="text1"/>
        </w:rPr>
      </w:pPr>
      <w:r w:rsidRPr="00E73A39">
        <w:rPr>
          <w:rFonts w:ascii="Palatino Linotype" w:eastAsia="Palatino Linotype" w:hAnsi="Palatino Linotype" w:cs="Palatino Linotype"/>
          <w:b/>
          <w:color w:val="000000" w:themeColor="text1"/>
        </w:rPr>
        <w:t>Revoque el acto impugnado:</w:t>
      </w:r>
      <w:r w:rsidRPr="00E73A39">
        <w:rPr>
          <w:rFonts w:ascii="Palatino Linotype" w:eastAsia="Palatino Linotype" w:hAnsi="Palatino Linotype" w:cs="Palatino Linotype"/>
          <w:color w:val="000000" w:themeColor="text1"/>
        </w:rPr>
        <w:t xml:space="preserve"> En este supuesto, el </w:t>
      </w:r>
      <w:r w:rsidRPr="00E73A39">
        <w:rPr>
          <w:rFonts w:ascii="Palatino Linotype" w:eastAsia="Palatino Linotype" w:hAnsi="Palatino Linotype" w:cs="Palatino Linotype"/>
          <w:b/>
          <w:color w:val="000000" w:themeColor="text1"/>
        </w:rPr>
        <w:t>SUJETO OBLIGADO</w:t>
      </w:r>
      <w:r w:rsidRPr="00E73A39">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14:paraId="6A87B4D4"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6327E44" w14:textId="77777777"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61165DF"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01BEF66" w14:textId="7A47B8AC"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 xml:space="preserve">En el presente caso, el </w:t>
      </w:r>
      <w:r w:rsidRPr="00E73A39">
        <w:rPr>
          <w:rFonts w:ascii="Palatino Linotype" w:eastAsia="Palatino Linotype" w:hAnsi="Palatino Linotype" w:cs="Palatino Linotype"/>
          <w:b/>
          <w:color w:val="000000" w:themeColor="text1"/>
        </w:rPr>
        <w:t xml:space="preserve">RECURRENTE </w:t>
      </w:r>
      <w:r w:rsidRPr="00E73A39">
        <w:rPr>
          <w:rFonts w:ascii="Palatino Linotype" w:eastAsia="Palatino Linotype" w:hAnsi="Palatino Linotype" w:cs="Palatino Linotype"/>
          <w:color w:val="000000" w:themeColor="text1"/>
        </w:rPr>
        <w:t xml:space="preserve">solicitó </w:t>
      </w:r>
      <w:r w:rsidRPr="00E73A39">
        <w:rPr>
          <w:rFonts w:ascii="Palatino Linotype" w:eastAsia="Palatino Linotype" w:hAnsi="Palatino Linotype" w:cs="Palatino Linotype"/>
          <w:b/>
          <w:color w:val="000000" w:themeColor="text1"/>
        </w:rPr>
        <w:t xml:space="preserve">las </w:t>
      </w:r>
      <w:r w:rsidRPr="00E73A39">
        <w:rPr>
          <w:rFonts w:ascii="Palatino Linotype" w:hAnsi="Palatino Linotype"/>
          <w:b/>
          <w:color w:val="000000" w:themeColor="text1"/>
        </w:rPr>
        <w:t>resoluciones que recibió la Unidad de Transparencia en junio 2020.</w:t>
      </w:r>
    </w:p>
    <w:p w14:paraId="68847BF9" w14:textId="77777777" w:rsidR="00B6449C" w:rsidRPr="00E73A39" w:rsidRDefault="00B6449C"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4EA61A8" w14:textId="25C43864"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El </w:t>
      </w:r>
      <w:r w:rsidRPr="00E73A39">
        <w:rPr>
          <w:rFonts w:ascii="Palatino Linotype" w:eastAsia="Calibri" w:hAnsi="Palatino Linotype" w:cs="Arial"/>
          <w:b/>
          <w:color w:val="000000" w:themeColor="text1"/>
          <w:lang w:val="es-ES"/>
        </w:rPr>
        <w:t>SUJETO OBLIGADO</w:t>
      </w:r>
      <w:r w:rsidRPr="00E73A39">
        <w:rPr>
          <w:rFonts w:ascii="Palatino Linotype" w:eastAsia="Calibri" w:hAnsi="Palatino Linotype" w:cs="Arial"/>
          <w:color w:val="000000" w:themeColor="text1"/>
          <w:lang w:val="es-ES"/>
        </w:rPr>
        <w:t xml:space="preserve"> fue omiso en emitir respuesta; motivo de inconformidad del </w:t>
      </w:r>
      <w:r w:rsidRPr="00E73A39">
        <w:rPr>
          <w:rFonts w:ascii="Palatino Linotype" w:eastAsia="Calibri" w:hAnsi="Palatino Linotype" w:cs="Arial"/>
          <w:b/>
          <w:color w:val="000000" w:themeColor="text1"/>
          <w:lang w:val="es-ES"/>
        </w:rPr>
        <w:t>RECURRENTE.</w:t>
      </w:r>
    </w:p>
    <w:p w14:paraId="22A41FB8" w14:textId="77777777" w:rsidR="000D2E02" w:rsidRPr="00E73A39" w:rsidRDefault="000D2E02"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1944DC7E" w14:textId="05D15952"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73A39">
        <w:rPr>
          <w:rFonts w:ascii="Palatino Linotype" w:eastAsia="Calibri" w:hAnsi="Palatino Linotype" w:cs="Arial"/>
          <w:color w:val="000000" w:themeColor="text1"/>
          <w:lang w:val="es-ES"/>
        </w:rPr>
        <w:t xml:space="preserve">En consecuencia, mediante una acto jurídico posterior como lo es el informe justificado, el </w:t>
      </w:r>
      <w:r w:rsidRPr="00E73A39">
        <w:rPr>
          <w:rFonts w:ascii="Palatino Linotype" w:eastAsia="Calibri" w:hAnsi="Palatino Linotype" w:cs="Arial"/>
          <w:b/>
          <w:color w:val="000000" w:themeColor="text1"/>
          <w:lang w:val="es-ES"/>
        </w:rPr>
        <w:t>SUJETO OBLIGADO</w:t>
      </w:r>
      <w:r w:rsidRPr="00E73A39">
        <w:rPr>
          <w:rFonts w:ascii="Palatino Linotype" w:eastAsia="Calibri" w:hAnsi="Palatino Linotype" w:cs="Arial"/>
          <w:color w:val="000000" w:themeColor="text1"/>
          <w:lang w:val="es-ES"/>
        </w:rPr>
        <w:t xml:space="preserve"> por medio del Titular de la Unidad de Transparencia, informó que después de realizar una búsqueda exhaustiva y minuciosa </w:t>
      </w:r>
      <w:r w:rsidRPr="00E73A39">
        <w:rPr>
          <w:rFonts w:ascii="Palatino Linotype" w:eastAsia="Calibri" w:hAnsi="Palatino Linotype" w:cs="Arial"/>
          <w:b/>
          <w:color w:val="000000" w:themeColor="text1"/>
          <w:lang w:val="es-ES"/>
        </w:rPr>
        <w:t xml:space="preserve">dentro del Sistema SAIMEX no encontró resoluciones emitidas por el INFOEM en el </w:t>
      </w:r>
      <w:r w:rsidRPr="00E73A39">
        <w:rPr>
          <w:rFonts w:ascii="Palatino Linotype" w:eastAsia="Calibri" w:hAnsi="Palatino Linotype" w:cs="Arial"/>
          <w:b/>
          <w:color w:val="000000" w:themeColor="text1"/>
          <w:lang w:val="es-ES"/>
        </w:rPr>
        <w:lastRenderedPageBreak/>
        <w:t>mes de junio del año 2020, a la unidad de transparencia a su cargo, por no haberse generado, poseído o administrado.</w:t>
      </w:r>
    </w:p>
    <w:p w14:paraId="1F1ACA00" w14:textId="77777777" w:rsidR="00653230" w:rsidRPr="00E73A39" w:rsidRDefault="00653230" w:rsidP="00CD2063">
      <w:pPr>
        <w:pStyle w:val="Prrafodelista"/>
        <w:tabs>
          <w:tab w:val="left" w:pos="0"/>
        </w:tabs>
        <w:rPr>
          <w:rFonts w:ascii="Palatino Linotype" w:eastAsia="Calibri" w:hAnsi="Palatino Linotype" w:cs="Arial"/>
          <w:b/>
          <w:color w:val="000000" w:themeColor="text1"/>
          <w:lang w:val="es-ES"/>
        </w:rPr>
      </w:pPr>
    </w:p>
    <w:p w14:paraId="487B5562" w14:textId="77777777" w:rsidR="00D04BC3" w:rsidRPr="00E73A39" w:rsidRDefault="00653230"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E73A39">
        <w:rPr>
          <w:rFonts w:ascii="Palatino Linotype" w:eastAsia="Calibri" w:hAnsi="Palatino Linotype" w:cs="Arial"/>
          <w:color w:val="000000" w:themeColor="text1"/>
          <w:lang w:val="es-ES"/>
        </w:rPr>
        <w:t>Así, en atención las manifestaciones vertidas por el</w:t>
      </w:r>
      <w:r w:rsidRPr="00E73A39">
        <w:rPr>
          <w:rFonts w:ascii="Palatino Linotype" w:eastAsia="Calibri" w:hAnsi="Palatino Linotype" w:cs="Arial"/>
          <w:b/>
          <w:color w:val="000000" w:themeColor="text1"/>
          <w:lang w:val="es-ES"/>
        </w:rPr>
        <w:t xml:space="preserve"> SUJETO OBLIGADO, </w:t>
      </w:r>
      <w:r w:rsidRPr="00E73A39">
        <w:rPr>
          <w:rFonts w:ascii="Palatino Linotype" w:eastAsia="Calibri" w:hAnsi="Palatino Linotype" w:cs="Arial"/>
          <w:color w:val="000000" w:themeColor="text1"/>
          <w:lang w:val="es-ES"/>
        </w:rPr>
        <w:t xml:space="preserve">resulta </w:t>
      </w:r>
      <w:r w:rsidR="00DD23D2" w:rsidRPr="00E73A39">
        <w:rPr>
          <w:rFonts w:ascii="Palatino Linotype" w:eastAsia="Calibri" w:hAnsi="Palatino Linotype" w:cs="Arial"/>
          <w:color w:val="000000" w:themeColor="text1"/>
          <w:lang w:val="es-ES"/>
        </w:rPr>
        <w:t xml:space="preserve">necesario </w:t>
      </w:r>
      <w:r w:rsidRPr="00E73A39">
        <w:rPr>
          <w:rFonts w:ascii="Palatino Linotype" w:eastAsia="Calibri" w:hAnsi="Palatino Linotype" w:cs="Arial"/>
          <w:color w:val="000000" w:themeColor="text1"/>
          <w:lang w:val="es-ES"/>
        </w:rPr>
        <w:t xml:space="preserve">mencionar que el Pleno de este Instituto Garante, en la Segunda Sesión Extraordinaria, celebrada el día 28 de mayo de 2020, emitió el Acuerdo mediante el cual se amplió el plazo para el </w:t>
      </w:r>
      <w:r w:rsidR="001B1CB5" w:rsidRPr="00E73A39">
        <w:rPr>
          <w:rFonts w:ascii="Palatino Linotype" w:eastAsia="Calibri" w:hAnsi="Palatino Linotype" w:cs="Arial"/>
          <w:color w:val="000000" w:themeColor="text1"/>
          <w:lang w:val="es-ES"/>
        </w:rPr>
        <w:t>trámite</w:t>
      </w:r>
      <w:r w:rsidRPr="00E73A39">
        <w:rPr>
          <w:rFonts w:ascii="Palatino Linotype" w:eastAsia="Calibri" w:hAnsi="Palatino Linotype" w:cs="Arial"/>
          <w:color w:val="000000" w:themeColor="text1"/>
          <w:lang w:val="es-ES"/>
        </w:rPr>
        <w:t xml:space="preserve"> y desahogo de </w:t>
      </w:r>
      <w:r w:rsidR="001B1CB5" w:rsidRPr="00E73A39">
        <w:rPr>
          <w:rFonts w:ascii="Palatino Linotype" w:eastAsia="Calibri" w:hAnsi="Palatino Linotype" w:cs="Arial"/>
          <w:color w:val="000000" w:themeColor="text1"/>
          <w:lang w:val="es-ES"/>
        </w:rPr>
        <w:t xml:space="preserve">los procedimientos establecidos en la Ley de Transparencia y Acceso a la Información Pública del Estado de México y Municipios y la Ley de Protección de Datos Personales en Posesión de Sujetos Obligados del Estado de México y Municipios, </w:t>
      </w:r>
      <w:r w:rsidR="001B1CB5" w:rsidRPr="00E73A39">
        <w:rPr>
          <w:rFonts w:ascii="Palatino Linotype" w:eastAsia="Calibri" w:hAnsi="Palatino Linotype" w:cs="Arial"/>
          <w:b/>
          <w:color w:val="000000" w:themeColor="text1"/>
          <w:lang w:val="es-ES"/>
        </w:rPr>
        <w:t xml:space="preserve">hasta el 15 de junio de 2020 y suspendió sus Sesiones Ordinarias comprendidas dentro del periodo del 1 al 15 de junio de 2020, </w:t>
      </w:r>
      <w:r w:rsidR="001B1CB5" w:rsidRPr="00E73A39">
        <w:rPr>
          <w:rFonts w:ascii="Palatino Linotype" w:eastAsia="Calibri" w:hAnsi="Palatino Linotype" w:cs="Arial"/>
          <w:color w:val="000000" w:themeColor="text1"/>
          <w:lang w:val="es-ES"/>
        </w:rPr>
        <w:t xml:space="preserve">ante la situación del COVID-19 Virus; el cual, se puede consultar a través del siguiente enlace electrónico: </w:t>
      </w:r>
    </w:p>
    <w:p w14:paraId="6E9AA53C" w14:textId="77777777" w:rsidR="00D04BC3" w:rsidRPr="00E73A39" w:rsidRDefault="00D04BC3" w:rsidP="00D04BC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0355F28" w14:textId="3E877B86" w:rsidR="001B1CB5" w:rsidRPr="00E73A39" w:rsidRDefault="00820D92" w:rsidP="00D04BC3">
      <w:pPr>
        <w:pStyle w:val="Prrafodelista"/>
        <w:tabs>
          <w:tab w:val="left" w:pos="0"/>
          <w:tab w:val="left" w:pos="426"/>
          <w:tab w:val="left" w:pos="567"/>
        </w:tabs>
        <w:spacing w:line="360" w:lineRule="auto"/>
        <w:ind w:left="0"/>
        <w:jc w:val="both"/>
        <w:rPr>
          <w:rFonts w:ascii="Palatino Linotype" w:eastAsia="Calibri" w:hAnsi="Palatino Linotype" w:cs="Arial"/>
          <w:b/>
          <w:color w:val="000000" w:themeColor="text1"/>
          <w:lang w:val="es-ES"/>
        </w:rPr>
      </w:pPr>
      <w:hyperlink r:id="rId8" w:history="1">
        <w:r w:rsidR="001B1CB5" w:rsidRPr="00E73A39">
          <w:rPr>
            <w:rStyle w:val="Hipervnculo"/>
            <w:rFonts w:ascii="Palatino Linotype" w:hAnsi="Palatino Linotype"/>
            <w:color w:val="000000" w:themeColor="text1"/>
          </w:rPr>
          <w:t>https://www.infoem.org.mx/doc/acuerdos/20200529_Acuerdo_suspension_de_plazos_al_15_de_junio_2020.pdf</w:t>
        </w:r>
      </w:hyperlink>
    </w:p>
    <w:p w14:paraId="3222B17A" w14:textId="77777777" w:rsidR="00B6449C" w:rsidRPr="00E73A39" w:rsidRDefault="00B6449C" w:rsidP="00CD2063">
      <w:pPr>
        <w:tabs>
          <w:tab w:val="left" w:pos="0"/>
        </w:tabs>
        <w:rPr>
          <w:rFonts w:ascii="Palatino Linotype" w:eastAsia="Calibri" w:hAnsi="Palatino Linotype" w:cs="Arial"/>
          <w:color w:val="000000" w:themeColor="text1"/>
          <w:lang w:val="es-ES"/>
        </w:rPr>
      </w:pPr>
    </w:p>
    <w:p w14:paraId="34B3C77F" w14:textId="75460682" w:rsidR="001B1CB5" w:rsidRPr="00E73A39" w:rsidRDefault="001B1CB5"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Asimismo, </w:t>
      </w:r>
      <w:r w:rsidR="00DD23D2" w:rsidRPr="00E73A39">
        <w:rPr>
          <w:rFonts w:ascii="Palatino Linotype" w:eastAsia="Calibri" w:hAnsi="Palatino Linotype" w:cs="Arial"/>
          <w:color w:val="000000" w:themeColor="text1"/>
          <w:lang w:val="es-ES"/>
        </w:rPr>
        <w:t xml:space="preserve">el 15 de junio de 2020, </w:t>
      </w:r>
      <w:r w:rsidRPr="00E73A39">
        <w:rPr>
          <w:rFonts w:ascii="Palatino Linotype" w:eastAsia="Calibri" w:hAnsi="Palatino Linotype" w:cs="Arial"/>
          <w:color w:val="000000" w:themeColor="text1"/>
          <w:lang w:val="es-ES"/>
        </w:rPr>
        <w:t>emitió el Acuerdo mediante el cual, se amplió el plazo para el trámite y desahogo de los procedimientos establecidos en la Ley de Transparencia y Acceso a la Información Pública del Estado de México y Municipios y la Ley de Protección de Datos Personales en Posesión de Sujetos Obligados del Estado de México y Municipios,</w:t>
      </w:r>
      <w:r w:rsidRPr="00E73A39">
        <w:rPr>
          <w:rFonts w:ascii="Palatino Linotype" w:eastAsia="Calibri" w:hAnsi="Palatino Linotype" w:cs="Arial"/>
          <w:b/>
          <w:color w:val="000000" w:themeColor="text1"/>
          <w:lang w:val="es-ES"/>
        </w:rPr>
        <w:t xml:space="preserve"> hasta el 30 de junio de 2020 y suspendió sus Sesiones Ordinarias comprendidas dentro del periodo del 16 al 30 de junio de 2020, </w:t>
      </w:r>
      <w:r w:rsidRPr="00E73A39">
        <w:rPr>
          <w:rFonts w:ascii="Palatino Linotype" w:eastAsia="Calibri" w:hAnsi="Palatino Linotype" w:cs="Arial"/>
          <w:color w:val="000000" w:themeColor="text1"/>
          <w:lang w:val="es-ES"/>
        </w:rPr>
        <w:t xml:space="preserve">ante la situación del </w:t>
      </w:r>
      <w:r w:rsidRPr="00E73A39">
        <w:rPr>
          <w:rFonts w:ascii="Palatino Linotype" w:eastAsia="Calibri" w:hAnsi="Palatino Linotype" w:cs="Arial"/>
          <w:color w:val="000000" w:themeColor="text1"/>
          <w:lang w:val="es-ES"/>
        </w:rPr>
        <w:lastRenderedPageBreak/>
        <w:t xml:space="preserve">COVID-19 Virus; el cual, se puede consultar a través del siguiente enlace electrónico: </w:t>
      </w:r>
      <w:hyperlink r:id="rId9" w:history="1">
        <w:r w:rsidRPr="00E73A39">
          <w:rPr>
            <w:rStyle w:val="Hipervnculo"/>
            <w:rFonts w:ascii="Palatino Linotype" w:hAnsi="Palatino Linotype"/>
            <w:color w:val="000000" w:themeColor="text1"/>
          </w:rPr>
          <w:t>https://www.infoem.org.mx/doc/acuerdos/20200615_Acuerdo_suspension_de_plazos_al_30_de_junio_2020.pdf</w:t>
        </w:r>
      </w:hyperlink>
    </w:p>
    <w:p w14:paraId="5D9AE326" w14:textId="77777777" w:rsidR="001B1CB5" w:rsidRPr="00E73A39" w:rsidRDefault="001B1CB5"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13C5B0A7" w14:textId="03A2204A" w:rsidR="004C0B66" w:rsidRPr="00E73A39" w:rsidRDefault="00DD23D2"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Expuesto lo anterior</w:t>
      </w:r>
      <w:r w:rsidR="00B6449C" w:rsidRPr="00E73A39">
        <w:rPr>
          <w:rFonts w:ascii="Palatino Linotype" w:eastAsia="Palatino Linotype" w:hAnsi="Palatino Linotype" w:cs="Palatino Linotype"/>
          <w:color w:val="000000" w:themeColor="text1"/>
        </w:rPr>
        <w:t xml:space="preserve">, se presume que, al haber existido un pronunciamiento del Servidor Público Habilitado competente, en el presente caso el Titular de la Unidad de Transparencia; </w:t>
      </w:r>
      <w:r w:rsidR="00B6449C" w:rsidRPr="00E73A39">
        <w:rPr>
          <w:rFonts w:ascii="Palatino Linotype" w:hAnsi="Palatino Linotype"/>
          <w:color w:val="000000" w:themeColor="text1"/>
        </w:rPr>
        <w:t xml:space="preserve">y, señalar que </w:t>
      </w:r>
      <w:r w:rsidR="00B6449C" w:rsidRPr="00E73A39">
        <w:rPr>
          <w:rFonts w:ascii="Palatino Linotype" w:hAnsi="Palatino Linotype"/>
          <w:b/>
          <w:color w:val="000000" w:themeColor="text1"/>
        </w:rPr>
        <w:t>en sus archivos no se encuentran la información solicitada por no haberse generado</w:t>
      </w:r>
      <w:r w:rsidRPr="00E73A39">
        <w:rPr>
          <w:rFonts w:ascii="Palatino Linotype" w:hAnsi="Palatino Linotype"/>
          <w:b/>
          <w:color w:val="000000" w:themeColor="text1"/>
        </w:rPr>
        <w:t>, toda vez que, el Pleno de este Instituto de Transparencia, Acceso a la Información Pública y Protección de Datos Personales, suspendió los plazos para desahogo de procedimientos y celebración de sesiones ordinarias, durante junio de 2020</w:t>
      </w:r>
      <w:r w:rsidR="00B6449C" w:rsidRPr="00E73A39">
        <w:rPr>
          <w:rFonts w:ascii="Palatino Linotype" w:hAnsi="Palatino Linotype"/>
          <w:b/>
          <w:color w:val="000000" w:themeColor="text1"/>
        </w:rPr>
        <w:t xml:space="preserve">; </w:t>
      </w:r>
      <w:r w:rsidR="00B6449C" w:rsidRPr="00E73A39">
        <w:rPr>
          <w:rFonts w:ascii="Palatino Linotype" w:hAnsi="Palatino Linotype"/>
          <w:b/>
          <w:bCs/>
          <w:color w:val="000000" w:themeColor="text1"/>
        </w:rPr>
        <w:t>se trata de un hecho negativo;</w:t>
      </w:r>
      <w:r w:rsidR="00B6449C" w:rsidRPr="00E73A39">
        <w:rPr>
          <w:rFonts w:ascii="Palatino Linotype" w:hAnsi="Palatino Linotype"/>
          <w:color w:val="000000" w:themeColor="text1"/>
        </w:rPr>
        <w:t xml:space="preserve"> en este sentido, se obvia que no puede fácticamente obrar en los archivos del </w:t>
      </w:r>
      <w:r w:rsidR="00B6449C" w:rsidRPr="00E73A39">
        <w:rPr>
          <w:rFonts w:ascii="Palatino Linotype" w:hAnsi="Palatino Linotype"/>
          <w:b/>
          <w:bCs/>
          <w:color w:val="000000" w:themeColor="text1"/>
        </w:rPr>
        <w:t>SUJETO OBLIGADO</w:t>
      </w:r>
      <w:r w:rsidR="00B6449C" w:rsidRPr="00E73A39">
        <w:rPr>
          <w:rFonts w:ascii="Palatino Linotype" w:hAnsi="Palatino Linotype"/>
          <w:color w:val="000000" w:themeColor="text1"/>
        </w:rPr>
        <w:t xml:space="preserve">, ya que no puede probarse por ser lógica y materialmente imposible, en razón de que, al no haber generado, poseído y/o administrado dicha información, </w:t>
      </w:r>
      <w:r w:rsidR="00B6449C" w:rsidRPr="00E73A39">
        <w:rPr>
          <w:rFonts w:ascii="Palatino Linotype" w:hAnsi="Palatino Linotype"/>
          <w:b/>
          <w:color w:val="000000" w:themeColor="text1"/>
        </w:rPr>
        <w:t>no cuenta con la misma.</w:t>
      </w:r>
    </w:p>
    <w:p w14:paraId="76D24D0A"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255235A6"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Asimismo</w:t>
      </w:r>
      <w:r w:rsidRPr="00E73A39">
        <w:rPr>
          <w:rFonts w:ascii="Palatino Linotype" w:hAnsi="Palatino Linotype" w:cs="Arial"/>
          <w:color w:val="000000" w:themeColor="text1"/>
        </w:rPr>
        <w:t xml:space="preserve">, </w:t>
      </w:r>
      <w:r w:rsidRPr="00E73A39">
        <w:rPr>
          <w:rFonts w:ascii="Palatino Linotype" w:hAnsi="Palatino Linotype"/>
          <w:color w:val="000000" w:themeColor="text1"/>
        </w:rPr>
        <w:t>no se trata de un caso por el cual la negación del hecho implique la afirmación de este, simplemente se está ante una notoria y evidente inexistencia fáctica de la información solicitada.</w:t>
      </w:r>
    </w:p>
    <w:p w14:paraId="6E8B4641"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4DAEEBF"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Por </w:t>
      </w:r>
      <w:r w:rsidRPr="00E73A39">
        <w:rPr>
          <w:rFonts w:ascii="Palatino Linotype" w:hAnsi="Palatino Linotype"/>
          <w:color w:val="000000" w:themeColor="text1"/>
        </w:rPr>
        <w:t xml:space="preserve">ello, de conformidad con lo establecido en el artículo 12 de la Ley de Transparencia y Acceso a la Información Pública del Estado de México y Municipios el </w:t>
      </w:r>
      <w:r w:rsidRPr="00E73A39">
        <w:rPr>
          <w:rFonts w:ascii="Palatino Linotype" w:hAnsi="Palatino Linotype"/>
          <w:b/>
          <w:bCs/>
          <w:color w:val="000000" w:themeColor="text1"/>
        </w:rPr>
        <w:t>SUJETO OBLIGADO</w:t>
      </w:r>
      <w:r w:rsidRPr="00E73A39">
        <w:rPr>
          <w:rFonts w:ascii="Palatino Linotype" w:hAnsi="Palatino Linotype"/>
          <w:color w:val="000000" w:themeColor="text1"/>
        </w:rPr>
        <w:t xml:space="preserve"> sólo proporcionará la información que se les requiera y que obre </w:t>
      </w:r>
      <w:r w:rsidRPr="00E73A39">
        <w:rPr>
          <w:rFonts w:ascii="Palatino Linotype" w:hAnsi="Palatino Linotype"/>
          <w:color w:val="000000" w:themeColor="text1"/>
        </w:rPr>
        <w:lastRenderedPageBreak/>
        <w:t>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1D8A1268"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hAnsi="Palatino Linotype" w:cs="Arial"/>
          <w:color w:val="000000" w:themeColor="text1"/>
        </w:rPr>
      </w:pPr>
    </w:p>
    <w:p w14:paraId="06C46D9A" w14:textId="099C9AB3" w:rsidR="004C0B66" w:rsidRPr="00E73A39" w:rsidRDefault="004C0B66" w:rsidP="00CD2063">
      <w:pPr>
        <w:tabs>
          <w:tab w:val="left" w:pos="0"/>
        </w:tabs>
        <w:ind w:left="567"/>
        <w:jc w:val="both"/>
        <w:rPr>
          <w:rFonts w:ascii="Palatino Linotype" w:eastAsia="Calibri" w:hAnsi="Palatino Linotype" w:cs="Arial"/>
          <w:color w:val="000000" w:themeColor="text1"/>
        </w:rPr>
      </w:pPr>
      <w:r w:rsidRPr="00E73A39">
        <w:rPr>
          <w:rFonts w:ascii="Palatino Linotype" w:hAnsi="Palatino Linotype"/>
          <w:b/>
          <w:bCs/>
          <w:color w:val="000000" w:themeColor="text1"/>
        </w:rPr>
        <w:t>HECHOS NEGATIVOS, NO SON SUSCEPTIBLES DE DEMOSTRACIÓN.</w:t>
      </w:r>
      <w:r w:rsidRPr="00E73A39">
        <w:rPr>
          <w:rFonts w:ascii="Palatino Linotype" w:hAnsi="Palatino Linotype"/>
          <w:color w:val="000000" w:themeColor="text1"/>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38AD7447"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CACD79B"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De </w:t>
      </w:r>
      <w:r w:rsidRPr="00E73A39">
        <w:rPr>
          <w:rFonts w:ascii="Palatino Linotype" w:hAnsi="Palatino Linotype"/>
          <w:color w:val="000000" w:themeColor="text1"/>
        </w:rPr>
        <w:t>igual forma, es aplicable el criterio 7/2017, emitido en la Segunda Época por el Instituto Nacional de Transparencia, Acceso a la Información y Protección de Datos Personales (INAI), el cual señala lo siguiente:</w:t>
      </w:r>
    </w:p>
    <w:p w14:paraId="0C0DFA07"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F3D9FA9" w14:textId="2AD5029A" w:rsidR="004C0B66" w:rsidRPr="00E73A39" w:rsidRDefault="004C0B66" w:rsidP="00CD2063">
      <w:pPr>
        <w:pStyle w:val="Prrafodelista"/>
        <w:tabs>
          <w:tab w:val="left" w:pos="0"/>
        </w:tabs>
        <w:ind w:left="567"/>
        <w:jc w:val="both"/>
        <w:rPr>
          <w:rFonts w:ascii="Palatino Linotype" w:eastAsia="Calibri" w:hAnsi="Palatino Linotype" w:cs="Arial"/>
          <w:color w:val="000000" w:themeColor="text1"/>
        </w:rPr>
      </w:pPr>
      <w:r w:rsidRPr="00E73A39">
        <w:rPr>
          <w:rFonts w:ascii="Palatino Linotype" w:hAnsi="Palatino Linotype"/>
          <w:color w:val="000000" w:themeColor="text1"/>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w:t>
      </w:r>
      <w:r w:rsidRPr="00E73A39">
        <w:rPr>
          <w:rFonts w:ascii="Palatino Linotype" w:hAnsi="Palatino Linotype"/>
          <w:color w:val="000000" w:themeColor="text1"/>
        </w:rPr>
        <w:lastRenderedPageBreak/>
        <w:t xml:space="preserve">archivos, no será necesario que el Comité de Transparencia emita una resolución que confirme la inexistencia de la información. </w:t>
      </w:r>
    </w:p>
    <w:p w14:paraId="4A22C3F3"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9E20BC1"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Expuesto </w:t>
      </w:r>
      <w:r w:rsidRPr="00E73A39">
        <w:rPr>
          <w:rFonts w:ascii="Palatino Linotype" w:eastAsia="Calibri" w:hAnsi="Palatino Linotype" w:cs="Arial"/>
          <w:color w:val="000000" w:themeColor="text1"/>
        </w:rPr>
        <w:t xml:space="preserve">todo lo anterior, se tiene que </w:t>
      </w:r>
      <w:r w:rsidRPr="00E73A39">
        <w:rPr>
          <w:rFonts w:ascii="Palatino Linotype" w:eastAsia="Calibri" w:hAnsi="Palatino Linotype" w:cs="Arial"/>
          <w:bCs/>
          <w:color w:val="000000" w:themeColor="text1"/>
        </w:rPr>
        <w:t>el</w:t>
      </w:r>
      <w:r w:rsidRPr="00E73A39">
        <w:rPr>
          <w:rFonts w:ascii="Palatino Linotype" w:eastAsia="Calibri" w:hAnsi="Palatino Linotype" w:cs="Arial"/>
          <w:b/>
          <w:color w:val="000000" w:themeColor="text1"/>
        </w:rPr>
        <w:t xml:space="preserve"> </w:t>
      </w:r>
      <w:r w:rsidRPr="00E73A39">
        <w:rPr>
          <w:rFonts w:ascii="Palatino Linotype" w:eastAsia="Calibri" w:hAnsi="Palatino Linotype" w:cs="Arial"/>
          <w:b/>
          <w:bCs/>
          <w:color w:val="000000" w:themeColor="text1"/>
        </w:rPr>
        <w:t>SUJETO OBLIGADO</w:t>
      </w:r>
      <w:r w:rsidRPr="00E73A39">
        <w:rPr>
          <w:rFonts w:ascii="Palatino Linotype" w:eastAsia="Calibri" w:hAnsi="Palatino Linotype" w:cs="Arial"/>
          <w:bCs/>
          <w:color w:val="000000" w:themeColor="text1"/>
        </w:rPr>
        <w:t xml:space="preserve"> </w:t>
      </w:r>
      <w:r w:rsidR="004C0B66" w:rsidRPr="00E73A39">
        <w:rPr>
          <w:rFonts w:ascii="Palatino Linotype" w:eastAsia="Calibri" w:hAnsi="Palatino Linotype" w:cs="Arial"/>
          <w:bCs/>
          <w:color w:val="000000" w:themeColor="text1"/>
        </w:rPr>
        <w:t>aportó información novedosa mediante informe justificado.</w:t>
      </w:r>
    </w:p>
    <w:p w14:paraId="45C57B5B"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9B70C21"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En </w:t>
      </w:r>
      <w:r w:rsidRPr="00E73A39">
        <w:rPr>
          <w:rFonts w:ascii="Palatino Linotype" w:eastAsia="Calibri" w:hAnsi="Palatino Linotype" w:cs="Arial"/>
          <w:color w:val="000000" w:themeColor="text1"/>
        </w:rPr>
        <w:t xml:space="preserve">este sentido, </w:t>
      </w:r>
      <w:r w:rsidRPr="00E73A39">
        <w:rPr>
          <w:rFonts w:ascii="Palatino Linotype" w:hAnsi="Palatino Linotype" w:cs="Arial"/>
          <w:bCs/>
          <w:color w:val="000000" w:themeColor="text1"/>
        </w:rPr>
        <w:t xml:space="preserve">es dable sostener que, al haber existido un pronunciamiento por parte del </w:t>
      </w:r>
      <w:r w:rsidRPr="00E73A39">
        <w:rPr>
          <w:rFonts w:ascii="Palatino Linotype" w:hAnsi="Palatino Linotype" w:cs="Arial"/>
          <w:b/>
          <w:bCs/>
          <w:color w:val="000000" w:themeColor="text1"/>
        </w:rPr>
        <w:t>SUJETO OBLIGADO</w:t>
      </w:r>
      <w:r w:rsidRPr="00E73A39">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2E7EF47F" w14:textId="77777777" w:rsidR="004C0B66" w:rsidRPr="00E73A39" w:rsidRDefault="004C0B66" w:rsidP="00CD2063">
      <w:pPr>
        <w:tabs>
          <w:tab w:val="left" w:pos="0"/>
        </w:tabs>
        <w:rPr>
          <w:rFonts w:ascii="Palatino Linotype" w:eastAsia="Palatino Linotype" w:hAnsi="Palatino Linotype" w:cs="Palatino Linotype"/>
          <w:b/>
          <w:color w:val="000000" w:themeColor="text1"/>
        </w:rPr>
      </w:pPr>
    </w:p>
    <w:p w14:paraId="6BA009D1"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Palatino Linotype" w:hAnsi="Palatino Linotype" w:cs="Palatino Linotype"/>
          <w:color w:val="000000" w:themeColor="text1"/>
        </w:rPr>
        <w:t xml:space="preserve">Así, </w:t>
      </w:r>
      <w:r w:rsidRPr="00E73A39">
        <w:rPr>
          <w:rFonts w:ascii="Palatino Linotype" w:eastAsia="Calibri" w:hAnsi="Palatino Linotype"/>
          <w:color w:val="000000" w:themeColor="text1"/>
        </w:rPr>
        <w:t xml:space="preserve">este Pleno advierte que el </w:t>
      </w:r>
      <w:r w:rsidRPr="00E73A39">
        <w:rPr>
          <w:rFonts w:ascii="Palatino Linotype" w:eastAsia="Calibri" w:hAnsi="Palatino Linotype"/>
          <w:b/>
          <w:color w:val="000000" w:themeColor="text1"/>
        </w:rPr>
        <w:t>SUJETO OBLIGADO</w:t>
      </w:r>
      <w:r w:rsidRPr="00E73A39">
        <w:rPr>
          <w:rFonts w:ascii="Palatino Linotype" w:eastAsia="Calibri" w:hAnsi="Palatino Linotype"/>
          <w:color w:val="000000" w:themeColor="text1"/>
        </w:rPr>
        <w:t xml:space="preserve"> </w:t>
      </w:r>
      <w:r w:rsidRPr="00E73A39">
        <w:rPr>
          <w:rFonts w:ascii="Palatino Linotype" w:eastAsia="Calibri" w:hAnsi="Palatino Linotype"/>
          <w:b/>
          <w:color w:val="000000" w:themeColor="text1"/>
        </w:rPr>
        <w:t xml:space="preserve">modificó </w:t>
      </w:r>
      <w:r w:rsidRPr="00E73A39">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14:paraId="5871D39E"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626511B"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De </w:t>
      </w:r>
      <w:r w:rsidRPr="00E73A39">
        <w:rPr>
          <w:rFonts w:ascii="Palatino Linotype" w:eastAsia="Calibri" w:hAnsi="Palatino Linotype" w:cs="Arial"/>
          <w:color w:val="000000" w:themeColor="text1"/>
        </w:rPr>
        <w:t xml:space="preserve">bien, </w:t>
      </w:r>
      <w:r w:rsidRPr="00E73A39">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73A39">
        <w:rPr>
          <w:rFonts w:ascii="Palatino Linotype" w:eastAsia="Calibri" w:hAnsi="Palatino Linotype"/>
          <w:b/>
          <w:color w:val="000000" w:themeColor="text1"/>
        </w:rPr>
        <w:t>SUJETOS OBLIGADOS</w:t>
      </w:r>
      <w:r w:rsidRPr="00E73A39">
        <w:rPr>
          <w:rFonts w:ascii="Palatino Linotype" w:eastAsia="Calibri" w:hAnsi="Palatino Linotype"/>
          <w:color w:val="000000" w:themeColor="text1"/>
        </w:rPr>
        <w:t xml:space="preserve"> o la negativa de entrega de la misma, derivada de la solicitud de información pública.</w:t>
      </w:r>
    </w:p>
    <w:p w14:paraId="17921927"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BA99B61"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lastRenderedPageBreak/>
        <w:t xml:space="preserve">De </w:t>
      </w:r>
      <w:r w:rsidRPr="00E73A39">
        <w:rPr>
          <w:rFonts w:ascii="Palatino Linotype" w:eastAsia="Calibri" w:hAnsi="Palatino Linotype"/>
          <w:color w:val="000000" w:themeColor="text1"/>
        </w:rPr>
        <w:t xml:space="preserve">este modo, cuando el </w:t>
      </w:r>
      <w:r w:rsidRPr="00E73A39">
        <w:rPr>
          <w:rFonts w:ascii="Palatino Linotype" w:eastAsia="Calibri" w:hAnsi="Palatino Linotype"/>
          <w:b/>
          <w:color w:val="000000" w:themeColor="text1"/>
        </w:rPr>
        <w:t xml:space="preserve">SUJETO OBLIGADO, </w:t>
      </w:r>
      <w:r w:rsidRPr="00E73A39">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73A39">
        <w:rPr>
          <w:rFonts w:ascii="Palatino Linotype" w:eastAsia="Calibri" w:hAnsi="Palatino Linotype"/>
          <w:i/>
          <w:color w:val="000000" w:themeColor="text1"/>
        </w:rPr>
        <w:t>litis</w:t>
      </w:r>
      <w:r w:rsidRPr="00E73A39">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14:paraId="37998E99" w14:textId="77777777" w:rsidR="004C0B66" w:rsidRPr="00E73A39" w:rsidRDefault="004C0B66" w:rsidP="00CD2063">
      <w:pPr>
        <w:tabs>
          <w:tab w:val="left" w:pos="0"/>
        </w:tabs>
        <w:rPr>
          <w:rFonts w:ascii="Palatino Linotype" w:hAnsi="Palatino Linotype" w:cs="Arial"/>
          <w:color w:val="000000" w:themeColor="text1"/>
        </w:rPr>
      </w:pPr>
    </w:p>
    <w:p w14:paraId="4AF39F6C"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Sirve </w:t>
      </w:r>
      <w:r w:rsidRPr="00E73A39">
        <w:rPr>
          <w:rFonts w:ascii="Palatino Linotype" w:eastAsia="Calibri" w:hAnsi="Palatino Linotype"/>
          <w:color w:val="000000" w:themeColor="text1"/>
        </w:rPr>
        <w:t>de sustento a lo anterior la siguiente jurisprudencia por contradicción, cuyo rubro, texto y datos de identificación son los siguientes:</w:t>
      </w:r>
    </w:p>
    <w:p w14:paraId="04911EA2"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hAnsi="Palatino Linotype" w:cs="Arial"/>
          <w:color w:val="000000" w:themeColor="text1"/>
        </w:rPr>
      </w:pPr>
    </w:p>
    <w:p w14:paraId="1CE376D7" w14:textId="09B3B6C2" w:rsidR="004C0B66" w:rsidRPr="00E73A39" w:rsidRDefault="004C0B66" w:rsidP="00CD2063">
      <w:pPr>
        <w:tabs>
          <w:tab w:val="left" w:pos="0"/>
        </w:tabs>
        <w:ind w:left="567"/>
        <w:jc w:val="both"/>
        <w:rPr>
          <w:rFonts w:ascii="Palatino Linotype" w:eastAsia="Palatino Linotype" w:hAnsi="Palatino Linotype" w:cs="Palatino Linotype"/>
          <w:b/>
          <w:color w:val="000000" w:themeColor="text1"/>
        </w:rPr>
      </w:pPr>
      <w:r w:rsidRPr="00E73A39">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73A39">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w:t>
      </w:r>
      <w:r w:rsidRPr="00E73A39">
        <w:rPr>
          <w:rFonts w:ascii="Palatino Linotype" w:eastAsia="Calibri" w:hAnsi="Palatino Linotype"/>
          <w:i/>
          <w:color w:val="000000" w:themeColor="text1"/>
        </w:rPr>
        <w:lastRenderedPageBreak/>
        <w:t>juicio de amparo o el medio ordinario de defensa que proceda, toda vez que se trata de un nuevo acto.</w:t>
      </w:r>
    </w:p>
    <w:p w14:paraId="5D52CE73"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BF64BA2"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La </w:t>
      </w:r>
      <w:r w:rsidRPr="00E73A39">
        <w:rPr>
          <w:rFonts w:ascii="Palatino Linotype" w:eastAsia="Calibri" w:hAnsi="Palatino Linotype"/>
          <w:color w:val="000000" w:themeColor="text1"/>
        </w:rPr>
        <w:t>anterior jurisprudencia resulta aplicable al presente asunto, en dos aspectos:</w:t>
      </w:r>
    </w:p>
    <w:p w14:paraId="1E2021A1"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5EC47D3D" w14:textId="77777777" w:rsidR="004C0B66" w:rsidRPr="00E73A39" w:rsidRDefault="004C0B66" w:rsidP="00CD2063">
      <w:pPr>
        <w:numPr>
          <w:ilvl w:val="0"/>
          <w:numId w:val="7"/>
        </w:numPr>
        <w:tabs>
          <w:tab w:val="left" w:pos="0"/>
        </w:tabs>
        <w:ind w:left="567" w:firstLine="0"/>
        <w:contextualSpacing/>
        <w:jc w:val="both"/>
        <w:rPr>
          <w:rFonts w:ascii="Palatino Linotype" w:eastAsia="Calibri" w:hAnsi="Palatino Linotype"/>
          <w:color w:val="000000" w:themeColor="text1"/>
        </w:rPr>
      </w:pPr>
      <w:r w:rsidRPr="00E73A39">
        <w:rPr>
          <w:rFonts w:ascii="Palatino Linotype" w:eastAsia="Calibri" w:hAnsi="Palatino Linotype"/>
          <w:b/>
          <w:color w:val="000000" w:themeColor="text1"/>
        </w:rPr>
        <w:t>La cesación de los efectos perniciosos del acto de autoridad:</w:t>
      </w:r>
      <w:r w:rsidRPr="00E73A39">
        <w:rPr>
          <w:rFonts w:ascii="Palatino Linotype" w:eastAsia="Calibri" w:hAnsi="Palatino Linotype"/>
          <w:color w:val="000000" w:themeColor="text1"/>
        </w:rPr>
        <w:t xml:space="preserve"> Al respecto, la Ley de Transparencia contempla la figura jurídica del sobreseimiento cuando el </w:t>
      </w:r>
      <w:r w:rsidRPr="00E73A39">
        <w:rPr>
          <w:rFonts w:ascii="Palatino Linotype" w:eastAsia="Calibri" w:hAnsi="Palatino Linotype"/>
          <w:b/>
          <w:color w:val="000000" w:themeColor="text1"/>
        </w:rPr>
        <w:t>SUJETO OBLIGADO</w:t>
      </w:r>
      <w:r w:rsidRPr="00E73A39">
        <w:rPr>
          <w:rFonts w:ascii="Palatino Linotype" w:eastAsia="Calibri" w:hAnsi="Palatino Linotype"/>
          <w:color w:val="000000" w:themeColor="text1"/>
        </w:rPr>
        <w:t xml:space="preserve"> de </w:t>
      </w:r>
      <w:r w:rsidRPr="00E73A39">
        <w:rPr>
          <w:rFonts w:ascii="Palatino Linotype" w:eastAsia="Calibri" w:hAnsi="Palatino Linotype"/>
          <w:i/>
          <w:color w:val="000000" w:themeColor="text1"/>
        </w:rPr>
        <w:t>motu proprio</w:t>
      </w:r>
      <w:r w:rsidRPr="00E73A39">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14:paraId="330569B3" w14:textId="77777777" w:rsidR="004C0B66" w:rsidRPr="00E73A39" w:rsidRDefault="004C0B66" w:rsidP="00CD2063">
      <w:pPr>
        <w:tabs>
          <w:tab w:val="left" w:pos="0"/>
        </w:tabs>
        <w:ind w:left="567"/>
        <w:contextualSpacing/>
        <w:rPr>
          <w:rFonts w:ascii="Palatino Linotype" w:eastAsia="Calibri" w:hAnsi="Palatino Linotype"/>
          <w:color w:val="000000" w:themeColor="text1"/>
        </w:rPr>
      </w:pPr>
    </w:p>
    <w:p w14:paraId="51B6E32C" w14:textId="48FFC902" w:rsidR="004C0B66" w:rsidRPr="00E73A39" w:rsidRDefault="004C0B66" w:rsidP="00CD2063">
      <w:pPr>
        <w:numPr>
          <w:ilvl w:val="0"/>
          <w:numId w:val="7"/>
        </w:numPr>
        <w:tabs>
          <w:tab w:val="left" w:pos="0"/>
        </w:tabs>
        <w:ind w:left="567" w:firstLine="0"/>
        <w:contextualSpacing/>
        <w:jc w:val="both"/>
        <w:rPr>
          <w:rFonts w:ascii="Palatino Linotype" w:eastAsia="Calibri" w:hAnsi="Palatino Linotype"/>
          <w:color w:val="000000" w:themeColor="text1"/>
        </w:rPr>
      </w:pPr>
      <w:r w:rsidRPr="00E73A39">
        <w:rPr>
          <w:rFonts w:ascii="Palatino Linotype" w:eastAsia="Calibri" w:hAnsi="Palatino Linotype"/>
          <w:b/>
          <w:color w:val="000000" w:themeColor="text1"/>
        </w:rPr>
        <w:t>El momento procesal para modificar el acto impugnado:</w:t>
      </w:r>
      <w:r w:rsidRPr="00E73A39">
        <w:rPr>
          <w:rFonts w:ascii="Palatino Linotype" w:eastAsia="Calibri" w:hAnsi="Palatino Linotype"/>
          <w:color w:val="000000" w:themeColor="text1"/>
        </w:rPr>
        <w:t xml:space="preserve"> Para que se actualice el sobreseimiento de un recurso de revisión, el </w:t>
      </w:r>
      <w:r w:rsidRPr="00E73A39">
        <w:rPr>
          <w:rFonts w:ascii="Palatino Linotype" w:eastAsia="Calibri" w:hAnsi="Palatino Linotype"/>
          <w:b/>
          <w:color w:val="000000" w:themeColor="text1"/>
        </w:rPr>
        <w:t>SUJETO OBLIGADO</w:t>
      </w:r>
      <w:r w:rsidRPr="00E73A39">
        <w:rPr>
          <w:rFonts w:ascii="Palatino Linotype" w:eastAsia="Calibri" w:hAnsi="Palatino Linotype"/>
          <w:color w:val="000000" w:themeColor="text1"/>
        </w:rPr>
        <w:t xml:space="preserve"> puede entregar o completar la información al momento de rendir su informe de justificación o </w:t>
      </w:r>
      <w:r w:rsidRPr="00E73A39">
        <w:rPr>
          <w:rFonts w:ascii="Palatino Linotype" w:eastAsia="Calibri" w:hAnsi="Palatino Linotype"/>
          <w:b/>
          <w:color w:val="000000" w:themeColor="text1"/>
          <w:u w:val="single"/>
        </w:rPr>
        <w:t>posteriormente</w:t>
      </w:r>
      <w:r w:rsidRPr="00E73A39">
        <w:rPr>
          <w:rFonts w:ascii="Palatino Linotype" w:eastAsia="Calibri" w:hAnsi="Palatino Linotype"/>
          <w:color w:val="000000" w:themeColor="text1"/>
        </w:rPr>
        <w:t xml:space="preserve"> a éste, siempre y cuando el Pleno del Instituto no haya dictado resolución definitiva.</w:t>
      </w:r>
    </w:p>
    <w:p w14:paraId="7035E5F9"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CD86004"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Eduardo </w:t>
      </w:r>
      <w:r w:rsidRPr="00E73A39">
        <w:rPr>
          <w:rFonts w:ascii="Palatino Linotype" w:eastAsia="Calibri" w:hAnsi="Palatino Linotype" w:cs="Arial"/>
          <w:color w:val="000000" w:themeColor="text1"/>
        </w:rPr>
        <w:t xml:space="preserve">Pallares, </w:t>
      </w:r>
      <w:r w:rsidRPr="00E73A39">
        <w:rPr>
          <w:rFonts w:ascii="Palatino Linotype" w:eastAsia="Calibri" w:hAnsi="Palatino Linotype"/>
          <w:color w:val="000000" w:themeColor="text1"/>
        </w:rPr>
        <w:t xml:space="preserve">en su artículo </w:t>
      </w:r>
      <w:r w:rsidRPr="00E73A39">
        <w:rPr>
          <w:rFonts w:ascii="Palatino Linotype" w:eastAsia="Calibri" w:hAnsi="Palatino Linotype"/>
          <w:i/>
          <w:color w:val="000000" w:themeColor="text1"/>
        </w:rPr>
        <w:t>“La caducidad y el sobreseimiento en el amparo”</w:t>
      </w:r>
      <w:r w:rsidRPr="00E73A39">
        <w:rPr>
          <w:rFonts w:ascii="Palatino Linotype" w:eastAsia="Calibri" w:hAnsi="Palatino Linotype"/>
          <w:color w:val="000000" w:themeColor="text1"/>
        </w:rPr>
        <w:t xml:space="preserve">, cita la definición de Aguilera Paz, aduciendo que se </w:t>
      </w:r>
      <w:r w:rsidRPr="00E73A39">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E73A39">
        <w:rPr>
          <w:rFonts w:ascii="Palatino Linotype" w:eastAsia="Calibri" w:hAnsi="Palatino Linotype"/>
          <w:color w:val="000000" w:themeColor="text1"/>
        </w:rPr>
        <w:t>. Asimismo, señala que existe el sobreseimiento provisional y el definitivo</w:t>
      </w:r>
      <w:r w:rsidRPr="00E73A39">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14:paraId="14B32032"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0783CA1"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lastRenderedPageBreak/>
        <w:t xml:space="preserve">Así, </w:t>
      </w:r>
      <w:r w:rsidRPr="00E73A39">
        <w:rPr>
          <w:rFonts w:ascii="Palatino Linotype" w:eastAsia="Calibri" w:hAnsi="Palatino Linotype"/>
          <w:color w:val="000000" w:themeColor="text1"/>
        </w:rPr>
        <w:t xml:space="preserve">para la doctrina el sobreseimiento provoca que un procedimiento se suspenda o se resuelva en definitiva </w:t>
      </w:r>
      <w:r w:rsidRPr="00E73A39">
        <w:rPr>
          <w:rFonts w:ascii="Palatino Linotype" w:eastAsia="Calibri" w:hAnsi="Palatino Linotype"/>
          <w:b/>
          <w:color w:val="000000" w:themeColor="text1"/>
        </w:rPr>
        <w:t>sin que se entre al estudio de los agravios o motivos de inconformidad.</w:t>
      </w:r>
    </w:p>
    <w:p w14:paraId="5C76B776"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106D7D95"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14:paraId="2A60E260" w14:textId="77777777" w:rsidR="004C0B66" w:rsidRPr="00E73A39" w:rsidRDefault="004C0B66" w:rsidP="00CD2063">
      <w:pPr>
        <w:pStyle w:val="Prrafodelista"/>
        <w:tabs>
          <w:tab w:val="left" w:pos="0"/>
        </w:tabs>
        <w:rPr>
          <w:rFonts w:ascii="Palatino Linotype" w:hAnsi="Palatino Linotype" w:cs="Arial"/>
          <w:color w:val="000000" w:themeColor="text1"/>
        </w:rPr>
      </w:pPr>
    </w:p>
    <w:p w14:paraId="3BBF76ED" w14:textId="77777777" w:rsidR="004C0B66" w:rsidRPr="00E73A39" w:rsidRDefault="004C0B66" w:rsidP="00CD2063">
      <w:pPr>
        <w:tabs>
          <w:tab w:val="left" w:pos="0"/>
        </w:tabs>
        <w:ind w:left="567"/>
        <w:contextualSpacing/>
        <w:jc w:val="both"/>
        <w:rPr>
          <w:rFonts w:ascii="Palatino Linotype" w:eastAsia="Calibri" w:hAnsi="Palatino Linotype"/>
          <w:i/>
          <w:color w:val="000000" w:themeColor="text1"/>
          <w:lang w:val="es-AR"/>
        </w:rPr>
      </w:pPr>
      <w:r w:rsidRPr="00E73A39">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E73A39">
        <w:rPr>
          <w:rFonts w:ascii="Palatino Linotype" w:eastAsia="Calibri" w:hAnsi="Palatino Linotype"/>
          <w:i/>
          <w:color w:val="000000" w:themeColor="text1"/>
          <w:lang w:val="es-AR"/>
        </w:rPr>
        <w:t xml:space="preserve"> en el juicio de amparo directo </w:t>
      </w:r>
      <w:r w:rsidRPr="00E73A39">
        <w:rPr>
          <w:rFonts w:ascii="Palatino Linotype" w:eastAsia="Calibri" w:hAnsi="Palatino Linotype"/>
          <w:b/>
          <w:i/>
          <w:color w:val="000000" w:themeColor="text1"/>
          <w:lang w:val="es-AR"/>
        </w:rPr>
        <w:t>provoca la terminación de la controversia planteada</w:t>
      </w:r>
      <w:r w:rsidRPr="00E73A39">
        <w:rPr>
          <w:rFonts w:ascii="Palatino Linotype" w:eastAsia="Calibri" w:hAnsi="Palatino Linotype"/>
          <w:i/>
          <w:color w:val="000000" w:themeColor="text1"/>
          <w:lang w:val="es-AR"/>
        </w:rPr>
        <w:t xml:space="preserve"> por el quejoso en la demanda de amparo</w:t>
      </w:r>
      <w:r w:rsidRPr="00E73A39">
        <w:rPr>
          <w:rFonts w:ascii="Palatino Linotype" w:eastAsia="Calibri" w:hAnsi="Palatino Linotype"/>
          <w:b/>
          <w:i/>
          <w:color w:val="000000" w:themeColor="text1"/>
          <w:lang w:val="es-AR"/>
        </w:rPr>
        <w:t>, sin hacer un pronunciamiento de fondo sobre la legalidad o ilegalidad de la sentencia reclamada</w:t>
      </w:r>
      <w:r w:rsidRPr="00E73A39">
        <w:rPr>
          <w:rFonts w:ascii="Palatino Linotype" w:eastAsia="Calibri" w:hAnsi="Palatino Linotype"/>
          <w:i/>
          <w:color w:val="000000" w:themeColor="text1"/>
          <w:lang w:val="es-AR"/>
        </w:rPr>
        <w:t xml:space="preserve">. </w:t>
      </w:r>
      <w:r w:rsidRPr="00E73A39">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73A39">
        <w:rPr>
          <w:rFonts w:ascii="Palatino Linotype" w:eastAsia="Calibri" w:hAnsi="Palatino Linotype"/>
          <w:i/>
          <w:color w:val="000000" w:themeColor="text1"/>
          <w:lang w:val="es-AR"/>
        </w:rPr>
        <w:t>.</w:t>
      </w:r>
    </w:p>
    <w:p w14:paraId="3B422D40" w14:textId="77777777" w:rsidR="004C0B66" w:rsidRPr="00E73A39" w:rsidRDefault="004C0B66" w:rsidP="00CD2063">
      <w:pPr>
        <w:tabs>
          <w:tab w:val="left" w:pos="0"/>
        </w:tabs>
        <w:ind w:left="567"/>
        <w:contextualSpacing/>
        <w:jc w:val="both"/>
        <w:rPr>
          <w:rFonts w:ascii="Palatino Linotype" w:eastAsia="Calibri" w:hAnsi="Palatino Linotype"/>
          <w:i/>
          <w:color w:val="000000" w:themeColor="text1"/>
          <w:lang w:val="es-AR"/>
        </w:rPr>
      </w:pPr>
      <w:r w:rsidRPr="00E73A39">
        <w:rPr>
          <w:rFonts w:ascii="Palatino Linotype" w:eastAsia="Calibri" w:hAnsi="Palatino Linotype"/>
          <w:i/>
          <w:color w:val="000000" w:themeColor="text1"/>
          <w:lang w:val="es-AR"/>
        </w:rPr>
        <w:t>SÉPTIMO TRIBUNAL COLEGIADO EN MATERIA CIVIL DEL PRIMER CIRCUITO.</w:t>
      </w:r>
    </w:p>
    <w:p w14:paraId="75E819DF" w14:textId="3D3CB9BE" w:rsidR="004C0B66" w:rsidRPr="00E73A39" w:rsidRDefault="004C0B66" w:rsidP="00CD2063">
      <w:pPr>
        <w:tabs>
          <w:tab w:val="left" w:pos="0"/>
        </w:tabs>
        <w:ind w:left="567"/>
        <w:contextualSpacing/>
        <w:jc w:val="both"/>
        <w:rPr>
          <w:rFonts w:ascii="Palatino Linotype" w:eastAsia="Calibri" w:hAnsi="Palatino Linotype"/>
          <w:b/>
          <w:i/>
          <w:color w:val="000000" w:themeColor="text1"/>
          <w:lang w:val="es-AR"/>
        </w:rPr>
      </w:pPr>
      <w:r w:rsidRPr="00E73A39">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14:paraId="754D90F8"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F2B2BB5" w14:textId="77777777" w:rsidR="004C0B66"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Consecuentemente, </w:t>
      </w:r>
      <w:r w:rsidRPr="00E73A39">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E46BB4B" w14:textId="77777777" w:rsidR="004C0B66" w:rsidRPr="00E73A39" w:rsidRDefault="004C0B66"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71564EEE" w14:textId="418C2480" w:rsidR="00B6449C" w:rsidRPr="00E73A39" w:rsidRDefault="00B6449C"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hAnsi="Palatino Linotype" w:cs="Arial"/>
          <w:color w:val="000000" w:themeColor="text1"/>
        </w:rPr>
        <w:t xml:space="preserve">Bajo </w:t>
      </w:r>
      <w:r w:rsidRPr="00E73A39">
        <w:rPr>
          <w:rFonts w:ascii="Palatino Linotype" w:eastAsia="Calibri" w:hAnsi="Palatino Linotype"/>
          <w:color w:val="000000" w:themeColor="text1"/>
          <w:lang w:val="es-CO"/>
        </w:rPr>
        <w:t xml:space="preserve">ese tenor y en términos del artículo 186 fracción I este Pleno determina el </w:t>
      </w:r>
      <w:r w:rsidRPr="00E73A39">
        <w:rPr>
          <w:rFonts w:ascii="Palatino Linotype" w:eastAsia="Calibri" w:hAnsi="Palatino Linotype"/>
          <w:b/>
          <w:color w:val="000000" w:themeColor="text1"/>
          <w:lang w:val="es-CO"/>
        </w:rPr>
        <w:t xml:space="preserve">SOBRESEIMIENTO </w:t>
      </w:r>
      <w:r w:rsidRPr="00E73A39">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r w:rsidR="004C0B66" w:rsidRPr="00E73A39">
        <w:rPr>
          <w:rFonts w:ascii="Palatino Linotype" w:eastAsia="Calibri" w:hAnsi="Palatino Linotype"/>
          <w:color w:val="000000" w:themeColor="text1"/>
          <w:lang w:val="es-CO"/>
        </w:rPr>
        <w:t>.</w:t>
      </w:r>
    </w:p>
    <w:bookmarkEnd w:id="33"/>
    <w:bookmarkEnd w:id="34"/>
    <w:bookmarkEnd w:id="35"/>
    <w:bookmarkEnd w:id="36"/>
    <w:p w14:paraId="673140C0" w14:textId="77777777" w:rsidR="00C14131" w:rsidRPr="00E73A39" w:rsidRDefault="00C14131" w:rsidP="00CD2063">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8A0EE51" w14:textId="38FCD64F" w:rsidR="00C14131" w:rsidRPr="00E73A39" w:rsidRDefault="00F45BE1" w:rsidP="00CD2063">
      <w:pPr>
        <w:pStyle w:val="Prrafodelista"/>
        <w:numPr>
          <w:ilvl w:val="0"/>
          <w:numId w:val="3"/>
        </w:numPr>
        <w:tabs>
          <w:tab w:val="left" w:pos="0"/>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73A39">
        <w:rPr>
          <w:rFonts w:ascii="Palatino Linotype" w:eastAsia="Calibri" w:hAnsi="Palatino Linotype" w:cs="Arial"/>
          <w:color w:val="000000" w:themeColor="text1"/>
          <w:lang w:val="es-ES"/>
        </w:rPr>
        <w:t xml:space="preserve">Por lo anteriormente expuesto y fundado, este </w:t>
      </w:r>
      <w:r w:rsidRPr="00E73A39">
        <w:rPr>
          <w:rFonts w:ascii="Palatino Linotype" w:eastAsia="Calibri" w:hAnsi="Palatino Linotype" w:cs="Arial"/>
          <w:b/>
          <w:color w:val="000000" w:themeColor="text1"/>
          <w:lang w:val="es-ES"/>
        </w:rPr>
        <w:t>ÓRGANO GARANTE</w:t>
      </w:r>
      <w:r w:rsidRPr="00E73A39">
        <w:rPr>
          <w:rFonts w:ascii="Palatino Linotype" w:eastAsia="Calibri" w:hAnsi="Palatino Linotype" w:cs="Arial"/>
          <w:color w:val="000000" w:themeColor="text1"/>
          <w:lang w:val="es-ES"/>
        </w:rPr>
        <w:t xml:space="preserve"> emite los siguientes</w:t>
      </w:r>
      <w:r w:rsidR="00542C55" w:rsidRPr="00E73A39">
        <w:rPr>
          <w:rFonts w:ascii="Palatino Linotype" w:eastAsia="Calibri" w:hAnsi="Palatino Linotype" w:cs="Arial"/>
          <w:color w:val="000000" w:themeColor="text1"/>
          <w:lang w:val="es-ES"/>
        </w:rPr>
        <w:t>:</w:t>
      </w:r>
    </w:p>
    <w:p w14:paraId="357C9D40" w14:textId="039C309A" w:rsidR="00DF461F" w:rsidRPr="00E73A39" w:rsidRDefault="00DF461F" w:rsidP="00CD2063">
      <w:pPr>
        <w:pStyle w:val="Ttulo2"/>
        <w:tabs>
          <w:tab w:val="left" w:pos="0"/>
        </w:tabs>
        <w:spacing w:before="0" w:line="360" w:lineRule="auto"/>
        <w:jc w:val="center"/>
        <w:rPr>
          <w:rFonts w:ascii="Palatino Linotype" w:hAnsi="Palatino Linotype"/>
          <w:b/>
          <w:color w:val="000000" w:themeColor="text1"/>
          <w:sz w:val="24"/>
          <w:szCs w:val="24"/>
        </w:rPr>
      </w:pPr>
      <w:bookmarkStart w:id="37" w:name="_Toc88748494"/>
      <w:r w:rsidRPr="00E73A39">
        <w:rPr>
          <w:rFonts w:ascii="Palatino Linotype" w:hAnsi="Palatino Linotype"/>
          <w:b/>
          <w:color w:val="000000" w:themeColor="text1"/>
          <w:sz w:val="24"/>
          <w:szCs w:val="24"/>
          <w:lang w:val="es-ES"/>
        </w:rPr>
        <w:t>R E S O L U T I V O S</w:t>
      </w:r>
      <w:bookmarkEnd w:id="37"/>
    </w:p>
    <w:p w14:paraId="38056329" w14:textId="0EB0F390" w:rsidR="002C26FE" w:rsidRPr="00E73A39" w:rsidRDefault="002C26FE" w:rsidP="00CD2063">
      <w:pPr>
        <w:tabs>
          <w:tab w:val="left" w:pos="0"/>
        </w:tabs>
        <w:spacing w:line="360" w:lineRule="auto"/>
        <w:jc w:val="center"/>
        <w:rPr>
          <w:rFonts w:ascii="Palatino Linotype" w:hAnsi="Palatino Linotype"/>
          <w:color w:val="000000" w:themeColor="text1"/>
          <w:lang w:val="es-ES"/>
        </w:rPr>
      </w:pPr>
    </w:p>
    <w:p w14:paraId="72047740" w14:textId="5C83C5FE" w:rsidR="004C0B66" w:rsidRPr="00E73A39" w:rsidRDefault="004C0B66" w:rsidP="00CD2063">
      <w:pPr>
        <w:tabs>
          <w:tab w:val="left" w:pos="0"/>
        </w:tabs>
        <w:spacing w:line="360" w:lineRule="auto"/>
        <w:jc w:val="both"/>
        <w:rPr>
          <w:rFonts w:ascii="Palatino Linotype" w:hAnsi="Palatino Linotype" w:cs="Arial"/>
          <w:b/>
          <w:color w:val="000000" w:themeColor="text1"/>
          <w:lang w:val="es-ES_tradnl"/>
        </w:rPr>
      </w:pPr>
      <w:r w:rsidRPr="00E73A39">
        <w:rPr>
          <w:rFonts w:ascii="Palatino Linotype" w:hAnsi="Palatino Linotype" w:cs="Arial"/>
          <w:b/>
          <w:color w:val="000000" w:themeColor="text1"/>
          <w:lang w:val="es-ES_tradnl"/>
        </w:rPr>
        <w:t xml:space="preserve">PRIMERO. </w:t>
      </w:r>
      <w:r w:rsidRPr="00E73A39">
        <w:rPr>
          <w:rFonts w:ascii="Palatino Linotype" w:hAnsi="Palatino Linotype"/>
          <w:color w:val="000000" w:themeColor="text1"/>
        </w:rPr>
        <w:t xml:space="preserve">Se </w:t>
      </w:r>
      <w:r w:rsidRPr="00E73A39">
        <w:rPr>
          <w:rFonts w:ascii="Palatino Linotype" w:hAnsi="Palatino Linotype"/>
          <w:b/>
          <w:color w:val="000000" w:themeColor="text1"/>
        </w:rPr>
        <w:t>SOBRESEE</w:t>
      </w:r>
      <w:r w:rsidRPr="00E73A39">
        <w:rPr>
          <w:rFonts w:ascii="Palatino Linotype" w:hAnsi="Palatino Linotype"/>
          <w:color w:val="000000" w:themeColor="text1"/>
        </w:rPr>
        <w:t xml:space="preserve"> el recurso de revisión número </w:t>
      </w:r>
      <w:r w:rsidRPr="00E73A39">
        <w:rPr>
          <w:rFonts w:ascii="Palatino Linotype" w:hAnsi="Palatino Linotype"/>
          <w:b/>
          <w:color w:val="000000" w:themeColor="text1"/>
        </w:rPr>
        <w:t xml:space="preserve">01353/INFOEM/IP/RR/2025 </w:t>
      </w:r>
      <w:r w:rsidRPr="00E73A39">
        <w:rPr>
          <w:rFonts w:ascii="Palatino Linotype" w:hAnsi="Palatino Linotype"/>
          <w:bCs/>
          <w:color w:val="000000" w:themeColor="text1"/>
        </w:rPr>
        <w:t>conforme al artículo 192 fracción III de la Ley de Transparencia y Acceso a la Información Pública del Estado de México y Municipios,</w:t>
      </w:r>
      <w:r w:rsidRPr="00E73A39">
        <w:rPr>
          <w:rFonts w:ascii="Palatino Linotype" w:hAnsi="Palatino Linotype"/>
          <w:color w:val="000000" w:themeColor="text1"/>
        </w:rPr>
        <w:t xml:space="preserve"> porque al </w:t>
      </w:r>
      <w:r w:rsidRPr="00E73A39">
        <w:rPr>
          <w:rFonts w:ascii="Palatino Linotype" w:hAnsi="Palatino Linotype"/>
          <w:b/>
          <w:bCs/>
          <w:color w:val="000000" w:themeColor="text1"/>
        </w:rPr>
        <w:t>modificar la respuesta a través del informe justificado y atender lo solicitado</w:t>
      </w:r>
      <w:r w:rsidRPr="00E73A39">
        <w:rPr>
          <w:rFonts w:ascii="Palatino Linotype" w:hAnsi="Palatino Linotype"/>
          <w:color w:val="000000" w:themeColor="text1"/>
        </w:rPr>
        <w:t xml:space="preserve">, el recurso de revisión quedó sin materia en términos del Considerando </w:t>
      </w:r>
      <w:r w:rsidRPr="00E73A39">
        <w:rPr>
          <w:rFonts w:ascii="Palatino Linotype" w:hAnsi="Palatino Linotype"/>
          <w:b/>
          <w:color w:val="000000" w:themeColor="text1"/>
        </w:rPr>
        <w:t>TERCERO</w:t>
      </w:r>
      <w:r w:rsidRPr="00E73A39">
        <w:rPr>
          <w:rFonts w:ascii="Palatino Linotype" w:hAnsi="Palatino Linotype"/>
          <w:color w:val="000000" w:themeColor="text1"/>
        </w:rPr>
        <w:t xml:space="preserve"> de la presente resolución.</w:t>
      </w:r>
    </w:p>
    <w:p w14:paraId="2C5E2F79" w14:textId="77777777" w:rsidR="00A07BDD" w:rsidRPr="00E73A39" w:rsidRDefault="00A07BDD" w:rsidP="00CD2063">
      <w:pPr>
        <w:tabs>
          <w:tab w:val="left" w:pos="0"/>
        </w:tabs>
        <w:spacing w:before="240" w:after="240" w:line="360" w:lineRule="auto"/>
        <w:jc w:val="both"/>
        <w:rPr>
          <w:rFonts w:ascii="Palatino Linotype" w:hAnsi="Palatino Linotype"/>
          <w:b/>
          <w:color w:val="000000" w:themeColor="text1"/>
        </w:rPr>
      </w:pPr>
    </w:p>
    <w:p w14:paraId="305FC56B" w14:textId="70364380" w:rsidR="004C0B66" w:rsidRPr="00E73A39" w:rsidRDefault="004C0B66" w:rsidP="00CD2063">
      <w:pPr>
        <w:tabs>
          <w:tab w:val="left" w:pos="0"/>
        </w:tabs>
        <w:spacing w:before="240" w:after="240" w:line="360" w:lineRule="auto"/>
        <w:jc w:val="both"/>
        <w:rPr>
          <w:rFonts w:ascii="Palatino Linotype" w:eastAsia="DengXian Light" w:hAnsi="Palatino Linotype"/>
          <w:color w:val="000000" w:themeColor="text1"/>
        </w:rPr>
      </w:pPr>
      <w:r w:rsidRPr="00E73A39">
        <w:rPr>
          <w:rFonts w:ascii="Palatino Linotype" w:hAnsi="Palatino Linotype"/>
          <w:b/>
          <w:color w:val="000000" w:themeColor="text1"/>
        </w:rPr>
        <w:t>SEGUNDO.</w:t>
      </w:r>
      <w:r w:rsidRPr="00E73A39">
        <w:rPr>
          <w:rFonts w:ascii="Palatino Linotype" w:eastAsia="DengXian Light" w:hAnsi="Palatino Linotype"/>
          <w:color w:val="000000" w:themeColor="text1"/>
        </w:rPr>
        <w:t xml:space="preserve"> </w:t>
      </w:r>
      <w:r w:rsidR="00D04BC3" w:rsidRPr="00E73A39">
        <w:rPr>
          <w:rFonts w:ascii="Palatino Linotype" w:eastAsia="Calibri" w:hAnsi="Palatino Linotype" w:cs="Arial"/>
          <w:b/>
          <w:bCs/>
          <w:color w:val="000000" w:themeColor="text1"/>
        </w:rPr>
        <w:t>NOTIFÍQUESE</w:t>
      </w:r>
      <w:r w:rsidRPr="00E73A39">
        <w:rPr>
          <w:rFonts w:ascii="Palatino Linotype" w:eastAsia="Calibri" w:hAnsi="Palatino Linotype" w:cs="Arial"/>
          <w:b/>
          <w:bCs/>
          <w:color w:val="000000" w:themeColor="text1"/>
        </w:rPr>
        <w:t xml:space="preserve"> </w:t>
      </w:r>
      <w:r w:rsidRPr="00E73A39">
        <w:rPr>
          <w:rFonts w:ascii="Palatino Linotype" w:eastAsia="Calibri" w:hAnsi="Palatino Linotype" w:cs="Arial"/>
          <w:bCs/>
          <w:color w:val="000000" w:themeColor="text1"/>
        </w:rPr>
        <w:t xml:space="preserve">a través del Sistema de Acceso a la Información Mexiquense </w:t>
      </w:r>
      <w:r w:rsidRPr="00E73A39">
        <w:rPr>
          <w:rFonts w:ascii="Palatino Linotype" w:eastAsia="Calibri" w:hAnsi="Palatino Linotype" w:cs="Arial"/>
          <w:b/>
          <w:bCs/>
          <w:color w:val="000000" w:themeColor="text1"/>
        </w:rPr>
        <w:t xml:space="preserve">(SAIMEX) </w:t>
      </w:r>
      <w:r w:rsidRPr="00E73A39">
        <w:rPr>
          <w:rFonts w:ascii="Palatino Linotype" w:eastAsia="Calibri" w:hAnsi="Palatino Linotype" w:cs="Arial"/>
          <w:bCs/>
          <w:color w:val="000000" w:themeColor="text1"/>
        </w:rPr>
        <w:t>la presente resolución al Titular de la Unidad de Transparencia del</w:t>
      </w:r>
      <w:r w:rsidRPr="00E73A39">
        <w:rPr>
          <w:rFonts w:ascii="Palatino Linotype" w:eastAsia="Calibri" w:hAnsi="Palatino Linotype" w:cs="Arial"/>
          <w:b/>
          <w:bCs/>
          <w:color w:val="000000" w:themeColor="text1"/>
        </w:rPr>
        <w:t xml:space="preserve"> SUJETO OBLIGADO.</w:t>
      </w:r>
    </w:p>
    <w:p w14:paraId="344FF0FA" w14:textId="77777777" w:rsidR="00A07BDD" w:rsidRPr="00E73A39" w:rsidRDefault="00A07BDD" w:rsidP="00CD2063">
      <w:pPr>
        <w:shd w:val="clear" w:color="auto" w:fill="FFFFFF"/>
        <w:tabs>
          <w:tab w:val="left" w:pos="0"/>
        </w:tabs>
        <w:spacing w:before="240" w:line="360" w:lineRule="auto"/>
        <w:jc w:val="both"/>
        <w:rPr>
          <w:rFonts w:ascii="Palatino Linotype" w:hAnsi="Palatino Linotype" w:cs="Arial"/>
          <w:b/>
          <w:bCs/>
          <w:color w:val="000000" w:themeColor="text1"/>
          <w:lang w:val="es-ES_tradnl"/>
        </w:rPr>
      </w:pPr>
    </w:p>
    <w:p w14:paraId="79DC6D40" w14:textId="77777777" w:rsidR="00A07BDD" w:rsidRPr="00E73A39" w:rsidRDefault="00A07BDD" w:rsidP="00CD2063">
      <w:pPr>
        <w:shd w:val="clear" w:color="auto" w:fill="FFFFFF"/>
        <w:tabs>
          <w:tab w:val="left" w:pos="0"/>
        </w:tabs>
        <w:spacing w:before="240" w:line="360" w:lineRule="auto"/>
        <w:jc w:val="both"/>
        <w:rPr>
          <w:rFonts w:ascii="Palatino Linotype" w:hAnsi="Palatino Linotype" w:cs="Arial"/>
          <w:b/>
          <w:bCs/>
          <w:color w:val="000000" w:themeColor="text1"/>
          <w:lang w:val="es-ES_tradnl"/>
        </w:rPr>
      </w:pPr>
    </w:p>
    <w:p w14:paraId="65255463" w14:textId="77777777" w:rsidR="004C0B66" w:rsidRPr="00E73A39" w:rsidRDefault="004C0B66" w:rsidP="00CD2063">
      <w:pPr>
        <w:shd w:val="clear" w:color="auto" w:fill="FFFFFF"/>
        <w:tabs>
          <w:tab w:val="left" w:pos="0"/>
        </w:tabs>
        <w:spacing w:before="240" w:line="360" w:lineRule="auto"/>
        <w:jc w:val="both"/>
        <w:rPr>
          <w:rFonts w:ascii="Palatino Linotype" w:hAnsi="Palatino Linotype" w:cs="Arial"/>
          <w:b/>
          <w:bCs/>
          <w:color w:val="000000" w:themeColor="text1"/>
          <w:lang w:val="es-ES_tradnl"/>
        </w:rPr>
      </w:pPr>
      <w:r w:rsidRPr="00E73A39">
        <w:rPr>
          <w:rFonts w:ascii="Palatino Linotype" w:hAnsi="Palatino Linotype" w:cs="Arial"/>
          <w:b/>
          <w:bCs/>
          <w:color w:val="000000" w:themeColor="text1"/>
          <w:lang w:val="es-ES_tradnl"/>
        </w:rPr>
        <w:t xml:space="preserve">TERCERO. </w:t>
      </w:r>
      <w:r w:rsidRPr="00E73A39">
        <w:rPr>
          <w:rFonts w:ascii="Palatino Linotype" w:hAnsi="Palatino Linotype"/>
          <w:b/>
          <w:bCs/>
          <w:color w:val="000000" w:themeColor="text1"/>
        </w:rPr>
        <w:t xml:space="preserve">Notifíquese </w:t>
      </w:r>
      <w:r w:rsidRPr="00E73A39">
        <w:rPr>
          <w:rFonts w:ascii="Palatino Linotype" w:hAnsi="Palatino Linotype"/>
          <w:bCs/>
          <w:color w:val="000000" w:themeColor="text1"/>
        </w:rPr>
        <w:t xml:space="preserve">al </w:t>
      </w:r>
      <w:r w:rsidRPr="00E73A39">
        <w:rPr>
          <w:rFonts w:ascii="Palatino Linotype" w:hAnsi="Palatino Linotype"/>
          <w:b/>
          <w:bCs/>
          <w:color w:val="000000" w:themeColor="text1"/>
        </w:rPr>
        <w:t>RECURRENTE</w:t>
      </w:r>
      <w:r w:rsidRPr="00E73A39">
        <w:rPr>
          <w:rFonts w:ascii="Palatino Linotype" w:hAnsi="Palatino Linotype"/>
          <w:color w:val="000000" w:themeColor="text1"/>
        </w:rPr>
        <w:t xml:space="preserve"> la presente resolución </w:t>
      </w:r>
      <w:r w:rsidRPr="00E73A39">
        <w:rPr>
          <w:rFonts w:ascii="Palatino Linotype" w:eastAsia="Calibri" w:hAnsi="Palatino Linotype" w:cs="Arial"/>
          <w:bCs/>
          <w:color w:val="000000" w:themeColor="text1"/>
        </w:rPr>
        <w:t xml:space="preserve">a través del Sistema de Acceso a la Información Mexiquense </w:t>
      </w:r>
      <w:r w:rsidRPr="00E73A39">
        <w:rPr>
          <w:rFonts w:ascii="Palatino Linotype" w:eastAsia="Calibri" w:hAnsi="Palatino Linotype" w:cs="Arial"/>
          <w:b/>
          <w:bCs/>
          <w:color w:val="000000" w:themeColor="text1"/>
        </w:rPr>
        <w:t>(SAIMEX).</w:t>
      </w:r>
    </w:p>
    <w:p w14:paraId="642354D8" w14:textId="77777777" w:rsidR="004C0B66" w:rsidRPr="00E73A39" w:rsidRDefault="004C0B66" w:rsidP="00CD2063">
      <w:pPr>
        <w:shd w:val="clear" w:color="auto" w:fill="FFFFFF"/>
        <w:tabs>
          <w:tab w:val="left" w:pos="0"/>
        </w:tabs>
        <w:spacing w:before="240"/>
        <w:jc w:val="both"/>
        <w:rPr>
          <w:rFonts w:ascii="Palatino Linotype" w:hAnsi="Palatino Linotype" w:cs="Arial"/>
          <w:b/>
          <w:bCs/>
          <w:color w:val="000000" w:themeColor="text1"/>
          <w:lang w:val="es-ES_tradnl"/>
        </w:rPr>
      </w:pPr>
    </w:p>
    <w:p w14:paraId="3A7ADE7A" w14:textId="77777777" w:rsidR="004C0B66" w:rsidRPr="00E73A39" w:rsidRDefault="004C0B66" w:rsidP="00CD2063">
      <w:pPr>
        <w:tabs>
          <w:tab w:val="left" w:pos="0"/>
        </w:tabs>
        <w:spacing w:line="360" w:lineRule="auto"/>
        <w:jc w:val="both"/>
        <w:rPr>
          <w:rFonts w:ascii="Palatino Linotype" w:eastAsiaTheme="minorHAnsi" w:hAnsi="Palatino Linotype" w:cstheme="minorBidi"/>
          <w:color w:val="000000" w:themeColor="text1"/>
          <w:lang w:eastAsia="es-ES_tradnl"/>
        </w:rPr>
      </w:pPr>
      <w:r w:rsidRPr="00E73A39">
        <w:rPr>
          <w:rFonts w:ascii="Palatino Linotype" w:eastAsia="Calibri" w:hAnsi="Palatino Linotype" w:cs="Arial"/>
          <w:b/>
          <w:bCs/>
          <w:color w:val="000000" w:themeColor="text1"/>
          <w:lang w:eastAsia="en-US"/>
        </w:rPr>
        <w:t>CUARTO.</w:t>
      </w:r>
      <w:r w:rsidRPr="00E73A39">
        <w:rPr>
          <w:rFonts w:ascii="Palatino Linotype" w:eastAsia="Calibri" w:hAnsi="Palatino Linotype" w:cs="Arial"/>
          <w:bCs/>
          <w:color w:val="000000" w:themeColor="text1"/>
          <w:lang w:eastAsia="en-US"/>
        </w:rPr>
        <w:t xml:space="preserve"> </w:t>
      </w:r>
      <w:r w:rsidRPr="00E73A39">
        <w:rPr>
          <w:rFonts w:ascii="Palatino Linotype" w:eastAsia="MS Mincho" w:hAnsi="Palatino Linotype"/>
          <w:color w:val="000000" w:themeColor="text1"/>
        </w:rPr>
        <w:t xml:space="preserve">Se hace del conocimiento del </w:t>
      </w:r>
      <w:r w:rsidRPr="00E73A39">
        <w:rPr>
          <w:rFonts w:ascii="Palatino Linotype" w:hAnsi="Palatino Linotype"/>
          <w:b/>
          <w:bCs/>
          <w:color w:val="000000" w:themeColor="text1"/>
        </w:rPr>
        <w:t>RECURRENTE</w:t>
      </w:r>
      <w:r w:rsidRPr="00E73A39">
        <w:rPr>
          <w:rFonts w:ascii="Palatino Linotype" w:hAnsi="Palatino Linotype"/>
          <w:color w:val="000000" w:themeColor="text1"/>
        </w:rPr>
        <w:t xml:space="preserve"> </w:t>
      </w:r>
      <w:r w:rsidRPr="00E73A39">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E73A39">
        <w:rPr>
          <w:rFonts w:ascii="Palatino Linotype" w:eastAsia="MS Mincho" w:hAnsi="Palatino Linotype"/>
          <w:bCs/>
          <w:color w:val="000000" w:themeColor="text1"/>
        </w:rPr>
        <w:t>vía juicio de amparo</w:t>
      </w:r>
      <w:r w:rsidRPr="00E73A39">
        <w:rPr>
          <w:rFonts w:ascii="Palatino Linotype" w:eastAsia="MS Mincho" w:hAnsi="Palatino Linotype"/>
          <w:color w:val="000000" w:themeColor="text1"/>
        </w:rPr>
        <w:t> en los términos de las leyes aplicables.</w:t>
      </w:r>
    </w:p>
    <w:p w14:paraId="3EFE95EF" w14:textId="77777777" w:rsidR="00C14131" w:rsidRPr="00E73A39" w:rsidRDefault="00C14131" w:rsidP="00CD2063">
      <w:pPr>
        <w:tabs>
          <w:tab w:val="left" w:pos="0"/>
        </w:tabs>
        <w:jc w:val="both"/>
        <w:rPr>
          <w:rFonts w:ascii="Palatino Linotype" w:eastAsia="MS Mincho" w:hAnsi="Palatino Linotype"/>
          <w:color w:val="000000" w:themeColor="text1"/>
          <w:lang w:val="es-ES"/>
        </w:rPr>
      </w:pPr>
    </w:p>
    <w:p w14:paraId="6CC86ED9" w14:textId="77777777" w:rsidR="00D04BC3" w:rsidRPr="00E73A39" w:rsidRDefault="00D04BC3" w:rsidP="00CD2063">
      <w:pPr>
        <w:tabs>
          <w:tab w:val="left" w:pos="0"/>
        </w:tabs>
        <w:jc w:val="both"/>
        <w:rPr>
          <w:rFonts w:ascii="Palatino Linotype" w:eastAsia="MS Mincho" w:hAnsi="Palatino Linotype"/>
          <w:color w:val="000000" w:themeColor="text1"/>
          <w:lang w:val="es-ES"/>
        </w:rPr>
      </w:pPr>
    </w:p>
    <w:p w14:paraId="308C9DED" w14:textId="77777777" w:rsidR="00D04BC3" w:rsidRPr="00E73A39" w:rsidRDefault="00D04BC3" w:rsidP="00CD2063">
      <w:pPr>
        <w:tabs>
          <w:tab w:val="left" w:pos="0"/>
        </w:tabs>
        <w:jc w:val="both"/>
        <w:rPr>
          <w:rFonts w:ascii="Palatino Linotype" w:eastAsia="MS Mincho" w:hAnsi="Palatino Linotype"/>
          <w:color w:val="000000" w:themeColor="text1"/>
          <w:lang w:val="es-ES"/>
        </w:rPr>
      </w:pPr>
    </w:p>
    <w:bookmarkEnd w:id="27"/>
    <w:bookmarkEnd w:id="28"/>
    <w:bookmarkEnd w:id="29"/>
    <w:p w14:paraId="2948863F" w14:textId="45A791C2" w:rsidR="00836ADD" w:rsidRPr="00CD2063" w:rsidRDefault="00E73A39" w:rsidP="00CD2063">
      <w:pPr>
        <w:tabs>
          <w:tab w:val="left" w:pos="0"/>
        </w:tabs>
        <w:spacing w:line="360" w:lineRule="auto"/>
        <w:jc w:val="both"/>
        <w:rPr>
          <w:rFonts w:ascii="Palatino Linotype" w:hAnsi="Palatino Linotype" w:cs="Tahoma"/>
          <w:color w:val="000000" w:themeColor="text1"/>
        </w:rPr>
      </w:pPr>
      <w:r w:rsidRPr="00E73A39">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E73A39">
        <w:rPr>
          <w:rFonts w:ascii="Palatino Linotype" w:eastAsia="Palatino Linotype" w:hAnsi="Palatino Linotype" w:cs="Palatino Linotype"/>
          <w:color w:val="000000" w:themeColor="text1"/>
        </w:rPr>
        <w:t xml:space="preserve">(AUSENCIA JUSTIFICADA) </w:t>
      </w:r>
      <w:r w:rsidRPr="00E73A39">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bookmarkStart w:id="38" w:name="_GoBack"/>
      <w:bookmarkEnd w:id="38"/>
    </w:p>
    <w:p w14:paraId="08F3A920"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06ABF4D0"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0DDB8E48"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3AEE14E8"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5AA4DD53"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01CB9937"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7AC18135"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6C86D13A"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0B15A279"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5806ADEF"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134B8996"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53E9F836"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51E41CB6"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372E5DF1"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08D6A8A4"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p w14:paraId="2E1056FF" w14:textId="77777777" w:rsidR="00836ADD" w:rsidRPr="00CD2063" w:rsidRDefault="00836ADD" w:rsidP="00CD2063">
      <w:pPr>
        <w:tabs>
          <w:tab w:val="left" w:pos="0"/>
        </w:tabs>
        <w:spacing w:line="360" w:lineRule="auto"/>
        <w:jc w:val="both"/>
        <w:rPr>
          <w:rFonts w:ascii="Palatino Linotype" w:hAnsi="Palatino Linotype" w:cs="Tahoma"/>
          <w:color w:val="000000" w:themeColor="text1"/>
        </w:rPr>
      </w:pPr>
    </w:p>
    <w:sectPr w:rsidR="00836ADD" w:rsidRPr="00CD2063" w:rsidSect="003026B6">
      <w:headerReference w:type="default" r:id="rId10"/>
      <w:footerReference w:type="default" r:id="rId11"/>
      <w:headerReference w:type="first" r:id="rId12"/>
      <w:footerReference w:type="first" r:id="rId13"/>
      <w:pgSz w:w="12240" w:h="15840"/>
      <w:pgMar w:top="2552" w:right="1183"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B474" w14:textId="77777777" w:rsidR="00820D92" w:rsidRDefault="00820D92" w:rsidP="00587366">
      <w:r>
        <w:separator/>
      </w:r>
    </w:p>
  </w:endnote>
  <w:endnote w:type="continuationSeparator" w:id="0">
    <w:p w14:paraId="3FC365B3" w14:textId="77777777" w:rsidR="00820D92" w:rsidRDefault="00820D9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1B1CB5" w:rsidRPr="00883450" w:rsidRDefault="001B1C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73A39">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73A39">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1B1CB5" w:rsidRDefault="001B1C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B1CB5" w:rsidRPr="00883450" w:rsidRDefault="001B1CB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73A39" w:rsidRPr="00E73A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73A39" w:rsidRPr="00E73A39">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1B1CB5" w:rsidRPr="00883450" w:rsidRDefault="001B1CB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5D9AF" w14:textId="77777777" w:rsidR="00820D92" w:rsidRDefault="00820D92" w:rsidP="00587366">
      <w:r>
        <w:separator/>
      </w:r>
    </w:p>
  </w:footnote>
  <w:footnote w:type="continuationSeparator" w:id="0">
    <w:p w14:paraId="1C4BBCF5" w14:textId="77777777" w:rsidR="00820D92" w:rsidRDefault="00820D9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1B1CB5" w:rsidRDefault="00820D92" w:rsidP="001C6012">
    <w:pPr>
      <w:pStyle w:val="Encabezado"/>
      <w:tabs>
        <w:tab w:val="clear" w:pos="4252"/>
        <w:tab w:val="clear" w:pos="8504"/>
        <w:tab w:val="left" w:pos="8460"/>
      </w:tabs>
    </w:pPr>
    <w:r>
      <w:rPr>
        <w:noProof/>
        <w:lang w:val="es-MX" w:eastAsia="es-MX"/>
      </w:rPr>
      <w:pict w14:anchorId="7FED2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1B1CB5">
      <w:tab/>
    </w:r>
  </w:p>
  <w:p w14:paraId="64F5F23E" w14:textId="25789E23" w:rsidR="001B1CB5" w:rsidRDefault="001B1CB5">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B1CB5" w:rsidRPr="00CD2063" w14:paraId="07F2896E" w14:textId="77777777" w:rsidTr="00F3586F">
      <w:trPr>
        <w:trHeight w:val="138"/>
      </w:trPr>
      <w:tc>
        <w:tcPr>
          <w:tcW w:w="3544" w:type="dxa"/>
          <w:vAlign w:val="center"/>
        </w:tcPr>
        <w:p w14:paraId="4A5B1974" w14:textId="3B2AB4E0" w:rsidR="001B1CB5" w:rsidRPr="00CD2063" w:rsidRDefault="001B1CB5" w:rsidP="006E6B65">
          <w:pPr>
            <w:ind w:right="34"/>
            <w:jc w:val="right"/>
            <w:rPr>
              <w:rFonts w:ascii="Palatino Linotype" w:hAnsi="Palatino Linotype"/>
              <w:b/>
            </w:rPr>
          </w:pPr>
          <w:r w:rsidRPr="00CD2063">
            <w:rPr>
              <w:rFonts w:ascii="Palatino Linotype" w:hAnsi="Palatino Linotype"/>
              <w:b/>
            </w:rPr>
            <w:t>RECURSO DE REVISIÓN:</w:t>
          </w:r>
        </w:p>
      </w:tc>
      <w:tc>
        <w:tcPr>
          <w:tcW w:w="4252" w:type="dxa"/>
          <w:vAlign w:val="center"/>
        </w:tcPr>
        <w:p w14:paraId="3A05B4B6" w14:textId="7BFAB417" w:rsidR="001B1CB5" w:rsidRPr="00CD2063" w:rsidRDefault="001B1CB5" w:rsidP="00620589">
          <w:pPr>
            <w:pStyle w:val="Encabezado"/>
            <w:rPr>
              <w:rFonts w:ascii="Palatino Linotype" w:hAnsi="Palatino Linotype" w:cs="Arial"/>
              <w:bCs/>
              <w:lang w:eastAsia="es-MX"/>
            </w:rPr>
          </w:pPr>
          <w:r w:rsidRPr="00CD2063">
            <w:rPr>
              <w:rFonts w:ascii="Palatino Linotype" w:hAnsi="Palatino Linotype" w:cs="Arial"/>
              <w:bCs/>
              <w:lang w:eastAsia="es-MX"/>
            </w:rPr>
            <w:t>01353/INFOEM/IP/RR/2025</w:t>
          </w:r>
        </w:p>
      </w:tc>
    </w:tr>
    <w:tr w:rsidR="001B1CB5" w:rsidRPr="00CD2063" w14:paraId="1B5D8690" w14:textId="77777777" w:rsidTr="00F3586F">
      <w:trPr>
        <w:trHeight w:val="233"/>
      </w:trPr>
      <w:tc>
        <w:tcPr>
          <w:tcW w:w="3544" w:type="dxa"/>
          <w:vAlign w:val="center"/>
        </w:tcPr>
        <w:p w14:paraId="3903F2C6" w14:textId="35D57A2C" w:rsidR="001B1CB5" w:rsidRPr="00CD2063" w:rsidRDefault="001B1CB5" w:rsidP="006E6B65">
          <w:pPr>
            <w:ind w:right="34"/>
            <w:jc w:val="right"/>
            <w:rPr>
              <w:rFonts w:ascii="Palatino Linotype" w:hAnsi="Palatino Linotype"/>
              <w:b/>
            </w:rPr>
          </w:pPr>
          <w:r w:rsidRPr="00CD2063">
            <w:rPr>
              <w:rFonts w:ascii="Palatino Linotype" w:hAnsi="Palatino Linotype"/>
              <w:b/>
            </w:rPr>
            <w:t>SUJETO OBLIGADO:</w:t>
          </w:r>
        </w:p>
      </w:tc>
      <w:tc>
        <w:tcPr>
          <w:tcW w:w="4252" w:type="dxa"/>
          <w:vAlign w:val="center"/>
        </w:tcPr>
        <w:p w14:paraId="03C799A2" w14:textId="39D5A6B6" w:rsidR="001B1CB5" w:rsidRPr="00CD2063" w:rsidRDefault="001B1CB5" w:rsidP="00A64283">
          <w:pPr>
            <w:pStyle w:val="Encabezado"/>
            <w:rPr>
              <w:rFonts w:ascii="Palatino Linotype" w:hAnsi="Palatino Linotype"/>
            </w:rPr>
          </w:pPr>
          <w:r w:rsidRPr="00CD2063">
            <w:rPr>
              <w:rFonts w:ascii="Palatino Linotype" w:eastAsia="Times New Roman" w:hAnsi="Palatino Linotype"/>
              <w:color w:val="000000" w:themeColor="text1"/>
            </w:rPr>
            <w:t>Ayuntamiento de Toluca</w:t>
          </w:r>
        </w:p>
      </w:tc>
    </w:tr>
    <w:tr w:rsidR="001B1CB5" w:rsidRPr="00CD2063" w14:paraId="095EB01B" w14:textId="77777777" w:rsidTr="00F3586F">
      <w:trPr>
        <w:trHeight w:val="321"/>
      </w:trPr>
      <w:tc>
        <w:tcPr>
          <w:tcW w:w="3544" w:type="dxa"/>
          <w:vAlign w:val="center"/>
        </w:tcPr>
        <w:p w14:paraId="6E000A51" w14:textId="0EDEFF28" w:rsidR="001B1CB5" w:rsidRPr="00CD2063" w:rsidRDefault="001B1CB5" w:rsidP="006E6B65">
          <w:pPr>
            <w:ind w:right="34"/>
            <w:jc w:val="right"/>
            <w:rPr>
              <w:rFonts w:ascii="Palatino Linotype" w:hAnsi="Palatino Linotype"/>
              <w:b/>
            </w:rPr>
          </w:pPr>
          <w:r w:rsidRPr="00CD2063">
            <w:rPr>
              <w:rFonts w:ascii="Palatino Linotype" w:hAnsi="Palatino Linotype"/>
              <w:b/>
            </w:rPr>
            <w:t>COMISIONADA PONENTE:</w:t>
          </w:r>
        </w:p>
      </w:tc>
      <w:tc>
        <w:tcPr>
          <w:tcW w:w="4252" w:type="dxa"/>
          <w:vAlign w:val="center"/>
        </w:tcPr>
        <w:p w14:paraId="07560085" w14:textId="7F8B2514" w:rsidR="001B1CB5" w:rsidRPr="00CD2063" w:rsidRDefault="001B1CB5" w:rsidP="00620589">
          <w:pPr>
            <w:pStyle w:val="Encabezado"/>
            <w:rPr>
              <w:rFonts w:ascii="Palatino Linotype" w:hAnsi="Palatino Linotype"/>
            </w:rPr>
          </w:pPr>
          <w:r w:rsidRPr="00CD2063">
            <w:rPr>
              <w:rFonts w:ascii="Palatino Linotype" w:hAnsi="Palatino Linotype"/>
            </w:rPr>
            <w:t>María del Rosario Mejía Ayala</w:t>
          </w:r>
        </w:p>
      </w:tc>
    </w:tr>
  </w:tbl>
  <w:p w14:paraId="1096C1B8" w14:textId="193F0C87" w:rsidR="001B1CB5" w:rsidRDefault="001B1CB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1B1CB5" w:rsidRDefault="00820D92" w:rsidP="00472C41">
    <w:pPr>
      <w:pStyle w:val="Encabezado"/>
      <w:tabs>
        <w:tab w:val="clear" w:pos="4252"/>
        <w:tab w:val="clear" w:pos="8504"/>
        <w:tab w:val="left" w:pos="3103"/>
      </w:tabs>
    </w:pPr>
    <w:r>
      <w:rPr>
        <w:noProof/>
        <w:lang w:val="es-MX" w:eastAsia="es-MX"/>
      </w:rPr>
      <w:pict w14:anchorId="4B0D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95"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1B1CB5">
      <w:tab/>
    </w:r>
  </w:p>
  <w:tbl>
    <w:tblPr>
      <w:tblStyle w:val="Tablaconcuadrcula"/>
      <w:tblW w:w="7599"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8"/>
      <w:gridCol w:w="4111"/>
    </w:tblGrid>
    <w:tr w:rsidR="001B1CB5" w:rsidRPr="00CD2063" w14:paraId="0A3256F2" w14:textId="77777777" w:rsidTr="00CD2063">
      <w:trPr>
        <w:trHeight w:val="138"/>
      </w:trPr>
      <w:tc>
        <w:tcPr>
          <w:tcW w:w="3488" w:type="dxa"/>
          <w:vAlign w:val="center"/>
        </w:tcPr>
        <w:p w14:paraId="3D80769D" w14:textId="316F11F8" w:rsidR="001B1CB5" w:rsidRPr="00CD2063" w:rsidRDefault="001B1CB5" w:rsidP="00620589">
          <w:pPr>
            <w:jc w:val="right"/>
            <w:rPr>
              <w:rFonts w:ascii="Palatino Linotype" w:hAnsi="Palatino Linotype"/>
              <w:b/>
            </w:rPr>
          </w:pPr>
          <w:r w:rsidRPr="00CD2063">
            <w:rPr>
              <w:rFonts w:ascii="Palatino Linotype" w:hAnsi="Palatino Linotype"/>
              <w:b/>
            </w:rPr>
            <w:t>RECURSO DE REVISIÓN:</w:t>
          </w:r>
        </w:p>
      </w:tc>
      <w:tc>
        <w:tcPr>
          <w:tcW w:w="4111" w:type="dxa"/>
          <w:vAlign w:val="center"/>
        </w:tcPr>
        <w:p w14:paraId="0453495E" w14:textId="08800A0A" w:rsidR="001B1CB5" w:rsidRPr="00CD2063" w:rsidRDefault="001B1CB5" w:rsidP="00620589">
          <w:pPr>
            <w:pStyle w:val="Encabezado"/>
            <w:jc w:val="both"/>
            <w:rPr>
              <w:rFonts w:ascii="Palatino Linotype" w:hAnsi="Palatino Linotype" w:cs="Arial"/>
              <w:bCs/>
              <w:lang w:eastAsia="es-MX"/>
            </w:rPr>
          </w:pPr>
          <w:r w:rsidRPr="00CD2063">
            <w:rPr>
              <w:rFonts w:ascii="Palatino Linotype" w:hAnsi="Palatino Linotype" w:cs="Arial"/>
              <w:bCs/>
              <w:lang w:eastAsia="es-MX"/>
            </w:rPr>
            <w:t>01353/INFOEM/IP/RR/2025</w:t>
          </w:r>
        </w:p>
      </w:tc>
    </w:tr>
    <w:tr w:rsidR="001B1CB5" w:rsidRPr="00CD2063" w14:paraId="128C8B3C" w14:textId="77777777" w:rsidTr="00CD2063">
      <w:trPr>
        <w:trHeight w:val="233"/>
      </w:trPr>
      <w:tc>
        <w:tcPr>
          <w:tcW w:w="3488" w:type="dxa"/>
          <w:vAlign w:val="center"/>
        </w:tcPr>
        <w:p w14:paraId="483E3371" w14:textId="66B1BC74" w:rsidR="001B1CB5" w:rsidRPr="00CD2063" w:rsidRDefault="001B1CB5" w:rsidP="00620589">
          <w:pPr>
            <w:jc w:val="right"/>
            <w:rPr>
              <w:rFonts w:ascii="Palatino Linotype" w:hAnsi="Palatino Linotype"/>
              <w:b/>
            </w:rPr>
          </w:pPr>
          <w:r w:rsidRPr="00CD2063">
            <w:rPr>
              <w:rFonts w:ascii="Palatino Linotype" w:hAnsi="Palatino Linotype"/>
              <w:b/>
            </w:rPr>
            <w:t>RECURRENTE:</w:t>
          </w:r>
        </w:p>
      </w:tc>
      <w:tc>
        <w:tcPr>
          <w:tcW w:w="4111" w:type="dxa"/>
        </w:tcPr>
        <w:p w14:paraId="1548525E" w14:textId="5BDBDA27" w:rsidR="001B1CB5" w:rsidRPr="00CD2063" w:rsidRDefault="001B1CB5" w:rsidP="00620589">
          <w:pPr>
            <w:pStyle w:val="Encabezado"/>
            <w:ind w:right="234"/>
            <w:jc w:val="both"/>
            <w:rPr>
              <w:rFonts w:ascii="Palatino Linotype" w:hAnsi="Palatino Linotype"/>
            </w:rPr>
          </w:pPr>
        </w:p>
      </w:tc>
    </w:tr>
    <w:tr w:rsidR="001B1CB5" w:rsidRPr="00CD2063" w14:paraId="41BE0704" w14:textId="77777777" w:rsidTr="00CD2063">
      <w:trPr>
        <w:trHeight w:val="321"/>
      </w:trPr>
      <w:tc>
        <w:tcPr>
          <w:tcW w:w="3488" w:type="dxa"/>
          <w:vAlign w:val="center"/>
        </w:tcPr>
        <w:p w14:paraId="34C64148" w14:textId="10C6C8A9" w:rsidR="001B1CB5" w:rsidRPr="00CD2063" w:rsidRDefault="001B1CB5" w:rsidP="00620589">
          <w:pPr>
            <w:jc w:val="right"/>
            <w:rPr>
              <w:rFonts w:ascii="Palatino Linotype" w:hAnsi="Palatino Linotype"/>
              <w:b/>
            </w:rPr>
          </w:pPr>
          <w:r w:rsidRPr="00CD2063">
            <w:rPr>
              <w:rFonts w:ascii="Palatino Linotype" w:hAnsi="Palatino Linotype"/>
              <w:b/>
            </w:rPr>
            <w:t>SUJETO OBLIGADO:</w:t>
          </w:r>
        </w:p>
      </w:tc>
      <w:tc>
        <w:tcPr>
          <w:tcW w:w="4111" w:type="dxa"/>
          <w:vAlign w:val="center"/>
        </w:tcPr>
        <w:p w14:paraId="34C341BF" w14:textId="76B41499" w:rsidR="001B1CB5" w:rsidRPr="00CD2063" w:rsidRDefault="001B1CB5" w:rsidP="00A64283">
          <w:pPr>
            <w:pStyle w:val="Encabezado"/>
            <w:jc w:val="both"/>
            <w:rPr>
              <w:rFonts w:ascii="Palatino Linotype" w:hAnsi="Palatino Linotype"/>
            </w:rPr>
          </w:pPr>
          <w:r w:rsidRPr="00CD2063">
            <w:rPr>
              <w:rFonts w:ascii="Palatino Linotype" w:eastAsia="Times New Roman" w:hAnsi="Palatino Linotype"/>
            </w:rPr>
            <w:t>Ayuntamiento de Toluca</w:t>
          </w:r>
        </w:p>
      </w:tc>
    </w:tr>
    <w:tr w:rsidR="001B1CB5" w:rsidRPr="00CD2063" w14:paraId="0C8B6193" w14:textId="77777777" w:rsidTr="00CD2063">
      <w:trPr>
        <w:trHeight w:val="321"/>
      </w:trPr>
      <w:tc>
        <w:tcPr>
          <w:tcW w:w="3488" w:type="dxa"/>
          <w:vAlign w:val="center"/>
        </w:tcPr>
        <w:p w14:paraId="321FFAFF" w14:textId="4B5194B8" w:rsidR="001B1CB5" w:rsidRPr="00CD2063" w:rsidRDefault="001B1CB5" w:rsidP="00620589">
          <w:pPr>
            <w:jc w:val="right"/>
            <w:rPr>
              <w:rFonts w:ascii="Palatino Linotype" w:hAnsi="Palatino Linotype"/>
              <w:b/>
            </w:rPr>
          </w:pPr>
          <w:r w:rsidRPr="00CD2063">
            <w:rPr>
              <w:rFonts w:ascii="Palatino Linotype" w:hAnsi="Palatino Linotype"/>
              <w:b/>
            </w:rPr>
            <w:t>COMISIONADA PONENTE:</w:t>
          </w:r>
        </w:p>
      </w:tc>
      <w:tc>
        <w:tcPr>
          <w:tcW w:w="4111" w:type="dxa"/>
          <w:vAlign w:val="center"/>
        </w:tcPr>
        <w:p w14:paraId="0FECDA9D" w14:textId="50867E5E" w:rsidR="001B1CB5" w:rsidRPr="00CD2063" w:rsidRDefault="001B1CB5" w:rsidP="00620589">
          <w:pPr>
            <w:pStyle w:val="Encabezado"/>
            <w:jc w:val="both"/>
            <w:rPr>
              <w:rFonts w:ascii="Palatino Linotype" w:hAnsi="Palatino Linotype"/>
            </w:rPr>
          </w:pPr>
          <w:r w:rsidRPr="00CD2063">
            <w:rPr>
              <w:rFonts w:ascii="Palatino Linotype" w:hAnsi="Palatino Linotype"/>
            </w:rPr>
            <w:t>María del Rosario Mejía Ayala</w:t>
          </w:r>
        </w:p>
      </w:tc>
    </w:tr>
  </w:tbl>
  <w:p w14:paraId="156B5574" w14:textId="3EA5B995" w:rsidR="001B1CB5" w:rsidRDefault="001B1CB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
    <w:nsid w:val="0D5067A4"/>
    <w:multiLevelType w:val="hybridMultilevel"/>
    <w:tmpl w:val="9B86EA5E"/>
    <w:lvl w:ilvl="0" w:tplc="79CACB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9B5DB7"/>
    <w:multiLevelType w:val="hybridMultilevel"/>
    <w:tmpl w:val="E8580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B11634"/>
    <w:multiLevelType w:val="hybridMultilevel"/>
    <w:tmpl w:val="B9F45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B3524A"/>
    <w:multiLevelType w:val="multilevel"/>
    <w:tmpl w:val="716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2B1648"/>
    <w:multiLevelType w:val="hybridMultilevel"/>
    <w:tmpl w:val="0D1EA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3B1B3F"/>
    <w:multiLevelType w:val="hybridMultilevel"/>
    <w:tmpl w:val="271E1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6">
    <w:nsid w:val="4FFB12FD"/>
    <w:multiLevelType w:val="hybridMultilevel"/>
    <w:tmpl w:val="25EA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631AD0"/>
    <w:multiLevelType w:val="hybridMultilevel"/>
    <w:tmpl w:val="99083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592AC4"/>
    <w:multiLevelType w:val="hybridMultilevel"/>
    <w:tmpl w:val="BC5E1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0136A0"/>
    <w:multiLevelType w:val="hybridMultilevel"/>
    <w:tmpl w:val="813083C4"/>
    <w:lvl w:ilvl="0" w:tplc="6C929B06">
      <w:start w:val="1"/>
      <w:numFmt w:val="decimal"/>
      <w:lvlText w:val="%1."/>
      <w:lvlJc w:val="left"/>
      <w:pPr>
        <w:ind w:left="2629"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3">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8"/>
  </w:num>
  <w:num w:numId="2">
    <w:abstractNumId w:val="0"/>
  </w:num>
  <w:num w:numId="3">
    <w:abstractNumId w:val="21"/>
  </w:num>
  <w:num w:numId="4">
    <w:abstractNumId w:val="1"/>
  </w:num>
  <w:num w:numId="5">
    <w:abstractNumId w:val="23"/>
  </w:num>
  <w:num w:numId="6">
    <w:abstractNumId w:val="22"/>
  </w:num>
  <w:num w:numId="7">
    <w:abstractNumId w:val="11"/>
  </w:num>
  <w:num w:numId="8">
    <w:abstractNumId w:val="20"/>
  </w:num>
  <w:num w:numId="9">
    <w:abstractNumId w:val="5"/>
  </w:num>
  <w:num w:numId="10">
    <w:abstractNumId w:val="9"/>
  </w:num>
  <w:num w:numId="11">
    <w:abstractNumId w:val="16"/>
  </w:num>
  <w:num w:numId="12">
    <w:abstractNumId w:val="18"/>
  </w:num>
  <w:num w:numId="13">
    <w:abstractNumId w:val="13"/>
  </w:num>
  <w:num w:numId="14">
    <w:abstractNumId w:val="19"/>
  </w:num>
  <w:num w:numId="15">
    <w:abstractNumId w:val="12"/>
  </w:num>
  <w:num w:numId="16">
    <w:abstractNumId w:val="10"/>
  </w:num>
  <w:num w:numId="17">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7"/>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53F"/>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44A2"/>
    <w:rsid w:val="000849F1"/>
    <w:rsid w:val="0008542A"/>
    <w:rsid w:val="00085543"/>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2E02"/>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4A"/>
    <w:rsid w:val="000E6965"/>
    <w:rsid w:val="000E6A7D"/>
    <w:rsid w:val="000E74CF"/>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07D89"/>
    <w:rsid w:val="001105B5"/>
    <w:rsid w:val="00110C9A"/>
    <w:rsid w:val="001115F0"/>
    <w:rsid w:val="0011167C"/>
    <w:rsid w:val="001119B2"/>
    <w:rsid w:val="00112B02"/>
    <w:rsid w:val="00112BFF"/>
    <w:rsid w:val="00113930"/>
    <w:rsid w:val="00113BD3"/>
    <w:rsid w:val="00113BE4"/>
    <w:rsid w:val="00114097"/>
    <w:rsid w:val="00114A21"/>
    <w:rsid w:val="00115866"/>
    <w:rsid w:val="0011705C"/>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02F"/>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19B"/>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4D7E"/>
    <w:rsid w:val="0017653A"/>
    <w:rsid w:val="001775DF"/>
    <w:rsid w:val="0017788D"/>
    <w:rsid w:val="00177CA5"/>
    <w:rsid w:val="00181E9E"/>
    <w:rsid w:val="00183AD5"/>
    <w:rsid w:val="0018435D"/>
    <w:rsid w:val="00184C8E"/>
    <w:rsid w:val="001854A7"/>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1FD1"/>
    <w:rsid w:val="001A2857"/>
    <w:rsid w:val="001A2A89"/>
    <w:rsid w:val="001A2DF1"/>
    <w:rsid w:val="001A3634"/>
    <w:rsid w:val="001A38AD"/>
    <w:rsid w:val="001A3B77"/>
    <w:rsid w:val="001A3EBB"/>
    <w:rsid w:val="001A4D5D"/>
    <w:rsid w:val="001A5901"/>
    <w:rsid w:val="001A61E1"/>
    <w:rsid w:val="001A6C1E"/>
    <w:rsid w:val="001A7217"/>
    <w:rsid w:val="001A7367"/>
    <w:rsid w:val="001A772A"/>
    <w:rsid w:val="001B0ACE"/>
    <w:rsid w:val="001B11F9"/>
    <w:rsid w:val="001B1CB5"/>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6403"/>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4170"/>
    <w:rsid w:val="00205055"/>
    <w:rsid w:val="00205B22"/>
    <w:rsid w:val="00205D9B"/>
    <w:rsid w:val="00206041"/>
    <w:rsid w:val="002061CA"/>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FDC"/>
    <w:rsid w:val="0025763A"/>
    <w:rsid w:val="00257A6E"/>
    <w:rsid w:val="00257D56"/>
    <w:rsid w:val="00257E89"/>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742"/>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587"/>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C84"/>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6B6"/>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326"/>
    <w:rsid w:val="003656E5"/>
    <w:rsid w:val="00365AD3"/>
    <w:rsid w:val="003672CE"/>
    <w:rsid w:val="00370BB1"/>
    <w:rsid w:val="00370EDD"/>
    <w:rsid w:val="0037107F"/>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575C"/>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2764"/>
    <w:rsid w:val="003A514F"/>
    <w:rsid w:val="003A6359"/>
    <w:rsid w:val="003A6417"/>
    <w:rsid w:val="003A6418"/>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A1F"/>
    <w:rsid w:val="003B7EC4"/>
    <w:rsid w:val="003C001C"/>
    <w:rsid w:val="003C0AF0"/>
    <w:rsid w:val="003C0D68"/>
    <w:rsid w:val="003C1D21"/>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5B40"/>
    <w:rsid w:val="00406134"/>
    <w:rsid w:val="00406EED"/>
    <w:rsid w:val="00407166"/>
    <w:rsid w:val="00412E24"/>
    <w:rsid w:val="00413903"/>
    <w:rsid w:val="00413B40"/>
    <w:rsid w:val="00413DAD"/>
    <w:rsid w:val="00414836"/>
    <w:rsid w:val="00415050"/>
    <w:rsid w:val="004158FF"/>
    <w:rsid w:val="00415C57"/>
    <w:rsid w:val="00416727"/>
    <w:rsid w:val="00417AF0"/>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737"/>
    <w:rsid w:val="00464CB6"/>
    <w:rsid w:val="0046566E"/>
    <w:rsid w:val="0046739F"/>
    <w:rsid w:val="00467C61"/>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0B66"/>
    <w:rsid w:val="004C0DCD"/>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E6F27"/>
    <w:rsid w:val="004F063C"/>
    <w:rsid w:val="004F0C96"/>
    <w:rsid w:val="004F13F6"/>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4A"/>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2C55"/>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4DFE"/>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5AA"/>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091"/>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77"/>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8A"/>
    <w:rsid w:val="006505AC"/>
    <w:rsid w:val="0065061D"/>
    <w:rsid w:val="0065082E"/>
    <w:rsid w:val="00651230"/>
    <w:rsid w:val="006521D9"/>
    <w:rsid w:val="006521F7"/>
    <w:rsid w:val="00653230"/>
    <w:rsid w:val="00653321"/>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4CE"/>
    <w:rsid w:val="00687727"/>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B12"/>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7D1"/>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7EF"/>
    <w:rsid w:val="006D499E"/>
    <w:rsid w:val="006D5007"/>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0A53"/>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5"/>
    <w:rsid w:val="007556A8"/>
    <w:rsid w:val="0075604A"/>
    <w:rsid w:val="0075650E"/>
    <w:rsid w:val="00756FD0"/>
    <w:rsid w:val="00757995"/>
    <w:rsid w:val="007612B3"/>
    <w:rsid w:val="007615C6"/>
    <w:rsid w:val="007623A5"/>
    <w:rsid w:val="007625DC"/>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5DF0"/>
    <w:rsid w:val="007764C8"/>
    <w:rsid w:val="00777B16"/>
    <w:rsid w:val="007802A1"/>
    <w:rsid w:val="0078079A"/>
    <w:rsid w:val="00780E72"/>
    <w:rsid w:val="007842FC"/>
    <w:rsid w:val="0078447B"/>
    <w:rsid w:val="00784885"/>
    <w:rsid w:val="00784F8A"/>
    <w:rsid w:val="007857AF"/>
    <w:rsid w:val="00785BE3"/>
    <w:rsid w:val="007860B9"/>
    <w:rsid w:val="0078678D"/>
    <w:rsid w:val="007867FB"/>
    <w:rsid w:val="00786AE8"/>
    <w:rsid w:val="00787DFD"/>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1FB"/>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0D92"/>
    <w:rsid w:val="00821A12"/>
    <w:rsid w:val="00821D8E"/>
    <w:rsid w:val="0082278D"/>
    <w:rsid w:val="00822828"/>
    <w:rsid w:val="00824C4E"/>
    <w:rsid w:val="008252B1"/>
    <w:rsid w:val="00825DCF"/>
    <w:rsid w:val="00825F72"/>
    <w:rsid w:val="00827432"/>
    <w:rsid w:val="008320FF"/>
    <w:rsid w:val="00832218"/>
    <w:rsid w:val="00833D09"/>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97E"/>
    <w:rsid w:val="00896532"/>
    <w:rsid w:val="0089666C"/>
    <w:rsid w:val="00896AD4"/>
    <w:rsid w:val="008974A5"/>
    <w:rsid w:val="008A015E"/>
    <w:rsid w:val="008A0ACE"/>
    <w:rsid w:val="008A0F2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1D05"/>
    <w:rsid w:val="008B2E16"/>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32FE"/>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1D44"/>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701"/>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BDD"/>
    <w:rsid w:val="00A07D84"/>
    <w:rsid w:val="00A10336"/>
    <w:rsid w:val="00A10CE2"/>
    <w:rsid w:val="00A12870"/>
    <w:rsid w:val="00A13811"/>
    <w:rsid w:val="00A14AE3"/>
    <w:rsid w:val="00A1623B"/>
    <w:rsid w:val="00A16DF1"/>
    <w:rsid w:val="00A17A17"/>
    <w:rsid w:val="00A20308"/>
    <w:rsid w:val="00A20A8A"/>
    <w:rsid w:val="00A20B1F"/>
    <w:rsid w:val="00A20CFD"/>
    <w:rsid w:val="00A22B63"/>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428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2FFC"/>
    <w:rsid w:val="00AB5F30"/>
    <w:rsid w:val="00AB6BE3"/>
    <w:rsid w:val="00AB6C86"/>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046"/>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CCA"/>
    <w:rsid w:val="00AF1F04"/>
    <w:rsid w:val="00AF3D59"/>
    <w:rsid w:val="00AF3F53"/>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0C1D"/>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50E0"/>
    <w:rsid w:val="00B462C1"/>
    <w:rsid w:val="00B46D69"/>
    <w:rsid w:val="00B47364"/>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49C"/>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0921"/>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0570"/>
    <w:rsid w:val="00C11482"/>
    <w:rsid w:val="00C13AEF"/>
    <w:rsid w:val="00C14131"/>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357E"/>
    <w:rsid w:val="00C34B44"/>
    <w:rsid w:val="00C36D48"/>
    <w:rsid w:val="00C37DED"/>
    <w:rsid w:val="00C40541"/>
    <w:rsid w:val="00C4085C"/>
    <w:rsid w:val="00C40FE3"/>
    <w:rsid w:val="00C41015"/>
    <w:rsid w:val="00C41CA7"/>
    <w:rsid w:val="00C43166"/>
    <w:rsid w:val="00C43EDF"/>
    <w:rsid w:val="00C43FC1"/>
    <w:rsid w:val="00C43FEF"/>
    <w:rsid w:val="00C4418A"/>
    <w:rsid w:val="00C44443"/>
    <w:rsid w:val="00C44811"/>
    <w:rsid w:val="00C45194"/>
    <w:rsid w:val="00C454B0"/>
    <w:rsid w:val="00C45BF0"/>
    <w:rsid w:val="00C465D1"/>
    <w:rsid w:val="00C46B4E"/>
    <w:rsid w:val="00C47330"/>
    <w:rsid w:val="00C47458"/>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4E47"/>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0AE3"/>
    <w:rsid w:val="00CD2063"/>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23A2"/>
    <w:rsid w:val="00CF403D"/>
    <w:rsid w:val="00CF455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4BC3"/>
    <w:rsid w:val="00D05039"/>
    <w:rsid w:val="00D051F8"/>
    <w:rsid w:val="00D07227"/>
    <w:rsid w:val="00D10510"/>
    <w:rsid w:val="00D12C5F"/>
    <w:rsid w:val="00D12D70"/>
    <w:rsid w:val="00D12EE7"/>
    <w:rsid w:val="00D130AF"/>
    <w:rsid w:val="00D1373C"/>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816"/>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52B"/>
    <w:rsid w:val="00D84FFF"/>
    <w:rsid w:val="00D8510C"/>
    <w:rsid w:val="00D85885"/>
    <w:rsid w:val="00D85A93"/>
    <w:rsid w:val="00D8633D"/>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A04"/>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2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23D2"/>
    <w:rsid w:val="00DD3C18"/>
    <w:rsid w:val="00DD4849"/>
    <w:rsid w:val="00DD4CD3"/>
    <w:rsid w:val="00DD5940"/>
    <w:rsid w:val="00DD5E7B"/>
    <w:rsid w:val="00DD7C4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3825"/>
    <w:rsid w:val="00E34706"/>
    <w:rsid w:val="00E34942"/>
    <w:rsid w:val="00E35EA3"/>
    <w:rsid w:val="00E37290"/>
    <w:rsid w:val="00E37AE3"/>
    <w:rsid w:val="00E41C80"/>
    <w:rsid w:val="00E42283"/>
    <w:rsid w:val="00E42427"/>
    <w:rsid w:val="00E43ABE"/>
    <w:rsid w:val="00E44148"/>
    <w:rsid w:val="00E442D0"/>
    <w:rsid w:val="00E443E0"/>
    <w:rsid w:val="00E445BD"/>
    <w:rsid w:val="00E45562"/>
    <w:rsid w:val="00E4563C"/>
    <w:rsid w:val="00E46497"/>
    <w:rsid w:val="00E47A5F"/>
    <w:rsid w:val="00E507A5"/>
    <w:rsid w:val="00E51842"/>
    <w:rsid w:val="00E51C75"/>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5127"/>
    <w:rsid w:val="00E66EE6"/>
    <w:rsid w:val="00E71633"/>
    <w:rsid w:val="00E72689"/>
    <w:rsid w:val="00E72CBD"/>
    <w:rsid w:val="00E730AA"/>
    <w:rsid w:val="00E730DE"/>
    <w:rsid w:val="00E73682"/>
    <w:rsid w:val="00E73A2E"/>
    <w:rsid w:val="00E73A39"/>
    <w:rsid w:val="00E752CA"/>
    <w:rsid w:val="00E767B9"/>
    <w:rsid w:val="00E76F52"/>
    <w:rsid w:val="00E77583"/>
    <w:rsid w:val="00E77951"/>
    <w:rsid w:val="00E80774"/>
    <w:rsid w:val="00E815A9"/>
    <w:rsid w:val="00E828A5"/>
    <w:rsid w:val="00E82B54"/>
    <w:rsid w:val="00E83035"/>
    <w:rsid w:val="00E83095"/>
    <w:rsid w:val="00E838B2"/>
    <w:rsid w:val="00E84521"/>
    <w:rsid w:val="00E856B0"/>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3E35"/>
    <w:rsid w:val="00EA5118"/>
    <w:rsid w:val="00EA7A8D"/>
    <w:rsid w:val="00EB08C0"/>
    <w:rsid w:val="00EB0DF0"/>
    <w:rsid w:val="00EB18B4"/>
    <w:rsid w:val="00EB1A2C"/>
    <w:rsid w:val="00EB2B92"/>
    <w:rsid w:val="00EB2C7A"/>
    <w:rsid w:val="00EB3B26"/>
    <w:rsid w:val="00EB3BBA"/>
    <w:rsid w:val="00EB40DC"/>
    <w:rsid w:val="00EB53DE"/>
    <w:rsid w:val="00EB564B"/>
    <w:rsid w:val="00EB5A5B"/>
    <w:rsid w:val="00EB5EF2"/>
    <w:rsid w:val="00EB721C"/>
    <w:rsid w:val="00EB743F"/>
    <w:rsid w:val="00EB7C42"/>
    <w:rsid w:val="00EC064C"/>
    <w:rsid w:val="00EC0BFA"/>
    <w:rsid w:val="00EC115D"/>
    <w:rsid w:val="00EC1232"/>
    <w:rsid w:val="00EC220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01"/>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0C9E"/>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A9"/>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2869974">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844069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1610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acuerdos/20200529_Acuerdo_suspension_de_plazos_al_15_de_junio_202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doc/acuerdos/20200615_Acuerdo_suspension_de_plazos_al_30_de_junio_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9D34-3B59-4C27-BE9C-CD90C944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3883</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INFOEM416</cp:lastModifiedBy>
  <cp:revision>6</cp:revision>
  <cp:lastPrinted>2025-05-30T16:35:00Z</cp:lastPrinted>
  <dcterms:created xsi:type="dcterms:W3CDTF">2025-05-26T21:09:00Z</dcterms:created>
  <dcterms:modified xsi:type="dcterms:W3CDTF">2025-05-30T16:35:00Z</dcterms:modified>
</cp:coreProperties>
</file>