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789" w:rsidRDefault="00C36789">
      <w:pPr>
        <w:widowControl w:val="0"/>
        <w:pBdr>
          <w:top w:val="nil"/>
          <w:left w:val="nil"/>
          <w:bottom w:val="nil"/>
          <w:right w:val="nil"/>
          <w:between w:val="nil"/>
        </w:pBdr>
        <w:spacing w:after="0" w:line="276" w:lineRule="auto"/>
        <w:jc w:val="left"/>
      </w:pPr>
    </w:p>
    <w:p w:rsidR="00C36789" w:rsidRDefault="00C36789">
      <w:pPr>
        <w:widowControl w:val="0"/>
        <w:pBdr>
          <w:top w:val="nil"/>
          <w:left w:val="nil"/>
          <w:bottom w:val="nil"/>
          <w:right w:val="nil"/>
          <w:between w:val="nil"/>
        </w:pBdr>
        <w:spacing w:after="0" w:line="360" w:lineRule="auto"/>
        <w:jc w:val="left"/>
      </w:pPr>
    </w:p>
    <w:p w:rsidR="00C36789" w:rsidRDefault="00C36789">
      <w:pPr>
        <w:keepNext/>
        <w:keepLines/>
        <w:pBdr>
          <w:top w:val="nil"/>
          <w:left w:val="nil"/>
          <w:bottom w:val="nil"/>
          <w:right w:val="nil"/>
          <w:between w:val="nil"/>
        </w:pBdr>
        <w:spacing w:after="0" w:line="360" w:lineRule="auto"/>
        <w:jc w:val="center"/>
        <w:rPr>
          <w:color w:val="000000"/>
          <w:sz w:val="20"/>
          <w:szCs w:val="20"/>
        </w:rPr>
      </w:pPr>
    </w:p>
    <w:p w:rsidR="00C36789" w:rsidRDefault="004F3375">
      <w:pPr>
        <w:keepNext/>
        <w:keepLines/>
        <w:pBdr>
          <w:top w:val="nil"/>
          <w:left w:val="nil"/>
          <w:bottom w:val="nil"/>
          <w:right w:val="nil"/>
          <w:between w:val="nil"/>
        </w:pBdr>
        <w:spacing w:after="0" w:line="360" w:lineRule="auto"/>
        <w:jc w:val="center"/>
        <w:rPr>
          <w:color w:val="000000"/>
        </w:rPr>
      </w:pPr>
      <w:r>
        <w:rPr>
          <w:color w:val="000000"/>
        </w:rPr>
        <w:t>RESOLUCIÓN DEL RECURSO DE REVISIÓN 02396/INFOEM/IP/RR/2025</w:t>
      </w:r>
    </w:p>
    <w:p w:rsidR="00C36789" w:rsidRDefault="00C36789">
      <w:pPr>
        <w:spacing w:after="0" w:line="360" w:lineRule="auto"/>
      </w:pPr>
    </w:p>
    <w:p w:rsidR="00C36789" w:rsidRDefault="00C36789">
      <w:pPr>
        <w:pBdr>
          <w:top w:val="nil"/>
          <w:left w:val="nil"/>
          <w:bottom w:val="nil"/>
          <w:right w:val="nil"/>
          <w:between w:val="nil"/>
        </w:pBdr>
        <w:spacing w:after="0" w:line="360" w:lineRule="auto"/>
        <w:jc w:val="left"/>
        <w:rPr>
          <w:color w:val="000000"/>
        </w:rPr>
      </w:pPr>
    </w:p>
    <w:sdt>
      <w:sdtPr>
        <w:id w:val="-529622921"/>
        <w:docPartObj>
          <w:docPartGallery w:val="Table of Contents"/>
          <w:docPartUnique/>
        </w:docPartObj>
      </w:sdtPr>
      <w:sdtEndPr/>
      <w:sdtContent>
        <w:p w:rsidR="00C36789" w:rsidRDefault="004F3375">
          <w:pPr>
            <w:pBdr>
              <w:top w:val="nil"/>
              <w:left w:val="nil"/>
              <w:bottom w:val="nil"/>
              <w:right w:val="nil"/>
              <w:between w:val="nil"/>
            </w:pBdr>
            <w:tabs>
              <w:tab w:val="right" w:pos="9072"/>
            </w:tabs>
            <w:spacing w:after="0" w:line="360" w:lineRule="auto"/>
            <w:rPr>
              <w:color w:val="000000"/>
            </w:rPr>
          </w:pPr>
          <w:r>
            <w:fldChar w:fldCharType="begin"/>
          </w:r>
          <w:r>
            <w:instrText xml:space="preserve"> TOC \h \u \z \t "Heading 1,1,Heading 2,2,Heading 3,3,"</w:instrText>
          </w:r>
          <w:r>
            <w:fldChar w:fldCharType="separate"/>
          </w:r>
          <w:hyperlink w:anchor="_heading=h.gxiarst0vsw8">
            <w:r>
              <w:rPr>
                <w:color w:val="000000"/>
              </w:rPr>
              <w:t>A N T E C E D E N T E S</w:t>
            </w:r>
            <w:r>
              <w:rPr>
                <w:color w:val="000000"/>
              </w:rPr>
              <w:tab/>
              <w:t>2</w:t>
            </w:r>
          </w:hyperlink>
        </w:p>
        <w:p w:rsidR="00C36789" w:rsidRDefault="00C30A7E">
          <w:pPr>
            <w:pBdr>
              <w:top w:val="nil"/>
              <w:left w:val="nil"/>
              <w:bottom w:val="nil"/>
              <w:right w:val="nil"/>
              <w:between w:val="nil"/>
            </w:pBdr>
            <w:tabs>
              <w:tab w:val="right" w:pos="8921"/>
            </w:tabs>
            <w:spacing w:after="0" w:line="360" w:lineRule="auto"/>
            <w:ind w:left="200"/>
            <w:jc w:val="left"/>
            <w:rPr>
              <w:color w:val="000000"/>
            </w:rPr>
          </w:pPr>
          <w:hyperlink w:anchor="_heading=h.86h8smti6lq6">
            <w:r w:rsidR="004F3375">
              <w:rPr>
                <w:color w:val="000000"/>
              </w:rPr>
              <w:t>I. Presentación de la solicitud de información</w:t>
            </w:r>
            <w:r w:rsidR="004F3375">
              <w:rPr>
                <w:color w:val="000000"/>
              </w:rPr>
              <w:tab/>
              <w:t>2</w:t>
            </w:r>
          </w:hyperlink>
        </w:p>
        <w:p w:rsidR="00C36789" w:rsidRDefault="00C30A7E">
          <w:pPr>
            <w:pBdr>
              <w:top w:val="nil"/>
              <w:left w:val="nil"/>
              <w:bottom w:val="nil"/>
              <w:right w:val="nil"/>
              <w:between w:val="nil"/>
            </w:pBdr>
            <w:tabs>
              <w:tab w:val="right" w:pos="8921"/>
            </w:tabs>
            <w:spacing w:after="0" w:line="360" w:lineRule="auto"/>
            <w:ind w:left="200"/>
            <w:jc w:val="left"/>
            <w:rPr>
              <w:color w:val="000000"/>
            </w:rPr>
          </w:pPr>
          <w:hyperlink w:anchor="_heading=h.sxtw04smot8o">
            <w:r w:rsidR="004F3375">
              <w:rPr>
                <w:color w:val="000000"/>
              </w:rPr>
              <w:t>II.  Respuesta del Sujeto Obligado</w:t>
            </w:r>
            <w:r w:rsidR="004F3375">
              <w:rPr>
                <w:color w:val="000000"/>
              </w:rPr>
              <w:tab/>
              <w:t>3</w:t>
            </w:r>
          </w:hyperlink>
        </w:p>
        <w:p w:rsidR="00C36789" w:rsidRDefault="00C30A7E">
          <w:pPr>
            <w:pBdr>
              <w:top w:val="nil"/>
              <w:left w:val="nil"/>
              <w:bottom w:val="nil"/>
              <w:right w:val="nil"/>
              <w:between w:val="nil"/>
            </w:pBdr>
            <w:tabs>
              <w:tab w:val="right" w:pos="8921"/>
            </w:tabs>
            <w:spacing w:after="0" w:line="360" w:lineRule="auto"/>
            <w:ind w:left="200"/>
            <w:jc w:val="left"/>
            <w:rPr>
              <w:color w:val="000000"/>
            </w:rPr>
          </w:pPr>
          <w:hyperlink w:anchor="_heading=h.675x4dfx1a1c">
            <w:r w:rsidR="004F3375">
              <w:rPr>
                <w:color w:val="000000"/>
              </w:rPr>
              <w:t>III. Interposición del Recurso de Revisión</w:t>
            </w:r>
            <w:r w:rsidR="004F3375">
              <w:rPr>
                <w:color w:val="000000"/>
              </w:rPr>
              <w:tab/>
              <w:t>10</w:t>
            </w:r>
          </w:hyperlink>
        </w:p>
        <w:p w:rsidR="00C36789" w:rsidRDefault="00C30A7E">
          <w:pPr>
            <w:pBdr>
              <w:top w:val="nil"/>
              <w:left w:val="nil"/>
              <w:bottom w:val="nil"/>
              <w:right w:val="nil"/>
              <w:between w:val="nil"/>
            </w:pBdr>
            <w:tabs>
              <w:tab w:val="right" w:pos="8921"/>
            </w:tabs>
            <w:spacing w:after="0" w:line="360" w:lineRule="auto"/>
            <w:ind w:left="200"/>
            <w:jc w:val="left"/>
            <w:rPr>
              <w:color w:val="000000"/>
            </w:rPr>
          </w:pPr>
          <w:hyperlink w:anchor="_heading=h.q5p5natl76cc">
            <w:r w:rsidR="004F3375">
              <w:rPr>
                <w:color w:val="000000"/>
              </w:rPr>
              <w:t>IV. Trámite del Recurso de Revisión ante este Instituto</w:t>
            </w:r>
            <w:r w:rsidR="004F3375">
              <w:rPr>
                <w:color w:val="000000"/>
              </w:rPr>
              <w:tab/>
              <w:t>11</w:t>
            </w:r>
          </w:hyperlink>
        </w:p>
        <w:p w:rsidR="00C36789" w:rsidRDefault="00C30A7E">
          <w:pPr>
            <w:pBdr>
              <w:top w:val="nil"/>
              <w:left w:val="nil"/>
              <w:bottom w:val="nil"/>
              <w:right w:val="nil"/>
              <w:between w:val="nil"/>
            </w:pBdr>
            <w:tabs>
              <w:tab w:val="right" w:pos="9072"/>
            </w:tabs>
            <w:spacing w:after="0" w:line="360" w:lineRule="auto"/>
            <w:rPr>
              <w:color w:val="000000"/>
            </w:rPr>
          </w:pPr>
          <w:hyperlink w:anchor="_heading=h.dq7api45tg6a">
            <w:r w:rsidR="004F3375">
              <w:rPr>
                <w:color w:val="000000"/>
              </w:rPr>
              <w:t>C O N S I D E R A N D O S</w:t>
            </w:r>
            <w:r w:rsidR="004F3375">
              <w:rPr>
                <w:color w:val="000000"/>
              </w:rPr>
              <w:tab/>
              <w:t>13</w:t>
            </w:r>
          </w:hyperlink>
        </w:p>
        <w:p w:rsidR="00C36789" w:rsidRDefault="00C30A7E">
          <w:pPr>
            <w:pBdr>
              <w:top w:val="nil"/>
              <w:left w:val="nil"/>
              <w:bottom w:val="nil"/>
              <w:right w:val="nil"/>
              <w:between w:val="nil"/>
            </w:pBdr>
            <w:tabs>
              <w:tab w:val="right" w:pos="8921"/>
            </w:tabs>
            <w:spacing w:after="0" w:line="360" w:lineRule="auto"/>
            <w:ind w:left="200"/>
            <w:jc w:val="left"/>
            <w:rPr>
              <w:color w:val="000000"/>
            </w:rPr>
          </w:pPr>
          <w:hyperlink w:anchor="_heading=h.dfesp8ed43qa">
            <w:r w:rsidR="004F3375">
              <w:rPr>
                <w:color w:val="000000"/>
              </w:rPr>
              <w:t>PRIMERO. Competencia</w:t>
            </w:r>
            <w:r w:rsidR="004F3375">
              <w:rPr>
                <w:color w:val="000000"/>
              </w:rPr>
              <w:tab/>
              <w:t>13</w:t>
            </w:r>
          </w:hyperlink>
        </w:p>
        <w:p w:rsidR="00C36789" w:rsidRDefault="00C30A7E">
          <w:pPr>
            <w:pBdr>
              <w:top w:val="nil"/>
              <w:left w:val="nil"/>
              <w:bottom w:val="nil"/>
              <w:right w:val="nil"/>
              <w:between w:val="nil"/>
            </w:pBdr>
            <w:tabs>
              <w:tab w:val="right" w:pos="8921"/>
            </w:tabs>
            <w:spacing w:after="0" w:line="360" w:lineRule="auto"/>
            <w:ind w:left="200"/>
            <w:jc w:val="left"/>
            <w:rPr>
              <w:color w:val="000000"/>
            </w:rPr>
          </w:pPr>
          <w:hyperlink w:anchor="_heading=h.ytzh5wwyvyni">
            <w:r w:rsidR="004F3375">
              <w:rPr>
                <w:color w:val="000000"/>
              </w:rPr>
              <w:t>SEGUNDO. Causales de improcedencia y sobreseimiento</w:t>
            </w:r>
            <w:r w:rsidR="004F3375">
              <w:rPr>
                <w:color w:val="000000"/>
              </w:rPr>
              <w:tab/>
              <w:t>14</w:t>
            </w:r>
          </w:hyperlink>
        </w:p>
        <w:p w:rsidR="00C36789" w:rsidRDefault="00C30A7E">
          <w:pPr>
            <w:pBdr>
              <w:top w:val="nil"/>
              <w:left w:val="nil"/>
              <w:bottom w:val="nil"/>
              <w:right w:val="nil"/>
              <w:between w:val="nil"/>
            </w:pBdr>
            <w:tabs>
              <w:tab w:val="right" w:pos="8921"/>
            </w:tabs>
            <w:spacing w:after="0" w:line="360" w:lineRule="auto"/>
            <w:ind w:left="200"/>
            <w:jc w:val="left"/>
            <w:rPr>
              <w:color w:val="000000"/>
            </w:rPr>
          </w:pPr>
          <w:hyperlink w:anchor="_heading=h.jvxxb15q5uq4">
            <w:r w:rsidR="004F3375">
              <w:rPr>
                <w:color w:val="000000"/>
              </w:rPr>
              <w:t>TERCERO. Determinación de la Controversia</w:t>
            </w:r>
            <w:r w:rsidR="004F3375">
              <w:rPr>
                <w:color w:val="000000"/>
              </w:rPr>
              <w:tab/>
              <w:t>15</w:t>
            </w:r>
          </w:hyperlink>
        </w:p>
        <w:p w:rsidR="00C36789" w:rsidRDefault="00C30A7E">
          <w:pPr>
            <w:pBdr>
              <w:top w:val="nil"/>
              <w:left w:val="nil"/>
              <w:bottom w:val="nil"/>
              <w:right w:val="nil"/>
              <w:between w:val="nil"/>
            </w:pBdr>
            <w:tabs>
              <w:tab w:val="right" w:pos="8921"/>
            </w:tabs>
            <w:spacing w:after="0" w:line="360" w:lineRule="auto"/>
            <w:ind w:left="200"/>
            <w:jc w:val="left"/>
            <w:rPr>
              <w:color w:val="000000"/>
            </w:rPr>
          </w:pPr>
          <w:hyperlink w:anchor="_heading=h.76ux09drqmwn">
            <w:r w:rsidR="004F3375">
              <w:rPr>
                <w:color w:val="000000"/>
              </w:rPr>
              <w:t>CUARTO. Marco normativo aplicable en materia de transparencia y acceso a la información pública</w:t>
            </w:r>
            <w:r w:rsidR="004F3375">
              <w:rPr>
                <w:color w:val="000000"/>
              </w:rPr>
              <w:tab/>
              <w:t>18</w:t>
            </w:r>
          </w:hyperlink>
        </w:p>
        <w:p w:rsidR="00C36789" w:rsidRDefault="00C30A7E">
          <w:pPr>
            <w:pBdr>
              <w:top w:val="nil"/>
              <w:left w:val="nil"/>
              <w:bottom w:val="nil"/>
              <w:right w:val="nil"/>
              <w:between w:val="nil"/>
            </w:pBdr>
            <w:tabs>
              <w:tab w:val="right" w:pos="8921"/>
            </w:tabs>
            <w:spacing w:after="0" w:line="360" w:lineRule="auto"/>
            <w:ind w:left="200"/>
            <w:jc w:val="left"/>
            <w:rPr>
              <w:color w:val="000000"/>
            </w:rPr>
          </w:pPr>
          <w:hyperlink w:anchor="_heading=h.6h6rjoqktw3f">
            <w:r w:rsidR="004F3375">
              <w:rPr>
                <w:color w:val="000000"/>
              </w:rPr>
              <w:t>QUINTO. Estudio de Fondo</w:t>
            </w:r>
            <w:r w:rsidR="004F3375">
              <w:rPr>
                <w:color w:val="000000"/>
              </w:rPr>
              <w:tab/>
              <w:t>19</w:t>
            </w:r>
          </w:hyperlink>
        </w:p>
        <w:p w:rsidR="00C36789" w:rsidRDefault="00C30A7E">
          <w:pPr>
            <w:pBdr>
              <w:top w:val="nil"/>
              <w:left w:val="nil"/>
              <w:bottom w:val="nil"/>
              <w:right w:val="nil"/>
              <w:between w:val="nil"/>
            </w:pBdr>
            <w:tabs>
              <w:tab w:val="right" w:pos="8921"/>
            </w:tabs>
            <w:spacing w:after="0" w:line="360" w:lineRule="auto"/>
            <w:ind w:left="200"/>
            <w:jc w:val="left"/>
            <w:rPr>
              <w:color w:val="000000"/>
            </w:rPr>
          </w:pPr>
          <w:hyperlink w:anchor="_heading=h.yxrj46k450i1">
            <w:r w:rsidR="004F3375">
              <w:rPr>
                <w:color w:val="000000"/>
              </w:rPr>
              <w:t>SEXTO. Decisión</w:t>
            </w:r>
            <w:r w:rsidR="004F3375">
              <w:rPr>
                <w:color w:val="000000"/>
              </w:rPr>
              <w:tab/>
              <w:t>127</w:t>
            </w:r>
          </w:hyperlink>
        </w:p>
        <w:p w:rsidR="00C36789" w:rsidRDefault="00C30A7E">
          <w:pPr>
            <w:pBdr>
              <w:top w:val="nil"/>
              <w:left w:val="nil"/>
              <w:bottom w:val="nil"/>
              <w:right w:val="nil"/>
              <w:between w:val="nil"/>
            </w:pBdr>
            <w:tabs>
              <w:tab w:val="right" w:pos="9072"/>
            </w:tabs>
            <w:spacing w:after="0" w:line="360" w:lineRule="auto"/>
            <w:rPr>
              <w:color w:val="000000"/>
            </w:rPr>
          </w:pPr>
          <w:hyperlink w:anchor="_heading=h.2ia5ir7pmjh5">
            <w:r w:rsidR="004F3375">
              <w:rPr>
                <w:color w:val="000000"/>
              </w:rPr>
              <w:t>R E S U E L V E</w:t>
            </w:r>
            <w:r w:rsidR="004F3375">
              <w:rPr>
                <w:color w:val="000000"/>
              </w:rPr>
              <w:tab/>
              <w:t>128</w:t>
            </w:r>
          </w:hyperlink>
        </w:p>
        <w:p w:rsidR="00C36789" w:rsidRDefault="004F3375">
          <w:pPr>
            <w:spacing w:after="0" w:line="360" w:lineRule="auto"/>
          </w:pPr>
          <w:r>
            <w:fldChar w:fldCharType="end"/>
          </w:r>
        </w:p>
      </w:sdtContent>
    </w:sdt>
    <w:p w:rsidR="00C36789" w:rsidRDefault="00C36789">
      <w:pPr>
        <w:tabs>
          <w:tab w:val="left" w:pos="8931"/>
        </w:tabs>
        <w:spacing w:after="0" w:line="360" w:lineRule="auto"/>
        <w:rPr>
          <w:color w:val="000000"/>
        </w:rPr>
      </w:pPr>
    </w:p>
    <w:p w:rsidR="00C36789" w:rsidRDefault="00C36789">
      <w:pPr>
        <w:tabs>
          <w:tab w:val="left" w:pos="8931"/>
        </w:tabs>
        <w:spacing w:after="0" w:line="360" w:lineRule="auto"/>
        <w:rPr>
          <w:color w:val="000000"/>
        </w:rPr>
      </w:pPr>
    </w:p>
    <w:p w:rsidR="00C36789" w:rsidRDefault="00C36789">
      <w:pPr>
        <w:tabs>
          <w:tab w:val="left" w:pos="8931"/>
        </w:tabs>
        <w:spacing w:after="0" w:line="360" w:lineRule="auto"/>
        <w:rPr>
          <w:color w:val="000000"/>
        </w:rPr>
      </w:pPr>
    </w:p>
    <w:p w:rsidR="009E1E4F" w:rsidRDefault="009E1E4F">
      <w:pPr>
        <w:tabs>
          <w:tab w:val="left" w:pos="8931"/>
        </w:tabs>
        <w:spacing w:after="0" w:line="360" w:lineRule="auto"/>
        <w:rPr>
          <w:color w:val="000000"/>
        </w:rPr>
      </w:pPr>
    </w:p>
    <w:p w:rsidR="009E1E4F" w:rsidRDefault="009E1E4F">
      <w:pPr>
        <w:tabs>
          <w:tab w:val="left" w:pos="8931"/>
        </w:tabs>
        <w:spacing w:after="0" w:line="360" w:lineRule="auto"/>
        <w:rPr>
          <w:color w:val="000000"/>
        </w:rPr>
      </w:pPr>
    </w:p>
    <w:p w:rsidR="00C36789" w:rsidRDefault="004F3375">
      <w:pPr>
        <w:tabs>
          <w:tab w:val="left" w:pos="8931"/>
        </w:tabs>
        <w:spacing w:after="0" w:line="360" w:lineRule="auto"/>
        <w:rPr>
          <w:color w:val="000000"/>
        </w:rPr>
      </w:pPr>
      <w:r>
        <w:rPr>
          <w:color w:val="000000"/>
        </w:rPr>
        <w:t xml:space="preserve">Resolución del Pleno del Instituto de Transparencia, Acceso a la Información Pública y Protección de Datos Personales del Estado de México y Municipios, con domicilio en Metepec, Estado de México, de fecha veintidós de octubre de dos mil veinticinco. </w:t>
      </w:r>
    </w:p>
    <w:p w:rsidR="00C36789" w:rsidRDefault="004F3375">
      <w:pPr>
        <w:tabs>
          <w:tab w:val="left" w:pos="2340"/>
        </w:tabs>
        <w:spacing w:after="0" w:line="360" w:lineRule="auto"/>
        <w:rPr>
          <w:b/>
          <w:color w:val="FF0000"/>
        </w:rPr>
      </w:pPr>
      <w:r>
        <w:rPr>
          <w:b/>
          <w:color w:val="FF0000"/>
        </w:rPr>
        <w:tab/>
      </w:r>
    </w:p>
    <w:p w:rsidR="00C36789" w:rsidRDefault="004F3375">
      <w:pPr>
        <w:spacing w:after="0" w:line="360" w:lineRule="auto"/>
        <w:rPr>
          <w:color w:val="000000"/>
        </w:rPr>
      </w:pPr>
      <w:r>
        <w:rPr>
          <w:b/>
          <w:color w:val="000000"/>
        </w:rPr>
        <w:t xml:space="preserve">VISTO </w:t>
      </w:r>
      <w:r>
        <w:rPr>
          <w:color w:val="000000"/>
        </w:rPr>
        <w:t xml:space="preserve">el expediente electrónico conformado con motivo del Recurso de Revisión </w:t>
      </w:r>
      <w:r w:rsidRPr="000D7137">
        <w:rPr>
          <w:b/>
          <w:color w:val="000000"/>
        </w:rPr>
        <w:t>02396/INFOEM/IP/RR/2025,</w:t>
      </w:r>
      <w:r>
        <w:rPr>
          <w:color w:val="000000"/>
        </w:rPr>
        <w:t xml:space="preserve"> en contra de la respuesta del Sujeto Obligado, </w:t>
      </w:r>
      <w:r w:rsidRPr="000D7137">
        <w:rPr>
          <w:b/>
          <w:color w:val="000000"/>
        </w:rPr>
        <w:t>Ayuntamiento de Toluca</w:t>
      </w:r>
      <w:r>
        <w:rPr>
          <w:color w:val="000000"/>
        </w:rPr>
        <w:t xml:space="preserve">, a la solicitud de acceso a la información pública </w:t>
      </w:r>
      <w:r>
        <w:t>00695/TOLUCA/IP/2025</w:t>
      </w:r>
      <w:r>
        <w:rPr>
          <w:b/>
        </w:rPr>
        <w:t xml:space="preserve"> </w:t>
      </w:r>
      <w:r>
        <w:rPr>
          <w:color w:val="000000"/>
        </w:rPr>
        <w:t>se emite la presente Resolución, con base en los Antecedentes y Considerandos que se exponen a continuación:</w:t>
      </w:r>
    </w:p>
    <w:p w:rsidR="00C36789" w:rsidRDefault="004F3375">
      <w:pPr>
        <w:tabs>
          <w:tab w:val="left" w:pos="1965"/>
        </w:tabs>
        <w:spacing w:after="0" w:line="360" w:lineRule="auto"/>
        <w:rPr>
          <w:b/>
          <w:color w:val="FF0000"/>
        </w:rPr>
      </w:pPr>
      <w:r>
        <w:rPr>
          <w:b/>
          <w:color w:val="FF0000"/>
        </w:rPr>
        <w:tab/>
      </w:r>
    </w:p>
    <w:p w:rsidR="00C36789" w:rsidRDefault="004F3375">
      <w:pPr>
        <w:pStyle w:val="Ttulo1"/>
        <w:spacing w:before="0" w:line="360" w:lineRule="auto"/>
        <w:jc w:val="center"/>
        <w:rPr>
          <w:rFonts w:ascii="Palatino Linotype" w:eastAsia="Palatino Linotype" w:hAnsi="Palatino Linotype" w:cs="Palatino Linotype"/>
          <w:b/>
          <w:color w:val="000000"/>
          <w:sz w:val="22"/>
          <w:szCs w:val="22"/>
        </w:rPr>
      </w:pPr>
      <w:bookmarkStart w:id="0" w:name="_heading=h.gxiarst0vsw8" w:colFirst="0" w:colLast="0"/>
      <w:bookmarkEnd w:id="0"/>
      <w:r>
        <w:rPr>
          <w:rFonts w:ascii="Palatino Linotype" w:eastAsia="Palatino Linotype" w:hAnsi="Palatino Linotype" w:cs="Palatino Linotype"/>
          <w:b/>
          <w:color w:val="000000"/>
          <w:sz w:val="22"/>
          <w:szCs w:val="22"/>
        </w:rPr>
        <w:t>A N T E C E D E N T E S</w:t>
      </w:r>
    </w:p>
    <w:p w:rsidR="00C36789" w:rsidRDefault="00C36789">
      <w:pPr>
        <w:spacing w:after="0" w:line="360" w:lineRule="auto"/>
        <w:jc w:val="center"/>
        <w:rPr>
          <w:b/>
          <w:color w:val="000000"/>
        </w:rPr>
      </w:pPr>
    </w:p>
    <w:p w:rsidR="00C36789" w:rsidRDefault="004F3375">
      <w:pPr>
        <w:pStyle w:val="Ttulo2"/>
        <w:spacing w:before="0" w:line="360" w:lineRule="auto"/>
        <w:rPr>
          <w:rFonts w:ascii="Palatino Linotype" w:eastAsia="Palatino Linotype" w:hAnsi="Palatino Linotype" w:cs="Palatino Linotype"/>
          <w:b/>
          <w:color w:val="000000"/>
          <w:sz w:val="22"/>
          <w:szCs w:val="22"/>
        </w:rPr>
      </w:pPr>
      <w:bookmarkStart w:id="1" w:name="_heading=h.86h8smti6lq6" w:colFirst="0" w:colLast="0"/>
      <w:bookmarkEnd w:id="1"/>
      <w:r>
        <w:rPr>
          <w:rFonts w:ascii="Palatino Linotype" w:eastAsia="Palatino Linotype" w:hAnsi="Palatino Linotype" w:cs="Palatino Linotype"/>
          <w:b/>
          <w:color w:val="000000"/>
          <w:sz w:val="22"/>
          <w:szCs w:val="22"/>
        </w:rPr>
        <w:t>I. Presentación de la solicitud de información</w:t>
      </w:r>
    </w:p>
    <w:p w:rsidR="00C36789" w:rsidRDefault="00C36789">
      <w:pPr>
        <w:spacing w:after="0" w:line="360" w:lineRule="auto"/>
        <w:rPr>
          <w:b/>
          <w:color w:val="000000"/>
        </w:rPr>
      </w:pPr>
    </w:p>
    <w:p w:rsidR="00C36789" w:rsidRDefault="004F3375">
      <w:pPr>
        <w:spacing w:after="0" w:line="360" w:lineRule="auto"/>
        <w:rPr>
          <w:color w:val="000000"/>
        </w:rPr>
      </w:pPr>
      <w:bookmarkStart w:id="2" w:name="_heading=h.2svv28tqln4c" w:colFirst="0" w:colLast="0"/>
      <w:bookmarkEnd w:id="2"/>
      <w:r>
        <w:rPr>
          <w:color w:val="000000"/>
        </w:rPr>
        <w:t>Con fecha cinco de febrero de dos mil veinticinco, la persona Solicitante presentó un requerimiento de acceso a la información, a través del Sistema de Acceso a la Información Mexiquense (SAIMEX), ante el Ayuntamiento de Toluca,</w:t>
      </w:r>
      <w:r>
        <w:rPr>
          <w:b/>
          <w:color w:val="000000"/>
        </w:rPr>
        <w:t xml:space="preserve"> </w:t>
      </w:r>
      <w:r>
        <w:rPr>
          <w:color w:val="000000"/>
        </w:rPr>
        <w:t>en los siguientes términos:</w:t>
      </w:r>
    </w:p>
    <w:p w:rsidR="00C36789" w:rsidRDefault="00C36789">
      <w:pPr>
        <w:tabs>
          <w:tab w:val="left" w:pos="4667"/>
        </w:tabs>
        <w:spacing w:after="0" w:line="360" w:lineRule="auto"/>
        <w:ind w:right="567"/>
        <w:rPr>
          <w:b/>
          <w:i/>
          <w:color w:val="FF0000"/>
        </w:rPr>
      </w:pPr>
    </w:p>
    <w:p w:rsidR="00C36789" w:rsidRDefault="004F3375">
      <w:pPr>
        <w:spacing w:after="0" w:line="360" w:lineRule="auto"/>
        <w:ind w:left="567" w:right="567"/>
        <w:rPr>
          <w:b/>
          <w:i/>
          <w:color w:val="000000"/>
          <w:sz w:val="20"/>
          <w:szCs w:val="20"/>
        </w:rPr>
      </w:pPr>
      <w:r>
        <w:rPr>
          <w:b/>
          <w:i/>
          <w:color w:val="000000"/>
          <w:sz w:val="20"/>
          <w:szCs w:val="20"/>
        </w:rPr>
        <w:t>“DESCRIPCIÓN CLARA Y PRECISA DE LA INFORMACIÓN SOLICITADA.</w:t>
      </w:r>
    </w:p>
    <w:p w:rsidR="00C36789" w:rsidRDefault="004F3375">
      <w:pPr>
        <w:spacing w:after="0" w:line="360" w:lineRule="auto"/>
        <w:ind w:left="567" w:right="567"/>
        <w:rPr>
          <w:i/>
          <w:color w:val="000000"/>
          <w:sz w:val="20"/>
          <w:szCs w:val="20"/>
        </w:rPr>
      </w:pPr>
      <w:r>
        <w:rPr>
          <w:i/>
          <w:color w:val="000000"/>
          <w:sz w:val="20"/>
          <w:szCs w:val="20"/>
        </w:rPr>
        <w:t xml:space="preserve">Requiero el acta de la SESION DEL CABILDO de fecha 1 de enero del 2025, firmada por todos los integrantes, la liga del video de la </w:t>
      </w:r>
      <w:proofErr w:type="spellStart"/>
      <w:r>
        <w:rPr>
          <w:i/>
          <w:color w:val="000000"/>
          <w:sz w:val="20"/>
          <w:szCs w:val="20"/>
        </w:rPr>
        <w:t>sesion</w:t>
      </w:r>
      <w:proofErr w:type="spellEnd"/>
      <w:r>
        <w:rPr>
          <w:i/>
          <w:color w:val="000000"/>
          <w:sz w:val="20"/>
          <w:szCs w:val="20"/>
        </w:rPr>
        <w:t xml:space="preserve"> del cabildo de la fecha 1 de enero del 2025, toda vez que los ciudadanos no pudimos ver dicha sesión, requiero </w:t>
      </w:r>
      <w:proofErr w:type="spellStart"/>
      <w:r>
        <w:rPr>
          <w:i/>
          <w:color w:val="000000"/>
          <w:sz w:val="20"/>
          <w:szCs w:val="20"/>
        </w:rPr>
        <w:t>ls</w:t>
      </w:r>
      <w:proofErr w:type="spellEnd"/>
      <w:r>
        <w:rPr>
          <w:i/>
          <w:color w:val="000000"/>
          <w:sz w:val="20"/>
          <w:szCs w:val="20"/>
        </w:rPr>
        <w:t xml:space="preserve"> liga de la transmisión en sus </w:t>
      </w:r>
      <w:proofErr w:type="spellStart"/>
      <w:r>
        <w:rPr>
          <w:i/>
          <w:color w:val="000000"/>
          <w:sz w:val="20"/>
          <w:szCs w:val="20"/>
        </w:rPr>
        <w:t>paginas</w:t>
      </w:r>
      <w:proofErr w:type="spellEnd"/>
      <w:r>
        <w:rPr>
          <w:i/>
          <w:color w:val="000000"/>
          <w:sz w:val="20"/>
          <w:szCs w:val="20"/>
        </w:rPr>
        <w:t xml:space="preserve"> oficiales o redes sociales. Los nombramientos de todos los servidores públicos que tomaron protesta el 1 de enero del 2022. Los </w:t>
      </w:r>
      <w:proofErr w:type="spellStart"/>
      <w:r>
        <w:rPr>
          <w:i/>
          <w:color w:val="000000"/>
          <w:sz w:val="20"/>
          <w:szCs w:val="20"/>
        </w:rPr>
        <w:t>Curriculums</w:t>
      </w:r>
      <w:proofErr w:type="spellEnd"/>
      <w:r>
        <w:rPr>
          <w:i/>
          <w:color w:val="000000"/>
          <w:sz w:val="20"/>
          <w:szCs w:val="20"/>
        </w:rPr>
        <w:t xml:space="preserve"> vitae de todos que tomaron protesta. Tabulador de sueldos Organigramas de toda la </w:t>
      </w:r>
      <w:proofErr w:type="spellStart"/>
      <w:r>
        <w:rPr>
          <w:i/>
          <w:color w:val="000000"/>
          <w:sz w:val="20"/>
          <w:szCs w:val="20"/>
        </w:rPr>
        <w:t>Administracion</w:t>
      </w:r>
      <w:proofErr w:type="spellEnd"/>
      <w:r>
        <w:rPr>
          <w:i/>
          <w:color w:val="000000"/>
          <w:sz w:val="20"/>
          <w:szCs w:val="20"/>
        </w:rPr>
        <w:t xml:space="preserve"> publica, 2025-2027 Manuales de organización y de procedimientos de la Administración 2025-2027 Montos que han ingresado de pago de predial del </w:t>
      </w:r>
      <w:r>
        <w:rPr>
          <w:i/>
          <w:color w:val="000000"/>
          <w:sz w:val="20"/>
          <w:szCs w:val="20"/>
        </w:rPr>
        <w:lastRenderedPageBreak/>
        <w:t xml:space="preserve">1 de enero al 05 de febrero del año 2025 Con cuantas patrullas apoyó Gobierno del Estado al Ayuntamiento de Toluca, con evidencias fotográficas. Estatus de las entregas recepción de las Direcciones Generales y de la Dirección General de </w:t>
      </w:r>
      <w:proofErr w:type="spellStart"/>
      <w:proofErr w:type="gramStart"/>
      <w:r>
        <w:rPr>
          <w:i/>
          <w:color w:val="000000"/>
          <w:sz w:val="20"/>
          <w:szCs w:val="20"/>
        </w:rPr>
        <w:t>Segruidad</w:t>
      </w:r>
      <w:proofErr w:type="spellEnd"/>
      <w:r>
        <w:rPr>
          <w:i/>
          <w:color w:val="000000"/>
          <w:sz w:val="20"/>
          <w:szCs w:val="20"/>
        </w:rPr>
        <w:t xml:space="preserve"> .</w:t>
      </w:r>
      <w:proofErr w:type="gramEnd"/>
      <w:r>
        <w:rPr>
          <w:i/>
          <w:color w:val="000000"/>
          <w:sz w:val="20"/>
          <w:szCs w:val="20"/>
        </w:rPr>
        <w:t xml:space="preserve"> Nombre de todas las empresas y proveedores contratados desde el 1 de enero al 15 de enero 2022 al 31 de enero de 2025 Nombres y sueldos e todos los Directores Generales, Directores de área o equivalentes, Analistas </w:t>
      </w:r>
      <w:proofErr w:type="spellStart"/>
      <w:r>
        <w:rPr>
          <w:i/>
          <w:color w:val="000000"/>
          <w:sz w:val="20"/>
          <w:szCs w:val="20"/>
        </w:rPr>
        <w:t>especializadosCoordinadores</w:t>
      </w:r>
      <w:proofErr w:type="spellEnd"/>
      <w:r>
        <w:rPr>
          <w:i/>
          <w:color w:val="000000"/>
          <w:sz w:val="20"/>
          <w:szCs w:val="20"/>
        </w:rPr>
        <w:t xml:space="preserve">, Asesores, Jefes de Departamento y de toda la estructura orgánica. </w:t>
      </w:r>
      <w:proofErr w:type="spellStart"/>
      <w:r>
        <w:rPr>
          <w:i/>
          <w:color w:val="000000"/>
          <w:sz w:val="20"/>
          <w:szCs w:val="20"/>
        </w:rPr>
        <w:t>Curriculums</w:t>
      </w:r>
      <w:proofErr w:type="spellEnd"/>
      <w:r>
        <w:rPr>
          <w:i/>
          <w:color w:val="000000"/>
          <w:sz w:val="20"/>
          <w:szCs w:val="20"/>
        </w:rPr>
        <w:t xml:space="preserve"> vitae de todos los servidores </w:t>
      </w:r>
      <w:proofErr w:type="spellStart"/>
      <w:r>
        <w:rPr>
          <w:i/>
          <w:color w:val="000000"/>
          <w:sz w:val="20"/>
          <w:szCs w:val="20"/>
        </w:rPr>
        <w:t>publicos</w:t>
      </w:r>
      <w:proofErr w:type="spellEnd"/>
      <w:r>
        <w:rPr>
          <w:i/>
          <w:color w:val="000000"/>
          <w:sz w:val="20"/>
          <w:szCs w:val="20"/>
        </w:rPr>
        <w:t xml:space="preserve"> que ingresen del 1 de enero del 2025 al 5 de febrero de 2025. Altas y bajas de todo el personal del mes de enero del año 2025 Renuncias de servidores </w:t>
      </w:r>
      <w:proofErr w:type="spellStart"/>
      <w:r>
        <w:rPr>
          <w:i/>
          <w:color w:val="000000"/>
          <w:sz w:val="20"/>
          <w:szCs w:val="20"/>
        </w:rPr>
        <w:t>publicos</w:t>
      </w:r>
      <w:proofErr w:type="spellEnd"/>
      <w:r>
        <w:rPr>
          <w:i/>
          <w:color w:val="000000"/>
          <w:sz w:val="20"/>
          <w:szCs w:val="20"/>
        </w:rPr>
        <w:t xml:space="preserve"> del mes de enero año 2025 Sueldo del Presidente Municipal, Regidores, Sindico, Secretario del ayuntamiento Relación del personal y salarios de servidores </w:t>
      </w:r>
      <w:proofErr w:type="spellStart"/>
      <w:r>
        <w:rPr>
          <w:i/>
          <w:color w:val="000000"/>
          <w:sz w:val="20"/>
          <w:szCs w:val="20"/>
        </w:rPr>
        <w:t>publicos</w:t>
      </w:r>
      <w:proofErr w:type="spellEnd"/>
      <w:r>
        <w:rPr>
          <w:i/>
          <w:color w:val="000000"/>
          <w:sz w:val="20"/>
          <w:szCs w:val="20"/>
        </w:rPr>
        <w:t xml:space="preserve"> adscritos a Presidencia, Secretaria del Ayuntamiento, Regidores, Direcciones Generales, Coordinación de asesores. Todo lo que se ha pagado a proveedores y contratado del 1 de enero al 05 de febrero de 2025 Numero de laudos a la fecha A </w:t>
      </w:r>
      <w:proofErr w:type="spellStart"/>
      <w:r>
        <w:rPr>
          <w:i/>
          <w:color w:val="000000"/>
          <w:sz w:val="20"/>
          <w:szCs w:val="20"/>
        </w:rPr>
        <w:t>cuanto</w:t>
      </w:r>
      <w:proofErr w:type="spellEnd"/>
      <w:r>
        <w:rPr>
          <w:i/>
          <w:color w:val="000000"/>
          <w:sz w:val="20"/>
          <w:szCs w:val="20"/>
        </w:rPr>
        <w:t xml:space="preserve"> asciende la deuda </w:t>
      </w:r>
      <w:proofErr w:type="spellStart"/>
      <w:r>
        <w:rPr>
          <w:i/>
          <w:color w:val="000000"/>
          <w:sz w:val="20"/>
          <w:szCs w:val="20"/>
        </w:rPr>
        <w:t>publica</w:t>
      </w:r>
      <w:proofErr w:type="spellEnd"/>
      <w:r>
        <w:rPr>
          <w:i/>
          <w:color w:val="000000"/>
          <w:sz w:val="20"/>
          <w:szCs w:val="20"/>
        </w:rPr>
        <w:t xml:space="preserve"> que dejo la anterior administración. Nombres y </w:t>
      </w:r>
      <w:proofErr w:type="spellStart"/>
      <w:r>
        <w:rPr>
          <w:i/>
          <w:color w:val="000000"/>
          <w:sz w:val="20"/>
          <w:szCs w:val="20"/>
        </w:rPr>
        <w:t>curriculums</w:t>
      </w:r>
      <w:proofErr w:type="spellEnd"/>
      <w:r>
        <w:rPr>
          <w:i/>
          <w:color w:val="000000"/>
          <w:sz w:val="20"/>
          <w:szCs w:val="20"/>
        </w:rPr>
        <w:t xml:space="preserve"> de los comandantes de seguridad </w:t>
      </w:r>
      <w:proofErr w:type="spellStart"/>
      <w:r>
        <w:rPr>
          <w:i/>
          <w:color w:val="000000"/>
          <w:sz w:val="20"/>
          <w:szCs w:val="20"/>
        </w:rPr>
        <w:t>publica</w:t>
      </w:r>
      <w:proofErr w:type="spellEnd"/>
      <w:r>
        <w:rPr>
          <w:i/>
          <w:color w:val="000000"/>
          <w:sz w:val="20"/>
          <w:szCs w:val="20"/>
        </w:rPr>
        <w:t xml:space="preserve"> y vialidad. Cuantas patrullas se tienen actualmente Cuanta gasolina se les dotara a cada patrulla y camión de basura. Cuantas </w:t>
      </w:r>
      <w:proofErr w:type="spellStart"/>
      <w:r>
        <w:rPr>
          <w:i/>
          <w:color w:val="000000"/>
          <w:sz w:val="20"/>
          <w:szCs w:val="20"/>
        </w:rPr>
        <w:t>patrullas.camiones</w:t>
      </w:r>
      <w:proofErr w:type="spellEnd"/>
      <w:r>
        <w:rPr>
          <w:i/>
          <w:color w:val="000000"/>
          <w:sz w:val="20"/>
          <w:szCs w:val="20"/>
        </w:rPr>
        <w:t xml:space="preserve"> de basura, </w:t>
      </w:r>
      <w:proofErr w:type="spellStart"/>
      <w:r>
        <w:rPr>
          <w:i/>
          <w:color w:val="000000"/>
          <w:sz w:val="20"/>
          <w:szCs w:val="20"/>
        </w:rPr>
        <w:t>policias</w:t>
      </w:r>
      <w:proofErr w:type="spellEnd"/>
      <w:r>
        <w:rPr>
          <w:i/>
          <w:color w:val="000000"/>
          <w:sz w:val="20"/>
          <w:szCs w:val="20"/>
        </w:rPr>
        <w:t xml:space="preserve"> dejo Juan </w:t>
      </w:r>
      <w:proofErr w:type="spellStart"/>
      <w:r>
        <w:rPr>
          <w:i/>
          <w:color w:val="000000"/>
          <w:sz w:val="20"/>
          <w:szCs w:val="20"/>
        </w:rPr>
        <w:t>Maccise</w:t>
      </w:r>
      <w:proofErr w:type="spellEnd"/>
      <w:r>
        <w:rPr>
          <w:i/>
          <w:color w:val="000000"/>
          <w:sz w:val="20"/>
          <w:szCs w:val="20"/>
        </w:rPr>
        <w:t xml:space="preserve"> cuando dejo de ser presidente municipal Cuantos </w:t>
      </w:r>
      <w:proofErr w:type="spellStart"/>
      <w:r>
        <w:rPr>
          <w:i/>
          <w:color w:val="000000"/>
          <w:sz w:val="20"/>
          <w:szCs w:val="20"/>
        </w:rPr>
        <w:t>patrullas.camiones</w:t>
      </w:r>
      <w:proofErr w:type="spellEnd"/>
      <w:r>
        <w:rPr>
          <w:i/>
          <w:color w:val="000000"/>
          <w:sz w:val="20"/>
          <w:szCs w:val="20"/>
        </w:rPr>
        <w:t xml:space="preserve"> de basura, </w:t>
      </w:r>
      <w:proofErr w:type="spellStart"/>
      <w:r>
        <w:rPr>
          <w:i/>
          <w:color w:val="000000"/>
          <w:sz w:val="20"/>
          <w:szCs w:val="20"/>
        </w:rPr>
        <w:t>policias</w:t>
      </w:r>
      <w:proofErr w:type="spellEnd"/>
      <w:r>
        <w:rPr>
          <w:i/>
          <w:color w:val="000000"/>
          <w:sz w:val="20"/>
          <w:szCs w:val="20"/>
        </w:rPr>
        <w:t xml:space="preserve"> dejo Juan Rodolfo </w:t>
      </w:r>
      <w:proofErr w:type="spellStart"/>
      <w:r>
        <w:rPr>
          <w:i/>
          <w:color w:val="000000"/>
          <w:sz w:val="20"/>
          <w:szCs w:val="20"/>
        </w:rPr>
        <w:t>Sanchez</w:t>
      </w:r>
      <w:proofErr w:type="spellEnd"/>
      <w:r>
        <w:rPr>
          <w:i/>
          <w:color w:val="000000"/>
          <w:sz w:val="20"/>
          <w:szCs w:val="20"/>
        </w:rPr>
        <w:t xml:space="preserve">, </w:t>
      </w:r>
      <w:proofErr w:type="spellStart"/>
      <w:r>
        <w:rPr>
          <w:i/>
          <w:color w:val="000000"/>
          <w:sz w:val="20"/>
          <w:szCs w:val="20"/>
        </w:rPr>
        <w:t>Maria</w:t>
      </w:r>
      <w:proofErr w:type="spellEnd"/>
      <w:r>
        <w:rPr>
          <w:i/>
          <w:color w:val="000000"/>
          <w:sz w:val="20"/>
          <w:szCs w:val="20"/>
        </w:rPr>
        <w:t xml:space="preserve"> Elena Barrera Tapia, cuando dejo de ser presidenta municipal cuantos </w:t>
      </w:r>
      <w:proofErr w:type="spellStart"/>
      <w:r>
        <w:rPr>
          <w:i/>
          <w:color w:val="000000"/>
          <w:sz w:val="20"/>
          <w:szCs w:val="20"/>
        </w:rPr>
        <w:t>patrullas.camiones</w:t>
      </w:r>
      <w:proofErr w:type="spellEnd"/>
      <w:r>
        <w:rPr>
          <w:i/>
          <w:color w:val="000000"/>
          <w:sz w:val="20"/>
          <w:szCs w:val="20"/>
        </w:rPr>
        <w:t xml:space="preserve"> de basura, </w:t>
      </w:r>
      <w:proofErr w:type="spellStart"/>
      <w:r>
        <w:rPr>
          <w:i/>
          <w:color w:val="000000"/>
          <w:sz w:val="20"/>
          <w:szCs w:val="20"/>
        </w:rPr>
        <w:t>policias</w:t>
      </w:r>
      <w:proofErr w:type="spellEnd"/>
      <w:r>
        <w:rPr>
          <w:i/>
          <w:color w:val="000000"/>
          <w:sz w:val="20"/>
          <w:szCs w:val="20"/>
        </w:rPr>
        <w:t xml:space="preserve"> dejo Martha Hilda </w:t>
      </w:r>
      <w:proofErr w:type="spellStart"/>
      <w:r>
        <w:rPr>
          <w:i/>
          <w:color w:val="000000"/>
          <w:sz w:val="20"/>
          <w:szCs w:val="20"/>
        </w:rPr>
        <w:t>Gonzalez</w:t>
      </w:r>
      <w:proofErr w:type="spellEnd"/>
      <w:r>
        <w:rPr>
          <w:i/>
          <w:color w:val="000000"/>
          <w:sz w:val="20"/>
          <w:szCs w:val="20"/>
        </w:rPr>
        <w:t xml:space="preserve">, cuando dejo de ser Presidenta municipal cuantos </w:t>
      </w:r>
      <w:proofErr w:type="spellStart"/>
      <w:r>
        <w:rPr>
          <w:i/>
          <w:color w:val="000000"/>
          <w:sz w:val="20"/>
          <w:szCs w:val="20"/>
        </w:rPr>
        <w:t>patrullas.camiones</w:t>
      </w:r>
      <w:proofErr w:type="spellEnd"/>
      <w:r>
        <w:rPr>
          <w:i/>
          <w:color w:val="000000"/>
          <w:sz w:val="20"/>
          <w:szCs w:val="20"/>
        </w:rPr>
        <w:t xml:space="preserve"> de basura, </w:t>
      </w:r>
      <w:proofErr w:type="spellStart"/>
      <w:r>
        <w:rPr>
          <w:i/>
          <w:color w:val="000000"/>
          <w:sz w:val="20"/>
          <w:szCs w:val="20"/>
        </w:rPr>
        <w:t>policias</w:t>
      </w:r>
      <w:proofErr w:type="spellEnd"/>
      <w:r>
        <w:rPr>
          <w:i/>
          <w:color w:val="000000"/>
          <w:sz w:val="20"/>
          <w:szCs w:val="20"/>
        </w:rPr>
        <w:t xml:space="preserve"> dejo Fernando Zamora, cuando dejo de ser Presidente Municipal Cuantos </w:t>
      </w:r>
      <w:proofErr w:type="spellStart"/>
      <w:r>
        <w:rPr>
          <w:i/>
          <w:color w:val="000000"/>
          <w:sz w:val="20"/>
          <w:szCs w:val="20"/>
        </w:rPr>
        <w:t>patrullas.camiones</w:t>
      </w:r>
      <w:proofErr w:type="spellEnd"/>
      <w:r>
        <w:rPr>
          <w:i/>
          <w:color w:val="000000"/>
          <w:sz w:val="20"/>
          <w:szCs w:val="20"/>
        </w:rPr>
        <w:t xml:space="preserve"> de basura, </w:t>
      </w:r>
      <w:proofErr w:type="spellStart"/>
      <w:r>
        <w:rPr>
          <w:i/>
          <w:color w:val="000000"/>
          <w:sz w:val="20"/>
          <w:szCs w:val="20"/>
        </w:rPr>
        <w:t>policias</w:t>
      </w:r>
      <w:proofErr w:type="spellEnd"/>
      <w:r>
        <w:rPr>
          <w:i/>
          <w:color w:val="000000"/>
          <w:sz w:val="20"/>
          <w:szCs w:val="20"/>
        </w:rPr>
        <w:t xml:space="preserve"> dejo Juan Rodolfo, cuando dejo de ser presidente municipal. Cuando le van a pagar a los trabajadores sus quincenas y prestaciones pendientes. Cuantas quejas existen en la </w:t>
      </w:r>
      <w:proofErr w:type="spellStart"/>
      <w:r>
        <w:rPr>
          <w:i/>
          <w:color w:val="000000"/>
          <w:sz w:val="20"/>
          <w:szCs w:val="20"/>
        </w:rPr>
        <w:t>Defensoria</w:t>
      </w:r>
      <w:proofErr w:type="spellEnd"/>
      <w:r>
        <w:rPr>
          <w:i/>
          <w:color w:val="000000"/>
          <w:sz w:val="20"/>
          <w:szCs w:val="20"/>
        </w:rPr>
        <w:t xml:space="preserve"> de derechos humanos desde el año 2019 a la fecha, en </w:t>
      </w:r>
      <w:proofErr w:type="spellStart"/>
      <w:r>
        <w:rPr>
          <w:i/>
          <w:color w:val="000000"/>
          <w:sz w:val="20"/>
          <w:szCs w:val="20"/>
        </w:rPr>
        <w:t>que</w:t>
      </w:r>
      <w:proofErr w:type="spellEnd"/>
      <w:r>
        <w:rPr>
          <w:i/>
          <w:color w:val="000000"/>
          <w:sz w:val="20"/>
          <w:szCs w:val="20"/>
        </w:rPr>
        <w:t xml:space="preserve"> consisten y el estatus. Cuantos contratos se van a rescindir</w:t>
      </w:r>
      <w:proofErr w:type="gramStart"/>
      <w:r>
        <w:rPr>
          <w:i/>
          <w:color w:val="000000"/>
          <w:sz w:val="20"/>
          <w:szCs w:val="20"/>
        </w:rPr>
        <w:t>?</w:t>
      </w:r>
      <w:proofErr w:type="gramEnd"/>
      <w:r>
        <w:rPr>
          <w:i/>
          <w:color w:val="000000"/>
          <w:sz w:val="20"/>
          <w:szCs w:val="20"/>
        </w:rPr>
        <w:t xml:space="preserve"> en </w:t>
      </w:r>
      <w:proofErr w:type="spellStart"/>
      <w:r>
        <w:rPr>
          <w:i/>
          <w:color w:val="000000"/>
          <w:sz w:val="20"/>
          <w:szCs w:val="20"/>
        </w:rPr>
        <w:t>que</w:t>
      </w:r>
      <w:proofErr w:type="spellEnd"/>
      <w:r>
        <w:rPr>
          <w:i/>
          <w:color w:val="000000"/>
          <w:sz w:val="20"/>
          <w:szCs w:val="20"/>
        </w:rPr>
        <w:t xml:space="preserve"> consisten dichos contratos. En donde van a estar los cuadrantes de la policía y cuanto costara la aplicación que comento presiente actual y que empresa la desarrollará, de que partida presupuestal saldrá</w:t>
      </w:r>
      <w:proofErr w:type="gramStart"/>
      <w:r>
        <w:rPr>
          <w:i/>
          <w:color w:val="000000"/>
          <w:sz w:val="20"/>
          <w:szCs w:val="20"/>
        </w:rPr>
        <w:t>?</w:t>
      </w:r>
      <w:proofErr w:type="gramEnd"/>
      <w:r>
        <w:rPr>
          <w:i/>
          <w:color w:val="000000"/>
          <w:sz w:val="20"/>
          <w:szCs w:val="20"/>
        </w:rPr>
        <w:t xml:space="preserve"> Cuando estará lista</w:t>
      </w:r>
      <w:proofErr w:type="gramStart"/>
      <w:r>
        <w:rPr>
          <w:i/>
          <w:color w:val="000000"/>
          <w:sz w:val="20"/>
          <w:szCs w:val="20"/>
        </w:rPr>
        <w:t>?</w:t>
      </w:r>
      <w:proofErr w:type="gramEnd"/>
      <w:r>
        <w:rPr>
          <w:i/>
          <w:color w:val="000000"/>
          <w:sz w:val="20"/>
          <w:szCs w:val="20"/>
        </w:rPr>
        <w:t xml:space="preserve"> </w:t>
      </w:r>
      <w:proofErr w:type="spellStart"/>
      <w:r>
        <w:rPr>
          <w:i/>
          <w:color w:val="000000"/>
          <w:sz w:val="20"/>
          <w:szCs w:val="20"/>
        </w:rPr>
        <w:t>Cual</w:t>
      </w:r>
      <w:proofErr w:type="spellEnd"/>
      <w:r>
        <w:rPr>
          <w:i/>
          <w:color w:val="000000"/>
          <w:sz w:val="20"/>
          <w:szCs w:val="20"/>
        </w:rPr>
        <w:t xml:space="preserve"> es la </w:t>
      </w:r>
      <w:proofErr w:type="spellStart"/>
      <w:r>
        <w:rPr>
          <w:i/>
          <w:color w:val="000000"/>
          <w:sz w:val="20"/>
          <w:szCs w:val="20"/>
        </w:rPr>
        <w:t>politica</w:t>
      </w:r>
      <w:proofErr w:type="spellEnd"/>
      <w:r>
        <w:rPr>
          <w:i/>
          <w:color w:val="000000"/>
          <w:sz w:val="20"/>
          <w:szCs w:val="20"/>
        </w:rPr>
        <w:t xml:space="preserve"> de seguridad ya se </w:t>
      </w:r>
      <w:proofErr w:type="spellStart"/>
      <w:r>
        <w:rPr>
          <w:i/>
          <w:color w:val="000000"/>
          <w:sz w:val="20"/>
          <w:szCs w:val="20"/>
        </w:rPr>
        <w:t>esta</w:t>
      </w:r>
      <w:proofErr w:type="spellEnd"/>
      <w:r>
        <w:rPr>
          <w:i/>
          <w:color w:val="000000"/>
          <w:sz w:val="20"/>
          <w:szCs w:val="20"/>
        </w:rPr>
        <w:t xml:space="preserve"> implementando</w:t>
      </w:r>
      <w:proofErr w:type="gramStart"/>
      <w:r>
        <w:rPr>
          <w:i/>
          <w:color w:val="000000"/>
          <w:sz w:val="20"/>
          <w:szCs w:val="20"/>
        </w:rPr>
        <w:t>?</w:t>
      </w:r>
      <w:proofErr w:type="gramEnd"/>
      <w:r>
        <w:rPr>
          <w:i/>
          <w:color w:val="000000"/>
          <w:sz w:val="20"/>
          <w:szCs w:val="20"/>
        </w:rPr>
        <w:t xml:space="preserve"> Cuando se nombraran a los integrantes del </w:t>
      </w:r>
      <w:proofErr w:type="spellStart"/>
      <w:r>
        <w:rPr>
          <w:i/>
          <w:color w:val="000000"/>
          <w:sz w:val="20"/>
          <w:szCs w:val="20"/>
        </w:rPr>
        <w:t>Comite</w:t>
      </w:r>
      <w:proofErr w:type="spellEnd"/>
      <w:r>
        <w:rPr>
          <w:i/>
          <w:color w:val="000000"/>
          <w:sz w:val="20"/>
          <w:szCs w:val="20"/>
        </w:rPr>
        <w:t xml:space="preserve"> Anticorrupción</w:t>
      </w:r>
      <w:proofErr w:type="gramStart"/>
      <w:r>
        <w:rPr>
          <w:i/>
          <w:color w:val="000000"/>
          <w:sz w:val="20"/>
          <w:szCs w:val="20"/>
        </w:rPr>
        <w:t>?</w:t>
      </w:r>
      <w:proofErr w:type="gramEnd"/>
      <w:r>
        <w:rPr>
          <w:i/>
          <w:color w:val="000000"/>
          <w:sz w:val="20"/>
          <w:szCs w:val="20"/>
        </w:rPr>
        <w:t xml:space="preserve"> A </w:t>
      </w:r>
      <w:proofErr w:type="spellStart"/>
      <w:r>
        <w:rPr>
          <w:i/>
          <w:color w:val="000000"/>
          <w:sz w:val="20"/>
          <w:szCs w:val="20"/>
        </w:rPr>
        <w:t>cuanto</w:t>
      </w:r>
      <w:proofErr w:type="spellEnd"/>
      <w:r>
        <w:rPr>
          <w:i/>
          <w:color w:val="000000"/>
          <w:sz w:val="20"/>
          <w:szCs w:val="20"/>
        </w:rPr>
        <w:t xml:space="preserve"> asciende la cartera vencida del </w:t>
      </w:r>
      <w:proofErr w:type="gramStart"/>
      <w:r>
        <w:rPr>
          <w:i/>
          <w:color w:val="000000"/>
          <w:sz w:val="20"/>
          <w:szCs w:val="20"/>
        </w:rPr>
        <w:t>ayuntamiento, ?,</w:t>
      </w:r>
      <w:proofErr w:type="gramEnd"/>
      <w:r>
        <w:rPr>
          <w:i/>
          <w:color w:val="000000"/>
          <w:sz w:val="20"/>
          <w:szCs w:val="20"/>
        </w:rPr>
        <w:t xml:space="preserve"> lo requiero con los </w:t>
      </w:r>
      <w:proofErr w:type="spellStart"/>
      <w:r>
        <w:rPr>
          <w:i/>
          <w:color w:val="000000"/>
          <w:sz w:val="20"/>
          <w:szCs w:val="20"/>
        </w:rPr>
        <w:t>comrponates</w:t>
      </w:r>
      <w:proofErr w:type="spellEnd"/>
      <w:r>
        <w:rPr>
          <w:i/>
          <w:color w:val="000000"/>
          <w:sz w:val="20"/>
          <w:szCs w:val="20"/>
        </w:rPr>
        <w:t xml:space="preserve">. 1. El acta de la SESION DEL CABILDO </w:t>
      </w:r>
      <w:r>
        <w:rPr>
          <w:i/>
          <w:color w:val="000000"/>
          <w:sz w:val="20"/>
          <w:szCs w:val="20"/>
        </w:rPr>
        <w:lastRenderedPageBreak/>
        <w:t xml:space="preserve">de fecha 1 de enero al 5 de febrero del 2025, firmada por todos los integrantes, la liga del video de la </w:t>
      </w:r>
      <w:proofErr w:type="spellStart"/>
      <w:r>
        <w:rPr>
          <w:i/>
          <w:color w:val="000000"/>
          <w:sz w:val="20"/>
          <w:szCs w:val="20"/>
        </w:rPr>
        <w:t>sesion</w:t>
      </w:r>
      <w:proofErr w:type="spellEnd"/>
      <w:r>
        <w:rPr>
          <w:i/>
          <w:color w:val="000000"/>
          <w:sz w:val="20"/>
          <w:szCs w:val="20"/>
        </w:rPr>
        <w:t xml:space="preserve"> del cabildo de la fecha 1 de enero del 2025, toda vez que los ciudadanos no pudimos ver dicha sesión, requiero la liga de la transmisión publicada en sus </w:t>
      </w:r>
      <w:proofErr w:type="spellStart"/>
      <w:r>
        <w:rPr>
          <w:i/>
          <w:color w:val="000000"/>
          <w:sz w:val="20"/>
          <w:szCs w:val="20"/>
        </w:rPr>
        <w:t>paginas</w:t>
      </w:r>
      <w:proofErr w:type="spellEnd"/>
      <w:r>
        <w:rPr>
          <w:i/>
          <w:color w:val="000000"/>
          <w:sz w:val="20"/>
          <w:szCs w:val="20"/>
        </w:rPr>
        <w:t xml:space="preserve"> oficiales o redes sociales.” (Sic) </w:t>
      </w:r>
    </w:p>
    <w:p w:rsidR="00C36789" w:rsidRDefault="00C36789">
      <w:pPr>
        <w:spacing w:after="0" w:line="360" w:lineRule="auto"/>
        <w:ind w:right="567"/>
        <w:rPr>
          <w:i/>
          <w:color w:val="000000"/>
          <w:sz w:val="20"/>
          <w:szCs w:val="20"/>
        </w:rPr>
      </w:pPr>
    </w:p>
    <w:p w:rsidR="00C36789" w:rsidRDefault="004F3375">
      <w:pPr>
        <w:spacing w:after="0" w:line="360" w:lineRule="auto"/>
        <w:ind w:left="567" w:right="567"/>
        <w:rPr>
          <w:b/>
          <w:i/>
          <w:color w:val="000000"/>
          <w:sz w:val="20"/>
          <w:szCs w:val="20"/>
        </w:rPr>
      </w:pPr>
      <w:r>
        <w:rPr>
          <w:b/>
          <w:i/>
          <w:color w:val="000000"/>
          <w:sz w:val="20"/>
          <w:szCs w:val="20"/>
        </w:rPr>
        <w:t>“MODALIDAD DE ENTREGA</w:t>
      </w:r>
    </w:p>
    <w:p w:rsidR="00C36789" w:rsidRDefault="004F3375">
      <w:pPr>
        <w:spacing w:after="0" w:line="360" w:lineRule="auto"/>
        <w:ind w:left="567" w:right="567"/>
        <w:rPr>
          <w:i/>
          <w:color w:val="000000"/>
          <w:sz w:val="20"/>
          <w:szCs w:val="20"/>
        </w:rPr>
      </w:pPr>
      <w:r>
        <w:rPr>
          <w:i/>
          <w:color w:val="000000"/>
          <w:sz w:val="20"/>
          <w:szCs w:val="20"/>
        </w:rPr>
        <w:t>A través del SAIMEX”</w:t>
      </w:r>
    </w:p>
    <w:p w:rsidR="00C36789" w:rsidRDefault="00C36789">
      <w:pPr>
        <w:spacing w:after="0" w:line="360" w:lineRule="auto"/>
        <w:ind w:right="567"/>
        <w:rPr>
          <w:i/>
          <w:color w:val="000000"/>
          <w:sz w:val="20"/>
          <w:szCs w:val="20"/>
        </w:rPr>
      </w:pPr>
    </w:p>
    <w:p w:rsidR="00C36789" w:rsidRDefault="004F3375">
      <w:pPr>
        <w:pStyle w:val="Ttulo2"/>
        <w:spacing w:before="0" w:line="360" w:lineRule="auto"/>
        <w:rPr>
          <w:rFonts w:ascii="Palatino Linotype" w:eastAsia="Palatino Linotype" w:hAnsi="Palatino Linotype" w:cs="Palatino Linotype"/>
          <w:b/>
          <w:color w:val="000000"/>
          <w:sz w:val="22"/>
          <w:szCs w:val="22"/>
        </w:rPr>
      </w:pPr>
      <w:bookmarkStart w:id="3" w:name="_heading=h.sxtw04smot8o" w:colFirst="0" w:colLast="0"/>
      <w:bookmarkEnd w:id="3"/>
      <w:r>
        <w:rPr>
          <w:rFonts w:ascii="Palatino Linotype" w:eastAsia="Palatino Linotype" w:hAnsi="Palatino Linotype" w:cs="Palatino Linotype"/>
          <w:b/>
          <w:color w:val="000000"/>
          <w:sz w:val="22"/>
          <w:szCs w:val="22"/>
        </w:rPr>
        <w:t xml:space="preserve">II.  Respuesta del Sujeto Obligado </w:t>
      </w:r>
    </w:p>
    <w:p w:rsidR="00C36789" w:rsidRDefault="00C36789">
      <w:pPr>
        <w:spacing w:after="0" w:line="360" w:lineRule="auto"/>
        <w:ind w:right="567"/>
        <w:rPr>
          <w:b/>
          <w:color w:val="000000"/>
        </w:rPr>
      </w:pPr>
    </w:p>
    <w:p w:rsidR="00C36789" w:rsidRDefault="004F3375">
      <w:pPr>
        <w:spacing w:after="0" w:line="360" w:lineRule="auto"/>
        <w:rPr>
          <w:color w:val="000000"/>
        </w:rPr>
      </w:pPr>
      <w:r>
        <w:rPr>
          <w:color w:val="000000"/>
        </w:rPr>
        <w:t>Con fecha veintiséis de febrero de dos mil veinticinco, el Ayuntamiento de Toluca, notificó la respuesta a la solicitud, a través del Sistema de Acceso a la Información Mexiquense (SAIMEX), mediante la digitalización de los siguientes documentos:</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 xml:space="preserve">i. Oficio sin número del veintiséis de febrero de dos mil veinticinco suscrito por el Titular de la Unidad de Transparencia y dirigido al Solicitante, por medio del cual precisó lo siguiente: </w:t>
      </w:r>
    </w:p>
    <w:p w:rsidR="00C36789" w:rsidRDefault="00C36789">
      <w:pPr>
        <w:spacing w:after="0" w:line="360" w:lineRule="auto"/>
        <w:ind w:right="567"/>
        <w:rPr>
          <w:color w:val="000000"/>
        </w:rPr>
      </w:pPr>
    </w:p>
    <w:p w:rsidR="00C36789" w:rsidRDefault="004F3375">
      <w:pPr>
        <w:pBdr>
          <w:top w:val="nil"/>
          <w:left w:val="nil"/>
          <w:bottom w:val="nil"/>
          <w:right w:val="nil"/>
          <w:between w:val="nil"/>
        </w:pBdr>
        <w:spacing w:after="0" w:line="360" w:lineRule="auto"/>
        <w:ind w:left="567" w:right="567"/>
        <w:rPr>
          <w:i/>
          <w:color w:val="000000"/>
          <w:sz w:val="20"/>
          <w:szCs w:val="20"/>
        </w:rPr>
      </w:pPr>
      <w:r>
        <w:rPr>
          <w:i/>
          <w:color w:val="000000"/>
          <w:sz w:val="20"/>
          <w:szCs w:val="20"/>
        </w:rPr>
        <w:t xml:space="preserve">“…hago de su conocimiento que la </w:t>
      </w:r>
      <w:r>
        <w:rPr>
          <w:b/>
          <w:i/>
          <w:color w:val="000000"/>
          <w:sz w:val="20"/>
          <w:szCs w:val="20"/>
        </w:rPr>
        <w:t xml:space="preserve">Secretaría del Ayuntamiento y Servidor Público Habilitado, </w:t>
      </w:r>
      <w:r>
        <w:rPr>
          <w:i/>
          <w:color w:val="000000"/>
          <w:sz w:val="20"/>
          <w:szCs w:val="20"/>
        </w:rPr>
        <w:t xml:space="preserve">informó que procedió a realizar una búsqueda exhaustiva y razonable en los archivos que obran en la Coordinación de Apoyo a Cabildo de la Secretaría del Ayuntamiento, en este sentido y de acuerdo a las facultades, competencias y funciones, se hace del conocimiento que se cuenta con la expresión documental que se adjunta al presente, misma que da por atendida la pretensión del C. Solicitante, al hacer </w:t>
      </w:r>
      <w:proofErr w:type="spellStart"/>
      <w:r>
        <w:rPr>
          <w:i/>
          <w:color w:val="000000"/>
          <w:sz w:val="20"/>
          <w:szCs w:val="20"/>
        </w:rPr>
        <w:t>entrga</w:t>
      </w:r>
      <w:proofErr w:type="spellEnd"/>
      <w:r>
        <w:rPr>
          <w:i/>
          <w:color w:val="000000"/>
          <w:sz w:val="20"/>
          <w:szCs w:val="20"/>
        </w:rPr>
        <w:t xml:space="preserve"> del Acta de Sesión de Instalación y Primera Sesión Orgánica de Cabildo, Año 2025-2027, así como la liga de acceso a la videograbación de la sesión de cabildo requerida. </w:t>
      </w:r>
    </w:p>
    <w:p w:rsidR="00C36789" w:rsidRDefault="00C36789">
      <w:pPr>
        <w:pBdr>
          <w:top w:val="nil"/>
          <w:left w:val="nil"/>
          <w:bottom w:val="nil"/>
          <w:right w:val="nil"/>
          <w:between w:val="nil"/>
        </w:pBdr>
        <w:spacing w:after="0" w:line="360" w:lineRule="auto"/>
        <w:ind w:left="567" w:right="567"/>
        <w:rPr>
          <w:i/>
          <w:color w:val="000000"/>
          <w:sz w:val="20"/>
          <w:szCs w:val="20"/>
        </w:rPr>
      </w:pPr>
    </w:p>
    <w:p w:rsidR="00C36789" w:rsidRDefault="00C30A7E">
      <w:pPr>
        <w:numPr>
          <w:ilvl w:val="0"/>
          <w:numId w:val="25"/>
        </w:numPr>
        <w:pBdr>
          <w:top w:val="nil"/>
          <w:left w:val="nil"/>
          <w:bottom w:val="nil"/>
          <w:right w:val="nil"/>
          <w:between w:val="nil"/>
        </w:pBdr>
        <w:spacing w:after="0" w:line="360" w:lineRule="auto"/>
        <w:ind w:right="567"/>
        <w:rPr>
          <w:i/>
          <w:color w:val="000000"/>
          <w:sz w:val="20"/>
          <w:szCs w:val="20"/>
        </w:rPr>
      </w:pPr>
      <w:hyperlink r:id="rId8">
        <w:r w:rsidR="004F3375">
          <w:rPr>
            <w:i/>
            <w:color w:val="0563C1"/>
            <w:sz w:val="20"/>
            <w:szCs w:val="20"/>
            <w:u w:val="single"/>
          </w:rPr>
          <w:t>https://www.youtube.com/watch?v=Dw-RBYRTPII</w:t>
        </w:r>
      </w:hyperlink>
    </w:p>
    <w:p w:rsidR="00C36789" w:rsidRDefault="00C30A7E">
      <w:pPr>
        <w:numPr>
          <w:ilvl w:val="0"/>
          <w:numId w:val="25"/>
        </w:numPr>
        <w:pBdr>
          <w:top w:val="nil"/>
          <w:left w:val="nil"/>
          <w:bottom w:val="nil"/>
          <w:right w:val="nil"/>
          <w:between w:val="nil"/>
        </w:pBdr>
        <w:spacing w:after="0" w:line="360" w:lineRule="auto"/>
        <w:ind w:right="567"/>
        <w:rPr>
          <w:i/>
          <w:color w:val="000000"/>
          <w:sz w:val="20"/>
          <w:szCs w:val="20"/>
        </w:rPr>
      </w:pPr>
      <w:hyperlink r:id="rId9">
        <w:r w:rsidR="004F3375">
          <w:rPr>
            <w:i/>
            <w:color w:val="0563C1"/>
            <w:sz w:val="20"/>
            <w:szCs w:val="20"/>
            <w:u w:val="single"/>
          </w:rPr>
          <w:t>https://www.youtube.com/watch?v=wVqavnIQAVNiqXUQ&amp;t=751s</w:t>
        </w:r>
      </w:hyperlink>
    </w:p>
    <w:p w:rsidR="00C36789" w:rsidRDefault="00C36789">
      <w:pPr>
        <w:pBdr>
          <w:top w:val="nil"/>
          <w:left w:val="nil"/>
          <w:bottom w:val="nil"/>
          <w:right w:val="nil"/>
          <w:between w:val="nil"/>
        </w:pBdr>
        <w:spacing w:after="0" w:line="360" w:lineRule="auto"/>
        <w:ind w:left="567" w:right="567"/>
        <w:rPr>
          <w:i/>
          <w:color w:val="000000"/>
          <w:sz w:val="20"/>
          <w:szCs w:val="20"/>
        </w:rPr>
      </w:pPr>
    </w:p>
    <w:p w:rsidR="00C36789" w:rsidRDefault="004F3375">
      <w:pPr>
        <w:spacing w:after="0" w:line="360" w:lineRule="auto"/>
        <w:ind w:left="567" w:right="567"/>
        <w:rPr>
          <w:i/>
          <w:color w:val="000000"/>
          <w:sz w:val="20"/>
          <w:szCs w:val="20"/>
        </w:rPr>
      </w:pPr>
      <w:r>
        <w:rPr>
          <w:i/>
          <w:color w:val="000000"/>
          <w:sz w:val="20"/>
          <w:szCs w:val="20"/>
        </w:rPr>
        <w:t xml:space="preserve">Por parte de la </w:t>
      </w:r>
      <w:r>
        <w:rPr>
          <w:b/>
          <w:i/>
          <w:color w:val="000000"/>
          <w:sz w:val="20"/>
          <w:szCs w:val="20"/>
        </w:rPr>
        <w:t>Dirección General de Administración y Servidora Pública Habilitada</w:t>
      </w:r>
      <w:r>
        <w:rPr>
          <w:i/>
          <w:color w:val="000000"/>
          <w:sz w:val="20"/>
          <w:szCs w:val="20"/>
        </w:rPr>
        <w:t xml:space="preserve">, informó que la Dirección de Recursos Humanos, después de una búsqueda exhaustiva y razonable en los archivos físicos y electrónicos que guarda el Departamento de Administración de Personal, se anexa la información solicitada. </w:t>
      </w:r>
    </w:p>
    <w:p w:rsidR="00C36789" w:rsidRDefault="00C36789">
      <w:pPr>
        <w:spacing w:after="0" w:line="360" w:lineRule="auto"/>
        <w:ind w:left="567" w:right="567"/>
        <w:rPr>
          <w:i/>
          <w:color w:val="000000"/>
          <w:sz w:val="20"/>
          <w:szCs w:val="20"/>
        </w:rPr>
      </w:pPr>
    </w:p>
    <w:p w:rsidR="00C36789" w:rsidRDefault="004F3375">
      <w:pPr>
        <w:spacing w:after="0" w:line="360" w:lineRule="auto"/>
        <w:ind w:left="567" w:right="567"/>
        <w:rPr>
          <w:i/>
          <w:color w:val="000000"/>
          <w:sz w:val="20"/>
          <w:szCs w:val="20"/>
        </w:rPr>
      </w:pPr>
      <w:r>
        <w:rPr>
          <w:i/>
          <w:color w:val="000000"/>
          <w:sz w:val="20"/>
          <w:szCs w:val="20"/>
        </w:rPr>
        <w:t xml:space="preserve">Por parte de la </w:t>
      </w:r>
      <w:r>
        <w:rPr>
          <w:b/>
          <w:i/>
          <w:color w:val="000000"/>
          <w:sz w:val="20"/>
          <w:szCs w:val="20"/>
        </w:rPr>
        <w:t>Unidad de Información, Planeación, Programación y Evaluación y Servidor Público Habilitado</w:t>
      </w:r>
      <w:r>
        <w:rPr>
          <w:i/>
          <w:color w:val="000000"/>
          <w:sz w:val="20"/>
          <w:szCs w:val="20"/>
        </w:rPr>
        <w:t>, informó que los Manuales de Organización y Procedimientos de la administración 2025-2027 se encuentran en proceso de integración por parte de esta Unidad Administrativa y de las demás áreas que integran el Ayuntamiento de Toluca, por lo que una vez que se concluya esta actividad y se aprueben, serán publicados.</w:t>
      </w:r>
    </w:p>
    <w:p w:rsidR="00C36789" w:rsidRDefault="00C36789">
      <w:pPr>
        <w:spacing w:after="0" w:line="360" w:lineRule="auto"/>
        <w:ind w:left="567" w:right="567"/>
        <w:rPr>
          <w:i/>
          <w:color w:val="000000"/>
          <w:sz w:val="20"/>
          <w:szCs w:val="20"/>
        </w:rPr>
      </w:pPr>
    </w:p>
    <w:p w:rsidR="00C36789" w:rsidRDefault="004F3375">
      <w:pPr>
        <w:spacing w:after="0" w:line="360" w:lineRule="auto"/>
        <w:ind w:left="567" w:right="567"/>
        <w:rPr>
          <w:i/>
          <w:color w:val="000000"/>
          <w:sz w:val="20"/>
          <w:szCs w:val="20"/>
        </w:rPr>
      </w:pPr>
      <w:r>
        <w:rPr>
          <w:i/>
          <w:color w:val="000000"/>
          <w:sz w:val="20"/>
          <w:szCs w:val="20"/>
        </w:rPr>
        <w:t xml:space="preserve">Por parte de la </w:t>
      </w:r>
      <w:r>
        <w:rPr>
          <w:b/>
          <w:i/>
          <w:color w:val="000000"/>
          <w:sz w:val="20"/>
          <w:szCs w:val="20"/>
        </w:rPr>
        <w:t xml:space="preserve">Tesorería Municipal y Servidor Público Habilitado, </w:t>
      </w:r>
      <w:r>
        <w:rPr>
          <w:i/>
          <w:color w:val="000000"/>
          <w:sz w:val="20"/>
          <w:szCs w:val="20"/>
        </w:rPr>
        <w:t xml:space="preserve">informó que conforme a lo dispuesto por los artículos 12, 19 primer párrafo, 24 párrafo tercero, 160 y 161 de la Ley de Transparencia y Acceso a la Información Pública del Estado de México y Municipios y en concordancia con las atribuciones conferidas a la Dirección de Ingresos, informo lo siguiente.  </w:t>
      </w:r>
    </w:p>
    <w:p w:rsidR="00C36789" w:rsidRDefault="00C36789">
      <w:pPr>
        <w:spacing w:after="0" w:line="360" w:lineRule="auto"/>
        <w:ind w:left="567" w:right="567"/>
        <w:rPr>
          <w:i/>
          <w:color w:val="000000"/>
          <w:sz w:val="20"/>
          <w:szCs w:val="20"/>
        </w:rPr>
      </w:pPr>
    </w:p>
    <w:p w:rsidR="00C36789" w:rsidRDefault="004F3375">
      <w:pPr>
        <w:spacing w:after="0" w:line="360" w:lineRule="auto"/>
        <w:ind w:left="567" w:right="567"/>
        <w:rPr>
          <w:i/>
          <w:color w:val="000000"/>
          <w:sz w:val="20"/>
          <w:szCs w:val="20"/>
        </w:rPr>
      </w:pPr>
      <w:r>
        <w:rPr>
          <w:i/>
          <w:color w:val="000000"/>
          <w:sz w:val="20"/>
          <w:szCs w:val="20"/>
        </w:rPr>
        <w:t>En el periodo comprendido del 01 de enero al 05 de febrero del 2025, el monto recaudado por concepto de Impuesto Predial fue de $416</w:t>
      </w:r>
      <w:proofErr w:type="gramStart"/>
      <w:r>
        <w:rPr>
          <w:i/>
          <w:color w:val="000000"/>
          <w:sz w:val="20"/>
          <w:szCs w:val="20"/>
        </w:rPr>
        <w:t>,662,726.59</w:t>
      </w:r>
      <w:proofErr w:type="gramEnd"/>
      <w:r>
        <w:rPr>
          <w:i/>
          <w:color w:val="000000"/>
          <w:sz w:val="20"/>
          <w:szCs w:val="20"/>
        </w:rPr>
        <w:t xml:space="preserve"> (Cuatrocientos dieciséis millones seiscientos sesenta y dos mil setecientos veintiséis pesos 59/100 M.N.).</w:t>
      </w:r>
    </w:p>
    <w:p w:rsidR="00C36789" w:rsidRDefault="00C36789">
      <w:pPr>
        <w:spacing w:after="0" w:line="360" w:lineRule="auto"/>
        <w:ind w:left="567" w:right="567"/>
        <w:rPr>
          <w:i/>
          <w:color w:val="000000"/>
          <w:sz w:val="20"/>
          <w:szCs w:val="20"/>
        </w:rPr>
      </w:pPr>
    </w:p>
    <w:p w:rsidR="00C36789" w:rsidRDefault="004F3375">
      <w:pPr>
        <w:spacing w:after="0" w:line="360" w:lineRule="auto"/>
        <w:ind w:left="567" w:right="567"/>
        <w:rPr>
          <w:i/>
          <w:color w:val="000000"/>
          <w:sz w:val="20"/>
          <w:szCs w:val="20"/>
        </w:rPr>
      </w:pPr>
      <w:r>
        <w:rPr>
          <w:i/>
          <w:color w:val="000000"/>
          <w:sz w:val="20"/>
          <w:szCs w:val="20"/>
        </w:rPr>
        <w:t xml:space="preserve">Por lo que respecta de la </w:t>
      </w:r>
      <w:r>
        <w:rPr>
          <w:b/>
          <w:i/>
          <w:color w:val="000000"/>
          <w:sz w:val="20"/>
          <w:szCs w:val="20"/>
        </w:rPr>
        <w:t xml:space="preserve">Defensoría Municipal de Derechos Humanos y Servidora Pública Habilitada, </w:t>
      </w:r>
      <w:r>
        <w:rPr>
          <w:i/>
          <w:color w:val="000000"/>
          <w:sz w:val="20"/>
          <w:szCs w:val="20"/>
        </w:rPr>
        <w:t xml:space="preserve">informó que derivado de la búsqueda exhaustiva realizada en las documentales que se resguardan en los archivos de la Defensoría Municipal, en el periodo comprendido del 1° de enero de 2019 al 6 de febrero de 2025, se ha dado seguimiento a 684 quejas iniciadas por la Comisión de Derechos Humanos del Estado de México, por presuntas violaciones a derechos humanos atribuibles a servidores públicos del Ayuntamiento de Toluca , de las cuales a la fecha de presentación de la solicitud de referencia, se encuentran en trámite  56 y se han archivado 628.  </w:t>
      </w:r>
    </w:p>
    <w:p w:rsidR="00C36789" w:rsidRDefault="004F3375">
      <w:pPr>
        <w:spacing w:after="0" w:line="360" w:lineRule="auto"/>
        <w:ind w:left="567" w:right="567"/>
        <w:rPr>
          <w:i/>
          <w:color w:val="000000"/>
          <w:sz w:val="20"/>
          <w:szCs w:val="20"/>
        </w:rPr>
      </w:pPr>
      <w:r>
        <w:rPr>
          <w:i/>
          <w:noProof/>
          <w:color w:val="000000"/>
          <w:sz w:val="20"/>
          <w:szCs w:val="20"/>
        </w:rPr>
        <w:lastRenderedPageBreak/>
        <w:drawing>
          <wp:inline distT="0" distB="0" distL="0" distR="0">
            <wp:extent cx="4582164" cy="1971950"/>
            <wp:effectExtent l="0" t="0" r="0" b="0"/>
            <wp:docPr id="20388746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582164" cy="1971950"/>
                    </a:xfrm>
                    <a:prstGeom prst="rect">
                      <a:avLst/>
                    </a:prstGeom>
                    <a:ln/>
                  </pic:spPr>
                </pic:pic>
              </a:graphicData>
            </a:graphic>
          </wp:inline>
        </w:drawing>
      </w:r>
    </w:p>
    <w:p w:rsidR="00C36789" w:rsidRDefault="00C36789">
      <w:pPr>
        <w:spacing w:after="0" w:line="360" w:lineRule="auto"/>
        <w:ind w:left="567" w:right="567"/>
        <w:rPr>
          <w:i/>
          <w:color w:val="000000"/>
          <w:sz w:val="20"/>
          <w:szCs w:val="20"/>
        </w:rPr>
      </w:pPr>
    </w:p>
    <w:p w:rsidR="00C36789" w:rsidRDefault="004F3375">
      <w:pPr>
        <w:spacing w:after="0" w:line="360" w:lineRule="auto"/>
        <w:ind w:left="567" w:right="567"/>
        <w:rPr>
          <w:i/>
          <w:color w:val="000000"/>
          <w:sz w:val="20"/>
          <w:szCs w:val="20"/>
        </w:rPr>
      </w:pPr>
      <w:r>
        <w:rPr>
          <w:i/>
          <w:color w:val="000000"/>
          <w:sz w:val="20"/>
          <w:szCs w:val="20"/>
        </w:rPr>
        <w:t>Por cuanto hace a los hechos que dieron origen al inicio de las quejas tramitadas, se hace de su conocimiento que, de acuerdo al Catalogo para la Calificación de Violaciones a Derechos Humanos Publicado por la CODHEM, los derechos vulnerados son los siguientes:</w:t>
      </w:r>
    </w:p>
    <w:p w:rsidR="00C36789" w:rsidRDefault="00C36789">
      <w:pPr>
        <w:spacing w:after="0" w:line="360" w:lineRule="auto"/>
        <w:ind w:left="567" w:right="567"/>
        <w:rPr>
          <w:i/>
          <w:color w:val="000000"/>
          <w:sz w:val="20"/>
          <w:szCs w:val="20"/>
        </w:rPr>
      </w:pPr>
    </w:p>
    <w:p w:rsidR="00C36789" w:rsidRDefault="004F3375">
      <w:pPr>
        <w:numPr>
          <w:ilvl w:val="0"/>
          <w:numId w:val="26"/>
        </w:numPr>
        <w:pBdr>
          <w:top w:val="nil"/>
          <w:left w:val="nil"/>
          <w:bottom w:val="nil"/>
          <w:right w:val="nil"/>
          <w:between w:val="nil"/>
        </w:pBdr>
        <w:spacing w:after="0" w:line="360" w:lineRule="auto"/>
        <w:ind w:right="567"/>
        <w:rPr>
          <w:i/>
          <w:color w:val="000000"/>
          <w:sz w:val="20"/>
          <w:szCs w:val="20"/>
        </w:rPr>
      </w:pPr>
      <w:r>
        <w:rPr>
          <w:i/>
          <w:color w:val="000000"/>
          <w:sz w:val="20"/>
          <w:szCs w:val="20"/>
        </w:rPr>
        <w:t xml:space="preserve">Derecho a la integridad jurídica </w:t>
      </w:r>
    </w:p>
    <w:p w:rsidR="00C36789" w:rsidRDefault="004F3375">
      <w:pPr>
        <w:numPr>
          <w:ilvl w:val="0"/>
          <w:numId w:val="26"/>
        </w:numPr>
        <w:pBdr>
          <w:top w:val="nil"/>
          <w:left w:val="nil"/>
          <w:bottom w:val="nil"/>
          <w:right w:val="nil"/>
          <w:between w:val="nil"/>
        </w:pBdr>
        <w:spacing w:after="0" w:line="360" w:lineRule="auto"/>
        <w:ind w:right="567"/>
        <w:rPr>
          <w:i/>
          <w:color w:val="000000"/>
          <w:sz w:val="20"/>
          <w:szCs w:val="20"/>
        </w:rPr>
      </w:pPr>
      <w:r>
        <w:rPr>
          <w:i/>
          <w:color w:val="000000"/>
          <w:sz w:val="20"/>
          <w:szCs w:val="20"/>
        </w:rPr>
        <w:t xml:space="preserve">Derecho a la legalidad y seguridad jurídica </w:t>
      </w:r>
    </w:p>
    <w:p w:rsidR="00C36789" w:rsidRDefault="004F3375">
      <w:pPr>
        <w:numPr>
          <w:ilvl w:val="0"/>
          <w:numId w:val="26"/>
        </w:numPr>
        <w:pBdr>
          <w:top w:val="nil"/>
          <w:left w:val="nil"/>
          <w:bottom w:val="nil"/>
          <w:right w:val="nil"/>
          <w:between w:val="nil"/>
        </w:pBdr>
        <w:spacing w:after="0" w:line="360" w:lineRule="auto"/>
        <w:ind w:right="567"/>
        <w:rPr>
          <w:i/>
          <w:color w:val="000000"/>
          <w:sz w:val="20"/>
          <w:szCs w:val="20"/>
        </w:rPr>
      </w:pPr>
      <w:r>
        <w:rPr>
          <w:i/>
          <w:color w:val="000000"/>
          <w:sz w:val="20"/>
          <w:szCs w:val="20"/>
        </w:rPr>
        <w:t>Derecho de las víctimas</w:t>
      </w:r>
    </w:p>
    <w:p w:rsidR="00C36789" w:rsidRDefault="004F3375">
      <w:pPr>
        <w:numPr>
          <w:ilvl w:val="0"/>
          <w:numId w:val="26"/>
        </w:numPr>
        <w:pBdr>
          <w:top w:val="nil"/>
          <w:left w:val="nil"/>
          <w:bottom w:val="nil"/>
          <w:right w:val="nil"/>
          <w:between w:val="nil"/>
        </w:pBdr>
        <w:spacing w:after="0" w:line="360" w:lineRule="auto"/>
        <w:ind w:right="567"/>
        <w:rPr>
          <w:i/>
          <w:color w:val="000000"/>
          <w:sz w:val="20"/>
          <w:szCs w:val="20"/>
        </w:rPr>
      </w:pPr>
      <w:r>
        <w:rPr>
          <w:i/>
          <w:color w:val="000000"/>
          <w:sz w:val="20"/>
          <w:szCs w:val="20"/>
        </w:rPr>
        <w:t>Derecho a la educación</w:t>
      </w:r>
    </w:p>
    <w:p w:rsidR="00C36789" w:rsidRDefault="004F3375">
      <w:pPr>
        <w:numPr>
          <w:ilvl w:val="0"/>
          <w:numId w:val="26"/>
        </w:numPr>
        <w:pBdr>
          <w:top w:val="nil"/>
          <w:left w:val="nil"/>
          <w:bottom w:val="nil"/>
          <w:right w:val="nil"/>
          <w:between w:val="nil"/>
        </w:pBdr>
        <w:spacing w:after="0" w:line="360" w:lineRule="auto"/>
        <w:ind w:right="567"/>
        <w:rPr>
          <w:i/>
          <w:color w:val="000000"/>
          <w:sz w:val="20"/>
          <w:szCs w:val="20"/>
        </w:rPr>
      </w:pPr>
      <w:r>
        <w:rPr>
          <w:i/>
          <w:color w:val="000000"/>
          <w:sz w:val="20"/>
          <w:szCs w:val="20"/>
        </w:rPr>
        <w:t>Derecho a la protección de la salud</w:t>
      </w:r>
    </w:p>
    <w:p w:rsidR="00C36789" w:rsidRDefault="004F3375">
      <w:pPr>
        <w:numPr>
          <w:ilvl w:val="0"/>
          <w:numId w:val="26"/>
        </w:numPr>
        <w:pBdr>
          <w:top w:val="nil"/>
          <w:left w:val="nil"/>
          <w:bottom w:val="nil"/>
          <w:right w:val="nil"/>
          <w:between w:val="nil"/>
        </w:pBdr>
        <w:spacing w:after="0" w:line="360" w:lineRule="auto"/>
        <w:ind w:right="567"/>
        <w:rPr>
          <w:i/>
          <w:color w:val="000000"/>
          <w:sz w:val="20"/>
          <w:szCs w:val="20"/>
        </w:rPr>
      </w:pPr>
      <w:r>
        <w:rPr>
          <w:i/>
          <w:color w:val="000000"/>
          <w:sz w:val="20"/>
          <w:szCs w:val="20"/>
        </w:rPr>
        <w:t>Derecho al trabajo</w:t>
      </w:r>
    </w:p>
    <w:p w:rsidR="00C36789" w:rsidRDefault="004F3375">
      <w:pPr>
        <w:numPr>
          <w:ilvl w:val="0"/>
          <w:numId w:val="26"/>
        </w:numPr>
        <w:pBdr>
          <w:top w:val="nil"/>
          <w:left w:val="nil"/>
          <w:bottom w:val="nil"/>
          <w:right w:val="nil"/>
          <w:between w:val="nil"/>
        </w:pBdr>
        <w:spacing w:after="0" w:line="360" w:lineRule="auto"/>
        <w:ind w:right="567"/>
        <w:rPr>
          <w:i/>
          <w:color w:val="000000"/>
          <w:sz w:val="20"/>
          <w:szCs w:val="20"/>
        </w:rPr>
      </w:pPr>
      <w:r>
        <w:rPr>
          <w:i/>
          <w:color w:val="000000"/>
          <w:sz w:val="20"/>
          <w:szCs w:val="20"/>
        </w:rPr>
        <w:t xml:space="preserve">Derecho al medio ambiente </w:t>
      </w:r>
    </w:p>
    <w:p w:rsidR="00C36789" w:rsidRDefault="004F3375">
      <w:pPr>
        <w:numPr>
          <w:ilvl w:val="0"/>
          <w:numId w:val="26"/>
        </w:numPr>
        <w:pBdr>
          <w:top w:val="nil"/>
          <w:left w:val="nil"/>
          <w:bottom w:val="nil"/>
          <w:right w:val="nil"/>
          <w:between w:val="nil"/>
        </w:pBdr>
        <w:spacing w:after="0" w:line="360" w:lineRule="auto"/>
        <w:ind w:right="567"/>
        <w:rPr>
          <w:i/>
          <w:color w:val="000000"/>
          <w:sz w:val="20"/>
          <w:szCs w:val="20"/>
        </w:rPr>
      </w:pPr>
      <w:r>
        <w:rPr>
          <w:i/>
          <w:color w:val="000000"/>
          <w:sz w:val="20"/>
          <w:szCs w:val="20"/>
        </w:rPr>
        <w:t xml:space="preserve">Derecho a las buenas prácticas de la administración pública </w:t>
      </w:r>
    </w:p>
    <w:p w:rsidR="00C36789" w:rsidRDefault="004F3375">
      <w:pPr>
        <w:numPr>
          <w:ilvl w:val="0"/>
          <w:numId w:val="26"/>
        </w:numPr>
        <w:pBdr>
          <w:top w:val="nil"/>
          <w:left w:val="nil"/>
          <w:bottom w:val="nil"/>
          <w:right w:val="nil"/>
          <w:between w:val="nil"/>
        </w:pBdr>
        <w:spacing w:after="0" w:line="360" w:lineRule="auto"/>
        <w:ind w:right="567"/>
        <w:rPr>
          <w:i/>
          <w:color w:val="000000"/>
          <w:sz w:val="20"/>
          <w:szCs w:val="20"/>
        </w:rPr>
      </w:pPr>
      <w:r>
        <w:rPr>
          <w:i/>
          <w:color w:val="000000"/>
          <w:sz w:val="20"/>
          <w:szCs w:val="20"/>
        </w:rPr>
        <w:t xml:space="preserve">Derecho a la paz y al desarrollo </w:t>
      </w:r>
    </w:p>
    <w:p w:rsidR="00C36789" w:rsidRDefault="00C36789">
      <w:pPr>
        <w:spacing w:after="0" w:line="360" w:lineRule="auto"/>
        <w:ind w:left="567" w:right="567"/>
        <w:rPr>
          <w:i/>
          <w:color w:val="000000"/>
          <w:sz w:val="20"/>
          <w:szCs w:val="20"/>
        </w:rPr>
      </w:pPr>
    </w:p>
    <w:p w:rsidR="00C36789" w:rsidRDefault="004F3375">
      <w:pPr>
        <w:spacing w:after="0" w:line="360" w:lineRule="auto"/>
        <w:ind w:left="567" w:right="567"/>
        <w:rPr>
          <w:i/>
          <w:color w:val="000000"/>
          <w:sz w:val="20"/>
          <w:szCs w:val="20"/>
        </w:rPr>
      </w:pPr>
      <w:r>
        <w:rPr>
          <w:i/>
          <w:color w:val="000000"/>
          <w:sz w:val="20"/>
          <w:szCs w:val="20"/>
        </w:rPr>
        <w:t xml:space="preserve">Así mismo la </w:t>
      </w:r>
      <w:r>
        <w:rPr>
          <w:b/>
          <w:i/>
          <w:color w:val="000000"/>
          <w:sz w:val="20"/>
          <w:szCs w:val="20"/>
        </w:rPr>
        <w:t>Dirección General de Seguridad y Protección Ciudadana y Servidor Público Habilitado</w:t>
      </w:r>
      <w:r>
        <w:rPr>
          <w:i/>
          <w:color w:val="000000"/>
          <w:sz w:val="20"/>
          <w:szCs w:val="20"/>
        </w:rPr>
        <w:t xml:space="preserve">, informó que de acuerdo al artículo 3.35 del Código Reglamentario de Toluca, no se encuentra dentro de las atribuciones conferidas a la Coordinación Administrativa resguardar los movimientos de altas, bajas y renuncias de los servidores públicos del mes de enero de 2025, por lo que el área se encuentra imposibilitada en remitir dicha información. </w:t>
      </w:r>
    </w:p>
    <w:p w:rsidR="00C36789" w:rsidRDefault="004F3375">
      <w:pPr>
        <w:spacing w:after="0" w:line="360" w:lineRule="auto"/>
        <w:ind w:left="567" w:right="567"/>
        <w:rPr>
          <w:i/>
          <w:color w:val="000000"/>
          <w:sz w:val="20"/>
          <w:szCs w:val="20"/>
        </w:rPr>
      </w:pPr>
      <w:r>
        <w:rPr>
          <w:i/>
          <w:color w:val="000000"/>
          <w:sz w:val="20"/>
          <w:szCs w:val="20"/>
        </w:rPr>
        <w:lastRenderedPageBreak/>
        <w:t xml:space="preserve">Por lo que respecta a las patrullas, camiones de basura y policías, después de una búsqueda exhaustiva en los archivos físicos y digitales del área se cuentan con 1144 patrullas, el presidente Juan </w:t>
      </w:r>
      <w:proofErr w:type="spellStart"/>
      <w:r>
        <w:rPr>
          <w:i/>
          <w:color w:val="000000"/>
          <w:sz w:val="20"/>
          <w:szCs w:val="20"/>
        </w:rPr>
        <w:t>Maccise</w:t>
      </w:r>
      <w:proofErr w:type="spellEnd"/>
      <w:r>
        <w:rPr>
          <w:i/>
          <w:color w:val="000000"/>
          <w:sz w:val="20"/>
          <w:szCs w:val="20"/>
        </w:rPr>
        <w:t xml:space="preserve"> dejó un parque vehicular de 2114 patrullas y 1118 policías; no omito mencionar que referente a los camiones de basura no se cuenta con el resguardo de dicho parque vehicular. </w:t>
      </w:r>
    </w:p>
    <w:p w:rsidR="00C36789" w:rsidRDefault="00C36789">
      <w:pPr>
        <w:spacing w:after="0" w:line="360" w:lineRule="auto"/>
        <w:ind w:left="567" w:right="567"/>
        <w:rPr>
          <w:i/>
          <w:color w:val="000000"/>
          <w:sz w:val="20"/>
          <w:szCs w:val="20"/>
        </w:rPr>
      </w:pPr>
    </w:p>
    <w:p w:rsidR="00C36789" w:rsidRDefault="004F3375">
      <w:pPr>
        <w:spacing w:after="0" w:line="360" w:lineRule="auto"/>
        <w:ind w:left="567" w:right="567"/>
        <w:rPr>
          <w:i/>
          <w:color w:val="000000"/>
          <w:sz w:val="20"/>
          <w:szCs w:val="20"/>
        </w:rPr>
      </w:pPr>
      <w:r>
        <w:rPr>
          <w:i/>
          <w:color w:val="000000"/>
          <w:sz w:val="20"/>
          <w:szCs w:val="20"/>
        </w:rPr>
        <w:t>Referente a las otras administraciones, se realizó una búsqueda exhaustiva  y no se encontró información que corresponde a lo solicitado.</w:t>
      </w:r>
    </w:p>
    <w:p w:rsidR="00C36789" w:rsidRDefault="004F3375">
      <w:pPr>
        <w:spacing w:after="0" w:line="360" w:lineRule="auto"/>
        <w:ind w:left="567" w:right="567"/>
        <w:rPr>
          <w:i/>
          <w:color w:val="000000"/>
          <w:sz w:val="20"/>
          <w:szCs w:val="20"/>
        </w:rPr>
      </w:pPr>
      <w:r>
        <w:rPr>
          <w:i/>
          <w:color w:val="000000"/>
          <w:sz w:val="20"/>
          <w:szCs w:val="20"/>
        </w:rPr>
        <w:t>…”</w:t>
      </w:r>
    </w:p>
    <w:p w:rsidR="00C36789" w:rsidRDefault="00C36789">
      <w:pPr>
        <w:spacing w:after="0" w:line="360" w:lineRule="auto"/>
        <w:ind w:right="567"/>
        <w:rPr>
          <w:color w:val="000000"/>
        </w:rPr>
      </w:pPr>
    </w:p>
    <w:p w:rsidR="00C36789" w:rsidRDefault="004F3375">
      <w:pPr>
        <w:spacing w:after="0" w:line="360" w:lineRule="auto"/>
        <w:rPr>
          <w:color w:val="000000"/>
        </w:rPr>
      </w:pPr>
      <w:r>
        <w:rPr>
          <w:color w:val="000000"/>
        </w:rPr>
        <w:t xml:space="preserve">ii. Oficio número DGSYP/DJ/DNC//2025, del doce de febrero de dos mil veinticinco, suscrito por el Jefe de Departamento de Normatividad y Consulta y dirigido a la Directora Jurídica de la Dirección General de Seguridad y Protección de Toluca; por medio del cual precisó dar atención a los </w:t>
      </w:r>
      <w:proofErr w:type="spellStart"/>
      <w:r>
        <w:rPr>
          <w:color w:val="000000"/>
        </w:rPr>
        <w:t>currícuclums</w:t>
      </w:r>
      <w:proofErr w:type="spellEnd"/>
      <w:r>
        <w:rPr>
          <w:color w:val="000000"/>
        </w:rPr>
        <w:t xml:space="preserve"> vitae de todos los servidores públicos que ingresaron del primero de enero al cinco de febrero de dos mil veinticinco, por lo que precisó remitir el formato correspondiente del único servidor público incorporado a partir de la fecha indicada.  Asimismo, adjuntó la digitalización de la ficha curricular de Nancy Hidalgo Morales, adscrita a la Dirección General de Seguridad y Protección. </w:t>
      </w:r>
    </w:p>
    <w:p w:rsidR="00C36789" w:rsidRDefault="00C36789">
      <w:pPr>
        <w:spacing w:after="0" w:line="360" w:lineRule="auto"/>
        <w:rPr>
          <w:color w:val="000000"/>
        </w:rPr>
      </w:pPr>
    </w:p>
    <w:p w:rsidR="00C36789" w:rsidRDefault="00C36789">
      <w:pPr>
        <w:spacing w:after="0" w:line="360" w:lineRule="auto"/>
        <w:rPr>
          <w:color w:val="000000"/>
        </w:rPr>
      </w:pPr>
    </w:p>
    <w:p w:rsidR="00C36789" w:rsidRDefault="004F3375">
      <w:pPr>
        <w:spacing w:after="0" w:line="360" w:lineRule="auto"/>
        <w:rPr>
          <w:color w:val="000000"/>
        </w:rPr>
      </w:pPr>
      <w:r>
        <w:rPr>
          <w:color w:val="000000"/>
        </w:rPr>
        <w:t xml:space="preserve">iii. Oficio número 205010000/073/2025, del diez de febrero de dos mil veinticinco, suscrito por el Director General de Seguridad y Protección y dirigido a la Directora Jurídica, por medio del cual precisó que en atención al oficio DGSYP/DJ/1150/2025 en el que se requirió los currículos vitae de todos los servidores públicos que ingresaron del primero de enero al cinco de febrero de dos mil veinticinco, remitía la información solicitada y para tal efecto proporcionó su ficha curricular. </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lastRenderedPageBreak/>
        <w:t>iv. Oficio número DGSYP/CA/0318/2025, del siete de febrero de dos mil veinticinco, suscrito por el Coordinador Administrativo y dirigido a la Directora Jurídica, por medio del cual informó que en atención al oficio DGSYP/DJ/1144/2025</w:t>
      </w:r>
      <w:r>
        <w:t xml:space="preserve"> </w:t>
      </w:r>
      <w:r>
        <w:rPr>
          <w:color w:val="000000"/>
        </w:rPr>
        <w:t xml:space="preserve">en el que se solicitó los currículos vitae de todos los servidores públicos que ingresaron del primero de enero al cinco de febrero de dos mil veinticinco, remitía la información requerida y proporcionó las fichas curriculares de José Emigdio Cortez García, Juan Alberto Muciño Gaytán, </w:t>
      </w:r>
      <w:proofErr w:type="spellStart"/>
      <w:r>
        <w:rPr>
          <w:color w:val="000000"/>
        </w:rPr>
        <w:t>Madai</w:t>
      </w:r>
      <w:proofErr w:type="spellEnd"/>
      <w:r>
        <w:rPr>
          <w:color w:val="000000"/>
        </w:rPr>
        <w:t xml:space="preserve"> Chávez Pichardo y Roberto Iván Talavera Constantino.</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 xml:space="preserve">v. Oficio número DGSYP/DI/76/2025, del once de febrero de dos mil veinticinco, suscrito por el Director de Inteligencia y dirigido a la Directora Jurídica de Seguridad y Protección de Toluca, por medio del cual hizo referencia al oficio DGSYP/DJ/1139/2025 en el que se solicitó los currículos vitae de todos los servidores públicos que ingresaron del primero de enero al cinco de febrero de dos mil veinticinco, así, adjuntó la digitalización de la ficha curricular de José Alfredo Peña </w:t>
      </w:r>
      <w:proofErr w:type="spellStart"/>
      <w:r>
        <w:rPr>
          <w:color w:val="000000"/>
        </w:rPr>
        <w:t>Bernaldez</w:t>
      </w:r>
      <w:proofErr w:type="spellEnd"/>
      <w:r>
        <w:rPr>
          <w:color w:val="000000"/>
        </w:rPr>
        <w:t xml:space="preserve">. </w:t>
      </w:r>
    </w:p>
    <w:p w:rsidR="00C36789" w:rsidRDefault="00C36789">
      <w:pPr>
        <w:spacing w:after="0" w:line="360" w:lineRule="auto"/>
        <w:rPr>
          <w:color w:val="000000"/>
        </w:rPr>
      </w:pPr>
    </w:p>
    <w:p w:rsidR="00C36789" w:rsidRDefault="004F3375">
      <w:pPr>
        <w:spacing w:after="0" w:line="360" w:lineRule="auto"/>
      </w:pPr>
      <w:r>
        <w:rPr>
          <w:color w:val="000000"/>
        </w:rPr>
        <w:t xml:space="preserve">vi. Oficio número DGSYP/DJ/DJC/019/2025, del diecisiete de febrero de dos mil veinticinco, suscrito por el Jefe del Departamento Jurídico y Consultivo de la Dirección Jurídica  de la Dirección General de Seguridad y Protección y dirigido a la Directora Jurídica de la Dirección General de Seguridad y Protección; por medio del cual anexó </w:t>
      </w:r>
      <w:r>
        <w:t xml:space="preserve"> la ficha curricular de Juan Carlos Gómez López, en referencia al oficio DGSTP/DJ/1145/2025 en el que se solicitó los currículums vitae de todos los servidores públicos que ingresaron el primero de enero al cinco de febrero de dos mil veinticinco. </w:t>
      </w:r>
    </w:p>
    <w:p w:rsidR="00C36789" w:rsidRDefault="00C36789">
      <w:pPr>
        <w:spacing w:after="0" w:line="360" w:lineRule="auto"/>
        <w:rPr>
          <w:i/>
          <w:color w:val="000000"/>
          <w:sz w:val="20"/>
          <w:szCs w:val="20"/>
        </w:rPr>
      </w:pPr>
    </w:p>
    <w:p w:rsidR="00C36789" w:rsidRDefault="004F3375">
      <w:pPr>
        <w:spacing w:after="0" w:line="360" w:lineRule="auto"/>
      </w:pPr>
      <w:r>
        <w:rPr>
          <w:color w:val="000000"/>
        </w:rPr>
        <w:t xml:space="preserve">vii. Oficio número DGSYP/DPC/0084/2025, de fecha diez de febrero de dos mil veinticinco, suscrito por el Director de Prevención Comunitaria y dirigido a la Directora Jurídica; en atención al oficio DGSYP/DJ/1142/2025 en el que se requirió información de los currículos vitae de todos los servidores públicos que ingresaron del primero de enero al cinco de febrero </w:t>
      </w:r>
      <w:r>
        <w:rPr>
          <w:color w:val="000000"/>
        </w:rPr>
        <w:lastRenderedPageBreak/>
        <w:t xml:space="preserve">de dos mil veinticinco, </w:t>
      </w:r>
      <w:r>
        <w:t xml:space="preserve">remitió cuatro fichas curriculares de los siguientes servidores públicos; José Alberto Barroso Rodríguez, María Guadalupe Salazar García, Stephanie Guadalupe Martínez Hernández, José Vera Monroy y Oscar Miguel Vega Mireles. </w:t>
      </w:r>
    </w:p>
    <w:p w:rsidR="00C36789" w:rsidRDefault="00C36789">
      <w:pPr>
        <w:spacing w:after="0" w:line="360" w:lineRule="auto"/>
      </w:pPr>
    </w:p>
    <w:p w:rsidR="00C36789" w:rsidRDefault="004F3375">
      <w:pPr>
        <w:spacing w:after="0" w:line="360" w:lineRule="auto"/>
        <w:rPr>
          <w:color w:val="000000"/>
        </w:rPr>
      </w:pPr>
      <w:r>
        <w:rPr>
          <w:color w:val="000000"/>
        </w:rPr>
        <w:t>viii. Oficio número SA/CPCYB/1004/2025, del once de febrero de dos mil veinticinco, suscrito por el Coordinador de Protección Civil y Bomberos y dirigido a la Directora Jurídica de la Dirección General de Seguridad y Protección del Ayuntamiento de Toluca; por medio del cual remitió las fichas curriculares de Oscar  Rivera Martínez, José David Salinas Flores, Erik Daniel Castillo Peña, Liliana Silverio Velázquez, Luis Alejandro Caballero Palomares y Camilo Rojas Morales, en atención al oficio DGSYP/DJ/1143/2025 en el que se le requirió los currículos vitae de todos los servidores públicos que ingresaron del primero de enero al cinco de febrero de dos mil veinticinco.</w:t>
      </w:r>
    </w:p>
    <w:p w:rsidR="00C36789" w:rsidRDefault="004F3375">
      <w:pPr>
        <w:spacing w:after="0" w:line="360" w:lineRule="auto"/>
      </w:pPr>
      <w:r>
        <w:rPr>
          <w:color w:val="000000"/>
        </w:rPr>
        <w:t xml:space="preserve"> </w:t>
      </w:r>
    </w:p>
    <w:p w:rsidR="00C36789" w:rsidRDefault="004F3375">
      <w:pPr>
        <w:spacing w:after="0" w:line="360" w:lineRule="auto"/>
        <w:rPr>
          <w:color w:val="000000"/>
        </w:rPr>
      </w:pPr>
      <w:r>
        <w:rPr>
          <w:color w:val="000000"/>
        </w:rPr>
        <w:t xml:space="preserve">ix. Tabulador de sueldos correspondiente al ejercicio fiscal dos mil veintidós.  </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 xml:space="preserve">x. Adjuntó la digitalización de veintitrés nombramientos con las fichas curriculares de los siguientes servidores públicos: </w:t>
      </w:r>
    </w:p>
    <w:p w:rsidR="00C36789" w:rsidRDefault="00C36789">
      <w:pPr>
        <w:spacing w:after="0" w:line="360" w:lineRule="auto"/>
        <w:ind w:right="567"/>
        <w:rPr>
          <w:color w:val="000000"/>
        </w:rPr>
      </w:pPr>
    </w:p>
    <w:p w:rsidR="00C36789" w:rsidRDefault="004F3375">
      <w:pPr>
        <w:spacing w:after="0" w:line="360" w:lineRule="auto"/>
        <w:ind w:left="567" w:right="567"/>
        <w:rPr>
          <w:color w:val="000000"/>
        </w:rPr>
      </w:pPr>
      <w:r>
        <w:rPr>
          <w:color w:val="000000"/>
        </w:rPr>
        <w:t xml:space="preserve">- Jesús Luis Ignacio </w:t>
      </w:r>
      <w:proofErr w:type="spellStart"/>
      <w:r>
        <w:rPr>
          <w:color w:val="000000"/>
        </w:rPr>
        <w:t>Zendejas</w:t>
      </w:r>
      <w:proofErr w:type="spellEnd"/>
      <w:r>
        <w:rPr>
          <w:color w:val="000000"/>
        </w:rPr>
        <w:t xml:space="preserve"> Osorio, como Director General de Desarrollo Social del primero de enero de dos mil veintidós. </w:t>
      </w:r>
    </w:p>
    <w:p w:rsidR="00C36789" w:rsidRDefault="004F3375">
      <w:pPr>
        <w:spacing w:after="0" w:line="360" w:lineRule="auto"/>
        <w:ind w:left="567" w:right="567"/>
        <w:rPr>
          <w:color w:val="000000"/>
        </w:rPr>
      </w:pPr>
      <w:r>
        <w:rPr>
          <w:color w:val="000000"/>
        </w:rPr>
        <w:t xml:space="preserve">-Constancia de Mayoría de Jorge Omar Velázquez Ruíz, como Regidor 1 del primero de enero de dos mil veintidós. </w:t>
      </w:r>
    </w:p>
    <w:p w:rsidR="00C36789" w:rsidRDefault="004F3375">
      <w:pPr>
        <w:spacing w:after="0" w:line="360" w:lineRule="auto"/>
        <w:ind w:left="567" w:right="567"/>
        <w:rPr>
          <w:color w:val="000000"/>
        </w:rPr>
      </w:pPr>
      <w:r>
        <w:rPr>
          <w:color w:val="000000"/>
        </w:rPr>
        <w:t>-</w:t>
      </w:r>
      <w:r>
        <w:t xml:space="preserve"> </w:t>
      </w:r>
      <w:r>
        <w:rPr>
          <w:color w:val="000000"/>
        </w:rPr>
        <w:t>Constancia de Mayoría de Carlos Gabriel Ulloa González, como Regidor 3 del primero de enero de dos mil veintidós.</w:t>
      </w:r>
    </w:p>
    <w:p w:rsidR="00C36789" w:rsidRDefault="004F3375">
      <w:pPr>
        <w:spacing w:after="0" w:line="360" w:lineRule="auto"/>
        <w:ind w:left="567" w:right="567"/>
        <w:rPr>
          <w:color w:val="000000"/>
        </w:rPr>
      </w:pPr>
      <w:r>
        <w:rPr>
          <w:color w:val="000000"/>
        </w:rPr>
        <w:t>-</w:t>
      </w:r>
      <w:r>
        <w:t xml:space="preserve"> </w:t>
      </w:r>
      <w:r>
        <w:rPr>
          <w:color w:val="000000"/>
        </w:rPr>
        <w:t xml:space="preserve">Constancia de Mayoría de Octavio Saldaña </w:t>
      </w:r>
      <w:proofErr w:type="spellStart"/>
      <w:r>
        <w:rPr>
          <w:color w:val="000000"/>
        </w:rPr>
        <w:t>Hermitaño</w:t>
      </w:r>
      <w:proofErr w:type="spellEnd"/>
      <w:r>
        <w:rPr>
          <w:color w:val="000000"/>
        </w:rPr>
        <w:t>,  como Regidor 7 del primero de enero de dos mil veintidós.</w:t>
      </w:r>
    </w:p>
    <w:p w:rsidR="00C36789" w:rsidRDefault="004F3375">
      <w:pPr>
        <w:spacing w:after="0" w:line="360" w:lineRule="auto"/>
        <w:ind w:left="567" w:right="567"/>
        <w:rPr>
          <w:color w:val="000000"/>
        </w:rPr>
      </w:pPr>
      <w:r>
        <w:rPr>
          <w:color w:val="000000"/>
        </w:rPr>
        <w:lastRenderedPageBreak/>
        <w:t>- Constancia de Mayoría de Mariela Concepción Rodríguez Mora, como Regidor 6 del primero de enero de dos mil veintidós.</w:t>
      </w:r>
    </w:p>
    <w:p w:rsidR="00C36789" w:rsidRDefault="004F3375">
      <w:pPr>
        <w:spacing w:after="0" w:line="360" w:lineRule="auto"/>
        <w:ind w:left="567" w:right="567"/>
        <w:rPr>
          <w:color w:val="000000"/>
        </w:rPr>
      </w:pPr>
      <w:r>
        <w:rPr>
          <w:color w:val="000000"/>
        </w:rPr>
        <w:t>-</w:t>
      </w:r>
      <w:r>
        <w:t xml:space="preserve"> </w:t>
      </w:r>
      <w:r>
        <w:rPr>
          <w:color w:val="000000"/>
        </w:rPr>
        <w:t xml:space="preserve">Constancia de Representación Proporcional de Alma </w:t>
      </w:r>
      <w:proofErr w:type="spellStart"/>
      <w:r>
        <w:rPr>
          <w:color w:val="000000"/>
        </w:rPr>
        <w:t>America</w:t>
      </w:r>
      <w:proofErr w:type="spellEnd"/>
      <w:r>
        <w:rPr>
          <w:color w:val="000000"/>
        </w:rPr>
        <w:t xml:space="preserve"> Rivera </w:t>
      </w:r>
      <w:proofErr w:type="spellStart"/>
      <w:r>
        <w:rPr>
          <w:color w:val="000000"/>
        </w:rPr>
        <w:t>Tavizon</w:t>
      </w:r>
      <w:proofErr w:type="spellEnd"/>
      <w:r>
        <w:rPr>
          <w:color w:val="000000"/>
        </w:rPr>
        <w:t xml:space="preserve">, como Síndico del primero de enero de dos mil veintidós </w:t>
      </w:r>
    </w:p>
    <w:p w:rsidR="00C36789" w:rsidRDefault="004F3375">
      <w:pPr>
        <w:spacing w:after="0" w:line="360" w:lineRule="auto"/>
        <w:ind w:left="567" w:right="567"/>
        <w:rPr>
          <w:color w:val="000000"/>
        </w:rPr>
      </w:pPr>
      <w:r>
        <w:rPr>
          <w:color w:val="000000"/>
        </w:rPr>
        <w:t xml:space="preserve">-Leopoldo Reyes Pavón, como Director General de Seguridad y Protección del primero de enero de dos mil veintidós. </w:t>
      </w:r>
    </w:p>
    <w:p w:rsidR="00C36789" w:rsidRDefault="004F3375">
      <w:pPr>
        <w:spacing w:after="0" w:line="360" w:lineRule="auto"/>
        <w:ind w:left="567" w:right="567"/>
        <w:rPr>
          <w:b/>
          <w:color w:val="000000"/>
        </w:rPr>
      </w:pPr>
      <w:r>
        <w:rPr>
          <w:color w:val="000000"/>
        </w:rPr>
        <w:t xml:space="preserve">-Adán Piña Esteban como Octavo Regidor </w:t>
      </w:r>
      <w:r>
        <w:rPr>
          <w:b/>
          <w:color w:val="000000"/>
        </w:rPr>
        <w:t xml:space="preserve">(únicamente entregó ficha curricular) </w:t>
      </w:r>
    </w:p>
    <w:p w:rsidR="00C36789" w:rsidRDefault="004F3375">
      <w:pPr>
        <w:spacing w:after="0" w:line="360" w:lineRule="auto"/>
        <w:ind w:left="567" w:right="567"/>
        <w:rPr>
          <w:color w:val="000000"/>
        </w:rPr>
      </w:pPr>
      <w:r>
        <w:rPr>
          <w:color w:val="000000"/>
        </w:rPr>
        <w:t xml:space="preserve">-María Amalia Peralta Rodríguez, como Novena Regidora </w:t>
      </w:r>
      <w:r>
        <w:rPr>
          <w:b/>
          <w:color w:val="000000"/>
        </w:rPr>
        <w:t>(únicamente entregó ficha curricular)</w:t>
      </w:r>
    </w:p>
    <w:p w:rsidR="00C36789" w:rsidRDefault="004F3375">
      <w:pPr>
        <w:spacing w:after="0" w:line="360" w:lineRule="auto"/>
        <w:ind w:left="567" w:right="567"/>
        <w:rPr>
          <w:color w:val="000000"/>
        </w:rPr>
      </w:pPr>
      <w:r>
        <w:rPr>
          <w:color w:val="000000"/>
        </w:rPr>
        <w:t>-Luis Fernando Morales Núñez, como Director General de Desarrollo Urbano del primero de enero de dos mil veintidós.</w:t>
      </w:r>
    </w:p>
    <w:p w:rsidR="00C36789" w:rsidRDefault="004F3375">
      <w:pPr>
        <w:spacing w:after="0" w:line="360" w:lineRule="auto"/>
        <w:ind w:left="567" w:right="567"/>
        <w:rPr>
          <w:color w:val="000000"/>
        </w:rPr>
      </w:pPr>
      <w:r>
        <w:rPr>
          <w:color w:val="000000"/>
        </w:rPr>
        <w:t xml:space="preserve">- Constancia de Mayoría de </w:t>
      </w:r>
      <w:proofErr w:type="spellStart"/>
      <w:r>
        <w:rPr>
          <w:color w:val="000000"/>
        </w:rPr>
        <w:t>Geciel</w:t>
      </w:r>
      <w:proofErr w:type="spellEnd"/>
      <w:r>
        <w:rPr>
          <w:color w:val="000000"/>
        </w:rPr>
        <w:t xml:space="preserve"> Mendoza Flores, como Regidor 5 del primero de enero de dos mil veintidós.</w:t>
      </w:r>
    </w:p>
    <w:p w:rsidR="00C36789" w:rsidRDefault="004F3375">
      <w:pPr>
        <w:spacing w:after="0" w:line="360" w:lineRule="auto"/>
        <w:ind w:left="567" w:right="567"/>
        <w:rPr>
          <w:color w:val="000000"/>
        </w:rPr>
      </w:pPr>
      <w:r>
        <w:rPr>
          <w:color w:val="000000"/>
        </w:rPr>
        <w:t>- Constancia de Mayoría de Raymundo Edgar Martínez Carbajal, como Presidente del primero de enero de dos mil veintidós.</w:t>
      </w:r>
    </w:p>
    <w:p w:rsidR="00C36789" w:rsidRDefault="004F3375">
      <w:pPr>
        <w:spacing w:after="0" w:line="360" w:lineRule="auto"/>
        <w:ind w:left="567" w:right="567"/>
        <w:rPr>
          <w:color w:val="000000"/>
        </w:rPr>
      </w:pPr>
      <w:r>
        <w:rPr>
          <w:color w:val="000000"/>
        </w:rPr>
        <w:t xml:space="preserve">-Jaime Amado López Gómez, como Director General de Medio Ambiente a partir del veinte de junio de dos mil veinticuatro. </w:t>
      </w:r>
    </w:p>
    <w:p w:rsidR="00C36789" w:rsidRDefault="004F3375">
      <w:pPr>
        <w:spacing w:after="0" w:line="360" w:lineRule="auto"/>
        <w:ind w:left="567" w:right="567"/>
        <w:rPr>
          <w:color w:val="000000"/>
        </w:rPr>
      </w:pPr>
      <w:r>
        <w:rPr>
          <w:color w:val="000000"/>
        </w:rPr>
        <w:t>-</w:t>
      </w:r>
      <w:proofErr w:type="spellStart"/>
      <w:r>
        <w:rPr>
          <w:color w:val="000000"/>
        </w:rPr>
        <w:t>Thania</w:t>
      </w:r>
      <w:proofErr w:type="spellEnd"/>
      <w:r>
        <w:rPr>
          <w:color w:val="000000"/>
        </w:rPr>
        <w:t xml:space="preserve"> Elizabeth Hernández Niño, como Segunda Regidora </w:t>
      </w:r>
      <w:r>
        <w:rPr>
          <w:b/>
          <w:color w:val="000000"/>
        </w:rPr>
        <w:t>(únicamente entregó ficha curricular)</w:t>
      </w:r>
    </w:p>
    <w:p w:rsidR="00C36789" w:rsidRDefault="004F3375">
      <w:pPr>
        <w:spacing w:after="0" w:line="360" w:lineRule="auto"/>
        <w:ind w:left="567" w:right="567"/>
        <w:rPr>
          <w:color w:val="000000"/>
        </w:rPr>
      </w:pPr>
      <w:r>
        <w:rPr>
          <w:color w:val="000000"/>
        </w:rPr>
        <w:t xml:space="preserve">-  Constancia de Representación Proporcional de Mario Alberto Hernández Cardoso, como Regidor 10, del primero de enero de dos mil veintidós.  </w:t>
      </w:r>
    </w:p>
    <w:p w:rsidR="00C36789" w:rsidRDefault="004F3375">
      <w:pPr>
        <w:spacing w:after="0" w:line="360" w:lineRule="auto"/>
        <w:ind w:left="567" w:right="567"/>
        <w:rPr>
          <w:color w:val="000000"/>
        </w:rPr>
      </w:pPr>
      <w:r>
        <w:rPr>
          <w:color w:val="000000"/>
        </w:rPr>
        <w:t xml:space="preserve">-Andrés González Nieto, como Director General de Gobierno del primero de enero de dos mil veintidós.  </w:t>
      </w:r>
    </w:p>
    <w:p w:rsidR="00C36789" w:rsidRDefault="004F3375">
      <w:pPr>
        <w:spacing w:after="0" w:line="360" w:lineRule="auto"/>
        <w:ind w:left="567" w:right="567"/>
        <w:rPr>
          <w:color w:val="000000"/>
        </w:rPr>
      </w:pPr>
      <w:r>
        <w:rPr>
          <w:color w:val="000000"/>
        </w:rPr>
        <w:t xml:space="preserve">- Constancia de Representación Proporcional de Omar Garay Garduño, como Regidor 12  del primero de enero de dos mil veintidós.  </w:t>
      </w:r>
    </w:p>
    <w:p w:rsidR="00C36789" w:rsidRDefault="004F3375">
      <w:pPr>
        <w:spacing w:after="0" w:line="360" w:lineRule="auto"/>
        <w:ind w:left="567" w:right="567"/>
        <w:rPr>
          <w:color w:val="000000"/>
        </w:rPr>
      </w:pPr>
      <w:r>
        <w:rPr>
          <w:color w:val="000000"/>
        </w:rPr>
        <w:lastRenderedPageBreak/>
        <w:t>-Vicente Estrada Iniesta, como Director General de Servicios Públicos del primero de enero de dos mil veintidós.</w:t>
      </w:r>
    </w:p>
    <w:p w:rsidR="00C36789" w:rsidRDefault="004F3375">
      <w:pPr>
        <w:spacing w:after="0" w:line="360" w:lineRule="auto"/>
        <w:ind w:left="567" w:right="567"/>
        <w:rPr>
          <w:color w:val="000000"/>
        </w:rPr>
      </w:pPr>
      <w:r>
        <w:rPr>
          <w:color w:val="000000"/>
        </w:rPr>
        <w:t>-</w:t>
      </w:r>
      <w:proofErr w:type="spellStart"/>
      <w:r>
        <w:rPr>
          <w:color w:val="000000"/>
        </w:rPr>
        <w:t>Laila</w:t>
      </w:r>
      <w:proofErr w:type="spellEnd"/>
      <w:r>
        <w:rPr>
          <w:color w:val="000000"/>
        </w:rPr>
        <w:t xml:space="preserve"> </w:t>
      </w:r>
      <w:proofErr w:type="spellStart"/>
      <w:r>
        <w:rPr>
          <w:color w:val="000000"/>
        </w:rPr>
        <w:t>Chemor</w:t>
      </w:r>
      <w:proofErr w:type="spellEnd"/>
      <w:r>
        <w:rPr>
          <w:color w:val="000000"/>
        </w:rPr>
        <w:t xml:space="preserve"> Sánchez, como Directora de Desarrollo Económico del primero de enero de dos mil veintidós. </w:t>
      </w:r>
    </w:p>
    <w:p w:rsidR="00C36789" w:rsidRDefault="004F3375">
      <w:pPr>
        <w:spacing w:after="0" w:line="360" w:lineRule="auto"/>
        <w:ind w:left="567" w:right="567"/>
        <w:rPr>
          <w:color w:val="000000"/>
        </w:rPr>
      </w:pPr>
      <w:r>
        <w:rPr>
          <w:color w:val="000000"/>
        </w:rPr>
        <w:t xml:space="preserve">-Sonia Castillo Ortega, como Cuarta Regidora </w:t>
      </w:r>
      <w:r>
        <w:rPr>
          <w:b/>
          <w:color w:val="000000"/>
        </w:rPr>
        <w:t>(únicamente entregó ficha curricular)</w:t>
      </w:r>
    </w:p>
    <w:p w:rsidR="00C36789" w:rsidRDefault="004F3375">
      <w:pPr>
        <w:spacing w:after="0" w:line="360" w:lineRule="auto"/>
        <w:ind w:left="567" w:right="567"/>
        <w:rPr>
          <w:color w:val="000000"/>
        </w:rPr>
      </w:pPr>
      <w:r>
        <w:rPr>
          <w:color w:val="000000"/>
        </w:rPr>
        <w:t>-</w:t>
      </w:r>
      <w:proofErr w:type="spellStart"/>
      <w:r>
        <w:rPr>
          <w:color w:val="000000"/>
        </w:rPr>
        <w:t>Janete</w:t>
      </w:r>
      <w:proofErr w:type="spellEnd"/>
      <w:r>
        <w:rPr>
          <w:color w:val="000000"/>
        </w:rPr>
        <w:t xml:space="preserve"> Susana Campos Fabela, como Directora de Desarrollo Urbano del primero de enero de dos mil veintidós</w:t>
      </w:r>
    </w:p>
    <w:p w:rsidR="00C36789" w:rsidRDefault="004F3375">
      <w:pPr>
        <w:spacing w:after="0" w:line="360" w:lineRule="auto"/>
        <w:ind w:left="567" w:right="567"/>
        <w:rPr>
          <w:color w:val="000000"/>
        </w:rPr>
      </w:pPr>
      <w:r>
        <w:rPr>
          <w:color w:val="000000"/>
        </w:rPr>
        <w:t>-</w:t>
      </w:r>
      <w:proofErr w:type="spellStart"/>
      <w:r>
        <w:rPr>
          <w:color w:val="000000"/>
        </w:rPr>
        <w:t>Yazmin</w:t>
      </w:r>
      <w:proofErr w:type="spellEnd"/>
      <w:r>
        <w:rPr>
          <w:color w:val="000000"/>
        </w:rPr>
        <w:t xml:space="preserve"> del Carmen Arévalo </w:t>
      </w:r>
      <w:proofErr w:type="spellStart"/>
      <w:r>
        <w:rPr>
          <w:color w:val="000000"/>
        </w:rPr>
        <w:t>Athie</w:t>
      </w:r>
      <w:proofErr w:type="spellEnd"/>
      <w:r>
        <w:rPr>
          <w:color w:val="000000"/>
        </w:rPr>
        <w:t>, como Directora General de Administración del primero de enero de dos mil veintidós</w:t>
      </w:r>
    </w:p>
    <w:p w:rsidR="00C36789" w:rsidRDefault="004F3375">
      <w:pPr>
        <w:spacing w:after="0" w:line="360" w:lineRule="auto"/>
        <w:ind w:left="567" w:right="567"/>
        <w:rPr>
          <w:color w:val="000000"/>
        </w:rPr>
      </w:pPr>
      <w:r>
        <w:rPr>
          <w:color w:val="000000"/>
        </w:rPr>
        <w:t xml:space="preserve">- Constancia de Mayoría de Emma Laura Álvarez Villavicencio, como Síndico del primero de enero de dos mil veintidós. </w:t>
      </w:r>
    </w:p>
    <w:p w:rsidR="00C36789" w:rsidRDefault="00C36789">
      <w:pPr>
        <w:spacing w:after="0" w:line="360" w:lineRule="auto"/>
        <w:ind w:right="567"/>
        <w:rPr>
          <w:i/>
          <w:color w:val="000000"/>
        </w:rPr>
      </w:pPr>
    </w:p>
    <w:p w:rsidR="00C36789" w:rsidRDefault="004F3375">
      <w:pPr>
        <w:pStyle w:val="Ttulo2"/>
        <w:spacing w:before="0" w:line="360" w:lineRule="auto"/>
        <w:rPr>
          <w:rFonts w:ascii="Palatino Linotype" w:eastAsia="Palatino Linotype" w:hAnsi="Palatino Linotype" w:cs="Palatino Linotype"/>
          <w:b/>
          <w:color w:val="000000"/>
          <w:sz w:val="22"/>
          <w:szCs w:val="22"/>
        </w:rPr>
      </w:pPr>
      <w:bookmarkStart w:id="4" w:name="_heading=h.675x4dfx1a1c" w:colFirst="0" w:colLast="0"/>
      <w:bookmarkEnd w:id="4"/>
      <w:r>
        <w:rPr>
          <w:rFonts w:ascii="Palatino Linotype" w:eastAsia="Palatino Linotype" w:hAnsi="Palatino Linotype" w:cs="Palatino Linotype"/>
          <w:b/>
          <w:color w:val="000000"/>
          <w:sz w:val="22"/>
          <w:szCs w:val="22"/>
        </w:rPr>
        <w:t>III. Interposición del Recurso de Revisión</w:t>
      </w:r>
    </w:p>
    <w:p w:rsidR="00C36789" w:rsidRDefault="00C36789">
      <w:pPr>
        <w:spacing w:after="0" w:line="360" w:lineRule="auto"/>
        <w:rPr>
          <w:color w:val="FF0000"/>
        </w:rPr>
      </w:pPr>
    </w:p>
    <w:p w:rsidR="00C36789" w:rsidRDefault="004F3375">
      <w:pPr>
        <w:widowControl w:val="0"/>
        <w:spacing w:after="0" w:line="360" w:lineRule="auto"/>
        <w:rPr>
          <w:color w:val="000000"/>
        </w:rPr>
      </w:pPr>
      <w:r>
        <w:rPr>
          <w:color w:val="000000"/>
        </w:rPr>
        <w:t>Con fecha cuatro de marzo de dos mil veinticinco, se recibió en este Instituto, a través del Sistema de Acceso a la Información Mexiquense (SAIMEX), el Recurso de Revisión interpuesto por la parte Recurrente, en contra de la respuesta del Sujeto Obligado, en los siguientes términos:</w:t>
      </w:r>
    </w:p>
    <w:p w:rsidR="00C36789" w:rsidRDefault="00C36789">
      <w:pPr>
        <w:tabs>
          <w:tab w:val="left" w:pos="4667"/>
        </w:tabs>
        <w:spacing w:after="0" w:line="360" w:lineRule="auto"/>
        <w:ind w:left="567" w:right="567"/>
        <w:rPr>
          <w:b/>
          <w:i/>
          <w:color w:val="FF0000"/>
          <w:sz w:val="20"/>
          <w:szCs w:val="20"/>
        </w:rPr>
      </w:pPr>
    </w:p>
    <w:p w:rsidR="00C36789" w:rsidRDefault="004F3375">
      <w:pPr>
        <w:tabs>
          <w:tab w:val="left" w:pos="4667"/>
        </w:tabs>
        <w:spacing w:after="0" w:line="360" w:lineRule="auto"/>
        <w:ind w:left="567" w:right="567"/>
        <w:rPr>
          <w:b/>
          <w:i/>
          <w:color w:val="000000"/>
          <w:sz w:val="20"/>
          <w:szCs w:val="20"/>
        </w:rPr>
      </w:pPr>
      <w:r>
        <w:rPr>
          <w:b/>
          <w:i/>
          <w:color w:val="000000"/>
          <w:sz w:val="20"/>
          <w:szCs w:val="20"/>
        </w:rPr>
        <w:t>“ACTO IMPUGNADO</w:t>
      </w:r>
    </w:p>
    <w:p w:rsidR="00C36789" w:rsidRDefault="004F3375">
      <w:pPr>
        <w:tabs>
          <w:tab w:val="left" w:pos="4667"/>
        </w:tabs>
        <w:spacing w:after="0" w:line="360" w:lineRule="auto"/>
        <w:ind w:left="567" w:right="567"/>
        <w:rPr>
          <w:i/>
          <w:color w:val="000000"/>
          <w:sz w:val="20"/>
          <w:szCs w:val="20"/>
        </w:rPr>
      </w:pPr>
      <w:r>
        <w:rPr>
          <w:i/>
          <w:color w:val="000000"/>
          <w:sz w:val="20"/>
          <w:szCs w:val="20"/>
        </w:rPr>
        <w:t xml:space="preserve">La información </w:t>
      </w:r>
      <w:proofErr w:type="spellStart"/>
      <w:r>
        <w:rPr>
          <w:i/>
          <w:color w:val="000000"/>
          <w:sz w:val="20"/>
          <w:szCs w:val="20"/>
        </w:rPr>
        <w:t>esta</w:t>
      </w:r>
      <w:proofErr w:type="spellEnd"/>
      <w:r>
        <w:rPr>
          <w:i/>
          <w:color w:val="000000"/>
          <w:sz w:val="20"/>
          <w:szCs w:val="20"/>
        </w:rPr>
        <w:t xml:space="preserve"> incompleta no entrega las </w:t>
      </w:r>
      <w:proofErr w:type="spellStart"/>
      <w:r>
        <w:rPr>
          <w:i/>
          <w:color w:val="000000"/>
          <w:sz w:val="20"/>
          <w:szCs w:val="20"/>
        </w:rPr>
        <w:t>acats</w:t>
      </w:r>
      <w:proofErr w:type="spellEnd"/>
      <w:r>
        <w:rPr>
          <w:i/>
          <w:color w:val="000000"/>
          <w:sz w:val="20"/>
          <w:szCs w:val="20"/>
        </w:rPr>
        <w:t xml:space="preserve"> de sesión de cabildo y otra información” (Sic.)</w:t>
      </w:r>
    </w:p>
    <w:p w:rsidR="00C36789" w:rsidRDefault="00C36789">
      <w:pPr>
        <w:tabs>
          <w:tab w:val="left" w:pos="4667"/>
        </w:tabs>
        <w:spacing w:after="0" w:line="360" w:lineRule="auto"/>
        <w:ind w:left="567" w:right="567"/>
        <w:rPr>
          <w:i/>
          <w:color w:val="FF0000"/>
          <w:sz w:val="20"/>
          <w:szCs w:val="20"/>
        </w:rPr>
      </w:pPr>
    </w:p>
    <w:p w:rsidR="00C36789" w:rsidRDefault="004F3375">
      <w:pPr>
        <w:tabs>
          <w:tab w:val="left" w:pos="4667"/>
        </w:tabs>
        <w:spacing w:after="0" w:line="360" w:lineRule="auto"/>
        <w:ind w:left="567" w:right="567"/>
        <w:rPr>
          <w:b/>
          <w:i/>
          <w:color w:val="000000"/>
          <w:sz w:val="20"/>
          <w:szCs w:val="20"/>
        </w:rPr>
      </w:pPr>
      <w:r>
        <w:rPr>
          <w:b/>
          <w:i/>
          <w:color w:val="000000"/>
          <w:sz w:val="20"/>
          <w:szCs w:val="20"/>
        </w:rPr>
        <w:t>“RAZONES O MOTIVOS DE LA INCONFORMIDAD</w:t>
      </w:r>
    </w:p>
    <w:p w:rsidR="00C36789" w:rsidRDefault="004F3375">
      <w:pPr>
        <w:tabs>
          <w:tab w:val="left" w:pos="4667"/>
        </w:tabs>
        <w:spacing w:after="0" w:line="360" w:lineRule="auto"/>
        <w:ind w:left="567" w:right="567"/>
        <w:rPr>
          <w:i/>
          <w:color w:val="000000"/>
          <w:sz w:val="20"/>
          <w:szCs w:val="20"/>
        </w:rPr>
      </w:pPr>
      <w:r>
        <w:rPr>
          <w:i/>
          <w:color w:val="000000"/>
          <w:sz w:val="20"/>
          <w:szCs w:val="20"/>
        </w:rPr>
        <w:t>El sujeto Obligado no entrega la información completa faltan actas, fichas curriculares y otros” (Sic.)</w:t>
      </w:r>
    </w:p>
    <w:p w:rsidR="00C36789" w:rsidRDefault="00C36789">
      <w:pPr>
        <w:tabs>
          <w:tab w:val="left" w:pos="4667"/>
        </w:tabs>
        <w:spacing w:after="0" w:line="360" w:lineRule="auto"/>
        <w:ind w:right="567"/>
        <w:rPr>
          <w:i/>
          <w:color w:val="000000"/>
          <w:sz w:val="20"/>
          <w:szCs w:val="20"/>
        </w:rPr>
      </w:pPr>
    </w:p>
    <w:p w:rsidR="00C36789" w:rsidRDefault="004F3375">
      <w:pPr>
        <w:pStyle w:val="Ttulo2"/>
        <w:spacing w:before="0" w:line="360" w:lineRule="auto"/>
        <w:rPr>
          <w:rFonts w:ascii="Palatino Linotype" w:eastAsia="Palatino Linotype" w:hAnsi="Palatino Linotype" w:cs="Palatino Linotype"/>
          <w:b/>
          <w:color w:val="000000"/>
          <w:sz w:val="22"/>
          <w:szCs w:val="22"/>
        </w:rPr>
      </w:pPr>
      <w:bookmarkStart w:id="5" w:name="_heading=h.q5p5natl76cc" w:colFirst="0" w:colLast="0"/>
      <w:bookmarkEnd w:id="5"/>
      <w:r>
        <w:rPr>
          <w:rFonts w:ascii="Palatino Linotype" w:eastAsia="Palatino Linotype" w:hAnsi="Palatino Linotype" w:cs="Palatino Linotype"/>
          <w:b/>
          <w:color w:val="000000"/>
          <w:sz w:val="22"/>
          <w:szCs w:val="22"/>
        </w:rPr>
        <w:lastRenderedPageBreak/>
        <w:t>IV. Trámite del Recurso de Revisión ante este Instituto</w:t>
      </w:r>
    </w:p>
    <w:p w:rsidR="00C36789" w:rsidRDefault="00C36789">
      <w:pPr>
        <w:spacing w:after="0" w:line="360" w:lineRule="auto"/>
        <w:rPr>
          <w:b/>
          <w:color w:val="FF0000"/>
        </w:rPr>
      </w:pPr>
    </w:p>
    <w:p w:rsidR="00C36789" w:rsidRDefault="004F3375">
      <w:pPr>
        <w:spacing w:after="0" w:line="360" w:lineRule="auto"/>
        <w:rPr>
          <w:b/>
          <w:color w:val="000000"/>
        </w:rPr>
      </w:pPr>
      <w:bookmarkStart w:id="6" w:name="_heading=h.rlyjna9oryrw" w:colFirst="0" w:colLast="0"/>
      <w:bookmarkEnd w:id="6"/>
      <w:r>
        <w:rPr>
          <w:b/>
          <w:color w:val="000000"/>
        </w:rPr>
        <w:t>a) Turno del Medio de Impugnación.</w:t>
      </w:r>
      <w:r>
        <w:rPr>
          <w:b/>
        </w:rPr>
        <w:t xml:space="preserve"> </w:t>
      </w:r>
      <w:r>
        <w:rPr>
          <w:color w:val="000000"/>
        </w:rPr>
        <w:t xml:space="preserve">El tres de marzo de dos mil veinticinco, el Sistema de Acceso a la Información Mexiquense (SAIMEX), asignó el número de expediente </w:t>
      </w:r>
      <w:r>
        <w:rPr>
          <w:b/>
          <w:color w:val="000000"/>
        </w:rPr>
        <w:t>02396/INFOEM/IP/RR/2025</w:t>
      </w:r>
      <w:r>
        <w:rPr>
          <w:color w:val="000000"/>
        </w:rPr>
        <w:t xml:space="preserve">, al Medio de Impugnación que nos ocupa, con base en el sistema aprobado por el Pleno de este Órgano Garante y lo turnó al </w:t>
      </w:r>
      <w:r>
        <w:rPr>
          <w:b/>
          <w:color w:val="000000"/>
        </w:rPr>
        <w:t>Comisionado Ponente Luis Gustavo Parra Noriega</w:t>
      </w:r>
      <w:r>
        <w:rPr>
          <w:color w:val="000000"/>
        </w:rPr>
        <w:t>, para los efectos del artículo 185, fracción I de la Ley de Transparencia y Acceso a la Información Pública del Estado de México y Municipios.</w:t>
      </w:r>
    </w:p>
    <w:p w:rsidR="00C36789" w:rsidRDefault="00C36789">
      <w:pPr>
        <w:spacing w:after="0" w:line="360" w:lineRule="auto"/>
        <w:rPr>
          <w:color w:val="FF0000"/>
        </w:rPr>
      </w:pPr>
    </w:p>
    <w:p w:rsidR="00C36789" w:rsidRDefault="004F3375">
      <w:pPr>
        <w:spacing w:after="0" w:line="360" w:lineRule="auto"/>
        <w:rPr>
          <w:color w:val="000000"/>
        </w:rPr>
      </w:pPr>
      <w:bookmarkStart w:id="7" w:name="_heading=h.crpjjbq2kk5s" w:colFirst="0" w:colLast="0"/>
      <w:bookmarkEnd w:id="7"/>
      <w:r>
        <w:rPr>
          <w:b/>
          <w:color w:val="000000"/>
        </w:rPr>
        <w:t>b) Admisión del Recurso de Revisión.</w:t>
      </w:r>
      <w:r>
        <w:rPr>
          <w:b/>
        </w:rPr>
        <w:t xml:space="preserve"> </w:t>
      </w:r>
      <w:r>
        <w:rPr>
          <w:color w:val="000000"/>
        </w:rPr>
        <w:t xml:space="preserve">El siete de marzo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debidamente notificado a las partes, el mismo día, a través del Sistema de Acceso a la Información Mexiquense (SAIMEX), en el que se les otorgó un plazo de siete días hábiles posteriores a la misma, para que manifestaran lo que a su derecho conviniera y formularan alegatos. </w:t>
      </w:r>
    </w:p>
    <w:p w:rsidR="00C36789" w:rsidRDefault="00C36789">
      <w:pPr>
        <w:spacing w:after="0" w:line="360" w:lineRule="auto"/>
        <w:rPr>
          <w:b/>
          <w:color w:val="000000"/>
        </w:rPr>
      </w:pPr>
    </w:p>
    <w:p w:rsidR="00C36789" w:rsidRDefault="004F3375">
      <w:pPr>
        <w:spacing w:after="0" w:line="360" w:lineRule="auto"/>
      </w:pPr>
      <w:bookmarkStart w:id="8" w:name="_heading=h.m8uasooq17m" w:colFirst="0" w:colLast="0"/>
      <w:bookmarkEnd w:id="8"/>
      <w:r>
        <w:rPr>
          <w:b/>
          <w:color w:val="000000"/>
        </w:rPr>
        <w:t>c) Informe Justificado</w:t>
      </w:r>
      <w:r>
        <w:rPr>
          <w:b/>
        </w:rPr>
        <w:t>.</w:t>
      </w:r>
      <w:r>
        <w:t xml:space="preserve"> El diecinueve de marzo de dos mil veinticinco, se recibió, a través de Sistema de Acceso a la Información Mexiquense (SAIMEX), el Informe Justificado del Sujeto Obligado, por medio de un oficio sin número de la misma fecha de recepción, suscrito por el Titular de la Unidad de Transparencia y dirigido al Comisionado del INFOEM, donde sustancialmente ratificó su respuesta, tal como se muestra a continuación: </w:t>
      </w:r>
    </w:p>
    <w:p w:rsidR="00C36789" w:rsidRDefault="00C36789">
      <w:pPr>
        <w:spacing w:after="0" w:line="360" w:lineRule="auto"/>
      </w:pPr>
    </w:p>
    <w:p w:rsidR="00C36789" w:rsidRDefault="004F3375">
      <w:pPr>
        <w:spacing w:after="0" w:line="360" w:lineRule="auto"/>
        <w:jc w:val="center"/>
      </w:pPr>
      <w:r>
        <w:rPr>
          <w:noProof/>
        </w:rPr>
        <w:lastRenderedPageBreak/>
        <w:drawing>
          <wp:inline distT="0" distB="0" distL="0" distR="0">
            <wp:extent cx="3995942" cy="1902446"/>
            <wp:effectExtent l="0" t="0" r="0" b="0"/>
            <wp:docPr id="20388746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995942" cy="1902446"/>
                    </a:xfrm>
                    <a:prstGeom prst="rect">
                      <a:avLst/>
                    </a:prstGeom>
                    <a:ln/>
                  </pic:spPr>
                </pic:pic>
              </a:graphicData>
            </a:graphic>
          </wp:inline>
        </w:drawing>
      </w:r>
    </w:p>
    <w:p w:rsidR="00C36789" w:rsidRDefault="00C36789">
      <w:pPr>
        <w:spacing w:after="0" w:line="360" w:lineRule="auto"/>
        <w:rPr>
          <w:b/>
        </w:rPr>
      </w:pPr>
      <w:bookmarkStart w:id="9" w:name="_heading=h.9on1w356q67d" w:colFirst="0" w:colLast="0"/>
      <w:bookmarkEnd w:id="9"/>
    </w:p>
    <w:p w:rsidR="00C36789" w:rsidRDefault="004F3375">
      <w:pPr>
        <w:spacing w:after="0" w:line="360" w:lineRule="auto"/>
        <w:rPr>
          <w:b/>
        </w:rPr>
      </w:pPr>
      <w:bookmarkStart w:id="10" w:name="_heading=h.k5pg2jfb0sx1" w:colFirst="0" w:colLast="0"/>
      <w:bookmarkEnd w:id="10"/>
      <w:r>
        <w:rPr>
          <w:b/>
          <w:color w:val="000000"/>
        </w:rPr>
        <w:t>d) Ampliación de plazo para resolver.</w:t>
      </w:r>
      <w:r>
        <w:rPr>
          <w:b/>
        </w:rPr>
        <w:t xml:space="preserve"> </w:t>
      </w:r>
      <w:r>
        <w:rPr>
          <w:color w:val="000000"/>
        </w:rPr>
        <w:t>El catorce de mayo de dos mil veinticinco, el Comisionado Ponente, con fundamento en lo dispuesto por el artículo 181, párrafo tercero, de la Ley de Transparencia y Acceso a la Información Pública del Estado de México y Municipios, acordó ampliar por un plazo razonable, el plazo para resolver el Recurso de Revisión que nos ocupa; acto que fue notificado a las partes el mismo día, mediante el Sistema de Acceso a la Información Mexiquense (SAIMEX).</w:t>
      </w:r>
    </w:p>
    <w:p w:rsidR="00C36789" w:rsidRDefault="00C36789">
      <w:pPr>
        <w:spacing w:after="0" w:line="360" w:lineRule="auto"/>
        <w:rPr>
          <w:b/>
          <w:color w:val="FF0000"/>
        </w:rPr>
      </w:pPr>
    </w:p>
    <w:p w:rsidR="00C36789" w:rsidRDefault="004F3375">
      <w:pPr>
        <w:spacing w:after="0" w:line="360" w:lineRule="auto"/>
        <w:rPr>
          <w:b/>
        </w:rPr>
      </w:pPr>
      <w:r>
        <w:rPr>
          <w:b/>
          <w:color w:val="000000"/>
        </w:rPr>
        <w:t xml:space="preserve">e) Vista del Informe Justificado. </w:t>
      </w:r>
      <w:r>
        <w:t xml:space="preserve">El quince de mayo de dos mil veinticinco, se dictó acuerdo por medio del cual se puso a la vista del Recurrente el Informe Justificado entregado por el Sujeto Obligado, el cual fue notificado a las partes el mismo día, a través del Sistema de Acceso a la Información Mexiquense (SAIMEX). </w:t>
      </w:r>
      <w:r>
        <w:rPr>
          <w:b/>
        </w:rPr>
        <w:t xml:space="preserve">Cabe señalar que el Particular fue omiso en realizar manifestación alguna. </w:t>
      </w:r>
    </w:p>
    <w:p w:rsidR="00C36789" w:rsidRDefault="00C36789">
      <w:pPr>
        <w:spacing w:after="0" w:line="360" w:lineRule="auto"/>
        <w:rPr>
          <w:b/>
          <w:color w:val="FF0000"/>
        </w:rPr>
      </w:pPr>
    </w:p>
    <w:p w:rsidR="00C36789" w:rsidRDefault="004F3375">
      <w:pPr>
        <w:spacing w:after="0" w:line="360" w:lineRule="auto"/>
        <w:ind w:right="-28"/>
        <w:rPr>
          <w:color w:val="000000"/>
        </w:rPr>
      </w:pPr>
      <w:bookmarkStart w:id="11" w:name="_heading=h.2yypitixon8k" w:colFirst="0" w:colLast="0"/>
      <w:bookmarkEnd w:id="11"/>
      <w:r>
        <w:rPr>
          <w:b/>
          <w:color w:val="000000"/>
        </w:rPr>
        <w:t>f) Cierre de instrucción.</w:t>
      </w:r>
      <w:r>
        <w:rPr>
          <w:color w:val="000000"/>
        </w:rPr>
        <w:t xml:space="preserve"> El </w:t>
      </w:r>
      <w:r>
        <w:t xml:space="preserve">veintitrés de octubre </w:t>
      </w:r>
      <w:r>
        <w:rPr>
          <w:color w:val="000000"/>
        </w:rPr>
        <w:t xml:space="preserve">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w:t>
      </w:r>
      <w:r>
        <w:rPr>
          <w:color w:val="000000"/>
        </w:rPr>
        <w:lastRenderedPageBreak/>
        <w:t xml:space="preserve">Información Pública del Estado de México y Municipios, mismo que fue notificado a las partes el mismo día, a través del Sistema de Acceso a la Información Mexiquense (SAIMEX). </w:t>
      </w:r>
    </w:p>
    <w:p w:rsidR="00C36789" w:rsidRDefault="00C36789">
      <w:pPr>
        <w:spacing w:after="0" w:line="360" w:lineRule="auto"/>
        <w:ind w:right="-28"/>
        <w:rPr>
          <w:color w:val="000000"/>
        </w:rPr>
      </w:pPr>
    </w:p>
    <w:p w:rsidR="00C36789" w:rsidRDefault="004F3375">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rsidR="00C36789" w:rsidRDefault="00C36789">
      <w:pPr>
        <w:spacing w:after="0" w:line="360" w:lineRule="auto"/>
        <w:rPr>
          <w:color w:val="000000"/>
        </w:rPr>
      </w:pPr>
    </w:p>
    <w:p w:rsidR="00C36789" w:rsidRDefault="004F3375">
      <w:pPr>
        <w:pStyle w:val="Ttulo1"/>
        <w:spacing w:before="0" w:line="360" w:lineRule="auto"/>
        <w:jc w:val="center"/>
        <w:rPr>
          <w:rFonts w:ascii="Palatino Linotype" w:eastAsia="Palatino Linotype" w:hAnsi="Palatino Linotype" w:cs="Palatino Linotype"/>
          <w:b/>
          <w:color w:val="000000"/>
          <w:sz w:val="22"/>
          <w:szCs w:val="22"/>
        </w:rPr>
      </w:pPr>
      <w:bookmarkStart w:id="12" w:name="_heading=h.dq7api45tg6a" w:colFirst="0" w:colLast="0"/>
      <w:bookmarkEnd w:id="12"/>
      <w:r>
        <w:rPr>
          <w:rFonts w:ascii="Palatino Linotype" w:eastAsia="Palatino Linotype" w:hAnsi="Palatino Linotype" w:cs="Palatino Linotype"/>
          <w:b/>
          <w:color w:val="000000"/>
          <w:sz w:val="22"/>
          <w:szCs w:val="22"/>
        </w:rPr>
        <w:t>C O N S I D E R A N D O S</w:t>
      </w:r>
    </w:p>
    <w:p w:rsidR="00C36789" w:rsidRDefault="00C36789">
      <w:pPr>
        <w:spacing w:after="0" w:line="360" w:lineRule="auto"/>
        <w:jc w:val="center"/>
        <w:rPr>
          <w:b/>
          <w:color w:val="000000"/>
        </w:rPr>
      </w:pPr>
    </w:p>
    <w:p w:rsidR="00C36789" w:rsidRDefault="004F3375">
      <w:pPr>
        <w:pStyle w:val="Ttulo2"/>
        <w:spacing w:before="0" w:line="360" w:lineRule="auto"/>
        <w:rPr>
          <w:rFonts w:ascii="Palatino Linotype" w:eastAsia="Palatino Linotype" w:hAnsi="Palatino Linotype" w:cs="Palatino Linotype"/>
          <w:b/>
          <w:color w:val="000000"/>
          <w:sz w:val="22"/>
          <w:szCs w:val="22"/>
        </w:rPr>
      </w:pPr>
      <w:bookmarkStart w:id="13" w:name="_heading=h.dfesp8ed43qa" w:colFirst="0" w:colLast="0"/>
      <w:bookmarkEnd w:id="13"/>
      <w:r>
        <w:rPr>
          <w:rFonts w:ascii="Palatino Linotype" w:eastAsia="Palatino Linotype" w:hAnsi="Palatino Linotype" w:cs="Palatino Linotype"/>
          <w:b/>
          <w:color w:val="000000"/>
          <w:sz w:val="22"/>
          <w:szCs w:val="22"/>
        </w:rPr>
        <w:t>PRIMERO. Competencia</w:t>
      </w:r>
    </w:p>
    <w:p w:rsidR="00C36789" w:rsidRDefault="00C36789">
      <w:pPr>
        <w:spacing w:after="0" w:line="360" w:lineRule="auto"/>
        <w:rPr>
          <w:b/>
          <w:color w:val="FF0000"/>
        </w:rPr>
      </w:pPr>
    </w:p>
    <w:p w:rsidR="00C36789" w:rsidRDefault="004F3375">
      <w:pPr>
        <w:spacing w:after="0" w:line="360" w:lineRule="auto"/>
        <w:rPr>
          <w:color w:val="000000"/>
        </w:rPr>
      </w:pPr>
      <w:r>
        <w:rPr>
          <w:color w:val="000000"/>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C36789" w:rsidRDefault="00C36789">
      <w:pPr>
        <w:spacing w:after="0" w:line="360" w:lineRule="auto"/>
        <w:rPr>
          <w:b/>
          <w:color w:val="000000"/>
        </w:rPr>
      </w:pPr>
    </w:p>
    <w:p w:rsidR="00C36789" w:rsidRDefault="004F3375">
      <w:pPr>
        <w:pStyle w:val="Ttulo2"/>
        <w:spacing w:before="0" w:line="360" w:lineRule="auto"/>
        <w:rPr>
          <w:rFonts w:ascii="Palatino Linotype" w:eastAsia="Palatino Linotype" w:hAnsi="Palatino Linotype" w:cs="Palatino Linotype"/>
          <w:b/>
          <w:color w:val="000000"/>
          <w:sz w:val="22"/>
          <w:szCs w:val="22"/>
        </w:rPr>
      </w:pPr>
      <w:bookmarkStart w:id="14" w:name="_heading=h.ytzh5wwyvyni" w:colFirst="0" w:colLast="0"/>
      <w:bookmarkEnd w:id="14"/>
      <w:r>
        <w:rPr>
          <w:rFonts w:ascii="Palatino Linotype" w:eastAsia="Palatino Linotype" w:hAnsi="Palatino Linotype" w:cs="Palatino Linotype"/>
          <w:b/>
          <w:color w:val="000000"/>
          <w:sz w:val="22"/>
          <w:szCs w:val="22"/>
        </w:rPr>
        <w:t xml:space="preserve">SEGUNDO. Causales de improcedencia y sobreseimiento </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lastRenderedPageBreak/>
        <w:t xml:space="preserve">De las constancias que forma parte del Recurso de Revisión que se analiza, se advierte que previo al estudio del fondo de la </w:t>
      </w:r>
      <w:proofErr w:type="spellStart"/>
      <w:r>
        <w:rPr>
          <w:i/>
          <w:color w:val="000000"/>
        </w:rPr>
        <w:t>litis</w:t>
      </w:r>
      <w:proofErr w:type="spellEnd"/>
      <w:r>
        <w:rPr>
          <w:color w:val="000000"/>
        </w:rPr>
        <w:t>, es necesario estudiar las causales de improcedencia y sobreseimiento que se adviertan, para determinar lo que en Derecho proceda.</w:t>
      </w:r>
    </w:p>
    <w:p w:rsidR="00C36789" w:rsidRDefault="00C36789">
      <w:pPr>
        <w:spacing w:after="0" w:line="360" w:lineRule="auto"/>
        <w:rPr>
          <w:b/>
          <w:color w:val="000000"/>
        </w:rPr>
      </w:pPr>
    </w:p>
    <w:p w:rsidR="00C36789" w:rsidRDefault="004F3375">
      <w:pPr>
        <w:spacing w:after="0" w:line="360" w:lineRule="auto"/>
        <w:rPr>
          <w:b/>
          <w:color w:val="000000"/>
        </w:rPr>
      </w:pPr>
      <w:r>
        <w:rPr>
          <w:b/>
          <w:color w:val="000000"/>
        </w:rPr>
        <w:t>Causales de improcedencia</w:t>
      </w:r>
    </w:p>
    <w:p w:rsidR="00C36789" w:rsidRDefault="00C36789">
      <w:pPr>
        <w:spacing w:after="0" w:line="360" w:lineRule="auto"/>
        <w:rPr>
          <w:b/>
          <w:color w:val="000000"/>
        </w:rPr>
      </w:pPr>
    </w:p>
    <w:p w:rsidR="00C36789" w:rsidRDefault="004F3375">
      <w:pPr>
        <w:spacing w:after="0" w:line="360" w:lineRule="auto"/>
        <w:rPr>
          <w:color w:val="000000"/>
        </w:rPr>
      </w:pPr>
      <w:r>
        <w:rPr>
          <w:color w:val="000000"/>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w:t>
      </w:r>
      <w:proofErr w:type="spellStart"/>
      <w:r>
        <w:rPr>
          <w:color w:val="000000"/>
        </w:rPr>
        <w:t>Informaci</w:t>
      </w:r>
      <w:proofErr w:type="spellEnd"/>
      <w:r>
        <w:rPr>
          <w:color w:val="000000"/>
        </w:rPr>
        <w:t xml:space="preserve"> </w:t>
      </w:r>
      <w:proofErr w:type="spellStart"/>
      <w:r>
        <w:rPr>
          <w:color w:val="000000"/>
        </w:rPr>
        <w:t>ón</w:t>
      </w:r>
      <w:proofErr w:type="spellEnd"/>
      <w:r>
        <w:rPr>
          <w:color w:val="000000"/>
        </w:rPr>
        <w:t xml:space="preserve"> Pública del Estado de México y Municipios, por ser improcedente.</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En el presente caso, </w:t>
      </w:r>
      <w:r>
        <w:rPr>
          <w:b/>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rsidR="00C36789" w:rsidRDefault="00C36789">
      <w:pPr>
        <w:spacing w:after="0" w:line="360" w:lineRule="auto"/>
        <w:rPr>
          <w:color w:val="000000"/>
        </w:rPr>
      </w:pPr>
    </w:p>
    <w:p w:rsidR="00C36789" w:rsidRDefault="004F3375">
      <w:pPr>
        <w:spacing w:after="0" w:line="360" w:lineRule="auto"/>
      </w:pPr>
      <w:r>
        <w:rPr>
          <w:color w:val="000000"/>
        </w:rPr>
        <w:t xml:space="preserve">Conforme a lo anterior, se actualiza la causal de procedencia señalada en el artículo 179, fracción V, de la Ley de la materia, toda vez que el Solicitante se inconformó </w:t>
      </w:r>
      <w:r>
        <w:t>de la entrega de información incompleta.</w:t>
      </w:r>
    </w:p>
    <w:p w:rsidR="00C36789" w:rsidRDefault="00C36789">
      <w:pPr>
        <w:spacing w:after="0" w:line="360" w:lineRule="auto"/>
      </w:pPr>
    </w:p>
    <w:p w:rsidR="00C36789" w:rsidRDefault="004F3375">
      <w:pPr>
        <w:spacing w:after="0" w:line="360" w:lineRule="auto"/>
        <w:rPr>
          <w:color w:val="0D0D0D"/>
        </w:rPr>
      </w:pPr>
      <w:r>
        <w:rPr>
          <w:b/>
          <w:color w:val="0D0D0D"/>
        </w:rPr>
        <w:lastRenderedPageBreak/>
        <w:t>Causales de sobreseimiento</w:t>
      </w:r>
    </w:p>
    <w:p w:rsidR="00C36789" w:rsidRDefault="00C36789">
      <w:pPr>
        <w:spacing w:after="0" w:line="360" w:lineRule="auto"/>
        <w:rPr>
          <w:color w:val="0D0D0D"/>
        </w:rPr>
      </w:pPr>
    </w:p>
    <w:p w:rsidR="00C36789" w:rsidRDefault="004F3375">
      <w:pPr>
        <w:spacing w:after="0" w:line="360" w:lineRule="auto"/>
        <w:rPr>
          <w:color w:val="0D0D0D"/>
        </w:rPr>
      </w:pPr>
      <w:r>
        <w:rPr>
          <w:color w:val="0D0D0D"/>
        </w:rPr>
        <w:t>Por ser de previo y especial pronunciamiento, este Instituto analiza si se actualiza alguna causal de sobreseimiento.</w:t>
      </w:r>
    </w:p>
    <w:p w:rsidR="00C36789" w:rsidRDefault="00C36789">
      <w:pPr>
        <w:spacing w:after="0" w:line="360" w:lineRule="auto"/>
        <w:rPr>
          <w:color w:val="0D0D0D"/>
        </w:rPr>
      </w:pPr>
    </w:p>
    <w:p w:rsidR="00C36789" w:rsidRDefault="004F3375">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rsidR="00C36789" w:rsidRDefault="00C36789">
      <w:pPr>
        <w:spacing w:after="0" w:line="360" w:lineRule="auto"/>
        <w:rPr>
          <w:color w:val="000000"/>
        </w:rPr>
      </w:pPr>
    </w:p>
    <w:p w:rsidR="00C36789" w:rsidRDefault="004F3375">
      <w:pPr>
        <w:spacing w:after="0" w:line="360" w:lineRule="auto"/>
        <w:rPr>
          <w:color w:val="0D0D0D"/>
        </w:rPr>
      </w:pPr>
      <w:r>
        <w:rPr>
          <w:color w:val="0D0D0D"/>
        </w:rPr>
        <w:t xml:space="preserve">Por tales motivos, se considera procedente entrar al fondo del presente asunto. </w:t>
      </w:r>
    </w:p>
    <w:p w:rsidR="00C36789" w:rsidRDefault="00C36789">
      <w:pPr>
        <w:spacing w:after="0" w:line="360" w:lineRule="auto"/>
        <w:rPr>
          <w:b/>
          <w:color w:val="000000"/>
        </w:rPr>
      </w:pPr>
    </w:p>
    <w:p w:rsidR="00C36789" w:rsidRDefault="004F3375">
      <w:pPr>
        <w:pStyle w:val="Ttulo2"/>
        <w:spacing w:before="0" w:line="360" w:lineRule="auto"/>
        <w:rPr>
          <w:rFonts w:ascii="Palatino Linotype" w:eastAsia="Palatino Linotype" w:hAnsi="Palatino Linotype" w:cs="Palatino Linotype"/>
          <w:b/>
          <w:color w:val="000000"/>
          <w:sz w:val="22"/>
          <w:szCs w:val="22"/>
        </w:rPr>
      </w:pPr>
      <w:bookmarkStart w:id="15" w:name="_heading=h.jvxxb15q5uq4" w:colFirst="0" w:colLast="0"/>
      <w:bookmarkEnd w:id="15"/>
      <w:r>
        <w:rPr>
          <w:rFonts w:ascii="Palatino Linotype" w:eastAsia="Palatino Linotype" w:hAnsi="Palatino Linotype" w:cs="Palatino Linotype"/>
          <w:b/>
          <w:color w:val="000000"/>
          <w:sz w:val="22"/>
          <w:szCs w:val="22"/>
        </w:rPr>
        <w:t>TERCERO. Determinación de la Controversia</w:t>
      </w:r>
    </w:p>
    <w:p w:rsidR="00C36789" w:rsidRDefault="00C36789">
      <w:pPr>
        <w:spacing w:after="0" w:line="360" w:lineRule="auto"/>
        <w:rPr>
          <w:color w:val="FF0000"/>
        </w:rPr>
      </w:pPr>
    </w:p>
    <w:p w:rsidR="00C36789" w:rsidRDefault="004F3375">
      <w:pPr>
        <w:spacing w:after="0" w:line="360" w:lineRule="auto"/>
        <w:rPr>
          <w:color w:val="000000"/>
        </w:rPr>
      </w:pPr>
      <w:r>
        <w:rPr>
          <w:color w:val="000000"/>
        </w:rPr>
        <w:t xml:space="preserve">Una vez realizado el estudio de las constancias que integran el expediente en que se actúa, se desprende que la persona Recurrente requirió lo siguiente: </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 xml:space="preserve">1.- Acta de la Sesión de Cabildo de fecha primero de enero del 2025 firmada por todos los </w:t>
      </w:r>
    </w:p>
    <w:p w:rsidR="00C36789" w:rsidRDefault="004F3375">
      <w:pPr>
        <w:spacing w:after="0" w:line="360" w:lineRule="auto"/>
        <w:rPr>
          <w:color w:val="000000"/>
        </w:rPr>
      </w:pPr>
      <w:proofErr w:type="gramStart"/>
      <w:r>
        <w:rPr>
          <w:color w:val="000000"/>
        </w:rPr>
        <w:t>integrantes</w:t>
      </w:r>
      <w:proofErr w:type="gramEnd"/>
      <w:r>
        <w:rPr>
          <w:color w:val="000000"/>
        </w:rPr>
        <w:t xml:space="preserve">; </w:t>
      </w:r>
    </w:p>
    <w:p w:rsidR="00C36789" w:rsidRDefault="004F3375">
      <w:pPr>
        <w:spacing w:after="0" w:line="360" w:lineRule="auto"/>
        <w:rPr>
          <w:color w:val="000000"/>
        </w:rPr>
      </w:pPr>
      <w:r>
        <w:rPr>
          <w:color w:val="000000"/>
        </w:rPr>
        <w:t xml:space="preserve">2.- La liga del video de la sesión del cabildo de la fecha primero de enero del 2025, y la liga de transmisión en sus páginas oficiales o redes sociales;  </w:t>
      </w:r>
    </w:p>
    <w:p w:rsidR="00C36789" w:rsidRDefault="004F3375">
      <w:pPr>
        <w:spacing w:after="0" w:line="360" w:lineRule="auto"/>
        <w:rPr>
          <w:color w:val="000000"/>
        </w:rPr>
      </w:pPr>
      <w:r>
        <w:rPr>
          <w:color w:val="000000"/>
        </w:rPr>
        <w:t xml:space="preserve">3.- Los nombramientos de todos los servidores públicos que tomaron protesta el primero de </w:t>
      </w:r>
    </w:p>
    <w:p w:rsidR="00C36789" w:rsidRDefault="004F3375">
      <w:pPr>
        <w:spacing w:after="0" w:line="360" w:lineRule="auto"/>
        <w:rPr>
          <w:color w:val="000000"/>
        </w:rPr>
      </w:pPr>
      <w:proofErr w:type="gramStart"/>
      <w:r>
        <w:rPr>
          <w:color w:val="000000"/>
        </w:rPr>
        <w:lastRenderedPageBreak/>
        <w:t>enero</w:t>
      </w:r>
      <w:proofErr w:type="gramEnd"/>
      <w:r>
        <w:rPr>
          <w:color w:val="000000"/>
        </w:rPr>
        <w:t xml:space="preserve"> del 2025; </w:t>
      </w:r>
    </w:p>
    <w:p w:rsidR="00C36789" w:rsidRDefault="004F3375">
      <w:pPr>
        <w:spacing w:after="0" w:line="360" w:lineRule="auto"/>
        <w:rPr>
          <w:color w:val="000000"/>
        </w:rPr>
      </w:pPr>
      <w:r>
        <w:rPr>
          <w:color w:val="000000"/>
        </w:rPr>
        <w:t xml:space="preserve">4.- Los </w:t>
      </w:r>
      <w:proofErr w:type="spellStart"/>
      <w:r>
        <w:rPr>
          <w:color w:val="000000"/>
        </w:rPr>
        <w:t>Curriculums</w:t>
      </w:r>
      <w:proofErr w:type="spellEnd"/>
      <w:r>
        <w:rPr>
          <w:color w:val="000000"/>
        </w:rPr>
        <w:t xml:space="preserve"> vitae de todos los servidores públicos que tomaron protesta;  </w:t>
      </w:r>
    </w:p>
    <w:p w:rsidR="00C36789" w:rsidRDefault="004F3375">
      <w:pPr>
        <w:spacing w:after="0" w:line="360" w:lineRule="auto"/>
        <w:rPr>
          <w:color w:val="000000"/>
        </w:rPr>
      </w:pPr>
      <w:r>
        <w:rPr>
          <w:color w:val="000000"/>
        </w:rPr>
        <w:t xml:space="preserve">5.- Tabulador de sueldos; </w:t>
      </w:r>
    </w:p>
    <w:p w:rsidR="00C36789" w:rsidRDefault="004F3375">
      <w:pPr>
        <w:spacing w:after="0" w:line="360" w:lineRule="auto"/>
        <w:rPr>
          <w:color w:val="000000"/>
        </w:rPr>
      </w:pPr>
      <w:r>
        <w:rPr>
          <w:color w:val="000000"/>
        </w:rPr>
        <w:t xml:space="preserve">6- Organigrama de toda la administración pública 2025-2027; </w:t>
      </w:r>
    </w:p>
    <w:p w:rsidR="00C36789" w:rsidRDefault="004F3375">
      <w:pPr>
        <w:spacing w:after="0" w:line="360" w:lineRule="auto"/>
        <w:rPr>
          <w:color w:val="000000"/>
        </w:rPr>
      </w:pPr>
      <w:r>
        <w:rPr>
          <w:color w:val="000000"/>
        </w:rPr>
        <w:t xml:space="preserve">7.-Manuales de organización y de procedimientos de la Administración 2025-2027;   </w:t>
      </w:r>
    </w:p>
    <w:p w:rsidR="00C36789" w:rsidRDefault="004F3375">
      <w:pPr>
        <w:spacing w:after="0" w:line="360" w:lineRule="auto"/>
        <w:rPr>
          <w:color w:val="000000"/>
        </w:rPr>
      </w:pPr>
      <w:r>
        <w:rPr>
          <w:color w:val="000000"/>
        </w:rPr>
        <w:t>8.-Montos que han ingresado de pago de predial del 1 de enero al 5 de febrero del año2025;</w:t>
      </w:r>
    </w:p>
    <w:p w:rsidR="00C36789" w:rsidRDefault="004F3375">
      <w:pPr>
        <w:spacing w:after="0" w:line="360" w:lineRule="auto"/>
        <w:rPr>
          <w:color w:val="000000"/>
        </w:rPr>
      </w:pPr>
      <w:r>
        <w:rPr>
          <w:color w:val="000000"/>
        </w:rPr>
        <w:t xml:space="preserve">9.- Número de patrullas con las que apoyó Gobierno del Estado al Ayuntamiento de Toluca, con evidencias fotográficas; </w:t>
      </w:r>
    </w:p>
    <w:p w:rsidR="00C36789" w:rsidRDefault="004F3375">
      <w:pPr>
        <w:spacing w:after="0" w:line="360" w:lineRule="auto"/>
        <w:rPr>
          <w:color w:val="000000"/>
        </w:rPr>
      </w:pPr>
      <w:r>
        <w:rPr>
          <w:color w:val="000000"/>
        </w:rPr>
        <w:t xml:space="preserve">10.-Estatus de las entregas recepción de las Direcciones Generales y la Dirección General de Seguridad; </w:t>
      </w:r>
    </w:p>
    <w:p w:rsidR="00C36789" w:rsidRDefault="004F3375">
      <w:pPr>
        <w:spacing w:after="0" w:line="360" w:lineRule="auto"/>
        <w:rPr>
          <w:color w:val="000000"/>
        </w:rPr>
      </w:pPr>
      <w:r>
        <w:rPr>
          <w:color w:val="000000"/>
        </w:rPr>
        <w:t xml:space="preserve">11.-Nombre de todas las empresas y proveedores contratados desde el 1 al 31 de enero de 2025; </w:t>
      </w:r>
    </w:p>
    <w:p w:rsidR="00C36789" w:rsidRDefault="004F3375">
      <w:pPr>
        <w:spacing w:after="0" w:line="360" w:lineRule="auto"/>
        <w:rPr>
          <w:color w:val="000000"/>
        </w:rPr>
      </w:pPr>
      <w:r>
        <w:rPr>
          <w:color w:val="000000"/>
        </w:rPr>
        <w:t xml:space="preserve">12.-Nombres y sueldos de todos los directores generales, directores de área o equivalentes, analistas especializados, coordinadores, asesores, jefes de departamento y de toda la estructura orgánica; </w:t>
      </w:r>
    </w:p>
    <w:p w:rsidR="00C36789" w:rsidRDefault="004F3375">
      <w:pPr>
        <w:spacing w:after="0" w:line="360" w:lineRule="auto"/>
        <w:rPr>
          <w:color w:val="000000"/>
        </w:rPr>
      </w:pPr>
      <w:r>
        <w:rPr>
          <w:color w:val="000000"/>
        </w:rPr>
        <w:t xml:space="preserve">13.-Curriculums vitae de todos los servidores públicos que ingresaron del 1 de enero al 5 de febrero de 2025; </w:t>
      </w:r>
    </w:p>
    <w:p w:rsidR="00C36789" w:rsidRDefault="004F3375">
      <w:pPr>
        <w:spacing w:after="0" w:line="360" w:lineRule="auto"/>
        <w:rPr>
          <w:color w:val="000000"/>
        </w:rPr>
      </w:pPr>
      <w:r>
        <w:rPr>
          <w:color w:val="000000"/>
        </w:rPr>
        <w:t xml:space="preserve">14.- Altas y bajas de todo el personal del mes de enero del año 2025; </w:t>
      </w:r>
    </w:p>
    <w:p w:rsidR="00C36789" w:rsidRDefault="004F3375">
      <w:pPr>
        <w:spacing w:after="0" w:line="360" w:lineRule="auto"/>
        <w:rPr>
          <w:color w:val="000000"/>
        </w:rPr>
      </w:pPr>
      <w:r>
        <w:rPr>
          <w:color w:val="000000"/>
        </w:rPr>
        <w:t xml:space="preserve">15.- Renuncias de servidores públicos del mes de enero año 2025; </w:t>
      </w:r>
    </w:p>
    <w:p w:rsidR="00C36789" w:rsidRDefault="004F3375">
      <w:pPr>
        <w:spacing w:after="0" w:line="360" w:lineRule="auto"/>
        <w:rPr>
          <w:color w:val="000000"/>
        </w:rPr>
      </w:pPr>
      <w:r>
        <w:rPr>
          <w:color w:val="000000"/>
        </w:rPr>
        <w:t xml:space="preserve">16.- Sueldo del Presidente Municipal, Regidores, Síndico y Secretario del Ayuntamiento; </w:t>
      </w:r>
    </w:p>
    <w:p w:rsidR="00C36789" w:rsidRDefault="004F3375">
      <w:pPr>
        <w:spacing w:after="0" w:line="360" w:lineRule="auto"/>
        <w:rPr>
          <w:color w:val="000000"/>
        </w:rPr>
      </w:pPr>
      <w:r>
        <w:rPr>
          <w:color w:val="000000"/>
        </w:rPr>
        <w:t>17.- Relación del personal y salarios de servidores públicos adscritos a Presidencia, Secretaría del Ayuntamiento, Regidores, Direcciones Generales, Coordinación de Asesores;</w:t>
      </w:r>
    </w:p>
    <w:p w:rsidR="00C36789" w:rsidRDefault="004F3375">
      <w:pPr>
        <w:spacing w:after="0" w:line="360" w:lineRule="auto"/>
        <w:rPr>
          <w:color w:val="000000"/>
        </w:rPr>
      </w:pPr>
      <w:r>
        <w:rPr>
          <w:color w:val="000000"/>
        </w:rPr>
        <w:t xml:space="preserve">18.-Monto pagado a proveedores contratados del 1 de enero  al 5 de febrero de 2025; </w:t>
      </w:r>
    </w:p>
    <w:p w:rsidR="00C36789" w:rsidRDefault="004F3375">
      <w:pPr>
        <w:spacing w:after="0" w:line="360" w:lineRule="auto"/>
        <w:rPr>
          <w:color w:val="000000"/>
        </w:rPr>
      </w:pPr>
      <w:r>
        <w:rPr>
          <w:color w:val="000000"/>
        </w:rPr>
        <w:t xml:space="preserve">19.- Número de laudos al cinco de febrero de dos mil veinticinco;  </w:t>
      </w:r>
    </w:p>
    <w:p w:rsidR="00C36789" w:rsidRDefault="004F3375">
      <w:pPr>
        <w:spacing w:after="0" w:line="360" w:lineRule="auto"/>
        <w:rPr>
          <w:color w:val="000000"/>
        </w:rPr>
      </w:pPr>
      <w:r>
        <w:rPr>
          <w:color w:val="000000"/>
        </w:rPr>
        <w:t xml:space="preserve">20.- Monto de la deuda pública que dejo la administración anterior; </w:t>
      </w:r>
    </w:p>
    <w:p w:rsidR="00C36789" w:rsidRDefault="004F3375">
      <w:pPr>
        <w:spacing w:after="0" w:line="360" w:lineRule="auto"/>
        <w:rPr>
          <w:color w:val="000000"/>
        </w:rPr>
      </w:pPr>
      <w:r>
        <w:rPr>
          <w:color w:val="000000"/>
        </w:rPr>
        <w:t xml:space="preserve">21.- Nombres y currículums de los Comandantes de Seguridad Pública y Vialidad; </w:t>
      </w:r>
    </w:p>
    <w:p w:rsidR="00C36789" w:rsidRDefault="004F3375">
      <w:pPr>
        <w:spacing w:after="0" w:line="360" w:lineRule="auto"/>
        <w:rPr>
          <w:color w:val="000000"/>
        </w:rPr>
      </w:pPr>
      <w:r>
        <w:rPr>
          <w:color w:val="000000"/>
        </w:rPr>
        <w:lastRenderedPageBreak/>
        <w:t xml:space="preserve">22.- Cuántas patrullas tienen actualmente el Ayuntamiento de Toluca;  </w:t>
      </w:r>
    </w:p>
    <w:p w:rsidR="00C36789" w:rsidRDefault="004F3375">
      <w:pPr>
        <w:spacing w:after="0" w:line="360" w:lineRule="auto"/>
        <w:rPr>
          <w:color w:val="000000"/>
        </w:rPr>
      </w:pPr>
      <w:r>
        <w:rPr>
          <w:color w:val="000000"/>
        </w:rPr>
        <w:t>23.- Cuánta gasolina se les dotara a cada patrulla y camión de basura;</w:t>
      </w:r>
    </w:p>
    <w:p w:rsidR="00C36789" w:rsidRDefault="004F3375">
      <w:pPr>
        <w:spacing w:after="0" w:line="360" w:lineRule="auto"/>
        <w:rPr>
          <w:color w:val="000000"/>
        </w:rPr>
      </w:pPr>
      <w:r>
        <w:rPr>
          <w:color w:val="000000"/>
        </w:rPr>
        <w:t xml:space="preserve">24.- Cuántas patrullas, camiones de basura y policías dejó Juan </w:t>
      </w:r>
      <w:proofErr w:type="spellStart"/>
      <w:r>
        <w:rPr>
          <w:color w:val="000000"/>
        </w:rPr>
        <w:t>Maccise</w:t>
      </w:r>
      <w:proofErr w:type="spellEnd"/>
      <w:r>
        <w:rPr>
          <w:color w:val="000000"/>
        </w:rPr>
        <w:t xml:space="preserve"> y cuándo dejó de ser Presidente Municipal; </w:t>
      </w:r>
    </w:p>
    <w:p w:rsidR="00C36789" w:rsidRDefault="004F3375">
      <w:pPr>
        <w:spacing w:after="0" w:line="360" w:lineRule="auto"/>
        <w:rPr>
          <w:color w:val="000000"/>
        </w:rPr>
      </w:pPr>
      <w:r>
        <w:rPr>
          <w:color w:val="000000"/>
        </w:rPr>
        <w:t xml:space="preserve">25.- Cuántas patrullas, camiones de basura y policías dejó Juan Rodolfo, María Elena Barrera Tapia y cuando dejaron de ser Presidenta (e) Municipal; </w:t>
      </w:r>
    </w:p>
    <w:p w:rsidR="00C36789" w:rsidRDefault="004F3375">
      <w:pPr>
        <w:spacing w:after="0" w:line="360" w:lineRule="auto"/>
        <w:rPr>
          <w:color w:val="000000"/>
        </w:rPr>
      </w:pPr>
      <w:r>
        <w:rPr>
          <w:color w:val="000000"/>
        </w:rPr>
        <w:t>26.- Cuántas patrullas, camiones de basura y policías dejó Martha Hilda González y cuándo dejó de ser Presidenta Municipal;</w:t>
      </w:r>
    </w:p>
    <w:p w:rsidR="00C36789" w:rsidRDefault="004F3375">
      <w:pPr>
        <w:spacing w:after="0" w:line="360" w:lineRule="auto"/>
        <w:rPr>
          <w:color w:val="000000"/>
        </w:rPr>
      </w:pPr>
      <w:r>
        <w:rPr>
          <w:color w:val="000000"/>
        </w:rPr>
        <w:t>27.- Cuántas patrullas, camiones de basura y policías dejó Fernando Zamora y cuándo dejó de ser Presidente Municipal;</w:t>
      </w:r>
    </w:p>
    <w:p w:rsidR="00C36789" w:rsidRDefault="004F3375">
      <w:pPr>
        <w:spacing w:after="0" w:line="360" w:lineRule="auto"/>
        <w:rPr>
          <w:color w:val="000000"/>
        </w:rPr>
      </w:pPr>
      <w:r>
        <w:rPr>
          <w:color w:val="000000"/>
        </w:rPr>
        <w:t xml:space="preserve">28.- Cuántas patrullas, camiones de basura y policías dejó Juan Rodolfo y cuándo dejó de ser Presidente Municipal;  </w:t>
      </w:r>
    </w:p>
    <w:p w:rsidR="00C36789" w:rsidRDefault="004F3375">
      <w:pPr>
        <w:spacing w:after="0" w:line="360" w:lineRule="auto"/>
        <w:rPr>
          <w:color w:val="000000"/>
        </w:rPr>
      </w:pPr>
      <w:r>
        <w:rPr>
          <w:color w:val="000000"/>
        </w:rPr>
        <w:t xml:space="preserve">29- Cuándo le van a pagar a los trabajadores sus quincenas y prestaciones pendientes;  </w:t>
      </w:r>
    </w:p>
    <w:p w:rsidR="00C36789" w:rsidRDefault="004F3375">
      <w:pPr>
        <w:spacing w:after="0" w:line="360" w:lineRule="auto"/>
        <w:rPr>
          <w:color w:val="000000"/>
        </w:rPr>
      </w:pPr>
      <w:r>
        <w:rPr>
          <w:color w:val="000000"/>
        </w:rPr>
        <w:t xml:space="preserve">30.-Cuántas quejas existen en la Defensoría Municipal de Derechos Humanos desde el año 2019 a la fecha, en qué consisten y el estatus; </w:t>
      </w:r>
    </w:p>
    <w:p w:rsidR="00C36789" w:rsidRDefault="004F3375">
      <w:pPr>
        <w:spacing w:after="0" w:line="360" w:lineRule="auto"/>
        <w:rPr>
          <w:color w:val="000000"/>
        </w:rPr>
      </w:pPr>
      <w:r>
        <w:rPr>
          <w:color w:val="000000"/>
        </w:rPr>
        <w:t xml:space="preserve">31.- Cuántos contratos se van a rescindir y en qué consisten;     </w:t>
      </w:r>
    </w:p>
    <w:p w:rsidR="00C36789" w:rsidRDefault="004F3375">
      <w:pPr>
        <w:spacing w:after="0" w:line="360" w:lineRule="auto"/>
        <w:rPr>
          <w:color w:val="000000"/>
        </w:rPr>
      </w:pPr>
      <w:r>
        <w:rPr>
          <w:color w:val="000000"/>
        </w:rPr>
        <w:t xml:space="preserve">32.- En donde van a estar los cuadrantes de la policía, cuánto costará la aplicación, que empresa la desarrollará, de qué partida presupuestal saldrá y cuándo estará lista;  </w:t>
      </w:r>
    </w:p>
    <w:p w:rsidR="00C36789" w:rsidRDefault="004F3375">
      <w:pPr>
        <w:spacing w:after="0" w:line="360" w:lineRule="auto"/>
        <w:rPr>
          <w:color w:val="000000"/>
        </w:rPr>
      </w:pPr>
      <w:r>
        <w:rPr>
          <w:color w:val="000000"/>
        </w:rPr>
        <w:t xml:space="preserve">33.- Cuál es la política de seguridad y saber si ya se está implementando;  </w:t>
      </w:r>
    </w:p>
    <w:p w:rsidR="00C36789" w:rsidRDefault="004F3375">
      <w:pPr>
        <w:spacing w:after="0" w:line="360" w:lineRule="auto"/>
        <w:rPr>
          <w:color w:val="000000"/>
        </w:rPr>
      </w:pPr>
      <w:r>
        <w:rPr>
          <w:color w:val="000000"/>
        </w:rPr>
        <w:t xml:space="preserve">34.- Cuándo se nombrarán a los integrantes del Comité Anticorrupción </w:t>
      </w:r>
    </w:p>
    <w:p w:rsidR="00C36789" w:rsidRDefault="004F3375">
      <w:pPr>
        <w:spacing w:after="0" w:line="360" w:lineRule="auto"/>
        <w:rPr>
          <w:color w:val="000000"/>
        </w:rPr>
      </w:pPr>
      <w:r>
        <w:rPr>
          <w:color w:val="000000"/>
        </w:rPr>
        <w:t xml:space="preserve">35.- A cuánto asciende la cartera vencida del Ayuntamiento, con los comprobantes    </w:t>
      </w:r>
    </w:p>
    <w:p w:rsidR="00C36789" w:rsidRDefault="00C36789">
      <w:pPr>
        <w:spacing w:after="0" w:line="360" w:lineRule="auto"/>
        <w:rPr>
          <w:color w:val="000000"/>
        </w:rPr>
      </w:pPr>
    </w:p>
    <w:p w:rsidR="00C36789" w:rsidRDefault="004F3375">
      <w:pPr>
        <w:widowControl w:val="0"/>
        <w:spacing w:after="0" w:line="360" w:lineRule="auto"/>
        <w:rPr>
          <w:color w:val="000000"/>
        </w:rPr>
      </w:pPr>
      <w:r>
        <w:rPr>
          <w:color w:val="000000"/>
        </w:rPr>
        <w:t xml:space="preserve">Conforme a lo anterior, el Sujeto Obligado, a través de la Secretaría del Ayuntamiento proporcionó dos ligas en formato cerrado para consultar la videograbación del Acta de Instalación y Primera Sesión de Cabildo, la UIPPE precisó que los manuales de organización y procedimientos de la actual administración se encuentran en proceso de integración, la </w:t>
      </w:r>
      <w:r>
        <w:rPr>
          <w:color w:val="000000"/>
        </w:rPr>
        <w:lastRenderedPageBreak/>
        <w:t xml:space="preserve">Tesorería Municipal precisó el monto recaudado por predial del primero de enero al cinco de febrero de dos mil veinticinco, la Defensoría Municipal de Derechos Humanos precisó el número de quejas, el estatus y los derechos vulnerados, la Dirección General de Seguridad y Protección Ciudadana precisó que no se encuentra dentro de sus atribuciones resguardar los movimientos de altas, bajas y renuncias de los servidores públicos, asimismo precisó el número de patrullas con las que cuentan y el parque vehicular de patrullas y policías que dejó Juan </w:t>
      </w:r>
      <w:proofErr w:type="spellStart"/>
      <w:r>
        <w:rPr>
          <w:color w:val="000000"/>
        </w:rPr>
        <w:t>Maccise</w:t>
      </w:r>
      <w:proofErr w:type="spellEnd"/>
      <w:r>
        <w:rPr>
          <w:color w:val="000000"/>
        </w:rPr>
        <w:t xml:space="preserve">, finalmente se adjuntó la digitalización de diversos currículums y nombramientos; ante dicha circunstancia, la persona Recurrente se inconformó de la falta de trámite a una solicitud, al precisar que la respuesta no atendía la información requerida, lo cual actualiza el supuesto de procedencia establecido en el artículo 179, fracción XI, de la Ley de trasparencia local. Así las cosas, una vez admitido y notificado el Recurso de Revisión a las partes, estas fueron omisa en manifestarse. </w:t>
      </w:r>
    </w:p>
    <w:p w:rsidR="00C36789" w:rsidRDefault="00C36789">
      <w:pPr>
        <w:spacing w:after="0" w:line="360" w:lineRule="auto"/>
        <w:ind w:right="-28"/>
        <w:rPr>
          <w:color w:val="000000"/>
        </w:rPr>
      </w:pPr>
    </w:p>
    <w:p w:rsidR="00C36789" w:rsidRDefault="004F3375">
      <w:pPr>
        <w:tabs>
          <w:tab w:val="left" w:pos="4962"/>
        </w:tabs>
        <w:spacing w:after="0" w:line="360" w:lineRule="auto"/>
        <w:rPr>
          <w:color w:val="000000"/>
        </w:rPr>
      </w:pPr>
      <w:r>
        <w:rPr>
          <w:color w:val="000000"/>
        </w:rPr>
        <w:t xml:space="preserve">Lo anterior, se desprende de las documentales que obran en el expediente de referencia, materia de la presente resolución, consistente en: la solicitud de acceso a la información, la aclaración y el escrito </w:t>
      </w:r>
      <w:proofErr w:type="spellStart"/>
      <w:r>
        <w:rPr>
          <w:color w:val="000000"/>
        </w:rPr>
        <w:t>recursal</w:t>
      </w:r>
      <w:proofErr w:type="spellEnd"/>
      <w:r>
        <w:rPr>
          <w:color w:val="000000"/>
        </w:rPr>
        <w:t>; instrumentales que se toman en cuenta a efecto de resolver el presente medio de impugnación, conforme a lo dispuesto por el artículo 185, fracción IV, de la Ley de Transparencia y Acceso a la Información Pública del Estado de México y Municipios.</w:t>
      </w:r>
    </w:p>
    <w:p w:rsidR="00C36789" w:rsidRDefault="00C36789">
      <w:pPr>
        <w:spacing w:after="0" w:line="360" w:lineRule="auto"/>
        <w:rPr>
          <w:b/>
          <w:color w:val="000000"/>
        </w:rPr>
      </w:pPr>
    </w:p>
    <w:p w:rsidR="00C36789" w:rsidRDefault="004F3375">
      <w:pPr>
        <w:pStyle w:val="Ttulo2"/>
        <w:spacing w:before="0" w:line="360" w:lineRule="auto"/>
        <w:rPr>
          <w:rFonts w:ascii="Palatino Linotype" w:eastAsia="Palatino Linotype" w:hAnsi="Palatino Linotype" w:cs="Palatino Linotype"/>
          <w:b/>
          <w:color w:val="000000"/>
          <w:sz w:val="22"/>
          <w:szCs w:val="22"/>
        </w:rPr>
      </w:pPr>
      <w:bookmarkStart w:id="16" w:name="_heading=h.76ux09drqmwn" w:colFirst="0" w:colLast="0"/>
      <w:bookmarkEnd w:id="16"/>
      <w:r>
        <w:rPr>
          <w:rFonts w:ascii="Palatino Linotype" w:eastAsia="Palatino Linotype" w:hAnsi="Palatino Linotype" w:cs="Palatino Linotype"/>
          <w:b/>
          <w:color w:val="000000"/>
          <w:sz w:val="22"/>
          <w:szCs w:val="22"/>
        </w:rPr>
        <w:t>CUARTO. Marco normativo aplicable en materia de transparencia y acceso a la información pública</w:t>
      </w:r>
    </w:p>
    <w:p w:rsidR="00C36789" w:rsidRDefault="00C36789">
      <w:pPr>
        <w:spacing w:after="0" w:line="360" w:lineRule="auto"/>
        <w:rPr>
          <w:color w:val="FF0000"/>
        </w:rPr>
      </w:pPr>
    </w:p>
    <w:p w:rsidR="00C36789" w:rsidRDefault="004F3375">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El artículo 12, que, quienes generen, recopilen, administren, manejen, procesen, archiven o conserven información pública serán responsables de la misma.</w:t>
      </w:r>
    </w:p>
    <w:p w:rsidR="00C36789" w:rsidRDefault="00C36789">
      <w:pPr>
        <w:spacing w:after="0" w:line="360" w:lineRule="auto"/>
        <w:rPr>
          <w:color w:val="000000"/>
        </w:rPr>
      </w:pPr>
    </w:p>
    <w:p w:rsidR="00C36789" w:rsidRDefault="004F3375">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C36789" w:rsidRDefault="00C36789">
      <w:pPr>
        <w:spacing w:after="0" w:line="360" w:lineRule="auto"/>
        <w:rPr>
          <w:color w:val="FF0000"/>
        </w:rPr>
      </w:pPr>
    </w:p>
    <w:p w:rsidR="00C36789" w:rsidRDefault="004F3375">
      <w:pPr>
        <w:pStyle w:val="Ttulo2"/>
        <w:spacing w:before="0" w:line="360" w:lineRule="auto"/>
        <w:rPr>
          <w:rFonts w:ascii="Palatino Linotype" w:eastAsia="Palatino Linotype" w:hAnsi="Palatino Linotype" w:cs="Palatino Linotype"/>
          <w:b/>
          <w:color w:val="000000"/>
          <w:sz w:val="22"/>
          <w:szCs w:val="22"/>
        </w:rPr>
      </w:pPr>
      <w:bookmarkStart w:id="17" w:name="_heading=h.6h6rjoqktw3f" w:colFirst="0" w:colLast="0"/>
      <w:bookmarkEnd w:id="17"/>
      <w:r>
        <w:rPr>
          <w:rFonts w:ascii="Palatino Linotype" w:eastAsia="Palatino Linotype" w:hAnsi="Palatino Linotype" w:cs="Palatino Linotype"/>
          <w:b/>
          <w:color w:val="000000"/>
          <w:sz w:val="22"/>
          <w:szCs w:val="22"/>
        </w:rPr>
        <w:t>QUINTO. Estudio de Fondo</w:t>
      </w:r>
    </w:p>
    <w:p w:rsidR="00C36789" w:rsidRDefault="00C36789">
      <w:pPr>
        <w:spacing w:after="0" w:line="360" w:lineRule="auto"/>
        <w:rPr>
          <w:b/>
          <w:color w:val="000000"/>
        </w:rPr>
      </w:pPr>
    </w:p>
    <w:p w:rsidR="00C36789" w:rsidRDefault="004F3375">
      <w:pPr>
        <w:spacing w:after="0" w:line="360" w:lineRule="auto"/>
        <w:rPr>
          <w:color w:val="000000"/>
        </w:rPr>
      </w:pPr>
      <w:r>
        <w:rPr>
          <w:color w:val="000000"/>
        </w:rPr>
        <w:t xml:space="preserve">Expuestas las posturas de las partes, se procede al análisis del agravio hecho valer por el Recurrente, concerniente a la entrega de información incompleta; por lo que resulta necesario </w:t>
      </w:r>
      <w:r>
        <w:rPr>
          <w:color w:val="000000"/>
        </w:rPr>
        <w:lastRenderedPageBreak/>
        <w:t xml:space="preserve">realizar la siguiente tabla de análisis para establecer si la información proporcionada por el Sujeto Obligado, atienden los requerimientos de información de conformidad con lo siguiente: </w:t>
      </w:r>
    </w:p>
    <w:p w:rsidR="00C36789" w:rsidRDefault="00C36789">
      <w:pPr>
        <w:spacing w:after="0" w:line="360" w:lineRule="auto"/>
        <w:rPr>
          <w:color w:val="000000"/>
        </w:rPr>
      </w:pPr>
    </w:p>
    <w:tbl>
      <w:tblPr>
        <w:tblStyle w:val="a"/>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268"/>
        <w:gridCol w:w="2268"/>
        <w:gridCol w:w="1980"/>
      </w:tblGrid>
      <w:tr w:rsidR="00C36789">
        <w:tc>
          <w:tcPr>
            <w:tcW w:w="2405" w:type="dxa"/>
            <w:shd w:val="clear" w:color="auto" w:fill="BFBFBF"/>
          </w:tcPr>
          <w:p w:rsidR="00C36789" w:rsidRDefault="004F3375">
            <w:pPr>
              <w:spacing w:line="360" w:lineRule="auto"/>
              <w:jc w:val="center"/>
              <w:rPr>
                <w:b/>
                <w:color w:val="000000"/>
                <w:sz w:val="20"/>
                <w:szCs w:val="20"/>
              </w:rPr>
            </w:pPr>
            <w:r>
              <w:rPr>
                <w:b/>
                <w:color w:val="000000"/>
                <w:sz w:val="20"/>
                <w:szCs w:val="20"/>
              </w:rPr>
              <w:t>Información solicitada</w:t>
            </w:r>
          </w:p>
        </w:tc>
        <w:tc>
          <w:tcPr>
            <w:tcW w:w="2268" w:type="dxa"/>
            <w:shd w:val="clear" w:color="auto" w:fill="BFBFBF"/>
          </w:tcPr>
          <w:p w:rsidR="00C36789" w:rsidRDefault="004F3375">
            <w:pPr>
              <w:spacing w:line="360" w:lineRule="auto"/>
              <w:jc w:val="center"/>
              <w:rPr>
                <w:b/>
                <w:color w:val="000000"/>
                <w:sz w:val="20"/>
                <w:szCs w:val="20"/>
              </w:rPr>
            </w:pPr>
            <w:r>
              <w:rPr>
                <w:b/>
                <w:color w:val="000000"/>
                <w:sz w:val="20"/>
                <w:szCs w:val="20"/>
              </w:rPr>
              <w:t>Respuestas</w:t>
            </w:r>
          </w:p>
        </w:tc>
        <w:tc>
          <w:tcPr>
            <w:tcW w:w="2268" w:type="dxa"/>
            <w:shd w:val="clear" w:color="auto" w:fill="BFBFBF"/>
          </w:tcPr>
          <w:p w:rsidR="00C36789" w:rsidRDefault="004F3375">
            <w:pPr>
              <w:spacing w:line="360" w:lineRule="auto"/>
              <w:jc w:val="center"/>
              <w:rPr>
                <w:b/>
                <w:color w:val="000000"/>
                <w:sz w:val="20"/>
                <w:szCs w:val="20"/>
              </w:rPr>
            </w:pPr>
            <w:r>
              <w:rPr>
                <w:b/>
                <w:color w:val="000000"/>
                <w:sz w:val="20"/>
                <w:szCs w:val="20"/>
              </w:rPr>
              <w:t>Informe Justificado</w:t>
            </w:r>
          </w:p>
        </w:tc>
        <w:tc>
          <w:tcPr>
            <w:tcW w:w="1980" w:type="dxa"/>
            <w:shd w:val="clear" w:color="auto" w:fill="BFBFBF"/>
          </w:tcPr>
          <w:p w:rsidR="00C36789" w:rsidRDefault="004F3375">
            <w:pPr>
              <w:spacing w:line="360" w:lineRule="auto"/>
              <w:jc w:val="center"/>
              <w:rPr>
                <w:b/>
                <w:color w:val="000000"/>
                <w:sz w:val="20"/>
                <w:szCs w:val="20"/>
              </w:rPr>
            </w:pPr>
            <w:r>
              <w:rPr>
                <w:b/>
                <w:color w:val="000000"/>
                <w:sz w:val="20"/>
                <w:szCs w:val="20"/>
              </w:rPr>
              <w:t>Observaciones</w:t>
            </w:r>
          </w:p>
        </w:tc>
      </w:tr>
      <w:tr w:rsidR="00C36789">
        <w:tc>
          <w:tcPr>
            <w:tcW w:w="2405" w:type="dxa"/>
          </w:tcPr>
          <w:p w:rsidR="00C36789" w:rsidRDefault="004F3375">
            <w:pPr>
              <w:spacing w:line="360" w:lineRule="auto"/>
              <w:rPr>
                <w:color w:val="000000"/>
                <w:sz w:val="20"/>
                <w:szCs w:val="20"/>
              </w:rPr>
            </w:pPr>
            <w:r>
              <w:rPr>
                <w:color w:val="000000"/>
                <w:sz w:val="20"/>
                <w:szCs w:val="20"/>
              </w:rPr>
              <w:t xml:space="preserve">1. Acta de la Sesión de Cabildo de fecha primero de enero del 2025 firmada por todos los integrantes </w:t>
            </w:r>
          </w:p>
        </w:tc>
        <w:tc>
          <w:tcPr>
            <w:tcW w:w="2268" w:type="dxa"/>
          </w:tcPr>
          <w:p w:rsidR="00C36789" w:rsidRDefault="004F3375">
            <w:pPr>
              <w:spacing w:line="360" w:lineRule="auto"/>
              <w:rPr>
                <w:color w:val="000000"/>
                <w:sz w:val="20"/>
                <w:szCs w:val="20"/>
              </w:rPr>
            </w:pPr>
            <w:r>
              <w:rPr>
                <w:color w:val="000000"/>
                <w:sz w:val="20"/>
                <w:szCs w:val="20"/>
              </w:rPr>
              <w:t xml:space="preserve">La Secretaría del Ayuntamiento precisó remitir el Acta de Sesión de Instalación y Primera Sesión Ordinaria de Cabildo de 2025, sin embargo, omitió proporcionarla. </w:t>
            </w:r>
          </w:p>
        </w:tc>
        <w:tc>
          <w:tcPr>
            <w:tcW w:w="2268" w:type="dxa"/>
          </w:tcPr>
          <w:p w:rsidR="00C36789" w:rsidRDefault="004F3375">
            <w:pPr>
              <w:spacing w:line="360" w:lineRule="auto"/>
              <w:jc w:val="center"/>
              <w:rPr>
                <w:color w:val="000000"/>
                <w:sz w:val="20"/>
                <w:szCs w:val="20"/>
              </w:rPr>
            </w:pPr>
            <w:r>
              <w:rPr>
                <w:color w:val="000000"/>
                <w:sz w:val="20"/>
                <w:szCs w:val="20"/>
              </w:rPr>
              <w:t>Ratifica</w:t>
            </w:r>
          </w:p>
        </w:tc>
        <w:tc>
          <w:tcPr>
            <w:tcW w:w="1980" w:type="dxa"/>
          </w:tcPr>
          <w:p w:rsidR="00C36789" w:rsidRDefault="004F3375">
            <w:pPr>
              <w:spacing w:line="360" w:lineRule="auto"/>
              <w:rPr>
                <w:color w:val="000000"/>
                <w:sz w:val="20"/>
                <w:szCs w:val="20"/>
              </w:rPr>
            </w:pPr>
            <w:r>
              <w:rPr>
                <w:color w:val="000000"/>
                <w:sz w:val="20"/>
                <w:szCs w:val="20"/>
              </w:rPr>
              <w:t xml:space="preserve">No atiende, pues omitió proporcionar el Acta referida. </w:t>
            </w:r>
          </w:p>
        </w:tc>
      </w:tr>
      <w:tr w:rsidR="00C36789">
        <w:tc>
          <w:tcPr>
            <w:tcW w:w="2405" w:type="dxa"/>
          </w:tcPr>
          <w:p w:rsidR="00C36789" w:rsidRDefault="004F3375">
            <w:pPr>
              <w:spacing w:line="360" w:lineRule="auto"/>
              <w:rPr>
                <w:color w:val="000000"/>
                <w:sz w:val="20"/>
                <w:szCs w:val="20"/>
              </w:rPr>
            </w:pPr>
            <w:r>
              <w:rPr>
                <w:color w:val="000000"/>
                <w:sz w:val="20"/>
                <w:szCs w:val="20"/>
              </w:rPr>
              <w:t>2. La liga del video de la sesión del cabildo de la fecha primero de enero del 2025, y la liga de transmisión en sus páginas oficiales o redes sociales</w:t>
            </w:r>
          </w:p>
        </w:tc>
        <w:tc>
          <w:tcPr>
            <w:tcW w:w="2268" w:type="dxa"/>
          </w:tcPr>
          <w:p w:rsidR="00C36789" w:rsidRDefault="004F3375">
            <w:pPr>
              <w:spacing w:line="360" w:lineRule="auto"/>
              <w:rPr>
                <w:color w:val="000000"/>
                <w:sz w:val="20"/>
                <w:szCs w:val="20"/>
              </w:rPr>
            </w:pPr>
            <w:r>
              <w:rPr>
                <w:color w:val="000000"/>
                <w:sz w:val="20"/>
                <w:szCs w:val="20"/>
              </w:rPr>
              <w:t xml:space="preserve">La Secretaría del Ayuntamiento proporcionó dos ligas en formato cerrado para la videograbación de la sesión requerida. </w:t>
            </w:r>
          </w:p>
        </w:tc>
        <w:tc>
          <w:tcPr>
            <w:tcW w:w="2268" w:type="dxa"/>
          </w:tcPr>
          <w:p w:rsidR="00C36789" w:rsidRDefault="004F3375">
            <w:pPr>
              <w:spacing w:line="360" w:lineRule="auto"/>
              <w:jc w:val="center"/>
              <w:rPr>
                <w:color w:val="000000"/>
                <w:sz w:val="20"/>
                <w:szCs w:val="20"/>
              </w:rPr>
            </w:pPr>
            <w:r>
              <w:rPr>
                <w:color w:val="000000"/>
                <w:sz w:val="20"/>
                <w:szCs w:val="20"/>
              </w:rPr>
              <w:t>Ratifica</w:t>
            </w:r>
          </w:p>
        </w:tc>
        <w:tc>
          <w:tcPr>
            <w:tcW w:w="1980" w:type="dxa"/>
          </w:tcPr>
          <w:p w:rsidR="00C36789" w:rsidRDefault="004F3375">
            <w:pPr>
              <w:spacing w:line="360" w:lineRule="auto"/>
              <w:rPr>
                <w:color w:val="000000"/>
                <w:sz w:val="20"/>
                <w:szCs w:val="20"/>
              </w:rPr>
            </w:pPr>
            <w:r>
              <w:rPr>
                <w:color w:val="000000"/>
                <w:sz w:val="20"/>
                <w:szCs w:val="20"/>
              </w:rPr>
              <w:t xml:space="preserve">No atiende, pues proporcionó las ligas en formato cerrado </w:t>
            </w:r>
          </w:p>
        </w:tc>
      </w:tr>
      <w:tr w:rsidR="00C36789">
        <w:tc>
          <w:tcPr>
            <w:tcW w:w="2405" w:type="dxa"/>
          </w:tcPr>
          <w:p w:rsidR="00C36789" w:rsidRDefault="004F3375">
            <w:pPr>
              <w:spacing w:line="360" w:lineRule="auto"/>
              <w:rPr>
                <w:color w:val="000000"/>
                <w:sz w:val="20"/>
                <w:szCs w:val="20"/>
              </w:rPr>
            </w:pPr>
            <w:r>
              <w:rPr>
                <w:color w:val="000000"/>
                <w:sz w:val="20"/>
                <w:szCs w:val="20"/>
              </w:rPr>
              <w:t xml:space="preserve">3. Los nombramientos de todos los servidores públicos que tomaron protesta el primero de </w:t>
            </w:r>
          </w:p>
          <w:p w:rsidR="00C36789" w:rsidRDefault="004F3375">
            <w:pPr>
              <w:spacing w:line="360" w:lineRule="auto"/>
              <w:rPr>
                <w:color w:val="000000"/>
                <w:sz w:val="20"/>
                <w:szCs w:val="20"/>
              </w:rPr>
            </w:pPr>
            <w:r>
              <w:rPr>
                <w:color w:val="000000"/>
                <w:sz w:val="20"/>
                <w:szCs w:val="20"/>
              </w:rPr>
              <w:t>enero del 2025</w:t>
            </w:r>
          </w:p>
        </w:tc>
        <w:tc>
          <w:tcPr>
            <w:tcW w:w="2268" w:type="dxa"/>
          </w:tcPr>
          <w:p w:rsidR="00C36789" w:rsidRDefault="004F3375">
            <w:pPr>
              <w:spacing w:line="360" w:lineRule="auto"/>
              <w:rPr>
                <w:color w:val="000000"/>
                <w:sz w:val="20"/>
                <w:szCs w:val="20"/>
              </w:rPr>
            </w:pPr>
            <w:r>
              <w:rPr>
                <w:color w:val="000000"/>
                <w:sz w:val="20"/>
                <w:szCs w:val="20"/>
              </w:rPr>
              <w:t xml:space="preserve">Remitió diversos nombramientos, Constancias de Mayoría y constancias de Representación Proporcional  </w:t>
            </w:r>
          </w:p>
        </w:tc>
        <w:tc>
          <w:tcPr>
            <w:tcW w:w="2268" w:type="dxa"/>
          </w:tcPr>
          <w:p w:rsidR="00C36789" w:rsidRDefault="004F3375">
            <w:pPr>
              <w:spacing w:line="360" w:lineRule="auto"/>
              <w:jc w:val="center"/>
              <w:rPr>
                <w:color w:val="000000"/>
                <w:sz w:val="20"/>
                <w:szCs w:val="20"/>
              </w:rPr>
            </w:pPr>
            <w:r>
              <w:rPr>
                <w:color w:val="000000"/>
                <w:sz w:val="20"/>
                <w:szCs w:val="20"/>
              </w:rPr>
              <w:t>Ratifica</w:t>
            </w:r>
          </w:p>
        </w:tc>
        <w:tc>
          <w:tcPr>
            <w:tcW w:w="1980" w:type="dxa"/>
          </w:tcPr>
          <w:p w:rsidR="00C36789" w:rsidRDefault="004F3375">
            <w:pPr>
              <w:spacing w:line="360" w:lineRule="auto"/>
              <w:rPr>
                <w:color w:val="000000"/>
                <w:sz w:val="20"/>
                <w:szCs w:val="20"/>
              </w:rPr>
            </w:pPr>
            <w:r>
              <w:rPr>
                <w:color w:val="000000"/>
                <w:sz w:val="20"/>
                <w:szCs w:val="20"/>
              </w:rPr>
              <w:t xml:space="preserve">No atiende, pues si bien proporcionó diversos documentos   no corresponden a otros ejercicios fiscales y no con los nombramientos de </w:t>
            </w:r>
            <w:r>
              <w:rPr>
                <w:color w:val="000000"/>
                <w:sz w:val="20"/>
                <w:szCs w:val="20"/>
              </w:rPr>
              <w:lastRenderedPageBreak/>
              <w:t xml:space="preserve">los servidores públicos que tomaron protesta el primero de enero de dos mil veinticinco. </w:t>
            </w:r>
          </w:p>
        </w:tc>
      </w:tr>
      <w:tr w:rsidR="00C36789">
        <w:tc>
          <w:tcPr>
            <w:tcW w:w="2405" w:type="dxa"/>
          </w:tcPr>
          <w:p w:rsidR="00C36789" w:rsidRDefault="004F3375">
            <w:pPr>
              <w:spacing w:line="360" w:lineRule="auto"/>
              <w:rPr>
                <w:color w:val="000000"/>
                <w:sz w:val="20"/>
                <w:szCs w:val="20"/>
              </w:rPr>
            </w:pPr>
            <w:r>
              <w:rPr>
                <w:color w:val="000000"/>
                <w:sz w:val="20"/>
                <w:szCs w:val="20"/>
              </w:rPr>
              <w:lastRenderedPageBreak/>
              <w:t xml:space="preserve">4. Los </w:t>
            </w:r>
            <w:proofErr w:type="spellStart"/>
            <w:r>
              <w:rPr>
                <w:color w:val="000000"/>
                <w:sz w:val="20"/>
                <w:szCs w:val="20"/>
              </w:rPr>
              <w:t>Curriculums</w:t>
            </w:r>
            <w:proofErr w:type="spellEnd"/>
            <w:r>
              <w:rPr>
                <w:color w:val="000000"/>
                <w:sz w:val="20"/>
                <w:szCs w:val="20"/>
              </w:rPr>
              <w:t xml:space="preserve"> vitae de todos los servidores públicos que tomaron protesta (conforme al punto anterior) </w:t>
            </w:r>
          </w:p>
        </w:tc>
        <w:tc>
          <w:tcPr>
            <w:tcW w:w="2268" w:type="dxa"/>
          </w:tcPr>
          <w:p w:rsidR="00C36789" w:rsidRDefault="004F3375">
            <w:pPr>
              <w:spacing w:line="360" w:lineRule="auto"/>
              <w:rPr>
                <w:color w:val="000000"/>
                <w:sz w:val="20"/>
                <w:szCs w:val="20"/>
              </w:rPr>
            </w:pPr>
            <w:r>
              <w:rPr>
                <w:color w:val="000000"/>
                <w:sz w:val="20"/>
                <w:szCs w:val="20"/>
              </w:rPr>
              <w:t xml:space="preserve">Remitió diversas fichas curriculares de los mismos servidores públicos referidos en el punto anterior. </w:t>
            </w:r>
          </w:p>
        </w:tc>
        <w:tc>
          <w:tcPr>
            <w:tcW w:w="2268" w:type="dxa"/>
          </w:tcPr>
          <w:p w:rsidR="00C36789" w:rsidRDefault="004F3375">
            <w:pPr>
              <w:spacing w:line="360" w:lineRule="auto"/>
              <w:jc w:val="center"/>
              <w:rPr>
                <w:color w:val="000000"/>
                <w:sz w:val="20"/>
                <w:szCs w:val="20"/>
              </w:rPr>
            </w:pPr>
            <w:r>
              <w:rPr>
                <w:color w:val="000000"/>
                <w:sz w:val="20"/>
                <w:szCs w:val="20"/>
              </w:rPr>
              <w:t>Ratifica</w:t>
            </w:r>
          </w:p>
        </w:tc>
        <w:tc>
          <w:tcPr>
            <w:tcW w:w="1980" w:type="dxa"/>
          </w:tcPr>
          <w:p w:rsidR="00C36789" w:rsidRDefault="004F3375">
            <w:pPr>
              <w:spacing w:line="360" w:lineRule="auto"/>
              <w:rPr>
                <w:color w:val="000000"/>
                <w:sz w:val="20"/>
                <w:szCs w:val="20"/>
              </w:rPr>
            </w:pPr>
            <w:r>
              <w:rPr>
                <w:color w:val="000000"/>
                <w:sz w:val="20"/>
                <w:szCs w:val="20"/>
              </w:rPr>
              <w:t xml:space="preserve">No atiende, pues conforme al punto anterior no se entregó la información de los servidores públicos solicitados. </w:t>
            </w:r>
          </w:p>
        </w:tc>
      </w:tr>
      <w:tr w:rsidR="00C36789">
        <w:tc>
          <w:tcPr>
            <w:tcW w:w="2405" w:type="dxa"/>
          </w:tcPr>
          <w:p w:rsidR="00C36789" w:rsidRDefault="004F3375">
            <w:pPr>
              <w:spacing w:line="360" w:lineRule="auto"/>
              <w:rPr>
                <w:color w:val="000000"/>
                <w:sz w:val="20"/>
                <w:szCs w:val="20"/>
              </w:rPr>
            </w:pPr>
            <w:r>
              <w:rPr>
                <w:color w:val="000000"/>
                <w:sz w:val="20"/>
                <w:szCs w:val="20"/>
              </w:rPr>
              <w:t>5. Tabulador de sueldos</w:t>
            </w:r>
          </w:p>
        </w:tc>
        <w:tc>
          <w:tcPr>
            <w:tcW w:w="2268" w:type="dxa"/>
          </w:tcPr>
          <w:p w:rsidR="00C36789" w:rsidRDefault="004F3375">
            <w:pPr>
              <w:spacing w:line="360" w:lineRule="auto"/>
              <w:rPr>
                <w:color w:val="000000"/>
                <w:sz w:val="20"/>
                <w:szCs w:val="20"/>
              </w:rPr>
            </w:pPr>
            <w:r>
              <w:rPr>
                <w:color w:val="000000"/>
                <w:sz w:val="20"/>
                <w:szCs w:val="20"/>
              </w:rPr>
              <w:t xml:space="preserve">Remitió el Tabulador de Sueldos del ejercicio fiscal dos mil veintidós </w:t>
            </w:r>
          </w:p>
        </w:tc>
        <w:tc>
          <w:tcPr>
            <w:tcW w:w="2268" w:type="dxa"/>
          </w:tcPr>
          <w:p w:rsidR="00C36789" w:rsidRDefault="004F3375">
            <w:pPr>
              <w:spacing w:line="360" w:lineRule="auto"/>
              <w:jc w:val="center"/>
              <w:rPr>
                <w:color w:val="000000"/>
                <w:sz w:val="20"/>
                <w:szCs w:val="20"/>
              </w:rPr>
            </w:pPr>
            <w:r>
              <w:rPr>
                <w:color w:val="000000"/>
                <w:sz w:val="20"/>
                <w:szCs w:val="20"/>
              </w:rPr>
              <w:t>Ratifica</w:t>
            </w:r>
          </w:p>
        </w:tc>
        <w:tc>
          <w:tcPr>
            <w:tcW w:w="1980" w:type="dxa"/>
          </w:tcPr>
          <w:p w:rsidR="00C36789" w:rsidRDefault="004F3375">
            <w:pPr>
              <w:spacing w:line="360" w:lineRule="auto"/>
              <w:rPr>
                <w:color w:val="000000"/>
                <w:sz w:val="20"/>
                <w:szCs w:val="20"/>
              </w:rPr>
            </w:pPr>
            <w:r>
              <w:rPr>
                <w:color w:val="000000"/>
                <w:sz w:val="20"/>
                <w:szCs w:val="20"/>
              </w:rPr>
              <w:t xml:space="preserve">No atiende, pues no proporcionó el tabulador vigente a la fecha de la solicitud </w:t>
            </w:r>
          </w:p>
        </w:tc>
      </w:tr>
      <w:tr w:rsidR="00C36789">
        <w:tc>
          <w:tcPr>
            <w:tcW w:w="2405" w:type="dxa"/>
          </w:tcPr>
          <w:p w:rsidR="00C36789" w:rsidRDefault="004F3375">
            <w:pPr>
              <w:spacing w:line="360" w:lineRule="auto"/>
              <w:rPr>
                <w:color w:val="000000"/>
                <w:sz w:val="20"/>
                <w:szCs w:val="20"/>
              </w:rPr>
            </w:pPr>
            <w:r>
              <w:rPr>
                <w:color w:val="000000"/>
                <w:sz w:val="20"/>
                <w:szCs w:val="20"/>
              </w:rPr>
              <w:t>6. Organigrama de toda la administración pública 2025-2027</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1980" w:type="dxa"/>
          </w:tcPr>
          <w:p w:rsidR="00C36789" w:rsidRDefault="004F3375">
            <w:pPr>
              <w:spacing w:line="360" w:lineRule="auto"/>
              <w:rPr>
                <w:color w:val="000000"/>
                <w:sz w:val="20"/>
                <w:szCs w:val="20"/>
              </w:rPr>
            </w:pPr>
            <w:r>
              <w:rPr>
                <w:color w:val="000000"/>
                <w:sz w:val="20"/>
                <w:szCs w:val="20"/>
              </w:rPr>
              <w:t xml:space="preserve">No atiende, pues omitió pronunciarse </w:t>
            </w:r>
          </w:p>
        </w:tc>
      </w:tr>
      <w:tr w:rsidR="00C36789">
        <w:tc>
          <w:tcPr>
            <w:tcW w:w="2405" w:type="dxa"/>
          </w:tcPr>
          <w:p w:rsidR="00C36789" w:rsidRDefault="004F3375">
            <w:pPr>
              <w:spacing w:line="360" w:lineRule="auto"/>
              <w:rPr>
                <w:color w:val="000000"/>
                <w:sz w:val="20"/>
                <w:szCs w:val="20"/>
              </w:rPr>
            </w:pPr>
            <w:r>
              <w:rPr>
                <w:color w:val="000000"/>
                <w:sz w:val="20"/>
                <w:szCs w:val="20"/>
              </w:rPr>
              <w:t>7. Manuales de organización y de procedimientos de la Administración 2025-2027</w:t>
            </w:r>
          </w:p>
        </w:tc>
        <w:tc>
          <w:tcPr>
            <w:tcW w:w="2268" w:type="dxa"/>
          </w:tcPr>
          <w:p w:rsidR="00C36789" w:rsidRDefault="004F3375">
            <w:pPr>
              <w:spacing w:line="360" w:lineRule="auto"/>
              <w:rPr>
                <w:color w:val="000000"/>
                <w:sz w:val="20"/>
                <w:szCs w:val="20"/>
              </w:rPr>
            </w:pPr>
            <w:r>
              <w:rPr>
                <w:color w:val="000000"/>
                <w:sz w:val="20"/>
                <w:szCs w:val="20"/>
              </w:rPr>
              <w:t>La Unidad de Información, Planeación, Programación y Evaluación informó que los Manuales de Organización y Procedimientos de la Administración 2025-</w:t>
            </w:r>
            <w:r>
              <w:rPr>
                <w:color w:val="000000"/>
                <w:sz w:val="20"/>
                <w:szCs w:val="20"/>
              </w:rPr>
              <w:lastRenderedPageBreak/>
              <w:t xml:space="preserve">2027 se encuentran en proceso de integración y una vez que se aprueben serán publicadas. </w:t>
            </w:r>
          </w:p>
        </w:tc>
        <w:tc>
          <w:tcPr>
            <w:tcW w:w="2268" w:type="dxa"/>
          </w:tcPr>
          <w:p w:rsidR="00C36789" w:rsidRDefault="004F3375">
            <w:pPr>
              <w:spacing w:line="360" w:lineRule="auto"/>
              <w:jc w:val="center"/>
              <w:rPr>
                <w:b/>
                <w:color w:val="000000"/>
                <w:sz w:val="20"/>
                <w:szCs w:val="20"/>
              </w:rPr>
            </w:pPr>
            <w:r>
              <w:rPr>
                <w:color w:val="000000"/>
                <w:sz w:val="20"/>
                <w:szCs w:val="20"/>
              </w:rPr>
              <w:lastRenderedPageBreak/>
              <w:t>Ratifica</w:t>
            </w:r>
          </w:p>
        </w:tc>
        <w:tc>
          <w:tcPr>
            <w:tcW w:w="1980" w:type="dxa"/>
          </w:tcPr>
          <w:p w:rsidR="00C36789" w:rsidRDefault="004F3375">
            <w:pPr>
              <w:spacing w:line="360" w:lineRule="auto"/>
              <w:rPr>
                <w:color w:val="000000"/>
                <w:sz w:val="20"/>
                <w:szCs w:val="20"/>
              </w:rPr>
            </w:pPr>
            <w:r>
              <w:rPr>
                <w:color w:val="000000"/>
                <w:sz w:val="20"/>
                <w:szCs w:val="20"/>
              </w:rPr>
              <w:t xml:space="preserve">No atiende, pues omitió proporcionar los Manuales de Organización y Procedimientos vigentes y aplicables a la fecha de la solicitud. </w:t>
            </w:r>
          </w:p>
        </w:tc>
      </w:tr>
      <w:tr w:rsidR="00C36789">
        <w:tc>
          <w:tcPr>
            <w:tcW w:w="2405" w:type="dxa"/>
          </w:tcPr>
          <w:p w:rsidR="00C36789" w:rsidRDefault="004F3375">
            <w:pPr>
              <w:spacing w:line="360" w:lineRule="auto"/>
              <w:rPr>
                <w:color w:val="000000"/>
                <w:sz w:val="20"/>
                <w:szCs w:val="20"/>
              </w:rPr>
            </w:pPr>
            <w:r>
              <w:rPr>
                <w:color w:val="000000"/>
                <w:sz w:val="20"/>
                <w:szCs w:val="20"/>
              </w:rPr>
              <w:t>8. Montos que han ingresado de pago de predial del 1 de enero al 5 de febrero del año2025</w:t>
            </w:r>
          </w:p>
        </w:tc>
        <w:tc>
          <w:tcPr>
            <w:tcW w:w="2268" w:type="dxa"/>
          </w:tcPr>
          <w:p w:rsidR="00C36789" w:rsidRDefault="004F3375">
            <w:pPr>
              <w:spacing w:line="360" w:lineRule="auto"/>
              <w:rPr>
                <w:color w:val="000000"/>
                <w:sz w:val="20"/>
                <w:szCs w:val="20"/>
              </w:rPr>
            </w:pPr>
            <w:r>
              <w:rPr>
                <w:color w:val="000000"/>
                <w:sz w:val="20"/>
                <w:szCs w:val="20"/>
              </w:rPr>
              <w:t xml:space="preserve">La Tesorería Municipal precisó que del periodo comprendido del 1 de enero al 5 de febrero del 2025, el monto recaudado por concepto de Impuesto Predial fue de $416,662,726.59 (cuatrocientos dieciséis millones seiscientos sesenta y dos mil setecientos veintiséis pesos 59/100 M.N) </w:t>
            </w:r>
          </w:p>
        </w:tc>
        <w:tc>
          <w:tcPr>
            <w:tcW w:w="2268" w:type="dxa"/>
          </w:tcPr>
          <w:p w:rsidR="00C36789" w:rsidRDefault="004F3375">
            <w:pPr>
              <w:spacing w:line="360" w:lineRule="auto"/>
              <w:jc w:val="center"/>
              <w:rPr>
                <w:color w:val="000000"/>
                <w:sz w:val="20"/>
                <w:szCs w:val="20"/>
              </w:rPr>
            </w:pPr>
            <w:r>
              <w:rPr>
                <w:color w:val="000000"/>
                <w:sz w:val="20"/>
                <w:szCs w:val="20"/>
              </w:rPr>
              <w:t>Ratifica</w:t>
            </w:r>
          </w:p>
        </w:tc>
        <w:tc>
          <w:tcPr>
            <w:tcW w:w="1980" w:type="dxa"/>
          </w:tcPr>
          <w:p w:rsidR="00C36789" w:rsidRDefault="004F3375">
            <w:pPr>
              <w:spacing w:line="360" w:lineRule="auto"/>
              <w:rPr>
                <w:color w:val="000000"/>
                <w:sz w:val="20"/>
                <w:szCs w:val="20"/>
              </w:rPr>
            </w:pPr>
            <w:r>
              <w:rPr>
                <w:color w:val="000000"/>
                <w:sz w:val="20"/>
                <w:szCs w:val="20"/>
              </w:rPr>
              <w:t xml:space="preserve">Atiende, pues proporcionó el monto del pago de predial durante el periodo solicitado </w:t>
            </w:r>
          </w:p>
        </w:tc>
      </w:tr>
      <w:tr w:rsidR="00C36789">
        <w:tc>
          <w:tcPr>
            <w:tcW w:w="2405" w:type="dxa"/>
          </w:tcPr>
          <w:p w:rsidR="00C36789" w:rsidRDefault="004F3375">
            <w:pPr>
              <w:spacing w:line="360" w:lineRule="auto"/>
              <w:rPr>
                <w:color w:val="000000"/>
                <w:sz w:val="20"/>
                <w:szCs w:val="20"/>
              </w:rPr>
            </w:pPr>
            <w:r>
              <w:rPr>
                <w:color w:val="000000"/>
                <w:sz w:val="20"/>
                <w:szCs w:val="20"/>
              </w:rPr>
              <w:t>9. Número de patrullas con las que apoyó Gobierno del Estado al Ayuntamiento de Toluca, con evidencias fotográficas</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1980" w:type="dxa"/>
          </w:tcPr>
          <w:p w:rsidR="00C36789" w:rsidRDefault="004F3375">
            <w:pPr>
              <w:spacing w:line="360" w:lineRule="auto"/>
              <w:rPr>
                <w:color w:val="000000"/>
                <w:sz w:val="20"/>
                <w:szCs w:val="20"/>
              </w:rPr>
            </w:pPr>
            <w:r>
              <w:rPr>
                <w:color w:val="000000"/>
                <w:sz w:val="20"/>
                <w:szCs w:val="20"/>
              </w:rPr>
              <w:t xml:space="preserve">No atiende, pues omitió pronunciarse, sin embargo este punto de la información puede ser colmado con el Inventario de Control Vehicular. </w:t>
            </w:r>
          </w:p>
        </w:tc>
      </w:tr>
      <w:tr w:rsidR="00C36789">
        <w:tc>
          <w:tcPr>
            <w:tcW w:w="2405" w:type="dxa"/>
          </w:tcPr>
          <w:p w:rsidR="00C36789" w:rsidRDefault="004F3375">
            <w:pPr>
              <w:spacing w:line="360" w:lineRule="auto"/>
              <w:rPr>
                <w:color w:val="000000"/>
                <w:sz w:val="20"/>
                <w:szCs w:val="20"/>
              </w:rPr>
            </w:pPr>
            <w:r>
              <w:rPr>
                <w:color w:val="000000"/>
                <w:sz w:val="20"/>
                <w:szCs w:val="20"/>
              </w:rPr>
              <w:lastRenderedPageBreak/>
              <w:t>10. Estatus de las entregas recepción de las Direcciones Generales y la Dirección General de Seguridad</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1980" w:type="dxa"/>
          </w:tcPr>
          <w:p w:rsidR="00C36789" w:rsidRDefault="004F3375">
            <w:pPr>
              <w:spacing w:line="360" w:lineRule="auto"/>
              <w:rPr>
                <w:color w:val="000000"/>
                <w:sz w:val="20"/>
                <w:szCs w:val="20"/>
              </w:rPr>
            </w:pPr>
            <w:r>
              <w:rPr>
                <w:color w:val="000000"/>
                <w:sz w:val="20"/>
                <w:szCs w:val="20"/>
              </w:rPr>
              <w:t>No atiende, pues omitió pronunciarse</w:t>
            </w:r>
          </w:p>
        </w:tc>
      </w:tr>
      <w:tr w:rsidR="00C36789">
        <w:tc>
          <w:tcPr>
            <w:tcW w:w="2405" w:type="dxa"/>
          </w:tcPr>
          <w:p w:rsidR="00C36789" w:rsidRDefault="004F3375">
            <w:pPr>
              <w:spacing w:line="360" w:lineRule="auto"/>
              <w:rPr>
                <w:color w:val="000000"/>
                <w:sz w:val="20"/>
                <w:szCs w:val="20"/>
              </w:rPr>
            </w:pPr>
            <w:r>
              <w:rPr>
                <w:color w:val="000000"/>
                <w:sz w:val="20"/>
                <w:szCs w:val="20"/>
              </w:rPr>
              <w:t>11. Nombre de todas las empresas y proveedores contratados desde el 1 al 31 de enero de 2025</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1980" w:type="dxa"/>
          </w:tcPr>
          <w:p w:rsidR="00C36789" w:rsidRDefault="004F3375">
            <w:pPr>
              <w:spacing w:line="360" w:lineRule="auto"/>
              <w:rPr>
                <w:color w:val="000000"/>
                <w:sz w:val="20"/>
                <w:szCs w:val="20"/>
              </w:rPr>
            </w:pPr>
            <w:r>
              <w:rPr>
                <w:color w:val="000000"/>
                <w:sz w:val="20"/>
                <w:szCs w:val="20"/>
              </w:rPr>
              <w:t>No atiende, pues omitió pronunciarse</w:t>
            </w:r>
          </w:p>
        </w:tc>
      </w:tr>
      <w:tr w:rsidR="00C36789">
        <w:tc>
          <w:tcPr>
            <w:tcW w:w="2405" w:type="dxa"/>
          </w:tcPr>
          <w:p w:rsidR="00C36789" w:rsidRDefault="004F3375">
            <w:pPr>
              <w:spacing w:line="360" w:lineRule="auto"/>
              <w:rPr>
                <w:color w:val="000000"/>
                <w:sz w:val="20"/>
                <w:szCs w:val="20"/>
              </w:rPr>
            </w:pPr>
            <w:r>
              <w:rPr>
                <w:color w:val="000000"/>
                <w:sz w:val="20"/>
                <w:szCs w:val="20"/>
              </w:rPr>
              <w:t>12. Nombres y sueldos de todos los directores generales, directores de área o equivalentes, analistas especializados, coordinadores, asesores, jefes de departamento y de toda la estructura orgánica</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1980" w:type="dxa"/>
          </w:tcPr>
          <w:p w:rsidR="00C36789" w:rsidRDefault="004F3375">
            <w:pPr>
              <w:spacing w:line="360" w:lineRule="auto"/>
              <w:rPr>
                <w:color w:val="000000"/>
                <w:sz w:val="20"/>
                <w:szCs w:val="20"/>
              </w:rPr>
            </w:pPr>
            <w:r>
              <w:rPr>
                <w:color w:val="000000"/>
                <w:sz w:val="20"/>
                <w:szCs w:val="20"/>
              </w:rPr>
              <w:t>No atiende, pues omitió pronunciarse</w:t>
            </w:r>
          </w:p>
        </w:tc>
      </w:tr>
      <w:tr w:rsidR="00C36789">
        <w:tc>
          <w:tcPr>
            <w:tcW w:w="2405" w:type="dxa"/>
          </w:tcPr>
          <w:p w:rsidR="00C36789" w:rsidRDefault="004F3375">
            <w:pPr>
              <w:spacing w:line="360" w:lineRule="auto"/>
              <w:rPr>
                <w:color w:val="000000"/>
                <w:sz w:val="20"/>
                <w:szCs w:val="20"/>
              </w:rPr>
            </w:pPr>
            <w:r>
              <w:rPr>
                <w:color w:val="000000"/>
                <w:sz w:val="20"/>
                <w:szCs w:val="20"/>
              </w:rPr>
              <w:t>13. Currículums vitae de todos los servidores públicos que ingresaron del 1 de enero al 5 de febrero de 2025</w:t>
            </w:r>
          </w:p>
        </w:tc>
        <w:tc>
          <w:tcPr>
            <w:tcW w:w="2268" w:type="dxa"/>
          </w:tcPr>
          <w:p w:rsidR="00C36789" w:rsidRDefault="004F3375">
            <w:pPr>
              <w:spacing w:line="360" w:lineRule="auto"/>
              <w:rPr>
                <w:color w:val="000000"/>
                <w:sz w:val="20"/>
                <w:szCs w:val="20"/>
              </w:rPr>
            </w:pPr>
            <w:r>
              <w:rPr>
                <w:color w:val="000000"/>
                <w:sz w:val="20"/>
                <w:szCs w:val="20"/>
              </w:rPr>
              <w:t>Remitió la digitalización de las fichas curriculares del personal que ingresó durante el periodo referido, de las áreas de</w:t>
            </w:r>
            <w:r>
              <w:t xml:space="preserve"> </w:t>
            </w:r>
            <w:r>
              <w:rPr>
                <w:color w:val="000000"/>
                <w:sz w:val="20"/>
                <w:szCs w:val="20"/>
              </w:rPr>
              <w:t xml:space="preserve">la Dirección General de Seguridad y Protección, Coordinación Administrativa, </w:t>
            </w:r>
            <w:r>
              <w:rPr>
                <w:color w:val="000000"/>
                <w:sz w:val="20"/>
                <w:szCs w:val="20"/>
              </w:rPr>
              <w:lastRenderedPageBreak/>
              <w:t>Dirección de Inteligencia, Departamento Jurídico y Consultivo de la Dirección Jurídica, Dirección de Prevención Comunitaria y Coordinación de Protección Civil y Bomberos</w:t>
            </w:r>
          </w:p>
        </w:tc>
        <w:tc>
          <w:tcPr>
            <w:tcW w:w="2268" w:type="dxa"/>
          </w:tcPr>
          <w:p w:rsidR="00C36789" w:rsidRDefault="004F3375">
            <w:pPr>
              <w:spacing w:line="360" w:lineRule="auto"/>
              <w:jc w:val="center"/>
              <w:rPr>
                <w:color w:val="000000"/>
                <w:sz w:val="20"/>
                <w:szCs w:val="20"/>
              </w:rPr>
            </w:pPr>
            <w:r>
              <w:rPr>
                <w:color w:val="000000"/>
                <w:sz w:val="20"/>
                <w:szCs w:val="20"/>
              </w:rPr>
              <w:lastRenderedPageBreak/>
              <w:t>Ratifica</w:t>
            </w:r>
          </w:p>
        </w:tc>
        <w:tc>
          <w:tcPr>
            <w:tcW w:w="1980" w:type="dxa"/>
          </w:tcPr>
          <w:p w:rsidR="00C36789" w:rsidRDefault="004F3375">
            <w:pPr>
              <w:spacing w:line="360" w:lineRule="auto"/>
              <w:rPr>
                <w:color w:val="000000"/>
                <w:sz w:val="20"/>
                <w:szCs w:val="20"/>
              </w:rPr>
            </w:pPr>
            <w:r>
              <w:rPr>
                <w:color w:val="000000"/>
                <w:sz w:val="20"/>
                <w:szCs w:val="20"/>
              </w:rPr>
              <w:t xml:space="preserve">No atiende, pues sólo proporcionó las fichas curriculares de algunas áreas que integran la Secretaría del Ayuntamiento y la Dirección General de Seguridad, no hubo </w:t>
            </w:r>
            <w:r>
              <w:rPr>
                <w:color w:val="000000"/>
                <w:sz w:val="20"/>
                <w:szCs w:val="20"/>
              </w:rPr>
              <w:lastRenderedPageBreak/>
              <w:t xml:space="preserve">pronunciamiento de las demás áreas del Ayuntamiento. </w:t>
            </w:r>
          </w:p>
        </w:tc>
      </w:tr>
      <w:tr w:rsidR="00C36789">
        <w:tc>
          <w:tcPr>
            <w:tcW w:w="2405" w:type="dxa"/>
          </w:tcPr>
          <w:p w:rsidR="00C36789" w:rsidRDefault="004F3375">
            <w:pPr>
              <w:spacing w:line="360" w:lineRule="auto"/>
              <w:rPr>
                <w:color w:val="000000"/>
                <w:sz w:val="20"/>
                <w:szCs w:val="20"/>
              </w:rPr>
            </w:pPr>
            <w:r>
              <w:rPr>
                <w:color w:val="000000"/>
                <w:sz w:val="20"/>
                <w:szCs w:val="20"/>
              </w:rPr>
              <w:lastRenderedPageBreak/>
              <w:t xml:space="preserve">14. Altas y bajas de todo el personal del mes de enero del año 2025 </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1980" w:type="dxa"/>
          </w:tcPr>
          <w:p w:rsidR="00C36789" w:rsidRDefault="004F3375">
            <w:pPr>
              <w:spacing w:line="360" w:lineRule="auto"/>
              <w:rPr>
                <w:color w:val="000000"/>
                <w:sz w:val="20"/>
                <w:szCs w:val="20"/>
              </w:rPr>
            </w:pPr>
            <w:r>
              <w:rPr>
                <w:color w:val="000000"/>
                <w:sz w:val="20"/>
                <w:szCs w:val="20"/>
              </w:rPr>
              <w:t>No atiende, pues omitió pronunciarse</w:t>
            </w:r>
          </w:p>
        </w:tc>
      </w:tr>
      <w:tr w:rsidR="00C36789">
        <w:tc>
          <w:tcPr>
            <w:tcW w:w="2405" w:type="dxa"/>
          </w:tcPr>
          <w:p w:rsidR="00C36789" w:rsidRDefault="004F3375">
            <w:pPr>
              <w:spacing w:line="360" w:lineRule="auto"/>
              <w:rPr>
                <w:color w:val="000000"/>
                <w:sz w:val="20"/>
                <w:szCs w:val="20"/>
              </w:rPr>
            </w:pPr>
            <w:r>
              <w:rPr>
                <w:color w:val="000000"/>
                <w:sz w:val="20"/>
                <w:szCs w:val="20"/>
              </w:rPr>
              <w:t>15. Renuncias de servidores públicos del mes de enero año 2025</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1980" w:type="dxa"/>
          </w:tcPr>
          <w:p w:rsidR="00C36789" w:rsidRDefault="004F3375">
            <w:pPr>
              <w:spacing w:line="360" w:lineRule="auto"/>
              <w:rPr>
                <w:color w:val="000000"/>
                <w:sz w:val="20"/>
                <w:szCs w:val="20"/>
              </w:rPr>
            </w:pPr>
            <w:r>
              <w:rPr>
                <w:color w:val="000000"/>
                <w:sz w:val="20"/>
                <w:szCs w:val="20"/>
              </w:rPr>
              <w:t>No atiende, pues omitió pronunciarse</w:t>
            </w:r>
          </w:p>
        </w:tc>
      </w:tr>
      <w:tr w:rsidR="00C36789">
        <w:tc>
          <w:tcPr>
            <w:tcW w:w="2405" w:type="dxa"/>
          </w:tcPr>
          <w:p w:rsidR="00C36789" w:rsidRDefault="004F3375">
            <w:pPr>
              <w:spacing w:line="360" w:lineRule="auto"/>
              <w:rPr>
                <w:color w:val="000000"/>
                <w:sz w:val="20"/>
                <w:szCs w:val="20"/>
              </w:rPr>
            </w:pPr>
            <w:r>
              <w:rPr>
                <w:color w:val="000000"/>
                <w:sz w:val="20"/>
                <w:szCs w:val="20"/>
              </w:rPr>
              <w:t xml:space="preserve">16. Sueldo del Presidente Municipal, Regidores, Síndico y Secretario del Ayuntamiento  </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1980" w:type="dxa"/>
          </w:tcPr>
          <w:p w:rsidR="00C36789" w:rsidRDefault="004F3375">
            <w:pPr>
              <w:spacing w:line="360" w:lineRule="auto"/>
              <w:rPr>
                <w:color w:val="000000"/>
                <w:sz w:val="20"/>
                <w:szCs w:val="20"/>
              </w:rPr>
            </w:pPr>
            <w:r>
              <w:rPr>
                <w:color w:val="000000"/>
                <w:sz w:val="20"/>
                <w:szCs w:val="20"/>
              </w:rPr>
              <w:t>No atiende, pues omitió pronunciarse</w:t>
            </w:r>
          </w:p>
        </w:tc>
      </w:tr>
      <w:tr w:rsidR="00C36789">
        <w:tc>
          <w:tcPr>
            <w:tcW w:w="2405" w:type="dxa"/>
          </w:tcPr>
          <w:p w:rsidR="00C36789" w:rsidRDefault="004F3375">
            <w:pPr>
              <w:spacing w:line="360" w:lineRule="auto"/>
              <w:rPr>
                <w:color w:val="000000"/>
                <w:sz w:val="20"/>
                <w:szCs w:val="20"/>
              </w:rPr>
            </w:pPr>
            <w:r>
              <w:rPr>
                <w:color w:val="000000"/>
                <w:sz w:val="20"/>
                <w:szCs w:val="20"/>
              </w:rPr>
              <w:t>17. Relación del personal y salarios de servidores públicos adscritos a Presidencia, Secretaría del Ayuntamiento, Regidores, Direcciones Generales, Coordinación de Asesores</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1980" w:type="dxa"/>
          </w:tcPr>
          <w:p w:rsidR="00C36789" w:rsidRDefault="004F3375">
            <w:pPr>
              <w:spacing w:line="360" w:lineRule="auto"/>
              <w:rPr>
                <w:color w:val="000000"/>
                <w:sz w:val="20"/>
                <w:szCs w:val="20"/>
              </w:rPr>
            </w:pPr>
            <w:r>
              <w:rPr>
                <w:color w:val="000000"/>
                <w:sz w:val="20"/>
                <w:szCs w:val="20"/>
              </w:rPr>
              <w:t>No atiende, pues omitió pronunciarse</w:t>
            </w:r>
          </w:p>
        </w:tc>
      </w:tr>
      <w:tr w:rsidR="00C36789">
        <w:tc>
          <w:tcPr>
            <w:tcW w:w="2405" w:type="dxa"/>
          </w:tcPr>
          <w:p w:rsidR="00C36789" w:rsidRDefault="004F3375">
            <w:pPr>
              <w:spacing w:line="360" w:lineRule="auto"/>
              <w:rPr>
                <w:color w:val="000000"/>
                <w:sz w:val="20"/>
                <w:szCs w:val="20"/>
              </w:rPr>
            </w:pPr>
            <w:r>
              <w:rPr>
                <w:color w:val="000000"/>
                <w:sz w:val="20"/>
                <w:szCs w:val="20"/>
              </w:rPr>
              <w:lastRenderedPageBreak/>
              <w:t>18. Monto pagado a proveedores contratados del 1 de enero  al 5 de febrero de 2025</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1980" w:type="dxa"/>
          </w:tcPr>
          <w:p w:rsidR="00C36789" w:rsidRDefault="004F3375">
            <w:pPr>
              <w:spacing w:line="360" w:lineRule="auto"/>
              <w:rPr>
                <w:color w:val="000000"/>
                <w:sz w:val="20"/>
                <w:szCs w:val="20"/>
              </w:rPr>
            </w:pPr>
            <w:r>
              <w:rPr>
                <w:color w:val="000000"/>
                <w:sz w:val="20"/>
                <w:szCs w:val="20"/>
              </w:rPr>
              <w:t>No atiende, pues omitió pronunciarse</w:t>
            </w:r>
          </w:p>
        </w:tc>
      </w:tr>
      <w:tr w:rsidR="00C36789">
        <w:tc>
          <w:tcPr>
            <w:tcW w:w="2405" w:type="dxa"/>
          </w:tcPr>
          <w:p w:rsidR="00C36789" w:rsidRDefault="004F3375">
            <w:pPr>
              <w:spacing w:line="360" w:lineRule="auto"/>
              <w:rPr>
                <w:color w:val="000000"/>
                <w:sz w:val="20"/>
                <w:szCs w:val="20"/>
              </w:rPr>
            </w:pPr>
            <w:r>
              <w:rPr>
                <w:color w:val="000000"/>
                <w:sz w:val="20"/>
                <w:szCs w:val="20"/>
              </w:rPr>
              <w:t xml:space="preserve">19. Número de laudos al cinco de febrero de dos mil veinticinco </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1980" w:type="dxa"/>
          </w:tcPr>
          <w:p w:rsidR="00C36789" w:rsidRDefault="004F3375">
            <w:pPr>
              <w:spacing w:line="360" w:lineRule="auto"/>
              <w:rPr>
                <w:color w:val="000000"/>
                <w:sz w:val="20"/>
                <w:szCs w:val="20"/>
              </w:rPr>
            </w:pPr>
            <w:r>
              <w:rPr>
                <w:color w:val="000000"/>
                <w:sz w:val="20"/>
                <w:szCs w:val="20"/>
              </w:rPr>
              <w:t>No atiende, pues omitió pronunciarse</w:t>
            </w:r>
          </w:p>
        </w:tc>
      </w:tr>
      <w:tr w:rsidR="00C36789">
        <w:tc>
          <w:tcPr>
            <w:tcW w:w="2405" w:type="dxa"/>
          </w:tcPr>
          <w:p w:rsidR="00C36789" w:rsidRDefault="004F3375">
            <w:pPr>
              <w:spacing w:line="360" w:lineRule="auto"/>
              <w:rPr>
                <w:color w:val="000000"/>
                <w:sz w:val="20"/>
                <w:szCs w:val="20"/>
              </w:rPr>
            </w:pPr>
            <w:r>
              <w:rPr>
                <w:color w:val="000000"/>
                <w:sz w:val="20"/>
                <w:szCs w:val="20"/>
              </w:rPr>
              <w:t>20. Monto de la deuda pública que dejo la administración anterior</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1980" w:type="dxa"/>
          </w:tcPr>
          <w:p w:rsidR="00C36789" w:rsidRDefault="004F3375">
            <w:pPr>
              <w:spacing w:line="360" w:lineRule="auto"/>
              <w:rPr>
                <w:color w:val="000000"/>
                <w:sz w:val="20"/>
                <w:szCs w:val="20"/>
              </w:rPr>
            </w:pPr>
            <w:r>
              <w:rPr>
                <w:color w:val="000000"/>
                <w:sz w:val="20"/>
                <w:szCs w:val="20"/>
              </w:rPr>
              <w:t>No atiende, pues omitió pronunciarse</w:t>
            </w:r>
          </w:p>
        </w:tc>
      </w:tr>
      <w:tr w:rsidR="00C36789">
        <w:tc>
          <w:tcPr>
            <w:tcW w:w="2405" w:type="dxa"/>
          </w:tcPr>
          <w:p w:rsidR="00C36789" w:rsidRDefault="004F3375">
            <w:pPr>
              <w:spacing w:line="360" w:lineRule="auto"/>
              <w:rPr>
                <w:color w:val="000000"/>
                <w:sz w:val="20"/>
                <w:szCs w:val="20"/>
              </w:rPr>
            </w:pPr>
            <w:r>
              <w:rPr>
                <w:color w:val="000000"/>
                <w:sz w:val="20"/>
                <w:szCs w:val="20"/>
              </w:rPr>
              <w:t>21. Nombres y currículums de los Comandantes de Seguridad Pública y Vialidad</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1980" w:type="dxa"/>
          </w:tcPr>
          <w:p w:rsidR="00C36789" w:rsidRDefault="004F3375">
            <w:pPr>
              <w:spacing w:line="360" w:lineRule="auto"/>
              <w:rPr>
                <w:color w:val="000000"/>
                <w:sz w:val="20"/>
                <w:szCs w:val="20"/>
              </w:rPr>
            </w:pPr>
            <w:r>
              <w:rPr>
                <w:color w:val="000000"/>
                <w:sz w:val="20"/>
                <w:szCs w:val="20"/>
              </w:rPr>
              <w:t>No atiende, pues omitió pronunciarse</w:t>
            </w:r>
          </w:p>
        </w:tc>
      </w:tr>
      <w:tr w:rsidR="00C36789">
        <w:tc>
          <w:tcPr>
            <w:tcW w:w="2405" w:type="dxa"/>
          </w:tcPr>
          <w:p w:rsidR="00C36789" w:rsidRDefault="004F3375">
            <w:pPr>
              <w:spacing w:line="360" w:lineRule="auto"/>
              <w:rPr>
                <w:color w:val="000000"/>
                <w:sz w:val="20"/>
                <w:szCs w:val="20"/>
              </w:rPr>
            </w:pPr>
            <w:r>
              <w:rPr>
                <w:color w:val="000000"/>
                <w:sz w:val="20"/>
                <w:szCs w:val="20"/>
              </w:rPr>
              <w:t xml:space="preserve">22. Cuántas patrullas tienen actualmente el Ayuntamiento de Toluca </w:t>
            </w:r>
          </w:p>
        </w:tc>
        <w:tc>
          <w:tcPr>
            <w:tcW w:w="2268" w:type="dxa"/>
          </w:tcPr>
          <w:p w:rsidR="00C36789" w:rsidRDefault="004F3375">
            <w:pPr>
              <w:spacing w:line="360" w:lineRule="auto"/>
              <w:rPr>
                <w:color w:val="000000"/>
                <w:sz w:val="20"/>
                <w:szCs w:val="20"/>
              </w:rPr>
            </w:pPr>
            <w:r>
              <w:rPr>
                <w:color w:val="000000"/>
                <w:sz w:val="20"/>
                <w:szCs w:val="20"/>
              </w:rPr>
              <w:t xml:space="preserve">La Dirección General de Seguridad y Protección Ciudadana precisó que después de una búsqueda exhaustiva en los archivos físicos y digitales del área, se cuentan con 1144 (mil ciento cuarenta y cuatro) patrullas </w:t>
            </w:r>
          </w:p>
        </w:tc>
        <w:tc>
          <w:tcPr>
            <w:tcW w:w="2268" w:type="dxa"/>
          </w:tcPr>
          <w:p w:rsidR="00C36789" w:rsidRDefault="004F3375">
            <w:pPr>
              <w:spacing w:line="360" w:lineRule="auto"/>
              <w:jc w:val="center"/>
              <w:rPr>
                <w:color w:val="000000"/>
                <w:sz w:val="20"/>
                <w:szCs w:val="20"/>
              </w:rPr>
            </w:pPr>
            <w:r>
              <w:rPr>
                <w:color w:val="000000"/>
                <w:sz w:val="20"/>
                <w:szCs w:val="20"/>
              </w:rPr>
              <w:t>Ratifica</w:t>
            </w:r>
          </w:p>
        </w:tc>
        <w:tc>
          <w:tcPr>
            <w:tcW w:w="1980" w:type="dxa"/>
          </w:tcPr>
          <w:p w:rsidR="00C36789" w:rsidRDefault="004F3375">
            <w:pPr>
              <w:spacing w:line="360" w:lineRule="auto"/>
              <w:rPr>
                <w:color w:val="000000"/>
                <w:sz w:val="20"/>
                <w:szCs w:val="20"/>
              </w:rPr>
            </w:pPr>
            <w:r>
              <w:rPr>
                <w:color w:val="000000"/>
                <w:sz w:val="20"/>
                <w:szCs w:val="20"/>
              </w:rPr>
              <w:t xml:space="preserve">Atiende, pues el área competente precisó la cantidad de patrullas con las que cuenta Actualmente el Sujeto Obligado  </w:t>
            </w:r>
          </w:p>
        </w:tc>
      </w:tr>
      <w:tr w:rsidR="00C36789">
        <w:tc>
          <w:tcPr>
            <w:tcW w:w="2405" w:type="dxa"/>
          </w:tcPr>
          <w:p w:rsidR="00C36789" w:rsidRDefault="004F3375">
            <w:pPr>
              <w:spacing w:line="360" w:lineRule="auto"/>
              <w:rPr>
                <w:color w:val="000000"/>
                <w:sz w:val="20"/>
                <w:szCs w:val="20"/>
              </w:rPr>
            </w:pPr>
            <w:r>
              <w:rPr>
                <w:color w:val="000000"/>
                <w:sz w:val="20"/>
                <w:szCs w:val="20"/>
              </w:rPr>
              <w:t xml:space="preserve">23. Cuánta gasolina se les dotara a cada patrulla y camión de basura </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1980" w:type="dxa"/>
          </w:tcPr>
          <w:p w:rsidR="00C36789" w:rsidRDefault="004F3375">
            <w:pPr>
              <w:spacing w:line="360" w:lineRule="auto"/>
              <w:rPr>
                <w:color w:val="000000"/>
                <w:sz w:val="20"/>
                <w:szCs w:val="20"/>
              </w:rPr>
            </w:pPr>
            <w:r>
              <w:rPr>
                <w:color w:val="000000"/>
                <w:sz w:val="20"/>
                <w:szCs w:val="20"/>
              </w:rPr>
              <w:t xml:space="preserve">Este punto de la solicitud refiere a hechos futuros, por </w:t>
            </w:r>
            <w:r>
              <w:rPr>
                <w:color w:val="000000"/>
                <w:sz w:val="20"/>
                <w:szCs w:val="20"/>
              </w:rPr>
              <w:lastRenderedPageBreak/>
              <w:t xml:space="preserve">lo que no es atendible con documentos previamente generados por el Sujeto Obligado a la fecha de la solicitud. </w:t>
            </w:r>
          </w:p>
        </w:tc>
      </w:tr>
      <w:tr w:rsidR="00C36789">
        <w:tc>
          <w:tcPr>
            <w:tcW w:w="2405" w:type="dxa"/>
          </w:tcPr>
          <w:p w:rsidR="00C36789" w:rsidRDefault="004F3375">
            <w:pPr>
              <w:tabs>
                <w:tab w:val="center" w:pos="1094"/>
              </w:tabs>
              <w:spacing w:line="360" w:lineRule="auto"/>
              <w:rPr>
                <w:color w:val="000000"/>
                <w:sz w:val="20"/>
                <w:szCs w:val="20"/>
              </w:rPr>
            </w:pPr>
            <w:r>
              <w:rPr>
                <w:color w:val="000000"/>
                <w:sz w:val="20"/>
                <w:szCs w:val="20"/>
              </w:rPr>
              <w:lastRenderedPageBreak/>
              <w:t xml:space="preserve">24. </w:t>
            </w:r>
            <w:r>
              <w:rPr>
                <w:color w:val="000000"/>
                <w:sz w:val="20"/>
                <w:szCs w:val="20"/>
              </w:rPr>
              <w:tab/>
              <w:t xml:space="preserve">Cuántas patrullas, camiones de basura y policías dejó Juan </w:t>
            </w:r>
            <w:proofErr w:type="spellStart"/>
            <w:r>
              <w:rPr>
                <w:color w:val="000000"/>
                <w:sz w:val="20"/>
                <w:szCs w:val="20"/>
              </w:rPr>
              <w:t>Maccise</w:t>
            </w:r>
            <w:proofErr w:type="spellEnd"/>
            <w:r>
              <w:rPr>
                <w:color w:val="000000"/>
                <w:sz w:val="20"/>
                <w:szCs w:val="20"/>
              </w:rPr>
              <w:t xml:space="preserve"> y cuándo dejó de ser Presidente Municipal</w:t>
            </w:r>
          </w:p>
        </w:tc>
        <w:tc>
          <w:tcPr>
            <w:tcW w:w="2268" w:type="dxa"/>
          </w:tcPr>
          <w:p w:rsidR="00C36789" w:rsidRDefault="004F3375">
            <w:pPr>
              <w:spacing w:line="360" w:lineRule="auto"/>
              <w:rPr>
                <w:color w:val="000000"/>
                <w:sz w:val="20"/>
                <w:szCs w:val="20"/>
              </w:rPr>
            </w:pPr>
            <w:r>
              <w:rPr>
                <w:color w:val="000000"/>
                <w:sz w:val="20"/>
                <w:szCs w:val="20"/>
              </w:rPr>
              <w:t xml:space="preserve">La Dirección General de Seguridad y Protección Ciudadana precisó que Juan </w:t>
            </w:r>
            <w:proofErr w:type="spellStart"/>
            <w:r>
              <w:rPr>
                <w:color w:val="000000"/>
                <w:sz w:val="20"/>
                <w:szCs w:val="20"/>
              </w:rPr>
              <w:t>Maccise</w:t>
            </w:r>
            <w:proofErr w:type="spellEnd"/>
            <w:r>
              <w:rPr>
                <w:color w:val="000000"/>
                <w:sz w:val="20"/>
                <w:szCs w:val="20"/>
              </w:rPr>
              <w:t xml:space="preserve"> dejó 2114 (dos mil ciento catorce) patrullas y 1118 (mil ciento dieciocho) policías. </w:t>
            </w:r>
          </w:p>
        </w:tc>
        <w:tc>
          <w:tcPr>
            <w:tcW w:w="2268" w:type="dxa"/>
          </w:tcPr>
          <w:p w:rsidR="00C36789" w:rsidRDefault="004F3375">
            <w:pPr>
              <w:spacing w:line="360" w:lineRule="auto"/>
              <w:jc w:val="center"/>
              <w:rPr>
                <w:color w:val="000000"/>
                <w:sz w:val="20"/>
                <w:szCs w:val="20"/>
              </w:rPr>
            </w:pPr>
            <w:r>
              <w:rPr>
                <w:color w:val="000000"/>
                <w:sz w:val="20"/>
                <w:szCs w:val="20"/>
              </w:rPr>
              <w:t>Ratifica</w:t>
            </w:r>
          </w:p>
        </w:tc>
        <w:tc>
          <w:tcPr>
            <w:tcW w:w="1980" w:type="dxa"/>
          </w:tcPr>
          <w:p w:rsidR="00C36789" w:rsidRDefault="004F3375">
            <w:pPr>
              <w:spacing w:line="360" w:lineRule="auto"/>
              <w:rPr>
                <w:color w:val="000000"/>
                <w:sz w:val="20"/>
                <w:szCs w:val="20"/>
              </w:rPr>
            </w:pPr>
            <w:r>
              <w:rPr>
                <w:color w:val="000000"/>
                <w:sz w:val="20"/>
                <w:szCs w:val="20"/>
              </w:rPr>
              <w:t xml:space="preserve">Parcialmente, pues proporcionó el número de patrullas con las que contaba la Administración Pública Municipal pasada, durante el encargo de Juan </w:t>
            </w:r>
            <w:proofErr w:type="spellStart"/>
            <w:r>
              <w:rPr>
                <w:color w:val="000000"/>
                <w:sz w:val="20"/>
                <w:szCs w:val="20"/>
              </w:rPr>
              <w:t>Maccise</w:t>
            </w:r>
            <w:proofErr w:type="spellEnd"/>
            <w:r>
              <w:rPr>
                <w:color w:val="000000"/>
                <w:sz w:val="20"/>
                <w:szCs w:val="20"/>
              </w:rPr>
              <w:t xml:space="preserve">. </w:t>
            </w:r>
          </w:p>
        </w:tc>
      </w:tr>
      <w:tr w:rsidR="00C36789">
        <w:tc>
          <w:tcPr>
            <w:tcW w:w="2405" w:type="dxa"/>
          </w:tcPr>
          <w:p w:rsidR="00C36789" w:rsidRDefault="004F3375">
            <w:pPr>
              <w:spacing w:line="360" w:lineRule="auto"/>
              <w:rPr>
                <w:color w:val="000000"/>
                <w:sz w:val="20"/>
                <w:szCs w:val="20"/>
              </w:rPr>
            </w:pPr>
            <w:r>
              <w:rPr>
                <w:color w:val="000000"/>
                <w:sz w:val="20"/>
                <w:szCs w:val="20"/>
              </w:rPr>
              <w:t>25. Cuántas patrullas, camiones de basura y policías dejó Juan Rodolfo, María Elena Barrera Tapia y cuando dejaron de ser Presidenta (e) Municipal</w:t>
            </w:r>
          </w:p>
        </w:tc>
        <w:tc>
          <w:tcPr>
            <w:tcW w:w="2268" w:type="dxa"/>
          </w:tcPr>
          <w:p w:rsidR="00C36789" w:rsidRDefault="004F3375">
            <w:pPr>
              <w:spacing w:line="360" w:lineRule="auto"/>
              <w:rPr>
                <w:color w:val="000000"/>
                <w:sz w:val="20"/>
                <w:szCs w:val="20"/>
              </w:rPr>
            </w:pPr>
            <w:r>
              <w:rPr>
                <w:color w:val="000000"/>
                <w:sz w:val="20"/>
                <w:szCs w:val="20"/>
              </w:rPr>
              <w:t xml:space="preserve">La Dirección General de Seguridad y Protección Ciudadana precisó que referente a las patrullas de otras administraciones, se realizó la búsqueda exhaustiva y no se encontró información que corresponde a lo solicitado.  </w:t>
            </w:r>
          </w:p>
        </w:tc>
        <w:tc>
          <w:tcPr>
            <w:tcW w:w="2268" w:type="dxa"/>
          </w:tcPr>
          <w:p w:rsidR="00C36789" w:rsidRDefault="004F3375">
            <w:pPr>
              <w:spacing w:line="360" w:lineRule="auto"/>
              <w:jc w:val="center"/>
              <w:rPr>
                <w:color w:val="000000"/>
                <w:sz w:val="20"/>
                <w:szCs w:val="20"/>
              </w:rPr>
            </w:pPr>
            <w:r>
              <w:rPr>
                <w:color w:val="000000"/>
                <w:sz w:val="20"/>
                <w:szCs w:val="20"/>
              </w:rPr>
              <w:t>Ratifica</w:t>
            </w:r>
          </w:p>
        </w:tc>
        <w:tc>
          <w:tcPr>
            <w:tcW w:w="1980" w:type="dxa"/>
          </w:tcPr>
          <w:p w:rsidR="00C36789" w:rsidRDefault="004F3375">
            <w:pPr>
              <w:spacing w:line="360" w:lineRule="auto"/>
              <w:rPr>
                <w:color w:val="000000"/>
                <w:sz w:val="20"/>
                <w:szCs w:val="20"/>
              </w:rPr>
            </w:pPr>
            <w:r>
              <w:rPr>
                <w:color w:val="000000"/>
                <w:sz w:val="20"/>
                <w:szCs w:val="20"/>
              </w:rPr>
              <w:t xml:space="preserve">No atiende, pues omitió realizar la búsqueda exhaustiva. </w:t>
            </w:r>
          </w:p>
        </w:tc>
      </w:tr>
      <w:tr w:rsidR="00C36789">
        <w:tc>
          <w:tcPr>
            <w:tcW w:w="2405" w:type="dxa"/>
          </w:tcPr>
          <w:p w:rsidR="00C36789" w:rsidRDefault="004F3375">
            <w:pPr>
              <w:spacing w:line="360" w:lineRule="auto"/>
              <w:rPr>
                <w:color w:val="000000"/>
                <w:sz w:val="20"/>
                <w:szCs w:val="20"/>
              </w:rPr>
            </w:pPr>
            <w:r>
              <w:rPr>
                <w:color w:val="000000"/>
                <w:sz w:val="20"/>
                <w:szCs w:val="20"/>
              </w:rPr>
              <w:lastRenderedPageBreak/>
              <w:t>26. Cuántas patrullas, camiones de basura y policías dejó Martha Hilda González y cuándo dejó de ser Presidenta Municipal</w:t>
            </w:r>
          </w:p>
        </w:tc>
        <w:tc>
          <w:tcPr>
            <w:tcW w:w="2268" w:type="dxa"/>
          </w:tcPr>
          <w:p w:rsidR="00C36789" w:rsidRDefault="004F3375">
            <w:pPr>
              <w:spacing w:line="360" w:lineRule="auto"/>
              <w:rPr>
                <w:color w:val="000000"/>
                <w:sz w:val="20"/>
                <w:szCs w:val="20"/>
              </w:rPr>
            </w:pPr>
            <w:r>
              <w:rPr>
                <w:color w:val="000000"/>
                <w:sz w:val="20"/>
                <w:szCs w:val="20"/>
              </w:rPr>
              <w:t xml:space="preserve">La Dirección General de Seguridad y Protección Ciudadana precisó que referente a las patrullas de otras administraciones, se realizó la búsqueda exhaustiva y no se encontró información que corresponde a lo solicitado.  </w:t>
            </w:r>
          </w:p>
        </w:tc>
        <w:tc>
          <w:tcPr>
            <w:tcW w:w="2268" w:type="dxa"/>
          </w:tcPr>
          <w:p w:rsidR="00C36789" w:rsidRDefault="004F3375">
            <w:pPr>
              <w:spacing w:line="360" w:lineRule="auto"/>
              <w:jc w:val="center"/>
              <w:rPr>
                <w:color w:val="000000"/>
                <w:sz w:val="20"/>
                <w:szCs w:val="20"/>
              </w:rPr>
            </w:pPr>
            <w:r>
              <w:rPr>
                <w:color w:val="000000"/>
                <w:sz w:val="20"/>
                <w:szCs w:val="20"/>
              </w:rPr>
              <w:t>Ratifica</w:t>
            </w:r>
          </w:p>
        </w:tc>
        <w:tc>
          <w:tcPr>
            <w:tcW w:w="1980" w:type="dxa"/>
          </w:tcPr>
          <w:p w:rsidR="00C36789" w:rsidRDefault="004F3375">
            <w:pPr>
              <w:spacing w:line="360" w:lineRule="auto"/>
              <w:rPr>
                <w:color w:val="000000"/>
                <w:sz w:val="20"/>
                <w:szCs w:val="20"/>
              </w:rPr>
            </w:pPr>
            <w:r>
              <w:rPr>
                <w:color w:val="000000"/>
                <w:sz w:val="20"/>
                <w:szCs w:val="20"/>
              </w:rPr>
              <w:t>No atiende, pues omitió realizar la búsqueda exhaustiva.</w:t>
            </w:r>
          </w:p>
        </w:tc>
      </w:tr>
      <w:tr w:rsidR="00C36789">
        <w:tc>
          <w:tcPr>
            <w:tcW w:w="2405" w:type="dxa"/>
          </w:tcPr>
          <w:p w:rsidR="00C36789" w:rsidRDefault="004F3375">
            <w:pPr>
              <w:spacing w:line="360" w:lineRule="auto"/>
              <w:rPr>
                <w:color w:val="000000"/>
                <w:sz w:val="20"/>
                <w:szCs w:val="20"/>
              </w:rPr>
            </w:pPr>
            <w:r>
              <w:rPr>
                <w:color w:val="000000"/>
                <w:sz w:val="20"/>
                <w:szCs w:val="20"/>
              </w:rPr>
              <w:t>27. Cuántas patrullas, camiones de basura y policías dejó Fernando Zamora y cuándo dejó de ser Presidente Municipal</w:t>
            </w:r>
          </w:p>
        </w:tc>
        <w:tc>
          <w:tcPr>
            <w:tcW w:w="2268" w:type="dxa"/>
          </w:tcPr>
          <w:p w:rsidR="00C36789" w:rsidRDefault="004F3375">
            <w:pPr>
              <w:spacing w:line="360" w:lineRule="auto"/>
              <w:rPr>
                <w:color w:val="000000"/>
                <w:sz w:val="20"/>
                <w:szCs w:val="20"/>
              </w:rPr>
            </w:pPr>
            <w:r>
              <w:rPr>
                <w:color w:val="000000"/>
                <w:sz w:val="20"/>
                <w:szCs w:val="20"/>
              </w:rPr>
              <w:t xml:space="preserve">La Dirección General de Seguridad y Protección Ciudadana precisó que referente a las patrullas de otras administraciones, se realizó la búsqueda exhaustiva y no se encontró información que corresponde a lo solicitado.  </w:t>
            </w:r>
          </w:p>
        </w:tc>
        <w:tc>
          <w:tcPr>
            <w:tcW w:w="2268" w:type="dxa"/>
          </w:tcPr>
          <w:p w:rsidR="00C36789" w:rsidRDefault="004F3375">
            <w:pPr>
              <w:spacing w:line="360" w:lineRule="auto"/>
              <w:jc w:val="center"/>
              <w:rPr>
                <w:color w:val="000000"/>
                <w:sz w:val="20"/>
                <w:szCs w:val="20"/>
              </w:rPr>
            </w:pPr>
            <w:r>
              <w:rPr>
                <w:color w:val="000000"/>
                <w:sz w:val="20"/>
                <w:szCs w:val="20"/>
              </w:rPr>
              <w:t>Ratifica</w:t>
            </w:r>
          </w:p>
        </w:tc>
        <w:tc>
          <w:tcPr>
            <w:tcW w:w="1980" w:type="dxa"/>
          </w:tcPr>
          <w:p w:rsidR="00C36789" w:rsidRDefault="004F3375">
            <w:pPr>
              <w:spacing w:line="360" w:lineRule="auto"/>
              <w:rPr>
                <w:color w:val="000000"/>
                <w:sz w:val="20"/>
                <w:szCs w:val="20"/>
              </w:rPr>
            </w:pPr>
            <w:r>
              <w:rPr>
                <w:color w:val="000000"/>
                <w:sz w:val="20"/>
                <w:szCs w:val="20"/>
              </w:rPr>
              <w:t>No atiende, pues omitió realizar la búsqueda exhaustiva.</w:t>
            </w:r>
          </w:p>
        </w:tc>
      </w:tr>
      <w:tr w:rsidR="00C36789">
        <w:tc>
          <w:tcPr>
            <w:tcW w:w="2405" w:type="dxa"/>
          </w:tcPr>
          <w:p w:rsidR="00C36789" w:rsidRDefault="004F3375">
            <w:pPr>
              <w:spacing w:line="360" w:lineRule="auto"/>
              <w:rPr>
                <w:color w:val="000000"/>
                <w:sz w:val="20"/>
                <w:szCs w:val="20"/>
              </w:rPr>
            </w:pPr>
            <w:r>
              <w:rPr>
                <w:color w:val="000000"/>
                <w:sz w:val="20"/>
                <w:szCs w:val="20"/>
              </w:rPr>
              <w:t>28. Cuántas patrullas, camiones de basura y policías dejó Juan Rodolfo y cuándo dejó de ser Presidente Municipal</w:t>
            </w:r>
          </w:p>
        </w:tc>
        <w:tc>
          <w:tcPr>
            <w:tcW w:w="2268" w:type="dxa"/>
          </w:tcPr>
          <w:p w:rsidR="00C36789" w:rsidRDefault="004F3375">
            <w:pPr>
              <w:spacing w:line="360" w:lineRule="auto"/>
              <w:rPr>
                <w:color w:val="000000"/>
                <w:sz w:val="20"/>
                <w:szCs w:val="20"/>
              </w:rPr>
            </w:pPr>
            <w:r>
              <w:rPr>
                <w:color w:val="000000"/>
                <w:sz w:val="20"/>
                <w:szCs w:val="20"/>
              </w:rPr>
              <w:t xml:space="preserve">La Dirección General de Seguridad y Protección Ciudadana precisó que referente a las patrullas de otras administraciones, se realizó la búsqueda </w:t>
            </w:r>
            <w:r>
              <w:rPr>
                <w:color w:val="000000"/>
                <w:sz w:val="20"/>
                <w:szCs w:val="20"/>
              </w:rPr>
              <w:lastRenderedPageBreak/>
              <w:t xml:space="preserve">exhaustiva y no se encontró información que corresponde a lo solicitado.  </w:t>
            </w:r>
          </w:p>
        </w:tc>
        <w:tc>
          <w:tcPr>
            <w:tcW w:w="2268" w:type="dxa"/>
          </w:tcPr>
          <w:p w:rsidR="00C36789" w:rsidRDefault="00C36789">
            <w:pPr>
              <w:spacing w:line="360" w:lineRule="auto"/>
              <w:rPr>
                <w:color w:val="000000"/>
                <w:sz w:val="20"/>
                <w:szCs w:val="20"/>
              </w:rPr>
            </w:pPr>
          </w:p>
        </w:tc>
        <w:tc>
          <w:tcPr>
            <w:tcW w:w="1980" w:type="dxa"/>
          </w:tcPr>
          <w:p w:rsidR="00C36789" w:rsidRDefault="004F3375">
            <w:pPr>
              <w:spacing w:line="360" w:lineRule="auto"/>
              <w:rPr>
                <w:color w:val="000000"/>
                <w:sz w:val="20"/>
                <w:szCs w:val="20"/>
              </w:rPr>
            </w:pPr>
            <w:r>
              <w:rPr>
                <w:color w:val="000000"/>
                <w:sz w:val="20"/>
                <w:szCs w:val="20"/>
              </w:rPr>
              <w:t>No atiende, pues omitió realizar la búsqueda exhaustiva.</w:t>
            </w:r>
          </w:p>
        </w:tc>
      </w:tr>
      <w:tr w:rsidR="00C36789">
        <w:tc>
          <w:tcPr>
            <w:tcW w:w="2405" w:type="dxa"/>
          </w:tcPr>
          <w:p w:rsidR="00C36789" w:rsidRDefault="004F3375">
            <w:pPr>
              <w:spacing w:line="360" w:lineRule="auto"/>
              <w:rPr>
                <w:color w:val="000000"/>
                <w:sz w:val="20"/>
                <w:szCs w:val="20"/>
              </w:rPr>
            </w:pPr>
            <w:r>
              <w:rPr>
                <w:color w:val="000000"/>
                <w:sz w:val="20"/>
                <w:szCs w:val="20"/>
              </w:rPr>
              <w:t xml:space="preserve">29. Cuándo le van a pagar a los trabajadores sus quincenas y prestaciones pendientes </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1980" w:type="dxa"/>
          </w:tcPr>
          <w:p w:rsidR="00C36789" w:rsidRDefault="004F3375">
            <w:pPr>
              <w:spacing w:line="360" w:lineRule="auto"/>
              <w:rPr>
                <w:color w:val="000000"/>
                <w:sz w:val="20"/>
                <w:szCs w:val="20"/>
              </w:rPr>
            </w:pPr>
            <w:r>
              <w:rPr>
                <w:color w:val="000000"/>
                <w:sz w:val="20"/>
                <w:szCs w:val="20"/>
              </w:rPr>
              <w:t xml:space="preserve">No es atendible pues se trata de hechos futuros. </w:t>
            </w:r>
          </w:p>
        </w:tc>
      </w:tr>
      <w:tr w:rsidR="00C36789">
        <w:tc>
          <w:tcPr>
            <w:tcW w:w="2405" w:type="dxa"/>
          </w:tcPr>
          <w:p w:rsidR="00C36789" w:rsidRDefault="004F3375">
            <w:pPr>
              <w:spacing w:line="360" w:lineRule="auto"/>
              <w:rPr>
                <w:color w:val="000000"/>
                <w:sz w:val="20"/>
                <w:szCs w:val="20"/>
              </w:rPr>
            </w:pPr>
            <w:r>
              <w:rPr>
                <w:color w:val="000000"/>
                <w:sz w:val="20"/>
                <w:szCs w:val="20"/>
              </w:rPr>
              <w:t>30. Cuántas quejas existen en la Defensoría Municipal de Derechos Humanos desde el año 2019 a la fecha, en qué consisten y el estatus</w:t>
            </w:r>
          </w:p>
        </w:tc>
        <w:tc>
          <w:tcPr>
            <w:tcW w:w="2268" w:type="dxa"/>
          </w:tcPr>
          <w:p w:rsidR="00C36789" w:rsidRDefault="004F3375">
            <w:pPr>
              <w:spacing w:line="360" w:lineRule="auto"/>
              <w:rPr>
                <w:color w:val="000000"/>
                <w:sz w:val="20"/>
                <w:szCs w:val="20"/>
              </w:rPr>
            </w:pPr>
            <w:r>
              <w:rPr>
                <w:color w:val="000000"/>
                <w:sz w:val="20"/>
                <w:szCs w:val="20"/>
              </w:rPr>
              <w:t xml:space="preserve">La Defensoría Municipal de Derechos Humanos precisó que del 1 de enero de 2019 al 6 de febrero  de 2025 se ha dado seguimiento a 684 quejas iniciadas por la Comisión de Derechos Humanos del Estado de México, que consisten en presuntas violaciones a derechos humanos atribuibles a servidores públicos, de las cuales 56 se encuentran con el estatus en trámite y 628 se han archivado, así mismo remitió un </w:t>
            </w:r>
            <w:r>
              <w:rPr>
                <w:color w:val="000000"/>
                <w:sz w:val="20"/>
                <w:szCs w:val="20"/>
              </w:rPr>
              <w:lastRenderedPageBreak/>
              <w:t xml:space="preserve">listado de los derechos vulnerados. </w:t>
            </w:r>
          </w:p>
        </w:tc>
        <w:tc>
          <w:tcPr>
            <w:tcW w:w="2268" w:type="dxa"/>
          </w:tcPr>
          <w:p w:rsidR="00C36789" w:rsidRDefault="004F3375">
            <w:pPr>
              <w:spacing w:line="360" w:lineRule="auto"/>
              <w:jc w:val="center"/>
              <w:rPr>
                <w:color w:val="000000"/>
                <w:sz w:val="20"/>
                <w:szCs w:val="20"/>
              </w:rPr>
            </w:pPr>
            <w:r>
              <w:rPr>
                <w:color w:val="000000"/>
                <w:sz w:val="20"/>
                <w:szCs w:val="20"/>
              </w:rPr>
              <w:lastRenderedPageBreak/>
              <w:t>Ratifica</w:t>
            </w:r>
          </w:p>
        </w:tc>
        <w:tc>
          <w:tcPr>
            <w:tcW w:w="1980" w:type="dxa"/>
          </w:tcPr>
          <w:p w:rsidR="00C36789" w:rsidRDefault="004F3375">
            <w:pPr>
              <w:spacing w:line="360" w:lineRule="auto"/>
              <w:rPr>
                <w:color w:val="000000"/>
                <w:sz w:val="20"/>
                <w:szCs w:val="20"/>
              </w:rPr>
            </w:pPr>
            <w:r>
              <w:rPr>
                <w:color w:val="000000"/>
                <w:sz w:val="20"/>
                <w:szCs w:val="20"/>
              </w:rPr>
              <w:t xml:space="preserve">Atiende, pues la Defensoría Municipal de Derechos Humanos proporcionó el número de quejas, estatus y en qué consisten. </w:t>
            </w:r>
          </w:p>
        </w:tc>
      </w:tr>
      <w:tr w:rsidR="00C36789">
        <w:tc>
          <w:tcPr>
            <w:tcW w:w="2405" w:type="dxa"/>
          </w:tcPr>
          <w:p w:rsidR="00C36789" w:rsidRDefault="004F3375">
            <w:pPr>
              <w:spacing w:line="360" w:lineRule="auto"/>
              <w:rPr>
                <w:color w:val="000000"/>
                <w:sz w:val="20"/>
                <w:szCs w:val="20"/>
              </w:rPr>
            </w:pPr>
            <w:r>
              <w:rPr>
                <w:color w:val="000000"/>
                <w:sz w:val="20"/>
                <w:szCs w:val="20"/>
              </w:rPr>
              <w:t>31. Cuántos contratos se van a rescindir y en qué consisten</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1980" w:type="dxa"/>
          </w:tcPr>
          <w:p w:rsidR="00C36789" w:rsidRDefault="004F3375">
            <w:pPr>
              <w:spacing w:line="360" w:lineRule="auto"/>
              <w:rPr>
                <w:color w:val="000000"/>
                <w:sz w:val="20"/>
                <w:szCs w:val="20"/>
              </w:rPr>
            </w:pPr>
            <w:r>
              <w:rPr>
                <w:color w:val="000000"/>
                <w:sz w:val="20"/>
                <w:szCs w:val="20"/>
              </w:rPr>
              <w:t xml:space="preserve">No es atendible pues se trata de hechos futuros, por lo que será objeto de estudio en párrafos posteriores. </w:t>
            </w:r>
          </w:p>
        </w:tc>
      </w:tr>
      <w:tr w:rsidR="00C36789">
        <w:tc>
          <w:tcPr>
            <w:tcW w:w="2405" w:type="dxa"/>
          </w:tcPr>
          <w:p w:rsidR="00C36789" w:rsidRDefault="004F3375">
            <w:pPr>
              <w:spacing w:line="360" w:lineRule="auto"/>
              <w:rPr>
                <w:color w:val="000000"/>
                <w:sz w:val="20"/>
                <w:szCs w:val="20"/>
              </w:rPr>
            </w:pPr>
            <w:r>
              <w:rPr>
                <w:color w:val="000000"/>
                <w:sz w:val="20"/>
                <w:szCs w:val="20"/>
              </w:rPr>
              <w:t xml:space="preserve">32. En donde van a estar los cuadrantes de la policía, cuánto costará la aplicación, que empresa la desarrollará, de qué partida presupuestal saldrá y cuándo estará lista </w:t>
            </w:r>
          </w:p>
        </w:tc>
        <w:tc>
          <w:tcPr>
            <w:tcW w:w="2268" w:type="dxa"/>
          </w:tcPr>
          <w:p w:rsidR="00C36789" w:rsidRDefault="004F3375">
            <w:pPr>
              <w:spacing w:line="360" w:lineRule="auto"/>
              <w:jc w:val="center"/>
            </w:pPr>
            <w:r>
              <w:rPr>
                <w:color w:val="000000"/>
                <w:sz w:val="20"/>
                <w:szCs w:val="20"/>
              </w:rPr>
              <w:t>No se pronunció</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1980" w:type="dxa"/>
          </w:tcPr>
          <w:p w:rsidR="00C36789" w:rsidRDefault="004F3375">
            <w:pPr>
              <w:spacing w:line="360" w:lineRule="auto"/>
              <w:rPr>
                <w:color w:val="000000"/>
                <w:sz w:val="20"/>
                <w:szCs w:val="20"/>
              </w:rPr>
            </w:pPr>
            <w:r>
              <w:rPr>
                <w:color w:val="000000"/>
                <w:sz w:val="20"/>
                <w:szCs w:val="20"/>
              </w:rPr>
              <w:t>No atiende, pues omitió pronunciarse</w:t>
            </w:r>
          </w:p>
        </w:tc>
      </w:tr>
      <w:tr w:rsidR="00C36789">
        <w:tc>
          <w:tcPr>
            <w:tcW w:w="2405" w:type="dxa"/>
          </w:tcPr>
          <w:p w:rsidR="00C36789" w:rsidRDefault="004F3375">
            <w:pPr>
              <w:spacing w:line="360" w:lineRule="auto"/>
              <w:rPr>
                <w:color w:val="000000"/>
                <w:sz w:val="20"/>
                <w:szCs w:val="20"/>
              </w:rPr>
            </w:pPr>
            <w:r>
              <w:rPr>
                <w:color w:val="000000"/>
                <w:sz w:val="20"/>
                <w:szCs w:val="20"/>
              </w:rPr>
              <w:t xml:space="preserve">33. Cuál es la política de seguridad y saber si ya se está implementando </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p w:rsidR="00C36789" w:rsidRDefault="00C36789">
            <w:pPr>
              <w:spacing w:line="360" w:lineRule="auto"/>
              <w:jc w:val="center"/>
              <w:rPr>
                <w:color w:val="000000"/>
                <w:sz w:val="20"/>
                <w:szCs w:val="20"/>
              </w:rPr>
            </w:pPr>
          </w:p>
          <w:p w:rsidR="00C36789" w:rsidRDefault="004F3375">
            <w:pPr>
              <w:spacing w:line="360" w:lineRule="auto"/>
              <w:jc w:val="center"/>
              <w:rPr>
                <w:color w:val="000000"/>
                <w:sz w:val="20"/>
                <w:szCs w:val="20"/>
              </w:rPr>
            </w:pPr>
            <w:proofErr w:type="spellStart"/>
            <w:r>
              <w:rPr>
                <w:color w:val="000000"/>
                <w:sz w:val="20"/>
                <w:szCs w:val="20"/>
              </w:rPr>
              <w:t>Pag</w:t>
            </w:r>
            <w:proofErr w:type="spellEnd"/>
            <w:r>
              <w:rPr>
                <w:color w:val="000000"/>
                <w:sz w:val="20"/>
                <w:szCs w:val="20"/>
              </w:rPr>
              <w:t xml:space="preserve"> 113 </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1980" w:type="dxa"/>
          </w:tcPr>
          <w:p w:rsidR="00C36789" w:rsidRDefault="004F3375">
            <w:pPr>
              <w:spacing w:line="360" w:lineRule="auto"/>
              <w:rPr>
                <w:color w:val="000000"/>
                <w:sz w:val="20"/>
                <w:szCs w:val="20"/>
              </w:rPr>
            </w:pPr>
            <w:r>
              <w:rPr>
                <w:color w:val="000000"/>
                <w:sz w:val="20"/>
                <w:szCs w:val="20"/>
              </w:rPr>
              <w:t xml:space="preserve">No atiende, pues omitió pronunciarse, sin embargo el documento que da cuenta de lo solicitado son las estrategias de seguridad que serán objeto de análisis en párrafos posteriores. </w:t>
            </w:r>
          </w:p>
        </w:tc>
      </w:tr>
      <w:tr w:rsidR="00C36789">
        <w:tc>
          <w:tcPr>
            <w:tcW w:w="2405" w:type="dxa"/>
          </w:tcPr>
          <w:p w:rsidR="00C36789" w:rsidRDefault="004F3375">
            <w:pPr>
              <w:spacing w:line="360" w:lineRule="auto"/>
              <w:rPr>
                <w:color w:val="000000"/>
                <w:sz w:val="20"/>
                <w:szCs w:val="20"/>
              </w:rPr>
            </w:pPr>
            <w:r>
              <w:rPr>
                <w:color w:val="000000"/>
                <w:sz w:val="20"/>
                <w:szCs w:val="20"/>
              </w:rPr>
              <w:lastRenderedPageBreak/>
              <w:t>34. Cuándo se nombrarán a los integrantes del Comité Anticorrupción</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1980" w:type="dxa"/>
          </w:tcPr>
          <w:p w:rsidR="00C36789" w:rsidRDefault="004F3375">
            <w:pPr>
              <w:spacing w:line="360" w:lineRule="auto"/>
              <w:rPr>
                <w:color w:val="000000"/>
                <w:sz w:val="20"/>
                <w:szCs w:val="20"/>
              </w:rPr>
            </w:pPr>
            <w:r>
              <w:rPr>
                <w:color w:val="000000"/>
                <w:sz w:val="20"/>
                <w:szCs w:val="20"/>
              </w:rPr>
              <w:t>Se trata de hechos futuros, por lo que será objeto de estudio en párrafos posteriores.</w:t>
            </w:r>
          </w:p>
        </w:tc>
      </w:tr>
      <w:tr w:rsidR="00C36789">
        <w:tc>
          <w:tcPr>
            <w:tcW w:w="2405" w:type="dxa"/>
          </w:tcPr>
          <w:p w:rsidR="00C36789" w:rsidRDefault="004F3375">
            <w:pPr>
              <w:spacing w:line="360" w:lineRule="auto"/>
              <w:rPr>
                <w:color w:val="000000"/>
                <w:sz w:val="20"/>
                <w:szCs w:val="20"/>
              </w:rPr>
            </w:pPr>
            <w:r>
              <w:rPr>
                <w:color w:val="000000"/>
                <w:sz w:val="20"/>
                <w:szCs w:val="20"/>
              </w:rPr>
              <w:t xml:space="preserve">35. A cuánto asciende la cartera vencida del Ayuntamiento, con los comprobantes    </w:t>
            </w:r>
          </w:p>
        </w:tc>
        <w:tc>
          <w:tcPr>
            <w:tcW w:w="2268" w:type="dxa"/>
          </w:tcPr>
          <w:p w:rsidR="00C36789" w:rsidRDefault="004F3375">
            <w:pPr>
              <w:spacing w:line="360" w:lineRule="auto"/>
              <w:jc w:val="center"/>
              <w:rPr>
                <w:b/>
                <w:color w:val="000000"/>
                <w:sz w:val="20"/>
                <w:szCs w:val="20"/>
              </w:rPr>
            </w:pPr>
            <w:r>
              <w:rPr>
                <w:color w:val="000000"/>
                <w:sz w:val="20"/>
                <w:szCs w:val="20"/>
              </w:rPr>
              <w:t>No se pronunció</w:t>
            </w:r>
          </w:p>
        </w:tc>
        <w:tc>
          <w:tcPr>
            <w:tcW w:w="2268" w:type="dxa"/>
          </w:tcPr>
          <w:p w:rsidR="00C36789" w:rsidRDefault="004F3375">
            <w:pPr>
              <w:spacing w:line="360" w:lineRule="auto"/>
              <w:jc w:val="center"/>
              <w:rPr>
                <w:color w:val="000000"/>
                <w:sz w:val="20"/>
                <w:szCs w:val="20"/>
              </w:rPr>
            </w:pPr>
            <w:r>
              <w:rPr>
                <w:color w:val="000000"/>
                <w:sz w:val="20"/>
                <w:szCs w:val="20"/>
              </w:rPr>
              <w:t>No se pronunció</w:t>
            </w:r>
          </w:p>
        </w:tc>
        <w:tc>
          <w:tcPr>
            <w:tcW w:w="1980" w:type="dxa"/>
          </w:tcPr>
          <w:p w:rsidR="00C36789" w:rsidRDefault="004F3375">
            <w:pPr>
              <w:spacing w:line="360" w:lineRule="auto"/>
              <w:rPr>
                <w:color w:val="000000"/>
                <w:sz w:val="20"/>
                <w:szCs w:val="20"/>
              </w:rPr>
            </w:pPr>
            <w:r>
              <w:rPr>
                <w:color w:val="000000"/>
                <w:sz w:val="20"/>
                <w:szCs w:val="20"/>
              </w:rPr>
              <w:t xml:space="preserve">No atiende, pues omitió pronunciarse, sin embargo la información solicitada puede encontrarse en el Acta de Entrega-Recepción.  </w:t>
            </w:r>
          </w:p>
        </w:tc>
      </w:tr>
    </w:tbl>
    <w:p w:rsidR="00C36789" w:rsidRDefault="00C36789">
      <w:pPr>
        <w:tabs>
          <w:tab w:val="left" w:pos="4962"/>
        </w:tabs>
        <w:spacing w:after="0" w:line="360" w:lineRule="auto"/>
        <w:ind w:right="-28"/>
        <w:rPr>
          <w:color w:val="000000"/>
        </w:rPr>
      </w:pPr>
    </w:p>
    <w:p w:rsidR="00C36789" w:rsidRDefault="004F3375">
      <w:pPr>
        <w:tabs>
          <w:tab w:val="left" w:pos="4962"/>
        </w:tabs>
        <w:spacing w:after="0" w:line="360" w:lineRule="auto"/>
        <w:ind w:right="-28"/>
        <w:rPr>
          <w:b/>
          <w:color w:val="000000"/>
        </w:rPr>
      </w:pPr>
      <w:r>
        <w:rPr>
          <w:color w:val="000000"/>
        </w:rPr>
        <w:t xml:space="preserve">Conforme a lo anterior, se procede al análisis de los </w:t>
      </w:r>
      <w:r>
        <w:rPr>
          <w:b/>
          <w:color w:val="000000"/>
        </w:rPr>
        <w:t>puntos 1 y 2</w:t>
      </w:r>
      <w:r>
        <w:rPr>
          <w:color w:val="000000"/>
        </w:rPr>
        <w:t xml:space="preserve"> por guardar relación entre sí, sobre el Acta de la Sesión de Cabildo celebrada el primero de enero de dos mil veinticinco y las ligas de la videograbación en sus páginas oficiales o redes sociales. </w:t>
      </w:r>
    </w:p>
    <w:p w:rsidR="00C36789" w:rsidRDefault="00C36789">
      <w:pPr>
        <w:tabs>
          <w:tab w:val="left" w:pos="4962"/>
        </w:tabs>
        <w:spacing w:after="0" w:line="360" w:lineRule="auto"/>
        <w:ind w:right="-28"/>
        <w:rPr>
          <w:color w:val="000000"/>
        </w:rPr>
      </w:pPr>
    </w:p>
    <w:p w:rsidR="00C36789" w:rsidRDefault="004F3375">
      <w:pPr>
        <w:tabs>
          <w:tab w:val="left" w:pos="4962"/>
        </w:tabs>
        <w:spacing w:after="0" w:line="360" w:lineRule="auto"/>
        <w:ind w:right="-28"/>
        <w:rPr>
          <w:color w:val="000000"/>
        </w:rPr>
      </w:pPr>
      <w:r>
        <w:rPr>
          <w:color w:val="000000"/>
        </w:rPr>
        <w:t>Sobre el tema, los artículos 116 y 117 de la Constitución Política del Estado Libre y Soberano de México, establecen que los Ayuntamientos serán la asamblea deliberante, conformada por un jefe de asamblea, que será el Presidente Municipal y los Síndicos y Regidores necesarios.</w:t>
      </w:r>
    </w:p>
    <w:p w:rsidR="00C36789" w:rsidRDefault="00C36789">
      <w:pPr>
        <w:tabs>
          <w:tab w:val="left" w:pos="4962"/>
        </w:tabs>
        <w:spacing w:after="0" w:line="360" w:lineRule="auto"/>
        <w:ind w:right="-28"/>
        <w:rPr>
          <w:color w:val="000000"/>
        </w:rPr>
      </w:pPr>
    </w:p>
    <w:p w:rsidR="00C36789" w:rsidRDefault="004F3375">
      <w:pPr>
        <w:tabs>
          <w:tab w:val="left" w:pos="4962"/>
        </w:tabs>
        <w:spacing w:after="0" w:line="360" w:lineRule="auto"/>
        <w:ind w:right="-28"/>
        <w:rPr>
          <w:color w:val="000000"/>
        </w:rPr>
      </w:pPr>
      <w:r>
        <w:rPr>
          <w:color w:val="000000"/>
        </w:rPr>
        <w:t xml:space="preserve">En ese sentido, la Ley Orgánica Municipal del Estado de México y Municipios, en sus </w:t>
      </w:r>
    </w:p>
    <w:p w:rsidR="00C36789" w:rsidRDefault="004F3375">
      <w:pPr>
        <w:tabs>
          <w:tab w:val="left" w:pos="4962"/>
        </w:tabs>
        <w:spacing w:after="0" w:line="360" w:lineRule="auto"/>
        <w:ind w:right="-28"/>
        <w:rPr>
          <w:color w:val="000000"/>
        </w:rPr>
      </w:pPr>
      <w:proofErr w:type="gramStart"/>
      <w:r>
        <w:rPr>
          <w:color w:val="000000"/>
        </w:rPr>
        <w:t>artículos</w:t>
      </w:r>
      <w:proofErr w:type="gramEnd"/>
      <w:r>
        <w:rPr>
          <w:color w:val="000000"/>
        </w:rPr>
        <w:t xml:space="preserve"> 28 y 30, establecen lo siguiente:</w:t>
      </w:r>
    </w:p>
    <w:p w:rsidR="00C36789" w:rsidRDefault="00C36789">
      <w:pPr>
        <w:tabs>
          <w:tab w:val="left" w:pos="4962"/>
        </w:tabs>
        <w:spacing w:after="0" w:line="360" w:lineRule="auto"/>
        <w:ind w:right="-28"/>
        <w:rPr>
          <w:color w:val="000000"/>
        </w:rPr>
      </w:pPr>
    </w:p>
    <w:p w:rsidR="00C36789" w:rsidRDefault="004F3375">
      <w:pPr>
        <w:numPr>
          <w:ilvl w:val="0"/>
          <w:numId w:val="27"/>
        </w:numPr>
        <w:pBdr>
          <w:top w:val="nil"/>
          <w:left w:val="nil"/>
          <w:bottom w:val="nil"/>
          <w:right w:val="nil"/>
          <w:between w:val="nil"/>
        </w:pBdr>
        <w:tabs>
          <w:tab w:val="left" w:pos="4962"/>
        </w:tabs>
        <w:spacing w:after="0" w:line="360" w:lineRule="auto"/>
        <w:ind w:right="-28"/>
        <w:rPr>
          <w:color w:val="000000"/>
        </w:rPr>
      </w:pPr>
      <w:r>
        <w:rPr>
          <w:color w:val="000000"/>
        </w:rPr>
        <w:t xml:space="preserve">El Cabildo sesionará cuando menos, una vez cada ocho días, las cuales serán públicas y deberán </w:t>
      </w:r>
      <w:r>
        <w:rPr>
          <w:b/>
          <w:color w:val="000000"/>
        </w:rPr>
        <w:t>transmitirse por Internet</w:t>
      </w:r>
      <w:r>
        <w:rPr>
          <w:color w:val="000000"/>
        </w:rPr>
        <w:t>;</w:t>
      </w:r>
    </w:p>
    <w:p w:rsidR="00C36789" w:rsidRDefault="004F3375">
      <w:pPr>
        <w:numPr>
          <w:ilvl w:val="0"/>
          <w:numId w:val="27"/>
        </w:numPr>
        <w:pBdr>
          <w:top w:val="nil"/>
          <w:left w:val="nil"/>
          <w:bottom w:val="nil"/>
          <w:right w:val="nil"/>
          <w:between w:val="nil"/>
        </w:pBdr>
        <w:tabs>
          <w:tab w:val="left" w:pos="4962"/>
        </w:tabs>
        <w:spacing w:after="0" w:line="360" w:lineRule="auto"/>
        <w:ind w:right="-28"/>
        <w:rPr>
          <w:color w:val="000000"/>
        </w:rPr>
      </w:pPr>
      <w:r>
        <w:rPr>
          <w:color w:val="000000"/>
        </w:rPr>
        <w:lastRenderedPageBreak/>
        <w:t>Las sesiones del Cabildo, constarán en un libro que deberá contener las actas de las  cuales deberán asentarse los extractos de los acuerdos, los asuntos tratados y  resultados de la votación;</w:t>
      </w:r>
    </w:p>
    <w:p w:rsidR="00C36789" w:rsidRDefault="004F3375">
      <w:pPr>
        <w:numPr>
          <w:ilvl w:val="0"/>
          <w:numId w:val="27"/>
        </w:numPr>
        <w:pBdr>
          <w:top w:val="nil"/>
          <w:left w:val="nil"/>
          <w:bottom w:val="nil"/>
          <w:right w:val="nil"/>
          <w:between w:val="nil"/>
        </w:pBdr>
        <w:tabs>
          <w:tab w:val="left" w:pos="4962"/>
        </w:tabs>
        <w:spacing w:after="0" w:line="360" w:lineRule="auto"/>
        <w:ind w:right="-28"/>
        <w:rPr>
          <w:color w:val="000000"/>
        </w:rPr>
      </w:pPr>
      <w:r>
        <w:rPr>
          <w:color w:val="000000"/>
        </w:rPr>
        <w:t>Todos los acuerdos de las sesiones y el resultado de la votación, serán difundidos, cada mes en la Gaceta Municipal y en los estrados de la Secretaría del Ayuntamiento, y</w:t>
      </w:r>
    </w:p>
    <w:p w:rsidR="00C36789" w:rsidRDefault="004F3375">
      <w:pPr>
        <w:numPr>
          <w:ilvl w:val="0"/>
          <w:numId w:val="27"/>
        </w:numPr>
        <w:pBdr>
          <w:top w:val="nil"/>
          <w:left w:val="nil"/>
          <w:bottom w:val="nil"/>
          <w:right w:val="nil"/>
          <w:between w:val="nil"/>
        </w:pBdr>
        <w:tabs>
          <w:tab w:val="left" w:pos="4962"/>
        </w:tabs>
        <w:spacing w:after="0" w:line="360" w:lineRule="auto"/>
        <w:ind w:right="-28"/>
        <w:rPr>
          <w:b/>
          <w:color w:val="000000"/>
        </w:rPr>
      </w:pPr>
      <w:r>
        <w:rPr>
          <w:color w:val="000000"/>
        </w:rPr>
        <w:t xml:space="preserve">Para cada sesión se deberá contar con una versión estenográfica o </w:t>
      </w:r>
      <w:proofErr w:type="spellStart"/>
      <w:r>
        <w:rPr>
          <w:color w:val="000000"/>
        </w:rPr>
        <w:t>videograbada</w:t>
      </w:r>
      <w:proofErr w:type="spellEnd"/>
      <w:r>
        <w:rPr>
          <w:color w:val="000000"/>
        </w:rPr>
        <w:t xml:space="preserve"> que permita hacer las aclaraciones pertinentes, la cual formara parte del acta correspondiente, las cuales deberán estar </w:t>
      </w:r>
      <w:r>
        <w:rPr>
          <w:b/>
          <w:color w:val="000000"/>
        </w:rPr>
        <w:t>disponibles en internet o en las oficinas de la Secretaría del Ayuntamiento.</w:t>
      </w:r>
    </w:p>
    <w:p w:rsidR="00C36789" w:rsidRDefault="00C36789">
      <w:pPr>
        <w:tabs>
          <w:tab w:val="left" w:pos="4962"/>
        </w:tabs>
        <w:spacing w:after="0" w:line="360" w:lineRule="auto"/>
        <w:ind w:right="-28"/>
        <w:rPr>
          <w:color w:val="000000"/>
        </w:rPr>
      </w:pPr>
    </w:p>
    <w:p w:rsidR="00C36789" w:rsidRDefault="004F3375">
      <w:pPr>
        <w:tabs>
          <w:tab w:val="left" w:pos="4962"/>
        </w:tabs>
        <w:spacing w:after="0" w:line="360" w:lineRule="auto"/>
        <w:ind w:right="-28"/>
        <w:rPr>
          <w:color w:val="000000"/>
        </w:rPr>
      </w:pPr>
      <w:r>
        <w:rPr>
          <w:color w:val="000000"/>
        </w:rPr>
        <w:t>Además, el artículo 94 de la Ley de Transparencia local detalla que, la información que corresponde a las Obligaciones Específicas de Transparencia de los Municipios, de las que destaca la contenida en la fracción II, inciso b), concerniente a las actas de sesiones de cabildo y anexos.</w:t>
      </w:r>
    </w:p>
    <w:p w:rsidR="00C36789" w:rsidRDefault="00C36789">
      <w:pPr>
        <w:tabs>
          <w:tab w:val="left" w:pos="4962"/>
        </w:tabs>
        <w:spacing w:after="0" w:line="360" w:lineRule="auto"/>
        <w:ind w:right="-28"/>
        <w:rPr>
          <w:color w:val="000000"/>
        </w:rPr>
      </w:pPr>
    </w:p>
    <w:p w:rsidR="00C36789" w:rsidRDefault="004F3375">
      <w:pPr>
        <w:tabs>
          <w:tab w:val="left" w:pos="4962"/>
        </w:tabs>
        <w:spacing w:after="0" w:line="360" w:lineRule="auto"/>
        <w:ind w:right="-28"/>
        <w:rPr>
          <w:color w:val="000000"/>
        </w:rPr>
      </w:pPr>
      <w:r>
        <w:rPr>
          <w:color w:val="000000"/>
        </w:rPr>
        <w:t xml:space="preserve">En ese orden de ideas, el artículo 32 del Bando Municipal del Ayuntamiento de Toluca do mil veinticinco, establece que la persona titular de la Secretaría del Ayuntamiento estará a cargo de una Secretaria o Secretario, </w:t>
      </w:r>
      <w:r>
        <w:rPr>
          <w:b/>
          <w:color w:val="000000"/>
        </w:rPr>
        <w:t>quien tendrá como principales funciones auxiliar a la Presidenta o Presidente Municipal, formular el proyecto de orden del día de las sesiones de cabildo, así como emitir las convocatorias, asistir y levantar las actas correspondientes</w:t>
      </w:r>
      <w:r>
        <w:rPr>
          <w:color w:val="000000"/>
        </w:rPr>
        <w:t>, elaborar los informes mensuales y trimestrales de las comisiones edilicias y fomentar la participación ciudadana en apoyo de los programas sociales municipales.</w:t>
      </w:r>
    </w:p>
    <w:p w:rsidR="00C36789" w:rsidRDefault="00C36789">
      <w:pPr>
        <w:tabs>
          <w:tab w:val="left" w:pos="4962"/>
        </w:tabs>
        <w:spacing w:after="0" w:line="360" w:lineRule="auto"/>
        <w:ind w:right="-28"/>
        <w:rPr>
          <w:color w:val="000000"/>
        </w:rPr>
      </w:pPr>
    </w:p>
    <w:p w:rsidR="00C36789" w:rsidRDefault="004F3375">
      <w:pPr>
        <w:tabs>
          <w:tab w:val="left" w:pos="4962"/>
        </w:tabs>
        <w:spacing w:after="0" w:line="360" w:lineRule="auto"/>
        <w:ind w:right="-28"/>
        <w:rPr>
          <w:color w:val="000000"/>
        </w:rPr>
      </w:pPr>
      <w:r>
        <w:rPr>
          <w:color w:val="000000"/>
        </w:rPr>
        <w:t xml:space="preserve">Conforme a lo anterior, cabe precisar que en respuesta como en informe justificado la secretaría del Ayuntamiento precisó remitir el Acta de la Sesión de Instalación y Primera </w:t>
      </w:r>
      <w:r>
        <w:rPr>
          <w:color w:val="000000"/>
        </w:rPr>
        <w:lastRenderedPageBreak/>
        <w:t xml:space="preserve">Sesión Ordinaria de Cabildo de 2025, celebrada el primero de enero de dos mil veinticinco, sin embargo, de las constancias que obran en el expediente electrónico se logró vislumbrar que el Sujeto Obligado omitió adjuntar la digitalización del Acta referida. </w:t>
      </w:r>
    </w:p>
    <w:p w:rsidR="00C36789" w:rsidRDefault="00C36789">
      <w:pPr>
        <w:tabs>
          <w:tab w:val="left" w:pos="4962"/>
        </w:tabs>
        <w:spacing w:after="0" w:line="360" w:lineRule="auto"/>
        <w:ind w:right="-28"/>
        <w:rPr>
          <w:color w:val="000000"/>
        </w:rPr>
      </w:pPr>
    </w:p>
    <w:p w:rsidR="00C36789" w:rsidRDefault="004F3375">
      <w:pPr>
        <w:tabs>
          <w:tab w:val="left" w:pos="4962"/>
        </w:tabs>
        <w:spacing w:after="0" w:line="360" w:lineRule="auto"/>
        <w:ind w:right="-28"/>
        <w:rPr>
          <w:color w:val="000000"/>
        </w:rPr>
      </w:pPr>
      <w:r>
        <w:rPr>
          <w:color w:val="000000"/>
        </w:rPr>
        <w:t xml:space="preserve">En ese orden de ideas, este Instituto considera que para atender este punto del requerimiento de información el Sujeto Obligado deberá proporcionar el Acta de Sesión de Instalación y Primera Sesión Ordinaria de Cabildo de 2025 referida en respuesta. </w:t>
      </w:r>
    </w:p>
    <w:p w:rsidR="00C36789" w:rsidRDefault="00C36789">
      <w:pPr>
        <w:tabs>
          <w:tab w:val="left" w:pos="4962"/>
        </w:tabs>
        <w:spacing w:after="0" w:line="360" w:lineRule="auto"/>
        <w:ind w:right="-28"/>
        <w:rPr>
          <w:color w:val="000000"/>
        </w:rPr>
      </w:pPr>
    </w:p>
    <w:p w:rsidR="00C36789" w:rsidRDefault="004F3375">
      <w:pPr>
        <w:tabs>
          <w:tab w:val="left" w:pos="4962"/>
        </w:tabs>
        <w:spacing w:after="0" w:line="360" w:lineRule="auto"/>
        <w:ind w:right="-28"/>
        <w:rPr>
          <w:color w:val="000000"/>
        </w:rPr>
      </w:pPr>
      <w:r>
        <w:rPr>
          <w:color w:val="000000"/>
        </w:rPr>
        <w:t xml:space="preserve">Ahora bien, respecto a la liga de transmisión del video de la Sesión de Cabildo celebrada el primero de enero de dos mil veinticinco, previamente referida, en las páginas oficiales o redes sociales del Ayuntamiento de Toluca, cabe precisar que la Secretaría del ayuntamiento proporcionó dos ligas electrónicas en formato cerrado para consultar la información, tal como se muestra en la siguiente imagen ilustrativa: </w:t>
      </w:r>
    </w:p>
    <w:p w:rsidR="00C36789" w:rsidRDefault="00C36789">
      <w:pPr>
        <w:tabs>
          <w:tab w:val="left" w:pos="4962"/>
        </w:tabs>
        <w:spacing w:after="0" w:line="360" w:lineRule="auto"/>
        <w:ind w:right="-28"/>
        <w:rPr>
          <w:color w:val="000000"/>
        </w:rPr>
      </w:pPr>
    </w:p>
    <w:p w:rsidR="00C36789" w:rsidRDefault="004F3375">
      <w:pPr>
        <w:spacing w:after="0" w:line="360" w:lineRule="auto"/>
        <w:jc w:val="center"/>
      </w:pPr>
      <w:r>
        <w:rPr>
          <w:noProof/>
        </w:rPr>
        <w:drawing>
          <wp:inline distT="0" distB="0" distL="0" distR="0">
            <wp:extent cx="4092295" cy="922100"/>
            <wp:effectExtent l="0" t="0" r="0" b="0"/>
            <wp:docPr id="2038874668" name="image19.png" descr="Texto, Cart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9.png" descr="Texto, Carta&#10;&#10;El contenido generado por IA puede ser incorrecto."/>
                    <pic:cNvPicPr preferRelativeResize="0"/>
                  </pic:nvPicPr>
                  <pic:blipFill>
                    <a:blip r:embed="rId12"/>
                    <a:srcRect/>
                    <a:stretch>
                      <a:fillRect/>
                    </a:stretch>
                  </pic:blipFill>
                  <pic:spPr>
                    <a:xfrm>
                      <a:off x="0" y="0"/>
                      <a:ext cx="4092295" cy="922100"/>
                    </a:xfrm>
                    <a:prstGeom prst="rect">
                      <a:avLst/>
                    </a:prstGeom>
                    <a:ln/>
                  </pic:spPr>
                </pic:pic>
              </a:graphicData>
            </a:graphic>
          </wp:inline>
        </w:drawing>
      </w:r>
    </w:p>
    <w:p w:rsidR="00C36789" w:rsidRDefault="00C36789">
      <w:pPr>
        <w:spacing w:after="0" w:line="360" w:lineRule="auto"/>
      </w:pPr>
    </w:p>
    <w:p w:rsidR="00C36789" w:rsidRDefault="004F3375">
      <w:pPr>
        <w:spacing w:after="0" w:line="360" w:lineRule="auto"/>
      </w:pPr>
      <w:r>
        <w:t>En ese sentido, si bien adjuntó unas ligas electrónicas, se logra vislumbrara que se encuentran en un formato cerrado, es decir, que no se puede copiar y pegar para tener acceso; sobre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rsidR="00C36789" w:rsidRDefault="00C36789">
      <w:pPr>
        <w:spacing w:after="0" w:line="360" w:lineRule="auto"/>
      </w:pPr>
    </w:p>
    <w:p w:rsidR="00C36789" w:rsidRDefault="004F3375">
      <w:pPr>
        <w:spacing w:after="0" w:line="360" w:lineRule="auto"/>
      </w:pPr>
      <w: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rsidR="00C36789" w:rsidRDefault="00C36789">
      <w:pPr>
        <w:spacing w:after="0" w:line="360" w:lineRule="auto"/>
      </w:pPr>
    </w:p>
    <w:p w:rsidR="00C36789" w:rsidRDefault="004F3375">
      <w:pPr>
        <w:spacing w:after="0" w:line="360" w:lineRule="auto"/>
      </w:pPr>
      <w: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rsidR="00C36789" w:rsidRDefault="00C36789">
      <w:pPr>
        <w:spacing w:after="0" w:line="360" w:lineRule="auto"/>
      </w:pPr>
    </w:p>
    <w:p w:rsidR="00C36789" w:rsidRDefault="004F3375">
      <w:pPr>
        <w:numPr>
          <w:ilvl w:val="0"/>
          <w:numId w:val="1"/>
        </w:numPr>
        <w:spacing w:after="0" w:line="360" w:lineRule="auto"/>
      </w:pPr>
      <w:r>
        <w:rPr>
          <w:b/>
        </w:rPr>
        <w:t>Dato abierto:</w:t>
      </w:r>
      <w:r>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rsidR="00C36789" w:rsidRDefault="00C36789">
      <w:pPr>
        <w:spacing w:after="0" w:line="360" w:lineRule="auto"/>
      </w:pPr>
    </w:p>
    <w:p w:rsidR="00C36789" w:rsidRDefault="004F3375">
      <w:pPr>
        <w:numPr>
          <w:ilvl w:val="0"/>
          <w:numId w:val="1"/>
        </w:numPr>
        <w:spacing w:after="0" w:line="360" w:lineRule="auto"/>
      </w:pPr>
      <w:r>
        <w:rPr>
          <w:b/>
        </w:rPr>
        <w:t>Formato accesible:</w:t>
      </w:r>
      <w:r>
        <w:t xml:space="preserve">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rsidR="00C36789" w:rsidRDefault="00C36789">
      <w:pPr>
        <w:spacing w:after="0" w:line="360" w:lineRule="auto"/>
      </w:pPr>
    </w:p>
    <w:p w:rsidR="00C36789" w:rsidRDefault="004F3375">
      <w:pPr>
        <w:spacing w:after="0" w:line="360" w:lineRule="auto"/>
      </w:pPr>
      <w: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en estas.</w:t>
      </w:r>
    </w:p>
    <w:p w:rsidR="00C36789" w:rsidRDefault="00C36789">
      <w:pPr>
        <w:spacing w:after="0" w:line="360" w:lineRule="auto"/>
      </w:pPr>
    </w:p>
    <w:p w:rsidR="00C36789" w:rsidRDefault="004F3375">
      <w:pPr>
        <w:widowControl w:val="0"/>
        <w:spacing w:after="0" w:line="360" w:lineRule="auto"/>
      </w:pPr>
      <w:r>
        <w:lastRenderedPageBreak/>
        <w:t>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rsidR="00C36789" w:rsidRDefault="00C36789">
      <w:pPr>
        <w:widowControl w:val="0"/>
        <w:spacing w:after="0" w:line="360" w:lineRule="auto"/>
        <w:rPr>
          <w:color w:val="FF0000"/>
        </w:rPr>
      </w:pPr>
    </w:p>
    <w:p w:rsidR="00C36789" w:rsidRDefault="004F3375">
      <w:pPr>
        <w:widowControl w:val="0"/>
        <w:spacing w:after="0" w:line="360" w:lineRule="auto"/>
      </w:pPr>
      <w:r>
        <w:t>Como se logra observar, el Sujeto Obligado si bien señaló dos páginas electrónicas, omitió proporcionarlas en formato abierto, lo cual implica la dificultad de acceder a la misma, pues se traduce al hecho de que el Particular tendría que colocar cada dígito alfanumérico, y cuya equivocación implicaría no acceder a la información contenida en las mismas. Sin menoscabar lo anterior, este Instituto revisó las ligas electrónicas remitidas, la cual da acceso a lo siguiente:</w:t>
      </w:r>
    </w:p>
    <w:p w:rsidR="00C36789" w:rsidRDefault="00C36789">
      <w:pPr>
        <w:widowControl w:val="0"/>
        <w:spacing w:after="0" w:line="360" w:lineRule="auto"/>
      </w:pPr>
    </w:p>
    <w:p w:rsidR="00C36789" w:rsidRDefault="004F3375">
      <w:pPr>
        <w:widowControl w:val="0"/>
        <w:spacing w:after="0" w:line="360" w:lineRule="auto"/>
        <w:jc w:val="left"/>
        <w:rPr>
          <w:color w:val="FF0000"/>
        </w:rPr>
      </w:pPr>
      <w:r>
        <w:rPr>
          <w:color w:val="000000"/>
        </w:rPr>
        <w:t xml:space="preserve"> </w:t>
      </w:r>
      <w:r>
        <w:rPr>
          <w:noProof/>
          <w:color w:val="000000"/>
        </w:rPr>
        <w:drawing>
          <wp:inline distT="0" distB="0" distL="0" distR="0">
            <wp:extent cx="2438187" cy="2457477"/>
            <wp:effectExtent l="0" t="0" r="0" b="0"/>
            <wp:docPr id="203887467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2438187" cy="2457477"/>
                    </a:xfrm>
                    <a:prstGeom prst="rect">
                      <a:avLst/>
                    </a:prstGeom>
                    <a:ln/>
                  </pic:spPr>
                </pic:pic>
              </a:graphicData>
            </a:graphic>
          </wp:inline>
        </w:drawing>
      </w:r>
      <w:r>
        <w:t xml:space="preserve"> </w:t>
      </w:r>
      <w:r>
        <w:rPr>
          <w:noProof/>
          <w:color w:val="000000"/>
        </w:rPr>
        <w:drawing>
          <wp:inline distT="0" distB="0" distL="0" distR="0">
            <wp:extent cx="3109130" cy="2490856"/>
            <wp:effectExtent l="0" t="0" r="0" b="0"/>
            <wp:docPr id="2038874670" name="image16.png" descr="Captura de pantalla de un celular de un mensaje y gente de fond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6.png" descr="Captura de pantalla de un celular de un mensaje y gente de fondo&#10;&#10;El contenido generado por IA puede ser incorrecto."/>
                    <pic:cNvPicPr preferRelativeResize="0"/>
                  </pic:nvPicPr>
                  <pic:blipFill>
                    <a:blip r:embed="rId14"/>
                    <a:srcRect/>
                    <a:stretch>
                      <a:fillRect/>
                    </a:stretch>
                  </pic:blipFill>
                  <pic:spPr>
                    <a:xfrm>
                      <a:off x="0" y="0"/>
                      <a:ext cx="3109130" cy="2490856"/>
                    </a:xfrm>
                    <a:prstGeom prst="rect">
                      <a:avLst/>
                    </a:prstGeom>
                    <a:ln/>
                  </pic:spPr>
                </pic:pic>
              </a:graphicData>
            </a:graphic>
          </wp:inline>
        </w:drawing>
      </w:r>
    </w:p>
    <w:p w:rsidR="00C36789" w:rsidRDefault="00C36789">
      <w:pPr>
        <w:spacing w:after="0" w:line="360" w:lineRule="auto"/>
        <w:rPr>
          <w:color w:val="FF0000"/>
        </w:rPr>
      </w:pPr>
    </w:p>
    <w:p w:rsidR="00C36789" w:rsidRDefault="004F3375">
      <w:pPr>
        <w:tabs>
          <w:tab w:val="center" w:pos="4522"/>
        </w:tabs>
        <w:spacing w:after="0" w:line="360" w:lineRule="auto"/>
      </w:pPr>
      <w:r>
        <w:t xml:space="preserve">Conforme a lo anterior, se logra vislumbrar que, de la primera liga proporcionada, no se puede acceder a la información, pues el video ya no se encuentra disponible, sin embargo de </w:t>
      </w:r>
      <w:r>
        <w:lastRenderedPageBreak/>
        <w:t xml:space="preserve">la consulta de la segunda liga, da acceso a la Primera Sesión Ordinaria de Cabildo del Ayuntamiento de Toluca, del primero de enero de dos mil veinticinco, sin embargo este Instituto considera que no atendió lo solicitado, toda vez que el Sujeto Obligado proporcionó la liga en formato cerrado. </w:t>
      </w:r>
    </w:p>
    <w:p w:rsidR="00C36789" w:rsidRDefault="00C36789">
      <w:pPr>
        <w:tabs>
          <w:tab w:val="center" w:pos="4522"/>
        </w:tabs>
        <w:spacing w:after="0" w:line="360" w:lineRule="auto"/>
      </w:pPr>
    </w:p>
    <w:p w:rsidR="00C36789" w:rsidRDefault="004F3375">
      <w:pPr>
        <w:tabs>
          <w:tab w:val="left" w:pos="4962"/>
        </w:tabs>
        <w:spacing w:after="0" w:line="360" w:lineRule="auto"/>
      </w:pPr>
      <w:r>
        <w:t>Por lo que, para atender el requerimiento informativo el Sujeto Obligado deberá proporcionar el documento donde conste la videograbación de la Primera Sesión Ordinaria de Cabildo del Ayuntamiento de Toluca, del primero de enero de dos mil veinticinco, referida en respuesta; para lo cual el Sujeto Obligado podrá proporcionar una liga en formato abierto, junto con el procedimiento específico para acceder a la información.</w:t>
      </w:r>
    </w:p>
    <w:p w:rsidR="00C36789" w:rsidRDefault="00C36789">
      <w:pPr>
        <w:tabs>
          <w:tab w:val="left" w:pos="4962"/>
        </w:tabs>
        <w:spacing w:after="0" w:line="360" w:lineRule="auto"/>
      </w:pPr>
    </w:p>
    <w:p w:rsidR="00C36789" w:rsidRDefault="004F3375">
      <w:pPr>
        <w:tabs>
          <w:tab w:val="left" w:pos="4962"/>
        </w:tabs>
        <w:spacing w:after="0" w:line="360" w:lineRule="auto"/>
      </w:pPr>
      <w:r>
        <w:t xml:space="preserve">Ahora bien, con relación a los </w:t>
      </w:r>
      <w:r>
        <w:rPr>
          <w:b/>
        </w:rPr>
        <w:t>puntos 3, 4, 13 y 21</w:t>
      </w:r>
      <w:r>
        <w:t>, correspondientes a los nombramientos y currículums vitae, cabe precisar que este último corresponde con aquel que las personas elaboran con los datos de identificación y contacto, preparación académica y experiencia profesional, para presentarse ante un posible empleador. Por lo que, dicho documento da cuenta de la preparación académica y la experiencia laboral, lo cual permite identificar el nivel de conocimientos de su titular, así como, su perfil profesional o laboral.</w:t>
      </w:r>
    </w:p>
    <w:p w:rsidR="00C36789" w:rsidRDefault="00C36789">
      <w:pPr>
        <w:tabs>
          <w:tab w:val="left" w:pos="4962"/>
        </w:tabs>
        <w:spacing w:after="0" w:line="360" w:lineRule="auto"/>
      </w:pPr>
    </w:p>
    <w:p w:rsidR="00C36789" w:rsidRDefault="004F3375">
      <w:pPr>
        <w:tabs>
          <w:tab w:val="left" w:pos="4962"/>
        </w:tabs>
        <w:spacing w:after="0" w:line="360" w:lineRule="auto"/>
      </w:pPr>
      <w:r>
        <w:t>En ese sentido, si bien el currículum, se trata de aquel elaborado por cada persona, sin ninguna validez oficial, también lo es, que tiene por objetivo que las personas puedan conocer la trayectoria de quién lo presenta; por lo que, existe un interés público para dar a conocer dicha información, pues transparenta que el personal que labora para el Sujeto Obligado cuenta con las capacidades, conocimientos y experiencia necesaria para cumplir con sus funciones.</w:t>
      </w:r>
    </w:p>
    <w:p w:rsidR="00C36789" w:rsidRDefault="00C36789">
      <w:pPr>
        <w:tabs>
          <w:tab w:val="left" w:pos="4962"/>
        </w:tabs>
        <w:spacing w:after="0" w:line="360" w:lineRule="auto"/>
      </w:pPr>
    </w:p>
    <w:p w:rsidR="00C36789" w:rsidRDefault="004F3375">
      <w:pPr>
        <w:tabs>
          <w:tab w:val="left" w:pos="4962"/>
        </w:tabs>
        <w:spacing w:after="0" w:line="360" w:lineRule="auto"/>
      </w:pPr>
      <w:r>
        <w:lastRenderedPageBreak/>
        <w:t>Lo anterior, se robustece con la fracción XXI, del artículo 92 de la Ley de Transparencia y Acceso a la Información Pública del Estado de México y Municipios, que establece que la información curricular es información que deben de poner a disposición del público los sujetos obligados.</w:t>
      </w:r>
    </w:p>
    <w:p w:rsidR="00C36789" w:rsidRDefault="00C36789">
      <w:pPr>
        <w:tabs>
          <w:tab w:val="left" w:pos="4962"/>
        </w:tabs>
        <w:spacing w:after="0" w:line="360" w:lineRule="auto"/>
      </w:pPr>
    </w:p>
    <w:p w:rsidR="00C36789" w:rsidRDefault="004F3375">
      <w:pPr>
        <w:tabs>
          <w:tab w:val="left" w:pos="4962"/>
        </w:tabs>
        <w:spacing w:after="0" w:line="360" w:lineRule="auto"/>
      </w:pPr>
      <w:r>
        <w:t>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–Lineamientos Generales-, vigentes a la fecha de la solicitud, donde se establece como datos a publicar, de los servidores públicos, el nivel máximo de estudios concluido y comprobable, así como la experiencia laboral, concerniente a los tres últimos empleos.</w:t>
      </w:r>
    </w:p>
    <w:p w:rsidR="00C36789" w:rsidRDefault="00C36789">
      <w:pPr>
        <w:tabs>
          <w:tab w:val="left" w:pos="4962"/>
        </w:tabs>
        <w:spacing w:after="0" w:line="360" w:lineRule="auto"/>
      </w:pPr>
    </w:p>
    <w:p w:rsidR="00C36789" w:rsidRDefault="004F3375">
      <w:pPr>
        <w:tabs>
          <w:tab w:val="left" w:pos="4962"/>
        </w:tabs>
        <w:spacing w:after="0" w:line="360" w:lineRule="auto"/>
      </w:pPr>
      <w:r>
        <w:t>En ese contexto, según Islas, Jorge (2016), en la “Ley General de Transparencia y Acceso a la Información Pública Comentada, vigente a la fecha de la solicitud” (p. 244), refirió que el currículum vitae de un servidor público, justifica que su formación académica resulta viable para el desempeño eficiente y correcto de su encargo; lo anterior, con el fin de acreditar que dichos trabajadores sean los más capacitados acordes al área solicitada.</w:t>
      </w:r>
    </w:p>
    <w:p w:rsidR="00C36789" w:rsidRDefault="00C36789">
      <w:pPr>
        <w:tabs>
          <w:tab w:val="left" w:pos="4962"/>
        </w:tabs>
        <w:spacing w:after="0" w:line="360" w:lineRule="auto"/>
      </w:pPr>
    </w:p>
    <w:p w:rsidR="00C36789" w:rsidRDefault="004F3375">
      <w:pPr>
        <w:tabs>
          <w:tab w:val="left" w:pos="4962"/>
        </w:tabs>
        <w:spacing w:after="0" w:line="360" w:lineRule="auto"/>
      </w:pPr>
      <w:r>
        <w:t xml:space="preserve">En el mismo sentido, el Criterio Orientador, de la Tercera de Época, con número de registro SO/007/2023, emitido por el entonces Instituto Nacional de Transparencia, Acceso a la Información y Protección de Datos Personales, vigente a la fecha de la solicitud, establece que una de las formas en que los ciudadanos pueden evaluar las aptitudes para desempeñar </w:t>
      </w:r>
      <w:r>
        <w:lastRenderedPageBreak/>
        <w:t>un cargo público determinado, es mediante la publicidad de ciertos datos contenidos en el currículum vitae, tales como, la trayectoria académica, profesional, laboral, así como todos aquellos que acrediten su capacidad, habilidades pericia para ocupar el puesto público. Lo anterior, para favorecer la rendición de cuentas, pues la publicidad de lo anterior tiene como fin verificar el correcto desempeño de los sujetos obligados.</w:t>
      </w:r>
    </w:p>
    <w:p w:rsidR="00C36789" w:rsidRDefault="00C36789">
      <w:pPr>
        <w:tabs>
          <w:tab w:val="left" w:pos="4962"/>
        </w:tabs>
        <w:spacing w:after="0" w:line="360" w:lineRule="auto"/>
      </w:pPr>
    </w:p>
    <w:p w:rsidR="00C36789" w:rsidRDefault="004F3375">
      <w:pPr>
        <w:tabs>
          <w:tab w:val="left" w:pos="4962"/>
        </w:tabs>
        <w:spacing w:after="0" w:line="360" w:lineRule="auto"/>
      </w:pPr>
      <w:r>
        <w:t xml:space="preserve">Ahora bien, en cuanto a los nombramientos dentro de la Ley Orgánica Municipal del Estado de México y Municipios en su artículo 48 , refiere las atribuciones de la presidencia municipal tal como lo es proponer al ayuntamiento los nombramientos de las personas titulares de la secretaría, tesorería y de las dependencias y organismos auxiliares de la administración pública municipal, observando en todo tiempo que en su integración se respeten los principios de igualdad, equidad y garantizando la paridad de género. </w:t>
      </w:r>
    </w:p>
    <w:p w:rsidR="00C36789" w:rsidRDefault="00C36789">
      <w:pPr>
        <w:tabs>
          <w:tab w:val="left" w:pos="4962"/>
        </w:tabs>
        <w:spacing w:after="0" w:line="360" w:lineRule="auto"/>
      </w:pPr>
    </w:p>
    <w:p w:rsidR="00C36789" w:rsidRDefault="004F3375">
      <w:pPr>
        <w:tabs>
          <w:tab w:val="left" w:pos="4962"/>
        </w:tabs>
        <w:spacing w:after="0" w:line="360" w:lineRule="auto"/>
      </w:pPr>
      <w:r>
        <w:t xml:space="preserve">Conforme a lo anterior, se logra vislumbrara que la pretensión de la persona recurrentes es obtener los nombramientos y currículum vitae de todos los servidores públicos que tomaron protesta el primero de enero de dos mil veinticinco, los currículos de todos los servidores públicos que ingresaron del primero de enero al cinco de febrero de dos mil veinticinco y los currículos de los Comandantes de Seguridad Pública y Vialidad </w:t>
      </w:r>
    </w:p>
    <w:p w:rsidR="00C36789" w:rsidRDefault="00C36789">
      <w:pPr>
        <w:tabs>
          <w:tab w:val="left" w:pos="4962"/>
        </w:tabs>
        <w:spacing w:after="0" w:line="360" w:lineRule="auto"/>
      </w:pPr>
    </w:p>
    <w:p w:rsidR="00C36789" w:rsidRDefault="004F3375">
      <w:pPr>
        <w:tabs>
          <w:tab w:val="left" w:pos="4962"/>
        </w:tabs>
        <w:spacing w:after="0" w:line="360" w:lineRule="auto"/>
      </w:pPr>
      <w:r>
        <w:t xml:space="preserve">Al respecto, cabe traer a colación la Resolución del Recurso de Revisión con número 01103/INFOEM/IP/RR/2025, en la cual el Ayuntamiento de Toluca, proporcionó en respuesta el Acta de la Sesión de Instalación y Primera Sesión Ordinaria de Cabildo de Toluca 2025, realizada el primero de enero de dos mil veinticinco, en la que se logró vislumbrar en el punto seis del Orden del Día, los nombramientos de los servidores públicos que tomaron protesta el primero de enero de dos mil veinticinco, tal como se muestra a continuación: </w:t>
      </w:r>
    </w:p>
    <w:p w:rsidR="00C36789" w:rsidRDefault="00C36789">
      <w:pPr>
        <w:tabs>
          <w:tab w:val="left" w:pos="4962"/>
        </w:tabs>
        <w:spacing w:after="0" w:line="360" w:lineRule="auto"/>
      </w:pPr>
    </w:p>
    <w:p w:rsidR="00C36789" w:rsidRDefault="004F3375">
      <w:pPr>
        <w:tabs>
          <w:tab w:val="left" w:pos="4962"/>
        </w:tabs>
        <w:spacing w:after="0" w:line="360" w:lineRule="auto"/>
      </w:pPr>
      <w:r>
        <w:rPr>
          <w:noProof/>
        </w:rPr>
        <w:lastRenderedPageBreak/>
        <w:drawing>
          <wp:inline distT="0" distB="0" distL="0" distR="0">
            <wp:extent cx="5671185" cy="1568450"/>
            <wp:effectExtent l="0" t="0" r="0" b="0"/>
            <wp:docPr id="2038874673" name="image15.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5.png" descr="Texto&#10;&#10;El contenido generado por IA puede ser incorrecto."/>
                    <pic:cNvPicPr preferRelativeResize="0"/>
                  </pic:nvPicPr>
                  <pic:blipFill>
                    <a:blip r:embed="rId15"/>
                    <a:srcRect/>
                    <a:stretch>
                      <a:fillRect/>
                    </a:stretch>
                  </pic:blipFill>
                  <pic:spPr>
                    <a:xfrm>
                      <a:off x="0" y="0"/>
                      <a:ext cx="5671185" cy="1568450"/>
                    </a:xfrm>
                    <a:prstGeom prst="rect">
                      <a:avLst/>
                    </a:prstGeom>
                    <a:ln/>
                  </pic:spPr>
                </pic:pic>
              </a:graphicData>
            </a:graphic>
          </wp:inline>
        </w:drawing>
      </w:r>
    </w:p>
    <w:p w:rsidR="00C36789" w:rsidRDefault="004F3375">
      <w:pPr>
        <w:tabs>
          <w:tab w:val="left" w:pos="4962"/>
        </w:tabs>
        <w:spacing w:after="0" w:line="360" w:lineRule="auto"/>
        <w:jc w:val="center"/>
      </w:pPr>
      <w:r>
        <w:t>…</w:t>
      </w:r>
    </w:p>
    <w:p w:rsidR="00C36789" w:rsidRDefault="00C36789">
      <w:pPr>
        <w:tabs>
          <w:tab w:val="left" w:pos="4962"/>
        </w:tabs>
        <w:spacing w:after="0" w:line="360" w:lineRule="auto"/>
        <w:rPr>
          <w:b/>
        </w:rPr>
      </w:pPr>
    </w:p>
    <w:p w:rsidR="00C36789" w:rsidRDefault="004F3375">
      <w:pPr>
        <w:tabs>
          <w:tab w:val="left" w:pos="4962"/>
        </w:tabs>
        <w:spacing w:after="0" w:line="360" w:lineRule="auto"/>
        <w:rPr>
          <w:b/>
        </w:rPr>
      </w:pPr>
      <w:r>
        <w:rPr>
          <w:b/>
          <w:noProof/>
        </w:rPr>
        <w:drawing>
          <wp:inline distT="0" distB="0" distL="0" distR="0">
            <wp:extent cx="5671185" cy="535305"/>
            <wp:effectExtent l="0" t="0" r="0" b="0"/>
            <wp:docPr id="203887467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671185" cy="535305"/>
                    </a:xfrm>
                    <a:prstGeom prst="rect">
                      <a:avLst/>
                    </a:prstGeom>
                    <a:ln/>
                  </pic:spPr>
                </pic:pic>
              </a:graphicData>
            </a:graphic>
          </wp:inline>
        </w:drawing>
      </w:r>
    </w:p>
    <w:p w:rsidR="00C36789" w:rsidRDefault="004F3375">
      <w:pPr>
        <w:tabs>
          <w:tab w:val="left" w:pos="4962"/>
        </w:tabs>
        <w:spacing w:after="0" w:line="360" w:lineRule="auto"/>
        <w:jc w:val="center"/>
        <w:rPr>
          <w:b/>
        </w:rPr>
      </w:pPr>
      <w:r>
        <w:rPr>
          <w:b/>
        </w:rPr>
        <w:t>…</w:t>
      </w:r>
    </w:p>
    <w:p w:rsidR="00C36789" w:rsidRDefault="004F3375">
      <w:pPr>
        <w:tabs>
          <w:tab w:val="left" w:pos="4962"/>
        </w:tabs>
        <w:spacing w:after="0" w:line="360" w:lineRule="auto"/>
        <w:jc w:val="center"/>
        <w:rPr>
          <w:b/>
        </w:rPr>
      </w:pPr>
      <w:r>
        <w:rPr>
          <w:b/>
          <w:noProof/>
        </w:rPr>
        <w:drawing>
          <wp:inline distT="0" distB="0" distL="0" distR="0">
            <wp:extent cx="5182049" cy="1767993"/>
            <wp:effectExtent l="0" t="0" r="0" b="0"/>
            <wp:docPr id="2038874675" name="image4.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Tabla&#10;&#10;El contenido generado por IA puede ser incorrecto."/>
                    <pic:cNvPicPr preferRelativeResize="0"/>
                  </pic:nvPicPr>
                  <pic:blipFill>
                    <a:blip r:embed="rId17"/>
                    <a:srcRect/>
                    <a:stretch>
                      <a:fillRect/>
                    </a:stretch>
                  </pic:blipFill>
                  <pic:spPr>
                    <a:xfrm>
                      <a:off x="0" y="0"/>
                      <a:ext cx="5182049" cy="1767993"/>
                    </a:xfrm>
                    <a:prstGeom prst="rect">
                      <a:avLst/>
                    </a:prstGeom>
                    <a:ln/>
                  </pic:spPr>
                </pic:pic>
              </a:graphicData>
            </a:graphic>
          </wp:inline>
        </w:drawing>
      </w:r>
    </w:p>
    <w:p w:rsidR="00C36789" w:rsidRDefault="004F3375">
      <w:pPr>
        <w:tabs>
          <w:tab w:val="left" w:pos="4962"/>
        </w:tabs>
        <w:spacing w:after="0" w:line="360" w:lineRule="auto"/>
        <w:jc w:val="center"/>
        <w:rPr>
          <w:b/>
        </w:rPr>
      </w:pPr>
      <w:r>
        <w:rPr>
          <w:b/>
          <w:noProof/>
        </w:rPr>
        <w:drawing>
          <wp:inline distT="0" distB="0" distL="0" distR="0">
            <wp:extent cx="4804099" cy="1303020"/>
            <wp:effectExtent l="0" t="0" r="0" b="0"/>
            <wp:docPr id="2038874674" name="image8.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8.png" descr="Tabla&#10;&#10;El contenido generado por IA puede ser incorrecto."/>
                    <pic:cNvPicPr preferRelativeResize="0"/>
                  </pic:nvPicPr>
                  <pic:blipFill>
                    <a:blip r:embed="rId18"/>
                    <a:srcRect/>
                    <a:stretch>
                      <a:fillRect/>
                    </a:stretch>
                  </pic:blipFill>
                  <pic:spPr>
                    <a:xfrm>
                      <a:off x="0" y="0"/>
                      <a:ext cx="4804099" cy="1303020"/>
                    </a:xfrm>
                    <a:prstGeom prst="rect">
                      <a:avLst/>
                    </a:prstGeom>
                    <a:ln/>
                  </pic:spPr>
                </pic:pic>
              </a:graphicData>
            </a:graphic>
          </wp:inline>
        </w:drawing>
      </w:r>
    </w:p>
    <w:p w:rsidR="00C36789" w:rsidRDefault="00C36789">
      <w:pPr>
        <w:tabs>
          <w:tab w:val="left" w:pos="4962"/>
        </w:tabs>
        <w:spacing w:after="0" w:line="360" w:lineRule="auto"/>
        <w:rPr>
          <w:b/>
        </w:rPr>
      </w:pPr>
    </w:p>
    <w:p w:rsidR="00C36789" w:rsidRDefault="004F3375">
      <w:pPr>
        <w:tabs>
          <w:tab w:val="left" w:pos="4962"/>
        </w:tabs>
        <w:spacing w:after="0" w:line="360" w:lineRule="auto"/>
      </w:pPr>
      <w:r>
        <w:t xml:space="preserve">Lo anterior, se trae como hecho notorio, con fundamento en el artículo 36 del Código de Procedimientos Administrativos del Estado de México, de aplicación supletoria a la Ley de Transparencia y Acceso a la Información Pública del Estado de México y Municipios, que </w:t>
      </w:r>
      <w:r>
        <w:lastRenderedPageBreak/>
        <w:t>precisa que la autoridad debe invocarlos, aunque no sean alegados por las partes. Asimismo, en la Jurisprudencia número 2a./J. 103/2007, de la Segunda Sala, publicada en la página 285 de la Gaceta del Semanario Judicial de la Federación, Novena Época, Tomo XXV, junio de 2007, se establece que los órganos jurisdiccionales pueden invocar como hechos notorios las resoluciones que hayan emitido.</w:t>
      </w:r>
    </w:p>
    <w:p w:rsidR="00C36789" w:rsidRDefault="00C36789">
      <w:pPr>
        <w:tabs>
          <w:tab w:val="left" w:pos="4962"/>
        </w:tabs>
        <w:spacing w:after="0" w:line="360" w:lineRule="auto"/>
      </w:pPr>
    </w:p>
    <w:p w:rsidR="00C36789" w:rsidRDefault="004F3375">
      <w:pPr>
        <w:tabs>
          <w:tab w:val="left" w:pos="4962"/>
        </w:tabs>
        <w:spacing w:after="0" w:line="360" w:lineRule="auto"/>
      </w:pPr>
      <w:r>
        <w:t xml:space="preserve">En ese orden de ideas, cabe precisar que en respuesta el sujeto Obligado remitió diversos nombramientos, constancias de mayoría y constancias de representación proporcional, junto con las fichas curriculares de los siguientes servidores públicos: </w:t>
      </w:r>
    </w:p>
    <w:p w:rsidR="00C36789" w:rsidRDefault="00C36789">
      <w:pPr>
        <w:tabs>
          <w:tab w:val="left" w:pos="4962"/>
        </w:tabs>
        <w:spacing w:after="0" w:line="360" w:lineRule="auto"/>
      </w:pPr>
    </w:p>
    <w:tbl>
      <w:tblPr>
        <w:tblStyle w:val="a0"/>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4815"/>
      </w:tblGrid>
      <w:tr w:rsidR="00C36789">
        <w:tc>
          <w:tcPr>
            <w:tcW w:w="4106" w:type="dxa"/>
            <w:shd w:val="clear" w:color="auto" w:fill="BFBFBF"/>
          </w:tcPr>
          <w:p w:rsidR="00C36789" w:rsidRDefault="004F3375">
            <w:pPr>
              <w:tabs>
                <w:tab w:val="left" w:pos="4962"/>
              </w:tabs>
              <w:spacing w:line="360" w:lineRule="auto"/>
              <w:rPr>
                <w:b/>
              </w:rPr>
            </w:pPr>
            <w:r>
              <w:rPr>
                <w:b/>
              </w:rPr>
              <w:t xml:space="preserve">Documentos entregados en respuesta </w:t>
            </w:r>
          </w:p>
        </w:tc>
        <w:tc>
          <w:tcPr>
            <w:tcW w:w="4815" w:type="dxa"/>
            <w:shd w:val="clear" w:color="auto" w:fill="BFBFBF"/>
          </w:tcPr>
          <w:p w:rsidR="00C36789" w:rsidRDefault="004F3375">
            <w:pPr>
              <w:tabs>
                <w:tab w:val="left" w:pos="4962"/>
              </w:tabs>
              <w:spacing w:line="360" w:lineRule="auto"/>
              <w:rPr>
                <w:b/>
              </w:rPr>
            </w:pPr>
            <w:r>
              <w:rPr>
                <w:b/>
              </w:rPr>
              <w:t>Documentos que dan cuenta de lo solicitado</w:t>
            </w:r>
          </w:p>
        </w:tc>
      </w:tr>
      <w:tr w:rsidR="00C36789">
        <w:tc>
          <w:tcPr>
            <w:tcW w:w="4106" w:type="dxa"/>
          </w:tcPr>
          <w:p w:rsidR="00C36789" w:rsidRDefault="004F3375">
            <w:pPr>
              <w:tabs>
                <w:tab w:val="left" w:pos="4962"/>
              </w:tabs>
              <w:spacing w:line="360" w:lineRule="auto"/>
            </w:pPr>
            <w:r>
              <w:t xml:space="preserve">- Nombramientos y fichas curriculares de: </w:t>
            </w:r>
          </w:p>
          <w:p w:rsidR="00C36789" w:rsidRDefault="00C36789">
            <w:pPr>
              <w:tabs>
                <w:tab w:val="left" w:pos="4962"/>
              </w:tabs>
              <w:spacing w:line="360" w:lineRule="auto"/>
            </w:pPr>
          </w:p>
          <w:p w:rsidR="00C36789" w:rsidRDefault="004F3375">
            <w:pPr>
              <w:numPr>
                <w:ilvl w:val="0"/>
                <w:numId w:val="2"/>
              </w:numPr>
              <w:pBdr>
                <w:top w:val="nil"/>
                <w:left w:val="nil"/>
                <w:bottom w:val="nil"/>
                <w:right w:val="nil"/>
                <w:between w:val="nil"/>
              </w:pBdr>
              <w:tabs>
                <w:tab w:val="left" w:pos="4962"/>
              </w:tabs>
              <w:spacing w:line="360" w:lineRule="auto"/>
              <w:rPr>
                <w:color w:val="000000"/>
              </w:rPr>
            </w:pPr>
            <w:r>
              <w:rPr>
                <w:b/>
                <w:color w:val="000000"/>
              </w:rPr>
              <w:t>Director de Desarrollo Social</w:t>
            </w:r>
            <w:r>
              <w:rPr>
                <w:color w:val="000000"/>
              </w:rPr>
              <w:t xml:space="preserve"> (Jesús Luis Ignacio </w:t>
            </w:r>
            <w:proofErr w:type="spellStart"/>
            <w:r>
              <w:rPr>
                <w:color w:val="000000"/>
              </w:rPr>
              <w:t>Zendejas</w:t>
            </w:r>
            <w:proofErr w:type="spellEnd"/>
            <w:r>
              <w:rPr>
                <w:color w:val="000000"/>
              </w:rPr>
              <w:t xml:space="preserve"> Osorio) </w:t>
            </w:r>
          </w:p>
          <w:p w:rsidR="00C36789" w:rsidRDefault="004F3375">
            <w:pPr>
              <w:numPr>
                <w:ilvl w:val="0"/>
                <w:numId w:val="2"/>
              </w:numPr>
              <w:pBdr>
                <w:top w:val="nil"/>
                <w:left w:val="nil"/>
                <w:bottom w:val="nil"/>
                <w:right w:val="nil"/>
                <w:between w:val="nil"/>
              </w:pBdr>
              <w:tabs>
                <w:tab w:val="left" w:pos="4962"/>
              </w:tabs>
              <w:spacing w:line="360" w:lineRule="auto"/>
              <w:rPr>
                <w:color w:val="000000"/>
              </w:rPr>
            </w:pPr>
            <w:r>
              <w:rPr>
                <w:b/>
                <w:color w:val="000000"/>
                <w:u w:val="single"/>
              </w:rPr>
              <w:t>Director General de Seguridad y Protección</w:t>
            </w:r>
            <w:r>
              <w:rPr>
                <w:color w:val="000000"/>
              </w:rPr>
              <w:t xml:space="preserve"> (Leopoldo Reyes Pavón) </w:t>
            </w:r>
            <w:r>
              <w:rPr>
                <w:i/>
                <w:color w:val="000000"/>
              </w:rPr>
              <w:t>no coincide con el nombrado el primero de enero de dos mil veinticinco.</w:t>
            </w:r>
            <w:r>
              <w:rPr>
                <w:color w:val="000000"/>
              </w:rPr>
              <w:t xml:space="preserve"> </w:t>
            </w:r>
          </w:p>
          <w:p w:rsidR="00C36789" w:rsidRDefault="004F3375">
            <w:pPr>
              <w:numPr>
                <w:ilvl w:val="0"/>
                <w:numId w:val="2"/>
              </w:numPr>
              <w:pBdr>
                <w:top w:val="nil"/>
                <w:left w:val="nil"/>
                <w:bottom w:val="nil"/>
                <w:right w:val="nil"/>
                <w:between w:val="nil"/>
              </w:pBdr>
              <w:tabs>
                <w:tab w:val="left" w:pos="4962"/>
              </w:tabs>
              <w:spacing w:line="360" w:lineRule="auto"/>
              <w:rPr>
                <w:color w:val="000000"/>
              </w:rPr>
            </w:pPr>
            <w:r>
              <w:rPr>
                <w:b/>
                <w:color w:val="000000"/>
              </w:rPr>
              <w:t>Director General de Desarrollo Urbano</w:t>
            </w:r>
            <w:r>
              <w:rPr>
                <w:color w:val="000000"/>
              </w:rPr>
              <w:t xml:space="preserve"> (Luis Fernando Morales Núñez) </w:t>
            </w:r>
            <w:r>
              <w:rPr>
                <w:i/>
                <w:color w:val="000000"/>
              </w:rPr>
              <w:t>corresponde al ejercicio fiscal dos mil veintidós</w:t>
            </w:r>
            <w:r>
              <w:rPr>
                <w:color w:val="000000"/>
              </w:rPr>
              <w:t xml:space="preserve"> </w:t>
            </w:r>
          </w:p>
          <w:p w:rsidR="00C36789" w:rsidRDefault="004F3375">
            <w:pPr>
              <w:numPr>
                <w:ilvl w:val="0"/>
                <w:numId w:val="2"/>
              </w:numPr>
              <w:pBdr>
                <w:top w:val="nil"/>
                <w:left w:val="nil"/>
                <w:bottom w:val="nil"/>
                <w:right w:val="nil"/>
                <w:between w:val="nil"/>
              </w:pBdr>
              <w:tabs>
                <w:tab w:val="left" w:pos="4962"/>
              </w:tabs>
              <w:spacing w:line="360" w:lineRule="auto"/>
              <w:rPr>
                <w:color w:val="000000"/>
              </w:rPr>
            </w:pPr>
            <w:r>
              <w:rPr>
                <w:b/>
                <w:color w:val="000000"/>
                <w:u w:val="single"/>
              </w:rPr>
              <w:lastRenderedPageBreak/>
              <w:t>Director General de Medio Ambiente</w:t>
            </w:r>
            <w:r>
              <w:rPr>
                <w:color w:val="000000"/>
              </w:rPr>
              <w:t xml:space="preserve"> (Jaime Amado López Gómez) </w:t>
            </w:r>
            <w:r>
              <w:rPr>
                <w:i/>
                <w:color w:val="000000"/>
              </w:rPr>
              <w:t>corresponde al ejercicio fiscal dos mil veinticuatro, no coincide con el nombrado el primero de enero de dos mil veinticinco.</w:t>
            </w:r>
          </w:p>
          <w:p w:rsidR="00C36789" w:rsidRDefault="004F3375">
            <w:pPr>
              <w:numPr>
                <w:ilvl w:val="0"/>
                <w:numId w:val="2"/>
              </w:numPr>
              <w:pBdr>
                <w:top w:val="nil"/>
                <w:left w:val="nil"/>
                <w:bottom w:val="nil"/>
                <w:right w:val="nil"/>
                <w:between w:val="nil"/>
              </w:pBdr>
              <w:tabs>
                <w:tab w:val="left" w:pos="4962"/>
              </w:tabs>
              <w:spacing w:line="360" w:lineRule="auto"/>
              <w:rPr>
                <w:color w:val="000000"/>
              </w:rPr>
            </w:pPr>
            <w:r>
              <w:rPr>
                <w:b/>
                <w:color w:val="000000"/>
                <w:u w:val="single"/>
              </w:rPr>
              <w:t>Director General de Gobierno</w:t>
            </w:r>
            <w:r>
              <w:rPr>
                <w:color w:val="000000"/>
              </w:rPr>
              <w:t xml:space="preserve"> (Andrés González Nieto) </w:t>
            </w:r>
            <w:r>
              <w:rPr>
                <w:i/>
                <w:color w:val="000000"/>
              </w:rPr>
              <w:t>corresponde al ejercicio fiscal dos mil veintidós, no coincide con el nombrado el primero de enero de dos mil veinticinco.</w:t>
            </w:r>
          </w:p>
          <w:p w:rsidR="00C36789" w:rsidRDefault="004F3375">
            <w:pPr>
              <w:numPr>
                <w:ilvl w:val="0"/>
                <w:numId w:val="2"/>
              </w:numPr>
              <w:pBdr>
                <w:top w:val="nil"/>
                <w:left w:val="nil"/>
                <w:bottom w:val="nil"/>
                <w:right w:val="nil"/>
                <w:between w:val="nil"/>
              </w:pBdr>
              <w:tabs>
                <w:tab w:val="left" w:pos="4962"/>
              </w:tabs>
              <w:spacing w:line="360" w:lineRule="auto"/>
              <w:rPr>
                <w:color w:val="000000"/>
              </w:rPr>
            </w:pPr>
            <w:r>
              <w:rPr>
                <w:b/>
                <w:color w:val="000000"/>
              </w:rPr>
              <w:t>Director General de Servicios Públicos</w:t>
            </w:r>
            <w:r>
              <w:rPr>
                <w:color w:val="000000"/>
              </w:rPr>
              <w:t xml:space="preserve"> (Vicente Estrada Iniesta) </w:t>
            </w:r>
            <w:r>
              <w:rPr>
                <w:i/>
                <w:color w:val="000000"/>
              </w:rPr>
              <w:t>corresponde al ejercicio fiscal dos mil veintidós, no coincide con el nombrado el primero de enero de dos mil veinticinco.</w:t>
            </w:r>
          </w:p>
          <w:p w:rsidR="00C36789" w:rsidRDefault="004F3375">
            <w:pPr>
              <w:numPr>
                <w:ilvl w:val="0"/>
                <w:numId w:val="2"/>
              </w:numPr>
              <w:pBdr>
                <w:top w:val="nil"/>
                <w:left w:val="nil"/>
                <w:bottom w:val="nil"/>
                <w:right w:val="nil"/>
                <w:between w:val="nil"/>
              </w:pBdr>
              <w:tabs>
                <w:tab w:val="left" w:pos="4962"/>
              </w:tabs>
              <w:spacing w:line="360" w:lineRule="auto"/>
              <w:rPr>
                <w:color w:val="000000"/>
              </w:rPr>
            </w:pPr>
            <w:r>
              <w:rPr>
                <w:b/>
                <w:color w:val="000000"/>
              </w:rPr>
              <w:t>Directora de Desarrollo Económico</w:t>
            </w:r>
            <w:r>
              <w:rPr>
                <w:color w:val="000000"/>
              </w:rPr>
              <w:t xml:space="preserve"> (</w:t>
            </w:r>
            <w:proofErr w:type="spellStart"/>
            <w:r>
              <w:rPr>
                <w:color w:val="000000"/>
              </w:rPr>
              <w:t>Laila</w:t>
            </w:r>
            <w:proofErr w:type="spellEnd"/>
            <w:r>
              <w:rPr>
                <w:color w:val="000000"/>
              </w:rPr>
              <w:t xml:space="preserve"> </w:t>
            </w:r>
            <w:proofErr w:type="spellStart"/>
            <w:r>
              <w:rPr>
                <w:color w:val="000000"/>
              </w:rPr>
              <w:t>Chemor</w:t>
            </w:r>
            <w:proofErr w:type="spellEnd"/>
            <w:r>
              <w:rPr>
                <w:color w:val="000000"/>
              </w:rPr>
              <w:t xml:space="preserve"> Sánchez) </w:t>
            </w:r>
            <w:r>
              <w:rPr>
                <w:i/>
                <w:color w:val="000000"/>
              </w:rPr>
              <w:t>corresponde al ejercicio fiscal dos mil veintidós</w:t>
            </w:r>
            <w:r>
              <w:rPr>
                <w:color w:val="000000"/>
              </w:rPr>
              <w:t xml:space="preserve"> </w:t>
            </w:r>
          </w:p>
          <w:p w:rsidR="00C36789" w:rsidRDefault="004F3375">
            <w:pPr>
              <w:numPr>
                <w:ilvl w:val="0"/>
                <w:numId w:val="2"/>
              </w:numPr>
              <w:pBdr>
                <w:top w:val="nil"/>
                <w:left w:val="nil"/>
                <w:bottom w:val="nil"/>
                <w:right w:val="nil"/>
                <w:between w:val="nil"/>
              </w:pBdr>
              <w:tabs>
                <w:tab w:val="left" w:pos="4962"/>
              </w:tabs>
              <w:spacing w:line="360" w:lineRule="auto"/>
              <w:rPr>
                <w:color w:val="000000"/>
              </w:rPr>
            </w:pPr>
            <w:r>
              <w:rPr>
                <w:b/>
                <w:color w:val="000000"/>
              </w:rPr>
              <w:t>Directora de Desarrollo Urbano</w:t>
            </w:r>
            <w:r>
              <w:rPr>
                <w:color w:val="000000"/>
              </w:rPr>
              <w:t xml:space="preserve"> (</w:t>
            </w:r>
            <w:proofErr w:type="spellStart"/>
            <w:r>
              <w:rPr>
                <w:color w:val="000000"/>
              </w:rPr>
              <w:t>Janete</w:t>
            </w:r>
            <w:proofErr w:type="spellEnd"/>
            <w:r>
              <w:rPr>
                <w:color w:val="000000"/>
              </w:rPr>
              <w:t xml:space="preserve"> Susana Campos Fabela) </w:t>
            </w:r>
            <w:r>
              <w:rPr>
                <w:i/>
                <w:color w:val="000000"/>
              </w:rPr>
              <w:t>corresponde al ejercicio fiscal dos mil veintidós</w:t>
            </w:r>
            <w:r>
              <w:rPr>
                <w:color w:val="000000"/>
              </w:rPr>
              <w:t xml:space="preserve"> </w:t>
            </w:r>
          </w:p>
          <w:p w:rsidR="00C36789" w:rsidRDefault="004F3375">
            <w:pPr>
              <w:numPr>
                <w:ilvl w:val="0"/>
                <w:numId w:val="2"/>
              </w:numPr>
              <w:pBdr>
                <w:top w:val="nil"/>
                <w:left w:val="nil"/>
                <w:bottom w:val="nil"/>
                <w:right w:val="nil"/>
                <w:between w:val="nil"/>
              </w:pBdr>
              <w:tabs>
                <w:tab w:val="left" w:pos="4962"/>
              </w:tabs>
              <w:spacing w:line="360" w:lineRule="auto"/>
              <w:rPr>
                <w:color w:val="000000"/>
              </w:rPr>
            </w:pPr>
            <w:r>
              <w:rPr>
                <w:b/>
                <w:color w:val="000000"/>
              </w:rPr>
              <w:lastRenderedPageBreak/>
              <w:t>Directora General de Administración</w:t>
            </w:r>
            <w:r>
              <w:rPr>
                <w:color w:val="000000"/>
              </w:rPr>
              <w:t xml:space="preserve"> (</w:t>
            </w:r>
            <w:proofErr w:type="spellStart"/>
            <w:r>
              <w:rPr>
                <w:color w:val="000000"/>
              </w:rPr>
              <w:t>Yazmin</w:t>
            </w:r>
            <w:proofErr w:type="spellEnd"/>
            <w:r>
              <w:rPr>
                <w:color w:val="000000"/>
              </w:rPr>
              <w:t xml:space="preserve"> del Carmen Arévalo </w:t>
            </w:r>
            <w:proofErr w:type="spellStart"/>
            <w:r>
              <w:rPr>
                <w:color w:val="000000"/>
              </w:rPr>
              <w:t>Athie</w:t>
            </w:r>
            <w:proofErr w:type="spellEnd"/>
            <w:r>
              <w:rPr>
                <w:color w:val="000000"/>
              </w:rPr>
              <w:t xml:space="preserve">) </w:t>
            </w:r>
            <w:r>
              <w:rPr>
                <w:i/>
                <w:color w:val="000000"/>
              </w:rPr>
              <w:t>corresponde al ejercicio fiscal dos mil veintidós, no coincide con el nombrado el primero de enero de dos mil veinticinco.</w:t>
            </w:r>
          </w:p>
          <w:p w:rsidR="00C36789" w:rsidRDefault="00C36789">
            <w:pPr>
              <w:pBdr>
                <w:top w:val="nil"/>
                <w:left w:val="nil"/>
                <w:bottom w:val="nil"/>
                <w:right w:val="nil"/>
                <w:between w:val="nil"/>
              </w:pBdr>
              <w:tabs>
                <w:tab w:val="left" w:pos="4962"/>
              </w:tabs>
              <w:spacing w:after="160" w:line="360" w:lineRule="auto"/>
              <w:ind w:left="720"/>
              <w:rPr>
                <w:color w:val="000000"/>
              </w:rPr>
            </w:pPr>
          </w:p>
          <w:p w:rsidR="00C36789" w:rsidRDefault="004F3375">
            <w:pPr>
              <w:tabs>
                <w:tab w:val="left" w:pos="4962"/>
              </w:tabs>
              <w:spacing w:line="360" w:lineRule="auto"/>
            </w:pPr>
            <w:r>
              <w:t xml:space="preserve">-Constancias de Mayoría, constancias de Representación Proporcional y/o ficha curricular de los Integrantes de cabildo correspondientes al </w:t>
            </w:r>
            <w:r>
              <w:rPr>
                <w:b/>
              </w:rPr>
              <w:t>ejercicio fiscal dos mil veintidós</w:t>
            </w:r>
            <w:r>
              <w:t xml:space="preserve"> (referidos en el Antecedente II, inciso x)</w:t>
            </w:r>
          </w:p>
        </w:tc>
        <w:tc>
          <w:tcPr>
            <w:tcW w:w="4815" w:type="dxa"/>
          </w:tcPr>
          <w:p w:rsidR="00C36789" w:rsidRDefault="004F3375">
            <w:pPr>
              <w:tabs>
                <w:tab w:val="left" w:pos="4962"/>
              </w:tabs>
              <w:spacing w:line="360" w:lineRule="auto"/>
            </w:pPr>
            <w:r>
              <w:lastRenderedPageBreak/>
              <w:t xml:space="preserve">Conforme al Acta de la Sesión de Instalación y Primera Sesión Ordinaria de Cabildo de Toluca 2025, del </w:t>
            </w:r>
            <w:r>
              <w:rPr>
                <w:u w:val="single"/>
              </w:rPr>
              <w:t xml:space="preserve">primero de enero de dos mil veinticinco, </w:t>
            </w:r>
            <w:r>
              <w:rPr>
                <w:b/>
                <w:u w:val="single"/>
              </w:rPr>
              <w:t>los nombramientos</w:t>
            </w:r>
            <w:r>
              <w:rPr>
                <w:u w:val="single"/>
              </w:rPr>
              <w:t xml:space="preserve"> de:</w:t>
            </w:r>
            <w:r>
              <w:t xml:space="preserve"> </w:t>
            </w:r>
          </w:p>
          <w:p w:rsidR="00C36789" w:rsidRDefault="00C36789">
            <w:pPr>
              <w:tabs>
                <w:tab w:val="left" w:pos="4962"/>
              </w:tabs>
              <w:spacing w:line="360" w:lineRule="auto"/>
            </w:pPr>
          </w:p>
          <w:p w:rsidR="00C36789" w:rsidRDefault="004F3375">
            <w:pPr>
              <w:numPr>
                <w:ilvl w:val="0"/>
                <w:numId w:val="27"/>
              </w:numPr>
              <w:pBdr>
                <w:top w:val="nil"/>
                <w:left w:val="nil"/>
                <w:bottom w:val="nil"/>
                <w:right w:val="nil"/>
                <w:between w:val="nil"/>
              </w:pBdr>
              <w:tabs>
                <w:tab w:val="left" w:pos="4962"/>
              </w:tabs>
              <w:spacing w:line="360" w:lineRule="auto"/>
              <w:rPr>
                <w:color w:val="000000"/>
              </w:rPr>
            </w:pPr>
            <w:r>
              <w:rPr>
                <w:b/>
                <w:color w:val="000000"/>
              </w:rPr>
              <w:t>Secretario del Ayuntamiento</w:t>
            </w:r>
            <w:r>
              <w:rPr>
                <w:color w:val="000000"/>
              </w:rPr>
              <w:t xml:space="preserve"> (Justo Núñez </w:t>
            </w:r>
            <w:proofErr w:type="spellStart"/>
            <w:r>
              <w:rPr>
                <w:color w:val="000000"/>
              </w:rPr>
              <w:t>Skinfill</w:t>
            </w:r>
            <w:proofErr w:type="spellEnd"/>
            <w:r>
              <w:rPr>
                <w:color w:val="000000"/>
              </w:rPr>
              <w:t>)</w:t>
            </w:r>
          </w:p>
          <w:p w:rsidR="00C36789" w:rsidRDefault="004F3375">
            <w:pPr>
              <w:numPr>
                <w:ilvl w:val="0"/>
                <w:numId w:val="27"/>
              </w:numPr>
              <w:pBdr>
                <w:top w:val="nil"/>
                <w:left w:val="nil"/>
                <w:bottom w:val="nil"/>
                <w:right w:val="nil"/>
                <w:between w:val="nil"/>
              </w:pBdr>
              <w:tabs>
                <w:tab w:val="left" w:pos="4962"/>
              </w:tabs>
              <w:spacing w:line="360" w:lineRule="auto"/>
              <w:rPr>
                <w:color w:val="000000"/>
              </w:rPr>
            </w:pPr>
            <w:r>
              <w:rPr>
                <w:b/>
                <w:color w:val="000000"/>
              </w:rPr>
              <w:t>Tesorero Municipal</w:t>
            </w:r>
            <w:r>
              <w:rPr>
                <w:color w:val="000000"/>
              </w:rPr>
              <w:t xml:space="preserve"> (Florencio Valladares Zambrano) </w:t>
            </w:r>
          </w:p>
          <w:p w:rsidR="00C36789" w:rsidRDefault="004F3375">
            <w:pPr>
              <w:numPr>
                <w:ilvl w:val="0"/>
                <w:numId w:val="27"/>
              </w:numPr>
              <w:pBdr>
                <w:top w:val="nil"/>
                <w:left w:val="nil"/>
                <w:bottom w:val="nil"/>
                <w:right w:val="nil"/>
                <w:between w:val="nil"/>
              </w:pBdr>
              <w:tabs>
                <w:tab w:val="left" w:pos="4962"/>
              </w:tabs>
              <w:spacing w:line="360" w:lineRule="auto"/>
              <w:rPr>
                <w:color w:val="000000"/>
              </w:rPr>
            </w:pPr>
            <w:r>
              <w:rPr>
                <w:b/>
                <w:color w:val="000000"/>
              </w:rPr>
              <w:t>Director General de Gobierno</w:t>
            </w:r>
            <w:r>
              <w:rPr>
                <w:color w:val="000000"/>
              </w:rPr>
              <w:t xml:space="preserve"> (Mario Alberto Medina Peralta)</w:t>
            </w:r>
          </w:p>
          <w:p w:rsidR="00C36789" w:rsidRDefault="004F3375">
            <w:pPr>
              <w:numPr>
                <w:ilvl w:val="0"/>
                <w:numId w:val="27"/>
              </w:numPr>
              <w:pBdr>
                <w:top w:val="nil"/>
                <w:left w:val="nil"/>
                <w:bottom w:val="nil"/>
                <w:right w:val="nil"/>
                <w:between w:val="nil"/>
              </w:pBdr>
              <w:tabs>
                <w:tab w:val="left" w:pos="4962"/>
              </w:tabs>
              <w:spacing w:line="360" w:lineRule="auto"/>
              <w:rPr>
                <w:color w:val="000000"/>
              </w:rPr>
            </w:pPr>
            <w:r>
              <w:rPr>
                <w:b/>
                <w:color w:val="000000"/>
              </w:rPr>
              <w:t>Director General de Seguridad y Protección</w:t>
            </w:r>
            <w:r>
              <w:rPr>
                <w:color w:val="000000"/>
              </w:rPr>
              <w:t xml:space="preserve"> (Jorge Alberto Ayón Monsalve) </w:t>
            </w:r>
          </w:p>
          <w:p w:rsidR="00C36789" w:rsidRDefault="004F3375">
            <w:pPr>
              <w:numPr>
                <w:ilvl w:val="0"/>
                <w:numId w:val="27"/>
              </w:numPr>
              <w:pBdr>
                <w:top w:val="nil"/>
                <w:left w:val="nil"/>
                <w:bottom w:val="nil"/>
                <w:right w:val="nil"/>
                <w:between w:val="nil"/>
              </w:pBdr>
              <w:tabs>
                <w:tab w:val="left" w:pos="4962"/>
              </w:tabs>
              <w:spacing w:line="360" w:lineRule="auto"/>
              <w:rPr>
                <w:color w:val="000000"/>
              </w:rPr>
            </w:pPr>
            <w:r>
              <w:rPr>
                <w:b/>
                <w:color w:val="000000"/>
              </w:rPr>
              <w:lastRenderedPageBreak/>
              <w:t>Directora General de Administración</w:t>
            </w:r>
            <w:r>
              <w:rPr>
                <w:color w:val="000000"/>
              </w:rPr>
              <w:t xml:space="preserve"> (Rosario Selene Márquez Hernández)</w:t>
            </w:r>
          </w:p>
          <w:p w:rsidR="00C36789" w:rsidRDefault="004F3375">
            <w:pPr>
              <w:numPr>
                <w:ilvl w:val="0"/>
                <w:numId w:val="27"/>
              </w:numPr>
              <w:pBdr>
                <w:top w:val="nil"/>
                <w:left w:val="nil"/>
                <w:bottom w:val="nil"/>
                <w:right w:val="nil"/>
                <w:between w:val="nil"/>
              </w:pBdr>
              <w:tabs>
                <w:tab w:val="left" w:pos="4962"/>
              </w:tabs>
              <w:spacing w:line="360" w:lineRule="auto"/>
              <w:rPr>
                <w:color w:val="000000"/>
              </w:rPr>
            </w:pPr>
            <w:r>
              <w:rPr>
                <w:b/>
                <w:color w:val="000000"/>
              </w:rPr>
              <w:t>Directora General de Medio Ambiente</w:t>
            </w:r>
            <w:r>
              <w:rPr>
                <w:color w:val="000000"/>
              </w:rPr>
              <w:t xml:space="preserve"> (Angélica </w:t>
            </w:r>
            <w:proofErr w:type="spellStart"/>
            <w:r>
              <w:rPr>
                <w:color w:val="000000"/>
              </w:rPr>
              <w:t>Annel</w:t>
            </w:r>
            <w:proofErr w:type="spellEnd"/>
            <w:r>
              <w:rPr>
                <w:color w:val="000000"/>
              </w:rPr>
              <w:t xml:space="preserve"> Neri Villavicencio) </w:t>
            </w:r>
          </w:p>
          <w:p w:rsidR="00C36789" w:rsidRDefault="004F3375">
            <w:pPr>
              <w:numPr>
                <w:ilvl w:val="0"/>
                <w:numId w:val="27"/>
              </w:numPr>
              <w:pBdr>
                <w:top w:val="nil"/>
                <w:left w:val="nil"/>
                <w:bottom w:val="nil"/>
                <w:right w:val="nil"/>
                <w:between w:val="nil"/>
              </w:pBdr>
              <w:tabs>
                <w:tab w:val="left" w:pos="4962"/>
              </w:tabs>
              <w:spacing w:line="360" w:lineRule="auto"/>
              <w:rPr>
                <w:color w:val="000000"/>
              </w:rPr>
            </w:pPr>
            <w:r>
              <w:rPr>
                <w:b/>
                <w:color w:val="000000"/>
              </w:rPr>
              <w:t>Director General de Servicios Públicos</w:t>
            </w:r>
            <w:r>
              <w:rPr>
                <w:color w:val="000000"/>
              </w:rPr>
              <w:t xml:space="preserve"> (Gustavo Anaya Maya)</w:t>
            </w:r>
          </w:p>
          <w:p w:rsidR="00C36789" w:rsidRDefault="004F3375">
            <w:pPr>
              <w:numPr>
                <w:ilvl w:val="0"/>
                <w:numId w:val="27"/>
              </w:numPr>
              <w:pBdr>
                <w:top w:val="nil"/>
                <w:left w:val="nil"/>
                <w:bottom w:val="nil"/>
                <w:right w:val="nil"/>
                <w:between w:val="nil"/>
              </w:pBdr>
              <w:tabs>
                <w:tab w:val="left" w:pos="4962"/>
              </w:tabs>
              <w:spacing w:line="360" w:lineRule="auto"/>
              <w:rPr>
                <w:color w:val="000000"/>
              </w:rPr>
            </w:pPr>
            <w:r>
              <w:rPr>
                <w:b/>
                <w:color w:val="000000"/>
              </w:rPr>
              <w:t>Director General de Innovación, Planeación y Gestión Urbana</w:t>
            </w:r>
            <w:r>
              <w:rPr>
                <w:color w:val="000000"/>
              </w:rPr>
              <w:t xml:space="preserve"> (</w:t>
            </w:r>
            <w:proofErr w:type="spellStart"/>
            <w:r>
              <w:rPr>
                <w:color w:val="000000"/>
              </w:rPr>
              <w:t>Eliud</w:t>
            </w:r>
            <w:proofErr w:type="spellEnd"/>
            <w:r>
              <w:rPr>
                <w:color w:val="000000"/>
              </w:rPr>
              <w:t xml:space="preserve"> Gabriel Medina Peralta) </w:t>
            </w:r>
          </w:p>
          <w:p w:rsidR="00C36789" w:rsidRDefault="004F3375">
            <w:pPr>
              <w:numPr>
                <w:ilvl w:val="0"/>
                <w:numId w:val="27"/>
              </w:numPr>
              <w:pBdr>
                <w:top w:val="nil"/>
                <w:left w:val="nil"/>
                <w:bottom w:val="nil"/>
                <w:right w:val="nil"/>
                <w:between w:val="nil"/>
              </w:pBdr>
              <w:tabs>
                <w:tab w:val="left" w:pos="4962"/>
              </w:tabs>
              <w:spacing w:line="360" w:lineRule="auto"/>
              <w:rPr>
                <w:color w:val="000000"/>
              </w:rPr>
            </w:pPr>
            <w:r>
              <w:rPr>
                <w:b/>
                <w:color w:val="000000"/>
              </w:rPr>
              <w:t>Director General de Obras Públicas</w:t>
            </w:r>
            <w:r>
              <w:rPr>
                <w:color w:val="000000"/>
              </w:rPr>
              <w:t xml:space="preserve"> (Maximino Bueno Gutiérrez) </w:t>
            </w:r>
          </w:p>
          <w:p w:rsidR="00C36789" w:rsidRDefault="004F3375">
            <w:pPr>
              <w:numPr>
                <w:ilvl w:val="0"/>
                <w:numId w:val="27"/>
              </w:numPr>
              <w:pBdr>
                <w:top w:val="nil"/>
                <w:left w:val="nil"/>
                <w:bottom w:val="nil"/>
                <w:right w:val="nil"/>
                <w:between w:val="nil"/>
              </w:pBdr>
              <w:tabs>
                <w:tab w:val="left" w:pos="4962"/>
              </w:tabs>
              <w:spacing w:line="360" w:lineRule="auto"/>
              <w:rPr>
                <w:color w:val="000000"/>
              </w:rPr>
            </w:pPr>
            <w:r>
              <w:rPr>
                <w:b/>
                <w:color w:val="000000"/>
              </w:rPr>
              <w:t xml:space="preserve">Directora General de Desarrollo Económico </w:t>
            </w:r>
            <w:r>
              <w:rPr>
                <w:color w:val="000000"/>
              </w:rPr>
              <w:t xml:space="preserve">(Ana Yolanda Esquivel Jaramillo) </w:t>
            </w:r>
          </w:p>
          <w:p w:rsidR="00C36789" w:rsidRDefault="004F3375">
            <w:pPr>
              <w:numPr>
                <w:ilvl w:val="0"/>
                <w:numId w:val="27"/>
              </w:numPr>
              <w:pBdr>
                <w:top w:val="nil"/>
                <w:left w:val="nil"/>
                <w:bottom w:val="nil"/>
                <w:right w:val="nil"/>
                <w:between w:val="nil"/>
              </w:pBdr>
              <w:tabs>
                <w:tab w:val="left" w:pos="4962"/>
              </w:tabs>
              <w:spacing w:line="360" w:lineRule="auto"/>
              <w:rPr>
                <w:color w:val="000000"/>
              </w:rPr>
            </w:pPr>
            <w:r>
              <w:rPr>
                <w:b/>
                <w:color w:val="000000"/>
              </w:rPr>
              <w:t>Directora General de Bienestar</w:t>
            </w:r>
            <w:r>
              <w:rPr>
                <w:color w:val="000000"/>
              </w:rPr>
              <w:t xml:space="preserve"> (Andrea Ma. del Rocío Merlos Nájera) </w:t>
            </w:r>
          </w:p>
          <w:p w:rsidR="00C36789" w:rsidRDefault="004F3375">
            <w:pPr>
              <w:numPr>
                <w:ilvl w:val="0"/>
                <w:numId w:val="27"/>
              </w:numPr>
              <w:pBdr>
                <w:top w:val="nil"/>
                <w:left w:val="nil"/>
                <w:bottom w:val="nil"/>
                <w:right w:val="nil"/>
                <w:between w:val="nil"/>
              </w:pBdr>
              <w:tabs>
                <w:tab w:val="left" w:pos="4962"/>
              </w:tabs>
              <w:spacing w:line="360" w:lineRule="auto"/>
              <w:rPr>
                <w:color w:val="000000"/>
              </w:rPr>
            </w:pPr>
            <w:r>
              <w:rPr>
                <w:b/>
                <w:color w:val="000000"/>
              </w:rPr>
              <w:t>Director General del Sistema Municipal para el Desarrollo Integral de la Familia de Toluca</w:t>
            </w:r>
            <w:r>
              <w:rPr>
                <w:color w:val="000000"/>
              </w:rPr>
              <w:t xml:space="preserve"> (Jesús Ramírez Saucedo) </w:t>
            </w:r>
          </w:p>
          <w:p w:rsidR="00C36789" w:rsidRDefault="004F3375">
            <w:pPr>
              <w:numPr>
                <w:ilvl w:val="0"/>
                <w:numId w:val="27"/>
              </w:numPr>
              <w:pBdr>
                <w:top w:val="nil"/>
                <w:left w:val="nil"/>
                <w:bottom w:val="nil"/>
                <w:right w:val="nil"/>
                <w:between w:val="nil"/>
              </w:pBdr>
              <w:tabs>
                <w:tab w:val="left" w:pos="4962"/>
              </w:tabs>
              <w:spacing w:line="360" w:lineRule="auto"/>
              <w:rPr>
                <w:color w:val="000000"/>
              </w:rPr>
            </w:pPr>
            <w:r>
              <w:rPr>
                <w:b/>
                <w:color w:val="000000"/>
              </w:rPr>
              <w:t>Titular del Instituto Municipal de Cultura Física y Deporte de Toluca</w:t>
            </w:r>
            <w:r>
              <w:rPr>
                <w:color w:val="000000"/>
              </w:rPr>
              <w:t xml:space="preserve"> (Berenice Castro Plaza) </w:t>
            </w:r>
          </w:p>
          <w:p w:rsidR="00C36789" w:rsidRDefault="004F3375">
            <w:pPr>
              <w:numPr>
                <w:ilvl w:val="0"/>
                <w:numId w:val="27"/>
              </w:numPr>
              <w:pBdr>
                <w:top w:val="nil"/>
                <w:left w:val="nil"/>
                <w:bottom w:val="nil"/>
                <w:right w:val="nil"/>
                <w:between w:val="nil"/>
              </w:pBdr>
              <w:tabs>
                <w:tab w:val="left" w:pos="4962"/>
              </w:tabs>
              <w:spacing w:line="360" w:lineRule="auto"/>
              <w:rPr>
                <w:color w:val="000000"/>
              </w:rPr>
            </w:pPr>
            <w:r>
              <w:rPr>
                <w:b/>
                <w:color w:val="000000"/>
              </w:rPr>
              <w:t>Titular del Organismo Público de Agua y Saneamiento de Toluca</w:t>
            </w:r>
            <w:r>
              <w:rPr>
                <w:color w:val="000000"/>
              </w:rPr>
              <w:t xml:space="preserve"> (Alberto </w:t>
            </w:r>
            <w:proofErr w:type="spellStart"/>
            <w:r>
              <w:rPr>
                <w:color w:val="000000"/>
              </w:rPr>
              <w:t>Issac</w:t>
            </w:r>
            <w:proofErr w:type="spellEnd"/>
            <w:r>
              <w:rPr>
                <w:color w:val="000000"/>
              </w:rPr>
              <w:t xml:space="preserve"> Valdés Ramírez) </w:t>
            </w:r>
          </w:p>
          <w:p w:rsidR="00C36789" w:rsidRDefault="004F3375">
            <w:pPr>
              <w:numPr>
                <w:ilvl w:val="0"/>
                <w:numId w:val="27"/>
              </w:numPr>
              <w:pBdr>
                <w:top w:val="nil"/>
                <w:left w:val="nil"/>
                <w:bottom w:val="nil"/>
                <w:right w:val="nil"/>
                <w:between w:val="nil"/>
              </w:pBdr>
              <w:tabs>
                <w:tab w:val="left" w:pos="4962"/>
              </w:tabs>
              <w:spacing w:after="160" w:line="360" w:lineRule="auto"/>
              <w:rPr>
                <w:color w:val="000000"/>
              </w:rPr>
            </w:pPr>
            <w:r>
              <w:rPr>
                <w:b/>
                <w:color w:val="000000"/>
              </w:rPr>
              <w:lastRenderedPageBreak/>
              <w:t>Titular del Instituto Municipal de la Mujer de Toluca</w:t>
            </w:r>
            <w:r>
              <w:rPr>
                <w:color w:val="000000"/>
              </w:rPr>
              <w:t xml:space="preserve"> (</w:t>
            </w:r>
            <w:proofErr w:type="spellStart"/>
            <w:r>
              <w:rPr>
                <w:color w:val="000000"/>
              </w:rPr>
              <w:t>Celfa</w:t>
            </w:r>
            <w:proofErr w:type="spellEnd"/>
            <w:r>
              <w:rPr>
                <w:color w:val="000000"/>
              </w:rPr>
              <w:t xml:space="preserve"> Vázquez González) </w:t>
            </w:r>
          </w:p>
          <w:p w:rsidR="00C36789" w:rsidRDefault="00C36789">
            <w:pPr>
              <w:tabs>
                <w:tab w:val="left" w:pos="4962"/>
              </w:tabs>
              <w:spacing w:line="360" w:lineRule="auto"/>
            </w:pPr>
          </w:p>
        </w:tc>
      </w:tr>
    </w:tbl>
    <w:p w:rsidR="00C36789" w:rsidRDefault="00C36789">
      <w:pPr>
        <w:tabs>
          <w:tab w:val="left" w:pos="4962"/>
        </w:tabs>
        <w:spacing w:after="0" w:line="360" w:lineRule="auto"/>
      </w:pPr>
    </w:p>
    <w:p w:rsidR="00C36789" w:rsidRDefault="004F3375">
      <w:pPr>
        <w:tabs>
          <w:tab w:val="left" w:pos="4962"/>
        </w:tabs>
        <w:spacing w:after="0" w:line="360" w:lineRule="auto"/>
      </w:pPr>
      <w:r>
        <w:t xml:space="preserve">Conforme a lo anterior, se logra vislumbrara que, si bien el Sujeto Obligado entregó diversos nombramientos, éstos no corresponden con los servidores públicos que tomaron protesta durante la Primera Sesión Ordinaria de Cabildo 2025, del primero de enero de dos mil veinticinco, por lo que resulta </w:t>
      </w:r>
      <w:r>
        <w:rPr>
          <w:b/>
        </w:rPr>
        <w:t>incongruente.</w:t>
      </w:r>
      <w:r>
        <w:t xml:space="preserve"> </w:t>
      </w:r>
    </w:p>
    <w:p w:rsidR="00C36789" w:rsidRDefault="00C36789">
      <w:pPr>
        <w:tabs>
          <w:tab w:val="left" w:pos="4962"/>
        </w:tabs>
        <w:spacing w:after="0" w:line="360" w:lineRule="auto"/>
      </w:pPr>
    </w:p>
    <w:p w:rsidR="00C36789" w:rsidRDefault="004F3375">
      <w:pPr>
        <w:tabs>
          <w:tab w:val="left" w:pos="4962"/>
        </w:tabs>
        <w:spacing w:after="0" w:line="360" w:lineRule="auto"/>
      </w:pPr>
      <w:r>
        <w:t xml:space="preserve">Ahora bien, respecto a los currículums vitae de los servidores públicos que ingresaron del primero de enero al cinco de febrero de dos mil veinticinco y de los Comandantes de Seguridad Pública, cabe precisar que si bien el Sujeto Obligado, proporcionó las fichas curriculares del personal que ingresó en el periodo referido correspondiente a las áreas de la Dirección General de Seguridad y Protección, Coordinación Administrativa, </w:t>
      </w:r>
      <w:r>
        <w:rPr>
          <w:u w:val="single"/>
        </w:rPr>
        <w:t>Dirección de Inteligencia</w:t>
      </w:r>
      <w:r>
        <w:t xml:space="preserve">, </w:t>
      </w:r>
      <w:r>
        <w:rPr>
          <w:u w:val="single"/>
        </w:rPr>
        <w:t>Departamento Jurídico y Consultivo</w:t>
      </w:r>
      <w:r>
        <w:t xml:space="preserve"> de la Dirección Jurídica de la Dirección </w:t>
      </w:r>
      <w:r>
        <w:lastRenderedPageBreak/>
        <w:t xml:space="preserve">General de Seguridad y Protección, Dirección de </w:t>
      </w:r>
      <w:r>
        <w:rPr>
          <w:u w:val="single"/>
        </w:rPr>
        <w:t>Prevención Comunitaria</w:t>
      </w:r>
      <w:r>
        <w:t xml:space="preserve"> y la </w:t>
      </w:r>
      <w:r>
        <w:rPr>
          <w:u w:val="single"/>
        </w:rPr>
        <w:t>Coordinación de Protección Civil y Bomberos</w:t>
      </w:r>
      <w:r>
        <w:t xml:space="preserve">,, mientras que de los Comandantes de Seguridad Pública y Seguridad omitió manifestarse, al respecto, los artículos 3.2, 3.14 y 3.30, del Código Reglamentario del Municipio de Toluca 2025, precisan que para la administración de los diversos asuntos, el Ayuntamiento se auxiliará de diversas dependencias, de conformidad con lo siguiente: </w:t>
      </w:r>
    </w:p>
    <w:p w:rsidR="00C36789" w:rsidRDefault="00C36789">
      <w:pPr>
        <w:tabs>
          <w:tab w:val="left" w:pos="4962"/>
        </w:tabs>
        <w:spacing w:after="0" w:line="360" w:lineRule="auto"/>
        <w:rPr>
          <w:b/>
        </w:rPr>
      </w:pPr>
    </w:p>
    <w:p w:rsidR="00C36789" w:rsidRDefault="004F3375">
      <w:pPr>
        <w:numPr>
          <w:ilvl w:val="0"/>
          <w:numId w:val="3"/>
        </w:numPr>
        <w:pBdr>
          <w:top w:val="nil"/>
          <w:left w:val="nil"/>
          <w:bottom w:val="nil"/>
          <w:right w:val="nil"/>
          <w:between w:val="nil"/>
        </w:pBdr>
        <w:tabs>
          <w:tab w:val="left" w:pos="4962"/>
        </w:tabs>
        <w:spacing w:after="0" w:line="360" w:lineRule="auto"/>
        <w:rPr>
          <w:b/>
          <w:color w:val="000000"/>
        </w:rPr>
      </w:pPr>
      <w:r>
        <w:rPr>
          <w:b/>
          <w:color w:val="000000"/>
        </w:rPr>
        <w:t>Dependencias:</w:t>
      </w:r>
    </w:p>
    <w:p w:rsidR="00C36789" w:rsidRDefault="004F3375">
      <w:pPr>
        <w:numPr>
          <w:ilvl w:val="0"/>
          <w:numId w:val="4"/>
        </w:numPr>
        <w:pBdr>
          <w:top w:val="nil"/>
          <w:left w:val="nil"/>
          <w:bottom w:val="nil"/>
          <w:right w:val="nil"/>
          <w:between w:val="nil"/>
        </w:pBdr>
        <w:tabs>
          <w:tab w:val="left" w:pos="4962"/>
        </w:tabs>
        <w:spacing w:after="0" w:line="360" w:lineRule="auto"/>
      </w:pPr>
      <w:r>
        <w:rPr>
          <w:color w:val="000000"/>
        </w:rPr>
        <w:t xml:space="preserve">Secretaría del Ayuntamiento; </w:t>
      </w:r>
    </w:p>
    <w:p w:rsidR="00C36789" w:rsidRDefault="004F3375">
      <w:pPr>
        <w:numPr>
          <w:ilvl w:val="0"/>
          <w:numId w:val="4"/>
        </w:numPr>
        <w:pBdr>
          <w:top w:val="nil"/>
          <w:left w:val="nil"/>
          <w:bottom w:val="nil"/>
          <w:right w:val="nil"/>
          <w:between w:val="nil"/>
        </w:pBdr>
        <w:tabs>
          <w:tab w:val="left" w:pos="4962"/>
        </w:tabs>
        <w:spacing w:after="0" w:line="360" w:lineRule="auto"/>
      </w:pPr>
      <w:r>
        <w:rPr>
          <w:color w:val="000000"/>
        </w:rPr>
        <w:t>Tesorería Municipal;</w:t>
      </w:r>
    </w:p>
    <w:p w:rsidR="00C36789" w:rsidRDefault="004F3375">
      <w:pPr>
        <w:numPr>
          <w:ilvl w:val="0"/>
          <w:numId w:val="4"/>
        </w:numPr>
        <w:pBdr>
          <w:top w:val="nil"/>
          <w:left w:val="nil"/>
          <w:bottom w:val="nil"/>
          <w:right w:val="nil"/>
          <w:between w:val="nil"/>
        </w:pBdr>
        <w:tabs>
          <w:tab w:val="left" w:pos="4962"/>
        </w:tabs>
        <w:spacing w:after="0" w:line="360" w:lineRule="auto"/>
      </w:pPr>
      <w:r>
        <w:rPr>
          <w:color w:val="000000"/>
        </w:rPr>
        <w:t xml:space="preserve">Órgano Interno de Control Municipal; </w:t>
      </w:r>
    </w:p>
    <w:p w:rsidR="00C36789" w:rsidRDefault="004F3375">
      <w:pPr>
        <w:numPr>
          <w:ilvl w:val="0"/>
          <w:numId w:val="4"/>
        </w:numPr>
        <w:pBdr>
          <w:top w:val="nil"/>
          <w:left w:val="nil"/>
          <w:bottom w:val="nil"/>
          <w:right w:val="nil"/>
          <w:between w:val="nil"/>
        </w:pBdr>
        <w:tabs>
          <w:tab w:val="left" w:pos="4962"/>
        </w:tabs>
        <w:spacing w:after="0" w:line="360" w:lineRule="auto"/>
      </w:pPr>
      <w:r>
        <w:rPr>
          <w:color w:val="000000"/>
        </w:rPr>
        <w:t xml:space="preserve">Dirección General de Gobierno; </w:t>
      </w:r>
    </w:p>
    <w:p w:rsidR="00C36789" w:rsidRDefault="004F3375">
      <w:pPr>
        <w:numPr>
          <w:ilvl w:val="0"/>
          <w:numId w:val="4"/>
        </w:numPr>
        <w:pBdr>
          <w:top w:val="nil"/>
          <w:left w:val="nil"/>
          <w:bottom w:val="nil"/>
          <w:right w:val="nil"/>
          <w:between w:val="nil"/>
        </w:pBdr>
        <w:tabs>
          <w:tab w:val="left" w:pos="4962"/>
        </w:tabs>
        <w:spacing w:after="0" w:line="360" w:lineRule="auto"/>
      </w:pPr>
      <w:r>
        <w:rPr>
          <w:color w:val="000000"/>
        </w:rPr>
        <w:t>Dirección General de Seguridad y Protección;</w:t>
      </w:r>
    </w:p>
    <w:p w:rsidR="00C36789" w:rsidRDefault="004F3375">
      <w:pPr>
        <w:numPr>
          <w:ilvl w:val="0"/>
          <w:numId w:val="4"/>
        </w:numPr>
        <w:pBdr>
          <w:top w:val="nil"/>
          <w:left w:val="nil"/>
          <w:bottom w:val="nil"/>
          <w:right w:val="nil"/>
          <w:between w:val="nil"/>
        </w:pBdr>
        <w:tabs>
          <w:tab w:val="left" w:pos="4962"/>
        </w:tabs>
        <w:spacing w:after="0" w:line="360" w:lineRule="auto"/>
      </w:pPr>
      <w:r>
        <w:rPr>
          <w:color w:val="000000"/>
        </w:rPr>
        <w:t>Dirección General de Administración;</w:t>
      </w:r>
    </w:p>
    <w:p w:rsidR="00C36789" w:rsidRDefault="004F3375">
      <w:pPr>
        <w:numPr>
          <w:ilvl w:val="0"/>
          <w:numId w:val="4"/>
        </w:numPr>
        <w:pBdr>
          <w:top w:val="nil"/>
          <w:left w:val="nil"/>
          <w:bottom w:val="nil"/>
          <w:right w:val="nil"/>
          <w:between w:val="nil"/>
        </w:pBdr>
        <w:tabs>
          <w:tab w:val="left" w:pos="4962"/>
        </w:tabs>
        <w:spacing w:after="0" w:line="360" w:lineRule="auto"/>
      </w:pPr>
      <w:r>
        <w:rPr>
          <w:color w:val="000000"/>
        </w:rPr>
        <w:t xml:space="preserve">Dirección General de Medio Ambiente; </w:t>
      </w:r>
    </w:p>
    <w:p w:rsidR="00C36789" w:rsidRDefault="004F3375">
      <w:pPr>
        <w:numPr>
          <w:ilvl w:val="0"/>
          <w:numId w:val="4"/>
        </w:numPr>
        <w:pBdr>
          <w:top w:val="nil"/>
          <w:left w:val="nil"/>
          <w:bottom w:val="nil"/>
          <w:right w:val="nil"/>
          <w:between w:val="nil"/>
        </w:pBdr>
        <w:tabs>
          <w:tab w:val="left" w:pos="4962"/>
        </w:tabs>
        <w:spacing w:after="0" w:line="360" w:lineRule="auto"/>
      </w:pPr>
      <w:r>
        <w:rPr>
          <w:color w:val="000000"/>
        </w:rPr>
        <w:t xml:space="preserve">Dirección General de Servicios Públicos; </w:t>
      </w:r>
    </w:p>
    <w:p w:rsidR="00C36789" w:rsidRDefault="004F3375">
      <w:pPr>
        <w:numPr>
          <w:ilvl w:val="0"/>
          <w:numId w:val="4"/>
        </w:numPr>
        <w:pBdr>
          <w:top w:val="nil"/>
          <w:left w:val="nil"/>
          <w:bottom w:val="nil"/>
          <w:right w:val="nil"/>
          <w:between w:val="nil"/>
        </w:pBdr>
        <w:tabs>
          <w:tab w:val="left" w:pos="4962"/>
        </w:tabs>
        <w:spacing w:after="0" w:line="360" w:lineRule="auto"/>
      </w:pPr>
      <w:r>
        <w:rPr>
          <w:color w:val="000000"/>
        </w:rPr>
        <w:t xml:space="preserve">Dirección General de Innovación, Planeación y Gestión Urbana; </w:t>
      </w:r>
    </w:p>
    <w:p w:rsidR="00C36789" w:rsidRDefault="004F3375">
      <w:pPr>
        <w:numPr>
          <w:ilvl w:val="0"/>
          <w:numId w:val="4"/>
        </w:numPr>
        <w:pBdr>
          <w:top w:val="nil"/>
          <w:left w:val="nil"/>
          <w:bottom w:val="nil"/>
          <w:right w:val="nil"/>
          <w:between w:val="nil"/>
        </w:pBdr>
        <w:tabs>
          <w:tab w:val="left" w:pos="4962"/>
        </w:tabs>
        <w:spacing w:after="0" w:line="360" w:lineRule="auto"/>
      </w:pPr>
      <w:r>
        <w:rPr>
          <w:color w:val="000000"/>
        </w:rPr>
        <w:t xml:space="preserve">Dirección General de Obras Públicas; </w:t>
      </w:r>
    </w:p>
    <w:p w:rsidR="00C36789" w:rsidRDefault="004F3375">
      <w:pPr>
        <w:numPr>
          <w:ilvl w:val="0"/>
          <w:numId w:val="4"/>
        </w:numPr>
        <w:pBdr>
          <w:top w:val="nil"/>
          <w:left w:val="nil"/>
          <w:bottom w:val="nil"/>
          <w:right w:val="nil"/>
          <w:between w:val="nil"/>
        </w:pBdr>
        <w:tabs>
          <w:tab w:val="left" w:pos="4962"/>
        </w:tabs>
        <w:spacing w:after="0" w:line="360" w:lineRule="auto"/>
      </w:pPr>
      <w:r>
        <w:rPr>
          <w:color w:val="000000"/>
        </w:rPr>
        <w:t xml:space="preserve">Dirección General de Desarrollo Económico; </w:t>
      </w:r>
    </w:p>
    <w:p w:rsidR="00C36789" w:rsidRDefault="004F3375">
      <w:pPr>
        <w:numPr>
          <w:ilvl w:val="0"/>
          <w:numId w:val="4"/>
        </w:numPr>
        <w:pBdr>
          <w:top w:val="nil"/>
          <w:left w:val="nil"/>
          <w:bottom w:val="nil"/>
          <w:right w:val="nil"/>
          <w:between w:val="nil"/>
        </w:pBdr>
        <w:tabs>
          <w:tab w:val="left" w:pos="4962"/>
        </w:tabs>
        <w:spacing w:after="0" w:line="360" w:lineRule="auto"/>
      </w:pPr>
      <w:r>
        <w:rPr>
          <w:color w:val="000000"/>
        </w:rPr>
        <w:t xml:space="preserve">Dirección General de Bienestar; y </w:t>
      </w:r>
    </w:p>
    <w:p w:rsidR="00C36789" w:rsidRDefault="004F3375">
      <w:pPr>
        <w:numPr>
          <w:ilvl w:val="0"/>
          <w:numId w:val="4"/>
        </w:numPr>
        <w:pBdr>
          <w:top w:val="nil"/>
          <w:left w:val="nil"/>
          <w:bottom w:val="nil"/>
          <w:right w:val="nil"/>
          <w:between w:val="nil"/>
        </w:pBdr>
        <w:tabs>
          <w:tab w:val="left" w:pos="4962"/>
        </w:tabs>
        <w:spacing w:after="0" w:line="360" w:lineRule="auto"/>
      </w:pPr>
      <w:r>
        <w:rPr>
          <w:color w:val="000000"/>
        </w:rPr>
        <w:t>Dirección General de Educación, Cultura y Turismo</w:t>
      </w:r>
    </w:p>
    <w:p w:rsidR="00C36789" w:rsidRDefault="004F3375">
      <w:pPr>
        <w:numPr>
          <w:ilvl w:val="0"/>
          <w:numId w:val="3"/>
        </w:numPr>
        <w:pBdr>
          <w:top w:val="nil"/>
          <w:left w:val="nil"/>
          <w:bottom w:val="nil"/>
          <w:right w:val="nil"/>
          <w:between w:val="nil"/>
        </w:pBdr>
        <w:tabs>
          <w:tab w:val="left" w:pos="4962"/>
        </w:tabs>
        <w:spacing w:after="0" w:line="360" w:lineRule="auto"/>
        <w:rPr>
          <w:b/>
          <w:color w:val="000000"/>
        </w:rPr>
      </w:pPr>
      <w:r>
        <w:rPr>
          <w:b/>
          <w:color w:val="000000"/>
        </w:rPr>
        <w:t xml:space="preserve">Organismos Descentralizados: </w:t>
      </w:r>
    </w:p>
    <w:p w:rsidR="00C36789" w:rsidRDefault="004F3375">
      <w:pPr>
        <w:numPr>
          <w:ilvl w:val="0"/>
          <w:numId w:val="5"/>
        </w:numPr>
        <w:pBdr>
          <w:top w:val="nil"/>
          <w:left w:val="nil"/>
          <w:bottom w:val="nil"/>
          <w:right w:val="nil"/>
          <w:between w:val="nil"/>
        </w:pBdr>
        <w:tabs>
          <w:tab w:val="left" w:pos="4962"/>
        </w:tabs>
        <w:spacing w:after="0" w:line="360" w:lineRule="auto"/>
      </w:pPr>
      <w:r>
        <w:rPr>
          <w:color w:val="000000"/>
        </w:rPr>
        <w:t>…</w:t>
      </w:r>
    </w:p>
    <w:p w:rsidR="00C36789" w:rsidRDefault="004F3375">
      <w:pPr>
        <w:numPr>
          <w:ilvl w:val="0"/>
          <w:numId w:val="5"/>
        </w:numPr>
        <w:pBdr>
          <w:top w:val="nil"/>
          <w:left w:val="nil"/>
          <w:bottom w:val="nil"/>
          <w:right w:val="nil"/>
          <w:between w:val="nil"/>
        </w:pBdr>
        <w:tabs>
          <w:tab w:val="left" w:pos="4962"/>
        </w:tabs>
        <w:spacing w:after="0" w:line="360" w:lineRule="auto"/>
      </w:pPr>
      <w:r>
        <w:rPr>
          <w:color w:val="000000"/>
        </w:rPr>
        <w:t>…</w:t>
      </w:r>
    </w:p>
    <w:p w:rsidR="00C36789" w:rsidRDefault="004F3375">
      <w:pPr>
        <w:numPr>
          <w:ilvl w:val="0"/>
          <w:numId w:val="5"/>
        </w:numPr>
        <w:pBdr>
          <w:top w:val="nil"/>
          <w:left w:val="nil"/>
          <w:bottom w:val="nil"/>
          <w:right w:val="nil"/>
          <w:between w:val="nil"/>
        </w:pBdr>
        <w:tabs>
          <w:tab w:val="left" w:pos="4962"/>
        </w:tabs>
        <w:spacing w:after="0" w:line="360" w:lineRule="auto"/>
      </w:pPr>
      <w:r>
        <w:rPr>
          <w:color w:val="000000"/>
        </w:rPr>
        <w:t>Instituto Municipal de la Mujer de Toluca</w:t>
      </w:r>
    </w:p>
    <w:p w:rsidR="00C36789" w:rsidRDefault="004F3375">
      <w:pPr>
        <w:numPr>
          <w:ilvl w:val="0"/>
          <w:numId w:val="5"/>
        </w:numPr>
        <w:pBdr>
          <w:top w:val="nil"/>
          <w:left w:val="nil"/>
          <w:bottom w:val="nil"/>
          <w:right w:val="nil"/>
          <w:between w:val="nil"/>
        </w:pBdr>
        <w:tabs>
          <w:tab w:val="left" w:pos="4962"/>
        </w:tabs>
        <w:spacing w:after="0" w:line="360" w:lineRule="auto"/>
      </w:pPr>
      <w:r>
        <w:rPr>
          <w:color w:val="000000"/>
        </w:rPr>
        <w:t>…</w:t>
      </w:r>
    </w:p>
    <w:p w:rsidR="00C36789" w:rsidRDefault="004F3375">
      <w:pPr>
        <w:numPr>
          <w:ilvl w:val="0"/>
          <w:numId w:val="3"/>
        </w:numPr>
        <w:pBdr>
          <w:top w:val="nil"/>
          <w:left w:val="nil"/>
          <w:bottom w:val="nil"/>
          <w:right w:val="nil"/>
          <w:between w:val="nil"/>
        </w:pBdr>
        <w:tabs>
          <w:tab w:val="left" w:pos="4962"/>
        </w:tabs>
        <w:spacing w:after="0" w:line="360" w:lineRule="auto"/>
        <w:rPr>
          <w:b/>
          <w:color w:val="000000"/>
        </w:rPr>
      </w:pPr>
      <w:r>
        <w:rPr>
          <w:b/>
          <w:color w:val="000000"/>
        </w:rPr>
        <w:lastRenderedPageBreak/>
        <w:t xml:space="preserve">Órgano Autónomo:  </w:t>
      </w:r>
    </w:p>
    <w:p w:rsidR="00C36789" w:rsidRDefault="004F3375">
      <w:pPr>
        <w:numPr>
          <w:ilvl w:val="0"/>
          <w:numId w:val="6"/>
        </w:numPr>
        <w:pBdr>
          <w:top w:val="nil"/>
          <w:left w:val="nil"/>
          <w:bottom w:val="nil"/>
          <w:right w:val="nil"/>
          <w:between w:val="nil"/>
        </w:pBdr>
        <w:tabs>
          <w:tab w:val="left" w:pos="4962"/>
        </w:tabs>
        <w:spacing w:after="0" w:line="360" w:lineRule="auto"/>
      </w:pPr>
      <w:r>
        <w:rPr>
          <w:color w:val="000000"/>
        </w:rPr>
        <w:t xml:space="preserve">Defensoría Municipal de Derechos Humanos </w:t>
      </w:r>
    </w:p>
    <w:p w:rsidR="00C36789" w:rsidRDefault="00C36789">
      <w:pPr>
        <w:pBdr>
          <w:top w:val="nil"/>
          <w:left w:val="nil"/>
          <w:bottom w:val="nil"/>
          <w:right w:val="nil"/>
          <w:between w:val="nil"/>
        </w:pBdr>
        <w:tabs>
          <w:tab w:val="left" w:pos="4962"/>
        </w:tabs>
        <w:spacing w:after="0" w:line="360" w:lineRule="auto"/>
        <w:ind w:left="1440"/>
        <w:rPr>
          <w:color w:val="000000"/>
        </w:rPr>
      </w:pPr>
    </w:p>
    <w:p w:rsidR="00C36789" w:rsidRDefault="004F3375">
      <w:pPr>
        <w:tabs>
          <w:tab w:val="left" w:pos="4962"/>
        </w:tabs>
        <w:spacing w:after="0" w:line="360" w:lineRule="auto"/>
      </w:pPr>
      <w:r>
        <w:t xml:space="preserve">Asimismo, se precisa que para el cumplimiento de las atribuciones de la </w:t>
      </w:r>
      <w:r>
        <w:rPr>
          <w:b/>
          <w:u w:val="single"/>
        </w:rPr>
        <w:t>Secretaria del Ayuntamiento</w:t>
      </w:r>
      <w:r>
        <w:t xml:space="preserve">, se auxiliará de una Coordinación de Apoyo Técnico; una Delegación Administrativa; una Coordinación de Apoyo al Sistema Municipal Anticorrupción; una Consejería Jurídica; un Coordinación de Apoyo a Cabildo; un Departamento de Patrimonio Municipal; un Departamento de Constancias de Vecindad y Certificaciones; una </w:t>
      </w:r>
      <w:proofErr w:type="spellStart"/>
      <w:r>
        <w:t>Preceptoría</w:t>
      </w:r>
      <w:proofErr w:type="spellEnd"/>
      <w:r>
        <w:t xml:space="preserve"> Juvenil Regional de Reintegración Social; una Unidad de Transparencia; una Coordinación de Atención Ciudadana y Correspondencia; </w:t>
      </w:r>
      <w:r>
        <w:rPr>
          <w:b/>
        </w:rPr>
        <w:t xml:space="preserve">una Coordinación de Protección Civil y Bomberos </w:t>
      </w:r>
      <w:r>
        <w:t xml:space="preserve">y las demás Unidades Administrativas necesarias; mientras que la </w:t>
      </w:r>
      <w:r>
        <w:rPr>
          <w:b/>
          <w:u w:val="single"/>
        </w:rPr>
        <w:t>Dirección General de Seguridad y Protección</w:t>
      </w:r>
      <w:r>
        <w:t xml:space="preserve">, se auxiliará de la Delegación Administrativa, una Dirección de Desarrollo Policial, una </w:t>
      </w:r>
      <w:r>
        <w:rPr>
          <w:b/>
        </w:rPr>
        <w:t>Dirección de Prevención Comunitaria</w:t>
      </w:r>
      <w:r>
        <w:t xml:space="preserve">; una Dirección Operativa; una </w:t>
      </w:r>
      <w:r>
        <w:rPr>
          <w:b/>
        </w:rPr>
        <w:t>Dirección de Inteligencia</w:t>
      </w:r>
      <w:r>
        <w:t xml:space="preserve">; una Dirección de Sustentabilidad Vial; una Dirección de Desarrollo Tecnológico; una </w:t>
      </w:r>
      <w:r>
        <w:rPr>
          <w:b/>
        </w:rPr>
        <w:t>Dirección Jurídica</w:t>
      </w:r>
      <w:r>
        <w:t xml:space="preserve"> y las demás necesarias. </w:t>
      </w:r>
    </w:p>
    <w:p w:rsidR="00C36789" w:rsidRDefault="00C36789">
      <w:pPr>
        <w:tabs>
          <w:tab w:val="left" w:pos="4962"/>
        </w:tabs>
        <w:spacing w:after="0" w:line="360" w:lineRule="auto"/>
      </w:pPr>
    </w:p>
    <w:p w:rsidR="00C36789" w:rsidRDefault="004F3375">
      <w:pPr>
        <w:tabs>
          <w:tab w:val="left" w:pos="4962"/>
        </w:tabs>
        <w:spacing w:after="0" w:line="360" w:lineRule="auto"/>
      </w:pPr>
      <w:r>
        <w:t xml:space="preserve"> Así, se logra advertir que el ayuntamiento de Toluca, </w:t>
      </w:r>
      <w:r>
        <w:rPr>
          <w:b/>
        </w:rPr>
        <w:t>únicamente proporcionó parte de la información de algunas de las áreas que integran la Secretaría del Ayuntamiento y la Dirección General de Seguridad y Protección</w:t>
      </w:r>
      <w:r>
        <w:t xml:space="preserve">, al proporcionar las fichas curriculares de los servidores públicos que ingresaron del primero de enero al cinco de febrero de dos mil veinticinco de la Dirección General de Seguridad y Protección, Coordinación Administrativa, Dirección de Inteligencia, Departamento Jurídico y Consultivo de la Dirección Jurídica de la Dirección General de Seguridad y Protección, Dirección de Prevención Comunitaria y la Coordinación de Protección Civil y Bomberos, no obstante las demás áreas que integran el Ayuntamiento de Toluca omitieron pronunciarse. </w:t>
      </w:r>
    </w:p>
    <w:p w:rsidR="00C36789" w:rsidRDefault="00C36789">
      <w:pPr>
        <w:tabs>
          <w:tab w:val="left" w:pos="4962"/>
        </w:tabs>
        <w:spacing w:after="0" w:line="360" w:lineRule="auto"/>
      </w:pPr>
    </w:p>
    <w:p w:rsidR="00C36789" w:rsidRDefault="004F3375">
      <w:pPr>
        <w:tabs>
          <w:tab w:val="center" w:pos="4522"/>
        </w:tabs>
        <w:spacing w:after="0" w:line="360" w:lineRule="auto"/>
        <w:rPr>
          <w:color w:val="000000"/>
        </w:rPr>
      </w:pPr>
      <w:r>
        <w:lastRenderedPageBreak/>
        <w:t xml:space="preserve">Conforme a lo expuesto, se logra vislumbrara que la respuesta del Sujeto Obligado carece de congruencia y exhaustividad, pues por una parte no proporcionó los nombramientos de los servidores públicos que tomaron protesta  el primero de enero de dos mil veinticinco (conforme a lo referido en párrafos que anteriores) y por la otra omitió entregar todos los currículums vitae de los servidores públicos que ingresaron al Ayuntamiento de Toluca, del primero de enero al cinco de febrero de dos mil veinticinco (situación que se robustece pues no entregó los currículum de los servidores públicos que tomaron protesta el primero de enero de dos mil veinticinco y no hubo un pronunciamiento especifico de todas las áreas que integral al Ayuntamiento) y omitió pronunciarse de los currículos de los Comandantes de Seguridad Pública y Vialidad; </w:t>
      </w:r>
      <w:r>
        <w:rPr>
          <w:color w:val="000000"/>
        </w:rPr>
        <w:t>sobre el tema el artículo 1.8, fracciones IV y XIII, del Código Administrativo del Estado de México, establece que para que tenga validez, todo acto administrativo deberá resolver todos los puntos propuestos por los interesados, además deberá guardar congruencia con lo solicitado</w:t>
      </w:r>
    </w:p>
    <w:p w:rsidR="00C36789" w:rsidRDefault="00C36789">
      <w:pPr>
        <w:tabs>
          <w:tab w:val="center" w:pos="4522"/>
        </w:tabs>
        <w:spacing w:after="0" w:line="360" w:lineRule="auto"/>
        <w:rPr>
          <w:color w:val="000000"/>
        </w:rPr>
      </w:pPr>
    </w:p>
    <w:p w:rsidR="00C36789" w:rsidRDefault="004F3375">
      <w:pPr>
        <w:spacing w:after="0" w:line="360" w:lineRule="auto"/>
        <w:ind w:right="-28"/>
      </w:pPr>
      <w:r>
        <w:t xml:space="preserve">Sobre el tema, el artículo 1.8, fracciones IV y XIII, del Código Administrativo del Estado de México, establece que para que tenga validez, todo acto administrativo deberá resolver todos los puntos propuestos por los interesados, además deberá guardar congruencia con lo solicitado. Situación que se robustece, con el Criterio de Interpretación, con clave de control SO/002/2017, de la Segunda Época, emitido por el Instituto Nacional de Transparencia, Acceso a la Información y Protección de Datos Personales, que establece que todo acto administrativo debe apegarse al </w:t>
      </w:r>
      <w:r>
        <w:rPr>
          <w:b/>
        </w:rPr>
        <w:t>principio de congruencia y exhaustividad</w:t>
      </w:r>
      <w:r>
        <w:t xml:space="preserve">, entendiendo por éstos que se pronuncie expresamente sobre cada uno de los puntos requeridos y que existe concordancia entre el requerimiento formulado y la respuesta entregada, lo cual en materia de transparencia y acceso a la información pública se traduce en que, las respuestas que emitan los sujetos obligados, deben guardar una relación lógica con lo solicitado, analizando </w:t>
      </w:r>
      <w:r>
        <w:lastRenderedPageBreak/>
        <w:t>y decidiendo –de marea íntegra- sobre todos los puntos requeridos, a fin de satisfacer la solicitud correspondiente.</w:t>
      </w:r>
    </w:p>
    <w:p w:rsidR="00C36789" w:rsidRDefault="00C36789">
      <w:pPr>
        <w:spacing w:after="0" w:line="360" w:lineRule="auto"/>
        <w:ind w:right="-28"/>
      </w:pPr>
    </w:p>
    <w:p w:rsidR="00C36789" w:rsidRDefault="004F3375">
      <w:pPr>
        <w:spacing w:after="0" w:line="360" w:lineRule="auto"/>
        <w:ind w:right="-28"/>
      </w:pPr>
      <w:r>
        <w:t xml:space="preserve">Conforme a lo anterior, se logra vislumbrar por una parte, que el Sujeto Obligado no fue congruente al proporcionar los nombramientos de los servidores públicos que tomaron protesta el primero de enero de dos mil veinticinco, y por la otra, sólo la Secretaría del Ayuntamiento y la Dirección General de Seguridad y Protección proporcionaron las fichas curriculares de los servidores públicos que ingresaron al Ayuntamiento de Toluca, del primero de enero al cinco de febrero de dos mil veinticinco, mientras que las demás áreas del Ayuntamiento omitieron manifestarse, así como de los currículos de los Comandantes de Seguridad Pública y Vialidad.  </w:t>
      </w:r>
    </w:p>
    <w:p w:rsidR="00C36789" w:rsidRDefault="00C36789">
      <w:pPr>
        <w:spacing w:after="0" w:line="360" w:lineRule="auto"/>
        <w:rPr>
          <w:b/>
          <w:color w:val="000000"/>
        </w:rPr>
      </w:pPr>
    </w:p>
    <w:p w:rsidR="00C36789" w:rsidRDefault="004F3375">
      <w:pPr>
        <w:widowControl w:val="0"/>
        <w:spacing w:after="0" w:line="360" w:lineRule="auto"/>
        <w:rPr>
          <w:color w:val="000000"/>
        </w:rPr>
      </w:pPr>
      <w:r>
        <w:rPr>
          <w:color w:val="000000"/>
        </w:rPr>
        <w:t xml:space="preserve">Así, este Instituto considera que para atender el requerimiento de información, el Sujeto Obligado deberá entregar los nombramientos de todos los servidores públicos que tomaron protesta el primero de enero de dos mil veinticinco, los currículums vitae de todos los servidores públicos que ingresaron al Ayuntamiento de Toluca, del primero al cinco de febrero de dos mil veinticinco y los currículums de los Comandantes de Seguridad Pública y vialidad al cinco de febrero de dos mil veinticinco. </w:t>
      </w:r>
    </w:p>
    <w:p w:rsidR="00C36789" w:rsidRDefault="00C36789">
      <w:pPr>
        <w:widowControl w:val="0"/>
        <w:spacing w:after="0" w:line="360" w:lineRule="auto"/>
        <w:rPr>
          <w:color w:val="000000"/>
        </w:rPr>
      </w:pPr>
    </w:p>
    <w:p w:rsidR="00C36789" w:rsidRDefault="004F3375">
      <w:pPr>
        <w:tabs>
          <w:tab w:val="left" w:pos="4962"/>
        </w:tabs>
        <w:spacing w:after="0" w:line="360" w:lineRule="auto"/>
      </w:pPr>
      <w:r>
        <w:rPr>
          <w:color w:val="000000"/>
        </w:rPr>
        <w:t xml:space="preserve">Por otro lado, respecto al </w:t>
      </w:r>
      <w:r>
        <w:rPr>
          <w:b/>
          <w:color w:val="000000"/>
        </w:rPr>
        <w:t>punto 5</w:t>
      </w:r>
      <w:r>
        <w:rPr>
          <w:color w:val="000000"/>
        </w:rPr>
        <w:t xml:space="preserve"> referente al Tabulador de Sueldos al cinco de febrero de dos mil veinticinco, </w:t>
      </w:r>
      <w:r>
        <w:t>es necesario traer a colación el artículo el artículo 147 de la Constitución Política del Estado Libre y Soberano de México, que establece que los trabajadores al servicio del Estado, como los miembros de los Ayuntamientos, recibirán una remuneración adecuada e irrenunciable por el desempeño de su empleo, cargo o comisión, que será determinada en el presupuesto de egresos que corresponda.</w:t>
      </w:r>
    </w:p>
    <w:p w:rsidR="00C36789" w:rsidRDefault="00C36789">
      <w:pPr>
        <w:tabs>
          <w:tab w:val="left" w:pos="4962"/>
        </w:tabs>
        <w:spacing w:after="0" w:line="360" w:lineRule="auto"/>
        <w:rPr>
          <w:color w:val="000000"/>
        </w:rPr>
      </w:pPr>
    </w:p>
    <w:p w:rsidR="00C36789" w:rsidRDefault="004F3375">
      <w:pPr>
        <w:spacing w:after="0" w:line="360" w:lineRule="auto"/>
        <w:rPr>
          <w:color w:val="000000"/>
        </w:rPr>
      </w:pPr>
      <w:r>
        <w:rPr>
          <w:color w:val="000000"/>
        </w:rPr>
        <w:lastRenderedPageBreak/>
        <w:t>En orden de ideas, el artículo 3,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Da la misma manera, el Anexo 4.5 Glosario de Términos, del Manual para la Planeación, Programación y Presupuesto de Egresos Municipal para el ejercicio fiscal dos mil veinticinco, establece que la remuneración es la percepción de un trabajador o retribución monetaria que se da en pago por su servicio o actividad desarrollada.</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 xml:space="preserve">En ese contexto, el artículo 92, fracción VIII, de la Ley de Transparencia y Acceso a la Información Pública del Estado de México y Municipios, establece que los Sujetos Obligados deberán poner a disposición del público de manera permanente y actualizada, las </w:t>
      </w:r>
      <w:r>
        <w:rPr>
          <w:b/>
          <w:color w:val="000000"/>
        </w:rPr>
        <w:t>remuneraciones brutas y netas de todos los servidores públicos</w:t>
      </w:r>
      <w:r>
        <w:rPr>
          <w:color w:val="000000"/>
        </w:rPr>
        <w:t>, que incluya todas las percepciones, entre las cuales, se encuentran los sueldos, prestaciones, gratificaciones, primas, comisiones, dietas, bonos, estímulos, ingresos, entre otros.</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Ahora bien, de conformidad con los Lineamientos, fechas de capacitación y calendarización para la integración y presentación de los Informes Trimestrales Estatales y Municipales del ejercicio fiscal dos mil veinticinco, establece que, los Municipios deberán entregar en su Modulo 4 “Información Administrativa”, el Tabulador de sueldos de manera trimestral, asimismo, del Instructivo de llenado del Módulo 4, el Tabulador de Sueldos es el documento que permite representar los valores monetarios con los que se identifican los importes por concepto de sueldos en términos mensuales, que aplican a un puesto determinado, en función del grupo, grado y nivel, según corresponda, tal y como se muestra en el extracto siguiente:</w:t>
      </w:r>
    </w:p>
    <w:p w:rsidR="00C36789" w:rsidRDefault="00C36789">
      <w:pPr>
        <w:spacing w:after="0" w:line="360" w:lineRule="auto"/>
        <w:rPr>
          <w:color w:val="000000"/>
        </w:rPr>
      </w:pPr>
    </w:p>
    <w:p w:rsidR="00C36789" w:rsidRDefault="004F3375">
      <w:pPr>
        <w:spacing w:after="0" w:line="360" w:lineRule="auto"/>
        <w:jc w:val="center"/>
        <w:rPr>
          <w:color w:val="000000"/>
        </w:rPr>
      </w:pPr>
      <w:r>
        <w:rPr>
          <w:noProof/>
          <w:color w:val="000000"/>
        </w:rPr>
        <w:drawing>
          <wp:inline distT="0" distB="0" distL="0" distR="0">
            <wp:extent cx="5466003" cy="1911356"/>
            <wp:effectExtent l="0" t="0" r="0" b="0"/>
            <wp:docPr id="2038874678" name="image21.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1.png" descr="Tabla&#10;&#10;El contenido generado por IA puede ser incorrecto."/>
                    <pic:cNvPicPr preferRelativeResize="0"/>
                  </pic:nvPicPr>
                  <pic:blipFill>
                    <a:blip r:embed="rId19"/>
                    <a:srcRect/>
                    <a:stretch>
                      <a:fillRect/>
                    </a:stretch>
                  </pic:blipFill>
                  <pic:spPr>
                    <a:xfrm>
                      <a:off x="0" y="0"/>
                      <a:ext cx="5466003" cy="1911356"/>
                    </a:xfrm>
                    <a:prstGeom prst="rect">
                      <a:avLst/>
                    </a:prstGeom>
                    <a:ln/>
                  </pic:spPr>
                </pic:pic>
              </a:graphicData>
            </a:graphic>
          </wp:inline>
        </w:drawing>
      </w:r>
    </w:p>
    <w:p w:rsidR="00C36789" w:rsidRDefault="00C36789">
      <w:pPr>
        <w:spacing w:after="0" w:line="360" w:lineRule="auto"/>
        <w:rPr>
          <w:color w:val="000000"/>
        </w:rPr>
      </w:pPr>
    </w:p>
    <w:p w:rsidR="00C36789" w:rsidRDefault="004F3375">
      <w:pPr>
        <w:spacing w:after="0" w:line="360" w:lineRule="auto"/>
        <w:rPr>
          <w:color w:val="000000"/>
        </w:rPr>
      </w:pPr>
      <w:r>
        <w:rPr>
          <w:color w:val="000000"/>
        </w:rPr>
        <w:t>Ahora bien, de conformidad con el Manual para la Planeación, Programación y Presupuesto de Egresos Municipal, dos mil veinticinco, el Tabulador de Sueldos PbRM-05, contiene el monto total que debe coincidir con el Capítulo 1000 contenido en la Carátula de Presupuesto de Egresos (</w:t>
      </w:r>
      <w:proofErr w:type="spellStart"/>
      <w:r>
        <w:rPr>
          <w:color w:val="000000"/>
        </w:rPr>
        <w:t>PbRM</w:t>
      </w:r>
      <w:proofErr w:type="spellEnd"/>
      <w:r>
        <w:rPr>
          <w:color w:val="000000"/>
        </w:rPr>
        <w:t xml:space="preserve"> 04d), y es un formato vinculado al Proyecto de Presupuesto de Egresos que se promulgará y publicará </w:t>
      </w:r>
      <w:r>
        <w:rPr>
          <w:b/>
          <w:color w:val="000000"/>
          <w:u w:val="single"/>
        </w:rPr>
        <w:t>a más tardar el día 25 de febrero de cada año</w:t>
      </w:r>
      <w:r>
        <w:rPr>
          <w:color w:val="000000"/>
        </w:rPr>
        <w:t xml:space="preserve"> debiendo enviarlo al Órgano Superior de Fiscalización del Estado de México (OSFEM) en la misma fecha, de conformidad con el Acuerdo 3/2025 por el que se emiten los Lineamientos para la integración, envío y recepción electrónica del Paquete Presupuestal Municipal 2025.</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 xml:space="preserve">Conforme a lo anterior, este instituto localizó el Tabulador de Sueldos correspondiente al ejercicio fiscal dos mil veinticinco (consultado en la liga electrónica </w:t>
      </w:r>
      <w:hyperlink r:id="rId20">
        <w:r>
          <w:rPr>
            <w:color w:val="0563C1"/>
            <w:u w:val="single"/>
          </w:rPr>
          <w:t>https://www2.toluca.gob.mx/wp-content/uploads/2025/03/04-Gaceta-25-de-febrero-de-2025.pdf</w:t>
        </w:r>
      </w:hyperlink>
      <w:r>
        <w:rPr>
          <w:color w:val="000000"/>
        </w:rPr>
        <w:t xml:space="preserve">) del cual se logró vislumbrar que se aprobó posteriormente a la fecha de solicitud, es decir, al cinco de febrero de dos mil veinticinco tal como se muestra en la siguiente imagen ilustrativa: </w:t>
      </w:r>
    </w:p>
    <w:p w:rsidR="00C36789" w:rsidRDefault="00C36789">
      <w:pPr>
        <w:spacing w:after="0" w:line="360" w:lineRule="auto"/>
        <w:rPr>
          <w:color w:val="000000"/>
        </w:rPr>
      </w:pPr>
    </w:p>
    <w:p w:rsidR="00C36789" w:rsidRDefault="004F3375">
      <w:pPr>
        <w:spacing w:after="0" w:line="360" w:lineRule="auto"/>
        <w:rPr>
          <w:color w:val="000000"/>
        </w:rPr>
      </w:pPr>
      <w:r>
        <w:rPr>
          <w:noProof/>
          <w:color w:val="000000"/>
        </w:rPr>
        <w:lastRenderedPageBreak/>
        <w:drawing>
          <wp:inline distT="0" distB="0" distL="0" distR="0">
            <wp:extent cx="5671185" cy="3627755"/>
            <wp:effectExtent l="0" t="0" r="0" b="0"/>
            <wp:docPr id="2038874676" name="image10.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0.png" descr="Texto&#10;&#10;El contenido generado por IA puede ser incorrecto."/>
                    <pic:cNvPicPr preferRelativeResize="0"/>
                  </pic:nvPicPr>
                  <pic:blipFill>
                    <a:blip r:embed="rId21"/>
                    <a:srcRect/>
                    <a:stretch>
                      <a:fillRect/>
                    </a:stretch>
                  </pic:blipFill>
                  <pic:spPr>
                    <a:xfrm>
                      <a:off x="0" y="0"/>
                      <a:ext cx="5671185" cy="3627755"/>
                    </a:xfrm>
                    <a:prstGeom prst="rect">
                      <a:avLst/>
                    </a:prstGeom>
                    <a:ln/>
                  </pic:spPr>
                </pic:pic>
              </a:graphicData>
            </a:graphic>
          </wp:inline>
        </w:drawing>
      </w:r>
    </w:p>
    <w:p w:rsidR="00C36789" w:rsidRDefault="00C36789">
      <w:pPr>
        <w:widowControl w:val="0"/>
        <w:spacing w:after="0" w:line="360" w:lineRule="auto"/>
        <w:rPr>
          <w:color w:val="000000"/>
        </w:rPr>
      </w:pPr>
    </w:p>
    <w:p w:rsidR="00C36789" w:rsidRDefault="004F3375">
      <w:pPr>
        <w:tabs>
          <w:tab w:val="left" w:pos="4962"/>
        </w:tabs>
        <w:spacing w:after="0" w:line="360" w:lineRule="auto"/>
      </w:pPr>
      <w:r>
        <w:t>Conforme a lo anterior, se logra vislumbrar que a la Fecha de solicitud no se contaba con el Tabulador de sueldos correspondiente al ejercicio fiscal dos mil veinticinco, sin embargo con el fin de garantizar el derecho de acceso a la información de la persona Recurrente, se ordena al Sujeto Obligado la entrega del Tabulador de Sueldos, vigente al cinco de febrero de dos mil veinticinco.</w:t>
      </w:r>
    </w:p>
    <w:p w:rsidR="00C36789" w:rsidRDefault="00C36789">
      <w:pPr>
        <w:tabs>
          <w:tab w:val="left" w:pos="4962"/>
        </w:tabs>
        <w:spacing w:after="0" w:line="360" w:lineRule="auto"/>
      </w:pPr>
    </w:p>
    <w:p w:rsidR="00C36789" w:rsidRDefault="004F3375">
      <w:pPr>
        <w:tabs>
          <w:tab w:val="left" w:pos="4962"/>
        </w:tabs>
        <w:spacing w:after="0" w:line="360" w:lineRule="auto"/>
      </w:pPr>
      <w:r>
        <w:t xml:space="preserve">Lo anterior toma relevancia, pues en respuesta el Ayuntamiento de Toluca proporcionó el tabulador de sueldos correspondiente al ejercicio fiscal dos mil veintidós, sin embargo, no da cuenta de lo solicitado, pues este Instituto logro advertir que el ocho de abril de dos mil veinticuatro se aprobó el Tabulador de sueldos para el ejercicio fiscal dos mil veinticuatro, tal como se muestra en las siguientes imágenes ilustrativas: </w:t>
      </w:r>
    </w:p>
    <w:p w:rsidR="00C36789" w:rsidRDefault="00C36789">
      <w:pPr>
        <w:tabs>
          <w:tab w:val="left" w:pos="4962"/>
        </w:tabs>
        <w:spacing w:after="0" w:line="360" w:lineRule="auto"/>
      </w:pPr>
    </w:p>
    <w:p w:rsidR="00C36789" w:rsidRDefault="004F3375">
      <w:pPr>
        <w:tabs>
          <w:tab w:val="left" w:pos="4962"/>
        </w:tabs>
        <w:spacing w:after="0" w:line="360" w:lineRule="auto"/>
        <w:jc w:val="center"/>
      </w:pPr>
      <w:r>
        <w:rPr>
          <w:noProof/>
        </w:rPr>
        <w:lastRenderedPageBreak/>
        <w:drawing>
          <wp:inline distT="0" distB="0" distL="0" distR="0">
            <wp:extent cx="4906702" cy="4041944"/>
            <wp:effectExtent l="0" t="0" r="0" b="0"/>
            <wp:docPr id="2038874677" name="image26.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6.png" descr="Tabla&#10;&#10;El contenido generado por IA puede ser incorrecto."/>
                    <pic:cNvPicPr preferRelativeResize="0"/>
                  </pic:nvPicPr>
                  <pic:blipFill>
                    <a:blip r:embed="rId22"/>
                    <a:srcRect/>
                    <a:stretch>
                      <a:fillRect/>
                    </a:stretch>
                  </pic:blipFill>
                  <pic:spPr>
                    <a:xfrm>
                      <a:off x="0" y="0"/>
                      <a:ext cx="4906702" cy="4041944"/>
                    </a:xfrm>
                    <a:prstGeom prst="rect">
                      <a:avLst/>
                    </a:prstGeom>
                    <a:ln/>
                  </pic:spPr>
                </pic:pic>
              </a:graphicData>
            </a:graphic>
          </wp:inline>
        </w:drawing>
      </w:r>
    </w:p>
    <w:p w:rsidR="00C36789" w:rsidRDefault="004F3375">
      <w:pPr>
        <w:tabs>
          <w:tab w:val="left" w:pos="4962"/>
        </w:tabs>
        <w:spacing w:after="0" w:line="360" w:lineRule="auto"/>
        <w:jc w:val="center"/>
      </w:pPr>
      <w:r>
        <w:t>…</w:t>
      </w:r>
    </w:p>
    <w:p w:rsidR="00C36789" w:rsidRDefault="004F3375">
      <w:pPr>
        <w:tabs>
          <w:tab w:val="left" w:pos="4962"/>
        </w:tabs>
        <w:spacing w:after="0" w:line="360" w:lineRule="auto"/>
        <w:jc w:val="center"/>
      </w:pPr>
      <w:r>
        <w:rPr>
          <w:noProof/>
        </w:rPr>
        <w:drawing>
          <wp:inline distT="0" distB="0" distL="0" distR="0">
            <wp:extent cx="5671185" cy="1431925"/>
            <wp:effectExtent l="0" t="0" r="0" b="0"/>
            <wp:docPr id="2038874679" name="image23.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3.png" descr="Tabla&#10;&#10;El contenido generado por IA puede ser incorrecto."/>
                    <pic:cNvPicPr preferRelativeResize="0"/>
                  </pic:nvPicPr>
                  <pic:blipFill>
                    <a:blip r:embed="rId23"/>
                    <a:srcRect/>
                    <a:stretch>
                      <a:fillRect/>
                    </a:stretch>
                  </pic:blipFill>
                  <pic:spPr>
                    <a:xfrm>
                      <a:off x="0" y="0"/>
                      <a:ext cx="5671185" cy="1431925"/>
                    </a:xfrm>
                    <a:prstGeom prst="rect">
                      <a:avLst/>
                    </a:prstGeom>
                    <a:ln/>
                  </pic:spPr>
                </pic:pic>
              </a:graphicData>
            </a:graphic>
          </wp:inline>
        </w:drawing>
      </w:r>
    </w:p>
    <w:p w:rsidR="00C36789" w:rsidRDefault="00C36789">
      <w:pPr>
        <w:tabs>
          <w:tab w:val="left" w:pos="4962"/>
        </w:tabs>
        <w:spacing w:after="0" w:line="360" w:lineRule="auto"/>
      </w:pPr>
    </w:p>
    <w:p w:rsidR="00C36789" w:rsidRDefault="004F3375">
      <w:pPr>
        <w:tabs>
          <w:tab w:val="left" w:pos="4962"/>
        </w:tabs>
        <w:spacing w:after="0" w:line="360" w:lineRule="auto"/>
      </w:pPr>
      <w:r>
        <w:t xml:space="preserve">Así, para atender el requerimiento de información el Ayuntamiento de Toluca deberá entregar el Tabulador </w:t>
      </w:r>
      <w:proofErr w:type="spellStart"/>
      <w:r>
        <w:t>del</w:t>
      </w:r>
      <w:proofErr w:type="spellEnd"/>
      <w:r>
        <w:t xml:space="preserve"> Sueldos al cinco de febrero de dos mil veinticinco.  </w:t>
      </w:r>
    </w:p>
    <w:p w:rsidR="00C36789" w:rsidRDefault="00C36789">
      <w:pPr>
        <w:tabs>
          <w:tab w:val="left" w:pos="4962"/>
        </w:tabs>
        <w:spacing w:after="0" w:line="360" w:lineRule="auto"/>
      </w:pPr>
    </w:p>
    <w:p w:rsidR="00C36789" w:rsidRDefault="00C36789">
      <w:pPr>
        <w:tabs>
          <w:tab w:val="left" w:pos="4962"/>
        </w:tabs>
        <w:spacing w:after="0" w:line="360" w:lineRule="auto"/>
      </w:pPr>
    </w:p>
    <w:p w:rsidR="00C36789" w:rsidRDefault="004F3375">
      <w:pPr>
        <w:tabs>
          <w:tab w:val="left" w:pos="4962"/>
        </w:tabs>
        <w:spacing w:after="0" w:line="360" w:lineRule="auto"/>
      </w:pPr>
      <w:r>
        <w:lastRenderedPageBreak/>
        <w:t xml:space="preserve">Ahora bien, en referencia al punto </w:t>
      </w:r>
      <w:r>
        <w:rPr>
          <w:b/>
        </w:rPr>
        <w:t>número 6</w:t>
      </w:r>
      <w:r>
        <w:t xml:space="preserve"> correspondiente al Organigrama de la Administración Pública Municipal 2025-2027,  es de señalar que conforme a los Lineamientos técnicos generales para la publicación, homologación y estandarización de la información de las obligaciones establecidas en el título quinto y en la fracción IV del artículo 31 de la Ley General de Transparencia y Acceso a la Información Pública, vigente a la fecha de la solicitud, que deben de difundir los sujetos obligados en los portales de Internet y en la Plataforma Nacional de Transparencia, vigente a la fecha de presentación de la solicitud, y la Guía Técnica para la Elaboración de Manuales de Organización, el organigrama es la representación gráfica de la </w:t>
      </w:r>
      <w:r>
        <w:rPr>
          <w:b/>
          <w:u w:val="single"/>
        </w:rPr>
        <w:t>estructura orgánica</w:t>
      </w:r>
      <w:r>
        <w:t xml:space="preserve"> completa de una entidad pública.</w:t>
      </w:r>
    </w:p>
    <w:p w:rsidR="00C36789" w:rsidRDefault="00C36789">
      <w:pPr>
        <w:spacing w:after="0" w:line="360" w:lineRule="auto"/>
      </w:pPr>
    </w:p>
    <w:p w:rsidR="00C36789" w:rsidRDefault="004F3375">
      <w:pPr>
        <w:spacing w:after="0" w:line="360" w:lineRule="auto"/>
      </w:pPr>
      <w:r>
        <w:t>Además, resulta necesario referir que el organigrama corresponde a una obligación común de transparencia, conforme al artículo 92, fracción II, de la Ley de Transparencia y Acceso a la Información Pública del Estado de México y Municipios; situación que se robustece con el Portal de Información Pública de Oficio Mexiquense, que precisa que el Sujeto Obligado deberá publicar dicho documento, tal como se muestra a continuación:</w:t>
      </w:r>
    </w:p>
    <w:p w:rsidR="00C36789" w:rsidRDefault="00C36789">
      <w:pPr>
        <w:spacing w:after="0" w:line="360" w:lineRule="auto"/>
      </w:pPr>
    </w:p>
    <w:p w:rsidR="00C36789" w:rsidRDefault="004F3375">
      <w:pPr>
        <w:spacing w:after="0" w:line="360" w:lineRule="auto"/>
        <w:jc w:val="center"/>
      </w:pPr>
      <w:r>
        <w:rPr>
          <w:noProof/>
        </w:rPr>
        <w:drawing>
          <wp:inline distT="0" distB="0" distL="0" distR="0">
            <wp:extent cx="3674665" cy="3010584"/>
            <wp:effectExtent l="0" t="0" r="0" b="0"/>
            <wp:docPr id="203887468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3674665" cy="3010584"/>
                    </a:xfrm>
                    <a:prstGeom prst="rect">
                      <a:avLst/>
                    </a:prstGeom>
                    <a:ln/>
                  </pic:spPr>
                </pic:pic>
              </a:graphicData>
            </a:graphic>
          </wp:inline>
        </w:drawing>
      </w:r>
    </w:p>
    <w:p w:rsidR="00C36789" w:rsidRDefault="004F3375">
      <w:pPr>
        <w:spacing w:after="0" w:line="360" w:lineRule="auto"/>
      </w:pPr>
      <w:r>
        <w:lastRenderedPageBreak/>
        <w:t xml:space="preserve">Al respecto, cabe precisar que el ayuntamiento de Toluca fue omiso en manifestarse, por lo que para atender este punto de la solicitud el sujeto obligado deberá hacer entrega del Organigrama de la Administración Pública 2025-2027 o el documento donde conste la estructura orgánica de la actual admiración, situación que se robustece pues de la consulta del Acta de la Sesión de Instalación y Primera Sesión Ordinaria de Cabildo de Toluca 2025, referida en párrafos que anteceden, se logró vislumbrar la estructura orgánica para el ayuntamiento de Toluca 2025-2027, tal como se muestra en la siguiente imagen ilustrativa: </w:t>
      </w:r>
    </w:p>
    <w:p w:rsidR="00C36789" w:rsidRDefault="00C36789">
      <w:pPr>
        <w:spacing w:after="0" w:line="360" w:lineRule="auto"/>
      </w:pPr>
    </w:p>
    <w:p w:rsidR="00C36789" w:rsidRDefault="004F3375">
      <w:pPr>
        <w:spacing w:after="0" w:line="360" w:lineRule="auto"/>
        <w:jc w:val="center"/>
      </w:pPr>
      <w:r>
        <w:rPr>
          <w:noProof/>
        </w:rPr>
        <w:drawing>
          <wp:inline distT="0" distB="0" distL="0" distR="0">
            <wp:extent cx="3564196" cy="3327437"/>
            <wp:effectExtent l="0" t="0" r="0" b="0"/>
            <wp:docPr id="203887468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3564196" cy="3327437"/>
                    </a:xfrm>
                    <a:prstGeom prst="rect">
                      <a:avLst/>
                    </a:prstGeom>
                    <a:ln/>
                  </pic:spPr>
                </pic:pic>
              </a:graphicData>
            </a:graphic>
          </wp:inline>
        </w:drawing>
      </w:r>
    </w:p>
    <w:p w:rsidR="00C36789" w:rsidRDefault="00C36789">
      <w:pPr>
        <w:spacing w:after="0" w:line="360" w:lineRule="auto"/>
        <w:jc w:val="center"/>
      </w:pPr>
    </w:p>
    <w:p w:rsidR="00C36789" w:rsidRDefault="004F3375">
      <w:pPr>
        <w:spacing w:after="0" w:line="360" w:lineRule="auto"/>
        <w:rPr>
          <w:b/>
        </w:rPr>
      </w:pPr>
      <w:r>
        <w:t xml:space="preserve">En relación con el </w:t>
      </w:r>
      <w:r>
        <w:rPr>
          <w:b/>
        </w:rPr>
        <w:t>punto 7</w:t>
      </w:r>
      <w:r>
        <w:t xml:space="preserve">, referente a los Manuales de organización y procedimientos de la Administración Pública Municipal 2025-2027, el artículo 86 de la Ley Orgánica Municipal del Estado de México, precisa que para el ejercicio de sus atribuciones y responsabilidades ejecutivas, el </w:t>
      </w:r>
      <w:r>
        <w:rPr>
          <w:b/>
        </w:rPr>
        <w:t>ayuntamiento se auxiliará con las dependencias y entidades de la administración pública municipal,</w:t>
      </w:r>
      <w:r>
        <w:t xml:space="preserve"> que en cada caso acuerde el cabildo a propuesta de la </w:t>
      </w:r>
      <w:r>
        <w:lastRenderedPageBreak/>
        <w:t xml:space="preserve">persona titular de la presidencia municipal, las que estarán subordinadas a esta. </w:t>
      </w:r>
      <w:r>
        <w:rPr>
          <w:b/>
        </w:rPr>
        <w:t xml:space="preserve">Las personas servidoras públicas titulares de las referidas dependencias y entidades de la administración municipal, ejercerán las funciones propias de su competencia y serán responsables por el ejercicio de dichas funciones y atribuciones contenidas en la Ley, sus reglamentos interiores, </w:t>
      </w:r>
      <w:r>
        <w:rPr>
          <w:b/>
          <w:u w:val="single"/>
        </w:rPr>
        <w:t>manuales,</w:t>
      </w:r>
      <w:r>
        <w:rPr>
          <w:b/>
        </w:rPr>
        <w:t xml:space="preserve"> acuerdos, circulares y otras disposiciones legales que tiendan a regular el funcionamiento del Municipio.</w:t>
      </w:r>
    </w:p>
    <w:p w:rsidR="00C36789" w:rsidRDefault="00C36789">
      <w:pPr>
        <w:spacing w:after="0" w:line="360" w:lineRule="auto"/>
        <w:rPr>
          <w:b/>
        </w:rPr>
      </w:pPr>
    </w:p>
    <w:p w:rsidR="00C36789" w:rsidRDefault="004F3375">
      <w:pPr>
        <w:spacing w:after="0" w:line="360" w:lineRule="auto"/>
      </w:pPr>
      <w:r>
        <w:t xml:space="preserve">Asimismo, conforme al artículo 3.8 del Código Reglamentario Municipal de Toluca, en relación con  el Manual de Organización de la Secretaría del Ayuntamiento, precisa que le corresponde a los titulares de las dependencias, elaborar y aplicar en el área a su cargo los Manuales de Organización y Procedimientos, mientras que la Unidad de Información, Planeación, Programación y Evaluación es la encargada de organizar, dirigir, controlar y supervisar la integración y actualización del manual general, manuales de organización y de procedimientos específicos de las dependencias municipales.  </w:t>
      </w:r>
    </w:p>
    <w:p w:rsidR="00C36789" w:rsidRDefault="00C36789">
      <w:pPr>
        <w:spacing w:after="0" w:line="360" w:lineRule="auto"/>
      </w:pPr>
    </w:p>
    <w:p w:rsidR="00C36789" w:rsidRDefault="004F3375">
      <w:pPr>
        <w:spacing w:after="0" w:line="360" w:lineRule="auto"/>
      </w:pPr>
      <w:r>
        <w:t xml:space="preserve">Ahora, cabe precisar que en respuesta la Unidad de Información, Planeación, Programación y Evaluación precisó que los Manuales de Organización y Procedimientos de la Administración Pública Municipal 2025-2027, se encontraban en proceso de integración por lo que una vez que se aprobaran serían publicadas., sin embargo este Instituto localizó en el sistema de Información Pública de Oficio Mexiquense (IPOMEX 4.0) del Ayuntamiento de Toluca, la publicación de los Manuales de Organización  y  Procedimientos vigentes a la fecha de la solicitud tal como se muestra en la siguiente imagen ilustrativa: </w:t>
      </w:r>
    </w:p>
    <w:p w:rsidR="00C36789" w:rsidRDefault="00C36789">
      <w:pPr>
        <w:spacing w:after="0" w:line="360" w:lineRule="auto"/>
      </w:pPr>
    </w:p>
    <w:p w:rsidR="00C36789" w:rsidRDefault="004F3375">
      <w:pPr>
        <w:spacing w:after="0" w:line="360" w:lineRule="auto"/>
        <w:jc w:val="center"/>
      </w:pPr>
      <w:r>
        <w:rPr>
          <w:noProof/>
        </w:rPr>
        <w:lastRenderedPageBreak/>
        <w:drawing>
          <wp:inline distT="0" distB="0" distL="0" distR="0">
            <wp:extent cx="3622699" cy="2555509"/>
            <wp:effectExtent l="0" t="0" r="0" b="0"/>
            <wp:docPr id="203887468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6"/>
                    <a:srcRect/>
                    <a:stretch>
                      <a:fillRect/>
                    </a:stretch>
                  </pic:blipFill>
                  <pic:spPr>
                    <a:xfrm>
                      <a:off x="0" y="0"/>
                      <a:ext cx="3622699" cy="2555509"/>
                    </a:xfrm>
                    <a:prstGeom prst="rect">
                      <a:avLst/>
                    </a:prstGeom>
                    <a:ln/>
                  </pic:spPr>
                </pic:pic>
              </a:graphicData>
            </a:graphic>
          </wp:inline>
        </w:drawing>
      </w:r>
    </w:p>
    <w:p w:rsidR="00C36789" w:rsidRDefault="00C36789">
      <w:pPr>
        <w:spacing w:after="0" w:line="360" w:lineRule="auto"/>
      </w:pPr>
    </w:p>
    <w:p w:rsidR="00C36789" w:rsidRDefault="004F3375">
      <w:pPr>
        <w:spacing w:after="0" w:line="360" w:lineRule="auto"/>
      </w:pPr>
      <w:r>
        <w:t>Conforme a lo anterior, para atender el requerimiento de información deberá entregar los Manuales de Organización y Procedimientos de todas las áreas que integran el Ayuntamiento de Toluca, vigentes al cinco de febrero de dos mil veinticinco.</w:t>
      </w:r>
    </w:p>
    <w:p w:rsidR="00C36789" w:rsidRDefault="00C36789">
      <w:pPr>
        <w:spacing w:after="0" w:line="360" w:lineRule="auto"/>
      </w:pPr>
    </w:p>
    <w:p w:rsidR="00C36789" w:rsidRDefault="004F3375">
      <w:pPr>
        <w:spacing w:after="0" w:line="360" w:lineRule="auto"/>
      </w:pPr>
      <w:r>
        <w:t xml:space="preserve">Por otro lado, en referencia al </w:t>
      </w:r>
      <w:r>
        <w:rPr>
          <w:b/>
        </w:rPr>
        <w:t>punto 8</w:t>
      </w:r>
      <w:r>
        <w:t xml:space="preserve"> correspondiente al monto ingresado por el pago de predial del primero de enero al cinco de febrero de dos mil veinticinco, cabe precisar que conforme al Manual General de Organización del Sector Central de la Administración Pública Municipal vigente, precisa que la Tesorería Municipal tiene el objetivo de recaudar, administrar, operar, registrar y  glosar los recursos que componen la hacienda pública municipal con la finalidad de mantener las fianzas sanas y contar con la suficiencia económica para el cumplimiento de sus funciones y atribuciones.</w:t>
      </w:r>
    </w:p>
    <w:p w:rsidR="00C36789" w:rsidRDefault="00C36789">
      <w:pPr>
        <w:spacing w:after="0" w:line="360" w:lineRule="auto"/>
      </w:pPr>
    </w:p>
    <w:p w:rsidR="00C36789" w:rsidRDefault="004F3375">
      <w:pPr>
        <w:spacing w:after="0" w:line="360" w:lineRule="auto"/>
      </w:pPr>
      <w:r>
        <w:t xml:space="preserve">Ahora bien, de acuerdo con la  Ley de Ingresos de los Municipios del Estado de México para el Ejercicio Fiscal 2025, regula los conceptos por los cuales los ayuntamientos recibirán ingresos, entre las que se encuentran, el predial, tal y como se observa a continuación. </w:t>
      </w:r>
    </w:p>
    <w:p w:rsidR="00C36789" w:rsidRDefault="00C36789">
      <w:pPr>
        <w:spacing w:after="0" w:line="360" w:lineRule="auto"/>
      </w:pPr>
    </w:p>
    <w:p w:rsidR="00C36789" w:rsidRDefault="004F3375">
      <w:pPr>
        <w:spacing w:after="0" w:line="360" w:lineRule="auto"/>
        <w:jc w:val="center"/>
      </w:pPr>
      <w:r>
        <w:rPr>
          <w:noProof/>
        </w:rPr>
        <w:lastRenderedPageBreak/>
        <w:drawing>
          <wp:inline distT="0" distB="0" distL="0" distR="0">
            <wp:extent cx="4744112" cy="2800741"/>
            <wp:effectExtent l="0" t="0" r="0" b="0"/>
            <wp:docPr id="203887468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4744112" cy="2800741"/>
                    </a:xfrm>
                    <a:prstGeom prst="rect">
                      <a:avLst/>
                    </a:prstGeom>
                    <a:ln/>
                  </pic:spPr>
                </pic:pic>
              </a:graphicData>
            </a:graphic>
          </wp:inline>
        </w:drawing>
      </w:r>
    </w:p>
    <w:p w:rsidR="00C36789" w:rsidRDefault="004F3375">
      <w:pPr>
        <w:spacing w:after="0" w:line="360" w:lineRule="auto"/>
      </w:pPr>
      <w:r>
        <w:t xml:space="preserve">Asimismo, conforme a los artículos 93 y 95, fracciones I, V y VI de la Ley Orgánica Municipal del Estado de México, establecen que la Tesorería Municipal, es el órgano responsable de las recaudaciones de los ingresos municipales y responsable de realizar las erogaciones que haga el Ayuntamiento, administrar la hacienda pública municipal y llevar los registros contables, financieros y administrativos de los ingresos, egresos e inventarios. </w:t>
      </w:r>
    </w:p>
    <w:p w:rsidR="00C36789" w:rsidRDefault="004F3375">
      <w:pPr>
        <w:spacing w:after="0" w:line="360" w:lineRule="auto"/>
      </w:pPr>
      <w:r>
        <w:t xml:space="preserve">  </w:t>
      </w:r>
    </w:p>
    <w:p w:rsidR="00C36789" w:rsidRDefault="004F3375">
      <w:pPr>
        <w:spacing w:after="0" w:line="360" w:lineRule="auto"/>
      </w:pPr>
      <w:r>
        <w:t>Al respecto, cabe precisar que en respuesta, la Tesorería Municipal precisó que del periodo comprendido del primero de enero al cinco de febrero de dos mil veinticinco, el monto recaudado por el concepto de Impuesto predial fue de $416, 662, 726.59 (cuatrocientos dieciséis millones seiscientos sesenta y dos mil setecientos veintiséis pesos 59/100 M.N).</w:t>
      </w:r>
    </w:p>
    <w:p w:rsidR="00C36789" w:rsidRDefault="00C36789">
      <w:pPr>
        <w:spacing w:after="0" w:line="360" w:lineRule="auto"/>
      </w:pPr>
    </w:p>
    <w:p w:rsidR="00C36789" w:rsidRDefault="004F3375">
      <w:pPr>
        <w:spacing w:after="0" w:line="360" w:lineRule="auto"/>
      </w:pPr>
      <w:r>
        <w:t xml:space="preserve">En ese sentido, se logra vislumbrar que el Sujeto Obligado proporcionó desde respuesta el documento que contenía la información solicitada; dicha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w:t>
      </w:r>
      <w:r>
        <w:lastRenderedPageBreak/>
        <w:t>que, la entrega no comprende el procesamiento de la misma, ni presentarla conforme al interés del solicitante, además, que tampoco deberá generarla, resumirla, efectuar cálculos o practicar investigaciones.</w:t>
      </w:r>
    </w:p>
    <w:p w:rsidR="00C36789" w:rsidRDefault="00C36789">
      <w:pPr>
        <w:spacing w:after="0" w:line="360" w:lineRule="auto"/>
      </w:pPr>
    </w:p>
    <w:p w:rsidR="00C36789" w:rsidRDefault="004F3375">
      <w:pPr>
        <w:spacing w:after="0" w:line="360" w:lineRule="auto"/>
      </w:pPr>
      <w:r>
        <w:t xml:space="preserve">De esta manera, el derecho de acceso a la información pública se satisface en aquellos casos en que se entregue el soporte documental en el que conste la información solicitada, sin necesidad de elaborar documentos </w:t>
      </w:r>
      <w:r>
        <w:rPr>
          <w:i/>
        </w:rPr>
        <w:t>ad hoc</w:t>
      </w:r>
      <w:r>
        <w:t>; lo cual, de conformidad con en el artículo 160 de la Ley de Transparencia y Acceso a la Información Pública del Estado de México y Municipios, el cual refiere que los sujetos obligados deberán entregar la información que obre en sus archivos.</w:t>
      </w:r>
    </w:p>
    <w:p w:rsidR="00C36789" w:rsidRDefault="00C36789">
      <w:pPr>
        <w:spacing w:after="0" w:line="360" w:lineRule="auto"/>
      </w:pPr>
    </w:p>
    <w:p w:rsidR="00C36789" w:rsidRDefault="004F3375">
      <w:pPr>
        <w:spacing w:after="0" w:line="360" w:lineRule="auto"/>
      </w:pPr>
      <w: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proporcionó el monto que ingresado por el pago de predial del primero de enero al cinco de febrero de dos mil veinticinco. </w:t>
      </w:r>
    </w:p>
    <w:p w:rsidR="00C36789" w:rsidRDefault="00C36789">
      <w:pPr>
        <w:spacing w:after="0" w:line="360" w:lineRule="auto"/>
      </w:pPr>
    </w:p>
    <w:p w:rsidR="00C36789" w:rsidRDefault="004F3375">
      <w:pPr>
        <w:spacing w:after="0" w:line="360" w:lineRule="auto"/>
      </w:pPr>
      <w:r>
        <w:t xml:space="preserve">Ahora bien, en referencia al </w:t>
      </w:r>
      <w:r>
        <w:rPr>
          <w:b/>
        </w:rPr>
        <w:t>punto número 9 y 22</w:t>
      </w:r>
      <w:r>
        <w:t xml:space="preserve">, relacionados con el número de patrullas con las que apoyó el Gobierno del Estado al Ayuntamiento de Toluca, con las evidencias fotográficas y el número de patrullas con las que cuenta actualmente el Ayuntamiento, cabe precisar que conforme al Manual de Organización de la Dirección de Administración, el Departamento de Control Patrimonial es el encargado de registrar y revisar los bienes muebles para mantener integrado y actualizado el Inventario General (bienes, activo biológico y vehicular) del Patrimonio del Ayuntamiento de Toluca, coordinar con el área usuaria el procedimiento administrativo (comodato, donación, dación en pago, etc.) para la incorporación o desincorporación en el inventario general de bienes muebles, así como </w:t>
      </w:r>
      <w:r>
        <w:lastRenderedPageBreak/>
        <w:t xml:space="preserve">registrar en el Padrón de Inventarios del Ayuntamiento los bienes muebles y vehículos de nueva adquisición o aquellos que sean donados y realizar obligatoriamente dos verificaciones al año para llevar a cabo el levantamiento físico de bienes muebles con el propósito de actualizar el inventario de los mismos. </w:t>
      </w:r>
    </w:p>
    <w:p w:rsidR="00C36789" w:rsidRDefault="00C36789">
      <w:pPr>
        <w:spacing w:after="0" w:line="360" w:lineRule="auto"/>
      </w:pPr>
    </w:p>
    <w:p w:rsidR="00C36789" w:rsidRDefault="004F3375">
      <w:pPr>
        <w:spacing w:after="0" w:line="360" w:lineRule="auto"/>
      </w:pPr>
      <w:r>
        <w:t xml:space="preserve">De lo anterior, se colige que el Departamento de Control Patrimonial, tiene la función de coordinar con el área usuaria el procedimiento administrativo (comodato, donación, dación en pago, etc.) para la incorporación, o desincorporación en el inventario general de bienes muebles. </w:t>
      </w:r>
    </w:p>
    <w:p w:rsidR="00C36789" w:rsidRDefault="00C36789">
      <w:pPr>
        <w:spacing w:after="0" w:line="360" w:lineRule="auto"/>
      </w:pPr>
    </w:p>
    <w:p w:rsidR="00C36789" w:rsidRDefault="004F3375">
      <w:pPr>
        <w:spacing w:after="0" w:line="360" w:lineRule="auto"/>
      </w:pPr>
      <w:r>
        <w:t>Ahora bien, el Criterio de interpretación, con clave de control SO/008/2023, de la Tercera Época, emitido por el Pleno del Instituto Nacional de Transparencia, Acceso a la Información y Protección de Datos Personales, establece que la información estadística es de naturaleza pública, al ser el producto de un conjunto de resultados cuantitativos obtenidos de un proceso sistemático de captación de datos primarios obtenidos sobre hechos que constan en la documentación que los sujetos obligados poseen, por lo que, dichos datos no se encuentran individualizados o personalizados</w:t>
      </w:r>
    </w:p>
    <w:p w:rsidR="00C36789" w:rsidRDefault="00C36789">
      <w:pPr>
        <w:spacing w:after="0" w:line="360" w:lineRule="auto"/>
      </w:pPr>
    </w:p>
    <w:p w:rsidR="00C36789" w:rsidRDefault="004F3375">
      <w:pPr>
        <w:spacing w:after="0" w:line="360" w:lineRule="auto"/>
      </w:pPr>
      <w:r>
        <w:t>Lo anterior se establece, toda vez que el punto nueve de la solicitud de información, consiste en saber el número de patrullas con las que apoyó el Gobierno del Estado al Ayuntamiento de Toluca, con evidencia fotográfica, por lo que, al hablar de apoyo se puede traducir a una donación por parte del Gobierno del Estado al Ayuntamiento, situación por la cual del Departamento de Control Patrimonial debe de coordinar dicho movimiento para registrarlo en inventario de bienes muebles del Ayuntamiento.</w:t>
      </w:r>
    </w:p>
    <w:p w:rsidR="00C36789" w:rsidRDefault="00C36789">
      <w:pPr>
        <w:spacing w:after="0" w:line="360" w:lineRule="auto"/>
      </w:pPr>
    </w:p>
    <w:p w:rsidR="00C36789" w:rsidRDefault="004F3375">
      <w:pPr>
        <w:spacing w:after="0" w:line="360" w:lineRule="auto"/>
      </w:pPr>
      <w:r>
        <w:lastRenderedPageBreak/>
        <w:t xml:space="preserve">Por otro lado, respecto al punto veintidós cabe precisar que la Dirección General de Seguridad y Protección precisó que después de la búsqueda exhaustiva y razonable en sus archivos físicos y digitales, cuenta con 1144 (mil ciento cuarenta y cuatro) patrullas. </w:t>
      </w:r>
    </w:p>
    <w:p w:rsidR="00C36789" w:rsidRDefault="00C36789">
      <w:pPr>
        <w:spacing w:after="0" w:line="360" w:lineRule="auto"/>
      </w:pPr>
    </w:p>
    <w:p w:rsidR="00C36789" w:rsidRDefault="004F3375">
      <w:pPr>
        <w:spacing w:after="0" w:line="360" w:lineRule="auto"/>
        <w:rPr>
          <w:color w:val="000000"/>
        </w:rPr>
      </w:pPr>
      <w:r>
        <w:rPr>
          <w:color w:val="000000"/>
        </w:rPr>
        <w:t xml:space="preserve">Conforme a lo anterior, se concluye que la información proporcionada corresponde con lo solicitado, además que el Sujeto Obligado, realizó una búsqueda exhaustiva y razonable en los archivos de la unidad administrativa competente, y esta proporcionó la información que obraba en sus archivos. </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 xml:space="preserve">No obstante, toda vez que omitió manifestarse sobre el punto número nueve previamente referido deberá hacer entregar del documento donde conste el número de patrullas con las que apoyó el Gobierno del Estado al Ayuntamiento de Toluca, con a evidencia fotográfica del cinco de febrero de dos mil veinticuatro al cinco de febrero de dos mil veinticinco., de conformidad con el Criterio de Interpretación, con clave de control SO/003/2019, emitido por el Instituto Nacional de Transparencia, Acceso a la Información y Protección de Datos Personales, el cual establece que para los casos en que el particular no señale periodo del cual se requiere información, deberá considerarse que se requiere aquella de un año inmediato anterior, contado a partir de la fecha en que se presentó la solicitud. </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Ahora bien, cabe precisar que este Instituto realizó la búsqueda de este hecho, situación de la cual no se encontraron datos de referencia de lo solicitado por la persona recurrente, situación por la cual de ser el caso que no hubiera registro de patrullas con las cuales hubiera apoyado el Gobierno del Estado, el Sujeto Obligado deberá hacerlo del conocimiento de acuerdo con el artículo 19 párrafo segundo de la Ley de Transparencia y Acceso a la Información Pública del Estado de México y Municipios.</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lastRenderedPageBreak/>
        <w:t xml:space="preserve">Referente al punto </w:t>
      </w:r>
      <w:r>
        <w:rPr>
          <w:b/>
          <w:color w:val="000000"/>
        </w:rPr>
        <w:t>número 10</w:t>
      </w:r>
      <w:r>
        <w:rPr>
          <w:color w:val="000000"/>
        </w:rPr>
        <w:t xml:space="preserve">, concerniente al Estatus de las entregas recepción de las direcciones Generales y la dirección general de Seguridad, se debe de referir que de la generación de las Actas de Entrega –Recepción, no se genera un estatus, toda vez que es un documento que se genera para realizar el cambio del titular saliente y del titular entrante. </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Situación por la cual al ser un documento que no genera un estatus, es que no se puede entregar la información solicitada, toda vez que tal y como lo refiere el artículo 12 de la Ley de Transparencia y Acceso a la Información Pública del Estado de México y Municipios, los sujetos obligados solo deben de entregar la información tal cual obre en sus archivos y no de acuerdo con los intereses de los solicitantes.</w:t>
      </w:r>
    </w:p>
    <w:p w:rsidR="00C36789" w:rsidRDefault="00C36789">
      <w:pPr>
        <w:spacing w:after="0" w:line="360" w:lineRule="auto"/>
        <w:rPr>
          <w:color w:val="000000"/>
        </w:rPr>
      </w:pPr>
    </w:p>
    <w:p w:rsidR="00C36789" w:rsidRDefault="004F3375">
      <w:pPr>
        <w:spacing w:after="0" w:line="360" w:lineRule="auto"/>
      </w:pPr>
      <w:r>
        <w:rPr>
          <w:color w:val="000000"/>
        </w:rPr>
        <w:t xml:space="preserve">En otro orden de ideas, en relación con los </w:t>
      </w:r>
      <w:r>
        <w:rPr>
          <w:b/>
          <w:color w:val="000000"/>
        </w:rPr>
        <w:t xml:space="preserve">puntos 11 y 18 </w:t>
      </w:r>
      <w:r>
        <w:rPr>
          <w:color w:val="000000"/>
        </w:rPr>
        <w:t xml:space="preserve">relacionados con el nombre de todas las empresas y proveedores contratados del primero al treinta y uno de enero de dos mil veinticinco y el monto pagado a los proveedores contratados del primero de enero al cinco de febrero de dos mil veinticinco. </w:t>
      </w:r>
      <w:r>
        <w:t xml:space="preserve">Sobre el tema, López Olvera, Miguel Alejandro </w:t>
      </w:r>
      <w:proofErr w:type="spellStart"/>
      <w:r>
        <w:t>Cancino</w:t>
      </w:r>
      <w:proofErr w:type="spellEnd"/>
      <w:r>
        <w:t xml:space="preserve"> Gómez, Rodolfo. (2020). “La Contratación Pública y el Sistema Nacional Anticorrupción”. (p. 4) la contratación pública, es el procedimiento de carácter administrativo, por medio del cual, un ente público selecciona y posteriormente, celebra un acuerdo de voluntades, con una persona física o jurídica colectiva, para que ésta, entregue o arrende un bien, preste algún servicio público o lleve a cabo la ejecución de una obra pública, con recursos públicos del Estado y en beneficio de la colectividad.</w:t>
      </w:r>
    </w:p>
    <w:p w:rsidR="00C36789" w:rsidRDefault="00C36789">
      <w:pPr>
        <w:spacing w:after="0" w:line="360" w:lineRule="auto"/>
        <w:rPr>
          <w:color w:val="000000"/>
        </w:rPr>
      </w:pPr>
    </w:p>
    <w:p w:rsidR="00C36789" w:rsidRDefault="004F3375">
      <w:pPr>
        <w:spacing w:after="0" w:line="360" w:lineRule="auto"/>
      </w:pPr>
      <w:r>
        <w:t xml:space="preserve">Por otra parte, los artículos 1°, fracción III, y 4°de la Ley de la de Contratación Pública del Estado de México y Municipios, especifica que los Ayuntamientos serán los encargados de realizar los actos relativos a la planeación, programación, </w:t>
      </w:r>
      <w:proofErr w:type="spellStart"/>
      <w:r>
        <w:t>presupuestación</w:t>
      </w:r>
      <w:proofErr w:type="spellEnd"/>
      <w:r>
        <w:t xml:space="preserve">, ejecución y </w:t>
      </w:r>
      <w:r>
        <w:lastRenderedPageBreak/>
        <w:t xml:space="preserve">control de la adquisición (bienes muebles e inmuebles), arrendamiento (bienes muebles e inmuebles), y la contratación de servicios de cualquier naturaleza. </w:t>
      </w:r>
    </w:p>
    <w:p w:rsidR="00C36789" w:rsidRDefault="00C36789">
      <w:pPr>
        <w:spacing w:after="0" w:line="360" w:lineRule="auto"/>
      </w:pPr>
    </w:p>
    <w:p w:rsidR="00C36789" w:rsidRDefault="004F3375">
      <w:pPr>
        <w:spacing w:after="0" w:line="360" w:lineRule="auto"/>
      </w:pPr>
      <w:r>
        <w:t>En ese contexto, conforme a los artículos 26 y 27 de dicho ordenamiento jurídico, las adquisiciones, arrendamientos y servicios, se adjudicarán a través de procedimientos de licitación pública, invitación restringida y adjudicación directa.</w:t>
      </w:r>
    </w:p>
    <w:p w:rsidR="00C36789" w:rsidRDefault="00C36789">
      <w:pPr>
        <w:spacing w:after="0" w:line="360" w:lineRule="auto"/>
      </w:pPr>
    </w:p>
    <w:p w:rsidR="00C36789" w:rsidRDefault="004F3375">
      <w:pPr>
        <w:spacing w:after="0" w:line="360" w:lineRule="auto"/>
      </w:pPr>
      <w:r>
        <w:t>En ese orden de ideas, conforme al artículo 65 de la Ley de Contratación Pública del Estado de México y Municipios, la adjudicación de un procedimiento de adquisición y arrendamiento de bienes y contratación de servicios se realizará mediante la suscripción de un contrato, entre el Ayuntamiento y la persona a la cual haya ganado el procedimiento respectivo, dentro de los diez días hábiles siguientes a la notificación del fallo.</w:t>
      </w:r>
    </w:p>
    <w:p w:rsidR="00C36789" w:rsidRDefault="00C36789">
      <w:pPr>
        <w:spacing w:after="0" w:line="360" w:lineRule="auto"/>
      </w:pPr>
    </w:p>
    <w:p w:rsidR="00C36789" w:rsidRDefault="004F3375">
      <w:pPr>
        <w:spacing w:after="0" w:line="360" w:lineRule="auto"/>
      </w:pPr>
      <w:r>
        <w:t>Ahora bien, conforme al artículo 120 del Reglamento de la Ley de Contratación Pública del Estado de México y Municipios, dichos actos jurídicos se conforman por diversos datos, entre los cuales, se encuentran los datos de identificación de las partes y del contrato, así como el importe total.</w:t>
      </w:r>
    </w:p>
    <w:p w:rsidR="00C36789" w:rsidRDefault="00C36789">
      <w:pPr>
        <w:spacing w:after="0" w:line="360" w:lineRule="auto"/>
      </w:pPr>
    </w:p>
    <w:p w:rsidR="00C36789" w:rsidRDefault="004F3375">
      <w:pPr>
        <w:spacing w:after="0" w:line="360" w:lineRule="auto"/>
      </w:pPr>
      <w:r>
        <w:t xml:space="preserve">Así mismo, el artículo 92 fracciones XXV y XXIX, de la Ley de Transparencia y Acceso a la Información Pública del Estado de México y Municipios, establecen como obligación de transparencia del Ayuntamiento de Toluca, contar con el Padrón de Proveedores y Contratistas, asimismo se precisa que es información que es pública de oficio, la información sobre los procesos y resultados sobre procedimientos de adjudicación directa, invitación restringida y licitación de cualquier naturaleza, que incluye la versión pública del expediente respectivo y de los contratos celebrados, mismos que deberá publicar en sus Portales de Internet.  </w:t>
      </w:r>
    </w:p>
    <w:p w:rsidR="00C36789" w:rsidRDefault="00C36789">
      <w:pPr>
        <w:spacing w:after="0" w:line="360" w:lineRule="auto"/>
      </w:pPr>
    </w:p>
    <w:p w:rsidR="00C36789" w:rsidRDefault="004F3375">
      <w:pPr>
        <w:spacing w:after="0" w:line="360" w:lineRule="auto"/>
      </w:pPr>
      <w:r>
        <w:t xml:space="preserve">En ese orden de ideas, por lo que hace al monto pagado, el artículo 4°, fracción XVIII, de la Ley General de Contabilidad Gubernamental, establece que la información financiera consiste en información presupuestaria y contable que se expresa en unidades monetarias las transacciones que realiza un ente público y los eventos económicos identificables y cuantificable la cual puede representarse por reportes, informes, estados y notas que expresan su situación financiera, los resultados de su operación y los cambios en su patrimonio. </w:t>
      </w:r>
    </w:p>
    <w:p w:rsidR="00C36789" w:rsidRDefault="00C36789">
      <w:pPr>
        <w:spacing w:after="0" w:line="360" w:lineRule="auto"/>
      </w:pPr>
    </w:p>
    <w:p w:rsidR="00C36789" w:rsidRDefault="004F3375">
      <w:pPr>
        <w:spacing w:after="0" w:line="360" w:lineRule="auto"/>
      </w:pPr>
      <w:r>
        <w:t>En esa misma tesitura, los artículos 16, 18, 19, fracción V, y 34 de la Ley General en comento, establece que los entes públicos deben contar con un sistema de contabilidad gubernamental en el cual se registrarán operaciones presupuestarias y contables derivadas de la gestión pública, así como otros flujos económicos, los cuales serán expresados en términos monetarios. Dichos registros contables se llevarán con base acumulativa, por lo que contabilización de las transacciones de gasto se hará conforme a la fecha de su realización, independientemente de la de su pago, y la del ingreso se registrará cuando exista jurídicamente el derecho de cobro.</w:t>
      </w:r>
    </w:p>
    <w:p w:rsidR="00C36789" w:rsidRDefault="00C36789">
      <w:pPr>
        <w:spacing w:after="0" w:line="360" w:lineRule="auto"/>
      </w:pPr>
    </w:p>
    <w:p w:rsidR="00C36789" w:rsidRDefault="004F3375">
      <w:pPr>
        <w:spacing w:after="0" w:line="360" w:lineRule="auto"/>
      </w:pPr>
      <w:r>
        <w:t>En ese contexto, la Guía técnica 05 “La contabilidad y la cuenta pública municipal”, emitida por el Instituto Nacional de Administración Pública, define a la contabilidad municipal como la técnica que permite registrar en forma ordenada, completa y detallada de los ingresos y gastos, con el fin de poder determinar en cualquier momento la situación financiera de la hacienda pública municipal.</w:t>
      </w:r>
    </w:p>
    <w:p w:rsidR="00C36789" w:rsidRDefault="00C36789">
      <w:pPr>
        <w:spacing w:after="0" w:line="360" w:lineRule="auto"/>
      </w:pPr>
    </w:p>
    <w:p w:rsidR="00C36789" w:rsidRDefault="004F3375">
      <w:pPr>
        <w:spacing w:after="0" w:line="360" w:lineRule="auto"/>
      </w:pPr>
      <w:r>
        <w:t xml:space="preserve">De este modo, de acuerdo a la naturaleza de información solicitada, resulta necesario traer a colación, la Resolución Miscelánea Fiscal para el 2025, establece que la factura es lo mismo, </w:t>
      </w:r>
      <w:r>
        <w:lastRenderedPageBreak/>
        <w:t>que un Comprobante Fiscal Digital por Internet, por lo que, se puede considerar como el documento que comprueba la realización de una transacción comercial, entre un comprador y un vendedor, mediante el cual, el primero queda obligado a realizar un pago, mientras que el segundo, a entregar o brindar un producto o servicio.</w:t>
      </w:r>
    </w:p>
    <w:p w:rsidR="00C36789" w:rsidRDefault="00C36789">
      <w:pPr>
        <w:spacing w:after="0" w:line="360" w:lineRule="auto"/>
      </w:pPr>
    </w:p>
    <w:p w:rsidR="00C36789" w:rsidRDefault="004F3375">
      <w:pPr>
        <w:spacing w:after="0" w:line="360" w:lineRule="auto"/>
      </w:pPr>
      <w:r>
        <w:t>En ese orden de ideas, los Lineamientos para la Integración, Presentación y Envió de los Informes Trimestrales Municipales del ejercicio fiscal dos mil veinticinco, entre los formatos que maneja en el Módulo 1, se advierte que se encuentran Póliza de Egresos y Póliza Cheque, con los documentos comprobatorios, mismos que serán entregados al Órgano Superior de Fiscalización del Estado de México. Además, se precisa que dichos documentos deberán contener las imágenes de la documentación comprobatoria y justificativa de los egresos y de las respectivas pólizas, los cuales incluyen los Comprobantes Fiscales Digitales por Internet, facturas o recibos.</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 xml:space="preserve">En ese orden de ideas, conforme al Manual de Organización de la Dirección General de Administración, dentro de su estructura organizacional cuenta con la Dirección de Recursos Materiales, encargada de elaborar y suscribir los contratos relativos a la adquisición de bienes y servicios, así como los de arrendamiento, adquisición y enajenación de inmuebles de competencia municipal, llevar el control de entrada, resguardo y salida de bienes y suministros del almacén general e instruir al Departamento de Programación de Comités mantenga actualizado constantemente el Catálogo General de Proveedores, con la finalidad de considerar en los procedimientos administrativos de adquisición de bienes y servicios a los que ofrezcan las mejores condiciones y precio para la administración pública municipal. </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 xml:space="preserve">Al respecto, cabe precisar que la respuesta del Sujeto Obligado carece de exhaustividad, pues omitió pronunciarse sobre los puntos de análisis, por lo que para atender en requerimiento </w:t>
      </w:r>
      <w:r>
        <w:rPr>
          <w:color w:val="000000"/>
        </w:rPr>
        <w:lastRenderedPageBreak/>
        <w:t xml:space="preserve">de información, el Ayuntamiento de Toluca deberá de entregar los documentos donde conste el nombre de todas las empresas y proveedores contratados del primero al treinta y uno de enero de dos mil veinticinco y el monto pagado a los proveedores contratados del primero de enero al cinco de febrero de dos mil veinticinco. </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 xml:space="preserve"> Ahora bien, de ser el caso que, del primero de enero al cinco de febrero, no se hubieran realizado contrataciones a empresas y proveedores, así como tampoco pagos, bastará con que el Sujeto Obligado lo haga del conocimiento de la persona Recurrente de conformidad con el artículo 19 párrafo segundo de la Ley de Transparencia y Acceso a la Información Pública del Estado de México y Municipios.</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 xml:space="preserve">Por otro lado, cabe precisar que de conformidad con los puntos números 12, 16 y 17, se logra vislumbrar que la pretensión del ahora recurrente es obtener el sueldo bruto y neto mensual de conformidad con lo siguiente: </w:t>
      </w:r>
    </w:p>
    <w:p w:rsidR="00C36789" w:rsidRDefault="00C36789">
      <w:pPr>
        <w:spacing w:after="0" w:line="360" w:lineRule="auto"/>
        <w:rPr>
          <w:color w:val="000000"/>
        </w:rPr>
      </w:pPr>
    </w:p>
    <w:tbl>
      <w:tblPr>
        <w:tblStyle w:val="a1"/>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2974"/>
        <w:gridCol w:w="2974"/>
      </w:tblGrid>
      <w:tr w:rsidR="00C36789">
        <w:tc>
          <w:tcPr>
            <w:tcW w:w="2973" w:type="dxa"/>
          </w:tcPr>
          <w:p w:rsidR="00C36789" w:rsidRDefault="004F3375">
            <w:pPr>
              <w:spacing w:line="360" w:lineRule="auto"/>
              <w:rPr>
                <w:i/>
                <w:color w:val="000000"/>
              </w:rPr>
            </w:pPr>
            <w:r>
              <w:rPr>
                <w:i/>
                <w:color w:val="000000"/>
              </w:rPr>
              <w:t xml:space="preserve">12. Nombres y </w:t>
            </w:r>
            <w:r>
              <w:rPr>
                <w:b/>
                <w:i/>
                <w:color w:val="000000"/>
              </w:rPr>
              <w:t xml:space="preserve">sueldos </w:t>
            </w:r>
            <w:r>
              <w:rPr>
                <w:i/>
                <w:color w:val="000000"/>
              </w:rPr>
              <w:t xml:space="preserve">de todos los directores generales, directores de área o equivalentes, analistas especializados, coordinadores, asesores, jefes de departamento </w:t>
            </w:r>
            <w:r>
              <w:rPr>
                <w:b/>
                <w:i/>
                <w:color w:val="000000"/>
              </w:rPr>
              <w:t>y de toda la estructura orgánica</w:t>
            </w:r>
          </w:p>
        </w:tc>
        <w:tc>
          <w:tcPr>
            <w:tcW w:w="2974" w:type="dxa"/>
          </w:tcPr>
          <w:p w:rsidR="00C36789" w:rsidRDefault="004F3375">
            <w:pPr>
              <w:spacing w:line="360" w:lineRule="auto"/>
              <w:rPr>
                <w:i/>
                <w:color w:val="000000"/>
              </w:rPr>
            </w:pPr>
            <w:r>
              <w:rPr>
                <w:i/>
                <w:color w:val="000000"/>
              </w:rPr>
              <w:t xml:space="preserve">16. </w:t>
            </w:r>
            <w:r>
              <w:rPr>
                <w:b/>
                <w:i/>
                <w:color w:val="000000"/>
              </w:rPr>
              <w:t xml:space="preserve">Sueldo </w:t>
            </w:r>
            <w:r>
              <w:rPr>
                <w:i/>
                <w:color w:val="000000"/>
              </w:rPr>
              <w:t xml:space="preserve">del Presidente Municipal, Regidores, Síndico y Secretario del Ayuntamiento  </w:t>
            </w:r>
          </w:p>
        </w:tc>
        <w:tc>
          <w:tcPr>
            <w:tcW w:w="2974" w:type="dxa"/>
          </w:tcPr>
          <w:p w:rsidR="00C36789" w:rsidRDefault="004F3375">
            <w:pPr>
              <w:spacing w:line="360" w:lineRule="auto"/>
              <w:rPr>
                <w:i/>
                <w:color w:val="000000"/>
              </w:rPr>
            </w:pPr>
            <w:r>
              <w:rPr>
                <w:i/>
                <w:color w:val="000000"/>
              </w:rPr>
              <w:t xml:space="preserve">17. Relación del personal y </w:t>
            </w:r>
            <w:r>
              <w:rPr>
                <w:b/>
                <w:i/>
                <w:color w:val="000000"/>
              </w:rPr>
              <w:t>salarios</w:t>
            </w:r>
            <w:r>
              <w:rPr>
                <w:i/>
                <w:color w:val="000000"/>
              </w:rPr>
              <w:t xml:space="preserve"> de </w:t>
            </w:r>
            <w:r>
              <w:rPr>
                <w:b/>
                <w:i/>
                <w:color w:val="000000"/>
              </w:rPr>
              <w:t>servidores públicos adscritos</w:t>
            </w:r>
            <w:r>
              <w:rPr>
                <w:i/>
                <w:color w:val="000000"/>
              </w:rPr>
              <w:t xml:space="preserve"> a Presidencia, Secretaría del Ayuntamiento, Regidores, </w:t>
            </w:r>
            <w:r>
              <w:rPr>
                <w:b/>
                <w:i/>
                <w:color w:val="000000"/>
              </w:rPr>
              <w:t>Direcciones Generales</w:t>
            </w:r>
            <w:r>
              <w:rPr>
                <w:i/>
                <w:color w:val="000000"/>
              </w:rPr>
              <w:t>, Coordinación de Asesores</w:t>
            </w:r>
          </w:p>
        </w:tc>
      </w:tr>
    </w:tbl>
    <w:p w:rsidR="00C36789" w:rsidRDefault="00C36789">
      <w:pPr>
        <w:spacing w:after="0" w:line="360" w:lineRule="auto"/>
        <w:rPr>
          <w:color w:val="000000"/>
        </w:rPr>
      </w:pPr>
    </w:p>
    <w:p w:rsidR="00C36789" w:rsidRDefault="004F3375">
      <w:pPr>
        <w:spacing w:after="0" w:line="360" w:lineRule="auto"/>
        <w:rPr>
          <w:color w:val="000000"/>
        </w:rPr>
      </w:pPr>
      <w:r>
        <w:rPr>
          <w:color w:val="000000"/>
        </w:rPr>
        <w:t xml:space="preserve">Conforme a lo anterior, se logra vislumbrar que la pretensión del ahora Recurrente es obtener el sueldo bruto y neto mensual de los todos los servidores públicos de toda la estructura </w:t>
      </w:r>
      <w:r>
        <w:rPr>
          <w:color w:val="000000"/>
        </w:rPr>
        <w:lastRenderedPageBreak/>
        <w:t>orgánica, situación por la cual es necesario precisar que para el caso del Organismo de agua y Saneamiento  de Toluca, el Sistema Municipal Para el Desarrollo Integral de la Familia y del Instituto Municipal de Cultura Física y Deporte, no se puede entregar información por parte del Ayuntamiento de Toluca, toda que dichas dependencias son considerados sujetos obligados diversos ya que cuentan con su portal de información, tal y como se muestra a continuación.</w:t>
      </w:r>
    </w:p>
    <w:p w:rsidR="00C36789" w:rsidRDefault="00C36789">
      <w:pPr>
        <w:spacing w:after="0" w:line="360" w:lineRule="auto"/>
        <w:rPr>
          <w:color w:val="000000"/>
        </w:rPr>
      </w:pPr>
    </w:p>
    <w:p w:rsidR="00C36789" w:rsidRDefault="004F3375">
      <w:pPr>
        <w:spacing w:after="0" w:line="360" w:lineRule="auto"/>
        <w:jc w:val="center"/>
        <w:rPr>
          <w:color w:val="000000"/>
        </w:rPr>
      </w:pPr>
      <w:r>
        <w:rPr>
          <w:noProof/>
          <w:color w:val="000000"/>
        </w:rPr>
        <w:drawing>
          <wp:inline distT="0" distB="0" distL="0" distR="0">
            <wp:extent cx="3939881" cy="3657917"/>
            <wp:effectExtent l="0" t="0" r="0" b="0"/>
            <wp:docPr id="2038874684" name="image24.png" descr="Interfaz de usuario gráfica, Texto, Aplicación, Chat o mensaje de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4.png" descr="Interfaz de usuario gráfica, Texto, Aplicación, Chat o mensaje de texto&#10;&#10;El contenido generado por IA puede ser incorrecto."/>
                    <pic:cNvPicPr preferRelativeResize="0"/>
                  </pic:nvPicPr>
                  <pic:blipFill>
                    <a:blip r:embed="rId28"/>
                    <a:srcRect/>
                    <a:stretch>
                      <a:fillRect/>
                    </a:stretch>
                  </pic:blipFill>
                  <pic:spPr>
                    <a:xfrm>
                      <a:off x="0" y="0"/>
                      <a:ext cx="3939881" cy="3657917"/>
                    </a:xfrm>
                    <a:prstGeom prst="rect">
                      <a:avLst/>
                    </a:prstGeom>
                    <a:ln/>
                  </pic:spPr>
                </pic:pic>
              </a:graphicData>
            </a:graphic>
          </wp:inline>
        </w:drawing>
      </w:r>
    </w:p>
    <w:p w:rsidR="00C36789" w:rsidRDefault="00C36789">
      <w:pPr>
        <w:spacing w:after="0" w:line="360" w:lineRule="auto"/>
        <w:rPr>
          <w:color w:val="000000"/>
        </w:rPr>
      </w:pPr>
    </w:p>
    <w:p w:rsidR="00C36789" w:rsidRDefault="004F3375">
      <w:pPr>
        <w:spacing w:after="0" w:line="360" w:lineRule="auto"/>
      </w:pPr>
      <w:r>
        <w:t xml:space="preserve">Conforme a lo anterior, se logra vislumbrar que el </w:t>
      </w:r>
      <w:r>
        <w:rPr>
          <w:color w:val="000000"/>
        </w:rPr>
        <w:t>Instituto Municipal de Cultura Física y Deporte de Toluca, el Organismo Agua y Saneamiento de Toluca y el Sistema Municipal para el Desarrollo Integral de la Familia de Toluca, son Sujetos Obligados distintos que cuenta con una personalidad jurídica y un patrimonio propio, es decir, su organización y su archivo ya que no depende del Ayuntamiento,</w:t>
      </w:r>
      <w:r>
        <w:t xml:space="preserve"> por lo que, se logra vislumbrar que el Sujeto Obligado es </w:t>
      </w:r>
      <w:r>
        <w:lastRenderedPageBreak/>
        <w:t>notoriamente incompetente</w:t>
      </w:r>
      <w:r>
        <w:rPr>
          <w:b/>
        </w:rPr>
        <w:t xml:space="preserve"> </w:t>
      </w:r>
      <w:r>
        <w:t xml:space="preserve">para conocer de la información requerida, pues dichos </w:t>
      </w:r>
      <w:r>
        <w:rPr>
          <w:color w:val="000000"/>
        </w:rPr>
        <w:t>Organismos son Sujetos Obligados distinto y a través de sus áreas competentes tendrá en sus archivos el sueldo de todo su personal</w:t>
      </w:r>
      <w:r>
        <w:t>.</w:t>
      </w:r>
    </w:p>
    <w:p w:rsidR="00C36789" w:rsidRDefault="00C36789">
      <w:pPr>
        <w:spacing w:after="0" w:line="360" w:lineRule="auto"/>
      </w:pPr>
    </w:p>
    <w:p w:rsidR="00C36789" w:rsidRDefault="004F3375">
      <w:pPr>
        <w:spacing w:after="0" w:line="360" w:lineRule="auto"/>
      </w:pPr>
      <w:r>
        <w:t>Una vez precisado lo anterior, cabe precisar que el sujeto Obligado omitió proporcionar el sueldo bruto y neto de todos los servidores públicos adscritos al Ayuntamiento de Toluca, por lo que se procede entrar al análisis, así es necesario traer a colación la Guía Técnica 9 “La Administración del Personal Municipal”, define a los servidores públicos, como todas aquellas personas que prestan su trabajo al servicio del municipio, conformado por las autoridades (Presidente Municipal, Síndico, Regidores, Comisarios, Delegados y Agentes Municipales), funcionarios (Secretario del Ayuntamiento, Directores, Tesoreros, Contralores y Jefes de Departamento) y empleados (puestos administrativos y técnicos).</w:t>
      </w:r>
    </w:p>
    <w:p w:rsidR="00C36789" w:rsidRDefault="00C36789">
      <w:pPr>
        <w:spacing w:after="0" w:line="360" w:lineRule="auto"/>
      </w:pPr>
    </w:p>
    <w:p w:rsidR="00C36789" w:rsidRDefault="004F3375">
      <w:pPr>
        <w:spacing w:after="0" w:line="360" w:lineRule="auto"/>
      </w:pPr>
      <w:r>
        <w:t>En ese orden de ideas, el primer párrafo, del artículo 108 de la Constitución Política de los Estados Unidos Mexicanos, establece que, en materia de responsabilidades, serán servidores públicos, los representantes de elección popular, los funcionarios y empleados y, en general, a toda persona que desempeñe un empleo, cargo o comisión de cualquier naturaleza dentro de la Administración Pública. De la misma manera, el artículo 130 de la Constitución Política del Estado Libre y Soberano de México, precisa que son servidores públicos a todas las personas que desempeñen un empleo, cargo o comisión en los Municipios.</w:t>
      </w:r>
    </w:p>
    <w:p w:rsidR="00C36789" w:rsidRDefault="00C36789">
      <w:pPr>
        <w:spacing w:after="0" w:line="360" w:lineRule="auto"/>
      </w:pPr>
    </w:p>
    <w:p w:rsidR="00C36789" w:rsidRDefault="004F3375">
      <w:pPr>
        <w:spacing w:after="0" w:line="360" w:lineRule="auto"/>
        <w:rPr>
          <w:b/>
        </w:rPr>
      </w:pPr>
      <w:r>
        <w:t xml:space="preserve">Además, el artículo 4°, fracción VI, de la Ley del Trabajo de los servidores públicos del Estado y Municipios, precisa que son servidores públicos, todas las personas físicas que presten a una institución pública un trabajo personal subordinado, mediante el </w:t>
      </w:r>
      <w:r>
        <w:rPr>
          <w:b/>
        </w:rPr>
        <w:t>pago de un sueldo.</w:t>
      </w:r>
    </w:p>
    <w:p w:rsidR="00C36789" w:rsidRDefault="00C36789">
      <w:pPr>
        <w:spacing w:after="0" w:line="360" w:lineRule="auto"/>
      </w:pPr>
    </w:p>
    <w:p w:rsidR="00C36789" w:rsidRDefault="004F3375">
      <w:pPr>
        <w:spacing w:after="0" w:line="360" w:lineRule="auto"/>
      </w:pPr>
      <w:r>
        <w:lastRenderedPageBreak/>
        <w:t xml:space="preserve">En ese contexto, el artículo 92, fracciones VII y VIII, de la Ley de Transparencia y Acceso a la Información Pública del Estado de México y Municipios, establece que los Sujetos Obligados deberán poner a disposición del público de manera permanente y actualizada, la información de los servidores públicos, tales como, </w:t>
      </w:r>
      <w:r>
        <w:rPr>
          <w:b/>
        </w:rPr>
        <w:t>nombre,</w:t>
      </w:r>
      <w:r>
        <w:t xml:space="preserve"> cargo, adscripción, fecha de alta y</w:t>
      </w:r>
      <w:r>
        <w:rPr>
          <w:b/>
        </w:rPr>
        <w:t xml:space="preserve"> remuneraciones</w:t>
      </w:r>
      <w:r>
        <w:t>.</w:t>
      </w:r>
    </w:p>
    <w:p w:rsidR="00C36789" w:rsidRDefault="00C36789">
      <w:pPr>
        <w:spacing w:after="0" w:line="360" w:lineRule="auto"/>
      </w:pPr>
    </w:p>
    <w:p w:rsidR="00C36789" w:rsidRDefault="004F3375">
      <w:pPr>
        <w:spacing w:after="0" w:line="360" w:lineRule="auto"/>
      </w:pPr>
      <w:r>
        <w:t xml:space="preserve">Asimismo, conforme al Manual de Organización de la Tesorería Municipal, precisa que es la responsable de administrar, operar y registrar los recursos que componen la hacienda pública, gestionar y verificar el pago de nómina de las y los servidores públicos, remitir la conciliación nómina pagada a la Dirección de Recursos Humanos, para la reprogramación de pagos y timbrado de nómina. </w:t>
      </w:r>
    </w:p>
    <w:p w:rsidR="00C36789" w:rsidRDefault="00C36789">
      <w:pPr>
        <w:spacing w:after="0" w:line="360" w:lineRule="auto"/>
      </w:pPr>
    </w:p>
    <w:p w:rsidR="00C36789" w:rsidRDefault="004F3375">
      <w:pPr>
        <w:widowControl w:val="0"/>
        <w:spacing w:after="0" w:line="360" w:lineRule="auto"/>
        <w:rPr>
          <w:color w:val="000000"/>
        </w:rPr>
      </w:pPr>
      <w:r>
        <w:rPr>
          <w:color w:val="000000"/>
        </w:rPr>
        <w:t>Así, este Instituto considera que para atender el requerimiento de información, el Sujeto Obligado deberá entregar el documento donde conste el nombre y sueldo mensual bruto y neto, de los servidores públicos en funciones al cinco de febrero de dos mil veinticinco; 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00C36789" w:rsidRDefault="00C36789">
      <w:pPr>
        <w:widowControl w:val="0"/>
        <w:spacing w:after="0" w:line="360" w:lineRule="auto"/>
        <w:rPr>
          <w:color w:val="000000"/>
        </w:rPr>
      </w:pPr>
    </w:p>
    <w:p w:rsidR="00C36789" w:rsidRDefault="004F3375">
      <w:pPr>
        <w:widowControl w:val="0"/>
        <w:spacing w:after="0" w:line="360" w:lineRule="auto"/>
        <w:rPr>
          <w:color w:val="000000"/>
        </w:rPr>
      </w:pPr>
      <w:r>
        <w:rPr>
          <w:color w:val="000000"/>
        </w:rPr>
        <w:t xml:space="preserve">Para lo cual, previamente el Sujeto Obligado deberá realizar una búsqueda exhaustiva y razonable en los archivos de las unidades administrativas competentes, entre las cuales no podrá omitir a la Tesorería Municipal y la Dirección de Recursos Humanos de la Dirección General de Administración, al ser la encargada de la elaboración y distribución oportuna de </w:t>
      </w:r>
      <w:r>
        <w:rPr>
          <w:color w:val="000000"/>
        </w:rPr>
        <w:lastRenderedPageBreak/>
        <w:t>la nómina para el pago al personal que labora en el Ayuntamiento, así como, de la administración de personal y actualización de la plantilla de personal, de conformidad con los artículos 90 y 92, del Bando Municipal de Toluca, así como, los diversos 3.31, 3.32 y 3.33, del Código Reglamentario Municipal de Toluca, con relación con el Manual de Organización de la Dirección General de Administración.</w:t>
      </w:r>
    </w:p>
    <w:p w:rsidR="00C36789" w:rsidRDefault="00C36789">
      <w:pPr>
        <w:spacing w:after="0" w:line="360" w:lineRule="auto"/>
        <w:ind w:right="-28"/>
        <w:rPr>
          <w:color w:val="000000"/>
        </w:rPr>
      </w:pPr>
    </w:p>
    <w:p w:rsidR="00C36789" w:rsidRDefault="004F3375">
      <w:pPr>
        <w:spacing w:after="0" w:line="360" w:lineRule="auto"/>
        <w:rPr>
          <w:color w:val="000000"/>
        </w:rPr>
      </w:pPr>
      <w:r>
        <w:rPr>
          <w:color w:val="000000"/>
        </w:rPr>
        <w:t>Ahora bien, de manera oficiosa, se procede analizar si procede la clasificación del nombre de los elementos operativos en materia de seguridad pública; sobre el tema, el artículo 140, fracción IV, de la Ley de Transparencia y Acceso a la Información Pública del Estado de México y Municipios, prevé lo siguiente:</w:t>
      </w:r>
    </w:p>
    <w:p w:rsidR="00C36789" w:rsidRDefault="00C36789">
      <w:pPr>
        <w:tabs>
          <w:tab w:val="left" w:pos="4962"/>
        </w:tabs>
        <w:spacing w:after="0" w:line="360" w:lineRule="auto"/>
        <w:ind w:left="567" w:right="567"/>
        <w:rPr>
          <w:i/>
          <w:color w:val="000000"/>
          <w:sz w:val="20"/>
          <w:szCs w:val="20"/>
        </w:rPr>
      </w:pPr>
    </w:p>
    <w:p w:rsidR="00C36789" w:rsidRDefault="004F3375">
      <w:pPr>
        <w:tabs>
          <w:tab w:val="left" w:pos="4962"/>
        </w:tabs>
        <w:spacing w:after="0" w:line="360" w:lineRule="auto"/>
        <w:ind w:left="567" w:right="567"/>
        <w:rPr>
          <w:i/>
          <w:color w:val="000000"/>
          <w:sz w:val="20"/>
          <w:szCs w:val="20"/>
        </w:rPr>
      </w:pPr>
      <w:r>
        <w:rPr>
          <w:i/>
          <w:color w:val="000000"/>
          <w:sz w:val="20"/>
          <w:szCs w:val="20"/>
        </w:rPr>
        <w:t xml:space="preserve"> “</w:t>
      </w:r>
      <w:r>
        <w:rPr>
          <w:b/>
          <w:i/>
          <w:color w:val="000000"/>
          <w:sz w:val="20"/>
          <w:szCs w:val="20"/>
        </w:rPr>
        <w:t>Artículo 140.</w:t>
      </w:r>
      <w:r>
        <w:rPr>
          <w:i/>
          <w:color w:val="000000"/>
          <w:sz w:val="20"/>
          <w:szCs w:val="20"/>
        </w:rPr>
        <w:t xml:space="preserve"> El acceso a la información pública será restringido excepcionalmente, cuando por razones de interés público, ésta sea clasificada como reservada, conforme a los criterios siguientes: </w:t>
      </w:r>
    </w:p>
    <w:p w:rsidR="00C36789" w:rsidRDefault="004F3375">
      <w:pPr>
        <w:tabs>
          <w:tab w:val="left" w:pos="4962"/>
        </w:tabs>
        <w:spacing w:after="0" w:line="360" w:lineRule="auto"/>
        <w:ind w:left="567" w:right="567"/>
        <w:rPr>
          <w:i/>
          <w:color w:val="000000"/>
          <w:sz w:val="20"/>
          <w:szCs w:val="20"/>
        </w:rPr>
      </w:pPr>
      <w:r>
        <w:rPr>
          <w:i/>
          <w:color w:val="000000"/>
          <w:sz w:val="20"/>
          <w:szCs w:val="20"/>
        </w:rPr>
        <w:t>…</w:t>
      </w:r>
    </w:p>
    <w:p w:rsidR="00C36789" w:rsidRDefault="004F3375">
      <w:pPr>
        <w:tabs>
          <w:tab w:val="left" w:pos="4962"/>
        </w:tabs>
        <w:spacing w:after="0" w:line="360" w:lineRule="auto"/>
        <w:ind w:left="567" w:right="567"/>
        <w:rPr>
          <w:i/>
          <w:color w:val="000000"/>
          <w:sz w:val="20"/>
          <w:szCs w:val="20"/>
        </w:rPr>
      </w:pPr>
      <w:r>
        <w:rPr>
          <w:i/>
          <w:color w:val="000000"/>
          <w:sz w:val="20"/>
          <w:szCs w:val="20"/>
        </w:rPr>
        <w:t>IV. Ponga en riesgo la vida, la seguridad o la salud de una persona física;</w:t>
      </w:r>
    </w:p>
    <w:p w:rsidR="00C36789" w:rsidRDefault="004F3375">
      <w:pPr>
        <w:tabs>
          <w:tab w:val="left" w:pos="4962"/>
        </w:tabs>
        <w:spacing w:after="0" w:line="360" w:lineRule="auto"/>
        <w:ind w:left="567" w:right="567"/>
        <w:rPr>
          <w:i/>
          <w:color w:val="000000"/>
          <w:sz w:val="20"/>
          <w:szCs w:val="20"/>
        </w:rPr>
      </w:pPr>
      <w:r>
        <w:rPr>
          <w:i/>
          <w:color w:val="000000"/>
          <w:sz w:val="20"/>
          <w:szCs w:val="20"/>
        </w:rPr>
        <w:t xml:space="preserve">…” </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Del precepto legal anteriormente citado se desprende que como información reservada podrá clasificarse aquella cuya publicación pueda poner en riesgo la vida, seguridad o salud de una persona física; para acreditar lo anterior, los Lineamientos Generales vigentes a la fecha de la solicitud, establecen lo siguiente:</w:t>
      </w:r>
    </w:p>
    <w:p w:rsidR="00C36789" w:rsidRDefault="00C36789">
      <w:pPr>
        <w:spacing w:after="0" w:line="360" w:lineRule="auto"/>
        <w:rPr>
          <w:color w:val="000000"/>
        </w:rPr>
      </w:pPr>
    </w:p>
    <w:p w:rsidR="00C36789" w:rsidRDefault="004F3375">
      <w:pPr>
        <w:spacing w:after="0" w:line="360" w:lineRule="auto"/>
        <w:ind w:left="567" w:right="567"/>
        <w:rPr>
          <w:i/>
          <w:color w:val="000000"/>
          <w:sz w:val="20"/>
          <w:szCs w:val="20"/>
        </w:rPr>
      </w:pPr>
      <w:r>
        <w:rPr>
          <w:b/>
          <w:i/>
          <w:color w:val="000000"/>
          <w:sz w:val="20"/>
          <w:szCs w:val="20"/>
        </w:rPr>
        <w:t xml:space="preserve">“Vigésimo tercero. </w:t>
      </w:r>
      <w:r>
        <w:rPr>
          <w:i/>
          <w:color w:val="000000"/>
          <w:sz w:val="20"/>
          <w:szCs w:val="20"/>
        </w:rPr>
        <w:t>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rsidR="00C36789" w:rsidRDefault="00C36789">
      <w:pPr>
        <w:spacing w:after="0" w:line="360" w:lineRule="auto"/>
        <w:ind w:left="567" w:right="567"/>
        <w:rPr>
          <w:i/>
          <w:color w:val="000000"/>
          <w:sz w:val="20"/>
          <w:szCs w:val="20"/>
        </w:rPr>
      </w:pPr>
    </w:p>
    <w:p w:rsidR="00C36789" w:rsidRDefault="004F3375">
      <w:pPr>
        <w:spacing w:after="0" w:line="360" w:lineRule="auto"/>
        <w:rPr>
          <w:b/>
          <w:color w:val="000000"/>
        </w:rPr>
      </w:pPr>
      <w:r>
        <w:rPr>
          <w:color w:val="000000"/>
        </w:rPr>
        <w:lastRenderedPageBreak/>
        <w:t>Del Lineamiento referido, se desprende que para clasificar la información como reservada, será necesario acreditar un vínculo, entre la persona física y la información que pueda poner en riesgo su vida, seguridad o salud, es decir, se deben señalar el bien jurídico específico afectado y el potencial de daño o riesgo que causaría su difusión.</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Además, el artículo 81, fracción III, de la Ley de Seguridad del Estado de México, establece lo siguiente:</w:t>
      </w:r>
    </w:p>
    <w:p w:rsidR="00C36789" w:rsidRDefault="00C36789">
      <w:pPr>
        <w:spacing w:after="0" w:line="360" w:lineRule="auto"/>
        <w:rPr>
          <w:color w:val="000000"/>
        </w:rPr>
      </w:pPr>
    </w:p>
    <w:p w:rsidR="00C36789" w:rsidRDefault="004F3375">
      <w:pPr>
        <w:spacing w:after="0" w:line="360" w:lineRule="auto"/>
        <w:ind w:left="567" w:right="567"/>
        <w:rPr>
          <w:i/>
          <w:color w:val="000000"/>
          <w:sz w:val="20"/>
          <w:szCs w:val="20"/>
        </w:rPr>
      </w:pPr>
      <w:r>
        <w:rPr>
          <w:b/>
          <w:i/>
          <w:color w:val="000000"/>
          <w:sz w:val="20"/>
          <w:szCs w:val="20"/>
        </w:rPr>
        <w:t>“Artículo 81.-</w:t>
      </w:r>
      <w:r>
        <w:rPr>
          <w:i/>
          <w:color w:val="000000"/>
          <w:sz w:val="20"/>
          <w:szCs w:val="20"/>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rsidR="00C36789" w:rsidRDefault="004F3375">
      <w:pPr>
        <w:spacing w:after="0" w:line="360" w:lineRule="auto"/>
        <w:ind w:left="567" w:right="567"/>
        <w:rPr>
          <w:i/>
          <w:color w:val="000000"/>
          <w:sz w:val="20"/>
          <w:szCs w:val="20"/>
        </w:rPr>
      </w:pPr>
      <w:r>
        <w:rPr>
          <w:i/>
          <w:color w:val="000000"/>
          <w:sz w:val="20"/>
          <w:szCs w:val="20"/>
        </w:rPr>
        <w:t>…</w:t>
      </w:r>
    </w:p>
    <w:p w:rsidR="00C36789" w:rsidRDefault="004F3375">
      <w:pPr>
        <w:spacing w:after="0" w:line="360" w:lineRule="auto"/>
        <w:ind w:left="567" w:right="567"/>
        <w:rPr>
          <w:i/>
          <w:color w:val="000000"/>
          <w:sz w:val="20"/>
          <w:szCs w:val="20"/>
        </w:rPr>
      </w:pPr>
      <w:r>
        <w:rPr>
          <w:i/>
          <w:color w:val="000000"/>
          <w:sz w:val="20"/>
          <w:szCs w:val="20"/>
        </w:rPr>
        <w:t>III. La relativa a los servidores públicos integrantes de las instituciones de seguridad pública, cuya revelación pueda poner en riesgo su vida e integridad física con motivo de sus funciones;</w:t>
      </w:r>
    </w:p>
    <w:p w:rsidR="00C36789" w:rsidRDefault="004F3375">
      <w:pPr>
        <w:spacing w:after="0" w:line="360" w:lineRule="auto"/>
        <w:ind w:left="567" w:right="567"/>
        <w:rPr>
          <w:i/>
          <w:color w:val="000000"/>
          <w:sz w:val="20"/>
          <w:szCs w:val="20"/>
        </w:rPr>
      </w:pPr>
      <w:r>
        <w:rPr>
          <w:i/>
          <w:color w:val="000000"/>
          <w:sz w:val="20"/>
          <w:szCs w:val="20"/>
        </w:rPr>
        <w:t>…”</w:t>
      </w:r>
    </w:p>
    <w:p w:rsidR="00C36789" w:rsidRDefault="00C36789">
      <w:pPr>
        <w:spacing w:after="0" w:line="360" w:lineRule="auto"/>
        <w:rPr>
          <w:color w:val="000000"/>
          <w:sz w:val="20"/>
          <w:szCs w:val="20"/>
        </w:rPr>
      </w:pPr>
    </w:p>
    <w:p w:rsidR="00C36789" w:rsidRDefault="004F3375">
      <w:pPr>
        <w:spacing w:after="0" w:line="360" w:lineRule="auto"/>
        <w:rPr>
          <w:color w:val="000000"/>
        </w:rPr>
      </w:pPr>
      <w:r>
        <w:rPr>
          <w:color w:val="000000"/>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En ese contexto, es de señalar que los datos de servidores públicos, entre los que se encuentran el nombre de los trabajadores, por regla general, son de naturaleza pública, de conformidad con el artículo 70, fracción VII de la Ley General de Transparencia y Acceso a la Información Pública del Estado de México, y 92, fracción VII, de la Ley de Transparencia y Acceso a la Información Pública del Estado de México y Municipios.</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lastRenderedPageBreak/>
        <w:t>No obstante, resulta necesario traer a colación por analogía, el Criterio Orientador, con número de registro SO/006/2009, de la Primera Época, emitido por el entonces Instituto Federal de Acceso a la Información y Protección de Datos ahora Instituto Nacional de Transparencia, Acceso a la Información y Protección de Datos Personales, vigente a la fecha de la solicitud, que establece lo siguiente:</w:t>
      </w:r>
    </w:p>
    <w:p w:rsidR="00C36789" w:rsidRDefault="00C36789">
      <w:pPr>
        <w:spacing w:after="0" w:line="360" w:lineRule="auto"/>
        <w:rPr>
          <w:color w:val="000000"/>
        </w:rPr>
      </w:pPr>
    </w:p>
    <w:p w:rsidR="00C36789" w:rsidRDefault="004F3375">
      <w:pPr>
        <w:tabs>
          <w:tab w:val="left" w:pos="4962"/>
        </w:tabs>
        <w:spacing w:after="0" w:line="360" w:lineRule="auto"/>
        <w:ind w:left="567" w:right="567"/>
        <w:rPr>
          <w:i/>
          <w:color w:val="000000"/>
          <w:sz w:val="20"/>
          <w:szCs w:val="20"/>
        </w:rPr>
      </w:pPr>
      <w:r>
        <w:rPr>
          <w:b/>
          <w:i/>
          <w:color w:val="000000"/>
          <w:sz w:val="20"/>
          <w:szCs w:val="20"/>
        </w:rPr>
        <w:t>“Nombres de servidores públicos dedicados a actividades en materia de seguridad, por excepción pueden considerarse información reservada.</w:t>
      </w:r>
      <w:r>
        <w:rPr>
          <w:i/>
          <w:color w:val="000000"/>
          <w:sz w:val="20"/>
          <w:szCs w:val="20"/>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 xml:space="preserve">De dicho criterio, se desprende que existen funciones a cargo de servidores públicos, tendientes a garantizar de manera directa la seguridad pública, a través de acciones </w:t>
      </w:r>
      <w:r>
        <w:rPr>
          <w:color w:val="000000"/>
        </w:rPr>
        <w:lastRenderedPageBreak/>
        <w:t>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Además, el Criterio Reiterado 09/24, emitido por el Pleno de este Instituto, precisa que el nombre del personal operativo de seguridad pública debe clasificarse como información reservada, previa acreditación de la prueba de daño, ya que su publicidad podría poner en riesgo la vida, la seguridad o la salud del servidor público, ya que los vuelve plenamente identificables ante grupos delictivos.</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 xml:space="preserve">En ese orden de ideas, si bien por regla general los nombres de los trabajadores gubernamentales son información pública de oficio, existe una excepción relativa a </w:t>
      </w:r>
      <w:r>
        <w:rPr>
          <w:b/>
          <w:color w:val="000000"/>
        </w:rPr>
        <w:t>aquellos que realicen actividades operativas en materia de seguridad,</w:t>
      </w:r>
      <w:r>
        <w:rPr>
          <w:color w:val="000000"/>
        </w:rPr>
        <w:t xml:space="preserve"> como es el caso de los elementos operativos y la policía municipal.</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En ese contexto, el artículo 6°, fracciones XI y XII de dicho ordenamiento jurídico, establece los siguientes conceptos:</w:t>
      </w:r>
    </w:p>
    <w:p w:rsidR="00C36789" w:rsidRDefault="00C36789">
      <w:pPr>
        <w:spacing w:after="0" w:line="360" w:lineRule="auto"/>
        <w:rPr>
          <w:color w:val="000000"/>
        </w:rPr>
      </w:pPr>
    </w:p>
    <w:p w:rsidR="00C36789" w:rsidRDefault="004F3375">
      <w:pPr>
        <w:numPr>
          <w:ilvl w:val="0"/>
          <w:numId w:val="8"/>
        </w:numPr>
        <w:spacing w:after="0" w:line="360" w:lineRule="auto"/>
        <w:rPr>
          <w:b/>
          <w:color w:val="000000"/>
        </w:rPr>
      </w:pPr>
      <w:r>
        <w:rPr>
          <w:b/>
          <w:color w:val="000000"/>
        </w:rPr>
        <w:t xml:space="preserve">Instituciones Policiales: </w:t>
      </w:r>
      <w:r>
        <w:rPr>
          <w:color w:val="000000"/>
        </w:rPr>
        <w:t xml:space="preserve">Son los cuerpos de policía, de vigilancia y custodia de los establecimientos penitenciarios, detención preventiva, centros de arraigo y en general, </w:t>
      </w:r>
      <w:r>
        <w:rPr>
          <w:b/>
          <w:color w:val="000000"/>
        </w:rPr>
        <w:t>todas las dependencias encargadas de la seguridad pública a nivel</w:t>
      </w:r>
      <w:r>
        <w:rPr>
          <w:color w:val="000000"/>
        </w:rPr>
        <w:t xml:space="preserve"> estatal y </w:t>
      </w:r>
      <w:r>
        <w:rPr>
          <w:b/>
          <w:color w:val="000000"/>
        </w:rPr>
        <w:t>municipal.</w:t>
      </w:r>
    </w:p>
    <w:p w:rsidR="00C36789" w:rsidRDefault="00C36789">
      <w:pPr>
        <w:spacing w:after="0" w:line="360" w:lineRule="auto"/>
        <w:ind w:left="720"/>
        <w:rPr>
          <w:color w:val="000000"/>
        </w:rPr>
      </w:pPr>
    </w:p>
    <w:p w:rsidR="00C36789" w:rsidRDefault="004F3375">
      <w:pPr>
        <w:numPr>
          <w:ilvl w:val="0"/>
          <w:numId w:val="8"/>
        </w:numPr>
        <w:spacing w:after="0" w:line="360" w:lineRule="auto"/>
        <w:rPr>
          <w:b/>
          <w:color w:val="000000"/>
        </w:rPr>
      </w:pPr>
      <w:r>
        <w:rPr>
          <w:b/>
          <w:color w:val="000000"/>
        </w:rPr>
        <w:t xml:space="preserve">Instituciones de Seguridad Pública: </w:t>
      </w:r>
      <w:r>
        <w:rPr>
          <w:color w:val="000000"/>
        </w:rPr>
        <w:t xml:space="preserve">Instituciones Policiales, Procuración de Justicia, Sistema Penitenciario y </w:t>
      </w:r>
      <w:r>
        <w:rPr>
          <w:b/>
          <w:color w:val="000000"/>
        </w:rPr>
        <w:t xml:space="preserve">dependencias encargadas de la seguridad pública a nivel </w:t>
      </w:r>
      <w:r>
        <w:rPr>
          <w:color w:val="000000"/>
        </w:rPr>
        <w:t xml:space="preserve">estatal y </w:t>
      </w:r>
      <w:r>
        <w:rPr>
          <w:b/>
          <w:color w:val="000000"/>
        </w:rPr>
        <w:t>municipal.</w:t>
      </w:r>
    </w:p>
    <w:p w:rsidR="00C36789" w:rsidRDefault="00C36789">
      <w:pPr>
        <w:spacing w:after="0" w:line="360" w:lineRule="auto"/>
        <w:rPr>
          <w:b/>
          <w:color w:val="000000"/>
        </w:rPr>
      </w:pPr>
    </w:p>
    <w:p w:rsidR="00C36789" w:rsidRDefault="004F3375">
      <w:pPr>
        <w:spacing w:after="0" w:line="360" w:lineRule="auto"/>
        <w:rPr>
          <w:color w:val="000000"/>
        </w:rPr>
      </w:pPr>
      <w:r>
        <w:rPr>
          <w:color w:val="000000"/>
        </w:rPr>
        <w:t>Conforme a lo anterior, se puede deducir que la Dirección General de Seguridad y Protección, es una institución de seguridad pública, pues tiene como atribución principal, la prevención de delitos y proteger a las personas, sus propiedades, posesiones y derechos.</w:t>
      </w:r>
    </w:p>
    <w:p w:rsidR="00C36789" w:rsidRDefault="00C36789">
      <w:pPr>
        <w:spacing w:after="0" w:line="360" w:lineRule="auto"/>
        <w:rPr>
          <w:color w:val="000000"/>
        </w:rPr>
      </w:pPr>
    </w:p>
    <w:p w:rsidR="00C36789" w:rsidRDefault="004F3375">
      <w:pPr>
        <w:tabs>
          <w:tab w:val="left" w:pos="4962"/>
        </w:tabs>
        <w:spacing w:after="0" w:line="360" w:lineRule="auto"/>
        <w:ind w:right="-28"/>
        <w:rPr>
          <w:color w:val="000000"/>
        </w:rPr>
      </w:pPr>
      <w:r>
        <w:rPr>
          <w:color w:val="000000"/>
        </w:rPr>
        <w:t xml:space="preserve">Además, el Instructivo de llenado del Formato “Personal de Seguridad Pública”, del Secretariado Ejecutivo del Sistema Nacional de Seguridad Pública, establece que los elementos operativos de seguridad pública, son aquellos que desempeñan funciones de campo (policiacas, especializadas o equivalentes y que no </w:t>
      </w:r>
      <w:r>
        <w:rPr>
          <w:b/>
          <w:color w:val="000000"/>
        </w:rPr>
        <w:t>desempeña funciones de mando</w:t>
      </w:r>
      <w:r>
        <w:rPr>
          <w:color w:val="000000"/>
        </w:rPr>
        <w:t xml:space="preserve">), entre los cuales, se encuentra </w:t>
      </w:r>
      <w:r>
        <w:rPr>
          <w:b/>
          <w:color w:val="000000"/>
        </w:rPr>
        <w:t>la Policía Municipal</w:t>
      </w:r>
      <w:r>
        <w:rPr>
          <w:color w:val="000000"/>
        </w:rPr>
        <w:t>.</w:t>
      </w:r>
    </w:p>
    <w:p w:rsidR="00C36789" w:rsidRDefault="00C36789">
      <w:pPr>
        <w:tabs>
          <w:tab w:val="left" w:pos="4962"/>
        </w:tabs>
        <w:spacing w:after="0" w:line="360" w:lineRule="auto"/>
        <w:ind w:right="-28"/>
        <w:rPr>
          <w:color w:val="000000"/>
        </w:rPr>
      </w:pPr>
    </w:p>
    <w:p w:rsidR="00C36789" w:rsidRDefault="004F3375">
      <w:pPr>
        <w:tabs>
          <w:tab w:val="left" w:pos="4962"/>
        </w:tabs>
        <w:spacing w:after="0" w:line="360" w:lineRule="auto"/>
        <w:ind w:right="-28"/>
        <w:rPr>
          <w:color w:val="000000"/>
        </w:rPr>
      </w:pPr>
      <w:r>
        <w:rPr>
          <w:color w:val="000000"/>
        </w:rPr>
        <w:t xml:space="preserve">Asimismo, se advierte que las Instituciones Policiales, se conforman del personal </w:t>
      </w:r>
      <w:r>
        <w:rPr>
          <w:b/>
          <w:color w:val="000000"/>
        </w:rPr>
        <w:t>administrativo,</w:t>
      </w:r>
      <w:r>
        <w:rPr>
          <w:color w:val="000000"/>
        </w:rPr>
        <w:t xml:space="preserve"> que son los trabajadores de apoyo (chofer, personal de mantenimiento, servicios generales y área secretaria); </w:t>
      </w:r>
      <w:r>
        <w:rPr>
          <w:b/>
          <w:color w:val="000000"/>
        </w:rPr>
        <w:t>así como, el personal de mando</w:t>
      </w:r>
      <w:r>
        <w:rPr>
          <w:color w:val="000000"/>
        </w:rPr>
        <w:t xml:space="preserve"> (alto, medio y superior), que es aquel que realiza funciones de dirección, coordinación y supervisión, por lo cual, corresponde a aquel que tenga trabajadores a su cargo.</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lastRenderedPageBreak/>
        <w:t>Así, dar a conocer el nombre de las personas, vinculado con el hecho que son policías,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 xml:space="preserve">Sin embargo, por lo que hace al </w:t>
      </w:r>
      <w:r>
        <w:rPr>
          <w:b/>
          <w:color w:val="000000"/>
        </w:rPr>
        <w:t>personal administrativo y los mandos medios y superiores</w:t>
      </w:r>
      <w:r>
        <w:rPr>
          <w:color w:val="000000"/>
        </w:rPr>
        <w:t>, se advierte que estos no realizan funciones operativas, sino únicamente realizan actividades de apoyo y dirección respectivamente, por lo que, no procede la causal de reserva establecida en el artículo 140, fracción IV, de la Ley de la materia, pues por el tipo de funciones que realizan, no se pone en peligro su vida, seguridad o salud de este tipo de trabajadores.</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De tal situación, se considera que dar a conocer el nombre de los elementos operativos en materia de seguridad, como lo son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 xml:space="preserve">Lo anterior toma relevancia pues los individuos con pretensiones delictivas pudieran promover algún vínculo o relación directa con los elementos operativos, que incluye a la </w:t>
      </w:r>
      <w:r>
        <w:rPr>
          <w:color w:val="000000"/>
        </w:rPr>
        <w:lastRenderedPageBreak/>
        <w:t>policía municipal o bien, someterla a extorsión o amenazas con el fin de obtener información sensible sobre el modus operandi de dicha área, lo cual se traduciría en un detrimento al combate a la delincuencia y un perjuicio a la seguridad pública, vulnerando así, el interés general.</w:t>
      </w:r>
    </w:p>
    <w:p w:rsidR="00C36789" w:rsidRDefault="00C36789">
      <w:pPr>
        <w:spacing w:after="0" w:line="360" w:lineRule="auto"/>
        <w:rPr>
          <w:color w:val="000000"/>
        </w:rPr>
      </w:pPr>
    </w:p>
    <w:p w:rsidR="00C36789" w:rsidRDefault="004F3375">
      <w:pPr>
        <w:spacing w:after="0" w:line="360" w:lineRule="auto"/>
        <w:rPr>
          <w:b/>
          <w:color w:val="000000"/>
        </w:rPr>
      </w:pPr>
      <w:r>
        <w:rPr>
          <w:color w:val="000000"/>
        </w:rPr>
        <w:t xml:space="preserve">Por tales consideraciones, </w:t>
      </w:r>
      <w:r>
        <w:rPr>
          <w:b/>
          <w:color w:val="000000"/>
        </w:rPr>
        <w:t xml:space="preserve">resulta procedente la reserva del nombre de los elementos operativos adscritos a la Dirección de General de Seguridad y Protección, en términos del artículo 140, fracción IV, de </w:t>
      </w:r>
      <w:proofErr w:type="spellStart"/>
      <w:r>
        <w:rPr>
          <w:b/>
          <w:color w:val="000000"/>
        </w:rPr>
        <w:t>de</w:t>
      </w:r>
      <w:proofErr w:type="spellEnd"/>
      <w:r>
        <w:rPr>
          <w:b/>
          <w:color w:val="000000"/>
        </w:rPr>
        <w:t xml:space="preserve"> la Ley de Transparencia y Acceso a la Información Pública del Estado de México y Municipios.</w:t>
      </w:r>
    </w:p>
    <w:p w:rsidR="00C36789" w:rsidRDefault="00C36789">
      <w:pPr>
        <w:spacing w:after="0" w:line="360" w:lineRule="auto"/>
        <w:rPr>
          <w:b/>
          <w:color w:val="000000"/>
        </w:rPr>
      </w:pPr>
    </w:p>
    <w:p w:rsidR="00C36789" w:rsidRDefault="004F3375">
      <w:pPr>
        <w:tabs>
          <w:tab w:val="left" w:pos="4962"/>
        </w:tabs>
        <w:spacing w:after="0" w:line="360" w:lineRule="auto"/>
        <w:rPr>
          <w:color w:val="000000"/>
        </w:rPr>
      </w:pPr>
      <w:r>
        <w:rPr>
          <w:color w:val="000000"/>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rsidR="00C36789" w:rsidRDefault="00C36789">
      <w:pPr>
        <w:tabs>
          <w:tab w:val="left" w:pos="4962"/>
        </w:tabs>
        <w:spacing w:after="0" w:line="360" w:lineRule="auto"/>
        <w:rPr>
          <w:color w:val="000000"/>
        </w:rPr>
      </w:pPr>
    </w:p>
    <w:p w:rsidR="00C36789" w:rsidRDefault="004F3375">
      <w:pPr>
        <w:numPr>
          <w:ilvl w:val="0"/>
          <w:numId w:val="7"/>
        </w:numPr>
        <w:tabs>
          <w:tab w:val="left" w:pos="4962"/>
        </w:tabs>
        <w:spacing w:after="0" w:line="360" w:lineRule="auto"/>
        <w:ind w:left="709" w:hanging="436"/>
        <w:rPr>
          <w:color w:val="000000"/>
        </w:rPr>
      </w:pPr>
      <w:r>
        <w:rPr>
          <w:color w:val="000000"/>
        </w:rPr>
        <w:t>La divulgación de la información representa un riesgo real, demostrable e identificable de perjuicio significativo al interés público o a la seguridad nacional.</w:t>
      </w:r>
    </w:p>
    <w:p w:rsidR="00C36789" w:rsidRDefault="00C36789">
      <w:pPr>
        <w:tabs>
          <w:tab w:val="left" w:pos="4962"/>
        </w:tabs>
        <w:spacing w:after="0" w:line="360" w:lineRule="auto"/>
        <w:ind w:left="709"/>
        <w:rPr>
          <w:color w:val="000000"/>
        </w:rPr>
      </w:pPr>
    </w:p>
    <w:p w:rsidR="00C36789" w:rsidRDefault="004F3375">
      <w:pPr>
        <w:numPr>
          <w:ilvl w:val="0"/>
          <w:numId w:val="7"/>
        </w:numPr>
        <w:tabs>
          <w:tab w:val="left" w:pos="4962"/>
        </w:tabs>
        <w:spacing w:after="0" w:line="360" w:lineRule="auto"/>
        <w:ind w:left="709" w:hanging="436"/>
        <w:jc w:val="left"/>
        <w:rPr>
          <w:color w:val="000000"/>
        </w:rPr>
      </w:pPr>
      <w:r>
        <w:rPr>
          <w:color w:val="000000"/>
        </w:rPr>
        <w:t>El riesgo de perjuicio supera el interés público general de que se difunda.</w:t>
      </w:r>
    </w:p>
    <w:p w:rsidR="00C36789" w:rsidRDefault="00C36789">
      <w:pPr>
        <w:pBdr>
          <w:top w:val="nil"/>
          <w:left w:val="nil"/>
          <w:bottom w:val="nil"/>
          <w:right w:val="nil"/>
          <w:between w:val="nil"/>
        </w:pBdr>
        <w:spacing w:after="0" w:line="360" w:lineRule="auto"/>
        <w:ind w:left="720"/>
        <w:rPr>
          <w:color w:val="000000"/>
        </w:rPr>
      </w:pPr>
    </w:p>
    <w:p w:rsidR="00C36789" w:rsidRDefault="004F3375">
      <w:pPr>
        <w:numPr>
          <w:ilvl w:val="0"/>
          <w:numId w:val="7"/>
        </w:numPr>
        <w:tabs>
          <w:tab w:val="left" w:pos="4962"/>
        </w:tabs>
        <w:spacing w:after="0" w:line="360" w:lineRule="auto"/>
        <w:ind w:left="709" w:hanging="436"/>
        <w:jc w:val="left"/>
        <w:rPr>
          <w:color w:val="000000"/>
        </w:rPr>
      </w:pPr>
      <w:r>
        <w:rPr>
          <w:color w:val="000000"/>
        </w:rPr>
        <w:t>Que la limitación se adecua al principio de proporcionalidad y representa el medio menos restrictivo disponible para evitar el perjuicio.</w:t>
      </w:r>
    </w:p>
    <w:p w:rsidR="00C36789" w:rsidRDefault="00C36789">
      <w:pPr>
        <w:spacing w:after="0" w:line="360" w:lineRule="auto"/>
        <w:jc w:val="left"/>
        <w:rPr>
          <w:color w:val="000000"/>
        </w:rPr>
      </w:pPr>
    </w:p>
    <w:p w:rsidR="00C36789" w:rsidRDefault="004F3375">
      <w:pPr>
        <w:spacing w:after="0" w:line="360" w:lineRule="auto"/>
        <w:rPr>
          <w:color w:val="000000"/>
        </w:rPr>
      </w:pPr>
      <w:r>
        <w:rPr>
          <w:color w:val="000000"/>
        </w:rPr>
        <w:t xml:space="preserve">Además, el artículo 125 de la Ley de la materia, establece que la información clasificada como reservada según el artículo 140 de la Ley de Transparencia y Acceso a la Información Pública </w:t>
      </w:r>
      <w:r>
        <w:rPr>
          <w:color w:val="000000"/>
        </w:rPr>
        <w:lastRenderedPageBreak/>
        <w:t>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clasificar el nombre de los elementos operativos de la Dirección General de Seguridad y Protección, de manera fundada y motivada, mediante la respectiva prueba de daño, y deberá proporcionar la información del personal administrativo y mandos medios y superiores de dicha área.</w:t>
      </w:r>
    </w:p>
    <w:p w:rsidR="00C36789" w:rsidRDefault="00C36789">
      <w:pPr>
        <w:tabs>
          <w:tab w:val="center" w:pos="4522"/>
        </w:tabs>
        <w:spacing w:after="0" w:line="360" w:lineRule="auto"/>
        <w:rPr>
          <w:color w:val="000000"/>
        </w:rPr>
      </w:pPr>
    </w:p>
    <w:p w:rsidR="00C36789" w:rsidRDefault="004F3375">
      <w:pPr>
        <w:widowControl w:val="0"/>
        <w:spacing w:after="0" w:line="360" w:lineRule="auto"/>
        <w:rPr>
          <w:color w:val="000000"/>
        </w:rPr>
      </w:pPr>
      <w:r>
        <w:rPr>
          <w:color w:val="000000"/>
        </w:rPr>
        <w:t xml:space="preserve">Además, no pasa desapercibido para este Instituto que los documentos que den cuenta de lo peticionado, pudieran contar con datos confidenciales como la Clave Única de Registro de Población o el Registro Federal de Contribuyentes, los cuales se precisan de manera enunciativa, más no limitativa; mismos que serán objeto de estudio en párrafos posteriores. </w:t>
      </w:r>
    </w:p>
    <w:p w:rsidR="00C36789" w:rsidRDefault="00C36789">
      <w:pPr>
        <w:widowControl w:val="0"/>
        <w:spacing w:after="0" w:line="360" w:lineRule="auto"/>
        <w:rPr>
          <w:color w:val="000000"/>
        </w:rPr>
      </w:pPr>
    </w:p>
    <w:p w:rsidR="00C36789" w:rsidRDefault="004F3375">
      <w:pPr>
        <w:spacing w:after="0" w:line="360" w:lineRule="auto"/>
      </w:pPr>
      <w:r>
        <w:rPr>
          <w:color w:val="000000"/>
        </w:rPr>
        <w:t xml:space="preserve"> Ahora bien, con relación con los </w:t>
      </w:r>
      <w:r>
        <w:rPr>
          <w:b/>
          <w:color w:val="000000"/>
        </w:rPr>
        <w:t>puntos 14 y 15</w:t>
      </w:r>
      <w:r>
        <w:rPr>
          <w:color w:val="000000"/>
        </w:rPr>
        <w:t xml:space="preserve">, relacionados con las altas, bajas y renuncias de los servidores públicos del primero al treinta y uno de enero de dos mil veinticinco, cabe precisar que, respecto a las </w:t>
      </w:r>
      <w:proofErr w:type="spellStart"/>
      <w:r>
        <w:rPr>
          <w:color w:val="000000"/>
        </w:rPr>
        <w:t>albas</w:t>
      </w:r>
      <w:proofErr w:type="spellEnd"/>
      <w:r>
        <w:rPr>
          <w:color w:val="000000"/>
        </w:rPr>
        <w:t xml:space="preserve"> y bajas</w:t>
      </w:r>
      <w:r>
        <w:t xml:space="preserve">, la </w:t>
      </w:r>
      <w:r>
        <w:rPr>
          <w:b/>
        </w:rPr>
        <w:t xml:space="preserve">Guía técnica 07. La administración del personal municipal </w:t>
      </w:r>
      <w:r>
        <w:t xml:space="preserve">del Instituto Nacional de Administración Pública establece que, dentro de las actividades básicas de la administración de personal, se encuentran las siguientes: </w:t>
      </w:r>
    </w:p>
    <w:p w:rsidR="00C36789" w:rsidRDefault="00C36789">
      <w:pPr>
        <w:spacing w:after="0" w:line="360" w:lineRule="auto"/>
      </w:pPr>
    </w:p>
    <w:p w:rsidR="00C36789" w:rsidRDefault="004F3375">
      <w:pPr>
        <w:numPr>
          <w:ilvl w:val="0"/>
          <w:numId w:val="9"/>
        </w:numPr>
        <w:pBdr>
          <w:top w:val="nil"/>
          <w:left w:val="nil"/>
          <w:bottom w:val="nil"/>
          <w:right w:val="nil"/>
          <w:between w:val="nil"/>
        </w:pBdr>
        <w:spacing w:after="0" w:line="360" w:lineRule="auto"/>
        <w:rPr>
          <w:color w:val="000000"/>
        </w:rPr>
      </w:pPr>
      <w:r>
        <w:rPr>
          <w:b/>
          <w:color w:val="000000"/>
        </w:rPr>
        <w:t>Formalización de la relación laboral</w:t>
      </w:r>
      <w:r>
        <w:rPr>
          <w:color w:val="000000"/>
        </w:rPr>
        <w:t xml:space="preserve">: La formalización de la relación de trabajo se realiza a través del contrato y del nombramiento, mediante los cuales la administración municipal acepta y reconoce el ingreso de una persona para ocupar </w:t>
      </w:r>
      <w:r>
        <w:rPr>
          <w:color w:val="000000"/>
        </w:rPr>
        <w:lastRenderedPageBreak/>
        <w:t>algún puesto vacante y otorga a sus trabajadores los derechos y obligaciones que fijan las leyes.</w:t>
      </w:r>
    </w:p>
    <w:p w:rsidR="00C36789" w:rsidRDefault="00C36789">
      <w:pPr>
        <w:pBdr>
          <w:top w:val="nil"/>
          <w:left w:val="nil"/>
          <w:bottom w:val="nil"/>
          <w:right w:val="nil"/>
          <w:between w:val="nil"/>
        </w:pBdr>
        <w:spacing w:after="0" w:line="360" w:lineRule="auto"/>
        <w:ind w:left="720"/>
        <w:rPr>
          <w:color w:val="000000"/>
        </w:rPr>
      </w:pPr>
    </w:p>
    <w:p w:rsidR="00C36789" w:rsidRDefault="004F3375">
      <w:pPr>
        <w:numPr>
          <w:ilvl w:val="0"/>
          <w:numId w:val="9"/>
        </w:numPr>
        <w:pBdr>
          <w:top w:val="nil"/>
          <w:left w:val="nil"/>
          <w:bottom w:val="nil"/>
          <w:right w:val="nil"/>
          <w:between w:val="nil"/>
        </w:pBdr>
        <w:spacing w:after="0" w:line="360" w:lineRule="auto"/>
        <w:rPr>
          <w:color w:val="000000"/>
        </w:rPr>
      </w:pPr>
      <w:r>
        <w:rPr>
          <w:b/>
          <w:color w:val="000000"/>
        </w:rPr>
        <w:t>Terminación de la relación laboral</w:t>
      </w:r>
      <w:r>
        <w:rPr>
          <w:color w:val="000000"/>
        </w:rPr>
        <w:t xml:space="preserve">: Un empleado puede dejar de prestar sus servicios al municipio por diferentes casusas, como son: jubilación, renuncia, terminación, suspensión o rescisión del contrato. </w:t>
      </w:r>
    </w:p>
    <w:p w:rsidR="00C36789" w:rsidRDefault="00C36789">
      <w:pPr>
        <w:spacing w:after="0" w:line="360" w:lineRule="auto"/>
      </w:pPr>
    </w:p>
    <w:p w:rsidR="00C36789" w:rsidRDefault="004F3375">
      <w:pPr>
        <w:spacing w:after="0" w:line="360" w:lineRule="auto"/>
      </w:pPr>
      <w:r>
        <w:t xml:space="preserve">En ese contexto, los artículos 50 y 89 de la Ley del Trabajo de los Servidores Públicos del Estado y Municipios, precisan que el nombramiento, contrato o formato único de movimiento de personal son documentos que obligan al servidor público a cumplir los deberes inherentes al puesto especificado. Del mismo modo, son causas de terminación de la relación laboral sin responsabilidad para las instituciones públicas las siguientes: la </w:t>
      </w:r>
      <w:r>
        <w:rPr>
          <w:b/>
        </w:rPr>
        <w:t xml:space="preserve">renuncia </w:t>
      </w:r>
      <w:r>
        <w:t xml:space="preserve">del servidor público, el mutuo acuerdo de las partes, el vencimiento del término o conclusión de la administración en la cual fue contratado, la muerte del servidor público y la incapacidad permanente del servidor público. </w:t>
      </w:r>
    </w:p>
    <w:p w:rsidR="00C36789" w:rsidRDefault="00C36789">
      <w:pPr>
        <w:spacing w:after="0" w:line="360" w:lineRule="auto"/>
      </w:pPr>
    </w:p>
    <w:p w:rsidR="00C36789" w:rsidRDefault="004F3375">
      <w:pPr>
        <w:tabs>
          <w:tab w:val="left" w:pos="4962"/>
        </w:tabs>
        <w:spacing w:after="0" w:line="360" w:lineRule="auto"/>
      </w:pPr>
      <w:r>
        <w:t xml:space="preserve">De la misma manera, la Guía Técnica 9 “La Administración del Personal Municipal”, emitida por el Instituto Nacional para el Federalismo y el Desarrollo Municipal, define a la </w:t>
      </w:r>
      <w:r>
        <w:rPr>
          <w:b/>
        </w:rPr>
        <w:t>Renuncia</w:t>
      </w:r>
      <w:r>
        <w:t xml:space="preserve"> como el acto mediante el cual el empleado, voluntariamente, decide dejar de prestar sus servicios al municipio, esta puede ser </w:t>
      </w:r>
      <w:r>
        <w:rPr>
          <w:b/>
        </w:rPr>
        <w:t>verbal o escrita</w:t>
      </w:r>
      <w:r>
        <w:t xml:space="preserve">, en la primera el trabajador manifiesta oralmente su inconformidad y decide dejar de trabajar; la renuncia </w:t>
      </w:r>
      <w:r>
        <w:rPr>
          <w:b/>
        </w:rPr>
        <w:t>escrita</w:t>
      </w:r>
      <w:r>
        <w:t xml:space="preserve"> es el documento mediante el cual el empleado justifica su voluntad de dejar de prestar sus servicios al municipio. </w:t>
      </w:r>
    </w:p>
    <w:p w:rsidR="00C36789" w:rsidRDefault="00C36789">
      <w:pPr>
        <w:spacing w:after="0" w:line="360" w:lineRule="auto"/>
      </w:pPr>
    </w:p>
    <w:p w:rsidR="00C36789" w:rsidRDefault="00C36789">
      <w:pPr>
        <w:spacing w:after="0" w:line="360" w:lineRule="auto"/>
      </w:pPr>
    </w:p>
    <w:p w:rsidR="00C36789" w:rsidRDefault="00C36789">
      <w:pPr>
        <w:spacing w:after="0" w:line="360" w:lineRule="auto"/>
      </w:pPr>
    </w:p>
    <w:p w:rsidR="00C36789" w:rsidRDefault="004F3375">
      <w:pPr>
        <w:spacing w:after="0" w:line="360" w:lineRule="auto"/>
      </w:pPr>
      <w:r>
        <w:lastRenderedPageBreak/>
        <w:t xml:space="preserve">Así, se advierte que derivado de las actividades básicas de la administración de personal, las Instituciones Públicas realizan diversos actos por medio de los cuales se da cuenta del inicial y terminación de la relación laboral con los servidores públicos. </w:t>
      </w:r>
    </w:p>
    <w:p w:rsidR="00C36789" w:rsidRDefault="00C36789">
      <w:pPr>
        <w:spacing w:after="0" w:line="360" w:lineRule="auto"/>
      </w:pPr>
    </w:p>
    <w:p w:rsidR="00C36789" w:rsidRDefault="004F3375">
      <w:pPr>
        <w:spacing w:after="0" w:line="360" w:lineRule="auto"/>
      </w:pPr>
      <w:r>
        <w:t xml:space="preserve">En ese orden de ideas, el Manual de Procedimientos para la afiliación y credencialización de los derechohabientes del ISSEMYM, que establece, que el servidor público designado por la institución pública, que incluye a los Municipios (Usuario Autorizado), será el responsable de generar y entregar con oportunidad a los trabajadores, </w:t>
      </w:r>
      <w:r>
        <w:rPr>
          <w:b/>
        </w:rPr>
        <w:t xml:space="preserve">los Avisos de Movimiento (Alta y Baja), </w:t>
      </w:r>
      <w:r>
        <w:t>para realizar sus respectivos trámites ante el Instituto de Seguridad Social del Estado de México y Municipios.</w:t>
      </w:r>
    </w:p>
    <w:p w:rsidR="00C36789" w:rsidRDefault="00C36789">
      <w:pPr>
        <w:spacing w:after="0" w:line="360" w:lineRule="auto"/>
      </w:pPr>
    </w:p>
    <w:p w:rsidR="00C36789" w:rsidRDefault="004F3375">
      <w:pPr>
        <w:spacing w:after="0" w:line="360" w:lineRule="auto"/>
      </w:pPr>
      <w:r>
        <w:t xml:space="preserve">Asimismo, cabe precisar que la Dirección de Administración a través del Departamento de Recursos humanos, dentro de sus funciones tiene la de autorizar as altas y bajas del personal adscrito al Ayuntamiento de Toluca, por lo que el Formato Único de Movimientos de Personal es el documento que evidencia que los movimientos de alta, baja, transferencia, promoción, democión y licencia fueron efectuados, tal y como se muestra en la siguiente imagen ilustrativa a modo de referencia: </w:t>
      </w:r>
    </w:p>
    <w:p w:rsidR="00C36789" w:rsidRDefault="00C36789">
      <w:pPr>
        <w:spacing w:after="0" w:line="360" w:lineRule="auto"/>
      </w:pPr>
    </w:p>
    <w:p w:rsidR="00C36789" w:rsidRDefault="004F3375">
      <w:pPr>
        <w:spacing w:after="0" w:line="360" w:lineRule="auto"/>
        <w:jc w:val="center"/>
      </w:pPr>
      <w:r>
        <w:rPr>
          <w:noProof/>
        </w:rPr>
        <w:drawing>
          <wp:inline distT="0" distB="0" distL="0" distR="0">
            <wp:extent cx="3871295" cy="2110923"/>
            <wp:effectExtent l="0" t="0" r="0" b="0"/>
            <wp:docPr id="2038874685" name="image25.png"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5.png" descr="Interfaz de usuario gráfica, Aplicación&#10;&#10;El contenido generado por IA puede ser incorrecto."/>
                    <pic:cNvPicPr preferRelativeResize="0"/>
                  </pic:nvPicPr>
                  <pic:blipFill>
                    <a:blip r:embed="rId29"/>
                    <a:srcRect/>
                    <a:stretch>
                      <a:fillRect/>
                    </a:stretch>
                  </pic:blipFill>
                  <pic:spPr>
                    <a:xfrm>
                      <a:off x="0" y="0"/>
                      <a:ext cx="3871295" cy="2110923"/>
                    </a:xfrm>
                    <a:prstGeom prst="rect">
                      <a:avLst/>
                    </a:prstGeom>
                    <a:ln/>
                  </pic:spPr>
                </pic:pic>
              </a:graphicData>
            </a:graphic>
          </wp:inline>
        </w:drawing>
      </w:r>
    </w:p>
    <w:p w:rsidR="00C36789" w:rsidRDefault="004F3375">
      <w:pPr>
        <w:spacing w:after="0" w:line="360" w:lineRule="auto"/>
        <w:jc w:val="center"/>
      </w:pPr>
      <w:r>
        <w:rPr>
          <w:noProof/>
        </w:rPr>
        <w:lastRenderedPageBreak/>
        <w:drawing>
          <wp:inline distT="0" distB="0" distL="0" distR="0">
            <wp:extent cx="3749478" cy="2081432"/>
            <wp:effectExtent l="0" t="0" r="0" b="0"/>
            <wp:docPr id="2038874686" name="image27.png"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7.png" descr="Interfaz de usuario gráfica, Aplicación&#10;&#10;El contenido generado por IA puede ser incorrecto."/>
                    <pic:cNvPicPr preferRelativeResize="0"/>
                  </pic:nvPicPr>
                  <pic:blipFill>
                    <a:blip r:embed="rId30"/>
                    <a:srcRect/>
                    <a:stretch>
                      <a:fillRect/>
                    </a:stretch>
                  </pic:blipFill>
                  <pic:spPr>
                    <a:xfrm>
                      <a:off x="0" y="0"/>
                      <a:ext cx="3749478" cy="2081432"/>
                    </a:xfrm>
                    <a:prstGeom prst="rect">
                      <a:avLst/>
                    </a:prstGeom>
                    <a:ln/>
                  </pic:spPr>
                </pic:pic>
              </a:graphicData>
            </a:graphic>
          </wp:inline>
        </w:drawing>
      </w:r>
    </w:p>
    <w:p w:rsidR="00C36789" w:rsidRDefault="00C36789">
      <w:pPr>
        <w:widowControl w:val="0"/>
        <w:spacing w:after="0" w:line="360" w:lineRule="auto"/>
      </w:pPr>
    </w:p>
    <w:p w:rsidR="00C36789" w:rsidRDefault="004F3375">
      <w:pPr>
        <w:widowControl w:val="0"/>
        <w:spacing w:after="0" w:line="360" w:lineRule="auto"/>
      </w:pPr>
      <w:r>
        <w:t xml:space="preserve">Conforme a lo anterior, el Ayuntamiento de Toluca dentro de sus archivos debe de contar con el Formato Único de Movimiento de Personal que </w:t>
      </w:r>
      <w:proofErr w:type="spellStart"/>
      <w:r>
        <w:t>de</w:t>
      </w:r>
      <w:proofErr w:type="spellEnd"/>
      <w:r>
        <w:t xml:space="preserve"> cuenta de las altas y bajas de los servidores públicos, sin embargo para el caso de que no todos los servidores públicos cuenten con dicho formato, puede atender el requerimiento de información con el nombramiento o los contratos, de conformidad con el artículo 49 de la Ley de Trabajo de los Servidores Públicos del Estado de México y Municipios, pues entre otros requisitos deben de contener el nombre completo del servidor público, cargo para el que fue designado, fecha de inicio en el cargo, área de adscripción y la firma del servidor público autorizado para emitir el nombramiento, contrato o Formato Único de Personal de movimiento de personal.  </w:t>
      </w:r>
    </w:p>
    <w:p w:rsidR="00C36789" w:rsidRDefault="00C36789">
      <w:pPr>
        <w:widowControl w:val="0"/>
        <w:spacing w:after="0" w:line="360" w:lineRule="auto"/>
      </w:pPr>
    </w:p>
    <w:p w:rsidR="00C36789" w:rsidRDefault="004F3375">
      <w:pPr>
        <w:widowControl w:val="0"/>
        <w:spacing w:after="0" w:line="360" w:lineRule="auto"/>
      </w:pPr>
      <w:r>
        <w:t xml:space="preserve">Asimismo, se debe de referir que la dirección de Administración por medio del Departamento de Administración Personal cuenta con la función de proporcionar la información para la elaboración y cálculo de finiquitos, derivado de indemnizaciones, jubilaciones y renuncias, por lo cual, se colige que las renuncias al formar parte de la integración de los expedientes de personal es que la Dirección de Administración es el área competente para atender el requerimiento de información </w:t>
      </w:r>
    </w:p>
    <w:p w:rsidR="00C36789" w:rsidRDefault="00C36789">
      <w:pPr>
        <w:widowControl w:val="0"/>
        <w:spacing w:after="0" w:line="360" w:lineRule="auto"/>
      </w:pPr>
    </w:p>
    <w:p w:rsidR="00C36789" w:rsidRDefault="004F3375">
      <w:pPr>
        <w:widowControl w:val="0"/>
        <w:spacing w:after="0" w:line="360" w:lineRule="auto"/>
      </w:pPr>
      <w:r>
        <w:t xml:space="preserve">Para el caso, que del primero al treinta y uno de enero de dos mil veinticinco no se hubieran </w:t>
      </w:r>
      <w:r>
        <w:lastRenderedPageBreak/>
        <w:t>realizado bajas de personal o efectuado renuncias, bastará con que lo haga del conocimiento de la persona Recurrente, de conformidad con el artículo 19 párrafo segundo de la Ley de Transparencia y Acceso a la Información Pública del Estado de México y Municipios.</w:t>
      </w:r>
    </w:p>
    <w:p w:rsidR="00C36789" w:rsidRDefault="00C36789">
      <w:pPr>
        <w:widowControl w:val="0"/>
        <w:spacing w:after="0" w:line="360" w:lineRule="auto"/>
      </w:pPr>
    </w:p>
    <w:p w:rsidR="00C36789" w:rsidRDefault="004F3375">
      <w:pPr>
        <w:spacing w:after="0" w:line="360" w:lineRule="auto"/>
        <w:rPr>
          <w:b/>
        </w:rPr>
      </w:pPr>
      <w:r>
        <w:t xml:space="preserve">En otro orden de ideas, en relación con los </w:t>
      </w:r>
      <w:r>
        <w:rPr>
          <w:b/>
        </w:rPr>
        <w:t>puntos 19 y 20</w:t>
      </w:r>
      <w:r>
        <w:t xml:space="preserve">, referentes al número de laudos al cinco de febrero de dos mil veinticinco y el monto de la deuda pública que dejó la Administración Pública Municipal 2022-2024, cabe precisar que la Ley Orgánica Municipal del Estado de México, establece en su artículo 102 que los Municipios podrán contar obligaciones directas y contingentes derivadas de créditos en términos de la Ley de Deuda Pública Municipal del Estado, </w:t>
      </w:r>
      <w:r>
        <w:rPr>
          <w:b/>
        </w:rPr>
        <w:t xml:space="preserve"> en atención a ello, están facultados para contratar o adquirir deudas.</w:t>
      </w:r>
    </w:p>
    <w:p w:rsidR="00C36789" w:rsidRDefault="00C36789">
      <w:pPr>
        <w:spacing w:after="0" w:line="360" w:lineRule="auto"/>
        <w:rPr>
          <w:b/>
        </w:rPr>
      </w:pPr>
    </w:p>
    <w:p w:rsidR="00C36789" w:rsidRDefault="004F3375">
      <w:pPr>
        <w:spacing w:after="0" w:line="360" w:lineRule="auto"/>
        <w:rPr>
          <w:b/>
        </w:rPr>
      </w:pPr>
      <w:r>
        <w:t xml:space="preserve">Dicha Ley establece también en su artículo 101, que el proyecto del presupuesto de egresos se integrará básicamente con diversos aspectos, entre ellos, la situación de la </w:t>
      </w:r>
      <w:r>
        <w:rPr>
          <w:b/>
        </w:rPr>
        <w:t>deuda pública</w:t>
      </w:r>
      <w:r>
        <w:t xml:space="preserve">, incluyendo el contingente económico de los litigios laborales en los que el ayuntamiento forme parte, </w:t>
      </w:r>
      <w:r>
        <w:rPr>
          <w:b/>
        </w:rPr>
        <w:t xml:space="preserve">en atención a ello, se advierte que el Sujeto Obligado puede conocer de la información de la deuda pública en cada uno de los presupuestos de egresos. </w:t>
      </w:r>
    </w:p>
    <w:p w:rsidR="00C36789" w:rsidRDefault="00C36789">
      <w:pPr>
        <w:spacing w:after="0" w:line="360" w:lineRule="auto"/>
      </w:pPr>
    </w:p>
    <w:p w:rsidR="00C36789" w:rsidRDefault="004F3375">
      <w:pPr>
        <w:spacing w:after="0" w:line="360" w:lineRule="auto"/>
      </w:pPr>
      <w:r>
        <w:t>Asimismo, el artículo 341 del Código Financiero del Estado de México y Municipios, precisa que, la Cuenta Pública es el informe que rinda anualmente el Presidente Municipal a la Legislatura, respecto de los resultados y la situación financiera del ejercicio fiscal inmediato anterior, dichos documentos contarán de la máxima publicidad y será información pública de oficio que deberá difundirse en las páginas electrónicas oficiales de los Municipios, respectivamente, una vez que se haya entregado a la Legislatura.</w:t>
      </w:r>
    </w:p>
    <w:p w:rsidR="00C36789" w:rsidRDefault="00C36789">
      <w:pPr>
        <w:spacing w:after="0" w:line="360" w:lineRule="auto"/>
      </w:pPr>
    </w:p>
    <w:p w:rsidR="00C36789" w:rsidRDefault="004F3375">
      <w:pPr>
        <w:spacing w:after="0" w:line="360" w:lineRule="auto"/>
      </w:pPr>
      <w:r>
        <w:lastRenderedPageBreak/>
        <w:t xml:space="preserve">En ese contexto, el artículo 352 del Código mencionado, establece que la cuenta pública se conforma por la información económica, patrimonial, presupuestal, programática, cualitativa y cuantitativa que muestre los resultados de la ejecución de la Ley de Ingresos y del Presupuesto de Egresos.  </w:t>
      </w:r>
    </w:p>
    <w:p w:rsidR="00C36789" w:rsidRDefault="00C36789">
      <w:pPr>
        <w:spacing w:after="0" w:line="360" w:lineRule="auto"/>
      </w:pPr>
    </w:p>
    <w:p w:rsidR="00C36789" w:rsidRDefault="004F3375">
      <w:pPr>
        <w:spacing w:after="0" w:line="360" w:lineRule="auto"/>
      </w:pPr>
      <w:r>
        <w:t xml:space="preserve">Asimismo, cabe señalar que conforme al artículo 92, fracción XXVI de la Ley de Transparencia y acceso a la información Pública del estado de México y Municipios, corresponde a las obligaciones de transparencia comunes de </w:t>
      </w:r>
      <w:proofErr w:type="spellStart"/>
      <w:r>
        <w:t>lo</w:t>
      </w:r>
      <w:proofErr w:type="spellEnd"/>
      <w:r>
        <w:t xml:space="preserve"> Sujetos Obligados, tiene el deber de poner a disposición del público de forma permanente y actualizada, de forma sencilla, precisa y entendible, en los respectivos medios electrónicos, la información relativa a la deuda pública. </w:t>
      </w:r>
    </w:p>
    <w:p w:rsidR="00C36789" w:rsidRDefault="00C36789">
      <w:pPr>
        <w:spacing w:after="0" w:line="360" w:lineRule="auto"/>
      </w:pPr>
    </w:p>
    <w:p w:rsidR="00C36789" w:rsidRDefault="004F3375">
      <w:pPr>
        <w:spacing w:after="0" w:line="360" w:lineRule="auto"/>
      </w:pPr>
      <w:r>
        <w:t xml:space="preserve">Respecto a los laudos laborales, es menester precisar que el artículo 98, fracción VI de la Ley del trabajo de los servidores públicos del Estado y Municipios, prevé que es obligación de las instituciones públicas cumplir oportunamente los laudos que dicte el Tribunal o la Sala, y pagar el monto de las indemnizaciones y demás prestaciones a que tenga derecho el servidor público, </w:t>
      </w:r>
      <w:r>
        <w:rPr>
          <w:b/>
        </w:rPr>
        <w:t xml:space="preserve"> por tanto, para el caso de contar con laudos condenatorios, se adquiere la deuda de pagar las prestaciones a las que fue condenado. </w:t>
      </w:r>
      <w:r>
        <w:t xml:space="preserve">Además, cabe precisar que, conforme al criterio de interpretación, con clave de control SO/008/2023, de la Tercera Época, emitido por el Instituto Nacional de Transparencia, Acceso a la Información y Protección de Datos, corresponde a información estadística que es de naturaleza pública. </w:t>
      </w:r>
    </w:p>
    <w:p w:rsidR="00C36789" w:rsidRDefault="00C36789">
      <w:pPr>
        <w:spacing w:after="0" w:line="360" w:lineRule="auto"/>
        <w:rPr>
          <w:b/>
        </w:rPr>
      </w:pPr>
    </w:p>
    <w:p w:rsidR="00C36789" w:rsidRDefault="004F3375">
      <w:pPr>
        <w:spacing w:after="0" w:line="360" w:lineRule="auto"/>
      </w:pPr>
      <w:r>
        <w:t xml:space="preserve">En ese contexto, el artículo 48, fracción IV Ter, de la Ley Orgánica Municipal del Estado de México, con relación al artículo 4 fracción XIII del Bando Municipal del Ayuntamiento de Toluca, precisa que entre otras atribuciones, la Presidencia Municipal deberá asumir la representación jurídica del Municipio y del Ayuntamiento, así como de las dependencias de </w:t>
      </w:r>
      <w:r>
        <w:lastRenderedPageBreak/>
        <w:t>la Administración Pública Municipal, en los litigios en que éste sea parte, siendo vigilante y ejecutor de los programas y acciones para la prevención, atención y, en su caso, procurar el pago de las responsabilidades económicas del Ayuntamiento en los conflictos laborales; además, deberá entregar al Cabildo de forma mensual, la relación detallada del contingente económico de los litigios laborales en contra del Ayuntamiento.</w:t>
      </w:r>
    </w:p>
    <w:p w:rsidR="00C36789" w:rsidRDefault="00C36789">
      <w:pPr>
        <w:spacing w:after="0" w:line="360" w:lineRule="auto"/>
      </w:pPr>
    </w:p>
    <w:p w:rsidR="00C36789" w:rsidRDefault="004F3375">
      <w:pPr>
        <w:spacing w:after="0" w:line="360" w:lineRule="auto"/>
      </w:pPr>
      <w:r>
        <w:t xml:space="preserve">Para lograr lo anterior, el Sujeto Obligado contará con un Departamento de Asuntos Administrativos adscrito a la Consejería Jurídica, encargada de tramitar y solucionar los conflictos laborales que se presenten entre el Ayuntamiento y sus trabajadores ante el Tribunal Estatal de Conciliación y Arbitraje. </w:t>
      </w:r>
    </w:p>
    <w:p w:rsidR="00C36789" w:rsidRDefault="00C36789">
      <w:pPr>
        <w:spacing w:after="0" w:line="360" w:lineRule="auto"/>
      </w:pPr>
    </w:p>
    <w:p w:rsidR="00C36789" w:rsidRDefault="004F3375">
      <w:pPr>
        <w:spacing w:after="0" w:line="360" w:lineRule="auto"/>
      </w:pPr>
      <w:r>
        <w:t xml:space="preserve">Conforme a lo anterior, para atender el requerimiento de información el Sujeto Obligado deberá proporcionar el Número de laudos al cinco de febrero de dos mil veinticinco y el monto de la deuda pública que dejó la Administración Pública Municipal 2022-2024. </w:t>
      </w:r>
    </w:p>
    <w:p w:rsidR="00C36789" w:rsidRDefault="00C36789">
      <w:pPr>
        <w:spacing w:after="0" w:line="360" w:lineRule="auto"/>
      </w:pPr>
    </w:p>
    <w:p w:rsidR="00C36789" w:rsidRDefault="004F3375">
      <w:pPr>
        <w:spacing w:after="0" w:line="360" w:lineRule="auto"/>
      </w:pPr>
      <w:r>
        <w:t xml:space="preserve">Ahora bien, para el caso de que no haya generado la estadística referida los laudos, al no existir obligación normativa, deberá hacerlo del conocimiento del ahora Recurrente, de manera clara y precisa, en términos del artículo 19, párrafo segundo, de la Ley de la materia. </w:t>
      </w:r>
    </w:p>
    <w:p w:rsidR="00C36789" w:rsidRDefault="00C36789">
      <w:pPr>
        <w:spacing w:after="0" w:line="360" w:lineRule="auto"/>
      </w:pPr>
    </w:p>
    <w:p w:rsidR="00C36789" w:rsidRDefault="004F3375">
      <w:pPr>
        <w:spacing w:after="0" w:line="360" w:lineRule="auto"/>
      </w:pPr>
      <w:r>
        <w:t xml:space="preserve">En relación con los </w:t>
      </w:r>
      <w:r>
        <w:rPr>
          <w:b/>
        </w:rPr>
        <w:t>puntos 23, 29, 31 y 34</w:t>
      </w:r>
      <w:r>
        <w:t xml:space="preserve">, cabe precisar que la persona Recurrente hizo referencia a información que tiene la característica de ser hechos futuros, de conformidad con lo solicitado: </w:t>
      </w:r>
    </w:p>
    <w:p w:rsidR="00C36789" w:rsidRDefault="00C36789">
      <w:pPr>
        <w:spacing w:after="0" w:line="360" w:lineRule="auto"/>
      </w:pPr>
    </w:p>
    <w:tbl>
      <w:tblPr>
        <w:tblStyle w:val="a2"/>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0"/>
        <w:gridCol w:w="2230"/>
        <w:gridCol w:w="2230"/>
        <w:gridCol w:w="2231"/>
      </w:tblGrid>
      <w:tr w:rsidR="00C36789">
        <w:tc>
          <w:tcPr>
            <w:tcW w:w="2230" w:type="dxa"/>
          </w:tcPr>
          <w:p w:rsidR="00C36789" w:rsidRDefault="004F3375">
            <w:pPr>
              <w:spacing w:line="360" w:lineRule="auto"/>
              <w:rPr>
                <w:i/>
              </w:rPr>
            </w:pPr>
            <w:r>
              <w:rPr>
                <w:i/>
                <w:color w:val="000000"/>
                <w:sz w:val="20"/>
                <w:szCs w:val="20"/>
              </w:rPr>
              <w:t>23. Cuánta gasolina se les dotara a cada patrulla y camión de basura</w:t>
            </w:r>
          </w:p>
        </w:tc>
        <w:tc>
          <w:tcPr>
            <w:tcW w:w="2230" w:type="dxa"/>
          </w:tcPr>
          <w:p w:rsidR="00C36789" w:rsidRDefault="004F3375">
            <w:pPr>
              <w:spacing w:line="360" w:lineRule="auto"/>
              <w:rPr>
                <w:i/>
              </w:rPr>
            </w:pPr>
            <w:r>
              <w:rPr>
                <w:i/>
                <w:color w:val="000000"/>
                <w:sz w:val="20"/>
                <w:szCs w:val="20"/>
              </w:rPr>
              <w:t xml:space="preserve">29. Cuándo le van a pagar a los trabajadores </w:t>
            </w:r>
            <w:r>
              <w:rPr>
                <w:i/>
                <w:color w:val="000000"/>
                <w:sz w:val="20"/>
                <w:szCs w:val="20"/>
              </w:rPr>
              <w:lastRenderedPageBreak/>
              <w:t>sus quincenas y prestaciones pendientes</w:t>
            </w:r>
          </w:p>
        </w:tc>
        <w:tc>
          <w:tcPr>
            <w:tcW w:w="2230" w:type="dxa"/>
          </w:tcPr>
          <w:p w:rsidR="00C36789" w:rsidRDefault="004F3375">
            <w:pPr>
              <w:spacing w:line="360" w:lineRule="auto"/>
              <w:rPr>
                <w:i/>
              </w:rPr>
            </w:pPr>
            <w:r>
              <w:rPr>
                <w:i/>
                <w:color w:val="000000"/>
                <w:sz w:val="20"/>
                <w:szCs w:val="20"/>
              </w:rPr>
              <w:lastRenderedPageBreak/>
              <w:t>31. Cuántos contratos se van a rescindir y en qué consisten</w:t>
            </w:r>
          </w:p>
        </w:tc>
        <w:tc>
          <w:tcPr>
            <w:tcW w:w="2231" w:type="dxa"/>
          </w:tcPr>
          <w:p w:rsidR="00C36789" w:rsidRDefault="004F3375">
            <w:pPr>
              <w:spacing w:line="360" w:lineRule="auto"/>
              <w:rPr>
                <w:i/>
              </w:rPr>
            </w:pPr>
            <w:r>
              <w:rPr>
                <w:i/>
                <w:color w:val="000000"/>
                <w:sz w:val="20"/>
                <w:szCs w:val="20"/>
              </w:rPr>
              <w:t xml:space="preserve">34. Cuándo se nombrarán a los </w:t>
            </w:r>
            <w:r>
              <w:rPr>
                <w:i/>
                <w:color w:val="000000"/>
                <w:sz w:val="20"/>
                <w:szCs w:val="20"/>
              </w:rPr>
              <w:lastRenderedPageBreak/>
              <w:t>integrantes del Comité Anticorrupción</w:t>
            </w:r>
          </w:p>
        </w:tc>
      </w:tr>
    </w:tbl>
    <w:p w:rsidR="00C36789" w:rsidRDefault="004F3375">
      <w:pPr>
        <w:spacing w:after="0" w:line="360" w:lineRule="auto"/>
      </w:pPr>
      <w:r>
        <w:lastRenderedPageBreak/>
        <w:t xml:space="preserve"> </w:t>
      </w:r>
    </w:p>
    <w:p w:rsidR="00C36789" w:rsidRDefault="00C36789">
      <w:pPr>
        <w:spacing w:after="0" w:line="360" w:lineRule="auto"/>
      </w:pPr>
    </w:p>
    <w:p w:rsidR="00C36789" w:rsidRDefault="004F3375">
      <w:pPr>
        <w:spacing w:after="0" w:line="360" w:lineRule="auto"/>
      </w:pPr>
      <w:r>
        <w:t xml:space="preserve">Lo anterior, se menciona, toda vez que los  puntos de la solicitud de información 23, 29, 31 y 34 están elaboradas en manera de acceder a información futura más no actual, por lo que, no se puede ordenar información de una temporalidad que no ha transcurrido, situación por la cual estos puntos de la solicitud de información no pueden ser abordados porque al tratarse de situaciones futuras, es decir que no se han suscitado y, por lo tanto, no se había generado la información o documentación solicitada, por lo que, resultan inatendibles, ya que a la fecha de la solicitud no se habían llevado a cabo, por lo que no se puede ordenar dicha  información.  </w:t>
      </w:r>
    </w:p>
    <w:p w:rsidR="00C36789" w:rsidRDefault="00C36789">
      <w:pPr>
        <w:spacing w:after="0" w:line="360" w:lineRule="auto"/>
        <w:rPr>
          <w:b/>
        </w:rPr>
      </w:pPr>
    </w:p>
    <w:p w:rsidR="00C36789" w:rsidRDefault="004F3375">
      <w:pPr>
        <w:widowControl w:val="0"/>
        <w:spacing w:after="0" w:line="360" w:lineRule="auto"/>
      </w:pPr>
      <w:r>
        <w:t xml:space="preserve">Ahora bien, respecto a los </w:t>
      </w:r>
      <w:r>
        <w:rPr>
          <w:b/>
        </w:rPr>
        <w:t>puntos 24, 25, 26, 27 y 28</w:t>
      </w:r>
      <w:r>
        <w:t xml:space="preserve"> referente al número de patrullas y camiones de basura que dejó </w:t>
      </w:r>
      <w:r>
        <w:rPr>
          <w:color w:val="000000"/>
        </w:rPr>
        <w:t xml:space="preserve">Juan </w:t>
      </w:r>
      <w:proofErr w:type="spellStart"/>
      <w:proofErr w:type="gramStart"/>
      <w:r>
        <w:rPr>
          <w:color w:val="000000"/>
        </w:rPr>
        <w:t>Maccise</w:t>
      </w:r>
      <w:proofErr w:type="spellEnd"/>
      <w:r>
        <w:rPr>
          <w:color w:val="000000"/>
        </w:rPr>
        <w:t xml:space="preserve"> ,</w:t>
      </w:r>
      <w:proofErr w:type="gramEnd"/>
      <w:r>
        <w:rPr>
          <w:color w:val="000000"/>
        </w:rPr>
        <w:t xml:space="preserve"> Juan Rodolfo, María Elena Barrera Tapia , Martha Hilda González </w:t>
      </w:r>
      <w:r>
        <w:t xml:space="preserve">y  </w:t>
      </w:r>
      <w:r>
        <w:rPr>
          <w:color w:val="000000"/>
        </w:rPr>
        <w:t xml:space="preserve">Fernando Zamora </w:t>
      </w:r>
      <w:r>
        <w:t xml:space="preserve">y cuándo dejaron de ser Presidentes Municipales, por lo que resulta necesario delimitar la temporalidad de la cual se requiere la información de acuerdo con las Administraciones Públicas Municipales, en las que estuvieron a cargo de conformidad con lo siguiente: </w:t>
      </w:r>
    </w:p>
    <w:p w:rsidR="00C36789" w:rsidRDefault="00C36789">
      <w:pPr>
        <w:widowControl w:val="0"/>
        <w:spacing w:after="0" w:line="360" w:lineRule="auto"/>
      </w:pPr>
    </w:p>
    <w:tbl>
      <w:tblPr>
        <w:tblStyle w:val="a3"/>
        <w:tblW w:w="80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4818"/>
        <w:gridCol w:w="2128"/>
      </w:tblGrid>
      <w:tr w:rsidR="00C36789">
        <w:trPr>
          <w:jc w:val="center"/>
        </w:trPr>
        <w:tc>
          <w:tcPr>
            <w:tcW w:w="1129" w:type="dxa"/>
            <w:shd w:val="clear" w:color="auto" w:fill="D0CECE"/>
          </w:tcPr>
          <w:p w:rsidR="00C36789" w:rsidRDefault="004F3375">
            <w:pPr>
              <w:widowControl w:val="0"/>
              <w:spacing w:line="360" w:lineRule="auto"/>
              <w:jc w:val="center"/>
              <w:rPr>
                <w:b/>
                <w:sz w:val="20"/>
                <w:szCs w:val="20"/>
              </w:rPr>
            </w:pPr>
            <w:r>
              <w:rPr>
                <w:b/>
                <w:sz w:val="20"/>
                <w:szCs w:val="20"/>
              </w:rPr>
              <w:t>Número</w:t>
            </w:r>
          </w:p>
        </w:tc>
        <w:tc>
          <w:tcPr>
            <w:tcW w:w="4818" w:type="dxa"/>
            <w:shd w:val="clear" w:color="auto" w:fill="D0CECE"/>
          </w:tcPr>
          <w:p w:rsidR="00C36789" w:rsidRDefault="004F3375">
            <w:pPr>
              <w:widowControl w:val="0"/>
              <w:spacing w:line="360" w:lineRule="auto"/>
              <w:jc w:val="center"/>
              <w:rPr>
                <w:b/>
                <w:sz w:val="20"/>
                <w:szCs w:val="20"/>
              </w:rPr>
            </w:pPr>
            <w:r>
              <w:rPr>
                <w:b/>
                <w:sz w:val="20"/>
                <w:szCs w:val="20"/>
              </w:rPr>
              <w:t>Presidentes Municipales</w:t>
            </w:r>
          </w:p>
        </w:tc>
        <w:tc>
          <w:tcPr>
            <w:tcW w:w="2128" w:type="dxa"/>
            <w:shd w:val="clear" w:color="auto" w:fill="D0CECE"/>
          </w:tcPr>
          <w:p w:rsidR="00C36789" w:rsidRDefault="004F3375">
            <w:pPr>
              <w:widowControl w:val="0"/>
              <w:spacing w:line="360" w:lineRule="auto"/>
              <w:jc w:val="center"/>
              <w:rPr>
                <w:b/>
                <w:sz w:val="20"/>
                <w:szCs w:val="20"/>
              </w:rPr>
            </w:pPr>
            <w:r>
              <w:rPr>
                <w:b/>
                <w:sz w:val="20"/>
                <w:szCs w:val="20"/>
              </w:rPr>
              <w:t>Periodo</w:t>
            </w:r>
          </w:p>
        </w:tc>
      </w:tr>
      <w:tr w:rsidR="00C36789">
        <w:trPr>
          <w:jc w:val="center"/>
        </w:trPr>
        <w:tc>
          <w:tcPr>
            <w:tcW w:w="1129" w:type="dxa"/>
          </w:tcPr>
          <w:p w:rsidR="00C36789" w:rsidRDefault="004F3375">
            <w:pPr>
              <w:widowControl w:val="0"/>
              <w:spacing w:line="360" w:lineRule="auto"/>
              <w:jc w:val="center"/>
              <w:rPr>
                <w:sz w:val="20"/>
                <w:szCs w:val="20"/>
              </w:rPr>
            </w:pPr>
            <w:r>
              <w:rPr>
                <w:sz w:val="20"/>
                <w:szCs w:val="20"/>
              </w:rPr>
              <w:t>1</w:t>
            </w:r>
          </w:p>
        </w:tc>
        <w:tc>
          <w:tcPr>
            <w:tcW w:w="4818" w:type="dxa"/>
          </w:tcPr>
          <w:p w:rsidR="00C36789" w:rsidRDefault="004F3375">
            <w:pPr>
              <w:widowControl w:val="0"/>
              <w:spacing w:line="360" w:lineRule="auto"/>
              <w:jc w:val="center"/>
              <w:rPr>
                <w:b/>
                <w:sz w:val="20"/>
                <w:szCs w:val="20"/>
              </w:rPr>
            </w:pPr>
            <w:r>
              <w:rPr>
                <w:b/>
                <w:sz w:val="20"/>
                <w:szCs w:val="20"/>
              </w:rPr>
              <w:t>Juan Rodolfo Sánchez Gómez</w:t>
            </w:r>
          </w:p>
        </w:tc>
        <w:tc>
          <w:tcPr>
            <w:tcW w:w="2128" w:type="dxa"/>
          </w:tcPr>
          <w:p w:rsidR="00C36789" w:rsidRDefault="004F3375">
            <w:pPr>
              <w:widowControl w:val="0"/>
              <w:spacing w:line="360" w:lineRule="auto"/>
              <w:jc w:val="center"/>
              <w:rPr>
                <w:sz w:val="20"/>
                <w:szCs w:val="20"/>
              </w:rPr>
            </w:pPr>
            <w:r>
              <w:rPr>
                <w:sz w:val="20"/>
                <w:szCs w:val="20"/>
              </w:rPr>
              <w:t>2006-2009</w:t>
            </w:r>
          </w:p>
          <w:p w:rsidR="00C36789" w:rsidRDefault="004F3375">
            <w:pPr>
              <w:widowControl w:val="0"/>
              <w:spacing w:line="360" w:lineRule="auto"/>
              <w:jc w:val="center"/>
              <w:rPr>
                <w:sz w:val="20"/>
                <w:szCs w:val="20"/>
              </w:rPr>
            </w:pPr>
            <w:r>
              <w:rPr>
                <w:sz w:val="20"/>
                <w:szCs w:val="20"/>
              </w:rPr>
              <w:t>(primer periodo)</w:t>
            </w:r>
          </w:p>
        </w:tc>
      </w:tr>
      <w:tr w:rsidR="00C36789">
        <w:trPr>
          <w:jc w:val="center"/>
        </w:trPr>
        <w:tc>
          <w:tcPr>
            <w:tcW w:w="1129" w:type="dxa"/>
          </w:tcPr>
          <w:p w:rsidR="00C36789" w:rsidRDefault="004F3375">
            <w:pPr>
              <w:widowControl w:val="0"/>
              <w:spacing w:line="360" w:lineRule="auto"/>
              <w:jc w:val="center"/>
              <w:rPr>
                <w:sz w:val="20"/>
                <w:szCs w:val="20"/>
              </w:rPr>
            </w:pPr>
            <w:r>
              <w:rPr>
                <w:sz w:val="20"/>
                <w:szCs w:val="20"/>
              </w:rPr>
              <w:t>2</w:t>
            </w:r>
          </w:p>
        </w:tc>
        <w:tc>
          <w:tcPr>
            <w:tcW w:w="4818" w:type="dxa"/>
          </w:tcPr>
          <w:p w:rsidR="00C36789" w:rsidRDefault="004F3375">
            <w:pPr>
              <w:widowControl w:val="0"/>
              <w:spacing w:line="360" w:lineRule="auto"/>
              <w:jc w:val="center"/>
              <w:rPr>
                <w:b/>
                <w:sz w:val="20"/>
                <w:szCs w:val="20"/>
              </w:rPr>
            </w:pPr>
            <w:r>
              <w:rPr>
                <w:b/>
                <w:sz w:val="20"/>
                <w:szCs w:val="20"/>
              </w:rPr>
              <w:t>María Elena Barrera Tapia</w:t>
            </w:r>
          </w:p>
        </w:tc>
        <w:tc>
          <w:tcPr>
            <w:tcW w:w="2128" w:type="dxa"/>
          </w:tcPr>
          <w:p w:rsidR="00C36789" w:rsidRDefault="004F3375">
            <w:pPr>
              <w:widowControl w:val="0"/>
              <w:spacing w:line="360" w:lineRule="auto"/>
              <w:jc w:val="center"/>
              <w:rPr>
                <w:sz w:val="20"/>
                <w:szCs w:val="20"/>
              </w:rPr>
            </w:pPr>
            <w:r>
              <w:rPr>
                <w:sz w:val="20"/>
                <w:szCs w:val="20"/>
              </w:rPr>
              <w:t>2009-2012</w:t>
            </w:r>
          </w:p>
        </w:tc>
      </w:tr>
      <w:tr w:rsidR="00C36789">
        <w:trPr>
          <w:jc w:val="center"/>
        </w:trPr>
        <w:tc>
          <w:tcPr>
            <w:tcW w:w="1129" w:type="dxa"/>
          </w:tcPr>
          <w:p w:rsidR="00C36789" w:rsidRDefault="004F3375">
            <w:pPr>
              <w:widowControl w:val="0"/>
              <w:spacing w:line="360" w:lineRule="auto"/>
              <w:jc w:val="center"/>
              <w:rPr>
                <w:sz w:val="20"/>
                <w:szCs w:val="20"/>
              </w:rPr>
            </w:pPr>
            <w:r>
              <w:rPr>
                <w:sz w:val="20"/>
                <w:szCs w:val="20"/>
              </w:rPr>
              <w:t>3</w:t>
            </w:r>
          </w:p>
        </w:tc>
        <w:tc>
          <w:tcPr>
            <w:tcW w:w="4818" w:type="dxa"/>
          </w:tcPr>
          <w:p w:rsidR="00C36789" w:rsidRDefault="004F3375">
            <w:pPr>
              <w:widowControl w:val="0"/>
              <w:spacing w:line="360" w:lineRule="auto"/>
              <w:jc w:val="center"/>
              <w:rPr>
                <w:b/>
                <w:sz w:val="20"/>
                <w:szCs w:val="20"/>
              </w:rPr>
            </w:pPr>
            <w:r>
              <w:rPr>
                <w:b/>
                <w:sz w:val="20"/>
                <w:szCs w:val="20"/>
              </w:rPr>
              <w:t xml:space="preserve">Martha Hilda González Calderón </w:t>
            </w:r>
          </w:p>
          <w:p w:rsidR="00C36789" w:rsidRDefault="004F3375">
            <w:pPr>
              <w:widowControl w:val="0"/>
              <w:spacing w:line="360" w:lineRule="auto"/>
              <w:jc w:val="center"/>
              <w:rPr>
                <w:sz w:val="20"/>
                <w:szCs w:val="20"/>
              </w:rPr>
            </w:pPr>
            <w:r>
              <w:rPr>
                <w:sz w:val="20"/>
                <w:szCs w:val="20"/>
              </w:rPr>
              <w:t>Braulio Antonio Álvarez Jasso (interino)</w:t>
            </w:r>
          </w:p>
        </w:tc>
        <w:tc>
          <w:tcPr>
            <w:tcW w:w="2128" w:type="dxa"/>
          </w:tcPr>
          <w:p w:rsidR="00C36789" w:rsidRDefault="004F3375">
            <w:pPr>
              <w:widowControl w:val="0"/>
              <w:spacing w:line="360" w:lineRule="auto"/>
              <w:jc w:val="center"/>
              <w:rPr>
                <w:sz w:val="20"/>
                <w:szCs w:val="20"/>
              </w:rPr>
            </w:pPr>
            <w:r>
              <w:rPr>
                <w:sz w:val="20"/>
                <w:szCs w:val="20"/>
              </w:rPr>
              <w:t>20212-2015</w:t>
            </w:r>
          </w:p>
          <w:p w:rsidR="00C36789" w:rsidRDefault="004F3375">
            <w:pPr>
              <w:widowControl w:val="0"/>
              <w:spacing w:line="360" w:lineRule="auto"/>
              <w:jc w:val="center"/>
              <w:rPr>
                <w:sz w:val="20"/>
                <w:szCs w:val="20"/>
              </w:rPr>
            </w:pPr>
            <w:r>
              <w:rPr>
                <w:sz w:val="20"/>
                <w:szCs w:val="20"/>
              </w:rPr>
              <w:t xml:space="preserve">2015 </w:t>
            </w:r>
          </w:p>
        </w:tc>
      </w:tr>
      <w:tr w:rsidR="00C36789">
        <w:trPr>
          <w:jc w:val="center"/>
        </w:trPr>
        <w:tc>
          <w:tcPr>
            <w:tcW w:w="1129" w:type="dxa"/>
          </w:tcPr>
          <w:p w:rsidR="00C36789" w:rsidRDefault="004F3375">
            <w:pPr>
              <w:widowControl w:val="0"/>
              <w:spacing w:line="360" w:lineRule="auto"/>
              <w:jc w:val="center"/>
              <w:rPr>
                <w:sz w:val="20"/>
                <w:szCs w:val="20"/>
              </w:rPr>
            </w:pPr>
            <w:r>
              <w:rPr>
                <w:sz w:val="20"/>
                <w:szCs w:val="20"/>
              </w:rPr>
              <w:t>4</w:t>
            </w:r>
          </w:p>
        </w:tc>
        <w:tc>
          <w:tcPr>
            <w:tcW w:w="4818" w:type="dxa"/>
          </w:tcPr>
          <w:p w:rsidR="00C36789" w:rsidRDefault="004F3375">
            <w:pPr>
              <w:widowControl w:val="0"/>
              <w:spacing w:line="360" w:lineRule="auto"/>
              <w:jc w:val="center"/>
              <w:rPr>
                <w:b/>
                <w:sz w:val="20"/>
                <w:szCs w:val="20"/>
              </w:rPr>
            </w:pPr>
            <w:r>
              <w:rPr>
                <w:b/>
                <w:sz w:val="20"/>
                <w:szCs w:val="20"/>
              </w:rPr>
              <w:t xml:space="preserve">Fernando Zamora Morales </w:t>
            </w:r>
          </w:p>
        </w:tc>
        <w:tc>
          <w:tcPr>
            <w:tcW w:w="2128" w:type="dxa"/>
          </w:tcPr>
          <w:p w:rsidR="00C36789" w:rsidRDefault="004F3375">
            <w:pPr>
              <w:widowControl w:val="0"/>
              <w:spacing w:line="360" w:lineRule="auto"/>
              <w:jc w:val="center"/>
              <w:rPr>
                <w:sz w:val="20"/>
                <w:szCs w:val="20"/>
              </w:rPr>
            </w:pPr>
            <w:r>
              <w:rPr>
                <w:sz w:val="20"/>
                <w:szCs w:val="20"/>
              </w:rPr>
              <w:t>2015-2018</w:t>
            </w:r>
          </w:p>
        </w:tc>
      </w:tr>
      <w:tr w:rsidR="00C36789">
        <w:trPr>
          <w:jc w:val="center"/>
        </w:trPr>
        <w:tc>
          <w:tcPr>
            <w:tcW w:w="1129" w:type="dxa"/>
          </w:tcPr>
          <w:p w:rsidR="00C36789" w:rsidRDefault="004F3375">
            <w:pPr>
              <w:widowControl w:val="0"/>
              <w:spacing w:line="360" w:lineRule="auto"/>
              <w:jc w:val="center"/>
              <w:rPr>
                <w:sz w:val="20"/>
                <w:szCs w:val="20"/>
              </w:rPr>
            </w:pPr>
            <w:r>
              <w:rPr>
                <w:sz w:val="20"/>
                <w:szCs w:val="20"/>
              </w:rPr>
              <w:lastRenderedPageBreak/>
              <w:t>5</w:t>
            </w:r>
          </w:p>
        </w:tc>
        <w:tc>
          <w:tcPr>
            <w:tcW w:w="4818" w:type="dxa"/>
          </w:tcPr>
          <w:p w:rsidR="00C36789" w:rsidRDefault="004F3375">
            <w:pPr>
              <w:widowControl w:val="0"/>
              <w:spacing w:line="360" w:lineRule="auto"/>
              <w:jc w:val="center"/>
              <w:rPr>
                <w:b/>
                <w:sz w:val="20"/>
                <w:szCs w:val="20"/>
              </w:rPr>
            </w:pPr>
            <w:r>
              <w:rPr>
                <w:b/>
                <w:sz w:val="20"/>
                <w:szCs w:val="20"/>
              </w:rPr>
              <w:t>Juan Rodolfo Sánchez Gómez</w:t>
            </w:r>
          </w:p>
        </w:tc>
        <w:tc>
          <w:tcPr>
            <w:tcW w:w="2128" w:type="dxa"/>
          </w:tcPr>
          <w:p w:rsidR="00C36789" w:rsidRDefault="004F3375">
            <w:pPr>
              <w:widowControl w:val="0"/>
              <w:spacing w:line="360" w:lineRule="auto"/>
              <w:jc w:val="center"/>
              <w:rPr>
                <w:sz w:val="20"/>
                <w:szCs w:val="20"/>
              </w:rPr>
            </w:pPr>
            <w:r>
              <w:rPr>
                <w:sz w:val="20"/>
                <w:szCs w:val="20"/>
              </w:rPr>
              <w:t>2018-2021</w:t>
            </w:r>
          </w:p>
          <w:p w:rsidR="00C36789" w:rsidRDefault="004F3375">
            <w:pPr>
              <w:widowControl w:val="0"/>
              <w:spacing w:line="360" w:lineRule="auto"/>
              <w:jc w:val="center"/>
              <w:rPr>
                <w:sz w:val="20"/>
                <w:szCs w:val="20"/>
              </w:rPr>
            </w:pPr>
            <w:r>
              <w:rPr>
                <w:sz w:val="20"/>
                <w:szCs w:val="20"/>
              </w:rPr>
              <w:t>(segundo periodo)</w:t>
            </w:r>
          </w:p>
        </w:tc>
      </w:tr>
      <w:tr w:rsidR="00C36789">
        <w:trPr>
          <w:jc w:val="center"/>
        </w:trPr>
        <w:tc>
          <w:tcPr>
            <w:tcW w:w="1129" w:type="dxa"/>
          </w:tcPr>
          <w:p w:rsidR="00C36789" w:rsidRDefault="004F3375">
            <w:pPr>
              <w:widowControl w:val="0"/>
              <w:spacing w:line="360" w:lineRule="auto"/>
              <w:jc w:val="center"/>
              <w:rPr>
                <w:sz w:val="20"/>
                <w:szCs w:val="20"/>
              </w:rPr>
            </w:pPr>
            <w:r>
              <w:rPr>
                <w:sz w:val="20"/>
                <w:szCs w:val="20"/>
              </w:rPr>
              <w:t>6</w:t>
            </w:r>
          </w:p>
        </w:tc>
        <w:tc>
          <w:tcPr>
            <w:tcW w:w="4818" w:type="dxa"/>
          </w:tcPr>
          <w:p w:rsidR="00C36789" w:rsidRDefault="004F3375">
            <w:pPr>
              <w:widowControl w:val="0"/>
              <w:spacing w:line="360" w:lineRule="auto"/>
              <w:jc w:val="center"/>
              <w:rPr>
                <w:sz w:val="20"/>
                <w:szCs w:val="20"/>
              </w:rPr>
            </w:pPr>
            <w:r>
              <w:rPr>
                <w:sz w:val="20"/>
                <w:szCs w:val="20"/>
              </w:rPr>
              <w:t xml:space="preserve">Raymundo Martínez Carbajal </w:t>
            </w:r>
          </w:p>
          <w:p w:rsidR="00C36789" w:rsidRDefault="004F3375">
            <w:pPr>
              <w:widowControl w:val="0"/>
              <w:spacing w:line="360" w:lineRule="auto"/>
              <w:jc w:val="center"/>
              <w:rPr>
                <w:b/>
                <w:sz w:val="20"/>
                <w:szCs w:val="20"/>
              </w:rPr>
            </w:pPr>
            <w:r>
              <w:rPr>
                <w:b/>
                <w:sz w:val="20"/>
                <w:szCs w:val="20"/>
              </w:rPr>
              <w:t xml:space="preserve">Juan </w:t>
            </w:r>
            <w:proofErr w:type="spellStart"/>
            <w:r>
              <w:rPr>
                <w:b/>
                <w:sz w:val="20"/>
                <w:szCs w:val="20"/>
              </w:rPr>
              <w:t>Maccise</w:t>
            </w:r>
            <w:proofErr w:type="spellEnd"/>
            <w:r>
              <w:rPr>
                <w:b/>
                <w:sz w:val="20"/>
                <w:szCs w:val="20"/>
              </w:rPr>
              <w:t xml:space="preserve"> </w:t>
            </w:r>
            <w:proofErr w:type="spellStart"/>
            <w:r>
              <w:rPr>
                <w:b/>
                <w:sz w:val="20"/>
                <w:szCs w:val="20"/>
              </w:rPr>
              <w:t>Naime</w:t>
            </w:r>
            <w:proofErr w:type="spellEnd"/>
            <w:r>
              <w:rPr>
                <w:b/>
                <w:sz w:val="20"/>
                <w:szCs w:val="20"/>
              </w:rPr>
              <w:t xml:space="preserve"> (suplente) </w:t>
            </w:r>
          </w:p>
        </w:tc>
        <w:tc>
          <w:tcPr>
            <w:tcW w:w="2128" w:type="dxa"/>
          </w:tcPr>
          <w:p w:rsidR="00C36789" w:rsidRDefault="004F3375">
            <w:pPr>
              <w:widowControl w:val="0"/>
              <w:spacing w:line="360" w:lineRule="auto"/>
              <w:jc w:val="center"/>
              <w:rPr>
                <w:sz w:val="20"/>
                <w:szCs w:val="20"/>
              </w:rPr>
            </w:pPr>
            <w:r>
              <w:rPr>
                <w:sz w:val="20"/>
                <w:szCs w:val="20"/>
              </w:rPr>
              <w:t>2021-2023</w:t>
            </w:r>
          </w:p>
          <w:p w:rsidR="00C36789" w:rsidRDefault="004F3375">
            <w:pPr>
              <w:widowControl w:val="0"/>
              <w:spacing w:line="360" w:lineRule="auto"/>
              <w:jc w:val="center"/>
              <w:rPr>
                <w:sz w:val="20"/>
                <w:szCs w:val="20"/>
              </w:rPr>
            </w:pPr>
            <w:r>
              <w:rPr>
                <w:sz w:val="20"/>
                <w:szCs w:val="20"/>
              </w:rPr>
              <w:t>2023-2024</w:t>
            </w:r>
          </w:p>
        </w:tc>
      </w:tr>
    </w:tbl>
    <w:p w:rsidR="00C36789" w:rsidRDefault="00C36789">
      <w:pPr>
        <w:widowControl w:val="0"/>
        <w:spacing w:after="0" w:line="360" w:lineRule="auto"/>
      </w:pPr>
    </w:p>
    <w:p w:rsidR="00C36789" w:rsidRDefault="004F3375">
      <w:pPr>
        <w:widowControl w:val="0"/>
        <w:spacing w:after="0" w:line="360" w:lineRule="auto"/>
      </w:pPr>
      <w:r>
        <w:t xml:space="preserve">Al respecto, cabe precisar que en respuesta la Dirección General de Seguridad y Protección ciudadana, precisó que Juan </w:t>
      </w:r>
      <w:proofErr w:type="spellStart"/>
      <w:r>
        <w:t>Maccise</w:t>
      </w:r>
      <w:proofErr w:type="spellEnd"/>
      <w:r>
        <w:t xml:space="preserve"> </w:t>
      </w:r>
      <w:proofErr w:type="spellStart"/>
      <w:r>
        <w:t>Naime</w:t>
      </w:r>
      <w:proofErr w:type="spellEnd"/>
      <w:r>
        <w:t xml:space="preserve"> dejó 2114 (dos mil ciento catorce) patrullas y 1118 (mil ciento dieciocho) policías, además refirió que respecto a las patrullas de otras administraciones no encontró información que diera cuenta de lo solicitado.  </w:t>
      </w:r>
    </w:p>
    <w:p w:rsidR="00C36789" w:rsidRDefault="00C36789">
      <w:pPr>
        <w:widowControl w:val="0"/>
        <w:spacing w:after="0" w:line="360" w:lineRule="auto"/>
      </w:pPr>
    </w:p>
    <w:p w:rsidR="00C36789" w:rsidRDefault="004F3375">
      <w:pPr>
        <w:widowControl w:val="0"/>
        <w:spacing w:after="0" w:line="360" w:lineRule="auto"/>
        <w:rPr>
          <w:color w:val="000000"/>
        </w:rPr>
      </w:pPr>
      <w:r>
        <w:t xml:space="preserve">Conforme a lo anterior, cabe precisar que si bien atendió parte del punto de análisis al proporcionar el número de patrullas y policías con las que contaba el Ayuntamiento de Toluca durante el perdido comprendido 2023-2024, en el que Juan </w:t>
      </w:r>
      <w:proofErr w:type="spellStart"/>
      <w:r>
        <w:t>Maccise</w:t>
      </w:r>
      <w:proofErr w:type="spellEnd"/>
      <w:r>
        <w:t xml:space="preserve"> </w:t>
      </w:r>
      <w:proofErr w:type="spellStart"/>
      <w:r>
        <w:t>Naime</w:t>
      </w:r>
      <w:proofErr w:type="spellEnd"/>
      <w:r>
        <w:t xml:space="preserve"> se encontraba como Presidente Municipal suplente y precisó no contar con la información en referencia a las Administraciones Públicas Municipales anteriores, por otro lado, omitió pronunciarse sobre el número de camiones de basura con los que contaba el ayuntamiento de Toluca durante el mandado de los ex Presidentes Municipales, por lo que se logra vislumbrar que omitió realizar una búsqueda exhaustiva de la información en todas las áreas competentes, pues únicamente se pronunció la Dirección </w:t>
      </w:r>
      <w:r>
        <w:rPr>
          <w:color w:val="000000"/>
        </w:rPr>
        <w:t xml:space="preserve">General de Seguridad y Protección Ciudadana. </w:t>
      </w:r>
    </w:p>
    <w:p w:rsidR="00C36789" w:rsidRDefault="00C36789">
      <w:pPr>
        <w:widowControl w:val="0"/>
        <w:spacing w:after="0" w:line="360" w:lineRule="auto"/>
      </w:pPr>
    </w:p>
    <w:p w:rsidR="00C36789" w:rsidRDefault="004F3375">
      <w:pPr>
        <w:widowControl w:val="0"/>
        <w:spacing w:after="0" w:line="360" w:lineRule="auto"/>
      </w:pPr>
      <w:r>
        <w:t xml:space="preserve">Al respecto, cabe precisar que lo solicitado se puede encontrar en las Actas de Entrega Recepción, en este caso de las Direcciones Generales de Servicios Públicos y de la de Seguridad y Protección, por lo que para atender estos puntos de la solicitud, conforme al manual General de Organización del Sector Central de la Administración, la Contraloría es la encargada de planear, coordinar, dirigir, controlar y evaluar las auditorías que se lleven  a cabo a las diferentes unidades administrativas e informar de sus resultados a las instituciones </w:t>
      </w:r>
      <w:r>
        <w:lastRenderedPageBreak/>
        <w:t xml:space="preserve">correspondientes, así como testificar los actos de entrega-recepción de las unidades administrativas de la administración pública municipal.  </w:t>
      </w:r>
    </w:p>
    <w:p w:rsidR="00C36789" w:rsidRDefault="00C36789">
      <w:pPr>
        <w:widowControl w:val="0"/>
        <w:spacing w:after="0" w:line="360" w:lineRule="auto"/>
      </w:pPr>
    </w:p>
    <w:p w:rsidR="00C36789" w:rsidRDefault="004F3375">
      <w:pPr>
        <w:widowControl w:val="0"/>
        <w:spacing w:after="0" w:line="360" w:lineRule="auto"/>
      </w:pPr>
      <w:r>
        <w:t xml:space="preserve">Así, se logra advertir que la Contraloría Municipal tiene la función de testificar los actos de entrega de recepción de las unidades administrativas, este caso de la Dirección de Servicios Públicos y de la Dirección de Seguridad y Protección, situación que se robustece pues dentro del  paquete que es la carpeta digital conformada por el Acta de Entrega Recepción y sus anexos generados, se encuentran los anexos referentes a la Plantilla de Personal y la Relación de Bienes Muebles al resguardo de la persona servidora pública, tal y como se muestra  en las siguientes imágenes ilustrativas: </w:t>
      </w:r>
    </w:p>
    <w:p w:rsidR="00C36789" w:rsidRDefault="00C36789">
      <w:pPr>
        <w:widowControl w:val="0"/>
        <w:spacing w:after="0" w:line="360" w:lineRule="auto"/>
        <w:rPr>
          <w:sz w:val="20"/>
          <w:szCs w:val="20"/>
        </w:rPr>
      </w:pPr>
    </w:p>
    <w:p w:rsidR="00C36789" w:rsidRDefault="004F3375">
      <w:pPr>
        <w:widowControl w:val="0"/>
        <w:spacing w:after="0" w:line="360" w:lineRule="auto"/>
        <w:jc w:val="center"/>
        <w:rPr>
          <w:sz w:val="20"/>
          <w:szCs w:val="20"/>
        </w:rPr>
      </w:pPr>
      <w:r>
        <w:rPr>
          <w:noProof/>
          <w:sz w:val="20"/>
          <w:szCs w:val="20"/>
        </w:rPr>
        <w:drawing>
          <wp:inline distT="0" distB="0" distL="0" distR="0">
            <wp:extent cx="4034454" cy="2652593"/>
            <wp:effectExtent l="0" t="0" r="0" b="0"/>
            <wp:docPr id="20388746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4034454" cy="2652593"/>
                    </a:xfrm>
                    <a:prstGeom prst="rect">
                      <a:avLst/>
                    </a:prstGeom>
                    <a:ln/>
                  </pic:spPr>
                </pic:pic>
              </a:graphicData>
            </a:graphic>
          </wp:inline>
        </w:drawing>
      </w:r>
    </w:p>
    <w:p w:rsidR="00C36789" w:rsidRDefault="00C36789">
      <w:pPr>
        <w:widowControl w:val="0"/>
        <w:spacing w:after="0" w:line="360" w:lineRule="auto"/>
        <w:jc w:val="center"/>
        <w:rPr>
          <w:sz w:val="20"/>
          <w:szCs w:val="20"/>
        </w:rPr>
      </w:pPr>
    </w:p>
    <w:p w:rsidR="00C36789" w:rsidRDefault="004F3375">
      <w:pPr>
        <w:spacing w:after="0" w:line="360" w:lineRule="auto"/>
        <w:jc w:val="center"/>
      </w:pPr>
      <w:r>
        <w:rPr>
          <w:noProof/>
        </w:rPr>
        <w:lastRenderedPageBreak/>
        <w:drawing>
          <wp:inline distT="0" distB="0" distL="0" distR="0">
            <wp:extent cx="4030653" cy="2678528"/>
            <wp:effectExtent l="0" t="0" r="0" b="0"/>
            <wp:docPr id="20388746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4030653" cy="2678528"/>
                    </a:xfrm>
                    <a:prstGeom prst="rect">
                      <a:avLst/>
                    </a:prstGeom>
                    <a:ln/>
                  </pic:spPr>
                </pic:pic>
              </a:graphicData>
            </a:graphic>
          </wp:inline>
        </w:drawing>
      </w:r>
    </w:p>
    <w:p w:rsidR="00C36789" w:rsidRDefault="00C36789">
      <w:pPr>
        <w:spacing w:after="0" w:line="360" w:lineRule="auto"/>
        <w:jc w:val="center"/>
      </w:pPr>
    </w:p>
    <w:p w:rsidR="00C36789" w:rsidRDefault="004F3375">
      <w:pPr>
        <w:spacing w:after="0" w:line="360" w:lineRule="auto"/>
      </w:pPr>
      <w:r>
        <w:t>En ese mismo orden de ideas, cabe precisar que en  cuanto al último punto referente a “cuándo dejaron de ser Presidentes (a) Municipales”, también es información que incluye  el  Acta de Entrega –Recepción, situación por la cual se establece que el Acta Entrega Recepción es el documento que de manera enunciativa más no limitativa puede contener la información solicitada.</w:t>
      </w:r>
    </w:p>
    <w:p w:rsidR="00C36789" w:rsidRDefault="00C36789">
      <w:pPr>
        <w:spacing w:after="0" w:line="360" w:lineRule="auto"/>
      </w:pPr>
    </w:p>
    <w:p w:rsidR="00C36789" w:rsidRDefault="004F3375">
      <w:pPr>
        <w:spacing w:after="0" w:line="360" w:lineRule="auto"/>
      </w:pPr>
      <w:r>
        <w:t>Ahora bien,  para el caso de que las Actas de entrega-Recepción que se entreguen, contengan observaciones, el Sujeto Obligado deberá de hacerlo del conocimiento de la particular, remitiendo el Acta de Comité de Transparencia donde funde y motive la reserva de la información.</w:t>
      </w:r>
    </w:p>
    <w:p w:rsidR="00C36789" w:rsidRDefault="00C36789">
      <w:pPr>
        <w:spacing w:after="0" w:line="360" w:lineRule="auto"/>
      </w:pPr>
    </w:p>
    <w:p w:rsidR="00C36789" w:rsidRDefault="004F3375">
      <w:pPr>
        <w:spacing w:after="0" w:line="360" w:lineRule="auto"/>
      </w:pPr>
      <w:r>
        <w:t xml:space="preserve">Derivado de lo anterior, es necesario traer a contexto el contenido del artículo 140, fracción VI, de la Ley de Transparencia y Acceso a la Información Pública del Estado de México y Municipios; toda vez que dispone lo siguiente: </w:t>
      </w:r>
    </w:p>
    <w:p w:rsidR="00C36789" w:rsidRDefault="00C36789">
      <w:pPr>
        <w:spacing w:after="0" w:line="360" w:lineRule="auto"/>
        <w:ind w:left="567" w:right="567"/>
        <w:rPr>
          <w:i/>
          <w:sz w:val="20"/>
          <w:szCs w:val="20"/>
        </w:rPr>
      </w:pPr>
    </w:p>
    <w:p w:rsidR="00C36789" w:rsidRDefault="004F3375">
      <w:pPr>
        <w:spacing w:after="0" w:line="360" w:lineRule="auto"/>
        <w:ind w:left="567" w:right="567"/>
        <w:rPr>
          <w:i/>
          <w:sz w:val="20"/>
          <w:szCs w:val="20"/>
        </w:rPr>
      </w:pPr>
      <w:r>
        <w:rPr>
          <w:i/>
          <w:sz w:val="20"/>
          <w:szCs w:val="20"/>
        </w:rPr>
        <w:lastRenderedPageBreak/>
        <w:t xml:space="preserve">Artículo 140. El acceso a la información pública será restringido excepcionalmente, cuando por razones de interés público, ésta sea clasificada como reservada, conforme a los criterios siguientes: </w:t>
      </w:r>
    </w:p>
    <w:p w:rsidR="00C36789" w:rsidRDefault="004F3375">
      <w:pPr>
        <w:spacing w:after="0" w:line="360" w:lineRule="auto"/>
        <w:ind w:left="567" w:right="567"/>
        <w:rPr>
          <w:i/>
          <w:sz w:val="20"/>
          <w:szCs w:val="20"/>
        </w:rPr>
      </w:pPr>
      <w:r>
        <w:rPr>
          <w:i/>
          <w:sz w:val="20"/>
          <w:szCs w:val="20"/>
        </w:rPr>
        <w:t>…</w:t>
      </w:r>
    </w:p>
    <w:p w:rsidR="00C36789" w:rsidRDefault="004F3375">
      <w:pPr>
        <w:spacing w:after="0" w:line="360" w:lineRule="auto"/>
        <w:ind w:left="567" w:right="567"/>
        <w:rPr>
          <w:i/>
          <w:sz w:val="20"/>
          <w:szCs w:val="20"/>
        </w:rPr>
      </w:pPr>
      <w:r>
        <w:rPr>
          <w:i/>
          <w:sz w:val="20"/>
          <w:szCs w:val="20"/>
        </w:rPr>
        <w:t xml:space="preserve">V. Aquella cuya divulgación obstruya o pueda causar un serio perjuicio a: </w:t>
      </w:r>
    </w:p>
    <w:p w:rsidR="00C36789" w:rsidRDefault="004F3375">
      <w:pPr>
        <w:spacing w:after="0" w:line="360" w:lineRule="auto"/>
        <w:ind w:left="567" w:right="567"/>
        <w:rPr>
          <w:i/>
          <w:sz w:val="20"/>
          <w:szCs w:val="20"/>
        </w:rPr>
      </w:pPr>
      <w:r>
        <w:rPr>
          <w:i/>
          <w:sz w:val="20"/>
          <w:szCs w:val="20"/>
        </w:rPr>
        <w:t xml:space="preserve">1. Las actividades de fiscalización, verificación, inspección, comprobación y auditoría sobre el cumplimiento de las Leyes; o </w:t>
      </w:r>
    </w:p>
    <w:p w:rsidR="00C36789" w:rsidRDefault="004F3375">
      <w:pPr>
        <w:spacing w:after="0" w:line="360" w:lineRule="auto"/>
        <w:ind w:left="567" w:right="567"/>
        <w:rPr>
          <w:i/>
          <w:sz w:val="20"/>
          <w:szCs w:val="20"/>
        </w:rPr>
      </w:pPr>
      <w:r>
        <w:rPr>
          <w:i/>
          <w:sz w:val="20"/>
          <w:szCs w:val="20"/>
        </w:rPr>
        <w:t xml:space="preserve">2. La recaudación de las contribuciones. </w:t>
      </w:r>
    </w:p>
    <w:p w:rsidR="00C36789" w:rsidRDefault="004F3375">
      <w:pPr>
        <w:spacing w:after="0" w:line="360" w:lineRule="auto"/>
        <w:ind w:left="567" w:right="567"/>
        <w:rPr>
          <w:i/>
          <w:sz w:val="20"/>
          <w:szCs w:val="20"/>
        </w:rPr>
      </w:pPr>
      <w:r>
        <w:rPr>
          <w:i/>
          <w:sz w:val="20"/>
          <w:szCs w:val="20"/>
        </w:rPr>
        <w:t>…</w:t>
      </w:r>
    </w:p>
    <w:p w:rsidR="00C36789" w:rsidRDefault="004F3375">
      <w:pPr>
        <w:spacing w:after="0" w:line="360" w:lineRule="auto"/>
        <w:ind w:left="567" w:right="567"/>
        <w:rPr>
          <w:i/>
          <w:sz w:val="20"/>
          <w:szCs w:val="20"/>
        </w:rPr>
      </w:pPr>
      <w:r>
        <w:rPr>
          <w:i/>
          <w:sz w:val="20"/>
          <w:szCs w:val="20"/>
        </w:rPr>
        <w:t xml:space="preserve">VII. La que contengan las opiniones, recomendaciones o puntos de vista que formen parte del proceso deliberativo de los servidores públicos, hasta en tanto sea adoptada la decisión definitiva, la cual deberá estar documentada; </w:t>
      </w:r>
    </w:p>
    <w:p w:rsidR="00C36789" w:rsidRDefault="004F3375">
      <w:pPr>
        <w:spacing w:after="0" w:line="360" w:lineRule="auto"/>
        <w:ind w:left="567" w:right="567"/>
        <w:rPr>
          <w:i/>
          <w:sz w:val="20"/>
          <w:szCs w:val="20"/>
        </w:rPr>
      </w:pPr>
      <w:r>
        <w:rPr>
          <w:i/>
          <w:sz w:val="20"/>
          <w:szCs w:val="20"/>
        </w:rPr>
        <w:t>…</w:t>
      </w:r>
    </w:p>
    <w:p w:rsidR="00C36789" w:rsidRDefault="00C36789">
      <w:pPr>
        <w:spacing w:after="0" w:line="360" w:lineRule="auto"/>
      </w:pPr>
    </w:p>
    <w:p w:rsidR="00C36789" w:rsidRDefault="004F3375">
      <w:pPr>
        <w:spacing w:after="0" w:line="360" w:lineRule="auto"/>
      </w:pPr>
      <w:r>
        <w:t>Por su parte, en los Lineamientos Generales en materia de clasificación y desclasificación de la información, así como para la elaboración de versiones públicas, se prevé lo siguiente:</w:t>
      </w:r>
    </w:p>
    <w:p w:rsidR="00C36789" w:rsidRDefault="00C36789">
      <w:pPr>
        <w:spacing w:after="0" w:line="360" w:lineRule="auto"/>
        <w:ind w:left="567" w:right="567"/>
        <w:rPr>
          <w:i/>
          <w:sz w:val="20"/>
          <w:szCs w:val="20"/>
        </w:rPr>
      </w:pPr>
    </w:p>
    <w:p w:rsidR="00C36789" w:rsidRDefault="004F3375">
      <w:pPr>
        <w:spacing w:after="0" w:line="360" w:lineRule="auto"/>
        <w:ind w:left="567" w:right="567"/>
        <w:rPr>
          <w:i/>
          <w:sz w:val="20"/>
          <w:szCs w:val="20"/>
        </w:rPr>
      </w:pPr>
      <w:r>
        <w:rPr>
          <w:i/>
          <w:sz w:val="20"/>
          <w:szCs w:val="20"/>
        </w:rPr>
        <w:t xml:space="preserve">“Vigésimo cuarto. De conformidad con el artículo 113, fracción VI de la Ley General, podrá considerarse como reservada, aquella información que obstruya las actividades de verificación, inspección y auditoría relativas al cumplimiento de las leyes, cuando se actualicen los siguientes elementos: </w:t>
      </w:r>
    </w:p>
    <w:p w:rsidR="00C36789" w:rsidRDefault="004F3375">
      <w:pPr>
        <w:spacing w:after="0" w:line="360" w:lineRule="auto"/>
        <w:ind w:left="567" w:right="567"/>
        <w:rPr>
          <w:i/>
          <w:sz w:val="20"/>
          <w:szCs w:val="20"/>
        </w:rPr>
      </w:pPr>
      <w:r>
        <w:rPr>
          <w:i/>
          <w:sz w:val="20"/>
          <w:szCs w:val="20"/>
        </w:rPr>
        <w:t xml:space="preserve">I. La existencia de un procedimiento de verificación del cumplimiento de las leyes; </w:t>
      </w:r>
    </w:p>
    <w:p w:rsidR="00C36789" w:rsidRDefault="004F3375">
      <w:pPr>
        <w:spacing w:after="0" w:line="360" w:lineRule="auto"/>
        <w:ind w:left="567" w:right="567"/>
        <w:rPr>
          <w:i/>
          <w:sz w:val="20"/>
          <w:szCs w:val="20"/>
        </w:rPr>
      </w:pPr>
      <w:r>
        <w:rPr>
          <w:i/>
          <w:sz w:val="20"/>
          <w:szCs w:val="20"/>
        </w:rPr>
        <w:t xml:space="preserve">II. Que el procedimiento se encuentre en trámite; </w:t>
      </w:r>
    </w:p>
    <w:p w:rsidR="00C36789" w:rsidRDefault="004F3375">
      <w:pPr>
        <w:spacing w:after="0" w:line="360" w:lineRule="auto"/>
        <w:ind w:left="567" w:right="567"/>
        <w:rPr>
          <w:i/>
          <w:sz w:val="20"/>
          <w:szCs w:val="20"/>
        </w:rPr>
      </w:pPr>
      <w:r>
        <w:rPr>
          <w:i/>
          <w:sz w:val="20"/>
          <w:szCs w:val="20"/>
        </w:rPr>
        <w:t>III. La vinculación directa con las actividades que realiza la autoridad en el procedimiento de verificación del cumplimiento de las leyes, y</w:t>
      </w:r>
    </w:p>
    <w:p w:rsidR="00C36789" w:rsidRDefault="004F3375">
      <w:pPr>
        <w:spacing w:after="0" w:line="360" w:lineRule="auto"/>
        <w:ind w:left="567" w:right="567"/>
        <w:rPr>
          <w:i/>
          <w:sz w:val="20"/>
          <w:szCs w:val="20"/>
        </w:rPr>
      </w:pPr>
      <w:r>
        <w:rPr>
          <w:i/>
          <w:sz w:val="20"/>
          <w:szCs w:val="20"/>
        </w:rPr>
        <w:t xml:space="preserve">IV. Que la difusión de la información impida u obstaculice las actividades de inspección, supervisión o vigilancia que realicen las autoridades en el procedimiento de verificación del cumplimiento de las leyes. </w:t>
      </w:r>
    </w:p>
    <w:p w:rsidR="00C36789" w:rsidRDefault="004F3375">
      <w:pPr>
        <w:spacing w:after="0" w:line="360" w:lineRule="auto"/>
        <w:ind w:left="567" w:right="567"/>
        <w:rPr>
          <w:i/>
          <w:sz w:val="20"/>
          <w:szCs w:val="20"/>
        </w:rPr>
      </w:pPr>
      <w:r>
        <w:rPr>
          <w:i/>
          <w:sz w:val="20"/>
          <w:szCs w:val="20"/>
        </w:rPr>
        <w:t xml:space="preserve">Vigésimo quinto. De conformidad con el artículo 113, fracción VI de la Ley General, podrá considerarse como información reservada, aquella cuya difusión pueda obstruir o impedir el </w:t>
      </w:r>
      <w:r>
        <w:rPr>
          <w:i/>
          <w:sz w:val="20"/>
          <w:szCs w:val="20"/>
        </w:rPr>
        <w:lastRenderedPageBreak/>
        <w:t>ejercicio de las facultades que llevan a cabo las autoridades competentes para recaudar, fiscalizar y comprobar el cumplimiento de las obligaciones fiscales en términos de las disposiciones normativas aplicables.</w:t>
      </w:r>
    </w:p>
    <w:p w:rsidR="00C36789" w:rsidRDefault="00C36789">
      <w:pPr>
        <w:spacing w:after="0" w:line="360" w:lineRule="auto"/>
        <w:ind w:left="567" w:right="567"/>
        <w:rPr>
          <w:i/>
          <w:sz w:val="20"/>
          <w:szCs w:val="20"/>
        </w:rPr>
      </w:pPr>
    </w:p>
    <w:p w:rsidR="00C36789" w:rsidRDefault="004F3375">
      <w:pPr>
        <w:spacing w:after="0" w:line="360" w:lineRule="auto"/>
      </w:pPr>
      <w:r>
        <w:t xml:space="preserve">Ahora bien, se debe de señalar que el SUJETO OBLIGADO deberá de checar la  información que remita toda vez que deberá de clasificar el nombre personal Operativo adscrito a la Dirección de Seguridad Pública, de acuerdo con lo precisado en párrafos que anteceden. </w:t>
      </w:r>
    </w:p>
    <w:p w:rsidR="00C36789" w:rsidRDefault="00C36789">
      <w:pPr>
        <w:spacing w:after="0" w:line="360" w:lineRule="auto"/>
      </w:pPr>
    </w:p>
    <w:p w:rsidR="00C36789" w:rsidRDefault="004F3375">
      <w:pPr>
        <w:spacing w:after="0" w:line="360" w:lineRule="auto"/>
      </w:pPr>
      <w:r>
        <w:t>Asimismo, cabe precisar que toda vez que para las administraciones de los Presidentes Municipales Juan Rodolfo Sánchez Gómez (primer periodo), Martha Hilda González y María Elena Barrera Tapia, así como del Presidente Municipal Fernando Zamora, por haber transcurrido, dieciséis, trece, diez y siete años desde generación de la información y no se cuente con ella se deberá de atender lo siguiente.</w:t>
      </w:r>
    </w:p>
    <w:p w:rsidR="00C36789" w:rsidRDefault="00C36789">
      <w:pPr>
        <w:spacing w:after="0" w:line="360" w:lineRule="auto"/>
      </w:pPr>
    </w:p>
    <w:p w:rsidR="00C36789" w:rsidRDefault="004F3375">
      <w:pPr>
        <w:spacing w:after="0" w:line="360" w:lineRule="auto"/>
      </w:pPr>
      <w:r>
        <w:t>La Ley de Archivos y Administración de Documentos del Estado de México y Municipios, establece que para los procesos de entrega-recepción se deberán de entregar los archivos que se encuentren bajo custodia del servidor público saliente, mismo que deberá de señalar si la información entregada tiene documentos con posible valor histórico de acuerdo con el Catálogo de Disposición Documenta.</w:t>
      </w:r>
    </w:p>
    <w:p w:rsidR="00C36789" w:rsidRDefault="00C36789">
      <w:pPr>
        <w:spacing w:after="0" w:line="360" w:lineRule="auto"/>
      </w:pPr>
    </w:p>
    <w:p w:rsidR="00C36789" w:rsidRDefault="004F3375">
      <w:pPr>
        <w:spacing w:after="0" w:line="360" w:lineRule="auto"/>
      </w:pPr>
      <w:r>
        <w:t>En ese sentido es importante referir que de acuerdo con la Ley de Archivos y Administración de Documentos del Estado de México y Municipios, considera los siguientes términos en cuanto a la información histórica.</w:t>
      </w:r>
    </w:p>
    <w:p w:rsidR="00C36789" w:rsidRDefault="00C36789">
      <w:pPr>
        <w:spacing w:after="0" w:line="360" w:lineRule="auto"/>
      </w:pPr>
    </w:p>
    <w:p w:rsidR="00C36789" w:rsidRDefault="004F3375">
      <w:pPr>
        <w:spacing w:after="0" w:line="360" w:lineRule="auto"/>
        <w:ind w:left="567" w:right="567"/>
        <w:rPr>
          <w:i/>
          <w:sz w:val="20"/>
          <w:szCs w:val="20"/>
        </w:rPr>
      </w:pPr>
      <w:r>
        <w:rPr>
          <w:i/>
          <w:sz w:val="20"/>
          <w:szCs w:val="20"/>
        </w:rPr>
        <w:t xml:space="preserve">Artículo 4. Además de las definiciones previstas en la Ley General, para los efectos de esta Ley se entenderá por: </w:t>
      </w:r>
    </w:p>
    <w:p w:rsidR="00C36789" w:rsidRDefault="004F3375">
      <w:pPr>
        <w:spacing w:after="0" w:line="360" w:lineRule="auto"/>
        <w:ind w:left="567" w:right="567"/>
        <w:rPr>
          <w:i/>
          <w:sz w:val="20"/>
          <w:szCs w:val="20"/>
        </w:rPr>
      </w:pPr>
      <w:r>
        <w:rPr>
          <w:b/>
          <w:i/>
          <w:sz w:val="20"/>
          <w:szCs w:val="20"/>
        </w:rPr>
        <w:lastRenderedPageBreak/>
        <w:t>IX. Archivo Histórico:</w:t>
      </w:r>
      <w:r>
        <w:rPr>
          <w:i/>
          <w:sz w:val="20"/>
          <w:szCs w:val="20"/>
        </w:rPr>
        <w:t xml:space="preserve"> Al integrado por documentos de conservación permanente y de relevancia para la memoria estatal o municipal de carácter público; </w:t>
      </w:r>
    </w:p>
    <w:p w:rsidR="00C36789" w:rsidRDefault="004F3375">
      <w:pPr>
        <w:spacing w:after="0" w:line="360" w:lineRule="auto"/>
        <w:ind w:left="567" w:right="567"/>
        <w:rPr>
          <w:i/>
          <w:sz w:val="20"/>
          <w:szCs w:val="20"/>
        </w:rPr>
      </w:pPr>
      <w:r>
        <w:rPr>
          <w:b/>
          <w:i/>
          <w:sz w:val="20"/>
          <w:szCs w:val="20"/>
        </w:rPr>
        <w:t>XXV. Documentos Históricos:</w:t>
      </w:r>
      <w:r>
        <w:rPr>
          <w:i/>
          <w:sz w:val="20"/>
          <w:szCs w:val="20"/>
        </w:rPr>
        <w:t xml:space="preserve"> A los que se preservan permanentemente porque poseen valores evidénciales, testimoniales e informativos relevantes para la sociedad, y que, por ello, forman parte íntegra de la memoria colectiva del Estado de México y sus municipios, siendo fundamentales para el conocimiento de la historia estatal y municipal;</w:t>
      </w:r>
    </w:p>
    <w:p w:rsidR="00C36789" w:rsidRDefault="00C36789">
      <w:pPr>
        <w:spacing w:after="0" w:line="360" w:lineRule="auto"/>
      </w:pPr>
    </w:p>
    <w:p w:rsidR="00C36789" w:rsidRDefault="004F3375">
      <w:pPr>
        <w:spacing w:after="0" w:line="360" w:lineRule="auto"/>
      </w:pPr>
      <w:r>
        <w:t>En ese sentido, de acuerdo con el los Criterios Técnicos que deberán observar la dependencias y Organismos Auxiliares de la Administración Pública Estatal Para la Elaboración, Actualización, Registro y Validación del Catálogo de Disposición Documental, mismo que refiere en su artículo 8 la vigencia y plazos de conservación documental de la siguiente manera.</w:t>
      </w:r>
    </w:p>
    <w:p w:rsidR="00C36789" w:rsidRDefault="004F3375">
      <w:pPr>
        <w:spacing w:after="0" w:line="360" w:lineRule="auto"/>
        <w:ind w:left="567" w:right="567"/>
        <w:rPr>
          <w:i/>
          <w:sz w:val="20"/>
          <w:szCs w:val="20"/>
        </w:rPr>
      </w:pPr>
      <w:r>
        <w:rPr>
          <w:b/>
          <w:i/>
          <w:sz w:val="20"/>
          <w:szCs w:val="20"/>
        </w:rPr>
        <w:t>Artículo 8.</w:t>
      </w:r>
      <w:r>
        <w:rPr>
          <w:i/>
          <w:sz w:val="20"/>
          <w:szCs w:val="20"/>
        </w:rPr>
        <w:t xml:space="preserve"> Para el establecimiento de las vigencias documentales, los plazos de conservación y la disposición final de las series, las dependencias y organismos deberán contemplar el marco normativo bajo el cual se produjeron las series y considerar los periodos de guarda y custodia siguientes: </w:t>
      </w:r>
    </w:p>
    <w:p w:rsidR="00C36789" w:rsidRDefault="004F3375">
      <w:pPr>
        <w:spacing w:after="0" w:line="360" w:lineRule="auto"/>
        <w:ind w:left="567" w:right="567"/>
        <w:rPr>
          <w:i/>
          <w:sz w:val="20"/>
          <w:szCs w:val="20"/>
        </w:rPr>
      </w:pPr>
      <w:r>
        <w:rPr>
          <w:i/>
          <w:sz w:val="20"/>
          <w:szCs w:val="20"/>
        </w:rPr>
        <w:t xml:space="preserve">I. 2 años como mínimo para expedientes de asuntos concluidos en los archivos de trámite de las unidades administrativas, periodo que se computará a partir del día siguiente a la fecha del documento con el que se dé por concluido el asunto que motivó la integración de cada expediente; </w:t>
      </w:r>
    </w:p>
    <w:p w:rsidR="00C36789" w:rsidRDefault="004F3375">
      <w:pPr>
        <w:spacing w:after="0" w:line="360" w:lineRule="auto"/>
        <w:ind w:left="567" w:right="567"/>
        <w:rPr>
          <w:i/>
          <w:sz w:val="20"/>
          <w:szCs w:val="20"/>
        </w:rPr>
      </w:pPr>
      <w:r>
        <w:rPr>
          <w:i/>
          <w:sz w:val="20"/>
          <w:szCs w:val="20"/>
        </w:rPr>
        <w:t xml:space="preserve">II. 6 años para expedientes de series documentales con valor documental administrativo; </w:t>
      </w:r>
    </w:p>
    <w:p w:rsidR="00C36789" w:rsidRDefault="004F3375">
      <w:pPr>
        <w:spacing w:after="0" w:line="360" w:lineRule="auto"/>
        <w:ind w:left="567" w:right="567"/>
        <w:rPr>
          <w:i/>
          <w:sz w:val="20"/>
          <w:szCs w:val="20"/>
        </w:rPr>
      </w:pPr>
      <w:r>
        <w:rPr>
          <w:i/>
          <w:sz w:val="20"/>
          <w:szCs w:val="20"/>
        </w:rPr>
        <w:t xml:space="preserve">III. 6 años como mínimo para expedientes de series documentales con valor documental f iscal-contable; </w:t>
      </w:r>
    </w:p>
    <w:p w:rsidR="00C36789" w:rsidRDefault="004F3375">
      <w:pPr>
        <w:spacing w:after="0" w:line="360" w:lineRule="auto"/>
        <w:ind w:left="567" w:right="567"/>
        <w:rPr>
          <w:i/>
          <w:sz w:val="20"/>
          <w:szCs w:val="20"/>
        </w:rPr>
      </w:pPr>
      <w:r>
        <w:rPr>
          <w:i/>
          <w:sz w:val="20"/>
          <w:szCs w:val="20"/>
        </w:rPr>
        <w:t xml:space="preserve">IV. 12 años para expedientes de series documentales con valor documental jurídico-legal; V. Cuando en la legislación se establezca un tiempo superior al señalado en las fracciones anteriores, se considerará éste para establecer los plazos de conservación de las series. </w:t>
      </w:r>
    </w:p>
    <w:p w:rsidR="00C36789" w:rsidRDefault="004F3375">
      <w:pPr>
        <w:spacing w:after="0" w:line="360" w:lineRule="auto"/>
        <w:ind w:left="567" w:right="567"/>
        <w:rPr>
          <w:i/>
          <w:sz w:val="20"/>
          <w:szCs w:val="20"/>
        </w:rPr>
      </w:pPr>
      <w:r>
        <w:rPr>
          <w:i/>
          <w:sz w:val="20"/>
          <w:szCs w:val="20"/>
        </w:rPr>
        <w:t>VI. Los plazos de conservación relativos al archivo contable gubernamental se determinarán atendiendo lo señalado en el Código Financiero del Estado de México y Municipios y en las disposiciones establecidas al respecto por la Secretaría de Finanzas del Gobierno del Estado de México y la Secretaría de Hacienda y Crédito Público.</w:t>
      </w:r>
    </w:p>
    <w:p w:rsidR="00C36789" w:rsidRDefault="00C36789">
      <w:pPr>
        <w:spacing w:after="0" w:line="360" w:lineRule="auto"/>
      </w:pPr>
    </w:p>
    <w:p w:rsidR="00C36789" w:rsidRDefault="004F3375">
      <w:pPr>
        <w:spacing w:after="0" w:line="360" w:lineRule="auto"/>
      </w:pPr>
      <w:r>
        <w:t>Conforme a lo anterior, para el caso de que las actas de entrega de recepción de los Presidentes Municipales Juan Rodolfo Sánchez Gómez (primer periodo), María Elena Barrera Tapia y Martha Hilda González no obre en los archivos del Sujeto Obligado por los tiempos que regula Catalogo anteriormente mencionado, deberá proporcionar el acta del Comité de Transparencia, donde confirme la inexistencia de la información.</w:t>
      </w:r>
    </w:p>
    <w:p w:rsidR="00C36789" w:rsidRDefault="00C36789">
      <w:pPr>
        <w:spacing w:after="0" w:line="360" w:lineRule="auto"/>
      </w:pPr>
    </w:p>
    <w:p w:rsidR="00C36789" w:rsidRDefault="004F3375">
      <w:pPr>
        <w:spacing w:after="0" w:line="360" w:lineRule="auto"/>
      </w:pPr>
      <w:r>
        <w:t xml:space="preserve">Lo anterior, se robustece con el Criterio de interpretación, de la Primera Época, con clave de control SO/014/2009, emitido por el Pleno del Instituto Nacional de Transparencia, Acceso a la Información y Protección de Datos Personales, que establece que, en los casos, de que no se localice la información en los archivos del sujeto obligado, después de una búsqueda exhaustiva y razonable, el Comité de Transparencia, deberá confirmar la declaración de inexistencia. </w:t>
      </w:r>
    </w:p>
    <w:p w:rsidR="00C36789" w:rsidRDefault="00C36789">
      <w:pPr>
        <w:spacing w:after="0" w:line="360" w:lineRule="auto"/>
      </w:pPr>
    </w:p>
    <w:p w:rsidR="00C36789" w:rsidRDefault="004F3375">
      <w:pPr>
        <w:spacing w:after="0" w:line="360" w:lineRule="auto"/>
      </w:pPr>
      <w:r>
        <w:t>Sobre el tema, el artículo 19, párrafo tercero de la Ley de Transparencia y Acceso a la Información Pública del Estado de México y Municipios, que establece que cuando los sujetos obligados, en el ejercicio de sus atribuciones, debía generar, poseer, administrar la información, pero está no se encuentra, el Comité de Transparencia, deberá emitir el acuerdo de inexistencia.</w:t>
      </w:r>
    </w:p>
    <w:p w:rsidR="00C36789" w:rsidRDefault="00C36789">
      <w:pPr>
        <w:spacing w:after="0" w:line="360" w:lineRule="auto"/>
      </w:pPr>
    </w:p>
    <w:p w:rsidR="00C36789" w:rsidRDefault="004F3375">
      <w:pPr>
        <w:spacing w:after="0" w:line="360" w:lineRule="auto"/>
      </w:pPr>
      <w:r>
        <w:t>En ese orden de ideas, el Criterio Orientador, de la Primera Época, con clave de control SO/012/2010, emitido por el Pleno del entonces Instituto Nacional de Transparencia, Acceso a la Información y Protección de Datos Personales, mismo que se cita por analogía, establece lo siguiente:</w:t>
      </w:r>
    </w:p>
    <w:p w:rsidR="00C36789" w:rsidRDefault="00C36789">
      <w:pPr>
        <w:spacing w:after="0" w:line="360" w:lineRule="auto"/>
      </w:pPr>
    </w:p>
    <w:p w:rsidR="00C36789" w:rsidRDefault="004F3375">
      <w:pPr>
        <w:spacing w:after="0" w:line="360" w:lineRule="auto"/>
        <w:ind w:left="720"/>
        <w:rPr>
          <w:i/>
        </w:rPr>
      </w:pPr>
      <w:r>
        <w:rPr>
          <w:i/>
          <w:sz w:val="20"/>
          <w:szCs w:val="20"/>
        </w:rPr>
        <w:t xml:space="preserve">“Propósito de la declaración formal de inexistencia. Atendiendo a lo dispuesto por los artículos 43, 46 de la Ley Federal de Transparencia y Acceso a la Información Pública Gubernamental y 70 de su </w:t>
      </w:r>
      <w:r>
        <w:rPr>
          <w:i/>
          <w:sz w:val="20"/>
          <w:szCs w:val="20"/>
        </w:rPr>
        <w:lastRenderedPageBreak/>
        <w:t xml:space="preserve">Reglamento, en los que se prevé el procedimiento a seguir para declarar la inexistencia de la información, el propósito de que los Comités de Información de los sujetos obligados por la Ley Federal de Transparencia y Acceso  a  la  Información Pública Gubernamental emitan una declaración que confirme, en su caso, la inexistencia de la información solicitada, es garantizar al solicitante que efectivamente se realizaron las gestiones necesarias para la ubicación de la información de su interés, y que éstas fueron las adecuadas para atender a la particularidad del caso concreto. En ese sentido, las declaraciones de inexistencia de los Comités de Información deben contener los elementos suficientes para generar en los solicitantes la certeza del carácter exhaustivo de la búsqueda de la información solicitada y de que su solicitud fue atendida debidamente; es decir, deben motivar o precisar las razones por las que se buscó la información en determinada(s) unidad(es) administrativa(s), los criterios de búsqueda utilizados, y las demás circunstancias que fueron tomadas en cuenta.” </w:t>
      </w:r>
    </w:p>
    <w:p w:rsidR="00C36789" w:rsidRDefault="00C36789">
      <w:pPr>
        <w:spacing w:after="0" w:line="360" w:lineRule="auto"/>
      </w:pPr>
    </w:p>
    <w:p w:rsidR="00C36789" w:rsidRDefault="004F3375">
      <w:pPr>
        <w:spacing w:after="0" w:line="360" w:lineRule="auto"/>
      </w:pPr>
      <w:r>
        <w:t xml:space="preserve">De la misma manera, el Criterio orientador, de la Segunda Época, con clave de control SO/004/2019, emitido por el Instituto Nacional de Transparencia, Acceso a la Información y Protección de Datos Personales, cuyo texto y rubro son los siguientes: </w:t>
      </w:r>
    </w:p>
    <w:p w:rsidR="00C36789" w:rsidRDefault="00C36789">
      <w:pPr>
        <w:spacing w:after="0" w:line="360" w:lineRule="auto"/>
      </w:pPr>
    </w:p>
    <w:p w:rsidR="00C36789" w:rsidRDefault="004F3375">
      <w:pPr>
        <w:spacing w:after="0" w:line="360" w:lineRule="auto"/>
        <w:ind w:left="720"/>
        <w:rPr>
          <w:i/>
          <w:sz w:val="20"/>
          <w:szCs w:val="20"/>
        </w:rPr>
      </w:pPr>
      <w:r>
        <w:rPr>
          <w:i/>
          <w:sz w:val="20"/>
          <w:szCs w:val="20"/>
        </w:rPr>
        <w:t>“Propósito de la declaración formal de inexistencia.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w:t>
      </w:r>
    </w:p>
    <w:p w:rsidR="00C36789" w:rsidRDefault="00C36789">
      <w:pPr>
        <w:spacing w:after="0" w:line="360" w:lineRule="auto"/>
      </w:pPr>
    </w:p>
    <w:p w:rsidR="00C36789" w:rsidRDefault="004F3375">
      <w:pPr>
        <w:spacing w:after="0" w:line="360" w:lineRule="auto"/>
      </w:pPr>
      <w:r>
        <w:t xml:space="preserve">De los criterios citados, se puede advertir que las declaraciones de inexistencia de los Comités de Transparencia, deben contener los elementos suficientes para generar en los solicitantes la certeza del carácter exhaustivo de la búsqueda de la información, esto es, que deben fundar y motivar las razones por las cuales, se buscó la información en determinadas unidades administrativas, los criterios de búsqueda y demás circunstancias tomadas en cuenta, con el </w:t>
      </w:r>
      <w:r>
        <w:lastRenderedPageBreak/>
        <w:t>fin de garantizar al solicitante que efectivamente se hicieron las gestiones necesarias para localizar la documentación de su interés. Además, según Calero, Natalia (2016), en la “Ley General de Transparencia y Acceso a la Información Pública Comentada” (p. 419), establece que las declaraciones de inexistencia, deben contener lo siguiente:</w:t>
      </w:r>
    </w:p>
    <w:p w:rsidR="00C36789" w:rsidRDefault="00C36789">
      <w:pPr>
        <w:spacing w:after="0" w:line="360" w:lineRule="auto"/>
      </w:pPr>
    </w:p>
    <w:p w:rsidR="00C36789" w:rsidRDefault="004F3375">
      <w:pPr>
        <w:numPr>
          <w:ilvl w:val="0"/>
          <w:numId w:val="10"/>
        </w:numPr>
        <w:pBdr>
          <w:top w:val="nil"/>
          <w:left w:val="nil"/>
          <w:bottom w:val="nil"/>
          <w:right w:val="nil"/>
          <w:between w:val="nil"/>
        </w:pBdr>
        <w:spacing w:after="0" w:line="360" w:lineRule="auto"/>
        <w:rPr>
          <w:color w:val="000000"/>
        </w:rPr>
      </w:pPr>
      <w:r>
        <w:rPr>
          <w:color w:val="000000"/>
        </w:rPr>
        <w:t>Los elementos que le permitan a los solicitantes tener certeza de que el Sujeto Obligado utilizó un criterio de búsqueda exhaustivo: Para atender dicho supuesto, se debe precisar en qué unidades administrativas buscó, así como en el tipo de archivos y la manera en que realizó la indagación;</w:t>
      </w:r>
    </w:p>
    <w:p w:rsidR="00C36789" w:rsidRDefault="00C36789">
      <w:pPr>
        <w:spacing w:after="0" w:line="360" w:lineRule="auto"/>
      </w:pPr>
    </w:p>
    <w:p w:rsidR="00C36789" w:rsidRDefault="004F3375">
      <w:pPr>
        <w:numPr>
          <w:ilvl w:val="0"/>
          <w:numId w:val="10"/>
        </w:numPr>
        <w:pBdr>
          <w:top w:val="nil"/>
          <w:left w:val="nil"/>
          <w:bottom w:val="nil"/>
          <w:right w:val="nil"/>
          <w:between w:val="nil"/>
        </w:pBdr>
        <w:spacing w:after="0" w:line="360" w:lineRule="auto"/>
        <w:rPr>
          <w:color w:val="000000"/>
        </w:rPr>
      </w:pPr>
      <w:r>
        <w:rPr>
          <w:color w:val="000000"/>
        </w:rPr>
        <w:t>Las circunstancias de tiempo, modo y lugar que motiven las razones por las cuales la información es inexistente: Al respecto, los sujetos obligados para acreditar dicho punto, deberán proveer la mayor cantidad de elementos posibles que permitan evidencia las razones por las cuales la información requerida no existe, y</w:t>
      </w:r>
    </w:p>
    <w:p w:rsidR="00C36789" w:rsidRDefault="00C36789">
      <w:pPr>
        <w:spacing w:after="0" w:line="360" w:lineRule="auto"/>
      </w:pPr>
    </w:p>
    <w:p w:rsidR="00C36789" w:rsidRDefault="004F3375">
      <w:pPr>
        <w:numPr>
          <w:ilvl w:val="0"/>
          <w:numId w:val="10"/>
        </w:numPr>
        <w:pBdr>
          <w:top w:val="nil"/>
          <w:left w:val="nil"/>
          <w:bottom w:val="nil"/>
          <w:right w:val="nil"/>
          <w:between w:val="nil"/>
        </w:pBdr>
        <w:spacing w:after="0" w:line="360" w:lineRule="auto"/>
        <w:rPr>
          <w:color w:val="000000"/>
        </w:rPr>
      </w:pPr>
      <w:r>
        <w:rPr>
          <w:color w:val="000000"/>
        </w:rPr>
        <w:t>El servidor público responsable de contar con ésta: Es importante indicar, el cargo y las razones jurídicas por las cuales debió generar la información, es decir, que con base a la normatividad interna las facultades por las cuales tuvo que elaborar el documento requerido.</w:t>
      </w:r>
    </w:p>
    <w:p w:rsidR="00C36789" w:rsidRDefault="00C36789">
      <w:pPr>
        <w:spacing w:after="0" w:line="360" w:lineRule="auto"/>
      </w:pPr>
    </w:p>
    <w:p w:rsidR="00C36789" w:rsidRDefault="004F3375">
      <w:pPr>
        <w:spacing w:after="0" w:line="360" w:lineRule="auto"/>
      </w:pPr>
      <w:r>
        <w:t xml:space="preserve">Conforme a lo citado, se considera que es necesario que el Ayuntamiento de Toluca, declare por medio de su Comité de Transparencia, la inexistencia de la información solicitada referida anteriormente del periodo que comprende del dos mil nueve al dos mil quince, para el caso, que haya causado baja documental; para tal situación, deberá seguir el procedimiento establecido en el artículo 169 y 170 de la Ley de Transparencia y Acceso a la Información </w:t>
      </w:r>
      <w:r>
        <w:lastRenderedPageBreak/>
        <w:t>Pública del Estado de México y Municipios, que precisa que cuando la información no se encuentre en los archivos del Sujeto Obligado, el Comité de Transparencia deberá:</w:t>
      </w:r>
    </w:p>
    <w:p w:rsidR="00C36789" w:rsidRDefault="00C36789">
      <w:pPr>
        <w:spacing w:after="0" w:line="360" w:lineRule="auto"/>
      </w:pPr>
    </w:p>
    <w:p w:rsidR="00C36789" w:rsidRDefault="004F3375">
      <w:pPr>
        <w:numPr>
          <w:ilvl w:val="0"/>
          <w:numId w:val="11"/>
        </w:numPr>
        <w:pBdr>
          <w:top w:val="nil"/>
          <w:left w:val="nil"/>
          <w:bottom w:val="nil"/>
          <w:right w:val="nil"/>
          <w:between w:val="nil"/>
        </w:pBdr>
        <w:spacing w:after="0" w:line="360" w:lineRule="auto"/>
        <w:rPr>
          <w:color w:val="000000"/>
        </w:rPr>
      </w:pPr>
      <w:r>
        <w:rPr>
          <w:color w:val="000000"/>
        </w:rPr>
        <w:t>Analizar el caso y tomar las medidas necesarias para localizar la información;</w:t>
      </w:r>
    </w:p>
    <w:p w:rsidR="00C36789" w:rsidRDefault="00C36789">
      <w:pPr>
        <w:spacing w:after="0" w:line="360" w:lineRule="auto"/>
      </w:pPr>
    </w:p>
    <w:p w:rsidR="00C36789" w:rsidRDefault="004F3375">
      <w:pPr>
        <w:numPr>
          <w:ilvl w:val="0"/>
          <w:numId w:val="11"/>
        </w:numPr>
        <w:pBdr>
          <w:top w:val="nil"/>
          <w:left w:val="nil"/>
          <w:bottom w:val="nil"/>
          <w:right w:val="nil"/>
          <w:between w:val="nil"/>
        </w:pBdr>
        <w:spacing w:after="0" w:line="360" w:lineRule="auto"/>
        <w:rPr>
          <w:color w:val="000000"/>
        </w:rPr>
      </w:pPr>
      <w:r>
        <w:rPr>
          <w:color w:val="000000"/>
        </w:rPr>
        <w:t>Expedir una resolución que confirme la inexistencia de la información, que contenga los elementos mínimos que permitan al Solicitante tener la certeza de que se utilizó un criterio de búsqueda exhaustivo, así como, las circunstancias de modo, tiempo y lugar que generaron la inexistencia y el servidor público responsable de contar con la información, y</w:t>
      </w:r>
    </w:p>
    <w:p w:rsidR="00C36789" w:rsidRDefault="00C36789">
      <w:pPr>
        <w:spacing w:after="0" w:line="360" w:lineRule="auto"/>
      </w:pPr>
    </w:p>
    <w:p w:rsidR="00C36789" w:rsidRDefault="004F3375">
      <w:pPr>
        <w:numPr>
          <w:ilvl w:val="0"/>
          <w:numId w:val="11"/>
        </w:numPr>
        <w:pBdr>
          <w:top w:val="nil"/>
          <w:left w:val="nil"/>
          <w:bottom w:val="nil"/>
          <w:right w:val="nil"/>
          <w:between w:val="nil"/>
        </w:pBdr>
        <w:spacing w:after="0" w:line="360" w:lineRule="auto"/>
        <w:rPr>
          <w:color w:val="000000"/>
        </w:rPr>
      </w:pPr>
      <w:r>
        <w:rPr>
          <w:color w:val="000000"/>
        </w:rPr>
        <w:t>Ordenar, siempre que sea materialmente posible, que se genere o reponga la información en caso de que ésta tuviera que existir o previa acreditación de la imposibilidad de su generación, exponga de forma fundada y motivada las razones de dicha situación.</w:t>
      </w:r>
    </w:p>
    <w:p w:rsidR="00C36789" w:rsidRDefault="00C36789">
      <w:pPr>
        <w:spacing w:after="0" w:line="360" w:lineRule="auto"/>
      </w:pPr>
    </w:p>
    <w:p w:rsidR="00C36789" w:rsidRDefault="004F3375">
      <w:pPr>
        <w:spacing w:after="0" w:line="360" w:lineRule="auto"/>
      </w:pPr>
      <w:r>
        <w:t>En ese orden de ideas, en el presente caso, se considera que es necesario que el Ayuntamiento de Toluca declare por medio de su Comité de Transparencia, la inexistencia de la información que no localice por la temporalidad, con el fin de dar cumplimiento al tercer párrafo, del artículo 19 de la Ley de Transparencia y Acceso a la Información Pública del Estado de México y Municipios.</w:t>
      </w:r>
    </w:p>
    <w:p w:rsidR="00C36789" w:rsidRDefault="00C36789">
      <w:pPr>
        <w:spacing w:after="0" w:line="360" w:lineRule="auto"/>
      </w:pPr>
    </w:p>
    <w:p w:rsidR="00C36789" w:rsidRDefault="004F3375">
      <w:pPr>
        <w:spacing w:after="0" w:line="360" w:lineRule="auto"/>
        <w:ind w:right="-28"/>
        <w:rPr>
          <w:color w:val="000000"/>
        </w:rPr>
      </w:pPr>
      <w:r>
        <w:t xml:space="preserve">Asimismo, no pasa desapercibido que la información que da cuenta del número de patrullas, como la Relación de Bienes Muebles al resguardo de la persona servidora pública, podrían contener datos sobre las características técnicas </w:t>
      </w:r>
      <w:r>
        <w:rPr>
          <w:color w:val="000000"/>
        </w:rPr>
        <w:t xml:space="preserve">y especiales que tienen las patrullas, por lo que, es necesario analizar si dicha información actualiza alguna causal de clasificación; sobre </w:t>
      </w:r>
      <w:r>
        <w:rPr>
          <w:color w:val="000000"/>
        </w:rPr>
        <w:lastRenderedPageBreak/>
        <w:t>el tema, el 140, fracción I, de la Ley de Transparencia y Acceso a la Información Pública del Estado de México y Municipios, (homólogo del artículo 113, fracción I de la Ley General de Transparencia y Acceso a la Información Pública), prevé lo siguiente:</w:t>
      </w:r>
    </w:p>
    <w:p w:rsidR="00C36789" w:rsidRDefault="00C36789">
      <w:pPr>
        <w:spacing w:after="0" w:line="360" w:lineRule="auto"/>
      </w:pPr>
    </w:p>
    <w:p w:rsidR="00C36789" w:rsidRDefault="004F3375">
      <w:pPr>
        <w:spacing w:after="0" w:line="360" w:lineRule="auto"/>
        <w:ind w:left="567" w:right="567"/>
        <w:rPr>
          <w:color w:val="000000"/>
          <w:sz w:val="20"/>
          <w:szCs w:val="20"/>
        </w:rPr>
      </w:pPr>
      <w:r>
        <w:rPr>
          <w:i/>
          <w:color w:val="000000"/>
          <w:sz w:val="20"/>
          <w:szCs w:val="20"/>
        </w:rPr>
        <w:t>“</w:t>
      </w:r>
      <w:r>
        <w:rPr>
          <w:b/>
          <w:i/>
          <w:color w:val="000000"/>
          <w:sz w:val="20"/>
          <w:szCs w:val="20"/>
        </w:rPr>
        <w:t>Artículo 140.</w:t>
      </w:r>
      <w:r>
        <w:rPr>
          <w:i/>
          <w:color w:val="000000"/>
          <w:sz w:val="20"/>
          <w:szCs w:val="20"/>
        </w:rPr>
        <w:t> El acceso a la información pública será restringido excepcionalmente, cuando por razones de interés público, ésta sea clasificada como reservada, conforme a los criterios siguientes:</w:t>
      </w:r>
    </w:p>
    <w:p w:rsidR="00C36789" w:rsidRDefault="004F3375">
      <w:pPr>
        <w:spacing w:after="0" w:line="360" w:lineRule="auto"/>
        <w:ind w:left="567" w:right="567"/>
        <w:rPr>
          <w:color w:val="000000"/>
          <w:sz w:val="20"/>
          <w:szCs w:val="20"/>
        </w:rPr>
      </w:pPr>
      <w:r>
        <w:rPr>
          <w:i/>
          <w:color w:val="000000"/>
          <w:sz w:val="20"/>
          <w:szCs w:val="20"/>
        </w:rPr>
        <w:t> </w:t>
      </w:r>
    </w:p>
    <w:p w:rsidR="00C36789" w:rsidRDefault="004F3375">
      <w:pPr>
        <w:spacing w:after="0" w:line="360" w:lineRule="auto"/>
        <w:ind w:left="567" w:right="567"/>
        <w:rPr>
          <w:color w:val="000000"/>
          <w:sz w:val="20"/>
          <w:szCs w:val="20"/>
        </w:rPr>
      </w:pPr>
      <w:r>
        <w:rPr>
          <w:i/>
          <w:color w:val="000000"/>
          <w:sz w:val="20"/>
          <w:szCs w:val="20"/>
        </w:rPr>
        <w:t>I. Comprometa la seguridad pública y cuente con un propósito genuino y un efecto demostrable;</w:t>
      </w:r>
    </w:p>
    <w:p w:rsidR="00C36789" w:rsidRDefault="004F3375">
      <w:pPr>
        <w:spacing w:after="0" w:line="360" w:lineRule="auto"/>
        <w:ind w:left="567" w:right="567"/>
        <w:rPr>
          <w:color w:val="000000"/>
          <w:sz w:val="20"/>
          <w:szCs w:val="20"/>
        </w:rPr>
      </w:pPr>
      <w:r>
        <w:rPr>
          <w:i/>
          <w:color w:val="000000"/>
          <w:sz w:val="20"/>
          <w:szCs w:val="20"/>
        </w:rPr>
        <w:t>…”</w:t>
      </w:r>
    </w:p>
    <w:p w:rsidR="00C36789" w:rsidRDefault="004F3375">
      <w:pPr>
        <w:spacing w:after="0" w:line="360" w:lineRule="auto"/>
        <w:ind w:right="-28"/>
        <w:rPr>
          <w:color w:val="000000"/>
        </w:rPr>
      </w:pPr>
      <w:r>
        <w:rPr>
          <w:color w:val="000000"/>
        </w:rPr>
        <w:t> </w:t>
      </w:r>
    </w:p>
    <w:p w:rsidR="00C36789" w:rsidRDefault="004F3375">
      <w:pPr>
        <w:spacing w:after="0" w:line="360" w:lineRule="auto"/>
        <w:ind w:right="-28"/>
        <w:rPr>
          <w:color w:val="000000"/>
        </w:rPr>
      </w:pPr>
      <w:r>
        <w:rPr>
          <w:color w:val="000000"/>
        </w:rPr>
        <w:t>De dicho precepto normativo se desprende que podrá clasificarse como información reservada aquella cuya publicación comprometa la seguridad pública y cuente con un propósito genuino y un efecto demostrable. Por su parte, los Lineamientos Generales, disponen:</w:t>
      </w:r>
    </w:p>
    <w:p w:rsidR="00C36789" w:rsidRDefault="004F3375">
      <w:pPr>
        <w:spacing w:after="0" w:line="360" w:lineRule="auto"/>
        <w:ind w:right="-28"/>
        <w:rPr>
          <w:color w:val="000000"/>
        </w:rPr>
      </w:pPr>
      <w:r>
        <w:rPr>
          <w:color w:val="000000"/>
        </w:rPr>
        <w:t> </w:t>
      </w:r>
    </w:p>
    <w:p w:rsidR="00C36789" w:rsidRDefault="004F3375">
      <w:pPr>
        <w:spacing w:after="0" w:line="360" w:lineRule="auto"/>
        <w:ind w:left="567" w:right="567"/>
        <w:rPr>
          <w:color w:val="000000"/>
          <w:sz w:val="20"/>
          <w:szCs w:val="20"/>
        </w:rPr>
      </w:pPr>
      <w:r>
        <w:rPr>
          <w:b/>
          <w:i/>
          <w:color w:val="000000"/>
          <w:sz w:val="20"/>
          <w:szCs w:val="20"/>
        </w:rPr>
        <w:t>“Décimo octavo. </w:t>
      </w:r>
      <w:r>
        <w:rPr>
          <w:i/>
          <w:color w:val="000000"/>
          <w:sz w:val="20"/>
          <w:szCs w:val="20"/>
        </w:rPr>
        <w:t>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rsidR="00C36789" w:rsidRDefault="004F3375">
      <w:pPr>
        <w:spacing w:after="0" w:line="360" w:lineRule="auto"/>
        <w:ind w:left="567" w:right="567"/>
        <w:rPr>
          <w:color w:val="000000"/>
          <w:sz w:val="20"/>
          <w:szCs w:val="20"/>
        </w:rPr>
      </w:pPr>
      <w:r>
        <w:rPr>
          <w:i/>
          <w:color w:val="000000"/>
          <w:sz w:val="20"/>
          <w:szCs w:val="20"/>
        </w:rPr>
        <w:t> </w:t>
      </w:r>
    </w:p>
    <w:p w:rsidR="00C36789" w:rsidRDefault="004F3375">
      <w:pPr>
        <w:spacing w:after="0" w:line="360" w:lineRule="auto"/>
        <w:ind w:left="567" w:right="567"/>
        <w:rPr>
          <w:color w:val="000000"/>
          <w:sz w:val="20"/>
          <w:szCs w:val="20"/>
        </w:rPr>
      </w:pPr>
      <w:r>
        <w:rPr>
          <w:i/>
          <w:color w:val="000000"/>
          <w:sz w:val="20"/>
          <w:szCs w:val="20"/>
        </w:rPr>
        <w:t>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w:t>
      </w:r>
    </w:p>
    <w:p w:rsidR="00C36789" w:rsidRDefault="004F3375">
      <w:pPr>
        <w:spacing w:after="0" w:line="360" w:lineRule="auto"/>
        <w:ind w:left="567" w:right="567"/>
        <w:rPr>
          <w:color w:val="000000"/>
          <w:sz w:val="20"/>
          <w:szCs w:val="20"/>
        </w:rPr>
      </w:pPr>
      <w:r>
        <w:rPr>
          <w:i/>
          <w:color w:val="000000"/>
          <w:sz w:val="20"/>
          <w:szCs w:val="20"/>
        </w:rPr>
        <w:t> </w:t>
      </w:r>
    </w:p>
    <w:p w:rsidR="00C36789" w:rsidRDefault="004F3375">
      <w:pPr>
        <w:spacing w:after="0" w:line="360" w:lineRule="auto"/>
        <w:ind w:left="567" w:right="567"/>
        <w:rPr>
          <w:color w:val="000000"/>
          <w:sz w:val="20"/>
          <w:szCs w:val="20"/>
        </w:rPr>
      </w:pPr>
      <w:r>
        <w:rPr>
          <w:i/>
          <w:color w:val="000000"/>
          <w:sz w:val="20"/>
          <w:szCs w:val="20"/>
        </w:rPr>
        <w:lastRenderedPageBreak/>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rsidR="00C36789" w:rsidRDefault="004F3375">
      <w:pPr>
        <w:spacing w:after="0" w:line="360" w:lineRule="auto"/>
        <w:ind w:right="-28"/>
        <w:rPr>
          <w:color w:val="000000"/>
        </w:rPr>
      </w:pPr>
      <w:r>
        <w:rPr>
          <w:color w:val="000000"/>
        </w:rPr>
        <w:t> </w:t>
      </w:r>
    </w:p>
    <w:p w:rsidR="00C36789" w:rsidRDefault="004F3375">
      <w:pPr>
        <w:spacing w:after="0" w:line="360" w:lineRule="auto"/>
        <w:ind w:right="-28"/>
        <w:rPr>
          <w:color w:val="000000"/>
        </w:rPr>
      </w:pPr>
      <w:r>
        <w:rPr>
          <w:color w:val="000000"/>
        </w:rPr>
        <w:t>Así, es posible observar que podrá clasificarse como información reservada, aquélla que comprometa la seguridad pública o bien, entorpezca los sistemas de coordinación interinstitucional en materia de seguridad pública, menoscabar o dificultar las estrategias contra la evasión de reos o la capacidad de las autoridades para disuadir o prevenir disturbios sociales.</w:t>
      </w:r>
    </w:p>
    <w:p w:rsidR="00C36789" w:rsidRDefault="004F3375">
      <w:pPr>
        <w:spacing w:after="0" w:line="360" w:lineRule="auto"/>
        <w:ind w:right="-28"/>
        <w:rPr>
          <w:color w:val="000000"/>
        </w:rPr>
      </w:pPr>
      <w:r>
        <w:rPr>
          <w:color w:val="000000"/>
        </w:rPr>
        <w:t> </w:t>
      </w:r>
    </w:p>
    <w:p w:rsidR="00C36789" w:rsidRDefault="004F3375">
      <w:pPr>
        <w:spacing w:after="0" w:line="360" w:lineRule="auto"/>
        <w:ind w:right="-28"/>
        <w:rPr>
          <w:color w:val="000000"/>
        </w:rPr>
      </w:pPr>
      <w:r>
        <w:rPr>
          <w:color w:val="000000"/>
        </w:rPr>
        <w:t>De la misma manera, será información clasificada aquella que revele datos que pudieran ser aprovechados para conocer la capacidad de reacción de las instituciones encargadas de la seguridad pública, sus planes, estrategias, tecnología, información, sistemas de comunicaciones.</w:t>
      </w:r>
    </w:p>
    <w:p w:rsidR="00C36789" w:rsidRDefault="004F3375">
      <w:pPr>
        <w:spacing w:after="0" w:line="360" w:lineRule="auto"/>
        <w:ind w:right="-28"/>
        <w:rPr>
          <w:color w:val="000000"/>
        </w:rPr>
      </w:pPr>
      <w:r>
        <w:rPr>
          <w:color w:val="000000"/>
        </w:rPr>
        <w:t> </w:t>
      </w:r>
    </w:p>
    <w:p w:rsidR="00C36789" w:rsidRDefault="004F3375">
      <w:pPr>
        <w:spacing w:after="0" w:line="360" w:lineRule="auto"/>
        <w:ind w:right="-28"/>
        <w:rPr>
          <w:color w:val="000000"/>
        </w:rPr>
      </w:pPr>
      <w:r>
        <w:rPr>
          <w:color w:val="000000"/>
        </w:rPr>
        <w:t>En ese orden de ideas, el artículo 81 de la Ley de Seguridad del Estado de México, que establece lo siguiente:</w:t>
      </w:r>
    </w:p>
    <w:p w:rsidR="00C36789" w:rsidRDefault="004F3375">
      <w:pPr>
        <w:spacing w:after="0" w:line="360" w:lineRule="auto"/>
        <w:ind w:right="-28"/>
        <w:rPr>
          <w:color w:val="000000"/>
        </w:rPr>
      </w:pPr>
      <w:r>
        <w:rPr>
          <w:color w:val="000000"/>
        </w:rPr>
        <w:t> </w:t>
      </w:r>
    </w:p>
    <w:p w:rsidR="00C36789" w:rsidRDefault="004F3375">
      <w:pPr>
        <w:spacing w:after="0" w:line="360" w:lineRule="auto"/>
        <w:ind w:left="567" w:right="567"/>
        <w:rPr>
          <w:color w:val="000000"/>
          <w:sz w:val="20"/>
          <w:szCs w:val="20"/>
        </w:rPr>
      </w:pPr>
      <w:r>
        <w:rPr>
          <w:b/>
          <w:i/>
          <w:color w:val="000000"/>
          <w:sz w:val="20"/>
          <w:szCs w:val="20"/>
        </w:rPr>
        <w:t>“Artículo 81.- </w:t>
      </w:r>
      <w:r>
        <w:rPr>
          <w:i/>
          <w:color w:val="000000"/>
          <w:sz w:val="20"/>
          <w:szCs w:val="20"/>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rsidR="00C36789" w:rsidRDefault="004F3375">
      <w:pPr>
        <w:spacing w:after="0" w:line="360" w:lineRule="auto"/>
        <w:ind w:left="567" w:right="567"/>
        <w:rPr>
          <w:color w:val="000000"/>
          <w:sz w:val="20"/>
          <w:szCs w:val="20"/>
        </w:rPr>
      </w:pPr>
      <w:r>
        <w:rPr>
          <w:i/>
          <w:color w:val="000000"/>
          <w:sz w:val="20"/>
          <w:szCs w:val="20"/>
        </w:rPr>
        <w:t> </w:t>
      </w:r>
    </w:p>
    <w:p w:rsidR="00C36789" w:rsidRDefault="004F3375">
      <w:pPr>
        <w:spacing w:after="0" w:line="360" w:lineRule="auto"/>
        <w:ind w:left="567" w:right="567"/>
        <w:rPr>
          <w:color w:val="000000"/>
          <w:sz w:val="20"/>
          <w:szCs w:val="20"/>
        </w:rPr>
      </w:pPr>
      <w:r>
        <w:rPr>
          <w:i/>
          <w:color w:val="000000"/>
          <w:sz w:val="20"/>
          <w:szCs w:val="20"/>
        </w:rPr>
        <w:t>I. Aquella cuya divulgación implique la revelación de normas, procedimientos, métodos, fuentes, especificaciones técnicas, sistemas, tecnología o equipos útiles a la generación de inteligencia para la seguridad pública o el combate a la delincuencia en el Estado de México;</w:t>
      </w:r>
    </w:p>
    <w:p w:rsidR="00C36789" w:rsidRDefault="004F3375">
      <w:pPr>
        <w:spacing w:after="0" w:line="360" w:lineRule="auto"/>
        <w:ind w:left="567" w:right="567"/>
        <w:rPr>
          <w:color w:val="000000"/>
          <w:sz w:val="20"/>
          <w:szCs w:val="20"/>
        </w:rPr>
      </w:pPr>
      <w:r>
        <w:rPr>
          <w:i/>
          <w:color w:val="000000"/>
          <w:sz w:val="20"/>
          <w:szCs w:val="20"/>
        </w:rPr>
        <w:t> </w:t>
      </w:r>
    </w:p>
    <w:p w:rsidR="00C36789" w:rsidRDefault="004F3375">
      <w:pPr>
        <w:spacing w:after="0" w:line="360" w:lineRule="auto"/>
        <w:ind w:left="567" w:right="567"/>
        <w:rPr>
          <w:color w:val="000000"/>
          <w:sz w:val="20"/>
          <w:szCs w:val="20"/>
        </w:rPr>
      </w:pPr>
      <w:r>
        <w:rPr>
          <w:i/>
          <w:color w:val="000000"/>
          <w:sz w:val="20"/>
          <w:szCs w:val="20"/>
        </w:rPr>
        <w:lastRenderedPageBreak/>
        <w:t>II. Aquella cuya revelación pueda ser utilizada para actualizar o potenciar una amenaza a la seguridad pública o a las instituciones del Estado de México;</w:t>
      </w:r>
    </w:p>
    <w:p w:rsidR="00C36789" w:rsidRDefault="004F3375">
      <w:pPr>
        <w:spacing w:after="0" w:line="360" w:lineRule="auto"/>
        <w:ind w:left="567" w:right="567"/>
        <w:rPr>
          <w:color w:val="000000"/>
          <w:sz w:val="20"/>
          <w:szCs w:val="20"/>
        </w:rPr>
      </w:pPr>
      <w:r>
        <w:rPr>
          <w:i/>
          <w:color w:val="000000"/>
          <w:sz w:val="20"/>
          <w:szCs w:val="20"/>
        </w:rPr>
        <w:t> </w:t>
      </w:r>
    </w:p>
    <w:p w:rsidR="00C36789" w:rsidRDefault="004F3375">
      <w:pPr>
        <w:spacing w:after="0" w:line="360" w:lineRule="auto"/>
        <w:ind w:left="567" w:right="567"/>
        <w:rPr>
          <w:color w:val="000000"/>
          <w:sz w:val="20"/>
          <w:szCs w:val="20"/>
        </w:rPr>
      </w:pPr>
      <w:r>
        <w:rPr>
          <w:i/>
          <w:color w:val="000000"/>
          <w:sz w:val="20"/>
          <w:szCs w:val="20"/>
        </w:rPr>
        <w:t>III. La relativa a los servidores públicos integrantes de las instituciones de seguridad pública, cuya revelación pueda poner en riesgo su vida e integridad física con motivo de sus funciones;</w:t>
      </w:r>
    </w:p>
    <w:p w:rsidR="00C36789" w:rsidRDefault="004F3375">
      <w:pPr>
        <w:spacing w:after="0" w:line="360" w:lineRule="auto"/>
        <w:ind w:left="567" w:right="567"/>
        <w:rPr>
          <w:color w:val="000000"/>
          <w:sz w:val="20"/>
          <w:szCs w:val="20"/>
        </w:rPr>
      </w:pPr>
      <w:r>
        <w:rPr>
          <w:i/>
          <w:color w:val="000000"/>
          <w:sz w:val="20"/>
          <w:szCs w:val="20"/>
        </w:rPr>
        <w:t> </w:t>
      </w:r>
    </w:p>
    <w:p w:rsidR="00C36789" w:rsidRDefault="004F3375">
      <w:pPr>
        <w:spacing w:after="0" w:line="360" w:lineRule="auto"/>
        <w:ind w:left="567" w:right="567"/>
        <w:rPr>
          <w:color w:val="000000"/>
          <w:sz w:val="20"/>
          <w:szCs w:val="20"/>
        </w:rPr>
      </w:pPr>
      <w:r>
        <w:rPr>
          <w:i/>
          <w:color w:val="000000"/>
          <w:sz w:val="20"/>
          <w:szCs w:val="20"/>
        </w:rPr>
        <w:t>IV. La que sea producto de una intervención de comunicaciones privadas autorizadas conforme a la Constitución Federal y las disposiciones legales correspondientes; y</w:t>
      </w:r>
    </w:p>
    <w:p w:rsidR="00C36789" w:rsidRDefault="004F3375">
      <w:pPr>
        <w:spacing w:after="0" w:line="360" w:lineRule="auto"/>
        <w:ind w:left="567" w:right="567"/>
        <w:rPr>
          <w:color w:val="000000"/>
          <w:sz w:val="20"/>
          <w:szCs w:val="20"/>
        </w:rPr>
      </w:pPr>
      <w:r>
        <w:rPr>
          <w:i/>
          <w:color w:val="000000"/>
          <w:sz w:val="20"/>
          <w:szCs w:val="20"/>
        </w:rPr>
        <w:t> </w:t>
      </w:r>
    </w:p>
    <w:p w:rsidR="00C36789" w:rsidRDefault="004F3375">
      <w:pPr>
        <w:spacing w:after="0" w:line="360" w:lineRule="auto"/>
        <w:ind w:left="567" w:right="567"/>
        <w:rPr>
          <w:color w:val="000000"/>
          <w:sz w:val="20"/>
          <w:szCs w:val="20"/>
        </w:rPr>
      </w:pPr>
      <w:r>
        <w:rPr>
          <w:i/>
          <w:color w:val="000000"/>
          <w:sz w:val="20"/>
          <w:szCs w:val="20"/>
        </w:rPr>
        <w:t>V. La contenida en averiguaciones previas, carpetas de investigación, expedientes y demás archivos relativos a la investigación para la prevención y la investigación de los delitos y faltas administrativas, en términos de las disposiciones aplicables.”</w:t>
      </w:r>
    </w:p>
    <w:p w:rsidR="00C36789" w:rsidRDefault="004F3375">
      <w:pPr>
        <w:spacing w:after="0" w:line="360" w:lineRule="auto"/>
        <w:ind w:right="-28"/>
        <w:rPr>
          <w:color w:val="000000"/>
        </w:rPr>
      </w:pPr>
      <w:r>
        <w:rPr>
          <w:color w:val="000000"/>
        </w:rPr>
        <w:t> </w:t>
      </w:r>
    </w:p>
    <w:p w:rsidR="00C36789" w:rsidRDefault="004F3375">
      <w:pPr>
        <w:spacing w:after="0" w:line="360" w:lineRule="auto"/>
        <w:ind w:right="-28"/>
        <w:rPr>
          <w:color w:val="000000"/>
        </w:rPr>
      </w:pPr>
      <w:r>
        <w:rPr>
          <w:color w:val="000000"/>
        </w:rPr>
        <w:t>De lo anterior, se logra desprender que es información reservada, aquella que pueda revelar las normas, procedimientos, métodos, fuentes, técnicas, sistemas, tecnología, útiles a la generación de inteligencia para la seguridad pública o el combate a la delincuencia, que pueda potenciar o amenazar la seguridad pública o las instituciones del Estado de México, la que sea producto de un intervención de comunicaciones privadas, o bien, la contenida en las averiguaciones previas, carpetas de investigación de los delitos y faltas administrativas.</w:t>
      </w:r>
    </w:p>
    <w:p w:rsidR="00C36789" w:rsidRDefault="00C36789">
      <w:pPr>
        <w:spacing w:after="0" w:line="360" w:lineRule="auto"/>
        <w:ind w:right="-28"/>
        <w:rPr>
          <w:color w:val="000000"/>
        </w:rPr>
      </w:pPr>
    </w:p>
    <w:p w:rsidR="00C36789" w:rsidRDefault="004F3375">
      <w:pPr>
        <w:spacing w:after="0" w:line="360" w:lineRule="auto"/>
        <w:ind w:right="-28"/>
        <w:rPr>
          <w:color w:val="000000"/>
        </w:rPr>
      </w:pPr>
      <w:r>
        <w:rPr>
          <w:color w:val="000000"/>
        </w:rPr>
        <w:t xml:space="preserve"> Al respecto, este Instituto advierte que proporcionar las características o especificaciones de las patrullas, revelaría la nuevo equipamiento, tecnología  y componentes, con los que cuenta el área de seguridad, para el combate a la delincuencia en el Municipio, pues al proporcionar información sobre, </w:t>
      </w:r>
      <w:r>
        <w:rPr>
          <w:b/>
          <w:color w:val="000000"/>
        </w:rPr>
        <w:t>la tecnología, armamento y blindaje con los que cuenta los vehículos,</w:t>
      </w:r>
      <w:r>
        <w:rPr>
          <w:color w:val="000000"/>
        </w:rPr>
        <w:t> se estaría dando cuenta de las características del equipo y armamento especial, con el que cuentan el personal, y que es utilizado para mantener la seguridad dentro del territorio del Municipio.</w:t>
      </w:r>
    </w:p>
    <w:p w:rsidR="00C36789" w:rsidRDefault="004F3375">
      <w:pPr>
        <w:spacing w:after="0" w:line="360" w:lineRule="auto"/>
        <w:ind w:right="-28"/>
        <w:rPr>
          <w:color w:val="000000"/>
        </w:rPr>
      </w:pPr>
      <w:r>
        <w:rPr>
          <w:color w:val="000000"/>
        </w:rPr>
        <w:t> </w:t>
      </w:r>
    </w:p>
    <w:p w:rsidR="00C36789" w:rsidRDefault="004F3375">
      <w:pPr>
        <w:spacing w:after="0" w:line="360" w:lineRule="auto"/>
        <w:ind w:right="-28"/>
        <w:rPr>
          <w:color w:val="000000"/>
        </w:rPr>
      </w:pPr>
      <w:r>
        <w:rPr>
          <w:color w:val="000000"/>
        </w:rPr>
        <w:lastRenderedPageBreak/>
        <w:t xml:space="preserve">Inclusive, dar a conocer las especificaciones y características especiales de los automotores, podría ocasionar que los entes delincuenciales busquen allegarse de instrumentos para disminuir o destruir estos, con el fin de aumentar la inseguridad de </w:t>
      </w:r>
      <w:proofErr w:type="spellStart"/>
      <w:r>
        <w:rPr>
          <w:color w:val="000000"/>
        </w:rPr>
        <w:t>Acambay</w:t>
      </w:r>
      <w:proofErr w:type="spellEnd"/>
      <w:r>
        <w:rPr>
          <w:color w:val="000000"/>
        </w:rPr>
        <w:t>, pues podría ser utilizada dicha información para buscar las debilidades de las mismas y poderse aprovechar de dichas situaciones para realizar diversos delitos, lo cual va en detrimento de la paz y orden social.</w:t>
      </w:r>
    </w:p>
    <w:p w:rsidR="00C36789" w:rsidRDefault="004F3375">
      <w:pPr>
        <w:spacing w:after="0" w:line="360" w:lineRule="auto"/>
        <w:ind w:right="-28"/>
        <w:rPr>
          <w:color w:val="000000"/>
        </w:rPr>
      </w:pPr>
      <w:r>
        <w:rPr>
          <w:color w:val="000000"/>
        </w:rPr>
        <w:t> </w:t>
      </w:r>
    </w:p>
    <w:p w:rsidR="00C36789" w:rsidRDefault="004F3375">
      <w:pPr>
        <w:spacing w:after="0" w:line="360" w:lineRule="auto"/>
        <w:ind w:right="-28"/>
        <w:rPr>
          <w:color w:val="000000"/>
        </w:rPr>
      </w:pPr>
      <w:r>
        <w:rPr>
          <w:color w:val="000000"/>
        </w:rPr>
        <w:t>Conforme a lo anterior, se puede colegir que proporcionar las características especiales de los uniformes, como su blindaje y tecnología, podría comprometer la seguridad pública, al poner en peligro las funciones a cargo del Municipio,  tendientes a preservar y resguardar la vida, la salud, la integridad y el ejercicio de los derechos de las personas, así como para el mantenimiento del orden público, toda vez </w:t>
      </w:r>
      <w:r>
        <w:rPr>
          <w:b/>
          <w:color w:val="000000"/>
        </w:rPr>
        <w:t>que da cuenta de las tecnologías, componentes y sistemas del equipo y armamento utilizado por los elementos de la Comisaría de Seguridad Pública Municipal </w:t>
      </w:r>
      <w:r>
        <w:rPr>
          <w:color w:val="000000"/>
        </w:rPr>
        <w:t>y por lo tanto, acredita la causal de clasificación prevista en el artículo 140, fracción I de la Ley de Transparencia y Acceso a la Información Pública del Estado de México</w:t>
      </w:r>
      <w:r>
        <w:rPr>
          <w:b/>
          <w:color w:val="000000"/>
        </w:rPr>
        <w:t>.</w:t>
      </w:r>
    </w:p>
    <w:p w:rsidR="00C36789" w:rsidRDefault="004F3375">
      <w:pPr>
        <w:spacing w:after="0" w:line="360" w:lineRule="auto"/>
        <w:ind w:right="-28"/>
        <w:rPr>
          <w:color w:val="000000"/>
        </w:rPr>
      </w:pPr>
      <w:r>
        <w:rPr>
          <w:color w:val="000000"/>
        </w:rPr>
        <w:t> </w:t>
      </w:r>
    </w:p>
    <w:p w:rsidR="00C36789" w:rsidRDefault="004F3375">
      <w:pPr>
        <w:spacing w:after="0" w:line="360" w:lineRule="auto"/>
        <w:ind w:right="-28"/>
        <w:rPr>
          <w:color w:val="000000"/>
        </w:rPr>
      </w:pPr>
      <w:r>
        <w:rPr>
          <w:color w:val="000000"/>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rsidR="00C36789" w:rsidRDefault="00C36789">
      <w:pPr>
        <w:spacing w:after="0" w:line="360" w:lineRule="auto"/>
        <w:ind w:right="-28"/>
        <w:rPr>
          <w:color w:val="000000"/>
        </w:rPr>
      </w:pPr>
    </w:p>
    <w:p w:rsidR="00C36789" w:rsidRDefault="004F3375">
      <w:pPr>
        <w:numPr>
          <w:ilvl w:val="0"/>
          <w:numId w:val="24"/>
        </w:numPr>
        <w:spacing w:after="0" w:line="360" w:lineRule="auto"/>
        <w:ind w:left="709" w:right="-28" w:hanging="207"/>
        <w:jc w:val="left"/>
        <w:rPr>
          <w:color w:val="000000"/>
        </w:rPr>
      </w:pPr>
      <w:r>
        <w:rPr>
          <w:color w:val="000000"/>
        </w:rPr>
        <w:t>La divulgación de la información representa un riesgo real, demostrable e identificable de perjuicio significativo al interés público o a la seguridad nacional.</w:t>
      </w:r>
    </w:p>
    <w:p w:rsidR="00C36789" w:rsidRDefault="00C36789">
      <w:pPr>
        <w:spacing w:after="0" w:line="360" w:lineRule="auto"/>
        <w:ind w:left="709" w:right="-28" w:hanging="207"/>
        <w:rPr>
          <w:color w:val="000000"/>
        </w:rPr>
      </w:pPr>
    </w:p>
    <w:p w:rsidR="00C36789" w:rsidRDefault="004F3375">
      <w:pPr>
        <w:numPr>
          <w:ilvl w:val="0"/>
          <w:numId w:val="24"/>
        </w:numPr>
        <w:spacing w:after="0" w:line="360" w:lineRule="auto"/>
        <w:ind w:left="709" w:right="-28" w:hanging="207"/>
        <w:jc w:val="left"/>
        <w:rPr>
          <w:color w:val="000000"/>
        </w:rPr>
      </w:pPr>
      <w:r>
        <w:rPr>
          <w:color w:val="000000"/>
        </w:rPr>
        <w:lastRenderedPageBreak/>
        <w:t>El riesgo de perjuicio supera el interés público general de que se difunda.</w:t>
      </w:r>
    </w:p>
    <w:p w:rsidR="00C36789" w:rsidRDefault="00C36789">
      <w:pPr>
        <w:spacing w:after="0" w:line="360" w:lineRule="auto"/>
        <w:ind w:left="709" w:right="-28" w:hanging="207"/>
        <w:rPr>
          <w:color w:val="000000"/>
        </w:rPr>
      </w:pPr>
    </w:p>
    <w:p w:rsidR="00C36789" w:rsidRDefault="004F3375">
      <w:pPr>
        <w:numPr>
          <w:ilvl w:val="0"/>
          <w:numId w:val="24"/>
        </w:numPr>
        <w:spacing w:after="0" w:line="360" w:lineRule="auto"/>
        <w:ind w:left="709" w:right="-28" w:hanging="207"/>
        <w:jc w:val="left"/>
        <w:rPr>
          <w:color w:val="000000"/>
        </w:rPr>
      </w:pPr>
      <w:r>
        <w:rPr>
          <w:color w:val="000000"/>
        </w:rPr>
        <w:t>Que la limitación se adecua al principio de proporcionalidad y representa el medio menos restrictivo disponible para evitar el perjuicio.</w:t>
      </w:r>
    </w:p>
    <w:p w:rsidR="00C36789" w:rsidRDefault="004F3375">
      <w:pPr>
        <w:spacing w:after="0" w:line="360" w:lineRule="auto"/>
        <w:ind w:right="-28"/>
        <w:rPr>
          <w:color w:val="000000"/>
        </w:rPr>
      </w:pPr>
      <w:r>
        <w:rPr>
          <w:color w:val="000000"/>
        </w:rPr>
        <w:t> </w:t>
      </w:r>
    </w:p>
    <w:p w:rsidR="00C36789" w:rsidRDefault="004F3375">
      <w:pPr>
        <w:spacing w:after="0" w:line="360" w:lineRule="auto"/>
        <w:ind w:right="-28"/>
        <w:rPr>
          <w:color w:val="000000"/>
        </w:rPr>
      </w:pPr>
      <w:r>
        <w:rPr>
          <w:color w:val="000000"/>
        </w:rPr>
        <w:t>Además,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clasificar las características técnicas y especiales de los uniformes, de manera fundada y motivada, mediante la respectiva prueba de daño.</w:t>
      </w:r>
    </w:p>
    <w:p w:rsidR="00C36789" w:rsidRDefault="00C36789">
      <w:pPr>
        <w:spacing w:after="0" w:line="360" w:lineRule="auto"/>
      </w:pPr>
    </w:p>
    <w:p w:rsidR="00C36789" w:rsidRDefault="004F3375">
      <w:pPr>
        <w:spacing w:after="0" w:line="360" w:lineRule="auto"/>
      </w:pPr>
      <w:r>
        <w:t xml:space="preserve">Ahora bien, referente al punto 30 relacionado con el número de quejas que existen en la Defensoría Municipal de Derechos Humanos desde el primero de enero de dos mil diecinueve al cinco de febrero de dos mil veinticinco, en qué consisten y el estatus, al respeto cabe precisar que, cabe precisar que de acuerdo a la Comisión Nacional de los Derechos Humanos (consulado en la página electrónica </w:t>
      </w:r>
      <w:hyperlink r:id="rId33">
        <w:r>
          <w:rPr>
            <w:color w:val="0563C1"/>
            <w:u w:val="single"/>
          </w:rPr>
          <w:t>https://www.cndh.org.mx/derechos-humanos/que-son-los-derechos-humanos</w:t>
        </w:r>
      </w:hyperlink>
      <w:r>
        <w:t xml:space="preserve">), los derechos humanos son el conjunto de prerrogativas sustentadas en la dignidad humana e inherentes a todos los seres humanos, sin distinción alguna de nacionalidad, lugar de residencia, sexo, origen nacional o étnico, color, religión, lengua, o cualquier otra condición, y se encuentran a menudo contemplados </w:t>
      </w:r>
      <w:r>
        <w:lastRenderedPageBreak/>
        <w:t>en la ley y garantizados por ella, en el orden jurídico nacional, en nuestra Constitución Política, tratados internacionales y las leyes.</w:t>
      </w:r>
    </w:p>
    <w:p w:rsidR="00C36789" w:rsidRDefault="00C36789">
      <w:pPr>
        <w:spacing w:after="0" w:line="360" w:lineRule="auto"/>
      </w:pPr>
    </w:p>
    <w:p w:rsidR="00C36789" w:rsidRDefault="004F3375">
      <w:pPr>
        <w:spacing w:after="0" w:line="360" w:lineRule="auto"/>
      </w:pPr>
      <w:r>
        <w:t xml:space="preserve">En ese sentido, según </w:t>
      </w:r>
      <w:proofErr w:type="spellStart"/>
      <w:r>
        <w:t>Segreste</w:t>
      </w:r>
      <w:proofErr w:type="spellEnd"/>
      <w:r>
        <w:t>, Sergio (2019), en el “Manual básico de derechos humanos para autoridades municipales” de la Comisión Nacional de los Derechos Humanos (pp. 53 y 55), establece que la violación a los derechos humanos es aquella acción u omisión indebida realizada por un servidor público, o con su anuencia, por la que se vulnera o restringe cualquiera de los derechos fundamentales definidos y protegidos por el ordenamiento jurídico y ante dicha situación la denuncia es una herramienta fundamental para la defensa frente a las violaciones a los derechos humanos, que cumple una función preventiva para evitar posibles trasgresiones a los derechos de otras personas.</w:t>
      </w:r>
    </w:p>
    <w:p w:rsidR="00C36789" w:rsidRDefault="00C36789">
      <w:pPr>
        <w:spacing w:after="0" w:line="360" w:lineRule="auto"/>
      </w:pPr>
    </w:p>
    <w:p w:rsidR="00C36789" w:rsidRDefault="004F3375">
      <w:pPr>
        <w:spacing w:after="0" w:line="360" w:lineRule="auto"/>
      </w:pPr>
      <w:r>
        <w:t xml:space="preserve">Al respecto, el artículo 13, fracción I y 117 de la Comisión de Derechos Humanos del Estado de México, precisa que entre otras atribuciones la Comisión podrá conocer de quejas o iniciar de oficio investigaciones, sobre presuntas violaciones a derechos humanos, por actos u omisiones de naturaleza administrativa de cualquier autoridad o servidor público estatal o municipal y para tal efecto, cuenta en el cumplimiento de sus atribuciones, con la colaboración de los </w:t>
      </w:r>
      <w:r>
        <w:rPr>
          <w:b/>
        </w:rPr>
        <w:t>Defensores Municipales de Derechos Humanos</w:t>
      </w:r>
      <w:r>
        <w:t>, en términos de las disposiciones aplicables.</w:t>
      </w:r>
    </w:p>
    <w:p w:rsidR="00C36789" w:rsidRDefault="00C36789">
      <w:pPr>
        <w:spacing w:after="0" w:line="360" w:lineRule="auto"/>
      </w:pPr>
    </w:p>
    <w:p w:rsidR="00C36789" w:rsidRDefault="00C36789">
      <w:pPr>
        <w:spacing w:after="0" w:line="360" w:lineRule="auto"/>
      </w:pPr>
    </w:p>
    <w:p w:rsidR="00C36789" w:rsidRDefault="004F3375">
      <w:pPr>
        <w:spacing w:after="0" w:line="360" w:lineRule="auto"/>
      </w:pPr>
      <w:r>
        <w:t xml:space="preserve">En ese orden de idas, los artículos 147 A, 147 C, 147 K, fracciones I y II, de la Ley Orgánica Municipal del Estado de México, establecen que en cada municipio, el Ayuntamiento deberá designar un </w:t>
      </w:r>
      <w:r>
        <w:rPr>
          <w:b/>
        </w:rPr>
        <w:t>Defensor Municipal de Derechos Humanos, encargado de recibir las quejas de la población de su municipalidad y remitirlas a la Comisión de Derechos Humanos del Estado de México,</w:t>
      </w:r>
      <w:r>
        <w:t xml:space="preserve"> por conducto de sus </w:t>
      </w:r>
      <w:proofErr w:type="spellStart"/>
      <w:r>
        <w:t>visitadurías</w:t>
      </w:r>
      <w:proofErr w:type="spellEnd"/>
      <w:r>
        <w:t xml:space="preserve"> e informar a la Comisión, acerca de </w:t>
      </w:r>
      <w:r>
        <w:lastRenderedPageBreak/>
        <w:t>presumibles violaciones a los derechos humanos por actos u omisiones de naturaleza administrativa de cualquier autoridad o servidor público que resida en el municipio de su adscripción.</w:t>
      </w:r>
    </w:p>
    <w:p w:rsidR="00C36789" w:rsidRDefault="00C36789">
      <w:pPr>
        <w:spacing w:after="0" w:line="360" w:lineRule="auto"/>
      </w:pPr>
    </w:p>
    <w:p w:rsidR="00C36789" w:rsidRDefault="004F3375">
      <w:pPr>
        <w:spacing w:after="0" w:line="360" w:lineRule="auto"/>
      </w:pPr>
      <w:r>
        <w:t>Conforme a lo anterior, los artículos 2 y 5, del Reglamento de Organización y Funcionamiento de las Defensorías Municipales de Derechos Humanos, precisan que las Defensorías Municipales de Derechos Humanos en el Estado de México, son órganos creados por los Ayuntamientos de la entidad, con autonomía en sus decisiones y en el ejercicio presupuestal, que en el cumplimiento de sus atribuciones deben coordinarse con la Comisión de Derechos Humanos del Estado, y tiene como objeto la promoción, divulgación, estudio y colaboración en la defensa de los derechos humanos en el municipio que corresponda, y para tal efecto, todas las actuaciones de las Defensorías Municipales serán gratuitas y para el trámite de quejas, el personal adscrito informará a las usuarios que no es necesario contar con algún abogado o representante legal.</w:t>
      </w:r>
    </w:p>
    <w:p w:rsidR="00C36789" w:rsidRDefault="00C36789">
      <w:pPr>
        <w:spacing w:after="0" w:line="360" w:lineRule="auto"/>
      </w:pPr>
    </w:p>
    <w:p w:rsidR="00C36789" w:rsidRDefault="004F3375">
      <w:pPr>
        <w:spacing w:after="0" w:line="360" w:lineRule="auto"/>
      </w:pPr>
      <w:r>
        <w:t xml:space="preserve">Asimismo, los artículos 8, 21, 22 y 23 del Reglamento previamente referido, establecen que las Defensorías Municipales están integradas por su titular, así como con el personal, técnico, administrativo y los servidores públicos autorizados por el Ayuntamiento, necesarios para el cumplimiento de su encargo, en ese sentido, </w:t>
      </w:r>
      <w:r>
        <w:rPr>
          <w:b/>
        </w:rPr>
        <w:t>las Defensorías Municipales deben</w:t>
      </w:r>
      <w:r>
        <w:t xml:space="preserve"> de vincularse con las </w:t>
      </w:r>
      <w:proofErr w:type="spellStart"/>
      <w:r>
        <w:t>Visitadurías</w:t>
      </w:r>
      <w:proofErr w:type="spellEnd"/>
      <w:r>
        <w:t xml:space="preserve"> Generales de la Comisión de Derechos Humanos del Estado de México a efecto de recibir orientación y concertar acciones para el cumplimiento de sus atribuciones, y deben de </w:t>
      </w:r>
      <w:r>
        <w:rPr>
          <w:b/>
        </w:rPr>
        <w:t xml:space="preserve">formar expediente de las quejas recibidas de la población del municipio y remitirlas de manera inmediata a la </w:t>
      </w:r>
      <w:proofErr w:type="spellStart"/>
      <w:r>
        <w:rPr>
          <w:b/>
        </w:rPr>
        <w:t>Visitaduría</w:t>
      </w:r>
      <w:proofErr w:type="spellEnd"/>
      <w:r>
        <w:rPr>
          <w:b/>
        </w:rPr>
        <w:t xml:space="preserve"> General que corresponda, así, la </w:t>
      </w:r>
      <w:proofErr w:type="spellStart"/>
      <w:r>
        <w:rPr>
          <w:b/>
        </w:rPr>
        <w:t>Visitaduría</w:t>
      </w:r>
      <w:proofErr w:type="spellEnd"/>
      <w:r>
        <w:rPr>
          <w:b/>
        </w:rPr>
        <w:t xml:space="preserve"> General que inicie expediente de queja contra algún ayuntamiento o servidor público municipal, lo hará del conocimiento de la Defensoría Municipal</w:t>
      </w:r>
      <w:r>
        <w:t>, para que ésta, forme expediente y dé seguimiento al procedimiento tramitado por la Comisión.</w:t>
      </w:r>
    </w:p>
    <w:p w:rsidR="00C36789" w:rsidRDefault="00C36789">
      <w:pPr>
        <w:spacing w:after="0" w:line="360" w:lineRule="auto"/>
      </w:pPr>
    </w:p>
    <w:p w:rsidR="00C36789" w:rsidRDefault="004F3375">
      <w:pPr>
        <w:spacing w:after="0" w:line="360" w:lineRule="auto"/>
      </w:pPr>
      <w:r>
        <w:t xml:space="preserve">Además, conforme al artículo 147 K de la Ley Orgánica Municipal del Estado de México, precisa que el Defensor Municipal es el encargado de recibir las quejas de la población de su municipalidad y remitirlas a la Comisión de Derechos Humanos, así como de informarle sobre las presuntas violaciones a derechos humanos por actos u omisiones de naturaleza administrativa de cualquier autoridad o servidor público que residan en el municipio de su adscripción. </w:t>
      </w:r>
    </w:p>
    <w:p w:rsidR="00C36789" w:rsidRDefault="00C36789">
      <w:pPr>
        <w:spacing w:after="0" w:line="360" w:lineRule="auto"/>
      </w:pPr>
    </w:p>
    <w:p w:rsidR="00C36789" w:rsidRDefault="004F3375">
      <w:pPr>
        <w:spacing w:after="0" w:line="360" w:lineRule="auto"/>
      </w:pPr>
      <w:r>
        <w:t>Conforme a lo anterior, cabe precisar que en respuesta la Defensoría Municipal de Derechos Humanos precisó que del 1 de enero de 2019 al 6 de febrero  de 2025 se ha dado seguimiento a 684 quejas iniciadas por la Comisión de Derechos Humanos del Estado de México, que consisten en presuntas violaciones a derechos humanos atribuibles a servidores públicos, de las cuales 56 se encuentran con el estatus en trámite y 628 se han archivado, así mismo remitió un listado de los derechos vulnerados.</w:t>
      </w:r>
    </w:p>
    <w:p w:rsidR="00C36789" w:rsidRDefault="00C36789">
      <w:pPr>
        <w:spacing w:after="0" w:line="360" w:lineRule="auto"/>
      </w:pPr>
    </w:p>
    <w:p w:rsidR="00C36789" w:rsidRDefault="004F3375">
      <w:pPr>
        <w:spacing w:after="0" w:line="360" w:lineRule="auto"/>
      </w:pPr>
      <w:r>
        <w:t>Conforme a lo anterior, se puede observar que el Sujeto Obligado, desde respuesta, proporcionó la información que obraba en sus archivos y da cuenta de la información peticionada; sobre el tema,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00C36789" w:rsidRDefault="00C36789">
      <w:pPr>
        <w:spacing w:after="0" w:line="360" w:lineRule="auto"/>
      </w:pPr>
    </w:p>
    <w:p w:rsidR="00C36789" w:rsidRDefault="004F3375">
      <w:pPr>
        <w:spacing w:after="0" w:line="360" w:lineRule="auto"/>
      </w:pPr>
      <w:r>
        <w:t xml:space="preserve">De esta manera, el derecho de acceso a la información pública se satisface en aquellos casos en que se entregue el soporte documental en el que conste la información solicitada, sin </w:t>
      </w:r>
      <w:r>
        <w:lastRenderedPageBreak/>
        <w:t>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rsidR="00C36789" w:rsidRDefault="00C36789">
      <w:pPr>
        <w:spacing w:after="0" w:line="360" w:lineRule="auto"/>
      </w:pPr>
    </w:p>
    <w:p w:rsidR="00C36789" w:rsidRDefault="004F3375">
      <w:pPr>
        <w:spacing w:after="0" w:line="360" w:lineRule="auto"/>
      </w:pPr>
      <w:r>
        <w:t>Robustece lo anterior el Criterio de Interpretación, de la Segunda Época, con número de registro SO/003/2017, emitido por el Instituto Nacional de Transparencia, Acceso a la Información y Protección de Datos Personales, que a continuación se cita:</w:t>
      </w:r>
    </w:p>
    <w:p w:rsidR="00C36789" w:rsidRDefault="004F3375">
      <w:pPr>
        <w:shd w:val="clear" w:color="auto" w:fill="FFFFFF"/>
        <w:spacing w:after="0" w:line="360" w:lineRule="auto"/>
        <w:rPr>
          <w:color w:val="0D0D0D"/>
        </w:rPr>
      </w:pPr>
      <w:r>
        <w:rPr>
          <w:color w:val="0D0D0D"/>
        </w:rPr>
        <w:t> </w:t>
      </w:r>
    </w:p>
    <w:p w:rsidR="00C36789" w:rsidRDefault="004F3375">
      <w:pPr>
        <w:spacing w:after="0" w:line="360" w:lineRule="auto"/>
        <w:ind w:left="567" w:right="567"/>
        <w:rPr>
          <w:i/>
          <w:color w:val="000000"/>
        </w:rPr>
      </w:pPr>
      <w:r>
        <w:rPr>
          <w:b/>
          <w:i/>
          <w:color w:val="000000"/>
        </w:rPr>
        <w:t>“No existe obligación de elaborar documentos ad hoc para atender las solicitudes de acceso a la información. </w:t>
      </w:r>
      <w:r>
        <w:rPr>
          <w:i/>
          <w:color w:val="00000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w:t>
      </w:r>
    </w:p>
    <w:p w:rsidR="00C36789" w:rsidRDefault="00C36789">
      <w:pPr>
        <w:spacing w:after="0" w:line="360" w:lineRule="auto"/>
        <w:rPr>
          <w:color w:val="0D0D0D"/>
        </w:rPr>
      </w:pPr>
    </w:p>
    <w:p w:rsidR="00C36789" w:rsidRDefault="004F3375">
      <w:pPr>
        <w:spacing w:after="0" w:line="360" w:lineRule="auto"/>
        <w:rPr>
          <w:color w:val="0D0D0D"/>
        </w:rPr>
      </w:pPr>
      <w:r>
        <w:rPr>
          <w:color w:val="0D0D0D"/>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proporcionó el número de quejas que existen en la Defensoría Municipal </w:t>
      </w:r>
      <w:r>
        <w:rPr>
          <w:color w:val="0D0D0D"/>
        </w:rPr>
        <w:lastRenderedPageBreak/>
        <w:t xml:space="preserve">de Derechos Humanos del primero de enero de dos mil diecinueve al cinco de febrero de dos mil veinticinco, el estatus y en qué consisten. </w:t>
      </w:r>
    </w:p>
    <w:p w:rsidR="00C36789" w:rsidRDefault="00C36789">
      <w:pPr>
        <w:spacing w:after="0" w:line="360" w:lineRule="auto"/>
        <w:rPr>
          <w:color w:val="0D0D0D"/>
        </w:rPr>
      </w:pPr>
    </w:p>
    <w:p w:rsidR="00C36789" w:rsidRDefault="004F3375">
      <w:pPr>
        <w:spacing w:after="0" w:line="360" w:lineRule="auto"/>
        <w:rPr>
          <w:color w:val="000000"/>
        </w:rPr>
      </w:pPr>
      <w:r>
        <w:rPr>
          <w:color w:val="0D0D0D"/>
        </w:rPr>
        <w:t>En otras palabras, en atención al Principio de Máxima Publicidad, le dio a la solicitud de información, una expresión documental con la cual se podía atender los dos requerimientos de información, con lo cual también se dio cumplimiento al Criterio de Interpretación, con clave de control SO/016/2017</w:t>
      </w:r>
      <w:r>
        <w:rPr>
          <w:color w:val="000000"/>
        </w:rPr>
        <w:t>, de la Segunda Época, emitido por el Instituto Nacional de Transparencia, Acceso a la Información y Protección de Datos Personales, que establece:</w:t>
      </w:r>
    </w:p>
    <w:p w:rsidR="00C36789" w:rsidRDefault="00C36789">
      <w:pPr>
        <w:spacing w:after="0" w:line="360" w:lineRule="auto"/>
        <w:rPr>
          <w:color w:val="000000"/>
        </w:rPr>
      </w:pPr>
    </w:p>
    <w:p w:rsidR="00C36789" w:rsidRDefault="004F3375">
      <w:pPr>
        <w:spacing w:after="0" w:line="360" w:lineRule="auto"/>
        <w:ind w:left="567" w:right="567"/>
        <w:rPr>
          <w:i/>
          <w:color w:val="000000"/>
          <w:sz w:val="18"/>
          <w:szCs w:val="18"/>
        </w:rPr>
      </w:pPr>
      <w:r>
        <w:rPr>
          <w:b/>
          <w:i/>
          <w:color w:val="000000"/>
        </w:rPr>
        <w:t>“Expresión documental.</w:t>
      </w:r>
      <w:r>
        <w:rPr>
          <w:i/>
          <w:color w:val="000000"/>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Del criterio citado, se desprende que cuando los particulares no identifiquen de forma precisa la documentación que podría contener la información de su interés o la solicitud sea una consulta, los Sujetos Obligados deben de proporcionar la expresión documental, que dé cuenta de lo requerido.</w:t>
      </w:r>
    </w:p>
    <w:p w:rsidR="00C36789" w:rsidRDefault="00C36789">
      <w:pPr>
        <w:spacing w:after="0" w:line="360" w:lineRule="auto"/>
        <w:rPr>
          <w:b/>
          <w:color w:val="000000"/>
        </w:rPr>
      </w:pPr>
    </w:p>
    <w:p w:rsidR="00C36789" w:rsidRDefault="004F3375">
      <w:pPr>
        <w:spacing w:after="0" w:line="360" w:lineRule="auto"/>
        <w:rPr>
          <w:color w:val="000000"/>
        </w:rPr>
      </w:pPr>
      <w:bookmarkStart w:id="18" w:name="_heading=h.1t1casuvdrud" w:colFirst="0" w:colLast="0"/>
      <w:bookmarkEnd w:id="18"/>
      <w:r>
        <w:rPr>
          <w:color w:val="000000"/>
        </w:rPr>
        <w:t xml:space="preserve">Conforme a lo expuesto, se logra vislumbrar que desde respuesta, el Ayuntamiento de Toluca proporcionó la expresión documental que daba cuenta del requerimiento de información, relacionado con el número de quejas con las que cuenta la Defensoría Municipal de Derechos Humanos, en qué consisten y  el estatus, del primero de enero de dos mil diecinueve al cinco de febrero de dos mil veinticinco. </w:t>
      </w:r>
    </w:p>
    <w:p w:rsidR="00C36789" w:rsidRDefault="00C36789">
      <w:pPr>
        <w:spacing w:after="0" w:line="360" w:lineRule="auto"/>
      </w:pPr>
    </w:p>
    <w:p w:rsidR="00C36789" w:rsidRDefault="00C36789">
      <w:pPr>
        <w:spacing w:after="0" w:line="360" w:lineRule="auto"/>
      </w:pPr>
    </w:p>
    <w:p w:rsidR="00C36789" w:rsidRDefault="004F3375">
      <w:pPr>
        <w:spacing w:after="0" w:line="360" w:lineRule="auto"/>
      </w:pPr>
      <w:r>
        <w:t xml:space="preserve">Ahora bien, en relación con el </w:t>
      </w:r>
      <w:r>
        <w:rPr>
          <w:b/>
        </w:rPr>
        <w:t>punto 32</w:t>
      </w:r>
      <w:r>
        <w:t xml:space="preserve"> referente a los cuadrantes de la policía, el costo de aplicación, empresa que los desarrollará, la partida presupuestal y cuándo estará lista, se debe de referir que proporcionar el primero de este punto liberaría información que forma parte del estado de fuerza del  Ayuntamiento de Toluca, toda vez que al informar donde se ubican los cuadrantes se puede informar sobre las bases sobre las cuales los policías se encuentran, situación por la cual es aplicable el análisis realizado en párrafos anteriores referente a los elementos operativos. </w:t>
      </w:r>
    </w:p>
    <w:p w:rsidR="00C36789" w:rsidRDefault="00C36789">
      <w:pPr>
        <w:spacing w:after="0" w:line="360" w:lineRule="auto"/>
      </w:pPr>
    </w:p>
    <w:p w:rsidR="00C36789" w:rsidRDefault="004F3375">
      <w:pPr>
        <w:spacing w:after="0" w:line="360" w:lineRule="auto"/>
      </w:pPr>
      <w:r>
        <w:t xml:space="preserve">Situación por la cual el Sujeto Obligado deberá de entrega el Acuerdo mediante el cual de manera fundada y motivada exponga las razones por las cuales se clasifico la información como reservada.  </w:t>
      </w:r>
    </w:p>
    <w:p w:rsidR="00C36789" w:rsidRDefault="00C36789">
      <w:pPr>
        <w:spacing w:after="0" w:line="360" w:lineRule="auto"/>
      </w:pPr>
    </w:p>
    <w:p w:rsidR="00C36789" w:rsidRDefault="004F3375">
      <w:pPr>
        <w:spacing w:after="0" w:line="360" w:lineRule="auto"/>
      </w:pPr>
      <w:r>
        <w:t xml:space="preserve">Ahora bien, por cuanto hace a “cuánto costará la aplicación, de qué partida presupuestal saldrá y cuándo estará lista”, se realizó la búsqueda de alguna aplicación  que lanzará el Ayuntamiento de Toluca y se localizó la app Toluca en tus manos, tal y como se muestra en la siguiente captura de pantalla.  </w:t>
      </w:r>
    </w:p>
    <w:p w:rsidR="00C36789" w:rsidRDefault="00C36789">
      <w:pPr>
        <w:spacing w:after="0" w:line="360" w:lineRule="auto"/>
      </w:pPr>
    </w:p>
    <w:p w:rsidR="00C36789" w:rsidRDefault="004F3375">
      <w:pPr>
        <w:spacing w:after="0" w:line="360" w:lineRule="auto"/>
        <w:jc w:val="center"/>
      </w:pPr>
      <w:r>
        <w:rPr>
          <w:noProof/>
        </w:rPr>
        <w:drawing>
          <wp:inline distT="0" distB="0" distL="0" distR="0">
            <wp:extent cx="4877223" cy="762066"/>
            <wp:effectExtent l="0" t="0" r="0" b="0"/>
            <wp:docPr id="203887466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4"/>
                    <a:srcRect/>
                    <a:stretch>
                      <a:fillRect/>
                    </a:stretch>
                  </pic:blipFill>
                  <pic:spPr>
                    <a:xfrm>
                      <a:off x="0" y="0"/>
                      <a:ext cx="4877223" cy="762066"/>
                    </a:xfrm>
                    <a:prstGeom prst="rect">
                      <a:avLst/>
                    </a:prstGeom>
                    <a:ln/>
                  </pic:spPr>
                </pic:pic>
              </a:graphicData>
            </a:graphic>
          </wp:inline>
        </w:drawing>
      </w:r>
    </w:p>
    <w:p w:rsidR="00C36789" w:rsidRDefault="00C36789">
      <w:pPr>
        <w:spacing w:after="0" w:line="360" w:lineRule="auto"/>
      </w:pPr>
    </w:p>
    <w:p w:rsidR="00C36789" w:rsidRDefault="004F3375">
      <w:pPr>
        <w:spacing w:after="0" w:line="360" w:lineRule="auto"/>
      </w:pPr>
      <w:r>
        <w:t xml:space="preserve">De lo anterior, se demuestra que el Ayuntamiento de Toluca si realizo una aplicación, de la cual se debe de mencionar que como quedo precisado los Ayuntamiento tienen que publicar a más tardar el veinticinco de febrero de cada año, en el cual se registran todos los ingresos </w:t>
      </w:r>
      <w:r>
        <w:lastRenderedPageBreak/>
        <w:t>y egresos del Ayuntamiento, situación por la cual se colige que en el Presupuesto de Egresos se registró la partida presupuestal por la cual se realizará la aplicación y el costo de la misma.</w:t>
      </w:r>
    </w:p>
    <w:p w:rsidR="00C36789" w:rsidRDefault="00C36789">
      <w:pPr>
        <w:spacing w:after="0" w:line="360" w:lineRule="auto"/>
      </w:pPr>
    </w:p>
    <w:p w:rsidR="00C36789" w:rsidRDefault="004F3375">
      <w:pPr>
        <w:spacing w:after="0" w:line="360" w:lineRule="auto"/>
      </w:pPr>
      <w:r>
        <w:t>Así mismo, se debe de establecer que, al ser una aplicación desarrollada por el Ayuntamiento de Toluca, es que debe de contar con un plan de trabajo, situación por la cual debe de contar con fecha contemplada para que la aplicación esté lista, situación por la cual se colige que el Sujeto Obligado debe de contar con la información solicitada.</w:t>
      </w:r>
    </w:p>
    <w:p w:rsidR="00C36789" w:rsidRDefault="00C36789">
      <w:pPr>
        <w:spacing w:after="0" w:line="360" w:lineRule="auto"/>
      </w:pPr>
    </w:p>
    <w:p w:rsidR="00C36789" w:rsidRDefault="004F3375">
      <w:pPr>
        <w:spacing w:after="0" w:line="360" w:lineRule="auto"/>
      </w:pPr>
      <w:r>
        <w:t>Para el caso que, a la fecha de la solicitud de información no se hubiera generado el documento que conste el costo y la fecha de entrega de la aplicación, toda vez que la solicitud ingresó el cinco de febrero de dos mil veinticinco, bastará con que el Sujeto Obligado lo haga del conocimiento del Recurrente de conformidad con el artículo 19 párrafo segundo de la Ley de Transparencia y Acceso a la Información Pública del Estado de México y Municipios.</w:t>
      </w:r>
    </w:p>
    <w:p w:rsidR="00C36789" w:rsidRDefault="00C36789">
      <w:pPr>
        <w:spacing w:after="0" w:line="360" w:lineRule="auto"/>
      </w:pPr>
    </w:p>
    <w:p w:rsidR="00C36789" w:rsidRDefault="004F3375">
      <w:pPr>
        <w:spacing w:after="0" w:line="360" w:lineRule="auto"/>
        <w:rPr>
          <w:color w:val="000000"/>
        </w:rPr>
      </w:pPr>
      <w:r>
        <w:t xml:space="preserve">Ahora , en referencia a saber “Cuál es la política de seguridad y saber si ya se está implementando”, se debe de precisar que la persona recurrente quiere conocer una situación específica, lo que implicaría que el </w:t>
      </w:r>
      <w:r>
        <w:rPr>
          <w:color w:val="000000"/>
        </w:rPr>
        <w:t>Sujeto Obligado investigara y elaborara una expresión documental específica, en la cual diera una contestación categórica y específica a cada uno de los cuestionamientos; sobre dicha situación, es necesario traer a colación los artículos 2°, fracción II; 3°, fracción XI y 18 de la Ley de Transparencia y Acceso a la Información Pública del Estado de México y Municipios, los cuales disponen lo siguiente:</w:t>
      </w:r>
    </w:p>
    <w:p w:rsidR="00C36789" w:rsidRDefault="00C36789">
      <w:pPr>
        <w:spacing w:after="0" w:line="360" w:lineRule="auto"/>
        <w:rPr>
          <w:color w:val="000000"/>
        </w:rPr>
      </w:pPr>
    </w:p>
    <w:p w:rsidR="00C36789" w:rsidRDefault="004F3375">
      <w:pPr>
        <w:numPr>
          <w:ilvl w:val="0"/>
          <w:numId w:val="12"/>
        </w:numPr>
        <w:spacing w:after="0" w:line="360" w:lineRule="auto"/>
        <w:rPr>
          <w:color w:val="000000"/>
        </w:rPr>
      </w:pPr>
      <w:r>
        <w:rPr>
          <w:color w:val="000000"/>
        </w:rPr>
        <w:t>Que uno de los objetivos de la Ley es proveer lo necesario para garantizar a toda persona el derecho de acceso a la información pública, y</w:t>
      </w:r>
    </w:p>
    <w:p w:rsidR="00C36789" w:rsidRDefault="00C36789">
      <w:pPr>
        <w:spacing w:after="0" w:line="360" w:lineRule="auto"/>
        <w:rPr>
          <w:color w:val="000000"/>
        </w:rPr>
      </w:pPr>
    </w:p>
    <w:p w:rsidR="00C36789" w:rsidRDefault="004F3375">
      <w:pPr>
        <w:numPr>
          <w:ilvl w:val="0"/>
          <w:numId w:val="12"/>
        </w:numPr>
        <w:spacing w:after="0" w:line="360" w:lineRule="auto"/>
        <w:rPr>
          <w:color w:val="000000"/>
        </w:rPr>
      </w:pPr>
      <w:r>
        <w:rPr>
          <w:color w:val="000000"/>
        </w:rPr>
        <w:lastRenderedPageBreak/>
        <w:t xml:space="preserve">Que los </w:t>
      </w:r>
      <w:r>
        <w:rPr>
          <w:b/>
          <w:color w:val="000000"/>
        </w:rPr>
        <w:t xml:space="preserve">documentos </w:t>
      </w:r>
      <w:r>
        <w:rPr>
          <w:color w:val="000000"/>
        </w:rPr>
        <w:t xml:space="preserve">son los expedientes, reportes, estudios, actas, resoluciones, contratos, convenios, instructivos, notas, memorandos, estadísticas o </w:t>
      </w:r>
      <w:r>
        <w:rPr>
          <w:b/>
          <w:color w:val="000000"/>
        </w:rPr>
        <w:t>cualquier registro que documente el ejercicio de facultades, funciones y competencia</w:t>
      </w:r>
      <w:r>
        <w:rPr>
          <w:color w:val="000000"/>
        </w:rPr>
        <w:t>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de la manera, es una ley de acceso a documentos.</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 xml:space="preserve">En razón de lo anterior, es necesario señalar que, del análisis de los requerimientos de información presentado ante el Ayuntamiento de Toluca, se logra colegir que el Particular requiere pronunciamientos específicos, a una situación concreta y determinada, lo cual implicaría que el Sujeto Obligado elaborara una investigación y diera una respuesta delimitada y </w:t>
      </w:r>
      <w:r>
        <w:rPr>
          <w:i/>
          <w:color w:val="000000"/>
        </w:rPr>
        <w:t>ad hoc.</w:t>
      </w:r>
      <w:r>
        <w:rPr>
          <w:color w:val="000000"/>
        </w:rPr>
        <w:t> </w:t>
      </w:r>
    </w:p>
    <w:p w:rsidR="00C36789" w:rsidRDefault="00C36789">
      <w:pPr>
        <w:spacing w:after="0" w:line="360" w:lineRule="auto"/>
        <w:rPr>
          <w:color w:val="000000"/>
        </w:rPr>
      </w:pPr>
    </w:p>
    <w:p w:rsidR="00C36789" w:rsidRDefault="004F3375">
      <w:pPr>
        <w:spacing w:after="0" w:line="360" w:lineRule="auto"/>
        <w:rPr>
          <w:b/>
          <w:color w:val="000000"/>
        </w:rPr>
      </w:pPr>
      <w:r>
        <w:rPr>
          <w:color w:val="000000"/>
        </w:rPr>
        <w:t xml:space="preserve">Sobre el tema, cabe precisar que de conformidad con los artículos 6°, apartado A, de la Constitución Política de los Estados Unidos Mexicanos, 5° de la Constitución Política del Estado Libre y Soberano de México, 4° de la Ley General de Transparencia y Acceso a la Información Pública y 4° de la Ley de Transparencia y Acceso a la Información Pública del Estado de México y Municipios, toda la información </w:t>
      </w:r>
      <w:r>
        <w:rPr>
          <w:b/>
          <w:color w:val="000000"/>
        </w:rPr>
        <w:t xml:space="preserve">generada, obtenida, adquirida, transformada </w:t>
      </w:r>
      <w:r>
        <w:rPr>
          <w:color w:val="000000"/>
        </w:rPr>
        <w:t xml:space="preserve">por los sujetos obligados, o en su caso, </w:t>
      </w:r>
      <w:r>
        <w:rPr>
          <w:b/>
          <w:color w:val="000000"/>
        </w:rPr>
        <w:t xml:space="preserve">la tengan en su posesión, será pública y accesible para cualquier persona. </w:t>
      </w:r>
    </w:p>
    <w:p w:rsidR="00C36789" w:rsidRDefault="00C36789">
      <w:pPr>
        <w:spacing w:after="0" w:line="360" w:lineRule="auto"/>
        <w:rPr>
          <w:b/>
          <w:color w:val="000000"/>
        </w:rPr>
      </w:pPr>
    </w:p>
    <w:p w:rsidR="00C36789" w:rsidRDefault="004F3375">
      <w:pPr>
        <w:spacing w:after="0" w:line="360" w:lineRule="auto"/>
        <w:rPr>
          <w:color w:val="000000"/>
        </w:rPr>
      </w:pPr>
      <w:r>
        <w:rPr>
          <w:color w:val="000000"/>
        </w:rPr>
        <w:t xml:space="preserve">En ese orden de ideas, el artículo 3°, fracción XI, de la Ley Local de Transparencia, establece que los documentos son los expedientes, reportes, estudios, actas, resoluciones, oficios, correspondencia, acuerdos, directivas, directrices, circulares, contratos, convenios, </w:t>
      </w:r>
      <w:r>
        <w:rPr>
          <w:color w:val="000000"/>
        </w:rPr>
        <w:lastRenderedPageBreak/>
        <w:t>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Así, se puede afirmar que, mediante el derecho de acceso a la información pública, los solicitantes pueden acceder a toda aquella información generada por los Sujetos Obligados, es decir, la ciudadanía puede allegarse de aquellos documentos que obren en los archivos por las dependencias gubernamentales; lo cual, se robustece pues de conformidad con los 12, 24, último párrafo, y 160 de la Ley de Transparencia y Acceso a la Información Pública del Estado de México y Municipios, los Sujetos Obligados sólo entregarán la información que obre en sus archivos y no estarán obligados a procesarla, resumirla, efectuar cálculos o practicar investigaciones.</w:t>
      </w:r>
    </w:p>
    <w:p w:rsidR="00C36789" w:rsidRDefault="00C36789">
      <w:pPr>
        <w:spacing w:after="0" w:line="360" w:lineRule="auto"/>
        <w:rPr>
          <w:rFonts w:ascii="Times New Roman" w:eastAsia="Times New Roman" w:hAnsi="Times New Roman" w:cs="Times New Roman"/>
          <w:color w:val="000000"/>
          <w:sz w:val="20"/>
          <w:szCs w:val="20"/>
        </w:rPr>
      </w:pPr>
    </w:p>
    <w:p w:rsidR="00C36789" w:rsidRDefault="004F3375">
      <w:pPr>
        <w:spacing w:after="0" w:line="360" w:lineRule="auto"/>
        <w:rPr>
          <w:color w:val="000000"/>
        </w:rPr>
      </w:pPr>
      <w:r>
        <w:rPr>
          <w:color w:val="000000"/>
        </w:rPr>
        <w:t xml:space="preserve">De tales circunstancias, se colige que los sujetos obligados únicamente están constreñidos a proporcionar </w:t>
      </w:r>
      <w:r>
        <w:rPr>
          <w:b/>
          <w:color w:val="000000"/>
        </w:rPr>
        <w:t>la documentación que obre en sus archivos</w:t>
      </w:r>
      <w:r>
        <w:rPr>
          <w:color w:val="000000"/>
        </w:rPr>
        <w:t>; por lo que, no están obligados a generar o elaborar documentos </w:t>
      </w:r>
      <w:r>
        <w:rPr>
          <w:i/>
          <w:color w:val="000000"/>
        </w:rPr>
        <w:t>ad hoc, </w:t>
      </w:r>
      <w:r>
        <w:rPr>
          <w:color w:val="000000"/>
        </w:rPr>
        <w:t>como es el caso de proporcionar respuesta a un cuestionamiento. Robustece lo anterior el Criterio de Interpretación, con clave de control SO/013/2017, de la Segunda Época, emitido por el Instituto Nacional de Transparencia, Acceso a la Información y Protección de Datos Personales, que a continuación se cita:</w:t>
      </w:r>
    </w:p>
    <w:p w:rsidR="00C36789" w:rsidRDefault="00C36789">
      <w:pPr>
        <w:spacing w:after="0" w:line="360" w:lineRule="auto"/>
        <w:rPr>
          <w:color w:val="000000"/>
        </w:rPr>
      </w:pPr>
    </w:p>
    <w:p w:rsidR="00C36789" w:rsidRDefault="004F3375">
      <w:pPr>
        <w:spacing w:after="0" w:line="360" w:lineRule="auto"/>
        <w:ind w:left="567" w:right="567"/>
        <w:rPr>
          <w:i/>
          <w:color w:val="000000"/>
          <w:sz w:val="20"/>
          <w:szCs w:val="20"/>
        </w:rPr>
      </w:pPr>
      <w:r>
        <w:rPr>
          <w:b/>
          <w:i/>
          <w:color w:val="000000"/>
          <w:sz w:val="20"/>
          <w:szCs w:val="20"/>
        </w:rPr>
        <w:t xml:space="preserve">“No existe obligación de elaborar documentos ad hoc para atender las solicitudes de acceso a la información. </w:t>
      </w:r>
      <w:r>
        <w:rPr>
          <w:i/>
          <w:color w:val="000000"/>
          <w:sz w:val="20"/>
          <w:szCs w:val="2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w:t>
      </w:r>
      <w:r>
        <w:rPr>
          <w:i/>
          <w:color w:val="000000"/>
          <w:sz w:val="20"/>
          <w:szCs w:val="20"/>
        </w:rPr>
        <w:lastRenderedPageBreak/>
        <w:t>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w:t>
      </w:r>
    </w:p>
    <w:p w:rsidR="00C36789" w:rsidRDefault="00C36789">
      <w:pPr>
        <w:spacing w:after="0" w:line="360" w:lineRule="auto"/>
        <w:rPr>
          <w:color w:val="000000"/>
        </w:rPr>
      </w:pPr>
    </w:p>
    <w:p w:rsidR="00C36789" w:rsidRDefault="004F3375">
      <w:pPr>
        <w:spacing w:after="0" w:line="360" w:lineRule="auto"/>
        <w:rPr>
          <w:b/>
          <w:color w:val="000000"/>
        </w:rPr>
      </w:pPr>
      <w:r>
        <w:rPr>
          <w:color w:val="000000"/>
        </w:rPr>
        <w:t xml:space="preserve">Conforme a lo anterior, se logra vislumbrar que el Solicitante no requiere alguna documental que obrara en los archivos del Sujeto Obligado, de manera previa a la presentación de la solicitud, sino que </w:t>
      </w:r>
      <w:r>
        <w:rPr>
          <w:b/>
          <w:color w:val="000000"/>
        </w:rPr>
        <w:t>solicita se le dé respuesta a varios cuestionamientos, lo cual constituye una consulta</w:t>
      </w:r>
      <w:r>
        <w:rPr>
          <w:color w:val="000000"/>
        </w:rPr>
        <w:t xml:space="preserve"> y no así una solicitud de acceso a información pública que pueda ser atendida mediante una expresión documental, pues requiere varios pronunciamientos específicos a situaciones establecidas por la Presidenta Municipal en conferencias de prensa y su campaña electoral, lo cual implicaría elaborar un documento </w:t>
      </w:r>
      <w:r>
        <w:rPr>
          <w:i/>
          <w:color w:val="000000"/>
        </w:rPr>
        <w:t>ad hoc</w:t>
      </w:r>
      <w:r>
        <w:rPr>
          <w:color w:val="000000"/>
        </w:rPr>
        <w:t>, contestando la situación precisada.</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Lo anterior toma relevancia, pues según Trujillo, Humberto (2019), en el “Diccionario de Transparencia y Acceso a la Información Pública” (p. 122), el derecho de petición, es una prerrogativa constitucional que tienen las personas para solicitar o reclamar a las autoridades públicas; por lo que, las instancias deben recibirlas y realizar una respuesta. Además, la Jurisprudencia XXI.1º.P.A. J/27, de los Tribunales Colegiados de Circuito, localizada en la página 1406, del Semanario Judicial de la Federación y su Gaceta, Tomo XXXIII, marzo 2011, Novena Época, que establece lo siguiente:</w:t>
      </w:r>
    </w:p>
    <w:p w:rsidR="00C36789" w:rsidRDefault="00C36789">
      <w:pPr>
        <w:spacing w:after="0" w:line="360" w:lineRule="auto"/>
        <w:rPr>
          <w:color w:val="000000"/>
        </w:rPr>
      </w:pPr>
    </w:p>
    <w:p w:rsidR="00C36789" w:rsidRDefault="004F3375">
      <w:pPr>
        <w:spacing w:after="0" w:line="360" w:lineRule="auto"/>
        <w:ind w:left="567" w:right="567"/>
        <w:rPr>
          <w:i/>
          <w:color w:val="000000"/>
          <w:sz w:val="20"/>
          <w:szCs w:val="20"/>
        </w:rPr>
      </w:pPr>
      <w:r>
        <w:rPr>
          <w:b/>
          <w:i/>
          <w:color w:val="000000"/>
          <w:sz w:val="20"/>
          <w:szCs w:val="20"/>
        </w:rPr>
        <w:t xml:space="preserve">“DERECHO DE PETICIÓN. SUS ELEMENTOS. </w:t>
      </w:r>
      <w:r>
        <w:rPr>
          <w:i/>
          <w:color w:val="000000"/>
          <w:sz w:val="20"/>
          <w:szCs w:val="20"/>
        </w:rPr>
        <w:t xml:space="preserve">El denominado “derecho de petición”, acorde con los criterios de los tribunales del Poder Judicial de la Federación, es la garantía individual consagrada en el artículo 8º. </w:t>
      </w:r>
      <w:proofErr w:type="gramStart"/>
      <w:r>
        <w:rPr>
          <w:i/>
          <w:color w:val="000000"/>
          <w:sz w:val="20"/>
          <w:szCs w:val="20"/>
        </w:rPr>
        <w:t>de</w:t>
      </w:r>
      <w:proofErr w:type="gramEnd"/>
      <w:r>
        <w:rPr>
          <w:i/>
          <w:color w:val="000000"/>
          <w:sz w:val="20"/>
          <w:szCs w:val="20"/>
        </w:rPr>
        <w:t xml:space="preserve"> la Constitución Política de los Estados Unidos Mexicanos, en función de la cual cualquier gobernado que presente una petición ante una autoridad, tiene derecho a recibir una respuesta. Así, su ejercicio por el particular y la correlativa </w:t>
      </w:r>
      <w:r>
        <w:rPr>
          <w:i/>
          <w:color w:val="000000"/>
          <w:sz w:val="20"/>
          <w:szCs w:val="20"/>
        </w:rPr>
        <w:lastRenderedPageBreak/>
        <w:t xml:space="preserve">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w:t>
      </w:r>
      <w:proofErr w:type="spellStart"/>
      <w:r>
        <w:rPr>
          <w:i/>
          <w:color w:val="000000"/>
          <w:sz w:val="20"/>
          <w:szCs w:val="20"/>
        </w:rPr>
        <w:t>promovente</w:t>
      </w:r>
      <w:proofErr w:type="spellEnd"/>
      <w:r>
        <w:rPr>
          <w:i/>
          <w:color w:val="000000"/>
          <w:sz w:val="20"/>
          <w:szCs w:val="20"/>
        </w:rPr>
        <w:t>, sino que está en libertad de resolver de conformidad con los ordenamientos que resulten aplicables al caso, y la respuesta o trámite que se dé a la petición debe ser comunicada precisamente por la autoridad ante quien se ejercitó el derecho, y no por otra diversa.”</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De la Jurisprudencia citada, se advierte que el derecho de petición, es una prerrogativa individual consagrada en el artículo 8° de la Constitución Política de los Estados Unidos Mexicanos, con el fin de que cualquier ciudadano o persona, presente una petición de manera pacífica y respetuosa (pregunta, consulta, duda, acción, entre otros), ante una autoridad, por lo que, tiene derecho de recibir una respuesta.</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 xml:space="preserve">De tal circunstancia, se puede colegir que el requerimiento de información realizado por la persona Recurrente, se trata de una consulta que implicaría la generación de uno o varios documentos </w:t>
      </w:r>
      <w:r>
        <w:rPr>
          <w:i/>
          <w:color w:val="000000"/>
        </w:rPr>
        <w:t>ad hoc</w:t>
      </w:r>
      <w:r>
        <w:rPr>
          <w:color w:val="000000"/>
        </w:rPr>
        <w:t xml:space="preserve">, y, por lo tanto, no es procedente la vía del derecho de acceso a la información. </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 xml:space="preserve">Finalmente, respecto al </w:t>
      </w:r>
      <w:r>
        <w:rPr>
          <w:b/>
          <w:color w:val="000000"/>
        </w:rPr>
        <w:t>punto 34</w:t>
      </w:r>
      <w:r>
        <w:rPr>
          <w:color w:val="000000"/>
        </w:rPr>
        <w:t xml:space="preserve">, referente a cuánto asciende la cartera vencida del Ayuntamiento de Toluca con los comprobantes, al cinco de febrero de dos mil veinticinco, cabe precisar que el área competente es la Tesorería Municipal de acuerdo con lo señalado </w:t>
      </w:r>
      <w:r>
        <w:rPr>
          <w:color w:val="000000"/>
        </w:rPr>
        <w:lastRenderedPageBreak/>
        <w:t xml:space="preserve">por el Manual Único de Contabilidad Gubernamental para los Entes Públicos del Gobierno y Municipios del estado de México, tal y como se observa a continuación: </w:t>
      </w:r>
    </w:p>
    <w:p w:rsidR="00C36789" w:rsidRDefault="00C36789">
      <w:pPr>
        <w:spacing w:after="0" w:line="360" w:lineRule="auto"/>
        <w:rPr>
          <w:color w:val="000000"/>
        </w:rPr>
      </w:pPr>
    </w:p>
    <w:p w:rsidR="00C36789" w:rsidRDefault="004F3375">
      <w:pPr>
        <w:spacing w:after="0" w:line="360" w:lineRule="auto"/>
        <w:rPr>
          <w:color w:val="000000"/>
        </w:rPr>
      </w:pPr>
      <w:r>
        <w:rPr>
          <w:noProof/>
          <w:color w:val="000000"/>
        </w:rPr>
        <w:drawing>
          <wp:inline distT="0" distB="0" distL="0" distR="0">
            <wp:extent cx="5671185" cy="4138930"/>
            <wp:effectExtent l="0" t="0" r="0" b="0"/>
            <wp:docPr id="203887466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a:stretch>
                      <a:fillRect/>
                    </a:stretch>
                  </pic:blipFill>
                  <pic:spPr>
                    <a:xfrm>
                      <a:off x="0" y="0"/>
                      <a:ext cx="5671185" cy="4138930"/>
                    </a:xfrm>
                    <a:prstGeom prst="rect">
                      <a:avLst/>
                    </a:prstGeom>
                    <a:ln/>
                  </pic:spPr>
                </pic:pic>
              </a:graphicData>
            </a:graphic>
          </wp:inline>
        </w:drawing>
      </w:r>
    </w:p>
    <w:p w:rsidR="00C36789" w:rsidRDefault="00C36789">
      <w:pPr>
        <w:spacing w:after="0" w:line="360" w:lineRule="auto"/>
        <w:rPr>
          <w:color w:val="000000"/>
        </w:rPr>
      </w:pPr>
    </w:p>
    <w:p w:rsidR="00C36789" w:rsidRDefault="004F3375">
      <w:pPr>
        <w:spacing w:after="0" w:line="360" w:lineRule="auto"/>
        <w:rPr>
          <w:color w:val="000000"/>
        </w:rPr>
      </w:pPr>
      <w:r>
        <w:rPr>
          <w:color w:val="000000"/>
        </w:rPr>
        <w:t>De lo anterior, se observa que la Tesorería Municipal, es el área competente para atender este punto de la solicitud de información, toda vez que la cartera vencida, tiene relación con las cuentas por cobrar por parte del Ayuntamiento de Toluca, toda vez que son las cuentas que generan un activo para el municipio pero que las mismas no han sido cobradas en su totalidad.</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 xml:space="preserve">En ese mismo orden de ideas, el Manual Único de Contabilidad Gubernamental Para Los Entes Públicos del Gobierno y Municipios del Estado de México, contempla el Plan de </w:t>
      </w:r>
      <w:r>
        <w:rPr>
          <w:color w:val="000000"/>
        </w:rPr>
        <w:lastRenderedPageBreak/>
        <w:t xml:space="preserve">Cuentas, que consiste en la relación ordenada y detallada de las cuentas contables, mediante el cual se clasifican el activo y el pasivo de la hacienda pública municipal y su patrimonio, tal y como se observa a continuación: </w:t>
      </w:r>
    </w:p>
    <w:p w:rsidR="00C36789" w:rsidRDefault="00C36789">
      <w:pPr>
        <w:spacing w:after="0" w:line="360" w:lineRule="auto"/>
        <w:rPr>
          <w:color w:val="000000"/>
        </w:rPr>
      </w:pPr>
    </w:p>
    <w:p w:rsidR="00C36789" w:rsidRDefault="004F3375">
      <w:pPr>
        <w:spacing w:after="0" w:line="360" w:lineRule="auto"/>
        <w:jc w:val="center"/>
        <w:rPr>
          <w:color w:val="000000"/>
        </w:rPr>
      </w:pPr>
      <w:r>
        <w:rPr>
          <w:noProof/>
          <w:color w:val="000000"/>
        </w:rPr>
        <w:drawing>
          <wp:inline distT="0" distB="0" distL="0" distR="0">
            <wp:extent cx="4639762" cy="3630350"/>
            <wp:effectExtent l="0" t="0" r="0" b="0"/>
            <wp:docPr id="2038874664" name="image9.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9.png" descr="Tabla&#10;&#10;El contenido generado por IA puede ser incorrecto."/>
                    <pic:cNvPicPr preferRelativeResize="0"/>
                  </pic:nvPicPr>
                  <pic:blipFill>
                    <a:blip r:embed="rId36"/>
                    <a:srcRect/>
                    <a:stretch>
                      <a:fillRect/>
                    </a:stretch>
                  </pic:blipFill>
                  <pic:spPr>
                    <a:xfrm>
                      <a:off x="0" y="0"/>
                      <a:ext cx="4639762" cy="3630350"/>
                    </a:xfrm>
                    <a:prstGeom prst="rect">
                      <a:avLst/>
                    </a:prstGeom>
                    <a:ln/>
                  </pic:spPr>
                </pic:pic>
              </a:graphicData>
            </a:graphic>
          </wp:inline>
        </w:drawing>
      </w:r>
    </w:p>
    <w:p w:rsidR="00C36789" w:rsidRDefault="00C36789">
      <w:pPr>
        <w:spacing w:after="0" w:line="360" w:lineRule="auto"/>
      </w:pPr>
    </w:p>
    <w:p w:rsidR="00C36789" w:rsidRDefault="004F3375">
      <w:pPr>
        <w:spacing w:after="0" w:line="360" w:lineRule="auto"/>
      </w:pPr>
      <w:r>
        <w:t xml:space="preserve">De la imagen insertada, se observa que cuentas por cobrar y las deudas diversas, se localizan en los Derechos a Recibir Efectivo o Equivalentes, dato financiero que se encuentra en el Estado Analítico del Activo, tal y como se muestra en la siguiente imagen ilustrativa: </w:t>
      </w:r>
    </w:p>
    <w:p w:rsidR="00C36789" w:rsidRDefault="00C36789">
      <w:pPr>
        <w:spacing w:after="0" w:line="360" w:lineRule="auto"/>
      </w:pPr>
    </w:p>
    <w:p w:rsidR="00C36789" w:rsidRDefault="004F3375">
      <w:pPr>
        <w:spacing w:after="0" w:line="360" w:lineRule="auto"/>
        <w:jc w:val="center"/>
      </w:pPr>
      <w:r>
        <w:rPr>
          <w:noProof/>
        </w:rPr>
        <w:lastRenderedPageBreak/>
        <w:drawing>
          <wp:inline distT="0" distB="0" distL="0" distR="0">
            <wp:extent cx="4198984" cy="5227773"/>
            <wp:effectExtent l="0" t="0" r="0" b="0"/>
            <wp:docPr id="203887466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a:srcRect/>
                    <a:stretch>
                      <a:fillRect/>
                    </a:stretch>
                  </pic:blipFill>
                  <pic:spPr>
                    <a:xfrm>
                      <a:off x="0" y="0"/>
                      <a:ext cx="4198984" cy="5227773"/>
                    </a:xfrm>
                    <a:prstGeom prst="rect">
                      <a:avLst/>
                    </a:prstGeom>
                    <a:ln/>
                  </pic:spPr>
                </pic:pic>
              </a:graphicData>
            </a:graphic>
          </wp:inline>
        </w:drawing>
      </w:r>
    </w:p>
    <w:p w:rsidR="00C36789" w:rsidRDefault="00C36789">
      <w:pPr>
        <w:spacing w:after="0" w:line="360" w:lineRule="auto"/>
      </w:pPr>
    </w:p>
    <w:p w:rsidR="00C36789" w:rsidRDefault="004F3375">
      <w:pPr>
        <w:spacing w:after="0" w:line="360" w:lineRule="auto"/>
      </w:pPr>
      <w:r>
        <w:t>De lo anterior, se determina que la información solicitada por el RECURRENTE se encuentra en el Estado Analítico del Activo, documento mediante el cual en el apartado de efectivo y equivalentes se incluye la cartera vencida del Ayuntamiento de Toluca, documento que se debe de generar mensualmente, situación por la cual a la fecha de la solicitud de información se debió de haber generado el del mes de diciembre de dos mil veinticuatro, situación por la cual se determina que el Sujeto Obligado si cuenta con el documento que informe sobre el monto de la cartera vencida.</w:t>
      </w:r>
    </w:p>
    <w:p w:rsidR="00C36789" w:rsidRDefault="004F3375">
      <w:pPr>
        <w:spacing w:after="0" w:line="360" w:lineRule="auto"/>
      </w:pPr>
      <w:r>
        <w:lastRenderedPageBreak/>
        <w:t xml:space="preserve">Finalmente, no pasa desapercibido para este Instituto que los documentos pudiesen contener información susceptible de ser clasificada, por lo que se procede a su análisis conforme a lo siguiente: </w:t>
      </w:r>
    </w:p>
    <w:p w:rsidR="00C36789" w:rsidRDefault="00C36789">
      <w:pPr>
        <w:spacing w:after="0" w:line="360" w:lineRule="auto"/>
      </w:pPr>
    </w:p>
    <w:p w:rsidR="00C36789" w:rsidRDefault="004F3375">
      <w:pPr>
        <w:spacing w:after="0" w:line="360" w:lineRule="auto"/>
      </w:pPr>
      <w:r>
        <w:t xml:space="preserve">Al respecto, el artículo 143, fracción I, de la Ley previamente citada, establece que la información privada y los datos personales, concernientes a una persona física o jurídica colectiva identificada o identificable son confidenciales. </w:t>
      </w:r>
    </w:p>
    <w:p w:rsidR="00C36789" w:rsidRDefault="00C36789">
      <w:pPr>
        <w:spacing w:after="0" w:line="360" w:lineRule="auto"/>
      </w:pPr>
    </w:p>
    <w:p w:rsidR="00C36789" w:rsidRDefault="004F3375">
      <w:pPr>
        <w:spacing w:after="0" w:line="360" w:lineRule="auto"/>
      </w:pPr>
      <w: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C36789" w:rsidRDefault="00C36789">
      <w:pPr>
        <w:spacing w:after="0" w:line="360" w:lineRule="auto"/>
      </w:pPr>
    </w:p>
    <w:p w:rsidR="00C36789" w:rsidRDefault="004F3375">
      <w:pPr>
        <w:spacing w:after="0" w:line="360" w:lineRule="auto"/>
      </w:pPr>
      <w:r>
        <w:t xml:space="preserve">En términos de lo expuesto, la documentación y aquellos datos que se consideren confidenciales, serán una limitante del derecho de acceso a la información, siempre y cuando: </w:t>
      </w:r>
    </w:p>
    <w:p w:rsidR="00C36789" w:rsidRDefault="00C36789">
      <w:pPr>
        <w:spacing w:after="0" w:line="360" w:lineRule="auto"/>
      </w:pPr>
    </w:p>
    <w:p w:rsidR="00C36789" w:rsidRDefault="004F3375">
      <w:pPr>
        <w:numPr>
          <w:ilvl w:val="0"/>
          <w:numId w:val="13"/>
        </w:numPr>
        <w:pBdr>
          <w:top w:val="nil"/>
          <w:left w:val="nil"/>
          <w:bottom w:val="nil"/>
          <w:right w:val="nil"/>
          <w:between w:val="nil"/>
        </w:pBdr>
        <w:spacing w:after="0" w:line="360" w:lineRule="auto"/>
        <w:rPr>
          <w:color w:val="000000"/>
        </w:rPr>
      </w:pPr>
      <w:r>
        <w:rPr>
          <w:color w:val="000000"/>
        </w:rPr>
        <w:t xml:space="preserve">Se trate de datos personales o información privada; esto es, información concerniente a una persona física o jurídico colectiva y que esta sea identificada o identificable.  </w:t>
      </w:r>
    </w:p>
    <w:p w:rsidR="00C36789" w:rsidRDefault="004F3375">
      <w:pPr>
        <w:numPr>
          <w:ilvl w:val="0"/>
          <w:numId w:val="13"/>
        </w:numPr>
        <w:pBdr>
          <w:top w:val="nil"/>
          <w:left w:val="nil"/>
          <w:bottom w:val="nil"/>
          <w:right w:val="nil"/>
          <w:between w:val="nil"/>
        </w:pBdr>
        <w:spacing w:after="0" w:line="360" w:lineRule="auto"/>
        <w:rPr>
          <w:color w:val="000000"/>
        </w:rPr>
      </w:pPr>
      <w:r>
        <w:rPr>
          <w:color w:val="000000"/>
        </w:rPr>
        <w:t xml:space="preserve">Para la difusión de los datos, se requiera el consentimiento del titular.  </w:t>
      </w:r>
    </w:p>
    <w:p w:rsidR="00C36789" w:rsidRDefault="00C36789">
      <w:pPr>
        <w:pBdr>
          <w:top w:val="nil"/>
          <w:left w:val="nil"/>
          <w:bottom w:val="nil"/>
          <w:right w:val="nil"/>
          <w:between w:val="nil"/>
        </w:pBdr>
        <w:spacing w:after="0" w:line="360" w:lineRule="auto"/>
        <w:ind w:left="720"/>
        <w:rPr>
          <w:color w:val="000000"/>
        </w:rPr>
      </w:pPr>
    </w:p>
    <w:p w:rsidR="00C36789" w:rsidRDefault="004F3375">
      <w:pPr>
        <w:spacing w:after="0" w:line="360" w:lineRule="auto"/>
      </w:pPr>
      <w:r>
        <w:t xml:space="preserve">En ese orden de ideas, de conformidad con el artículo 3°, fracción IX, de la Ley de Transparencia y Acceso a la Información Pública del Estado de México y Municipios, con </w:t>
      </w:r>
      <w:r>
        <w:lastRenderedPageBreak/>
        <w:t xml:space="preserve">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w:t>
      </w:r>
    </w:p>
    <w:p w:rsidR="00C36789" w:rsidRDefault="004F3375">
      <w:pPr>
        <w:spacing w:after="0" w:line="360" w:lineRule="auto"/>
      </w:pPr>
      <w:proofErr w:type="gramStart"/>
      <w:r>
        <w:t>o</w:t>
      </w:r>
      <w:proofErr w:type="gramEnd"/>
      <w:r>
        <w:t xml:space="preserve"> identificable (cuando su identidad pueda determinarse directa o indirectamente a través de cualquier documento informativo físico o electrónico), establecida en cualquier formato o </w:t>
      </w:r>
    </w:p>
    <w:p w:rsidR="00C36789" w:rsidRDefault="004F3375">
      <w:pPr>
        <w:spacing w:after="0" w:line="360" w:lineRule="auto"/>
      </w:pPr>
      <w:proofErr w:type="gramStart"/>
      <w:r>
        <w:t>modalidad</w:t>
      </w:r>
      <w:proofErr w:type="gramEnd"/>
      <w:r>
        <w:t xml:space="preserve">. </w:t>
      </w:r>
    </w:p>
    <w:p w:rsidR="00C36789" w:rsidRDefault="00C36789">
      <w:pPr>
        <w:spacing w:after="0" w:line="360" w:lineRule="auto"/>
      </w:pPr>
    </w:p>
    <w:p w:rsidR="00C36789" w:rsidRDefault="004F3375">
      <w:pPr>
        <w:spacing w:after="0" w:line="360" w:lineRule="auto"/>
        <w:rPr>
          <w:color w:val="000000"/>
        </w:rPr>
      </w:pPr>
      <w:r>
        <w:rPr>
          <w:color w:val="000000"/>
        </w:rPr>
        <w:t>En este sentido, un dato personal es cualquier información que pueda hacer a una persona física o jurídica colectiva identificada e identificable; por lo que, bajo dicha circunstancia, se analizarán los datos, que deben ser considerados confidenciales, en términos del artículo 143, fracción I, de la Ley de Transparencia y Acceso a la Información Pública del Estado de México y Municipios, o públicos.</w:t>
      </w:r>
    </w:p>
    <w:p w:rsidR="00C36789" w:rsidRDefault="00C36789">
      <w:pPr>
        <w:spacing w:after="0" w:line="360" w:lineRule="auto"/>
      </w:pPr>
    </w:p>
    <w:p w:rsidR="00C36789" w:rsidRDefault="004F3375">
      <w:pPr>
        <w:numPr>
          <w:ilvl w:val="0"/>
          <w:numId w:val="16"/>
        </w:numPr>
        <w:pBdr>
          <w:top w:val="nil"/>
          <w:left w:val="nil"/>
          <w:bottom w:val="nil"/>
          <w:right w:val="nil"/>
          <w:between w:val="nil"/>
        </w:pBdr>
        <w:spacing w:after="0" w:line="360" w:lineRule="auto"/>
        <w:rPr>
          <w:b/>
          <w:color w:val="000000"/>
        </w:rPr>
      </w:pPr>
      <w:r>
        <w:rPr>
          <w:b/>
          <w:color w:val="000000"/>
        </w:rPr>
        <w:t>Registro Federal de Contribuyentes (RFC)</w:t>
      </w:r>
    </w:p>
    <w:p w:rsidR="00C36789" w:rsidRDefault="00C36789">
      <w:pPr>
        <w:spacing w:after="0" w:line="360" w:lineRule="auto"/>
      </w:pPr>
    </w:p>
    <w:p w:rsidR="00C36789" w:rsidRDefault="004F3375">
      <w:pPr>
        <w:spacing w:after="0" w:line="360" w:lineRule="auto"/>
      </w:pPr>
      <w: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00C36789" w:rsidRDefault="00C36789">
      <w:pPr>
        <w:spacing w:after="0" w:line="360" w:lineRule="auto"/>
      </w:pPr>
    </w:p>
    <w:p w:rsidR="00C36789" w:rsidRDefault="004F3375">
      <w:pPr>
        <w:spacing w:after="0" w:line="360" w:lineRule="auto"/>
      </w:pPr>
      <w:r>
        <w:t xml:space="preserve">De acuerdo a lo establecido en el artículo en comento, esta clave se compone de trece caracteres alfanuméricos, con datos obtenidos de los apellidos, nombre(s), fecha de nacimiento del titular, más una </w:t>
      </w:r>
      <w:proofErr w:type="spellStart"/>
      <w:r>
        <w:t>homoclave</w:t>
      </w:r>
      <w:proofErr w:type="spellEnd"/>
      <w:r>
        <w:t xml:space="preserve"> que establece el sistema automático del Servicio de Administración Tributaria.</w:t>
      </w:r>
    </w:p>
    <w:p w:rsidR="00C36789" w:rsidRDefault="00C36789">
      <w:pPr>
        <w:spacing w:after="0" w:line="360" w:lineRule="auto"/>
      </w:pPr>
    </w:p>
    <w:p w:rsidR="00C36789" w:rsidRDefault="004F3375">
      <w:pPr>
        <w:spacing w:after="0" w:line="360" w:lineRule="auto"/>
      </w:pPr>
      <w: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C36789" w:rsidRDefault="00C36789">
      <w:pPr>
        <w:spacing w:after="0" w:line="360" w:lineRule="auto"/>
      </w:pPr>
    </w:p>
    <w:p w:rsidR="00C36789" w:rsidRDefault="004F3375">
      <w:pPr>
        <w:spacing w:after="0" w:line="360" w:lineRule="auto"/>
      </w:pPr>
      <w: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rsidR="00C36789" w:rsidRDefault="00C36789">
      <w:pPr>
        <w:spacing w:after="0" w:line="360" w:lineRule="auto"/>
      </w:pPr>
    </w:p>
    <w:p w:rsidR="00C36789" w:rsidRDefault="004F3375">
      <w:pPr>
        <w:spacing w:after="0" w:line="360" w:lineRule="auto"/>
      </w:pPr>
      <w:r>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rsidR="00C36789" w:rsidRDefault="00C36789">
      <w:pPr>
        <w:spacing w:after="0" w:line="360" w:lineRule="auto"/>
      </w:pPr>
    </w:p>
    <w:p w:rsidR="00C36789" w:rsidRDefault="004F3375">
      <w:pPr>
        <w:spacing w:after="0" w:line="360" w:lineRule="auto"/>
        <w:ind w:left="720"/>
        <w:rPr>
          <w:i/>
          <w:sz w:val="20"/>
          <w:szCs w:val="20"/>
        </w:rPr>
      </w:pPr>
      <w:r>
        <w:rPr>
          <w:b/>
          <w:i/>
          <w:sz w:val="20"/>
          <w:szCs w:val="20"/>
        </w:rPr>
        <w:t>“Registro Federal de Contribuyentes (RFC) de personas físicas</w:t>
      </w:r>
      <w:r>
        <w:rPr>
          <w:i/>
          <w:sz w:val="20"/>
          <w:szCs w:val="20"/>
        </w:rPr>
        <w:t>. El RFC es una clave de carácter fiscal, única e irrepetible, que permite identificar al titular, su edad y fecha de nacimiento, por lo que es un dato personal de carácter confidencial.”</w:t>
      </w:r>
    </w:p>
    <w:p w:rsidR="00C36789" w:rsidRDefault="00C36789">
      <w:pPr>
        <w:spacing w:after="0" w:line="360" w:lineRule="auto"/>
      </w:pPr>
    </w:p>
    <w:p w:rsidR="00C36789" w:rsidRDefault="004F3375">
      <w:pPr>
        <w:spacing w:after="0" w:line="360" w:lineRule="auto"/>
      </w:pPr>
      <w:r>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w:t>
      </w:r>
      <w:r>
        <w:lastRenderedPageBreak/>
        <w:t>actualizar el supuesto normativo del artículo 143, fracción I, de la Ley de Transparencia y Acceso a la Información Pública del Estado de México y Municipios.</w:t>
      </w:r>
    </w:p>
    <w:p w:rsidR="00C36789" w:rsidRDefault="00C36789">
      <w:pPr>
        <w:spacing w:after="0" w:line="360" w:lineRule="auto"/>
      </w:pPr>
    </w:p>
    <w:p w:rsidR="00C36789" w:rsidRDefault="004F3375">
      <w:pPr>
        <w:numPr>
          <w:ilvl w:val="0"/>
          <w:numId w:val="17"/>
        </w:numPr>
        <w:pBdr>
          <w:top w:val="nil"/>
          <w:left w:val="nil"/>
          <w:bottom w:val="nil"/>
          <w:right w:val="nil"/>
          <w:between w:val="nil"/>
        </w:pBdr>
        <w:spacing w:after="0" w:line="360" w:lineRule="auto"/>
        <w:rPr>
          <w:b/>
          <w:color w:val="000000"/>
        </w:rPr>
      </w:pPr>
      <w:r>
        <w:rPr>
          <w:b/>
          <w:color w:val="000000"/>
        </w:rPr>
        <w:t>Número de seguridad social del Instituto de Seguridad Social del Estado de México y Municipios</w:t>
      </w:r>
    </w:p>
    <w:p w:rsidR="00C36789" w:rsidRDefault="00C36789">
      <w:pPr>
        <w:spacing w:after="0" w:line="360" w:lineRule="auto"/>
      </w:pPr>
    </w:p>
    <w:p w:rsidR="00C36789" w:rsidRDefault="004F3375">
      <w:pPr>
        <w:spacing w:after="0" w:line="360" w:lineRule="auto"/>
      </w:pPr>
      <w: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00C36789" w:rsidRDefault="00C36789">
      <w:pPr>
        <w:spacing w:after="0" w:line="360" w:lineRule="auto"/>
      </w:pPr>
    </w:p>
    <w:p w:rsidR="00C36789" w:rsidRDefault="004F3375">
      <w:pPr>
        <w:spacing w:after="0" w:line="360" w:lineRule="auto"/>
      </w:pPr>
      <w: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rsidR="00C36789" w:rsidRDefault="00C36789">
      <w:pPr>
        <w:spacing w:after="0" w:line="360" w:lineRule="auto"/>
      </w:pPr>
    </w:p>
    <w:p w:rsidR="00C36789" w:rsidRDefault="004F3375">
      <w:pPr>
        <w:spacing w:after="0" w:line="360" w:lineRule="auto"/>
      </w:pPr>
      <w:r>
        <w:t xml:space="preserve">Como se advierte, el número del Instituto de Seguridad y Servicios Sociales del Estado de México y Municipios, es un dato personal que permite identificar que una persona que trabajó o trabaja en alguna institución pública del Estado de México, por la que tiene o tuvo </w:t>
      </w:r>
      <w:r>
        <w:lastRenderedPageBreak/>
        <w:t>derecho a esta prestación de seguridad social; además, es de destacar que dicho dato no cambia, aunque el trabajador se dé de baja y alta en diversas ocasiones, con motivo de haber trabajado en diferentes instituciones gubernamentales de la Entidad.</w:t>
      </w:r>
    </w:p>
    <w:p w:rsidR="00C36789" w:rsidRDefault="00C36789">
      <w:pPr>
        <w:spacing w:after="0" w:line="360" w:lineRule="auto"/>
      </w:pPr>
    </w:p>
    <w:p w:rsidR="00C36789" w:rsidRDefault="004F3375">
      <w:pPr>
        <w:spacing w:after="0" w:line="360" w:lineRule="auto"/>
      </w:pPr>
      <w: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rsidR="00C36789" w:rsidRDefault="00C36789">
      <w:pPr>
        <w:spacing w:after="0" w:line="360" w:lineRule="auto"/>
      </w:pPr>
    </w:p>
    <w:p w:rsidR="00C36789" w:rsidRDefault="004F3375">
      <w:pPr>
        <w:numPr>
          <w:ilvl w:val="0"/>
          <w:numId w:val="18"/>
        </w:numPr>
        <w:pBdr>
          <w:top w:val="nil"/>
          <w:left w:val="nil"/>
          <w:bottom w:val="nil"/>
          <w:right w:val="nil"/>
          <w:between w:val="nil"/>
        </w:pBdr>
        <w:spacing w:after="0" w:line="360" w:lineRule="auto"/>
        <w:rPr>
          <w:b/>
          <w:color w:val="000000"/>
        </w:rPr>
      </w:pPr>
      <w:r>
        <w:rPr>
          <w:b/>
          <w:color w:val="000000"/>
        </w:rPr>
        <w:t>Deducciones personales</w:t>
      </w:r>
    </w:p>
    <w:p w:rsidR="00C36789" w:rsidRDefault="00C36789">
      <w:pPr>
        <w:spacing w:after="0" w:line="360" w:lineRule="auto"/>
      </w:pPr>
    </w:p>
    <w:p w:rsidR="00C36789" w:rsidRDefault="004F3375">
      <w:pPr>
        <w:spacing w:after="0" w:line="360" w:lineRule="auto"/>
      </w:pPr>
      <w: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rsidR="00C36789" w:rsidRDefault="00C36789">
      <w:pPr>
        <w:spacing w:after="0" w:line="360" w:lineRule="auto"/>
      </w:pPr>
    </w:p>
    <w:p w:rsidR="00C36789" w:rsidRDefault="004F3375">
      <w:pPr>
        <w:spacing w:after="0" w:line="360" w:lineRule="auto"/>
      </w:pPr>
      <w:r>
        <w:t xml:space="preserve">Asimismo, hay otras que se generan con motivo de una sentencia judicial, como es la pensión alimenticia que periódicamente se retira de la cuenta de un empleado, a efecto de que sea entregado a un tercero.  </w:t>
      </w:r>
    </w:p>
    <w:p w:rsidR="00C36789" w:rsidRDefault="00C36789">
      <w:pPr>
        <w:spacing w:after="0" w:line="360" w:lineRule="auto"/>
      </w:pPr>
    </w:p>
    <w:p w:rsidR="00C36789" w:rsidRDefault="004F3375">
      <w:pPr>
        <w:spacing w:after="0" w:line="360" w:lineRule="auto"/>
      </w:pPr>
      <w: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w:t>
      </w:r>
      <w:r>
        <w:lastRenderedPageBreak/>
        <w:t xml:space="preserve">y tampoco reflejan el ejercicio de una prestación; por el contrario, en dichos casos se trata del libre ejercicio del servidor público para disponer de un ingreso que forma parte de su patrimonio. </w:t>
      </w:r>
    </w:p>
    <w:p w:rsidR="00C36789" w:rsidRDefault="00C36789">
      <w:pPr>
        <w:spacing w:after="0" w:line="360" w:lineRule="auto"/>
      </w:pPr>
    </w:p>
    <w:p w:rsidR="00C36789" w:rsidRDefault="004F3375">
      <w:pPr>
        <w:spacing w:after="0" w:line="360" w:lineRule="auto"/>
      </w:pPr>
      <w:r>
        <w:t>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w:t>
      </w:r>
    </w:p>
    <w:p w:rsidR="00C36789" w:rsidRDefault="00C36789">
      <w:pPr>
        <w:spacing w:after="0" w:line="360" w:lineRule="auto"/>
      </w:pPr>
    </w:p>
    <w:p w:rsidR="00C36789" w:rsidRDefault="004F3375">
      <w:pPr>
        <w:numPr>
          <w:ilvl w:val="0"/>
          <w:numId w:val="15"/>
        </w:numPr>
        <w:spacing w:after="0" w:line="360" w:lineRule="auto"/>
        <w:jc w:val="left"/>
        <w:rPr>
          <w:b/>
        </w:rPr>
      </w:pPr>
      <w:r>
        <w:rPr>
          <w:b/>
        </w:rPr>
        <w:t>Clave Única de Registro de Población (CURP)</w:t>
      </w:r>
    </w:p>
    <w:p w:rsidR="00C36789" w:rsidRDefault="00C36789">
      <w:pPr>
        <w:spacing w:after="0" w:line="360" w:lineRule="auto"/>
        <w:rPr>
          <w:b/>
        </w:rPr>
      </w:pPr>
    </w:p>
    <w:p w:rsidR="00C36789" w:rsidRDefault="004F3375">
      <w:pPr>
        <w:spacing w:after="0" w:line="360" w:lineRule="auto"/>
      </w:pPr>
      <w: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rsidR="00C36789" w:rsidRDefault="00C36789">
      <w:pPr>
        <w:spacing w:after="0" w:line="360" w:lineRule="auto"/>
      </w:pPr>
    </w:p>
    <w:p w:rsidR="00C36789" w:rsidRDefault="004F3375">
      <w:pPr>
        <w:spacing w:after="0" w:line="360" w:lineRule="auto"/>
      </w:pPr>
      <w: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C36789" w:rsidRDefault="00C36789">
      <w:pPr>
        <w:spacing w:after="0" w:line="360" w:lineRule="auto"/>
      </w:pPr>
    </w:p>
    <w:p w:rsidR="00C36789" w:rsidRDefault="004F3375">
      <w:pPr>
        <w:spacing w:after="0" w:line="360" w:lineRule="auto"/>
      </w:pPr>
      <w:r>
        <w:t xml:space="preserve">En ese orden de ideas, la Secretaría de Gobernación en las direcciones </w:t>
      </w:r>
      <w:hyperlink r:id="rId38">
        <w:r>
          <w:rPr>
            <w:color w:val="0563C1"/>
            <w:u w:val="single"/>
          </w:rPr>
          <w:t>https://consultas.curp.gob.mx/CurpSP/html/informacionecurpPS.html</w:t>
        </w:r>
      </w:hyperlink>
      <w:r>
        <w:t xml:space="preserve"> y </w:t>
      </w:r>
      <w:hyperlink r:id="rId39">
        <w:r>
          <w:rPr>
            <w:color w:val="0563C1"/>
            <w:u w:val="single"/>
          </w:rPr>
          <w:t>https://www.gob.mx/segob/renapo/acciones-y-programas/clave-unica-de-registro-de-</w:t>
        </w:r>
        <w:r>
          <w:rPr>
            <w:color w:val="0563C1"/>
            <w:u w:val="single"/>
          </w:rPr>
          <w:lastRenderedPageBreak/>
          <w:t>poblacion-curp-142226</w:t>
        </w:r>
      </w:hyperlink>
      <w:r>
        <w:t xml:space="preserve">,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Pr>
          <w:b/>
        </w:rPr>
        <w:t>se generan a partir de los datos contenidos en el documento probatorio de la identidad</w:t>
      </w:r>
      <w:r>
        <w:t xml:space="preserve"> </w:t>
      </w:r>
      <w:r>
        <w:rPr>
          <w:b/>
        </w:rPr>
        <w:t xml:space="preserve">del interesado </w:t>
      </w:r>
      <w:r>
        <w:t>(acta de nacimiento, carta de naturalización o documento migratorio) de la siguiente forma:</w:t>
      </w:r>
    </w:p>
    <w:p w:rsidR="00C36789" w:rsidRDefault="00C36789">
      <w:pPr>
        <w:spacing w:after="0" w:line="360" w:lineRule="auto"/>
      </w:pPr>
    </w:p>
    <w:p w:rsidR="00C36789" w:rsidRDefault="004F3375">
      <w:pPr>
        <w:numPr>
          <w:ilvl w:val="0"/>
          <w:numId w:val="14"/>
        </w:numPr>
        <w:spacing w:after="0" w:line="360" w:lineRule="auto"/>
        <w:jc w:val="left"/>
      </w:pPr>
      <w:r>
        <w:t>El primero y segundo apellidos, así como al nombre de pila;</w:t>
      </w:r>
    </w:p>
    <w:p w:rsidR="00C36789" w:rsidRDefault="004F3375">
      <w:pPr>
        <w:numPr>
          <w:ilvl w:val="0"/>
          <w:numId w:val="14"/>
        </w:numPr>
        <w:spacing w:after="0" w:line="360" w:lineRule="auto"/>
        <w:jc w:val="left"/>
      </w:pPr>
      <w:r>
        <w:t>La fecha de nacimiento;</w:t>
      </w:r>
    </w:p>
    <w:p w:rsidR="00C36789" w:rsidRDefault="004F3375">
      <w:pPr>
        <w:numPr>
          <w:ilvl w:val="0"/>
          <w:numId w:val="14"/>
        </w:numPr>
        <w:spacing w:after="0" w:line="360" w:lineRule="auto"/>
        <w:jc w:val="left"/>
      </w:pPr>
      <w:r>
        <w:t>El sexo, y</w:t>
      </w:r>
    </w:p>
    <w:p w:rsidR="00C36789" w:rsidRDefault="004F3375">
      <w:pPr>
        <w:numPr>
          <w:ilvl w:val="0"/>
          <w:numId w:val="14"/>
        </w:numPr>
        <w:spacing w:after="0" w:line="360" w:lineRule="auto"/>
        <w:jc w:val="left"/>
      </w:pPr>
      <w:r>
        <w:t>La entidad federativa de nacimiento.</w:t>
      </w:r>
    </w:p>
    <w:p w:rsidR="00C36789" w:rsidRDefault="00C36789">
      <w:pPr>
        <w:spacing w:after="0" w:line="360" w:lineRule="auto"/>
      </w:pPr>
    </w:p>
    <w:p w:rsidR="00C36789" w:rsidRDefault="004F3375">
      <w:pPr>
        <w:spacing w:after="0" w:line="360" w:lineRule="auto"/>
      </w:pPr>
      <w:r>
        <w:t>Los dos últimos elementos de la Clave Única de Registro de Población evitan la duplicidad de la Clave y garantizan su correcta integración.</w:t>
      </w:r>
    </w:p>
    <w:p w:rsidR="00C36789" w:rsidRDefault="00C36789">
      <w:pPr>
        <w:spacing w:after="0" w:line="360" w:lineRule="auto"/>
      </w:pPr>
    </w:p>
    <w:p w:rsidR="00C36789" w:rsidRDefault="004F3375">
      <w:pPr>
        <w:spacing w:after="0" w:line="360" w:lineRule="auto"/>
      </w:pPr>
      <w: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C36789" w:rsidRDefault="00C36789">
      <w:pPr>
        <w:spacing w:after="0" w:line="360" w:lineRule="auto"/>
      </w:pPr>
    </w:p>
    <w:p w:rsidR="00C36789" w:rsidRDefault="004F3375">
      <w:pPr>
        <w:spacing w:after="0" w:line="360" w:lineRule="auto"/>
      </w:pPr>
      <w:r>
        <w:t>Situación que se robustece, con el Criterio de interpretación, con clave de control SO/018/2017, emitido por el Instituto Nacional de Transparencia, Acceso a la Información y Protección de Datos Personales, que establece lo siguiente:</w:t>
      </w:r>
    </w:p>
    <w:p w:rsidR="00C36789" w:rsidRDefault="00C36789">
      <w:pPr>
        <w:spacing w:after="0" w:line="360" w:lineRule="auto"/>
      </w:pPr>
    </w:p>
    <w:p w:rsidR="00C36789" w:rsidRDefault="004F3375">
      <w:pPr>
        <w:spacing w:after="0" w:line="360" w:lineRule="auto"/>
        <w:ind w:left="567" w:right="567"/>
        <w:rPr>
          <w:i/>
          <w:sz w:val="20"/>
          <w:szCs w:val="20"/>
        </w:rPr>
      </w:pPr>
      <w:r>
        <w:rPr>
          <w:b/>
          <w:i/>
          <w:sz w:val="20"/>
          <w:szCs w:val="20"/>
        </w:rPr>
        <w:lastRenderedPageBreak/>
        <w:t xml:space="preserve">“Clave Única de Registro de Población (CURP). </w:t>
      </w:r>
      <w:r>
        <w:rPr>
          <w:i/>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C36789" w:rsidRDefault="00C36789">
      <w:pPr>
        <w:spacing w:after="0" w:line="360" w:lineRule="auto"/>
        <w:rPr>
          <w:i/>
        </w:rPr>
      </w:pPr>
    </w:p>
    <w:p w:rsidR="00C36789" w:rsidRDefault="004F3375">
      <w:pPr>
        <w:spacing w:after="0" w:line="360" w:lineRule="auto"/>
      </w:pPr>
      <w:r>
        <w:t>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w:t>
      </w:r>
    </w:p>
    <w:p w:rsidR="00C36789" w:rsidRDefault="00C36789">
      <w:pPr>
        <w:spacing w:after="0" w:line="360" w:lineRule="auto"/>
      </w:pPr>
    </w:p>
    <w:p w:rsidR="00C36789" w:rsidRDefault="004F3375">
      <w:pPr>
        <w:numPr>
          <w:ilvl w:val="0"/>
          <w:numId w:val="19"/>
        </w:numPr>
        <w:spacing w:after="0" w:line="360" w:lineRule="auto"/>
        <w:rPr>
          <w:b/>
          <w:color w:val="000000"/>
        </w:rPr>
      </w:pPr>
      <w:r>
        <w:rPr>
          <w:b/>
          <w:color w:val="000000"/>
        </w:rPr>
        <w:t xml:space="preserve">Fotografía de servidores públicos </w:t>
      </w:r>
    </w:p>
    <w:p w:rsidR="00C36789" w:rsidRDefault="00C36789">
      <w:pPr>
        <w:spacing w:after="0" w:line="360" w:lineRule="auto"/>
        <w:rPr>
          <w:b/>
          <w:color w:val="000000"/>
        </w:rPr>
      </w:pPr>
    </w:p>
    <w:p w:rsidR="00C36789" w:rsidRDefault="004F3375">
      <w:pPr>
        <w:spacing w:after="0" w:line="360" w:lineRule="auto"/>
        <w:rPr>
          <w:color w:val="000000"/>
        </w:rPr>
      </w:pPr>
      <w:r>
        <w:rPr>
          <w:color w:val="000000"/>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En este sentido, resultan aplicables por analogía, los Criterios SO/015/2017 y SO/001/2013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rsidR="00C36789" w:rsidRDefault="00C36789">
      <w:pPr>
        <w:spacing w:after="0" w:line="360" w:lineRule="auto"/>
        <w:rPr>
          <w:color w:val="000000"/>
        </w:rPr>
      </w:pPr>
    </w:p>
    <w:p w:rsidR="00C36789" w:rsidRDefault="004F3375">
      <w:pPr>
        <w:spacing w:after="0" w:line="360" w:lineRule="auto"/>
        <w:rPr>
          <w:color w:val="000000"/>
        </w:rPr>
      </w:pPr>
      <w:bookmarkStart w:id="19" w:name="_heading=h.28sek7fcmb13" w:colFirst="0" w:colLast="0"/>
      <w:bookmarkEnd w:id="19"/>
      <w:r>
        <w:rPr>
          <w:color w:val="000000"/>
        </w:rPr>
        <w:lastRenderedPageBreak/>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rsidR="00C36789" w:rsidRDefault="00C36789">
      <w:pPr>
        <w:spacing w:after="0" w:line="360" w:lineRule="auto"/>
        <w:rPr>
          <w:b/>
          <w:color w:val="000000"/>
        </w:rPr>
      </w:pPr>
    </w:p>
    <w:p w:rsidR="00C36789" w:rsidRDefault="004F3375">
      <w:pPr>
        <w:numPr>
          <w:ilvl w:val="0"/>
          <w:numId w:val="19"/>
        </w:numPr>
        <w:spacing w:after="0" w:line="360" w:lineRule="auto"/>
        <w:rPr>
          <w:b/>
          <w:color w:val="000000"/>
        </w:rPr>
      </w:pPr>
      <w:r>
        <w:rPr>
          <w:b/>
          <w:color w:val="000000"/>
        </w:rPr>
        <w:t>Clave de registro o elector del representante legal</w:t>
      </w:r>
    </w:p>
    <w:p w:rsidR="00C36789" w:rsidRDefault="00C36789">
      <w:pPr>
        <w:widowControl w:val="0"/>
        <w:tabs>
          <w:tab w:val="center" w:pos="4522"/>
        </w:tabs>
        <w:spacing w:after="0" w:line="360" w:lineRule="auto"/>
        <w:rPr>
          <w:color w:val="000000"/>
        </w:rPr>
      </w:pPr>
    </w:p>
    <w:p w:rsidR="00C36789" w:rsidRDefault="004F3375">
      <w:pPr>
        <w:widowControl w:val="0"/>
        <w:tabs>
          <w:tab w:val="center" w:pos="4522"/>
        </w:tabs>
        <w:spacing w:after="0" w:line="360" w:lineRule="auto"/>
        <w:rPr>
          <w:color w:val="000000"/>
        </w:rPr>
      </w:pPr>
      <w:r>
        <w:rPr>
          <w:color w:val="000000"/>
        </w:rPr>
        <w:t xml:space="preserve">Al respecto, este Instituto localizó el Acuerdo del Consejo General del Instituto Federal Electoral, por el que se aprueban diversas disposiciones relativas a la forma y contenido de la Lista nominal de electores residentes en el extranjero, que se utilizará con motivo de la jornada electoral del primero de julio de dos mil doce, publicado en el Diario Oficial de la Federación el cinco de abril de dos mil doce, en el cual establece que la clave de elector, se </w:t>
      </w:r>
      <w:r>
        <w:rPr>
          <w:color w:val="000000"/>
        </w:rPr>
        <w:lastRenderedPageBreak/>
        <w:t xml:space="preserve">conforma por las consonantes iniciales de los apellidos y el nombre del elector, seguido de su fecha de nacimiento (dos dígitos para el año, dos dígitos para el mes, dos dígitos para el día), número de la entidad federativa de nacimiento, letra que identifica el género y una </w:t>
      </w:r>
      <w:proofErr w:type="spellStart"/>
      <w:r>
        <w:rPr>
          <w:color w:val="000000"/>
        </w:rPr>
        <w:t>homoclave</w:t>
      </w:r>
      <w:proofErr w:type="spellEnd"/>
      <w:r>
        <w:rPr>
          <w:color w:val="000000"/>
        </w:rPr>
        <w:t xml:space="preserve"> compuesta de tres dígitos, dando un total de 18 caracteres.</w:t>
      </w:r>
    </w:p>
    <w:p w:rsidR="00C36789" w:rsidRDefault="00C36789">
      <w:pPr>
        <w:widowControl w:val="0"/>
        <w:tabs>
          <w:tab w:val="center" w:pos="4522"/>
        </w:tabs>
        <w:spacing w:after="0" w:line="360" w:lineRule="auto"/>
        <w:rPr>
          <w:color w:val="000000"/>
        </w:rPr>
      </w:pPr>
    </w:p>
    <w:p w:rsidR="00C36789" w:rsidRDefault="004F3375">
      <w:pPr>
        <w:widowControl w:val="0"/>
        <w:tabs>
          <w:tab w:val="center" w:pos="4522"/>
        </w:tabs>
        <w:spacing w:after="0" w:line="360" w:lineRule="auto"/>
        <w:rPr>
          <w:color w:val="000000"/>
        </w:rPr>
      </w:pPr>
      <w:r>
        <w:rPr>
          <w:color w:val="000000"/>
        </w:rPr>
        <w:t>Conforme a lo anterior, se puede advertir que, con la clave de elector, se podrían obtener indicios o datos completos de una persona, que la podría ser identificada e identificable, pues se podría inferir el nombre de la persona, así como, su fecha y entidad de nacimiento, los cuales son considerados de su vida privada.</w:t>
      </w:r>
    </w:p>
    <w:p w:rsidR="00C36789" w:rsidRDefault="00C36789">
      <w:pPr>
        <w:widowControl w:val="0"/>
        <w:tabs>
          <w:tab w:val="center" w:pos="4522"/>
        </w:tabs>
        <w:spacing w:after="0" w:line="360" w:lineRule="auto"/>
        <w:rPr>
          <w:color w:val="000000"/>
        </w:rPr>
      </w:pPr>
    </w:p>
    <w:p w:rsidR="00C36789" w:rsidRDefault="004F3375">
      <w:pPr>
        <w:widowControl w:val="0"/>
        <w:tabs>
          <w:tab w:val="center" w:pos="4522"/>
        </w:tabs>
        <w:spacing w:after="0" w:line="360" w:lineRule="auto"/>
        <w:rPr>
          <w:b/>
          <w:color w:val="000000"/>
        </w:rPr>
      </w:pPr>
      <w:r>
        <w:rPr>
          <w:color w:val="000000"/>
        </w:rPr>
        <w:t xml:space="preserve">Por lo tanto, al ser un dato que hace reconocible a una persona física, </w:t>
      </w:r>
      <w:r>
        <w:rPr>
          <w:b/>
          <w:color w:val="000000"/>
        </w:rPr>
        <w:t>resulta procedente su clasificación como información confidencial en términos de lo dispuesto por el artículo 143, fracción I de la Ley de Transparencia y Acceso a la Información Pública del Estado de México y Municipios.</w:t>
      </w:r>
    </w:p>
    <w:p w:rsidR="00C36789" w:rsidRDefault="00C36789">
      <w:pPr>
        <w:spacing w:after="0" w:line="360" w:lineRule="auto"/>
      </w:pPr>
    </w:p>
    <w:p w:rsidR="00C36789" w:rsidRDefault="004F3375">
      <w:pPr>
        <w:numPr>
          <w:ilvl w:val="0"/>
          <w:numId w:val="20"/>
        </w:numPr>
        <w:pBdr>
          <w:top w:val="nil"/>
          <w:left w:val="nil"/>
          <w:bottom w:val="nil"/>
          <w:right w:val="nil"/>
          <w:between w:val="nil"/>
        </w:pBdr>
        <w:spacing w:after="0" w:line="360" w:lineRule="auto"/>
        <w:rPr>
          <w:b/>
          <w:color w:val="000000"/>
        </w:rPr>
      </w:pPr>
      <w:r>
        <w:rPr>
          <w:b/>
          <w:color w:val="000000"/>
        </w:rPr>
        <w:t>Actor de Juicio laboral (</w:t>
      </w:r>
      <w:proofErr w:type="spellStart"/>
      <w:r>
        <w:rPr>
          <w:b/>
          <w:color w:val="000000"/>
        </w:rPr>
        <w:t>Exservidor</w:t>
      </w:r>
      <w:proofErr w:type="spellEnd"/>
      <w:r>
        <w:rPr>
          <w:b/>
          <w:color w:val="000000"/>
        </w:rPr>
        <w:t xml:space="preserve"> público) </w:t>
      </w:r>
    </w:p>
    <w:p w:rsidR="00C36789" w:rsidRDefault="00C36789">
      <w:pPr>
        <w:spacing w:after="0" w:line="360" w:lineRule="auto"/>
      </w:pPr>
    </w:p>
    <w:p w:rsidR="00C36789" w:rsidRDefault="004F3375">
      <w:pPr>
        <w:spacing w:after="0" w:line="360" w:lineRule="auto"/>
        <w:rPr>
          <w:b/>
        </w:rPr>
      </w:pPr>
      <w:r>
        <w:t xml:space="preserve">En principio, resulta necesario traer a colación el Criterio de interpretación, con clave de control SO/015/2023, de la Tercera Época, emitido por el Instituto Nacional de Transparencia y Acceso a la Información y Protección de Datos Personales, el cual precisa que el nombre de los actores en conflictos laborales, evidencian un acto de voluntad de quien lo realiza y refleja la posición jurídica en la que se han colocado por decisión propia, con la finalidad de obtener sus pretensiones laborales, las cuales revisten de carácter estrictamente privado; por lo cual, el nombre de los actores de los juicios laborales que se encuentran en trámite o que, en su defecto, concluyeron con la emisión de un laudo desfavorable, se trata de información confidencial; sin embargo, </w:t>
      </w:r>
      <w:r>
        <w:rPr>
          <w:b/>
        </w:rPr>
        <w:t xml:space="preserve">procede la entrega de dicho dato, cuando en definitiva se haya </w:t>
      </w:r>
      <w:r>
        <w:rPr>
          <w:b/>
        </w:rPr>
        <w:lastRenderedPageBreak/>
        <w:t>condenado a una dependencia o entidad al pago de las prestaciones económicas reclamadas o la reinstalación del servidor público.</w:t>
      </w:r>
    </w:p>
    <w:p w:rsidR="00C36789" w:rsidRDefault="00C36789">
      <w:pPr>
        <w:spacing w:after="0" w:line="360" w:lineRule="auto"/>
      </w:pPr>
    </w:p>
    <w:p w:rsidR="00C36789" w:rsidRDefault="004F3375">
      <w:pPr>
        <w:spacing w:after="0" w:line="360" w:lineRule="auto"/>
      </w:pPr>
      <w:r>
        <w:t>Como se logra observar, únicamente procede la entrega de los nombres de los actores que hayan obtenido una determinación del Tribunal Estatal de Conciliación y Arbitraje favorable, que implique el pago de las prestaciones o bien, la reinstalación, pues el cumplimiento de dicha resolución, se realiza necesariamente con recursos públicos; por lo que, deberá entregar el dato, si en el laudo se estableció la entrega de recursos públicos o la reinstalación, para el caso contrario, deberá clasificarlos, en términos del artículo 143, fracción I, de la Ley de la materia.</w:t>
      </w:r>
    </w:p>
    <w:p w:rsidR="00C36789" w:rsidRDefault="00C36789">
      <w:pPr>
        <w:spacing w:after="0" w:line="360" w:lineRule="auto"/>
      </w:pPr>
    </w:p>
    <w:p w:rsidR="00C36789" w:rsidRDefault="004F3375">
      <w:pPr>
        <w:numPr>
          <w:ilvl w:val="0"/>
          <w:numId w:val="20"/>
        </w:numPr>
        <w:pBdr>
          <w:top w:val="nil"/>
          <w:left w:val="nil"/>
          <w:bottom w:val="nil"/>
          <w:right w:val="nil"/>
          <w:between w:val="nil"/>
        </w:pBdr>
        <w:spacing w:after="0" w:line="360" w:lineRule="auto"/>
        <w:rPr>
          <w:b/>
          <w:color w:val="000000"/>
        </w:rPr>
      </w:pPr>
      <w:r>
        <w:rPr>
          <w:b/>
          <w:color w:val="000000"/>
        </w:rPr>
        <w:t xml:space="preserve">Representantes legales del Actor y Sujeto Obligado </w:t>
      </w:r>
    </w:p>
    <w:p w:rsidR="00C36789" w:rsidRDefault="00C36789">
      <w:pPr>
        <w:spacing w:after="0" w:line="360" w:lineRule="auto"/>
      </w:pPr>
    </w:p>
    <w:p w:rsidR="00C36789" w:rsidRDefault="004F3375">
      <w:pPr>
        <w:spacing w:after="0" w:line="360" w:lineRule="auto"/>
      </w:pPr>
      <w:r>
        <w:t xml:space="preserve">Al respecto, resulta necesario señalar que un representante legal es quien actúa en nombre de otra persona y que es reconocido por la ley. Por lo que, el nombre de un representante legal de la parte actora no puede ser público, al tratarse de una tercera persona que no guarda alguna relación con el Sujeto Obligado, ni recibe recursos públicos, pues únicamente actúa en favor de los intereses de su cliente (ex servidor público). Mientras el nombre del representante legal del Sujeto Obligado, no puede ser objeto de clasificación, en virtud de que la representación persigue la finalidad de dar certeza jurídica a los actos que realiza, en el presente caso, la representación del Ayuntamiento, además, que se trata de un servidor público de dicha dependencia, que mediante su actuar cumple con sus funciones y atribuciones establecidas. En esa tesitura, la representación de las personas se realizará por medio de representantes o apoderados, y en el caso específico de las sociedades mercantiles, dicha representación se otorgará mediante instrumento público. </w:t>
      </w:r>
    </w:p>
    <w:p w:rsidR="00C36789" w:rsidRDefault="00C36789">
      <w:pPr>
        <w:spacing w:after="0" w:line="360" w:lineRule="auto"/>
      </w:pPr>
    </w:p>
    <w:p w:rsidR="00C36789" w:rsidRDefault="004F3375">
      <w:pPr>
        <w:spacing w:after="0" w:line="360" w:lineRule="auto"/>
      </w:pPr>
      <w:r>
        <w:lastRenderedPageBreak/>
        <w:t>Ante tales situaciones, el nombre del representante legal de la parte demandada, así como el del representante de la parte actora, para el caso de ser defensor público de oficio, no es susceptible de ser clasificado como confidencial; mientras que, para el caso de que el representante de la parte actora no sea servidor público, su nombre es susceptible de clasificación en términos del artículo 143, fracción I, de la Ley de Transparencia y Acceso a la Información Pública del Estado de México y Municipios, al actuar en carácter particular.</w:t>
      </w:r>
    </w:p>
    <w:p w:rsidR="00C36789" w:rsidRDefault="00C36789">
      <w:pPr>
        <w:spacing w:after="0" w:line="360" w:lineRule="auto"/>
      </w:pPr>
    </w:p>
    <w:p w:rsidR="00C36789" w:rsidRDefault="004F3375">
      <w:pPr>
        <w:numPr>
          <w:ilvl w:val="0"/>
          <w:numId w:val="20"/>
        </w:numPr>
        <w:pBdr>
          <w:top w:val="nil"/>
          <w:left w:val="nil"/>
          <w:bottom w:val="nil"/>
          <w:right w:val="nil"/>
          <w:between w:val="nil"/>
        </w:pBdr>
        <w:spacing w:after="0" w:line="360" w:lineRule="auto"/>
        <w:rPr>
          <w:b/>
          <w:color w:val="000000"/>
        </w:rPr>
      </w:pPr>
      <w:r>
        <w:rPr>
          <w:b/>
          <w:color w:val="000000"/>
        </w:rPr>
        <w:t xml:space="preserve">Personas que participan en el juicio laboral, en su carácter particular </w:t>
      </w:r>
    </w:p>
    <w:p w:rsidR="00C36789" w:rsidRDefault="00C36789">
      <w:pPr>
        <w:spacing w:after="0" w:line="360" w:lineRule="auto"/>
      </w:pPr>
    </w:p>
    <w:p w:rsidR="00C36789" w:rsidRDefault="004F3375">
      <w:pPr>
        <w:spacing w:after="0" w:line="360" w:lineRule="auto"/>
      </w:pPr>
      <w:r>
        <w:t xml:space="preserve">Al respecto, cabe señalar que, en el presente caso, se trata de los nombres que participaron en el juicio laboral, pero que no fueron las partes en controversia, actor o demandado, sino que se trata de los testigos o bien, que participaron por alguna otra circunstancia, en beneficio de alguna de las partes, lo cual atañe a la vida privada de estos. </w:t>
      </w:r>
    </w:p>
    <w:p w:rsidR="00C36789" w:rsidRDefault="00C36789">
      <w:pPr>
        <w:spacing w:after="0" w:line="360" w:lineRule="auto"/>
      </w:pPr>
    </w:p>
    <w:p w:rsidR="00C36789" w:rsidRDefault="004F3375">
      <w:pPr>
        <w:spacing w:after="0" w:line="360" w:lineRule="auto"/>
      </w:pPr>
      <w:r>
        <w:t xml:space="preserve">Lo anterior, toda vez que proporcionar el nombre de dichas personas, </w:t>
      </w:r>
      <w:r>
        <w:rPr>
          <w:b/>
        </w:rPr>
        <w:t xml:space="preserve">revelaría su decisión personal </w:t>
      </w:r>
      <w:r>
        <w:t>de dichos individuos de decidir participar en algún juicio, en el presente caso, laboral, en beneficio de la parte actora o demandada; al respecto, el artículo 12 de la Declaración Universal de los Derechos Humanos prevé que nadie será objeto de injerencias arbitrarias en su vida privada, su familia, su domicilio o su correspondencia, ni de ataques a su honra o a su reputación. Toda persona tiene derecho a la protección de la ley contra tales injerencias o ataques.</w:t>
      </w:r>
    </w:p>
    <w:p w:rsidR="00C36789" w:rsidRDefault="00C36789">
      <w:pPr>
        <w:spacing w:after="0" w:line="360" w:lineRule="auto"/>
      </w:pPr>
    </w:p>
    <w:p w:rsidR="00C36789" w:rsidRDefault="004F3375">
      <w:pPr>
        <w:spacing w:after="0" w:line="360" w:lineRule="auto"/>
      </w:pPr>
      <w:r>
        <w:t xml:space="preserve">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w:t>
      </w:r>
      <w:r>
        <w:lastRenderedPageBreak/>
        <w:t xml:space="preserve">o reputación; y que toda persona tiene derecho a la protección de la ley contra esas injerencias o esos ataques. </w:t>
      </w:r>
    </w:p>
    <w:p w:rsidR="00C36789" w:rsidRDefault="00C36789">
      <w:pPr>
        <w:spacing w:after="0" w:line="360" w:lineRule="auto"/>
      </w:pPr>
    </w:p>
    <w:p w:rsidR="00C36789" w:rsidRDefault="004F3375">
      <w:pPr>
        <w:spacing w:after="0" w:line="360" w:lineRule="auto"/>
      </w:pPr>
      <w:r>
        <w:t>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rsidR="00C36789" w:rsidRDefault="004F3375">
      <w:pPr>
        <w:spacing w:after="0" w:line="360" w:lineRule="auto"/>
      </w:pPr>
      <w:r>
        <w:t>Abona a lo anterior,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rsidR="00C36789" w:rsidRDefault="00C36789">
      <w:pPr>
        <w:spacing w:after="0" w:line="360" w:lineRule="auto"/>
      </w:pPr>
    </w:p>
    <w:p w:rsidR="00C36789" w:rsidRDefault="004F3375">
      <w:pPr>
        <w:spacing w:after="0" w:line="360" w:lineRule="auto"/>
        <w:ind w:left="567" w:right="567"/>
        <w:rPr>
          <w:i/>
          <w:sz w:val="20"/>
          <w:szCs w:val="20"/>
        </w:rPr>
      </w:pPr>
      <w:r>
        <w:rPr>
          <w:i/>
          <w:sz w:val="20"/>
          <w:szCs w:val="20"/>
        </w:rPr>
        <w:t>“</w:t>
      </w:r>
      <w:r>
        <w:rPr>
          <w:b/>
          <w:i/>
          <w:sz w:val="20"/>
          <w:szCs w:val="20"/>
        </w:rPr>
        <w:t>DERECHO A LA VIDA PRIVADA. SU CONTENIDO GENERAL Y LA IMPORTANCIA DE NO DESCONTEXTUALIZAR LAS REFERENCIAS A LA MISMA.</w:t>
      </w:r>
      <w:r>
        <w:rPr>
          <w:i/>
          <w:sz w:val="20"/>
          <w:szCs w:val="20"/>
        </w:rPr>
        <w:t xml:space="preserve"> 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w:t>
      </w:r>
      <w:r>
        <w:rPr>
          <w:i/>
          <w:sz w:val="20"/>
          <w:szCs w:val="20"/>
        </w:rPr>
        <w:lastRenderedPageBreak/>
        <w:t xml:space="preserve">LFZ3OpyNel11ShXfcExmrXPK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Pr>
          <w:b/>
          <w:i/>
          <w:sz w:val="20"/>
          <w:szCs w:val="20"/>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Pr>
          <w:i/>
          <w:sz w:val="20"/>
          <w:szCs w:val="20"/>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Pr>
          <w:b/>
          <w:i/>
          <w:sz w:val="20"/>
          <w:szCs w:val="20"/>
        </w:rPr>
        <w:t>En un sentido amplio, entonces, la protección constitucional de la vida privada implica poder conducir parte de la vida de uno protegido de la mirada y las injerencias de los demás,</w:t>
      </w:r>
      <w:r>
        <w:rPr>
          <w:i/>
          <w:sz w:val="20"/>
          <w:szCs w:val="20"/>
        </w:rPr>
        <w:t xml:space="preserve">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rsidR="00C36789" w:rsidRDefault="00C36789">
      <w:pPr>
        <w:spacing w:after="0" w:line="360" w:lineRule="auto"/>
      </w:pPr>
    </w:p>
    <w:p w:rsidR="00C36789" w:rsidRDefault="004F3375">
      <w:pPr>
        <w:spacing w:after="0" w:line="360" w:lineRule="auto"/>
      </w:pPr>
      <w:r>
        <w:lastRenderedPageBreak/>
        <w:t xml:space="preserve">De conformidad con lo señalado, se colige que las actividades que realicen los particulares, dentro del ámbito privado, o dentro de la esfera particular, es información que debe protegerse. En el presente caso, proporcionar el nombre, vinculado con el hecho de que participó en algún juicio laboral, para acreditar el dicho de alguna de las partes en controversia, iría en contra del derecho a la vida privada, pues daría cuenta de la decisión personal; es decir, un acto de voluntad de dicha persona para actuar en dicho procedimiento, en su carácter particular. </w:t>
      </w:r>
    </w:p>
    <w:p w:rsidR="00C36789" w:rsidRDefault="004F3375">
      <w:pPr>
        <w:spacing w:after="0" w:line="360" w:lineRule="auto"/>
      </w:pPr>
      <w:r>
        <w:t>En ese orden de ideas, se trae a colación la tesis aislada número 2a. LXIII/2008, emitida por la Segunda Sala de la Suprema Corte de Justicia de la Nación, publicada en la Gaceta del Semanario Judicial de la Federación, Tomo XXVII, de mayo de 2008, página 229, de la Novena Época, materia constitucional, misma que a la letra señala:</w:t>
      </w:r>
    </w:p>
    <w:p w:rsidR="00C36789" w:rsidRDefault="00C36789">
      <w:pPr>
        <w:spacing w:after="0" w:line="360" w:lineRule="auto"/>
      </w:pPr>
    </w:p>
    <w:p w:rsidR="00C36789" w:rsidRDefault="004F3375">
      <w:pPr>
        <w:spacing w:after="0" w:line="360" w:lineRule="auto"/>
        <w:ind w:left="567" w:right="567"/>
        <w:rPr>
          <w:i/>
        </w:rPr>
      </w:pPr>
      <w:r>
        <w:rPr>
          <w:i/>
        </w:rPr>
        <w:t>“</w:t>
      </w:r>
      <w:r>
        <w:rPr>
          <w:b/>
          <w:i/>
        </w:rPr>
        <w:t xml:space="preserve">DERECHO A LA PRIVACIDAD O INTIMIDAD. ESTÁ PROTEGIDO POR EL ARTÍCULO 16, PRIMER PÁRRAFO, DE LA CONSTITUCIÓN POLÍTICA DE LOS ESTADOS UNIDOS MEXICANOS. </w:t>
      </w:r>
      <w:r>
        <w:rPr>
          <w:i/>
        </w:rPr>
        <w:t xml:space="preserve">Dicho numeral establece, en general, la garantía de seguridad jurídica de todo gobernado a no ser molestado en su persona, familia, papeles o posesiones, sino cuando medie mandato de autoridad competente debidamente fundado y motivado, de lo que deriva la inviolabilidad del domicilio, cuya finalidad primordial es el respeto a un ámbito de la vida privada personal y familiar que debe quedar excluido del conocimiento ajeno y de las intromisiones de los demás, con la limitante que la Constitución Política de los Estados Unidos Mexicanos establece para las autoridades. En un sentido amplio, la referida garantía puede extenderse a una protección que va más allá del aseguramiento del domicilio como espacio físico en que se desenvuelve normalmente la privacidad o la intimidad, de lo cual deriva el reconocimiento en el artículo 16, primer párrafo, constitucional, de un derecho a la intimidad o vida privada </w:t>
      </w:r>
      <w:r>
        <w:rPr>
          <w:i/>
        </w:rPr>
        <w:lastRenderedPageBreak/>
        <w:t>de los gobernados que abarca las intromisiones o molestias que por cualquier medio puedan realizarse en ese ámbito reservado de la vida.”</w:t>
      </w:r>
    </w:p>
    <w:p w:rsidR="00C36789" w:rsidRDefault="00C36789">
      <w:pPr>
        <w:spacing w:after="0" w:line="360" w:lineRule="auto"/>
      </w:pPr>
    </w:p>
    <w:p w:rsidR="00C36789" w:rsidRDefault="004F3375">
      <w:pPr>
        <w:spacing w:after="0" w:line="360" w:lineRule="auto"/>
      </w:pPr>
      <w:r>
        <w:t xml:space="preserve">Conforme a dicha tesis aislada,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 </w:t>
      </w:r>
    </w:p>
    <w:p w:rsidR="00C36789" w:rsidRDefault="00C36789">
      <w:pPr>
        <w:spacing w:after="0" w:line="360" w:lineRule="auto"/>
      </w:pPr>
    </w:p>
    <w:p w:rsidR="00C36789" w:rsidRDefault="004F3375">
      <w:pPr>
        <w:spacing w:after="0" w:line="360" w:lineRule="auto"/>
        <w:rPr>
          <w:b/>
        </w:rPr>
      </w:pPr>
      <w:r>
        <w:t xml:space="preserve">Así, en un sentido amplio, dicha garantía puede extenderse a una protección más allá del aseguramiento del domicilio como espacio físico en que se desenvuelve normalmente la privacidad o la intimidad, por lo que en el artículo 16, primer párrafo, constitucional, </w:t>
      </w:r>
      <w:r>
        <w:rPr>
          <w:b/>
        </w:rPr>
        <w:t>se da el reconocimiento de un derecho a la privacidad de las personas que implica no ser sujeto de intromisiones o molestias en el ámbito reservado de su vida o intimidad.</w:t>
      </w:r>
    </w:p>
    <w:p w:rsidR="00C36789" w:rsidRDefault="00C36789">
      <w:pPr>
        <w:spacing w:after="0" w:line="360" w:lineRule="auto"/>
        <w:rPr>
          <w:b/>
        </w:rPr>
      </w:pPr>
    </w:p>
    <w:p w:rsidR="00C36789" w:rsidRDefault="004F3375">
      <w:pPr>
        <w:spacing w:after="0" w:line="360" w:lineRule="auto"/>
      </w:pPr>
      <w:r>
        <w:t xml:space="preserve">En el presente caso, proporcionar el nombre de aquellas personas, que en su carácter particular, decidieron participar en un juicio laboral y que no son las partes en controversia, implicaría revelar </w:t>
      </w:r>
      <w:r>
        <w:rPr>
          <w:b/>
        </w:rPr>
        <w:t>un aspecto de la vida privada</w:t>
      </w:r>
      <w:r>
        <w:t xml:space="preserve">, correspondiente a la decisión personal de ayudar a la parte actora o demandada, a acreditar su dicho o demostrar hechos y por lo tanto, también se afectaría, </w:t>
      </w:r>
      <w:r>
        <w:rPr>
          <w:b/>
        </w:rPr>
        <w:t>su intimidad.</w:t>
      </w:r>
    </w:p>
    <w:p w:rsidR="00C36789" w:rsidRDefault="00C36789">
      <w:pPr>
        <w:spacing w:after="0" w:line="360" w:lineRule="auto"/>
      </w:pPr>
    </w:p>
    <w:p w:rsidR="00C36789" w:rsidRDefault="004F3375">
      <w:pPr>
        <w:numPr>
          <w:ilvl w:val="0"/>
          <w:numId w:val="20"/>
        </w:numPr>
        <w:pBdr>
          <w:top w:val="nil"/>
          <w:left w:val="nil"/>
          <w:bottom w:val="nil"/>
          <w:right w:val="nil"/>
          <w:between w:val="nil"/>
        </w:pBdr>
        <w:spacing w:after="0" w:line="360" w:lineRule="auto"/>
        <w:rPr>
          <w:b/>
          <w:color w:val="000000"/>
        </w:rPr>
      </w:pPr>
      <w:r>
        <w:rPr>
          <w:b/>
          <w:color w:val="000000"/>
        </w:rPr>
        <w:t xml:space="preserve">Domicilio Particular </w:t>
      </w:r>
    </w:p>
    <w:p w:rsidR="00C36789" w:rsidRDefault="00C36789">
      <w:pPr>
        <w:spacing w:after="0" w:line="360" w:lineRule="auto"/>
      </w:pPr>
    </w:p>
    <w:p w:rsidR="00C36789" w:rsidRDefault="004F3375">
      <w:pPr>
        <w:spacing w:after="0" w:line="360" w:lineRule="auto"/>
      </w:pPr>
      <w:r>
        <w:lastRenderedPageBreak/>
        <w:t xml:space="preserve">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C36789" w:rsidRDefault="00C36789">
      <w:pPr>
        <w:spacing w:after="0" w:line="360" w:lineRule="auto"/>
      </w:pPr>
    </w:p>
    <w:p w:rsidR="00C36789" w:rsidRDefault="004F3375">
      <w:pPr>
        <w:spacing w:after="0" w:line="360" w:lineRule="auto"/>
        <w:rPr>
          <w:b/>
        </w:rPr>
      </w:pPr>
      <w:r>
        <w:t xml:space="preserve">De la misma manera, lo establece el artículo 29 del Código Civil Federal, al precisar que el domicilio de personas físicas, </w:t>
      </w:r>
      <w:r>
        <w:rPr>
          <w:b/>
        </w:rPr>
        <w:t xml:space="preserve">es el lugar donde residen habitualmente, el lugar del centro principal de sus negocios, donde residan o el lugar donde se encuentren. </w:t>
      </w:r>
    </w:p>
    <w:p w:rsidR="00C36789" w:rsidRDefault="00C36789">
      <w:pPr>
        <w:spacing w:after="0" w:line="360" w:lineRule="auto"/>
        <w:rPr>
          <w:b/>
        </w:rPr>
      </w:pPr>
    </w:p>
    <w:p w:rsidR="00C36789" w:rsidRDefault="004F3375">
      <w:pPr>
        <w:spacing w:after="0" w:line="360" w:lineRule="auto"/>
      </w:pPr>
      <w:r>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rsidR="00C36789" w:rsidRDefault="00C36789">
      <w:pPr>
        <w:spacing w:after="0" w:line="360" w:lineRule="auto"/>
      </w:pPr>
    </w:p>
    <w:p w:rsidR="00C36789" w:rsidRDefault="004F3375">
      <w:pPr>
        <w:numPr>
          <w:ilvl w:val="0"/>
          <w:numId w:val="20"/>
        </w:numPr>
        <w:pBdr>
          <w:top w:val="nil"/>
          <w:left w:val="nil"/>
          <w:bottom w:val="nil"/>
          <w:right w:val="nil"/>
          <w:between w:val="nil"/>
        </w:pBdr>
        <w:spacing w:after="0" w:line="360" w:lineRule="auto"/>
        <w:jc w:val="left"/>
        <w:rPr>
          <w:b/>
          <w:color w:val="000000"/>
        </w:rPr>
      </w:pPr>
      <w:r>
        <w:rPr>
          <w:b/>
          <w:color w:val="000000"/>
        </w:rPr>
        <w:t>Domicilio Fiscal o legal para recibir y oír notificaciones (proveedor o contratista persona física o moral).</w:t>
      </w:r>
    </w:p>
    <w:p w:rsidR="00C36789" w:rsidRDefault="00C36789">
      <w:pPr>
        <w:tabs>
          <w:tab w:val="center" w:pos="4522"/>
        </w:tabs>
        <w:spacing w:after="0" w:line="360" w:lineRule="auto"/>
        <w:rPr>
          <w:color w:val="000000"/>
        </w:rPr>
      </w:pPr>
    </w:p>
    <w:p w:rsidR="00C36789" w:rsidRDefault="004F3375">
      <w:pPr>
        <w:tabs>
          <w:tab w:val="center" w:pos="4522"/>
        </w:tabs>
        <w:spacing w:after="0" w:line="360" w:lineRule="auto"/>
        <w:rPr>
          <w:color w:val="000000"/>
        </w:rPr>
      </w:pPr>
      <w:r>
        <w:rPr>
          <w:color w:val="000000"/>
        </w:rPr>
        <w:t>De acuerdo a lo señalado en los artículos 2.17 y 2.21 del Código Civil del Estado de México, el domicilio de una persona física, es el lugar donde reside, en donde tiene el principal asiente de negocios, o en su caso, el dónde se halle; mientras, que el de personas jurídicas colectivas, es aquel donde se halle establecida su administración o ejerza sus actividades.</w:t>
      </w:r>
    </w:p>
    <w:p w:rsidR="00C36789" w:rsidRDefault="00C36789">
      <w:pPr>
        <w:tabs>
          <w:tab w:val="center" w:pos="4522"/>
        </w:tabs>
        <w:spacing w:after="0" w:line="360" w:lineRule="auto"/>
        <w:rPr>
          <w:color w:val="000000"/>
        </w:rPr>
      </w:pPr>
    </w:p>
    <w:p w:rsidR="00C36789" w:rsidRDefault="004F3375">
      <w:pPr>
        <w:tabs>
          <w:tab w:val="center" w:pos="4522"/>
        </w:tabs>
        <w:spacing w:after="0" w:line="360" w:lineRule="auto"/>
        <w:rPr>
          <w:color w:val="000000"/>
        </w:rPr>
      </w:pPr>
      <w:r>
        <w:rPr>
          <w:color w:val="000000"/>
        </w:rPr>
        <w:t>De la misma manera, lo establece los diversos 29 y 33 del Código Civil Federal, al precisar que el domicilio de personas físicas</w:t>
      </w:r>
      <w:r>
        <w:rPr>
          <w:b/>
          <w:color w:val="000000"/>
        </w:rPr>
        <w:t xml:space="preserve">, es el lugar donde residen habitualmente, el lugar del centro principal de sus negocios, donde residan o el lugar donde se encuentren; </w:t>
      </w:r>
      <w:r>
        <w:rPr>
          <w:color w:val="000000"/>
        </w:rPr>
        <w:t>mientras que, de las personas morales, aquel donde se halle su administración.</w:t>
      </w:r>
    </w:p>
    <w:p w:rsidR="00C36789" w:rsidRDefault="00C36789">
      <w:pPr>
        <w:tabs>
          <w:tab w:val="center" w:pos="4522"/>
        </w:tabs>
        <w:spacing w:after="0" w:line="360" w:lineRule="auto"/>
        <w:rPr>
          <w:b/>
          <w:color w:val="000000"/>
        </w:rPr>
      </w:pPr>
    </w:p>
    <w:p w:rsidR="00C36789" w:rsidRDefault="004F3375">
      <w:pPr>
        <w:tabs>
          <w:tab w:val="center" w:pos="4522"/>
        </w:tabs>
        <w:spacing w:after="0" w:line="360" w:lineRule="auto"/>
        <w:rPr>
          <w:color w:val="000000"/>
        </w:rPr>
      </w:pPr>
      <w:r>
        <w:rPr>
          <w:color w:val="000000"/>
        </w:rPr>
        <w:t>Además, respecto al domicilio fiscal, resulta necesario traer el artículo 10 del Código Fiscal de la Federación, que establece que, tratándose de personas físicas, corresponderá dicho dato:</w:t>
      </w:r>
    </w:p>
    <w:p w:rsidR="00C36789" w:rsidRDefault="00C36789">
      <w:pPr>
        <w:tabs>
          <w:tab w:val="center" w:pos="4522"/>
        </w:tabs>
        <w:spacing w:after="0" w:line="360" w:lineRule="auto"/>
        <w:rPr>
          <w:color w:val="000000"/>
        </w:rPr>
      </w:pPr>
    </w:p>
    <w:p w:rsidR="00C36789" w:rsidRDefault="004F3375">
      <w:pPr>
        <w:numPr>
          <w:ilvl w:val="0"/>
          <w:numId w:val="21"/>
        </w:numPr>
        <w:pBdr>
          <w:top w:val="nil"/>
          <w:left w:val="nil"/>
          <w:bottom w:val="nil"/>
          <w:right w:val="nil"/>
          <w:between w:val="nil"/>
        </w:pBdr>
        <w:tabs>
          <w:tab w:val="center" w:pos="4522"/>
        </w:tabs>
        <w:spacing w:after="0" w:line="360" w:lineRule="auto"/>
        <w:jc w:val="left"/>
        <w:rPr>
          <w:color w:val="000000"/>
        </w:rPr>
      </w:pPr>
      <w:r>
        <w:rPr>
          <w:color w:val="000000"/>
        </w:rPr>
        <w:t>El lugar donde realizan actividades empresariales, el local, en que se encuentre el principal asiente de sus negocios, y</w:t>
      </w:r>
    </w:p>
    <w:p w:rsidR="00C36789" w:rsidRDefault="00C36789">
      <w:pPr>
        <w:tabs>
          <w:tab w:val="center" w:pos="4522"/>
        </w:tabs>
        <w:spacing w:after="0" w:line="360" w:lineRule="auto"/>
        <w:rPr>
          <w:color w:val="000000"/>
        </w:rPr>
      </w:pPr>
    </w:p>
    <w:p w:rsidR="00C36789" w:rsidRDefault="004F3375">
      <w:pPr>
        <w:numPr>
          <w:ilvl w:val="0"/>
          <w:numId w:val="21"/>
        </w:numPr>
        <w:pBdr>
          <w:top w:val="nil"/>
          <w:left w:val="nil"/>
          <w:bottom w:val="nil"/>
          <w:right w:val="nil"/>
          <w:between w:val="nil"/>
        </w:pBdr>
        <w:tabs>
          <w:tab w:val="center" w:pos="4522"/>
        </w:tabs>
        <w:spacing w:after="0" w:line="360" w:lineRule="auto"/>
        <w:jc w:val="left"/>
        <w:rPr>
          <w:color w:val="000000"/>
        </w:rPr>
      </w:pPr>
      <w:r>
        <w:rPr>
          <w:color w:val="000000"/>
        </w:rPr>
        <w:t>La casa habitación, cuando no cuenta con un local o lugar donde realice las acciones previamente señaladas.</w:t>
      </w:r>
    </w:p>
    <w:p w:rsidR="00C36789" w:rsidRDefault="00C36789">
      <w:pPr>
        <w:tabs>
          <w:tab w:val="center" w:pos="4522"/>
        </w:tabs>
        <w:spacing w:after="0" w:line="360" w:lineRule="auto"/>
        <w:rPr>
          <w:color w:val="000000"/>
        </w:rPr>
      </w:pPr>
    </w:p>
    <w:p w:rsidR="00C36789" w:rsidRDefault="004F3375">
      <w:pPr>
        <w:tabs>
          <w:tab w:val="center" w:pos="4522"/>
        </w:tabs>
        <w:spacing w:after="0" w:line="360" w:lineRule="auto"/>
        <w:rPr>
          <w:color w:val="000000"/>
        </w:rPr>
      </w:pPr>
      <w:r>
        <w:rPr>
          <w:color w:val="000000"/>
        </w:rPr>
        <w:t>Mientras que, en el caso de personas morales, el domicilio fiscal, corresponderá al local donde se encuentra la administración principal del negocio. Como se logra observar, el domicilio fiscal de los proveedores personas físicas, se encuentra en dos supuestos, por lo que, se procede a su análisis.</w:t>
      </w:r>
    </w:p>
    <w:p w:rsidR="00C36789" w:rsidRDefault="00C36789">
      <w:pPr>
        <w:tabs>
          <w:tab w:val="center" w:pos="4522"/>
        </w:tabs>
        <w:spacing w:after="0" w:line="360" w:lineRule="auto"/>
        <w:rPr>
          <w:color w:val="000000"/>
        </w:rPr>
      </w:pPr>
    </w:p>
    <w:p w:rsidR="00C36789" w:rsidRDefault="004F3375">
      <w:pPr>
        <w:tabs>
          <w:tab w:val="center" w:pos="4522"/>
        </w:tabs>
        <w:spacing w:after="0" w:line="360" w:lineRule="auto"/>
        <w:rPr>
          <w:color w:val="000000"/>
        </w:rPr>
      </w:pPr>
      <w:r>
        <w:rPr>
          <w:color w:val="000000"/>
        </w:rPr>
        <w:t xml:space="preserve">Si bien es cierto que el primero, corresponde al lugar en donde reside habitualmente una persona en comento y, permite hacerlo identificable y ubicable, propiciando que pueda ser molestado en su casa, de este modo, los datos que permiten a cualquier individuo con esfuerzos mínimos identificar el lugar de residencia constituye un dato personal y, por ende, susceptible de clasificarse como confidencial, ya que incide directamente en la vida privada del individuo identificado, no debe dejarse de lado que, aquellas personas que deciden tener </w:t>
      </w:r>
      <w:r>
        <w:rPr>
          <w:color w:val="000000"/>
        </w:rPr>
        <w:lastRenderedPageBreak/>
        <w:t>relaciones comerciales con las instituciones públicas, tienen una expectativa de privacidad menor, respecto del resto de las personas, en razón de obtener el beneficio de vender sus productos o servicios y recibir por ellos dinero del erario, situación que debe ser transparentada.</w:t>
      </w:r>
    </w:p>
    <w:p w:rsidR="00C36789" w:rsidRDefault="00C36789">
      <w:pPr>
        <w:tabs>
          <w:tab w:val="center" w:pos="4522"/>
        </w:tabs>
        <w:spacing w:after="0" w:line="360" w:lineRule="auto"/>
        <w:rPr>
          <w:color w:val="000000"/>
        </w:rPr>
      </w:pPr>
    </w:p>
    <w:p w:rsidR="00C36789" w:rsidRDefault="004F3375">
      <w:pPr>
        <w:tabs>
          <w:tab w:val="center" w:pos="4522"/>
        </w:tabs>
        <w:spacing w:after="0" w:line="360" w:lineRule="auto"/>
        <w:rPr>
          <w:color w:val="000000"/>
        </w:rPr>
      </w:pPr>
      <w:r>
        <w:rPr>
          <w:color w:val="000000"/>
        </w:rPr>
        <w:t>Como se logra observar, es obligación de transparencia proporcionar el domicilio fiscal de los proveedores, por lo que, se considera que, en el caso, de que dicho dato, corresponda a un local o lugar donde realice sus actividades empresariales, se debe entregar.</w:t>
      </w:r>
    </w:p>
    <w:p w:rsidR="00C36789" w:rsidRDefault="00C36789">
      <w:pPr>
        <w:tabs>
          <w:tab w:val="center" w:pos="4522"/>
        </w:tabs>
        <w:spacing w:after="0" w:line="360" w:lineRule="auto"/>
        <w:rPr>
          <w:color w:val="000000"/>
        </w:rPr>
      </w:pPr>
    </w:p>
    <w:p w:rsidR="00C36789" w:rsidRDefault="004F3375">
      <w:pPr>
        <w:tabs>
          <w:tab w:val="center" w:pos="4522"/>
        </w:tabs>
        <w:spacing w:after="0" w:line="360" w:lineRule="auto"/>
        <w:rPr>
          <w:color w:val="000000"/>
        </w:rPr>
      </w:pPr>
      <w:r>
        <w:rPr>
          <w:color w:val="000000"/>
        </w:rPr>
        <w:t>De tal suerte que, tratándose de proveedores (personas físicas o jurídico-colectivas), el domicilio fiscal, no actualiza la causal de clasificación, establecida en el artículo 143, fracción I de la Ley de Transparencia y Acceso a la Información Pública del Estado de México y Municipios.</w:t>
      </w:r>
    </w:p>
    <w:p w:rsidR="00C36789" w:rsidRDefault="00C36789">
      <w:pPr>
        <w:tabs>
          <w:tab w:val="center" w:pos="4522"/>
        </w:tabs>
        <w:spacing w:after="0" w:line="360" w:lineRule="auto"/>
        <w:rPr>
          <w:color w:val="000000"/>
        </w:rPr>
      </w:pPr>
    </w:p>
    <w:p w:rsidR="00C36789" w:rsidRDefault="004F3375">
      <w:pPr>
        <w:numPr>
          <w:ilvl w:val="0"/>
          <w:numId w:val="20"/>
        </w:numPr>
        <w:pBdr>
          <w:top w:val="nil"/>
          <w:left w:val="nil"/>
          <w:bottom w:val="nil"/>
          <w:right w:val="nil"/>
          <w:between w:val="nil"/>
        </w:pBdr>
        <w:tabs>
          <w:tab w:val="center" w:pos="4522"/>
        </w:tabs>
        <w:spacing w:after="0" w:line="360" w:lineRule="auto"/>
        <w:jc w:val="left"/>
        <w:rPr>
          <w:b/>
          <w:color w:val="000000"/>
        </w:rPr>
      </w:pPr>
      <w:r>
        <w:rPr>
          <w:b/>
          <w:color w:val="000000"/>
        </w:rPr>
        <w:t>Cuenta bancaria y clave interbancaria del proveedor</w:t>
      </w:r>
    </w:p>
    <w:p w:rsidR="00C36789" w:rsidRDefault="00C36789">
      <w:pPr>
        <w:tabs>
          <w:tab w:val="center" w:pos="4522"/>
        </w:tabs>
        <w:spacing w:after="0" w:line="360" w:lineRule="auto"/>
        <w:rPr>
          <w:b/>
          <w:color w:val="000000"/>
        </w:rPr>
      </w:pPr>
    </w:p>
    <w:p w:rsidR="00C36789" w:rsidRDefault="004F3375">
      <w:pPr>
        <w:tabs>
          <w:tab w:val="center" w:pos="4522"/>
        </w:tabs>
        <w:spacing w:after="0" w:line="360" w:lineRule="auto"/>
        <w:rPr>
          <w:color w:val="000000"/>
        </w:rPr>
      </w:pPr>
      <w:r>
        <w:rPr>
          <w:color w:val="000000"/>
        </w:rPr>
        <w:t>Al respecto, se estima que dichos datos se relacionan con hechos y actos de carácter económico, pues los mismos darían cuenta, de la relación que tiene una institución financiero con un particular, ya sea persona física o moral; además, que con dicha información se podría obtener los recursos enviados a las órdenes de cargo, pago o a las transferencias electrónicas de fondos interbancarios, entre otros movimientos que sean utilizados exclusivamente en la cuenta señalada por el cliente y, por lo tanto, los datos bancarios corresponden a información que se encuentra relacionada con el patrimonio de la persona titular de la cuenta.</w:t>
      </w:r>
    </w:p>
    <w:p w:rsidR="00C36789" w:rsidRDefault="004F3375">
      <w:pPr>
        <w:tabs>
          <w:tab w:val="center" w:pos="4522"/>
        </w:tabs>
        <w:spacing w:after="0" w:line="360" w:lineRule="auto"/>
        <w:rPr>
          <w:color w:val="000000"/>
        </w:rPr>
      </w:pPr>
      <w:r>
        <w:rPr>
          <w:color w:val="000000"/>
        </w:rPr>
        <w:t> </w:t>
      </w:r>
    </w:p>
    <w:p w:rsidR="00C36789" w:rsidRDefault="004F3375">
      <w:pPr>
        <w:tabs>
          <w:tab w:val="center" w:pos="4522"/>
        </w:tabs>
        <w:spacing w:after="0" w:line="360" w:lineRule="auto"/>
        <w:rPr>
          <w:color w:val="000000"/>
        </w:rPr>
      </w:pPr>
      <w:r>
        <w:rPr>
          <w:color w:val="000000"/>
        </w:rPr>
        <w:t xml:space="preserve">A mayor abundamiento, resulta necesario traer a colación el Criterio Orientador, de la Segunda Época, con número de registro SO/010/2017, emitido por el entonces Instituto </w:t>
      </w:r>
      <w:r>
        <w:rPr>
          <w:color w:val="000000"/>
        </w:rPr>
        <w:lastRenderedPageBreak/>
        <w:t>Nacional de Transparencia, Acceso a la Información y Protección de Datos Personales, mismo que establece lo siguiente:</w:t>
      </w:r>
    </w:p>
    <w:p w:rsidR="00C36789" w:rsidRDefault="004F3375">
      <w:pPr>
        <w:tabs>
          <w:tab w:val="center" w:pos="4522"/>
        </w:tabs>
        <w:spacing w:after="0" w:line="360" w:lineRule="auto"/>
        <w:rPr>
          <w:color w:val="000000"/>
        </w:rPr>
      </w:pPr>
      <w:r>
        <w:rPr>
          <w:color w:val="000000"/>
        </w:rPr>
        <w:t> </w:t>
      </w:r>
    </w:p>
    <w:p w:rsidR="00C36789" w:rsidRDefault="004F3375">
      <w:pPr>
        <w:tabs>
          <w:tab w:val="center" w:pos="4522"/>
        </w:tabs>
        <w:spacing w:after="0" w:line="360" w:lineRule="auto"/>
        <w:ind w:left="567" w:right="567"/>
        <w:rPr>
          <w:i/>
          <w:color w:val="000000"/>
          <w:sz w:val="20"/>
          <w:szCs w:val="20"/>
        </w:rPr>
      </w:pPr>
      <w:r>
        <w:rPr>
          <w:i/>
          <w:color w:val="000000"/>
          <w:sz w:val="20"/>
          <w:szCs w:val="20"/>
        </w:rPr>
        <w:t>“</w:t>
      </w:r>
      <w:r>
        <w:rPr>
          <w:b/>
          <w:i/>
          <w:color w:val="000000"/>
          <w:sz w:val="20"/>
          <w:szCs w:val="20"/>
        </w:rPr>
        <w:t>Cuentas bancarias y/o CLABE interbancaria de personas físicas y morales privadas.</w:t>
      </w:r>
      <w:r>
        <w:rPr>
          <w:i/>
          <w:color w:val="000000"/>
          <w:sz w:val="20"/>
          <w:szCs w:val="20"/>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C36789" w:rsidRDefault="004F3375">
      <w:pPr>
        <w:tabs>
          <w:tab w:val="center" w:pos="4522"/>
        </w:tabs>
        <w:spacing w:after="0" w:line="360" w:lineRule="auto"/>
        <w:rPr>
          <w:color w:val="000000"/>
        </w:rPr>
      </w:pPr>
      <w:r>
        <w:rPr>
          <w:color w:val="000000"/>
        </w:rPr>
        <w:t> </w:t>
      </w:r>
    </w:p>
    <w:p w:rsidR="00C36789" w:rsidRDefault="004F3375">
      <w:pPr>
        <w:tabs>
          <w:tab w:val="center" w:pos="4522"/>
        </w:tabs>
        <w:spacing w:after="0" w:line="360" w:lineRule="auto"/>
        <w:rPr>
          <w:color w:val="000000"/>
        </w:rPr>
      </w:pPr>
      <w:r>
        <w:rPr>
          <w:color w:val="000000"/>
        </w:rPr>
        <w:t xml:space="preserve">Por lo cual, se puede colegir que dichos datos no guardan relación con el servicio público ni con los recursos públicos, pues sólo corresponde a información, que le atañe a la institución financiera y al cliente; por lo que este número constituye información confidencial al pertenecer exclusivamente al ámbito de la vida privada del proveedor y procede su eliminación de conformidad con el artículo 143, fracción I, de la Ley de Transparencia y Acceso a la Información Pública del Estado de México y Municipios.  </w:t>
      </w:r>
    </w:p>
    <w:p w:rsidR="00C36789" w:rsidRDefault="00C36789">
      <w:pPr>
        <w:tabs>
          <w:tab w:val="center" w:pos="4522"/>
        </w:tabs>
        <w:spacing w:after="0" w:line="360" w:lineRule="auto"/>
        <w:rPr>
          <w:color w:val="000000"/>
        </w:rPr>
      </w:pPr>
    </w:p>
    <w:p w:rsidR="00C36789" w:rsidRDefault="004F3375">
      <w:pPr>
        <w:numPr>
          <w:ilvl w:val="0"/>
          <w:numId w:val="20"/>
        </w:numPr>
        <w:pBdr>
          <w:top w:val="nil"/>
          <w:left w:val="nil"/>
          <w:bottom w:val="nil"/>
          <w:right w:val="nil"/>
          <w:between w:val="nil"/>
        </w:pBdr>
        <w:tabs>
          <w:tab w:val="center" w:pos="4522"/>
        </w:tabs>
        <w:spacing w:after="0" w:line="360" w:lineRule="auto"/>
        <w:jc w:val="left"/>
        <w:rPr>
          <w:b/>
          <w:color w:val="000000"/>
        </w:rPr>
      </w:pPr>
      <w:r>
        <w:rPr>
          <w:b/>
          <w:color w:val="000000"/>
        </w:rPr>
        <w:t>Nombre de institución bancaria</w:t>
      </w:r>
    </w:p>
    <w:p w:rsidR="00C36789" w:rsidRDefault="00C36789">
      <w:pPr>
        <w:tabs>
          <w:tab w:val="center" w:pos="4522"/>
        </w:tabs>
        <w:spacing w:after="0" w:line="360" w:lineRule="auto"/>
        <w:rPr>
          <w:color w:val="000000"/>
        </w:rPr>
      </w:pPr>
    </w:p>
    <w:p w:rsidR="00C36789" w:rsidRDefault="004F3375">
      <w:pPr>
        <w:tabs>
          <w:tab w:val="center" w:pos="4522"/>
        </w:tabs>
        <w:spacing w:after="0" w:line="360" w:lineRule="auto"/>
        <w:rPr>
          <w:color w:val="000000"/>
        </w:rPr>
      </w:pPr>
      <w:r>
        <w:rPr>
          <w:color w:val="000000"/>
        </w:rPr>
        <w:t xml:space="preserve">En principio, es necesario señalar que conforme al artículo 2°, fracción IV  de la Ley de Protección y Defensa al Usuario de Servicios Financieros, establece que una institución financiera, se le denomina a las sociedades controladoras, instituciones de crédito, sociedades financieras de objeto múltiple, sociedades de información crediticia, casas de bolsa, especialistas bursátiles,  fondos de inversión, almacenes generales de depósito, uniones de crédito, casas de cambio, instituciones de seguros, sociedades mutualistas de seguros, instituciones de fianzas, administradoras de fondos para el retiro, PENSIONISSSTE, </w:t>
      </w:r>
      <w:r>
        <w:rPr>
          <w:color w:val="000000"/>
        </w:rPr>
        <w:lastRenderedPageBreak/>
        <w:t>empresas operadoras de la base de datos nacional del sistema de ahorro para el retiro, Instituto del Fondo Nacional para el Consumo de los Trabajadores, sociedades cooperativas de ahorro y préstamo, sociedades financieras populares, sociedades financieras comunitarias, y cualquiera otra sociedad que requiera de la autorización de la Secretaría de Hacienda y Crédito Público o de cualesquiera de las Comisiones Nacionales para constituirse y funcionar como tales y ofrecer un producto o servicio financiero a los usuarios. </w:t>
      </w:r>
    </w:p>
    <w:p w:rsidR="00C36789" w:rsidRDefault="00C36789">
      <w:pPr>
        <w:tabs>
          <w:tab w:val="center" w:pos="4522"/>
        </w:tabs>
        <w:spacing w:after="0" w:line="360" w:lineRule="auto"/>
        <w:rPr>
          <w:color w:val="000000"/>
        </w:rPr>
      </w:pPr>
    </w:p>
    <w:p w:rsidR="00C36789" w:rsidRDefault="004F3375">
      <w:pPr>
        <w:tabs>
          <w:tab w:val="center" w:pos="4522"/>
        </w:tabs>
        <w:spacing w:after="0" w:line="360" w:lineRule="auto"/>
        <w:rPr>
          <w:color w:val="000000"/>
        </w:rPr>
      </w:pPr>
      <w:r>
        <w:rPr>
          <w:color w:val="000000"/>
        </w:rPr>
        <w:t xml:space="preserve">En ese orden de ideas, en el portal de la Comisión Nacional para la Protección y Defensa de los Usuarios de Servicios Financieros (consultadas el dieciocho de enero de dos mil veintitrés), en </w:t>
      </w:r>
      <w:hyperlink r:id="rId40">
        <w:r>
          <w:rPr>
            <w:color w:val="0000FF"/>
            <w:u w:val="single"/>
          </w:rPr>
          <w:t>https://www.condusef.gob.mx/Revista/index.php/usuario-inteligente/condusef-responde/777-la-condusef-te-puede-ayudar</w:t>
        </w:r>
      </w:hyperlink>
      <w:r>
        <w:rPr>
          <w:color w:val="000000"/>
        </w:rPr>
        <w:t>), se establece que los bancos son instituciones financieras; conforme a lo anterior, se puede advertir que las instituciones bancarias, son personas morales.</w:t>
      </w:r>
    </w:p>
    <w:p w:rsidR="00C36789" w:rsidRDefault="00C36789">
      <w:pPr>
        <w:tabs>
          <w:tab w:val="center" w:pos="4522"/>
        </w:tabs>
        <w:spacing w:after="0" w:line="360" w:lineRule="auto"/>
        <w:rPr>
          <w:color w:val="000000"/>
        </w:rPr>
      </w:pPr>
    </w:p>
    <w:p w:rsidR="00C36789" w:rsidRDefault="004F3375">
      <w:pPr>
        <w:tabs>
          <w:tab w:val="center" w:pos="4522"/>
        </w:tabs>
        <w:spacing w:after="0" w:line="360" w:lineRule="auto"/>
        <w:rPr>
          <w:color w:val="000000"/>
        </w:rPr>
      </w:pPr>
      <w:r>
        <w:rPr>
          <w:color w:val="000000"/>
        </w:rPr>
        <w:t>En ese orden de ideas, se considera que la denominación o razón social de una persona moral, es pública, pues dichos datos se encuentran inscritos en el Registro Público del Comercio; lo anterior, toma sustento en el Criterio Orientador, de la Segunda Época, con número de registro SO/008/2019, emitido por el entonces Instituto Nacional de Transparencia, Acceso a la Información y Protección de Datos Personales, previamente referido.</w:t>
      </w:r>
    </w:p>
    <w:p w:rsidR="00C36789" w:rsidRDefault="00C36789">
      <w:pPr>
        <w:tabs>
          <w:tab w:val="center" w:pos="4522"/>
        </w:tabs>
        <w:spacing w:after="0" w:line="360" w:lineRule="auto"/>
        <w:rPr>
          <w:color w:val="000000"/>
        </w:rPr>
      </w:pPr>
    </w:p>
    <w:p w:rsidR="00C36789" w:rsidRDefault="004F3375">
      <w:pPr>
        <w:tabs>
          <w:tab w:val="center" w:pos="4522"/>
        </w:tabs>
        <w:spacing w:after="0" w:line="360" w:lineRule="auto"/>
        <w:rPr>
          <w:color w:val="000000"/>
        </w:rPr>
      </w:pPr>
      <w:r>
        <w:rPr>
          <w:color w:val="000000"/>
        </w:rPr>
        <w:t xml:space="preserve">Lo anterior, se robustece con el hecho de que existe el Sistema de Registro de Prestadores de Servicios Financieros (consultadas el dieciocho de enero de dos mil veintitrés), a las trece horas, en la liga </w:t>
      </w:r>
      <w:hyperlink r:id="rId41">
        <w:r>
          <w:rPr>
            <w:color w:val="0000FF"/>
            <w:u w:val="single"/>
          </w:rPr>
          <w:t>https://webapps.condusef.gob.mx/SIPRES/jsp/pub/index.jsp</w:t>
        </w:r>
      </w:hyperlink>
      <w:r>
        <w:rPr>
          <w:color w:val="000000"/>
        </w:rPr>
        <w:t xml:space="preserve">), que es un registro de </w:t>
      </w:r>
      <w:r>
        <w:rPr>
          <w:b/>
          <w:color w:val="000000"/>
        </w:rPr>
        <w:t xml:space="preserve">carácter público, </w:t>
      </w:r>
      <w:r>
        <w:rPr>
          <w:color w:val="000000"/>
        </w:rPr>
        <w:t>cuyo objetivo principal, consiste en proporcionar información corporativa y general de las instituciones financieras</w:t>
      </w:r>
      <w:r>
        <w:rPr>
          <w:b/>
          <w:color w:val="000000"/>
        </w:rPr>
        <w:t xml:space="preserve">; además, que permite conocer al público general, información de dichos entes, </w:t>
      </w:r>
      <w:r>
        <w:rPr>
          <w:color w:val="000000"/>
        </w:rPr>
        <w:t xml:space="preserve">se muestra un ejemplo a continuación: </w:t>
      </w:r>
    </w:p>
    <w:p w:rsidR="00C36789" w:rsidRDefault="00C36789">
      <w:pPr>
        <w:tabs>
          <w:tab w:val="center" w:pos="4522"/>
        </w:tabs>
        <w:spacing w:after="0" w:line="360" w:lineRule="auto"/>
        <w:rPr>
          <w:color w:val="000000"/>
        </w:rPr>
      </w:pPr>
    </w:p>
    <w:p w:rsidR="00C36789" w:rsidRDefault="004F3375">
      <w:pPr>
        <w:tabs>
          <w:tab w:val="center" w:pos="4522"/>
        </w:tabs>
        <w:spacing w:after="0" w:line="360" w:lineRule="auto"/>
        <w:jc w:val="center"/>
        <w:rPr>
          <w:color w:val="000000"/>
        </w:rPr>
      </w:pPr>
      <w:r>
        <w:rPr>
          <w:noProof/>
          <w:color w:val="000000"/>
        </w:rPr>
        <w:drawing>
          <wp:inline distT="0" distB="0" distL="0" distR="0">
            <wp:extent cx="3756660" cy="2004060"/>
            <wp:effectExtent l="0" t="0" r="0" b="0"/>
            <wp:docPr id="2038874666" name="image12.png" descr="Imagen que contiene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Imagen que contiene Escala de tiempo&#10;&#10;Descripción generada automáticamente"/>
                    <pic:cNvPicPr preferRelativeResize="0"/>
                  </pic:nvPicPr>
                  <pic:blipFill>
                    <a:blip r:embed="rId42"/>
                    <a:srcRect/>
                    <a:stretch>
                      <a:fillRect/>
                    </a:stretch>
                  </pic:blipFill>
                  <pic:spPr>
                    <a:xfrm>
                      <a:off x="0" y="0"/>
                      <a:ext cx="3756660" cy="2004060"/>
                    </a:xfrm>
                    <a:prstGeom prst="rect">
                      <a:avLst/>
                    </a:prstGeom>
                    <a:ln/>
                  </pic:spPr>
                </pic:pic>
              </a:graphicData>
            </a:graphic>
          </wp:inline>
        </w:drawing>
      </w:r>
    </w:p>
    <w:p w:rsidR="00C36789" w:rsidRDefault="00C36789">
      <w:pPr>
        <w:tabs>
          <w:tab w:val="center" w:pos="4522"/>
        </w:tabs>
        <w:spacing w:after="0" w:line="360" w:lineRule="auto"/>
        <w:rPr>
          <w:color w:val="000000"/>
        </w:rPr>
      </w:pPr>
    </w:p>
    <w:p w:rsidR="00C36789" w:rsidRDefault="004F3375">
      <w:pPr>
        <w:tabs>
          <w:tab w:val="center" w:pos="4522"/>
        </w:tabs>
        <w:spacing w:after="0" w:line="360" w:lineRule="auto"/>
        <w:rPr>
          <w:color w:val="000000"/>
        </w:rPr>
      </w:pPr>
      <w:r>
        <w:rPr>
          <w:color w:val="000000"/>
        </w:rPr>
        <w:t>Conforme a lo anterior, se logra vislumbrar que el nombre de las instituciones bancarias en primera instancia es de naturaleza pública; sin embargo, en el presente caso, se relacionada con el hecho de que corresponde al banco en el cual un proveedor o contratista decidió recibir el pago de sus servicios; es decir, daría cuenta de la decisión voluntaria de recibir el pago de sus servicios en una determinada institución; lo cual se relaciona con la cuenta y clave interbancaria, mismos que son confidenciales.</w:t>
      </w:r>
    </w:p>
    <w:p w:rsidR="00C36789" w:rsidRDefault="00C36789">
      <w:pPr>
        <w:tabs>
          <w:tab w:val="center" w:pos="4522"/>
        </w:tabs>
        <w:spacing w:after="0" w:line="360" w:lineRule="auto"/>
        <w:rPr>
          <w:color w:val="000000"/>
        </w:rPr>
      </w:pPr>
    </w:p>
    <w:p w:rsidR="00C36789" w:rsidRDefault="004F3375">
      <w:pPr>
        <w:tabs>
          <w:tab w:val="center" w:pos="4522"/>
        </w:tabs>
        <w:spacing w:after="0" w:line="360" w:lineRule="auto"/>
        <w:rPr>
          <w:color w:val="000000"/>
        </w:rPr>
      </w:pPr>
      <w:r>
        <w:rPr>
          <w:color w:val="000000"/>
        </w:rPr>
        <w:t>Además, revelaría el lugar en donde el proveedor recibió los recursos por prestar sus servicios, lo cual únicamente está relacionado a su vida íntima o privada de la persona moral; por lo que, este Instituto considera que el nombre de la institución bancaria, actualiza la causal de clasificación prevista en el artículo 143, fracción I, de la Ley de Transparencia y Acceso a la Información Pública del Estado de México y Municipios.</w:t>
      </w:r>
    </w:p>
    <w:p w:rsidR="00C36789" w:rsidRDefault="00C36789">
      <w:pPr>
        <w:tabs>
          <w:tab w:val="center" w:pos="4522"/>
        </w:tabs>
        <w:spacing w:after="0" w:line="360" w:lineRule="auto"/>
        <w:rPr>
          <w:color w:val="000000"/>
        </w:rPr>
      </w:pPr>
    </w:p>
    <w:p w:rsidR="00C36789" w:rsidRDefault="004F3375">
      <w:pPr>
        <w:numPr>
          <w:ilvl w:val="0"/>
          <w:numId w:val="20"/>
        </w:numPr>
        <w:pBdr>
          <w:top w:val="nil"/>
          <w:left w:val="nil"/>
          <w:bottom w:val="nil"/>
          <w:right w:val="nil"/>
          <w:between w:val="nil"/>
        </w:pBdr>
        <w:tabs>
          <w:tab w:val="center" w:pos="4522"/>
        </w:tabs>
        <w:spacing w:after="0" w:line="360" w:lineRule="auto"/>
        <w:rPr>
          <w:b/>
          <w:color w:val="000000"/>
        </w:rPr>
      </w:pPr>
      <w:r>
        <w:rPr>
          <w:b/>
          <w:color w:val="000000"/>
        </w:rPr>
        <w:t xml:space="preserve">Folio del Comprobante Fiscal Digital por Internet </w:t>
      </w:r>
    </w:p>
    <w:p w:rsidR="00C36789" w:rsidRDefault="00C36789">
      <w:pPr>
        <w:tabs>
          <w:tab w:val="center" w:pos="4522"/>
        </w:tabs>
        <w:spacing w:after="0" w:line="360" w:lineRule="auto"/>
        <w:rPr>
          <w:color w:val="000000"/>
        </w:rPr>
      </w:pPr>
    </w:p>
    <w:p w:rsidR="00C36789" w:rsidRDefault="004F3375">
      <w:pPr>
        <w:tabs>
          <w:tab w:val="center" w:pos="4522"/>
        </w:tabs>
        <w:spacing w:after="0" w:line="360" w:lineRule="auto"/>
        <w:rPr>
          <w:color w:val="000000"/>
        </w:rPr>
      </w:pPr>
      <w:r>
        <w:rPr>
          <w:color w:val="000000"/>
        </w:rPr>
        <w:t xml:space="preserve">Dicho dato, es una clave o digito, para identificar a la factura, compuesto de una serie de números, y algunos casos, letras o separaciones por guiones, por lo que, no es un dato que </w:t>
      </w:r>
      <w:r>
        <w:rPr>
          <w:color w:val="000000"/>
        </w:rPr>
        <w:lastRenderedPageBreak/>
        <w:t>contenga información confidencial, o bien, que revele hechos o actos de carácter económico, contable, jurídico o administrativo que sean útiles o representen una ventaja a sus competidores. Conforme a lo anterior, dicho dato, lo único que hace identificable, es a la factura de que se trate, pues son datos meramente de control e identificación, por lo que, no se consideran datos clasificados en términos del artículo 143, fracción I de la Ley de Transparencia y Acceso a la Información Pública del Estado de México y Municipios, al no ser datos confidenciales; lo anterior toma sustento, en que los nombres de las partes, en las facturas, en el presente caso son de naturaleza pública.</w:t>
      </w:r>
    </w:p>
    <w:p w:rsidR="00C36789" w:rsidRDefault="00C36789">
      <w:pPr>
        <w:tabs>
          <w:tab w:val="center" w:pos="4522"/>
        </w:tabs>
        <w:spacing w:after="0" w:line="360" w:lineRule="auto"/>
        <w:rPr>
          <w:color w:val="000000"/>
        </w:rPr>
      </w:pPr>
    </w:p>
    <w:p w:rsidR="00C36789" w:rsidRDefault="004F3375">
      <w:pPr>
        <w:numPr>
          <w:ilvl w:val="0"/>
          <w:numId w:val="20"/>
        </w:numPr>
        <w:pBdr>
          <w:top w:val="nil"/>
          <w:left w:val="nil"/>
          <w:bottom w:val="nil"/>
          <w:right w:val="nil"/>
          <w:between w:val="nil"/>
        </w:pBdr>
        <w:tabs>
          <w:tab w:val="center" w:pos="4522"/>
        </w:tabs>
        <w:spacing w:after="0" w:line="360" w:lineRule="auto"/>
        <w:rPr>
          <w:b/>
          <w:color w:val="000000"/>
        </w:rPr>
      </w:pPr>
      <w:r>
        <w:rPr>
          <w:b/>
          <w:color w:val="000000"/>
        </w:rPr>
        <w:t xml:space="preserve">Lugar de Expedición de la factura </w:t>
      </w:r>
    </w:p>
    <w:p w:rsidR="00C36789" w:rsidRDefault="00C36789">
      <w:pPr>
        <w:tabs>
          <w:tab w:val="center" w:pos="4522"/>
        </w:tabs>
        <w:spacing w:after="0" w:line="360" w:lineRule="auto"/>
        <w:rPr>
          <w:color w:val="000000"/>
        </w:rPr>
      </w:pPr>
    </w:p>
    <w:p w:rsidR="00C36789" w:rsidRDefault="004F3375">
      <w:pPr>
        <w:tabs>
          <w:tab w:val="center" w:pos="4522"/>
        </w:tabs>
        <w:spacing w:after="0" w:line="360" w:lineRule="auto"/>
        <w:rPr>
          <w:color w:val="000000"/>
        </w:rPr>
      </w:pPr>
      <w:r>
        <w:rPr>
          <w:color w:val="000000"/>
        </w:rPr>
        <w:t>El lugar de expedición es un dato que se debe llenar dentro de las facturas y que corresponde al código postal del lugar de expedición del comprobante digital fiscal por internet (domicilio de la matriz o de la sucursal), mismo que debe concordar con el domicilio fiscal o de expedición de la factura, que tal como se señaló previamente, dichos datos son de naturaleza pública. Por tal circunstancia, el dato en análisis ayuda a verificar que este coincida con el domicilio de la empresa, el cual es público, corre los mismos efectos y, por lo tanto, no actualiza la causal de clasificación establecida en el artículo 143, fracción I, de la Ley de Transparencia y Acceso a la Información Pública del Estado de México y Municipios.</w:t>
      </w:r>
    </w:p>
    <w:p w:rsidR="00C36789" w:rsidRDefault="00C36789">
      <w:pPr>
        <w:tabs>
          <w:tab w:val="center" w:pos="4522"/>
        </w:tabs>
        <w:spacing w:after="0" w:line="360" w:lineRule="auto"/>
        <w:rPr>
          <w:color w:val="000000"/>
        </w:rPr>
      </w:pPr>
    </w:p>
    <w:p w:rsidR="00C36789" w:rsidRDefault="004F3375">
      <w:pPr>
        <w:spacing w:after="0" w:line="360" w:lineRule="auto"/>
        <w:rPr>
          <w:color w:val="000000"/>
        </w:rPr>
      </w:pPr>
      <w:r>
        <w:rPr>
          <w:color w:val="000000"/>
        </w:rPr>
        <w:t xml:space="preserve">Finalmente, el Sujeto Obligado, deberá elaborar la versión pública respectiva, tomando en consideración los datos analizados;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w:t>
      </w:r>
      <w:r>
        <w:rPr>
          <w:color w:val="000000"/>
        </w:rPr>
        <w:lastRenderedPageBreak/>
        <w:t xml:space="preserve">clasificadas, indicando su contenido de manera genérica y fundando y motivando su clasificación. </w:t>
      </w:r>
    </w:p>
    <w:p w:rsidR="00C36789" w:rsidRDefault="00C36789">
      <w:pPr>
        <w:spacing w:after="0" w:line="360" w:lineRule="auto"/>
        <w:rPr>
          <w:color w:val="000000"/>
        </w:rPr>
      </w:pPr>
    </w:p>
    <w:p w:rsidR="00C36789" w:rsidRDefault="004F3375">
      <w:pPr>
        <w:spacing w:after="0" w:line="360" w:lineRule="auto"/>
        <w:rPr>
          <w:color w:val="000000"/>
        </w:rPr>
      </w:pPr>
      <w:r>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C36789" w:rsidRDefault="00C36789">
      <w:pPr>
        <w:spacing w:after="0" w:line="360" w:lineRule="auto"/>
      </w:pPr>
    </w:p>
    <w:p w:rsidR="00C36789" w:rsidRDefault="00C36789">
      <w:pPr>
        <w:spacing w:after="0" w:line="360" w:lineRule="auto"/>
      </w:pPr>
    </w:p>
    <w:p w:rsidR="00C36789" w:rsidRDefault="004F3375">
      <w:pPr>
        <w:pStyle w:val="Ttulo2"/>
        <w:spacing w:before="0" w:line="360" w:lineRule="auto"/>
        <w:rPr>
          <w:rFonts w:ascii="Palatino Linotype" w:eastAsia="Palatino Linotype" w:hAnsi="Palatino Linotype" w:cs="Palatino Linotype"/>
          <w:b/>
          <w:color w:val="000000"/>
          <w:sz w:val="22"/>
          <w:szCs w:val="22"/>
        </w:rPr>
      </w:pPr>
      <w:bookmarkStart w:id="20" w:name="_heading=h.yxrj46k450i1" w:colFirst="0" w:colLast="0"/>
      <w:bookmarkEnd w:id="20"/>
      <w:r>
        <w:rPr>
          <w:rFonts w:ascii="Palatino Linotype" w:eastAsia="Palatino Linotype" w:hAnsi="Palatino Linotype" w:cs="Palatino Linotype"/>
          <w:b/>
          <w:color w:val="000000"/>
          <w:sz w:val="22"/>
          <w:szCs w:val="22"/>
        </w:rPr>
        <w:t>SEXTO. Decisión</w:t>
      </w:r>
    </w:p>
    <w:p w:rsidR="00C36789" w:rsidRDefault="00C36789">
      <w:pPr>
        <w:spacing w:after="0" w:line="360" w:lineRule="auto"/>
        <w:rPr>
          <w:b/>
          <w:color w:val="000000"/>
        </w:rPr>
      </w:pPr>
    </w:p>
    <w:p w:rsidR="00C36789" w:rsidRDefault="004F3375">
      <w:pPr>
        <w:spacing w:after="0" w:line="360" w:lineRule="auto"/>
        <w:rPr>
          <w:color w:val="000000"/>
        </w:rPr>
      </w:pPr>
      <w:r>
        <w:rPr>
          <w:color w:val="000000"/>
        </w:rPr>
        <w:t xml:space="preserve">De acuerdo con lo expuesto y, con fundamento en el artículo 186, fracción III, de la Ley de Transparencia y Acceso a la Información Pública del Estado de México y Municipios, este Instituto considera procedente </w:t>
      </w:r>
      <w:r>
        <w:rPr>
          <w:b/>
          <w:color w:val="000000"/>
        </w:rPr>
        <w:t xml:space="preserve">MODIFICAR </w:t>
      </w:r>
      <w:r>
        <w:rPr>
          <w:color w:val="000000"/>
        </w:rPr>
        <w:t>la respuesta del Ayuntamiento de Toluca</w:t>
      </w:r>
      <w:r>
        <w:rPr>
          <w:b/>
          <w:color w:val="000000"/>
        </w:rPr>
        <w:t xml:space="preserve">, </w:t>
      </w:r>
      <w:r>
        <w:rPr>
          <w:color w:val="000000"/>
        </w:rPr>
        <w:t>a efecto de que previa búsqueda exhaustiva y razonable entregue, en su caso en versión pública, la información faltante.</w:t>
      </w:r>
    </w:p>
    <w:p w:rsidR="00C36789" w:rsidRDefault="00C36789">
      <w:pPr>
        <w:spacing w:after="0" w:line="360" w:lineRule="auto"/>
        <w:rPr>
          <w:color w:val="000000"/>
        </w:rPr>
      </w:pPr>
    </w:p>
    <w:p w:rsidR="00C36789" w:rsidRDefault="004F3375">
      <w:pPr>
        <w:spacing w:after="0" w:line="360" w:lineRule="auto"/>
        <w:rPr>
          <w:b/>
          <w:color w:val="000000"/>
        </w:rPr>
      </w:pPr>
      <w:r>
        <w:rPr>
          <w:b/>
          <w:color w:val="000000"/>
        </w:rPr>
        <w:t>Términos de la Resolución para conocimiento del Particular</w:t>
      </w:r>
    </w:p>
    <w:p w:rsidR="00C36789" w:rsidRDefault="00C36789">
      <w:pPr>
        <w:spacing w:after="0" w:line="360" w:lineRule="auto"/>
        <w:rPr>
          <w:b/>
          <w:color w:val="000000"/>
        </w:rPr>
      </w:pPr>
    </w:p>
    <w:p w:rsidR="00C36789" w:rsidRDefault="004F3375">
      <w:pPr>
        <w:spacing w:after="0" w:line="360" w:lineRule="auto"/>
      </w:pPr>
      <w:r>
        <w:t xml:space="preserve">Se le hace del conocimiento a la persona Recurrente, que, en el presente caso, se le da la razón, pues el Sujeto Obligado omitió manifestarse sobre la totalidad de los puntos requeridos, por lo que, en el presente caso, deberá proporcionarle la información faltante. </w:t>
      </w:r>
    </w:p>
    <w:p w:rsidR="00C36789" w:rsidRDefault="00C36789">
      <w:pPr>
        <w:spacing w:after="0" w:line="360" w:lineRule="auto"/>
      </w:pPr>
    </w:p>
    <w:p w:rsidR="00C36789" w:rsidRDefault="004F3375">
      <w:pPr>
        <w:spacing w:after="0" w:line="360" w:lineRule="auto"/>
      </w:pPr>
      <w:r>
        <w:t xml:space="preserve">Además, se le informa que, de conformidad con lo establecido en el artículo 179, párrafo segundo, de la Ley de Transparencia y Acceso a la Información Pública del Estado de México </w:t>
      </w:r>
      <w:r>
        <w:lastRenderedPageBreak/>
        <w:t xml:space="preserve">y Municipios, tiene derecho a interponer nuevamente Recurso de Revisión ante este Instituto, por la respuesta que dé el Sujeto Obligado, en cumplimiento a esta Resolución. </w:t>
      </w:r>
    </w:p>
    <w:p w:rsidR="00C36789" w:rsidRDefault="00C36789">
      <w:pPr>
        <w:spacing w:after="0" w:line="360" w:lineRule="auto"/>
      </w:pPr>
    </w:p>
    <w:p w:rsidR="00C36789" w:rsidRDefault="004F3375">
      <w:pPr>
        <w:spacing w:after="0" w:line="360" w:lineRule="auto"/>
        <w:rPr>
          <w:color w:val="000000"/>
        </w:rPr>
      </w:pPr>
      <w:r>
        <w:rPr>
          <w:color w:val="000000"/>
        </w:rPr>
        <w:t>Finalmente, se le informa que la labor de este Instituto de Transparencia, Acceso a la Información Pública y Protección de Datos Personales del Estado de México y Municipios, es apoyar a la población a acceder a la información pública y garantizar la protección de sus datos personales.</w:t>
      </w:r>
    </w:p>
    <w:p w:rsidR="00C36789" w:rsidRDefault="00C36789">
      <w:pPr>
        <w:spacing w:after="0" w:line="360" w:lineRule="auto"/>
      </w:pPr>
    </w:p>
    <w:p w:rsidR="00C36789" w:rsidRDefault="004F3375">
      <w:pPr>
        <w:spacing w:after="0" w:line="360" w:lineRule="auto"/>
        <w:rPr>
          <w:color w:val="000000"/>
        </w:rPr>
      </w:pPr>
      <w:r>
        <w:rPr>
          <w:color w:val="000000"/>
        </w:rPr>
        <w:t>Por lo expuesto y fundado, este Pleno:</w:t>
      </w:r>
    </w:p>
    <w:p w:rsidR="00C36789" w:rsidRDefault="00C36789">
      <w:pPr>
        <w:spacing w:after="0" w:line="360" w:lineRule="auto"/>
        <w:rPr>
          <w:color w:val="000000"/>
        </w:rPr>
      </w:pPr>
    </w:p>
    <w:p w:rsidR="00C36789" w:rsidRDefault="004F3375">
      <w:pPr>
        <w:pStyle w:val="Ttulo1"/>
        <w:spacing w:before="0" w:line="360" w:lineRule="auto"/>
        <w:jc w:val="center"/>
        <w:rPr>
          <w:rFonts w:ascii="Palatino Linotype" w:eastAsia="Palatino Linotype" w:hAnsi="Palatino Linotype" w:cs="Palatino Linotype"/>
          <w:b/>
          <w:color w:val="000000"/>
          <w:sz w:val="22"/>
          <w:szCs w:val="22"/>
        </w:rPr>
      </w:pPr>
      <w:bookmarkStart w:id="21" w:name="_heading=h.2ia5ir7pmjh5" w:colFirst="0" w:colLast="0"/>
      <w:bookmarkEnd w:id="21"/>
      <w:r>
        <w:rPr>
          <w:rFonts w:ascii="Palatino Linotype" w:eastAsia="Palatino Linotype" w:hAnsi="Palatino Linotype" w:cs="Palatino Linotype"/>
          <w:b/>
          <w:color w:val="000000"/>
          <w:sz w:val="22"/>
          <w:szCs w:val="22"/>
        </w:rPr>
        <w:t>R E S U E L V E</w:t>
      </w:r>
    </w:p>
    <w:p w:rsidR="00C36789" w:rsidRDefault="00C36789">
      <w:pPr>
        <w:spacing w:after="0" w:line="360" w:lineRule="auto"/>
      </w:pPr>
    </w:p>
    <w:p w:rsidR="00C36789" w:rsidRDefault="004F3375">
      <w:pPr>
        <w:spacing w:after="0" w:line="360" w:lineRule="auto"/>
        <w:rPr>
          <w:color w:val="000000"/>
        </w:rPr>
      </w:pPr>
      <w:r>
        <w:rPr>
          <w:b/>
          <w:color w:val="000000"/>
        </w:rPr>
        <w:t xml:space="preserve">PRIMERO. </w:t>
      </w:r>
      <w:r>
        <w:rPr>
          <w:color w:val="000000"/>
        </w:rPr>
        <w:t xml:space="preserve">Se </w:t>
      </w:r>
      <w:r>
        <w:rPr>
          <w:b/>
          <w:color w:val="000000"/>
        </w:rPr>
        <w:t xml:space="preserve">MODIFICA </w:t>
      </w:r>
      <w:r>
        <w:rPr>
          <w:color w:val="000000"/>
        </w:rPr>
        <w:t xml:space="preserve">la respuesta entregada por el Ayuntamiento de Toluca, a la solicitud de información 00695/TOLUCA/IP/2025, por resultar </w:t>
      </w:r>
      <w:r>
        <w:rPr>
          <w:b/>
          <w:color w:val="000000"/>
        </w:rPr>
        <w:t xml:space="preserve">FUNDADAS </w:t>
      </w:r>
      <w:r>
        <w:rPr>
          <w:color w:val="000000"/>
        </w:rPr>
        <w:t>las razones o motivos de inconformidad hechos valer por el Recurrente, en términos de los considerandos QUINTO y SEXTO de la presente Resolución.</w:t>
      </w:r>
    </w:p>
    <w:p w:rsidR="00C36789" w:rsidRDefault="00C36789">
      <w:pPr>
        <w:spacing w:after="0" w:line="360" w:lineRule="auto"/>
        <w:rPr>
          <w:color w:val="000000"/>
        </w:rPr>
      </w:pPr>
    </w:p>
    <w:p w:rsidR="00C36789" w:rsidRDefault="004F3375">
      <w:pPr>
        <w:spacing w:after="0" w:line="360" w:lineRule="auto"/>
        <w:rPr>
          <w:color w:val="000000"/>
        </w:rPr>
      </w:pPr>
      <w:r>
        <w:rPr>
          <w:b/>
          <w:color w:val="000000"/>
        </w:rPr>
        <w:t xml:space="preserve">SEGUNDO. </w:t>
      </w:r>
      <w:r>
        <w:rPr>
          <w:color w:val="000000"/>
        </w:rPr>
        <w:t xml:space="preserve">Se </w:t>
      </w:r>
      <w:r>
        <w:rPr>
          <w:b/>
          <w:color w:val="000000"/>
        </w:rPr>
        <w:t>ORDENA</w:t>
      </w:r>
      <w:r>
        <w:rPr>
          <w:color w:val="000000"/>
        </w:rPr>
        <w:t xml:space="preserve"> al Ente Recurrido</w:t>
      </w:r>
      <w:r>
        <w:rPr>
          <w:b/>
          <w:color w:val="000000"/>
        </w:rPr>
        <w:t xml:space="preserve">, </w:t>
      </w:r>
      <w:r>
        <w:rPr>
          <w:color w:val="000000"/>
        </w:rPr>
        <w:t xml:space="preserve">a efecto de que previa búsqueda exhaustiva y razonable, en los archivos de las unidades administrativas competentes, entregue a través del Sistema de Acceso a la Información Mexiquense (SAIMEX), en versión pública, los documentos con los que contara al cinco de febrero de dos mil </w:t>
      </w:r>
      <w:proofErr w:type="spellStart"/>
      <w:r>
        <w:rPr>
          <w:color w:val="000000"/>
        </w:rPr>
        <w:t>veinticincinco</w:t>
      </w:r>
      <w:proofErr w:type="spellEnd"/>
      <w:r>
        <w:rPr>
          <w:color w:val="000000"/>
        </w:rPr>
        <w:t>, donde conste lo siguiente:</w:t>
      </w:r>
    </w:p>
    <w:p w:rsidR="00C36789" w:rsidRDefault="00C36789">
      <w:pPr>
        <w:spacing w:after="0" w:line="360" w:lineRule="auto"/>
        <w:rPr>
          <w:color w:val="000000"/>
        </w:rPr>
      </w:pPr>
    </w:p>
    <w:p w:rsidR="00C36789" w:rsidRDefault="004F3375">
      <w:pPr>
        <w:numPr>
          <w:ilvl w:val="0"/>
          <w:numId w:val="22"/>
        </w:numPr>
        <w:spacing w:after="0" w:line="360" w:lineRule="auto"/>
        <w:rPr>
          <w:color w:val="000000"/>
        </w:rPr>
      </w:pPr>
      <w:r>
        <w:rPr>
          <w:color w:val="000000"/>
        </w:rPr>
        <w:t xml:space="preserve">Acta de la Sesión de Cabildo de fecha primero de enero del dos mil veinticinco; </w:t>
      </w:r>
    </w:p>
    <w:p w:rsidR="00C36789" w:rsidRDefault="004F3375">
      <w:pPr>
        <w:numPr>
          <w:ilvl w:val="0"/>
          <w:numId w:val="22"/>
        </w:numPr>
        <w:spacing w:after="0" w:line="360" w:lineRule="auto"/>
        <w:rPr>
          <w:color w:val="000000"/>
        </w:rPr>
      </w:pPr>
      <w:r>
        <w:rPr>
          <w:color w:val="000000"/>
        </w:rPr>
        <w:t xml:space="preserve">Videograbación de la Sesión de Cabildo del primero de enero del dos mil veinticinco;  </w:t>
      </w:r>
    </w:p>
    <w:p w:rsidR="00C36789" w:rsidRDefault="004F3375">
      <w:pPr>
        <w:numPr>
          <w:ilvl w:val="0"/>
          <w:numId w:val="22"/>
        </w:numPr>
        <w:spacing w:after="0" w:line="360" w:lineRule="auto"/>
        <w:rPr>
          <w:color w:val="000000"/>
        </w:rPr>
      </w:pPr>
      <w:r>
        <w:rPr>
          <w:color w:val="000000"/>
        </w:rPr>
        <w:lastRenderedPageBreak/>
        <w:t xml:space="preserve">Nombramientos de todos los servidores públicos que tomaron protesta el primero de enero de dos mil veinticinco; </w:t>
      </w:r>
    </w:p>
    <w:p w:rsidR="00C36789" w:rsidRDefault="004F3375">
      <w:pPr>
        <w:numPr>
          <w:ilvl w:val="0"/>
          <w:numId w:val="22"/>
        </w:numPr>
        <w:spacing w:after="0" w:line="360" w:lineRule="auto"/>
        <w:rPr>
          <w:color w:val="000000"/>
        </w:rPr>
      </w:pPr>
      <w:r>
        <w:rPr>
          <w:color w:val="000000"/>
        </w:rPr>
        <w:t xml:space="preserve">Información curricular de todos los servidores públicos que tomaron protesta el primero de enero de dos mil veinticinco; </w:t>
      </w:r>
    </w:p>
    <w:p w:rsidR="00C36789" w:rsidRDefault="004F3375">
      <w:pPr>
        <w:numPr>
          <w:ilvl w:val="0"/>
          <w:numId w:val="22"/>
        </w:numPr>
        <w:spacing w:after="0" w:line="360" w:lineRule="auto"/>
        <w:rPr>
          <w:color w:val="000000"/>
        </w:rPr>
      </w:pPr>
      <w:r>
        <w:rPr>
          <w:color w:val="000000"/>
        </w:rPr>
        <w:t xml:space="preserve">Tabulador de sueldos vigente al cinco de febrero de dos mil veinticinco; </w:t>
      </w:r>
    </w:p>
    <w:p w:rsidR="00C36789" w:rsidRDefault="004F3375">
      <w:pPr>
        <w:numPr>
          <w:ilvl w:val="0"/>
          <w:numId w:val="22"/>
        </w:numPr>
        <w:spacing w:after="0" w:line="360" w:lineRule="auto"/>
        <w:rPr>
          <w:color w:val="000000"/>
        </w:rPr>
      </w:pPr>
      <w:r>
        <w:rPr>
          <w:color w:val="000000"/>
        </w:rPr>
        <w:t xml:space="preserve">Organigrama de la administración pública 2025-2027; </w:t>
      </w:r>
    </w:p>
    <w:p w:rsidR="00C36789" w:rsidRDefault="004F3375">
      <w:pPr>
        <w:numPr>
          <w:ilvl w:val="0"/>
          <w:numId w:val="22"/>
        </w:numPr>
        <w:spacing w:after="0" w:line="360" w:lineRule="auto"/>
        <w:rPr>
          <w:color w:val="000000"/>
        </w:rPr>
      </w:pPr>
      <w:r>
        <w:rPr>
          <w:color w:val="000000"/>
        </w:rPr>
        <w:t xml:space="preserve">Manuales de organización y de procedimientos vigentes;  </w:t>
      </w:r>
    </w:p>
    <w:p w:rsidR="00C36789" w:rsidRDefault="004F3375">
      <w:pPr>
        <w:numPr>
          <w:ilvl w:val="0"/>
          <w:numId w:val="22"/>
        </w:numPr>
        <w:spacing w:after="0" w:line="360" w:lineRule="auto"/>
        <w:rPr>
          <w:color w:val="000000"/>
        </w:rPr>
      </w:pPr>
      <w:r>
        <w:rPr>
          <w:color w:val="000000"/>
        </w:rPr>
        <w:t xml:space="preserve">El número de patrullas con las que apoyó Gobierno del Estado, con evidencias fotográficas, del cinco de febrero de dos mil veinticuatro al cinco de febrero de dos mil veinticinco; </w:t>
      </w:r>
    </w:p>
    <w:p w:rsidR="00C36789" w:rsidRDefault="004F3375">
      <w:pPr>
        <w:numPr>
          <w:ilvl w:val="0"/>
          <w:numId w:val="22"/>
        </w:numPr>
        <w:spacing w:after="0" w:line="360" w:lineRule="auto"/>
        <w:rPr>
          <w:color w:val="000000"/>
        </w:rPr>
      </w:pPr>
      <w:r>
        <w:rPr>
          <w:color w:val="000000"/>
        </w:rPr>
        <w:t xml:space="preserve">El nombre de las empresas y proveedores contratados del primero al treinta y uno de enero de dos mil veinticinco; </w:t>
      </w:r>
    </w:p>
    <w:p w:rsidR="00C36789" w:rsidRDefault="004F3375">
      <w:pPr>
        <w:numPr>
          <w:ilvl w:val="0"/>
          <w:numId w:val="22"/>
        </w:numPr>
        <w:spacing w:after="0" w:line="360" w:lineRule="auto"/>
        <w:rPr>
          <w:color w:val="000000"/>
        </w:rPr>
      </w:pPr>
      <w:r>
        <w:rPr>
          <w:color w:val="000000"/>
        </w:rPr>
        <w:t xml:space="preserve">El nombre y el sueldo bruto y neto mensual vigente de los Directores Generales, Directores de Área o equivalentes, Analistas Especializados, Coordinadores, Asesores, Jefes de Departamento y de toda la estructura orgánica, en funciones al cinco de febrero de dos mil veinticinco; </w:t>
      </w:r>
    </w:p>
    <w:p w:rsidR="00C36789" w:rsidRDefault="004F3375">
      <w:pPr>
        <w:numPr>
          <w:ilvl w:val="0"/>
          <w:numId w:val="22"/>
        </w:numPr>
        <w:spacing w:after="0" w:line="360" w:lineRule="auto"/>
        <w:rPr>
          <w:color w:val="000000"/>
        </w:rPr>
      </w:pPr>
      <w:r>
        <w:rPr>
          <w:color w:val="000000"/>
        </w:rPr>
        <w:t xml:space="preserve">Información curricular de los servidores públicos que ingresaron del primero de enero al cinco de febrero de dos mil </w:t>
      </w:r>
      <w:proofErr w:type="spellStart"/>
      <w:r>
        <w:rPr>
          <w:color w:val="000000"/>
        </w:rPr>
        <w:t>vienticinco</w:t>
      </w:r>
      <w:proofErr w:type="spellEnd"/>
      <w:r>
        <w:rPr>
          <w:color w:val="000000"/>
        </w:rPr>
        <w:t xml:space="preserve">; </w:t>
      </w:r>
    </w:p>
    <w:p w:rsidR="00C36789" w:rsidRDefault="004F3375">
      <w:pPr>
        <w:numPr>
          <w:ilvl w:val="0"/>
          <w:numId w:val="22"/>
        </w:numPr>
        <w:spacing w:after="0" w:line="360" w:lineRule="auto"/>
        <w:rPr>
          <w:color w:val="000000"/>
        </w:rPr>
      </w:pPr>
      <w:r>
        <w:rPr>
          <w:color w:val="000000"/>
        </w:rPr>
        <w:t xml:space="preserve">Las altas y bajas del personal, del primero al treinta y uno de enero de dos mil veinticinco; </w:t>
      </w:r>
    </w:p>
    <w:p w:rsidR="00C36789" w:rsidRDefault="004F3375">
      <w:pPr>
        <w:numPr>
          <w:ilvl w:val="0"/>
          <w:numId w:val="22"/>
        </w:numPr>
        <w:spacing w:after="0" w:line="360" w:lineRule="auto"/>
        <w:rPr>
          <w:color w:val="000000"/>
        </w:rPr>
      </w:pPr>
      <w:r>
        <w:rPr>
          <w:color w:val="000000"/>
        </w:rPr>
        <w:t xml:space="preserve">Renuncias de servidores públicos del </w:t>
      </w:r>
      <w:proofErr w:type="spellStart"/>
      <w:r>
        <w:rPr>
          <w:color w:val="000000"/>
        </w:rPr>
        <w:t>del</w:t>
      </w:r>
      <w:proofErr w:type="spellEnd"/>
      <w:r>
        <w:rPr>
          <w:color w:val="000000"/>
        </w:rPr>
        <w:t xml:space="preserve"> primero al treinta y uno de enero de dos mil veinticinco; </w:t>
      </w:r>
    </w:p>
    <w:p w:rsidR="00C36789" w:rsidRDefault="004F3375">
      <w:pPr>
        <w:numPr>
          <w:ilvl w:val="0"/>
          <w:numId w:val="22"/>
        </w:numPr>
        <w:spacing w:after="0" w:line="360" w:lineRule="auto"/>
        <w:rPr>
          <w:color w:val="000000"/>
        </w:rPr>
      </w:pPr>
      <w:r>
        <w:rPr>
          <w:color w:val="000000"/>
        </w:rPr>
        <w:t xml:space="preserve">El sueldo bruto y neto mensual vigente, del Presidente Municipal, Regidores, Síndico y Secretario del Ayuntamiento; </w:t>
      </w:r>
    </w:p>
    <w:p w:rsidR="00C36789" w:rsidRDefault="004F3375">
      <w:pPr>
        <w:numPr>
          <w:ilvl w:val="0"/>
          <w:numId w:val="22"/>
        </w:numPr>
        <w:spacing w:after="0" w:line="360" w:lineRule="auto"/>
        <w:rPr>
          <w:color w:val="000000"/>
        </w:rPr>
      </w:pPr>
      <w:r>
        <w:rPr>
          <w:color w:val="000000"/>
        </w:rPr>
        <w:t xml:space="preserve">La relación de personal, salario bruto y neto mensual vigente de los servidores públicos adscritos a Presidencia, Secretaria del Ayuntamiento, Regidores, </w:t>
      </w:r>
      <w:r>
        <w:rPr>
          <w:color w:val="000000"/>
        </w:rPr>
        <w:lastRenderedPageBreak/>
        <w:t>Direcciones Generales y Coordinación de Asesores, en funciones al cinco de febrero de dos mil veinticinco;</w:t>
      </w:r>
    </w:p>
    <w:p w:rsidR="00C36789" w:rsidRDefault="004F3375">
      <w:pPr>
        <w:numPr>
          <w:ilvl w:val="0"/>
          <w:numId w:val="22"/>
        </w:numPr>
        <w:spacing w:after="0" w:line="360" w:lineRule="auto"/>
        <w:rPr>
          <w:color w:val="000000"/>
        </w:rPr>
      </w:pPr>
      <w:r>
        <w:rPr>
          <w:color w:val="000000"/>
        </w:rPr>
        <w:t xml:space="preserve">El monto pagado a proveedores contratados del primero de enero al cinco de febrero de dos mil veinticinco;  </w:t>
      </w:r>
    </w:p>
    <w:p w:rsidR="00C36789" w:rsidRDefault="004F3375">
      <w:pPr>
        <w:numPr>
          <w:ilvl w:val="0"/>
          <w:numId w:val="22"/>
        </w:numPr>
        <w:spacing w:after="0" w:line="360" w:lineRule="auto"/>
        <w:rPr>
          <w:color w:val="000000"/>
        </w:rPr>
      </w:pPr>
      <w:r>
        <w:rPr>
          <w:color w:val="000000"/>
        </w:rPr>
        <w:t>El número de laudos con los que contaba el Ayuntamiento al cinco de febrero de dos mil veinticinco</w:t>
      </w:r>
    </w:p>
    <w:p w:rsidR="00C36789" w:rsidRDefault="004F3375">
      <w:pPr>
        <w:numPr>
          <w:ilvl w:val="0"/>
          <w:numId w:val="22"/>
        </w:numPr>
        <w:spacing w:after="0" w:line="360" w:lineRule="auto"/>
        <w:rPr>
          <w:color w:val="000000"/>
        </w:rPr>
      </w:pPr>
      <w:r>
        <w:rPr>
          <w:color w:val="000000"/>
        </w:rPr>
        <w:t xml:space="preserve">El monto de la deuda pública de la administración 2022-2024; </w:t>
      </w:r>
    </w:p>
    <w:p w:rsidR="00C36789" w:rsidRDefault="004F3375">
      <w:pPr>
        <w:numPr>
          <w:ilvl w:val="0"/>
          <w:numId w:val="22"/>
        </w:numPr>
        <w:spacing w:after="0" w:line="360" w:lineRule="auto"/>
        <w:rPr>
          <w:color w:val="000000"/>
        </w:rPr>
      </w:pPr>
      <w:r>
        <w:rPr>
          <w:color w:val="000000"/>
        </w:rPr>
        <w:t xml:space="preserve">Información Curricular de los Comandantes de Seguridad Pública y Vialidad, en funciones al cinco de febrero de dos mil veinticinco; </w:t>
      </w:r>
    </w:p>
    <w:p w:rsidR="00C36789" w:rsidRDefault="004F3375">
      <w:pPr>
        <w:numPr>
          <w:ilvl w:val="0"/>
          <w:numId w:val="22"/>
        </w:numPr>
        <w:spacing w:after="0" w:line="360" w:lineRule="auto"/>
        <w:rPr>
          <w:color w:val="000000"/>
        </w:rPr>
      </w:pPr>
      <w:r>
        <w:rPr>
          <w:color w:val="000000"/>
        </w:rPr>
        <w:t xml:space="preserve">El número de camiones de basura con los que contaba el Ayuntamiento al treinta y uno de diciembre de dos mil veinticuatro, así como la fecha en la que dejó de ser Presidente Municipal, Juan </w:t>
      </w:r>
      <w:proofErr w:type="spellStart"/>
      <w:r>
        <w:rPr>
          <w:color w:val="000000"/>
        </w:rPr>
        <w:t>Maccise</w:t>
      </w:r>
      <w:proofErr w:type="spellEnd"/>
      <w:r>
        <w:rPr>
          <w:color w:val="000000"/>
        </w:rPr>
        <w:t xml:space="preserve">; </w:t>
      </w:r>
    </w:p>
    <w:p w:rsidR="00C36789" w:rsidRDefault="004F3375">
      <w:pPr>
        <w:numPr>
          <w:ilvl w:val="0"/>
          <w:numId w:val="22"/>
        </w:numPr>
        <w:spacing w:after="0" w:line="360" w:lineRule="auto"/>
        <w:rPr>
          <w:color w:val="000000"/>
        </w:rPr>
      </w:pPr>
      <w:r>
        <w:rPr>
          <w:color w:val="000000"/>
        </w:rPr>
        <w:t xml:space="preserve">El número de patrullas, camiones de basura y policías que entregó Juan Rodolfo Sánchez Gómez, al término de sus gestiones, así como la fecha en la que dejó de ser, Presidente Municipal, </w:t>
      </w:r>
    </w:p>
    <w:p w:rsidR="00C36789" w:rsidRDefault="004F3375">
      <w:pPr>
        <w:numPr>
          <w:ilvl w:val="0"/>
          <w:numId w:val="22"/>
        </w:numPr>
        <w:spacing w:after="0" w:line="360" w:lineRule="auto"/>
        <w:rPr>
          <w:color w:val="000000"/>
        </w:rPr>
      </w:pPr>
      <w:r>
        <w:rPr>
          <w:color w:val="000000"/>
        </w:rPr>
        <w:t>El número de patrullas, camiones de basura y policías que entregó María Elena Barrera Tapia al término de su gestión, así como la fecha en la que dejó de ser;</w:t>
      </w:r>
    </w:p>
    <w:p w:rsidR="00C36789" w:rsidRDefault="004F3375">
      <w:pPr>
        <w:numPr>
          <w:ilvl w:val="0"/>
          <w:numId w:val="22"/>
        </w:numPr>
        <w:spacing w:after="0" w:line="360" w:lineRule="auto"/>
        <w:rPr>
          <w:color w:val="000000"/>
        </w:rPr>
      </w:pPr>
      <w:r>
        <w:rPr>
          <w:color w:val="000000"/>
        </w:rPr>
        <w:t>Documento donde conste o se advierta el número de patrullas, camiones de basura y policías que entregó Martha Hilda González al término de su administración, así como la fecha en la que dejó de ser Presidenta Municipal;</w:t>
      </w:r>
    </w:p>
    <w:p w:rsidR="00C36789" w:rsidRDefault="004F3375">
      <w:pPr>
        <w:numPr>
          <w:ilvl w:val="0"/>
          <w:numId w:val="22"/>
        </w:numPr>
        <w:spacing w:after="0" w:line="360" w:lineRule="auto"/>
        <w:rPr>
          <w:color w:val="000000"/>
        </w:rPr>
      </w:pPr>
      <w:r>
        <w:rPr>
          <w:color w:val="000000"/>
        </w:rPr>
        <w:t xml:space="preserve">Documento donde conste o se advierta el número de patrullas, camiones de basura y policías que entregó Fernando Zamora al término de su administración, así como cuándo la fecha en la que dejó de ser Presidenta Municipal; </w:t>
      </w:r>
    </w:p>
    <w:p w:rsidR="00C36789" w:rsidRDefault="004F3375">
      <w:pPr>
        <w:numPr>
          <w:ilvl w:val="0"/>
          <w:numId w:val="22"/>
        </w:numPr>
        <w:spacing w:after="0" w:line="360" w:lineRule="auto"/>
        <w:rPr>
          <w:color w:val="000000"/>
        </w:rPr>
      </w:pPr>
      <w:r>
        <w:rPr>
          <w:color w:val="000000"/>
        </w:rPr>
        <w:t xml:space="preserve">Respecto a la aplicación “Toluca en tus Manos”, desarrollada por el Ayuntamiento de Toluca, el costo, la partida presupuestal y la fecha de </w:t>
      </w:r>
      <w:proofErr w:type="spellStart"/>
      <w:r>
        <w:rPr>
          <w:color w:val="000000"/>
        </w:rPr>
        <w:t>inaguración</w:t>
      </w:r>
      <w:proofErr w:type="spellEnd"/>
      <w:r>
        <w:rPr>
          <w:color w:val="000000"/>
        </w:rPr>
        <w:t>;</w:t>
      </w:r>
    </w:p>
    <w:p w:rsidR="00C36789" w:rsidRDefault="004F3375">
      <w:pPr>
        <w:numPr>
          <w:ilvl w:val="0"/>
          <w:numId w:val="22"/>
        </w:numPr>
        <w:spacing w:after="0" w:line="360" w:lineRule="auto"/>
        <w:rPr>
          <w:color w:val="000000"/>
        </w:rPr>
      </w:pPr>
      <w:r>
        <w:rPr>
          <w:color w:val="000000"/>
        </w:rPr>
        <w:lastRenderedPageBreak/>
        <w:t>El monto de la cartera vencida del Ayuntamiento de Toluca, con los comprobantes, al cinco de febrero de dos mil veinticinco, y</w:t>
      </w:r>
    </w:p>
    <w:p w:rsidR="00C36789" w:rsidRDefault="004F3375">
      <w:pPr>
        <w:numPr>
          <w:ilvl w:val="0"/>
          <w:numId w:val="22"/>
        </w:numPr>
        <w:spacing w:after="0" w:line="360" w:lineRule="auto"/>
        <w:rPr>
          <w:color w:val="000000"/>
        </w:rPr>
      </w:pPr>
      <w:r>
        <w:rPr>
          <w:color w:val="000000"/>
        </w:rPr>
        <w:t xml:space="preserve">Acuerdo emitido por el Comité de Transparencia, de conformidad con los artículos 49, fracciones II y VIII y 132, fracción II de la Ley de Transparencia y Acceso a la Información Pública del Estado de México y Municipios, en donde clasifique, de manera fundada y motivada, lo </w:t>
      </w:r>
      <w:proofErr w:type="spellStart"/>
      <w:r>
        <w:rPr>
          <w:color w:val="000000"/>
        </w:rPr>
        <w:t>sigueinte</w:t>
      </w:r>
      <w:proofErr w:type="spellEnd"/>
      <w:r>
        <w:rPr>
          <w:color w:val="000000"/>
        </w:rPr>
        <w:t>:</w:t>
      </w:r>
    </w:p>
    <w:p w:rsidR="00C36789" w:rsidRDefault="00C36789">
      <w:pPr>
        <w:spacing w:after="0" w:line="360" w:lineRule="auto"/>
        <w:ind w:left="720"/>
        <w:rPr>
          <w:color w:val="000000"/>
        </w:rPr>
      </w:pPr>
    </w:p>
    <w:p w:rsidR="00C36789" w:rsidRDefault="004F3375">
      <w:pPr>
        <w:numPr>
          <w:ilvl w:val="0"/>
          <w:numId w:val="23"/>
        </w:numPr>
        <w:pBdr>
          <w:top w:val="nil"/>
          <w:left w:val="nil"/>
          <w:bottom w:val="nil"/>
          <w:right w:val="nil"/>
          <w:between w:val="nil"/>
        </w:pBdr>
        <w:spacing w:after="0" w:line="360" w:lineRule="auto"/>
        <w:rPr>
          <w:color w:val="000000"/>
        </w:rPr>
      </w:pPr>
      <w:r>
        <w:rPr>
          <w:color w:val="000000"/>
        </w:rPr>
        <w:t>La ubicación de los cuadrantes de la policía municipal, y</w:t>
      </w:r>
    </w:p>
    <w:p w:rsidR="00C36789" w:rsidRDefault="004F3375">
      <w:pPr>
        <w:numPr>
          <w:ilvl w:val="0"/>
          <w:numId w:val="23"/>
        </w:numPr>
        <w:pBdr>
          <w:top w:val="nil"/>
          <w:left w:val="nil"/>
          <w:bottom w:val="nil"/>
          <w:right w:val="nil"/>
          <w:between w:val="nil"/>
        </w:pBdr>
        <w:spacing w:after="0" w:line="360" w:lineRule="auto"/>
        <w:rPr>
          <w:color w:val="000000"/>
        </w:rPr>
      </w:pPr>
      <w:r>
        <w:rPr>
          <w:color w:val="000000"/>
        </w:rPr>
        <w:t xml:space="preserve">Los datos testados de los documentos que den cuenta de la información señalada en los numerales 1 a 26.  </w:t>
      </w:r>
    </w:p>
    <w:p w:rsidR="00C36789" w:rsidRDefault="00C36789">
      <w:pPr>
        <w:spacing w:after="0" w:line="360" w:lineRule="auto"/>
        <w:ind w:left="720"/>
        <w:rPr>
          <w:color w:val="000000"/>
        </w:rPr>
      </w:pPr>
    </w:p>
    <w:p w:rsidR="00C36789" w:rsidRDefault="004F3375">
      <w:pPr>
        <w:spacing w:after="0" w:line="360" w:lineRule="auto"/>
        <w:ind w:right="-91"/>
      </w:pPr>
      <w:r>
        <w:t xml:space="preserve">Para el caso, de que no cuente con la información ordenada en los puntos 4, 8, 9, 12, 16 y 25, en los archivos del Sujeto Obligado por no haber generado, poseído o administrado, deberá hacerlo del conocimiento de la parte Recurrente, de manera clara y precisa. </w:t>
      </w:r>
    </w:p>
    <w:p w:rsidR="00C36789" w:rsidRDefault="00C36789">
      <w:pPr>
        <w:spacing w:after="0" w:line="360" w:lineRule="auto"/>
        <w:ind w:right="-91"/>
      </w:pPr>
    </w:p>
    <w:p w:rsidR="00C36789" w:rsidRDefault="004F3375">
      <w:pPr>
        <w:spacing w:after="0" w:line="360" w:lineRule="auto"/>
        <w:ind w:right="-91"/>
      </w:pPr>
      <w:r>
        <w:rPr>
          <w:color w:val="000000"/>
        </w:rPr>
        <w:t>Para el supuesto, que no cuente con la información de los numerales 21, 22, 23 y 24, por haber causado baja documental, deberá proporcionar el Acuerdo emitido por el Comité de Transparencia, donde confirme la inexistencia de la información, de conformidad con lo previsto en los artículos 19, párrafo tercero, 169 y 170 de la Ley de Transparencia y Acceso a la Información Pública del Estado de México y Municipios.</w:t>
      </w:r>
    </w:p>
    <w:p w:rsidR="00C36789" w:rsidRDefault="00C36789">
      <w:pPr>
        <w:spacing w:after="0" w:line="360" w:lineRule="auto"/>
        <w:ind w:right="-91"/>
        <w:rPr>
          <w:b/>
          <w:color w:val="000000"/>
        </w:rPr>
      </w:pPr>
    </w:p>
    <w:p w:rsidR="00C36789" w:rsidRDefault="004F3375">
      <w:pPr>
        <w:spacing w:after="0" w:line="360" w:lineRule="auto"/>
        <w:ind w:right="-28"/>
        <w:rPr>
          <w:b/>
          <w:color w:val="000000"/>
        </w:rPr>
      </w:pPr>
      <w:r>
        <w:rPr>
          <w:b/>
          <w:color w:val="000000"/>
        </w:rPr>
        <w:t xml:space="preserve">TERCERO. NOTIFÍQUESE POR SAIMEX </w:t>
      </w:r>
      <w:r>
        <w:rPr>
          <w:color w:val="00000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w:t>
      </w:r>
      <w:r>
        <w:rPr>
          <w:color w:val="000000"/>
        </w:rPr>
        <w:lastRenderedPageBreak/>
        <w:t>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rsidR="00C36789" w:rsidRDefault="00C36789">
      <w:pPr>
        <w:spacing w:after="0" w:line="360" w:lineRule="auto"/>
        <w:ind w:right="-28"/>
        <w:rPr>
          <w:color w:val="000000"/>
        </w:rPr>
      </w:pPr>
    </w:p>
    <w:p w:rsidR="00C36789" w:rsidRDefault="004F3375">
      <w:pPr>
        <w:spacing w:after="0" w:line="360" w:lineRule="auto"/>
        <w:rPr>
          <w:color w:val="000000"/>
        </w:rPr>
      </w:pPr>
      <w:r>
        <w:rPr>
          <w:color w:val="000000"/>
        </w:rPr>
        <w:t>De conformidad con el artículo 198 de la Ley de la materia, de considerarlo procedente, el Sujeto Obligado de manera fundada y motivada, podrá solicitar una ampliación de plazo para el cumplimiento de la presente resolución.</w:t>
      </w:r>
    </w:p>
    <w:p w:rsidR="00C36789" w:rsidRDefault="00C36789">
      <w:pPr>
        <w:spacing w:after="0" w:line="360" w:lineRule="auto"/>
        <w:rPr>
          <w:color w:val="000000"/>
        </w:rPr>
      </w:pPr>
    </w:p>
    <w:p w:rsidR="00C36789" w:rsidRDefault="004F3375">
      <w:pPr>
        <w:spacing w:after="0" w:line="360" w:lineRule="auto"/>
        <w:rPr>
          <w:color w:val="000000"/>
        </w:rPr>
      </w:pPr>
      <w:r>
        <w:rPr>
          <w:b/>
          <w:color w:val="000000"/>
        </w:rPr>
        <w:t>CUARTO. NOTIFÍQUESE POR SAIMEX</w:t>
      </w:r>
      <w:r>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C36789" w:rsidRDefault="00C36789">
      <w:pPr>
        <w:spacing w:after="0" w:line="360" w:lineRule="auto"/>
      </w:pPr>
    </w:p>
    <w:p w:rsidR="00C36789" w:rsidRDefault="004F3375">
      <w:pPr>
        <w:spacing w:after="0" w:line="360" w:lineRule="auto"/>
      </w:pPr>
      <w:r>
        <w:t xml:space="preserve">ASÍ LO RESUELVE, POR </w:t>
      </w:r>
      <w:r>
        <w:rPr>
          <w:b/>
        </w:rPr>
        <w:t>UNANIMIDAD</w:t>
      </w:r>
      <w:r>
        <w:t xml:space="preserve"> DE VOTOS EL PLENO DEL INSTITUTO DE TRANSPARENCIA, ACCESO A LA INFORMACIÓN PÚBLICA Y PROTECCIÓN DE DATOS PERSONALES DEL ESTADO DE MÉXICO Y MUNICIPIOS, CONFORMADO POR LOS COMISIONADOS JOSÉ MARTÍNEZ VILCHIS, MARÍA DEL ROSARIO MEJÍA AYALA  CON VOTO PARTICULAR, SHARON CRISTINA MORALES MARTÍNEZ CON VOTO </w:t>
      </w:r>
      <w:r w:rsidR="000D7137">
        <w:t>P</w:t>
      </w:r>
      <w:r>
        <w:t>ARTICULAR, LUIS GUSTAVO PARRA NORIEGA CON VOTO PARTICULAR Y GUADALUPE RAMÍREZ PEÑA CON VOTO PARTICULAR</w:t>
      </w:r>
      <w:bookmarkStart w:id="22" w:name="_GoBack"/>
      <w:bookmarkEnd w:id="22"/>
      <w:r>
        <w:t>, EN LA TRIGÉSIMA OCTAVA SESIÓN ORDINARIA, CELEBRADA EL VEINTIDÓS DE OCTUBRE DE DOS MIL VEINTICINCO, ANTE EL SECRETARIO TÉCNICO DEL PLENO, ALEXIS TAPIA RAMÍREZ.</w:t>
      </w:r>
    </w:p>
    <w:p w:rsidR="00C36789" w:rsidRDefault="004F3375">
      <w:pPr>
        <w:spacing w:after="0" w:line="360" w:lineRule="auto"/>
        <w:jc w:val="left"/>
      </w:pPr>
      <w:r>
        <w:br w:type="page"/>
      </w:r>
    </w:p>
    <w:p w:rsidR="00C36789" w:rsidRDefault="00C36789">
      <w:pPr>
        <w:spacing w:after="0" w:line="360" w:lineRule="auto"/>
      </w:pPr>
    </w:p>
    <w:p w:rsidR="00C36789" w:rsidRDefault="00C36789">
      <w:pPr>
        <w:spacing w:after="0" w:line="360" w:lineRule="auto"/>
        <w:rPr>
          <w:color w:val="FF0000"/>
        </w:rPr>
      </w:pPr>
    </w:p>
    <w:p w:rsidR="00C36789" w:rsidRDefault="00C36789">
      <w:pPr>
        <w:spacing w:after="0" w:line="360" w:lineRule="auto"/>
        <w:rPr>
          <w:color w:val="FF0000"/>
        </w:rPr>
      </w:pPr>
    </w:p>
    <w:p w:rsidR="00C36789" w:rsidRDefault="00C36789">
      <w:pPr>
        <w:spacing w:after="0" w:line="360" w:lineRule="auto"/>
        <w:rPr>
          <w:color w:val="FF0000"/>
        </w:rPr>
      </w:pPr>
    </w:p>
    <w:p w:rsidR="00C36789" w:rsidRDefault="00C36789">
      <w:pPr>
        <w:spacing w:after="0" w:line="360" w:lineRule="auto"/>
        <w:rPr>
          <w:color w:val="FF0000"/>
        </w:rPr>
      </w:pPr>
    </w:p>
    <w:p w:rsidR="00C36789" w:rsidRDefault="00C36789">
      <w:pPr>
        <w:spacing w:after="0" w:line="360" w:lineRule="auto"/>
        <w:rPr>
          <w:color w:val="FF0000"/>
        </w:rPr>
      </w:pPr>
    </w:p>
    <w:p w:rsidR="00C36789" w:rsidRDefault="00C36789">
      <w:pPr>
        <w:spacing w:after="0" w:line="360" w:lineRule="auto"/>
        <w:rPr>
          <w:color w:val="FF0000"/>
        </w:rPr>
      </w:pPr>
    </w:p>
    <w:p w:rsidR="00C36789" w:rsidRDefault="00C36789">
      <w:pPr>
        <w:spacing w:after="0" w:line="360" w:lineRule="auto"/>
        <w:rPr>
          <w:color w:val="FF0000"/>
        </w:rPr>
      </w:pPr>
    </w:p>
    <w:p w:rsidR="00C36789" w:rsidRDefault="00C36789">
      <w:pPr>
        <w:spacing w:after="0" w:line="360" w:lineRule="auto"/>
        <w:rPr>
          <w:color w:val="FF0000"/>
        </w:rPr>
      </w:pPr>
    </w:p>
    <w:p w:rsidR="00C36789" w:rsidRDefault="00C36789">
      <w:pPr>
        <w:spacing w:after="0" w:line="360" w:lineRule="auto"/>
        <w:rPr>
          <w:color w:val="FF0000"/>
        </w:rPr>
      </w:pPr>
    </w:p>
    <w:p w:rsidR="00C36789" w:rsidRDefault="00C36789">
      <w:pPr>
        <w:spacing w:after="0" w:line="360" w:lineRule="auto"/>
        <w:rPr>
          <w:color w:val="FF0000"/>
        </w:rPr>
      </w:pPr>
    </w:p>
    <w:p w:rsidR="00C36789" w:rsidRDefault="00C36789">
      <w:pPr>
        <w:spacing w:after="0" w:line="360" w:lineRule="auto"/>
        <w:rPr>
          <w:color w:val="FF0000"/>
        </w:rPr>
      </w:pPr>
    </w:p>
    <w:p w:rsidR="00C36789" w:rsidRDefault="00C36789">
      <w:pPr>
        <w:spacing w:after="0" w:line="360" w:lineRule="auto"/>
        <w:rPr>
          <w:color w:val="FF0000"/>
        </w:rPr>
      </w:pPr>
    </w:p>
    <w:sectPr w:rsidR="00C36789">
      <w:headerReference w:type="even" r:id="rId43"/>
      <w:headerReference w:type="default" r:id="rId44"/>
      <w:footerReference w:type="even" r:id="rId45"/>
      <w:footerReference w:type="default" r:id="rId46"/>
      <w:headerReference w:type="first" r:id="rId47"/>
      <w:footerReference w:type="first" r:id="rId48"/>
      <w:pgSz w:w="12240" w:h="15840"/>
      <w:pgMar w:top="2410" w:right="1608" w:bottom="1560" w:left="1701" w:header="993"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A7E" w:rsidRDefault="00C30A7E">
      <w:pPr>
        <w:spacing w:after="0" w:line="240" w:lineRule="auto"/>
      </w:pPr>
      <w:r>
        <w:separator/>
      </w:r>
    </w:p>
  </w:endnote>
  <w:endnote w:type="continuationSeparator" w:id="0">
    <w:p w:rsidR="00C30A7E" w:rsidRDefault="00C30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789" w:rsidRDefault="004F337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1F1C3D">
      <w:rPr>
        <w:b/>
        <w:color w:val="000000"/>
        <w:sz w:val="24"/>
        <w:szCs w:val="24"/>
      </w:rPr>
      <w:fldChar w:fldCharType="separate"/>
    </w:r>
    <w:r w:rsidR="001F1C3D">
      <w:rPr>
        <w:b/>
        <w:noProof/>
        <w:color w:val="000000"/>
        <w:sz w:val="24"/>
        <w:szCs w:val="24"/>
      </w:rPr>
      <w:t>141</w:t>
    </w:r>
    <w:r>
      <w:rPr>
        <w:b/>
        <w:color w:val="000000"/>
        <w:sz w:val="24"/>
        <w:szCs w:val="24"/>
      </w:rPr>
      <w:fldChar w:fldCharType="end"/>
    </w:r>
  </w:p>
  <w:p w:rsidR="00C36789" w:rsidRDefault="00C3678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789" w:rsidRDefault="004F337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F1C3D">
      <w:rPr>
        <w:b/>
        <w:noProof/>
        <w:color w:val="000000"/>
        <w:sz w:val="24"/>
        <w:szCs w:val="24"/>
      </w:rPr>
      <w:t>140</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F1C3D">
      <w:rPr>
        <w:b/>
        <w:noProof/>
        <w:color w:val="000000"/>
        <w:sz w:val="24"/>
        <w:szCs w:val="24"/>
      </w:rPr>
      <w:t>141</w:t>
    </w:r>
    <w:r>
      <w:rPr>
        <w:b/>
        <w:color w:val="000000"/>
        <w:sz w:val="24"/>
        <w:szCs w:val="24"/>
      </w:rPr>
      <w:fldChar w:fldCharType="end"/>
    </w:r>
  </w:p>
  <w:p w:rsidR="00C36789" w:rsidRDefault="00C36789">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789" w:rsidRDefault="004F337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F1C3D">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F1C3D">
      <w:rPr>
        <w:b/>
        <w:noProof/>
        <w:color w:val="000000"/>
        <w:sz w:val="24"/>
        <w:szCs w:val="24"/>
      </w:rPr>
      <w:t>141</w:t>
    </w:r>
    <w:r>
      <w:rPr>
        <w:b/>
        <w:color w:val="000000"/>
        <w:sz w:val="24"/>
        <w:szCs w:val="24"/>
      </w:rPr>
      <w:fldChar w:fldCharType="end"/>
    </w:r>
  </w:p>
  <w:p w:rsidR="00C36789" w:rsidRDefault="00C3678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A7E" w:rsidRDefault="00C30A7E">
      <w:pPr>
        <w:spacing w:after="0" w:line="240" w:lineRule="auto"/>
      </w:pPr>
      <w:r>
        <w:separator/>
      </w:r>
    </w:p>
  </w:footnote>
  <w:footnote w:type="continuationSeparator" w:id="0">
    <w:p w:rsidR="00C30A7E" w:rsidRDefault="00C30A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789" w:rsidRDefault="00C36789">
    <w:pPr>
      <w:widowControl w:val="0"/>
      <w:pBdr>
        <w:top w:val="nil"/>
        <w:left w:val="nil"/>
        <w:bottom w:val="nil"/>
        <w:right w:val="nil"/>
        <w:between w:val="nil"/>
      </w:pBdr>
      <w:spacing w:after="0" w:line="276" w:lineRule="auto"/>
      <w:jc w:val="left"/>
      <w:rPr>
        <w:color w:val="FF0000"/>
      </w:rPr>
    </w:pPr>
  </w:p>
  <w:tbl>
    <w:tblPr>
      <w:tblStyle w:val="a4"/>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C36789">
      <w:trPr>
        <w:trHeight w:val="132"/>
      </w:trPr>
      <w:tc>
        <w:tcPr>
          <w:tcW w:w="0" w:type="auto"/>
        </w:tcPr>
        <w:p w:rsidR="00C36789" w:rsidRDefault="004F3375">
          <w:pPr>
            <w:tabs>
              <w:tab w:val="right" w:pos="8838"/>
            </w:tabs>
            <w:ind w:right="-105"/>
            <w:rPr>
              <w:b/>
            </w:rPr>
          </w:pPr>
          <w:r>
            <w:rPr>
              <w:b/>
            </w:rPr>
            <w:t>Recurso de Revisión:</w:t>
          </w:r>
        </w:p>
      </w:tc>
      <w:tc>
        <w:tcPr>
          <w:tcW w:w="0" w:type="auto"/>
        </w:tcPr>
        <w:p w:rsidR="00C36789" w:rsidRDefault="004F3375">
          <w:pPr>
            <w:tabs>
              <w:tab w:val="right" w:pos="8838"/>
            </w:tabs>
            <w:ind w:left="-28" w:right="-32"/>
          </w:pPr>
          <w:r>
            <w:t>03846/INFOEM/IP/RR/2020</w:t>
          </w:r>
        </w:p>
      </w:tc>
    </w:tr>
    <w:tr w:rsidR="00C36789">
      <w:trPr>
        <w:trHeight w:val="261"/>
      </w:trPr>
      <w:tc>
        <w:tcPr>
          <w:tcW w:w="0" w:type="auto"/>
        </w:tcPr>
        <w:p w:rsidR="00C36789" w:rsidRDefault="004F3375">
          <w:pPr>
            <w:tabs>
              <w:tab w:val="right" w:pos="8838"/>
            </w:tabs>
            <w:ind w:right="-105"/>
            <w:rPr>
              <w:b/>
            </w:rPr>
          </w:pPr>
          <w:r>
            <w:rPr>
              <w:b/>
            </w:rPr>
            <w:t>Sujeto Obligado:</w:t>
          </w:r>
        </w:p>
      </w:tc>
      <w:tc>
        <w:tcPr>
          <w:tcW w:w="0" w:type="auto"/>
        </w:tcPr>
        <w:p w:rsidR="00C36789" w:rsidRDefault="004F3375">
          <w:pPr>
            <w:tabs>
              <w:tab w:val="right" w:pos="8838"/>
            </w:tabs>
            <w:ind w:right="-32"/>
          </w:pPr>
          <w:r>
            <w:t xml:space="preserve">Ayuntamiento de </w:t>
          </w:r>
          <w:proofErr w:type="spellStart"/>
          <w:r>
            <w:t>Temascalcingo</w:t>
          </w:r>
          <w:proofErr w:type="spellEnd"/>
        </w:p>
      </w:tc>
    </w:tr>
    <w:tr w:rsidR="00C36789">
      <w:trPr>
        <w:trHeight w:val="261"/>
      </w:trPr>
      <w:tc>
        <w:tcPr>
          <w:tcW w:w="0" w:type="auto"/>
        </w:tcPr>
        <w:p w:rsidR="00C36789" w:rsidRDefault="004F3375">
          <w:pPr>
            <w:tabs>
              <w:tab w:val="right" w:pos="8838"/>
            </w:tabs>
            <w:ind w:right="-105"/>
            <w:rPr>
              <w:b/>
            </w:rPr>
          </w:pPr>
          <w:r>
            <w:rPr>
              <w:b/>
            </w:rPr>
            <w:t>Comisionado Ponente:</w:t>
          </w:r>
        </w:p>
      </w:tc>
      <w:tc>
        <w:tcPr>
          <w:tcW w:w="0" w:type="auto"/>
        </w:tcPr>
        <w:p w:rsidR="00C36789" w:rsidRDefault="004F3375">
          <w:pPr>
            <w:tabs>
              <w:tab w:val="right" w:pos="8838"/>
            </w:tabs>
            <w:ind w:right="-32"/>
            <w:rPr>
              <w:b/>
            </w:rPr>
          </w:pPr>
          <w:r>
            <w:t>Luis Gustavo Parra Noriega</w:t>
          </w:r>
        </w:p>
      </w:tc>
    </w:tr>
  </w:tbl>
  <w:p w:rsidR="00C36789" w:rsidRDefault="00C30A7E">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789" w:rsidRDefault="004F3375">
    <w:pPr>
      <w:tabs>
        <w:tab w:val="left" w:pos="3913"/>
      </w:tabs>
      <w:rPr>
        <w:sz w:val="2"/>
        <w:szCs w:val="2"/>
      </w:rPr>
    </w:pPr>
    <w:r>
      <w:tab/>
    </w:r>
  </w:p>
  <w:tbl>
    <w:tblPr>
      <w:tblStyle w:val="a5"/>
      <w:tblW w:w="6803" w:type="dxa"/>
      <w:tblInd w:w="3119"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2"/>
    </w:tblGrid>
    <w:tr w:rsidR="00C36789">
      <w:trPr>
        <w:trHeight w:val="138"/>
      </w:trPr>
      <w:tc>
        <w:tcPr>
          <w:tcW w:w="2551" w:type="dxa"/>
          <w:vAlign w:val="center"/>
        </w:tcPr>
        <w:p w:rsidR="00C36789" w:rsidRDefault="004F3375">
          <w:pPr>
            <w:tabs>
              <w:tab w:val="right" w:pos="8838"/>
            </w:tabs>
            <w:ind w:left="-108" w:right="-105"/>
            <w:jc w:val="left"/>
            <w:rPr>
              <w:b/>
            </w:rPr>
          </w:pPr>
          <w:r>
            <w:rPr>
              <w:b/>
            </w:rPr>
            <w:t>Recurso de Revisión:</w:t>
          </w:r>
        </w:p>
      </w:tc>
      <w:tc>
        <w:tcPr>
          <w:tcW w:w="4252" w:type="dxa"/>
        </w:tcPr>
        <w:p w:rsidR="00C36789" w:rsidRDefault="004F3375">
          <w:pPr>
            <w:tabs>
              <w:tab w:val="right" w:pos="8838"/>
            </w:tabs>
            <w:ind w:left="-108" w:right="57"/>
          </w:pPr>
          <w:r>
            <w:rPr>
              <w:color w:val="000000"/>
            </w:rPr>
            <w:t>02396/INFOEM/IP/RR/2025</w:t>
          </w:r>
        </w:p>
      </w:tc>
    </w:tr>
    <w:tr w:rsidR="00C36789">
      <w:trPr>
        <w:trHeight w:val="273"/>
      </w:trPr>
      <w:tc>
        <w:tcPr>
          <w:tcW w:w="2551" w:type="dxa"/>
        </w:tcPr>
        <w:p w:rsidR="00C36789" w:rsidRDefault="004F3375">
          <w:pPr>
            <w:tabs>
              <w:tab w:val="right" w:pos="8838"/>
            </w:tabs>
            <w:ind w:left="-108" w:right="-105"/>
            <w:rPr>
              <w:b/>
            </w:rPr>
          </w:pPr>
          <w:r>
            <w:rPr>
              <w:b/>
            </w:rPr>
            <w:t>Sujeto Obligado:</w:t>
          </w:r>
        </w:p>
      </w:tc>
      <w:tc>
        <w:tcPr>
          <w:tcW w:w="4252" w:type="dxa"/>
        </w:tcPr>
        <w:p w:rsidR="00C36789" w:rsidRDefault="004F3375">
          <w:pPr>
            <w:tabs>
              <w:tab w:val="left" w:pos="2728"/>
              <w:tab w:val="right" w:pos="8838"/>
            </w:tabs>
            <w:ind w:left="-108" w:right="-170"/>
          </w:pPr>
          <w:r>
            <w:rPr>
              <w:color w:val="000000"/>
            </w:rPr>
            <w:t>Ayuntamiento de Toluca</w:t>
          </w:r>
        </w:p>
      </w:tc>
    </w:tr>
    <w:tr w:rsidR="00C36789">
      <w:trPr>
        <w:trHeight w:val="273"/>
      </w:trPr>
      <w:tc>
        <w:tcPr>
          <w:tcW w:w="2551" w:type="dxa"/>
        </w:tcPr>
        <w:p w:rsidR="00C36789" w:rsidRDefault="004F3375">
          <w:pPr>
            <w:tabs>
              <w:tab w:val="right" w:pos="8838"/>
            </w:tabs>
            <w:ind w:left="-108" w:right="-105"/>
            <w:rPr>
              <w:b/>
            </w:rPr>
          </w:pPr>
          <w:r>
            <w:rPr>
              <w:b/>
            </w:rPr>
            <w:t>Comisionado Ponente:</w:t>
          </w:r>
        </w:p>
      </w:tc>
      <w:tc>
        <w:tcPr>
          <w:tcW w:w="4252" w:type="dxa"/>
        </w:tcPr>
        <w:p w:rsidR="00C36789" w:rsidRDefault="004F3375">
          <w:pPr>
            <w:tabs>
              <w:tab w:val="right" w:pos="8838"/>
            </w:tabs>
            <w:ind w:left="-108" w:right="-170"/>
            <w:rPr>
              <w:b/>
            </w:rPr>
          </w:pPr>
          <w:r>
            <w:t>Luis Gustavo Parra Noriega</w:t>
          </w:r>
        </w:p>
      </w:tc>
    </w:tr>
  </w:tbl>
  <w:p w:rsidR="00C36789" w:rsidRDefault="00C30A7E">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90.6pt;margin-top:-122.05pt;width:663.5pt;height:12in;z-index:-251659776;mso-position-horizontal:absolute;mso-position-horizontal-relative:margin;mso-position-vertical:absolute;mso-position-vertical-relative:margin">
          <v:imagedata r:id="rId1" o:title="image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789" w:rsidRDefault="00C30A7E">
    <w:pPr>
      <w:widowControl w:val="0"/>
      <w:pBdr>
        <w:top w:val="nil"/>
        <w:left w:val="nil"/>
        <w:bottom w:val="nil"/>
        <w:right w:val="nil"/>
        <w:between w:val="nil"/>
      </w:pBdr>
      <w:spacing w:after="0" w:line="276" w:lineRule="auto"/>
      <w:jc w:val="left"/>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 DE AGUA - HOJA RESOLUCIÓN" style="position:absolute;margin-left:-84.6pt;margin-top:-146.75pt;width:663.5pt;height:12in;z-index:-251658752;mso-position-horizontal-relative:margin;mso-position-vertical-relative:margin">
          <v:imagedata r:id="rId1" o:title="image3"/>
          <w10:wrap anchorx="margin" anchory="margin"/>
        </v:shape>
      </w:pict>
    </w:r>
  </w:p>
  <w:tbl>
    <w:tblPr>
      <w:tblStyle w:val="a6"/>
      <w:tblW w:w="5528"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2977"/>
    </w:tblGrid>
    <w:tr w:rsidR="00C36789">
      <w:trPr>
        <w:trHeight w:val="132"/>
      </w:trPr>
      <w:tc>
        <w:tcPr>
          <w:tcW w:w="2551" w:type="dxa"/>
        </w:tcPr>
        <w:p w:rsidR="00C36789" w:rsidRDefault="004F3375">
          <w:pPr>
            <w:tabs>
              <w:tab w:val="right" w:pos="8838"/>
            </w:tabs>
            <w:ind w:right="-105"/>
            <w:rPr>
              <w:b/>
            </w:rPr>
          </w:pPr>
          <w:r>
            <w:rPr>
              <w:b/>
            </w:rPr>
            <w:t>Recurso de Revisión:</w:t>
          </w:r>
        </w:p>
      </w:tc>
      <w:tc>
        <w:tcPr>
          <w:tcW w:w="2977" w:type="dxa"/>
        </w:tcPr>
        <w:p w:rsidR="00C36789" w:rsidRDefault="004F3375">
          <w:pPr>
            <w:tabs>
              <w:tab w:val="right" w:pos="8838"/>
            </w:tabs>
            <w:ind w:left="-113" w:right="-32"/>
          </w:pPr>
          <w:r>
            <w:rPr>
              <w:color w:val="000000"/>
            </w:rPr>
            <w:t>02396/INFOEM/IP/RR/2025</w:t>
          </w:r>
        </w:p>
      </w:tc>
    </w:tr>
    <w:tr w:rsidR="00C36789">
      <w:trPr>
        <w:trHeight w:val="132"/>
      </w:trPr>
      <w:tc>
        <w:tcPr>
          <w:tcW w:w="2551" w:type="dxa"/>
        </w:tcPr>
        <w:p w:rsidR="00C36789" w:rsidRDefault="004F3375">
          <w:pPr>
            <w:tabs>
              <w:tab w:val="left" w:pos="1875"/>
            </w:tabs>
            <w:ind w:right="-105"/>
            <w:rPr>
              <w:b/>
            </w:rPr>
          </w:pPr>
          <w:r>
            <w:rPr>
              <w:b/>
            </w:rPr>
            <w:t>Recurrente:</w:t>
          </w:r>
          <w:r>
            <w:rPr>
              <w:b/>
            </w:rPr>
            <w:tab/>
          </w:r>
        </w:p>
      </w:tc>
      <w:tc>
        <w:tcPr>
          <w:tcW w:w="2977" w:type="dxa"/>
        </w:tcPr>
        <w:p w:rsidR="00C36789" w:rsidRDefault="00C36789">
          <w:pPr>
            <w:tabs>
              <w:tab w:val="right" w:pos="8838"/>
            </w:tabs>
            <w:ind w:left="-107"/>
          </w:pPr>
        </w:p>
      </w:tc>
    </w:tr>
    <w:tr w:rsidR="00C36789">
      <w:trPr>
        <w:trHeight w:val="261"/>
      </w:trPr>
      <w:tc>
        <w:tcPr>
          <w:tcW w:w="2551" w:type="dxa"/>
        </w:tcPr>
        <w:p w:rsidR="00C36789" w:rsidRDefault="004F3375">
          <w:pPr>
            <w:tabs>
              <w:tab w:val="right" w:pos="8838"/>
            </w:tabs>
            <w:ind w:right="-105"/>
            <w:rPr>
              <w:b/>
            </w:rPr>
          </w:pPr>
          <w:r>
            <w:rPr>
              <w:b/>
            </w:rPr>
            <w:t>Sujeto Obligado:</w:t>
          </w:r>
        </w:p>
      </w:tc>
      <w:tc>
        <w:tcPr>
          <w:tcW w:w="2977" w:type="dxa"/>
        </w:tcPr>
        <w:p w:rsidR="00C36789" w:rsidRDefault="004F3375">
          <w:pPr>
            <w:tabs>
              <w:tab w:val="right" w:pos="8838"/>
            </w:tabs>
            <w:ind w:left="-113" w:right="-32"/>
          </w:pPr>
          <w:r>
            <w:rPr>
              <w:color w:val="000000"/>
            </w:rPr>
            <w:t>Ayuntamiento de Toluca</w:t>
          </w:r>
        </w:p>
      </w:tc>
    </w:tr>
    <w:tr w:rsidR="00C36789">
      <w:trPr>
        <w:trHeight w:val="261"/>
      </w:trPr>
      <w:tc>
        <w:tcPr>
          <w:tcW w:w="2551" w:type="dxa"/>
        </w:tcPr>
        <w:p w:rsidR="00C36789" w:rsidRDefault="004F3375">
          <w:pPr>
            <w:tabs>
              <w:tab w:val="right" w:pos="8838"/>
            </w:tabs>
            <w:ind w:right="-105"/>
            <w:rPr>
              <w:b/>
            </w:rPr>
          </w:pPr>
          <w:r>
            <w:rPr>
              <w:b/>
            </w:rPr>
            <w:t>Comisionado Ponente:</w:t>
          </w:r>
        </w:p>
      </w:tc>
      <w:tc>
        <w:tcPr>
          <w:tcW w:w="2977" w:type="dxa"/>
        </w:tcPr>
        <w:p w:rsidR="00C36789" w:rsidRDefault="004F3375">
          <w:pPr>
            <w:tabs>
              <w:tab w:val="right" w:pos="8838"/>
            </w:tabs>
            <w:ind w:left="-113" w:right="-32"/>
            <w:rPr>
              <w:b/>
            </w:rPr>
          </w:pPr>
          <w:r>
            <w:t>Luis Gustavo Parra Noriega</w:t>
          </w:r>
        </w:p>
      </w:tc>
    </w:tr>
  </w:tbl>
  <w:p w:rsidR="00C36789" w:rsidRDefault="00C36789">
    <w:pPr>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960D2"/>
    <w:multiLevelType w:val="multilevel"/>
    <w:tmpl w:val="54FCCA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5B4AAA"/>
    <w:multiLevelType w:val="multilevel"/>
    <w:tmpl w:val="2820C7AA"/>
    <w:lvl w:ilvl="0">
      <w:start w:val="4"/>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BC18F2"/>
    <w:multiLevelType w:val="multilevel"/>
    <w:tmpl w:val="8634E1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130604"/>
    <w:multiLevelType w:val="multilevel"/>
    <w:tmpl w:val="0EA29CB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13E97817"/>
    <w:multiLevelType w:val="multilevel"/>
    <w:tmpl w:val="CB0AF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B80FE7"/>
    <w:multiLevelType w:val="multilevel"/>
    <w:tmpl w:val="9DB837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73676F"/>
    <w:multiLevelType w:val="multilevel"/>
    <w:tmpl w:val="C3960CF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 w15:restartNumberingAfterBreak="0">
    <w:nsid w:val="1DBE3F2C"/>
    <w:multiLevelType w:val="multilevel"/>
    <w:tmpl w:val="93AA4C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EC76910"/>
    <w:multiLevelType w:val="multilevel"/>
    <w:tmpl w:val="8BE077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443E19"/>
    <w:multiLevelType w:val="multilevel"/>
    <w:tmpl w:val="F0C8B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CBF4BFE"/>
    <w:multiLevelType w:val="multilevel"/>
    <w:tmpl w:val="1E70044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2CE039B4"/>
    <w:multiLevelType w:val="multilevel"/>
    <w:tmpl w:val="DA1C24F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2D042343"/>
    <w:multiLevelType w:val="multilevel"/>
    <w:tmpl w:val="DAA2F6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D560508"/>
    <w:multiLevelType w:val="multilevel"/>
    <w:tmpl w:val="6FCA13A6"/>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F87195A"/>
    <w:multiLevelType w:val="multilevel"/>
    <w:tmpl w:val="97B6A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1D02B08"/>
    <w:multiLevelType w:val="multilevel"/>
    <w:tmpl w:val="1736B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7D51559"/>
    <w:multiLevelType w:val="multilevel"/>
    <w:tmpl w:val="7CD8F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0315ADE"/>
    <w:multiLevelType w:val="multilevel"/>
    <w:tmpl w:val="75FCA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3EE53D6"/>
    <w:multiLevelType w:val="multilevel"/>
    <w:tmpl w:val="EB04776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41173A2"/>
    <w:multiLevelType w:val="multilevel"/>
    <w:tmpl w:val="D8D870C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8687A14"/>
    <w:multiLevelType w:val="multilevel"/>
    <w:tmpl w:val="24B6E31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4F884A03"/>
    <w:multiLevelType w:val="multilevel"/>
    <w:tmpl w:val="1910BBF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2" w15:restartNumberingAfterBreak="0">
    <w:nsid w:val="61582BBC"/>
    <w:multiLevelType w:val="multilevel"/>
    <w:tmpl w:val="22FC8E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EC244C5"/>
    <w:multiLevelType w:val="multilevel"/>
    <w:tmpl w:val="09D69D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87209E3"/>
    <w:multiLevelType w:val="multilevel"/>
    <w:tmpl w:val="EA08E9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8E35E37"/>
    <w:multiLevelType w:val="multilevel"/>
    <w:tmpl w:val="4D8EB14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E5017D6"/>
    <w:multiLevelType w:val="multilevel"/>
    <w:tmpl w:val="694E36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16"/>
  </w:num>
  <w:num w:numId="3">
    <w:abstractNumId w:val="19"/>
  </w:num>
  <w:num w:numId="4">
    <w:abstractNumId w:val="3"/>
  </w:num>
  <w:num w:numId="5">
    <w:abstractNumId w:val="20"/>
  </w:num>
  <w:num w:numId="6">
    <w:abstractNumId w:val="10"/>
  </w:num>
  <w:num w:numId="7">
    <w:abstractNumId w:val="13"/>
  </w:num>
  <w:num w:numId="8">
    <w:abstractNumId w:val="4"/>
  </w:num>
  <w:num w:numId="9">
    <w:abstractNumId w:val="26"/>
  </w:num>
  <w:num w:numId="10">
    <w:abstractNumId w:val="12"/>
  </w:num>
  <w:num w:numId="11">
    <w:abstractNumId w:val="8"/>
  </w:num>
  <w:num w:numId="12">
    <w:abstractNumId w:val="9"/>
  </w:num>
  <w:num w:numId="13">
    <w:abstractNumId w:val="25"/>
  </w:num>
  <w:num w:numId="14">
    <w:abstractNumId w:val="2"/>
  </w:num>
  <w:num w:numId="15">
    <w:abstractNumId w:val="15"/>
  </w:num>
  <w:num w:numId="16">
    <w:abstractNumId w:val="24"/>
  </w:num>
  <w:num w:numId="17">
    <w:abstractNumId w:val="0"/>
  </w:num>
  <w:num w:numId="18">
    <w:abstractNumId w:val="23"/>
  </w:num>
  <w:num w:numId="19">
    <w:abstractNumId w:val="22"/>
  </w:num>
  <w:num w:numId="20">
    <w:abstractNumId w:val="1"/>
  </w:num>
  <w:num w:numId="21">
    <w:abstractNumId w:val="17"/>
  </w:num>
  <w:num w:numId="22">
    <w:abstractNumId w:val="5"/>
  </w:num>
  <w:num w:numId="23">
    <w:abstractNumId w:val="11"/>
  </w:num>
  <w:num w:numId="24">
    <w:abstractNumId w:val="18"/>
  </w:num>
  <w:num w:numId="25">
    <w:abstractNumId w:val="6"/>
  </w:num>
  <w:num w:numId="26">
    <w:abstractNumId w:val="21"/>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789"/>
    <w:rsid w:val="000D7137"/>
    <w:rsid w:val="001F1C3D"/>
    <w:rsid w:val="004F3375"/>
    <w:rsid w:val="009E1E4F"/>
    <w:rsid w:val="00AA793C"/>
    <w:rsid w:val="00C30A7E"/>
    <w:rsid w:val="00C367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8C20C18-B95E-4DD0-9086-CA6BAE39A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0"/>
      <w:outlineLvl w:val="0"/>
    </w:pPr>
    <w:rPr>
      <w:rFonts w:ascii="Calibri" w:eastAsia="Calibri" w:hAnsi="Calibri" w:cs="Calibri"/>
      <w:color w:val="2F5496"/>
      <w:sz w:val="32"/>
      <w:szCs w:val="32"/>
    </w:rPr>
  </w:style>
  <w:style w:type="paragraph" w:styleId="Ttulo2">
    <w:name w:val="heading 2"/>
    <w:basedOn w:val="Normal"/>
    <w:next w:val="Normal"/>
    <w:pPr>
      <w:keepNext/>
      <w:keepLines/>
      <w:spacing w:before="40" w:after="0"/>
      <w:outlineLvl w:val="1"/>
    </w:pPr>
    <w:rPr>
      <w:rFonts w:ascii="Calibri" w:eastAsia="Calibri" w:hAnsi="Calibri" w:cs="Calibri"/>
      <w:color w:val="2F5496"/>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rPr>
  </w:style>
  <w:style w:type="table" w:styleId="Tablaconcuadrcula">
    <w:name w:val="Table Grid"/>
    <w:basedOn w:val="Tablanormal"/>
    <w:uiPriority w:val="59"/>
    <w:qFormat/>
    <w:rsid w:val="00DB3D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rPr>
  </w:style>
  <w:style w:type="character" w:styleId="Hipervnculo">
    <w:name w:val="Hyperlink"/>
    <w:aliases w:val="Hipervínculo1,Hipervínculo11,Hipervínculo12,Hipervínculo13,Hipervínculo14,Hipervínculo15"/>
    <w:basedOn w:val="Fuentedeprrafopredeter"/>
    <w:uiPriority w:val="99"/>
    <w:unhideWhenUsed/>
    <w:qFormat/>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styleId="Hipervnculovisitado">
    <w:name w:val="FollowedHyperlink"/>
    <w:basedOn w:val="Fuentedeprrafopredeter"/>
    <w:uiPriority w:val="99"/>
    <w:semiHidden/>
    <w:unhideWhenUsed/>
    <w:rsid w:val="00254F36"/>
    <w:rPr>
      <w:color w:val="954F72" w:themeColor="followedHyperlink"/>
      <w:u w:val="single"/>
    </w:rPr>
  </w:style>
  <w:style w:type="table" w:customStyle="1" w:styleId="Tablaconcuadrcula3">
    <w:name w:val="Tabla con cuadrícula3"/>
    <w:basedOn w:val="Tablanormal"/>
    <w:next w:val="Tablaconcuadrcula"/>
    <w:uiPriority w:val="59"/>
    <w:rsid w:val="00837B9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sid w:val="00076681"/>
    <w:rPr>
      <w:rFonts w:asciiTheme="majorHAnsi" w:eastAsiaTheme="majorEastAsia" w:hAnsiTheme="majorHAnsi" w:cstheme="majorBidi"/>
      <w:color w:val="2F5496" w:themeColor="accent1" w:themeShade="BF"/>
      <w:kern w:val="0"/>
      <w:sz w:val="32"/>
      <w:szCs w:val="32"/>
    </w:rPr>
  </w:style>
  <w:style w:type="paragraph" w:styleId="TtulodeTDC">
    <w:name w:val="TOC Heading"/>
    <w:next w:val="Normal"/>
    <w:uiPriority w:val="39"/>
    <w:unhideWhenUsed/>
    <w:qFormat/>
    <w:rsid w:val="00076681"/>
    <w:pPr>
      <w:jc w:val="left"/>
    </w:pPr>
  </w:style>
  <w:style w:type="paragraph" w:styleId="TDC1">
    <w:name w:val="toc 1"/>
    <w:basedOn w:val="Normal"/>
    <w:next w:val="Normal"/>
    <w:autoRedefine/>
    <w:uiPriority w:val="39"/>
    <w:unhideWhenUsed/>
    <w:rsid w:val="00076681"/>
    <w:pPr>
      <w:tabs>
        <w:tab w:val="right" w:leader="dot" w:pos="9072"/>
      </w:tabs>
      <w:spacing w:after="100" w:line="360" w:lineRule="auto"/>
    </w:pPr>
    <w:rPr>
      <w:rFonts w:ascii="Times New Roman" w:eastAsia="Times New Roman" w:hAnsi="Times New Roman" w:cs="Times New Roman"/>
      <w:sz w:val="20"/>
      <w:szCs w:val="20"/>
      <w:lang w:eastAsia="es-ES"/>
    </w:rPr>
  </w:style>
  <w:style w:type="paragraph" w:styleId="TDC2">
    <w:name w:val="toc 2"/>
    <w:basedOn w:val="Normal"/>
    <w:next w:val="Normal"/>
    <w:autoRedefine/>
    <w:uiPriority w:val="39"/>
    <w:unhideWhenUsed/>
    <w:rsid w:val="00076681"/>
    <w:pPr>
      <w:spacing w:after="100" w:line="240" w:lineRule="auto"/>
      <w:ind w:left="200"/>
      <w:jc w:val="left"/>
    </w:pPr>
    <w:rPr>
      <w:rFonts w:ascii="Times New Roman" w:eastAsia="Times New Roman" w:hAnsi="Times New Roman" w:cs="Times New Roman"/>
      <w:sz w:val="20"/>
      <w:szCs w:val="20"/>
      <w:lang w:eastAsia="es-ES"/>
    </w:rPr>
  </w:style>
  <w:style w:type="character" w:customStyle="1" w:styleId="Ttulo2Car">
    <w:name w:val="Título 2 Car"/>
    <w:basedOn w:val="Fuentedeprrafopredeter"/>
    <w:uiPriority w:val="9"/>
    <w:rsid w:val="00076681"/>
    <w:rPr>
      <w:rFonts w:asciiTheme="majorHAnsi" w:eastAsiaTheme="majorEastAsia" w:hAnsiTheme="majorHAnsi" w:cstheme="majorBidi"/>
      <w:color w:val="2F5496" w:themeColor="accent1" w:themeShade="BF"/>
      <w:kern w:val="0"/>
      <w:sz w:val="26"/>
      <w:szCs w:val="26"/>
    </w:rPr>
  </w:style>
  <w:style w:type="character" w:customStyle="1" w:styleId="Mencinsinresolver2">
    <w:name w:val="Mención sin resolver2"/>
    <w:basedOn w:val="Fuentedeprrafopredeter"/>
    <w:uiPriority w:val="99"/>
    <w:semiHidden/>
    <w:unhideWhenUsed/>
    <w:rsid w:val="00B417C3"/>
    <w:rPr>
      <w:color w:val="605E5C"/>
      <w:shd w:val="clear" w:color="auto" w:fill="E1DFDD"/>
    </w:rPr>
  </w:style>
  <w:style w:type="character" w:customStyle="1" w:styleId="Mencinsinresolver3">
    <w:name w:val="Mención sin resolver3"/>
    <w:basedOn w:val="Fuentedeprrafopredeter"/>
    <w:uiPriority w:val="99"/>
    <w:semiHidden/>
    <w:unhideWhenUsed/>
    <w:rsid w:val="009A627C"/>
    <w:rPr>
      <w:color w:val="605E5C"/>
      <w:shd w:val="clear" w:color="auto" w:fill="E1DFDD"/>
    </w:rPr>
  </w:style>
  <w:style w:type="character" w:customStyle="1" w:styleId="Mencinsinresolver4">
    <w:name w:val="Mención sin resolver4"/>
    <w:basedOn w:val="Fuentedeprrafopredeter"/>
    <w:uiPriority w:val="99"/>
    <w:semiHidden/>
    <w:unhideWhenUsed/>
    <w:rsid w:val="00655864"/>
    <w:rPr>
      <w:color w:val="605E5C"/>
      <w:shd w:val="clear" w:color="auto" w:fill="E1DFDD"/>
    </w:rPr>
  </w:style>
  <w:style w:type="paragraph" w:styleId="Textodeglobo">
    <w:name w:val="Balloon Text"/>
    <w:basedOn w:val="Normal"/>
    <w:link w:val="TextodegloboCar"/>
    <w:uiPriority w:val="99"/>
    <w:semiHidden/>
    <w:unhideWhenUsed/>
    <w:rsid w:val="0063326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3262"/>
    <w:rPr>
      <w:rFonts w:ascii="Segoe UI" w:hAnsi="Segoe UI" w:cs="Segoe UI"/>
      <w:color w:val="000000" w:themeColor="text1"/>
      <w:kern w:val="0"/>
      <w:sz w:val="18"/>
      <w:szCs w:val="18"/>
    </w:r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196C76"/>
    <w:rPr>
      <w:color w:val="605E5C"/>
      <w:shd w:val="clear" w:color="auto" w:fill="E1DFDD"/>
    </w:rPr>
  </w:style>
  <w:style w:type="character" w:styleId="Refdecomentario">
    <w:name w:val="annotation reference"/>
    <w:basedOn w:val="Fuentedeprrafopredeter"/>
    <w:uiPriority w:val="99"/>
    <w:semiHidden/>
    <w:unhideWhenUsed/>
    <w:rsid w:val="008333D0"/>
    <w:rPr>
      <w:sz w:val="16"/>
      <w:szCs w:val="16"/>
    </w:rPr>
  </w:style>
  <w:style w:type="paragraph" w:styleId="Textocomentario">
    <w:name w:val="annotation text"/>
    <w:basedOn w:val="Normal"/>
    <w:link w:val="TextocomentarioCar"/>
    <w:uiPriority w:val="99"/>
    <w:semiHidden/>
    <w:unhideWhenUsed/>
    <w:rsid w:val="008333D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333D0"/>
    <w:rPr>
      <w:sz w:val="20"/>
      <w:szCs w:val="20"/>
    </w:rPr>
  </w:style>
  <w:style w:type="paragraph" w:styleId="Asuntodelcomentario">
    <w:name w:val="annotation subject"/>
    <w:basedOn w:val="Textocomentario"/>
    <w:next w:val="Textocomentario"/>
    <w:link w:val="AsuntodelcomentarioCar"/>
    <w:uiPriority w:val="99"/>
    <w:semiHidden/>
    <w:unhideWhenUsed/>
    <w:rsid w:val="008333D0"/>
    <w:rPr>
      <w:b/>
      <w:bCs/>
    </w:rPr>
  </w:style>
  <w:style w:type="character" w:customStyle="1" w:styleId="AsuntodelcomentarioCar">
    <w:name w:val="Asunto del comentario Car"/>
    <w:basedOn w:val="TextocomentarioCar"/>
    <w:link w:val="Asuntodelcomentario"/>
    <w:uiPriority w:val="99"/>
    <w:semiHidden/>
    <w:rsid w:val="008333D0"/>
    <w:rPr>
      <w:b/>
      <w:bCs/>
      <w:sz w:val="20"/>
      <w:szCs w:val="20"/>
    </w:rPr>
  </w:style>
  <w:style w:type="character" w:customStyle="1" w:styleId="UnresolvedMention">
    <w:name w:val="Unresolved Mention"/>
    <w:basedOn w:val="Fuentedeprrafopredeter"/>
    <w:uiPriority w:val="99"/>
    <w:semiHidden/>
    <w:unhideWhenUsed/>
    <w:rsid w:val="006A193D"/>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yperlink" Target="https://www.gob.mx/segob/renapo/acciones-y-programas/clave-unica-de-registro-de-poblacion-curp-142226" TargetMode="Externa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hyperlink" Target="https://www.condusef.gob.mx/Revista/index.php/usuario-inteligente/condusef-responde/777-la-condusef-te-puede-ayudar"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youtube.com/watch?v=wVqavnIQAVNiqXUQ&amp;t=751s"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s://www.youtube.com/watch?v=Dw-RBYRTPII"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s://www.cndh.org.mx/derechos-humanos/que-son-los-derechos-humanos" TargetMode="External"/><Relationship Id="rId38" Type="http://schemas.openxmlformats.org/officeDocument/2006/relationships/hyperlink" Target="https://consultas.curp.gob.mx/CurpSP/html/informacionecurpPS.html" TargetMode="External"/><Relationship Id="rId46" Type="http://schemas.openxmlformats.org/officeDocument/2006/relationships/footer" Target="footer2.xml"/><Relationship Id="rId20" Type="http://schemas.openxmlformats.org/officeDocument/2006/relationships/hyperlink" Target="https://www2.toluca.gob.mx/wp-content/uploads/2025/03/04-Gaceta-25-de-febrero-de-2025.pdf" TargetMode="External"/><Relationship Id="rId41" Type="http://schemas.openxmlformats.org/officeDocument/2006/relationships/hyperlink" Target="https://webapps.condusef.gob.mx/SIPRES/jsp/pub/index.jsp"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_rels/header3.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USxCcJZeOpsE6BEpxE+t/7i4g==">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141</Pages>
  <Words>34326</Words>
  <Characters>188799</Characters>
  <Application>Microsoft Office Word</Application>
  <DocSecurity>0</DocSecurity>
  <Lines>1573</Lines>
  <Paragraphs>445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222680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USUARIO</cp:lastModifiedBy>
  <cp:revision>3</cp:revision>
  <cp:lastPrinted>2025-10-24T00:41:00Z</cp:lastPrinted>
  <dcterms:created xsi:type="dcterms:W3CDTF">2025-10-24T00:41:00Z</dcterms:created>
  <dcterms:modified xsi:type="dcterms:W3CDTF">2025-10-24T00:41:00Z</dcterms:modified>
</cp:coreProperties>
</file>