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0252979" w:displacedByCustomXml="next"/>
    <w:bookmarkEnd w:id="0" w:displacedByCustomXml="next"/>
    <w:sdt>
      <w:sdtPr>
        <w:rPr>
          <w:rFonts w:asciiTheme="minorHAnsi" w:eastAsiaTheme="minorHAnsi" w:hAnsiTheme="minorHAnsi" w:cstheme="minorBidi"/>
          <w:color w:val="FF0000"/>
          <w:sz w:val="22"/>
          <w:szCs w:val="22"/>
          <w:lang w:val="es-ES" w:eastAsia="en-US"/>
        </w:rPr>
        <w:id w:val="333346106"/>
        <w:docPartObj>
          <w:docPartGallery w:val="Table of Contents"/>
          <w:docPartUnique/>
        </w:docPartObj>
      </w:sdtPr>
      <w:sdtEndPr>
        <w:rPr>
          <w:b/>
          <w:bCs/>
        </w:rPr>
      </w:sdtEndPr>
      <w:sdtContent>
        <w:p w14:paraId="2C32C783" w14:textId="77777777" w:rsidR="00F100CC" w:rsidRDefault="00F100CC" w:rsidP="00F0352C">
          <w:pPr>
            <w:pStyle w:val="TtulodeTDC"/>
            <w:spacing w:before="0" w:line="360" w:lineRule="auto"/>
            <w:jc w:val="center"/>
            <w:rPr>
              <w:rFonts w:asciiTheme="minorHAnsi" w:eastAsiaTheme="minorHAnsi" w:hAnsiTheme="minorHAnsi" w:cstheme="minorBidi"/>
              <w:color w:val="FF0000"/>
              <w:sz w:val="22"/>
              <w:szCs w:val="22"/>
              <w:lang w:val="es-ES" w:eastAsia="en-US"/>
            </w:rPr>
          </w:pPr>
        </w:p>
        <w:p w14:paraId="723198EA" w14:textId="77777777" w:rsidR="00F100CC" w:rsidRDefault="00F100CC" w:rsidP="00F0352C">
          <w:pPr>
            <w:pStyle w:val="TtulodeTDC"/>
            <w:spacing w:before="0" w:line="360" w:lineRule="auto"/>
            <w:jc w:val="center"/>
            <w:rPr>
              <w:rFonts w:asciiTheme="minorHAnsi" w:eastAsiaTheme="minorHAnsi" w:hAnsiTheme="minorHAnsi" w:cstheme="minorBidi"/>
              <w:color w:val="FF0000"/>
              <w:sz w:val="22"/>
              <w:szCs w:val="22"/>
              <w:lang w:val="es-ES" w:eastAsia="en-US"/>
            </w:rPr>
          </w:pPr>
        </w:p>
        <w:p w14:paraId="5E0E8CBD" w14:textId="331CC801" w:rsidR="00F0352C" w:rsidRPr="00F100CC" w:rsidRDefault="00F0352C" w:rsidP="00F0352C">
          <w:pPr>
            <w:pStyle w:val="TtulodeTDC"/>
            <w:spacing w:before="0" w:line="360" w:lineRule="auto"/>
            <w:jc w:val="center"/>
            <w:rPr>
              <w:rFonts w:ascii="Palatino Linotype" w:hAnsi="Palatino Linotype"/>
              <w:color w:val="auto"/>
              <w:sz w:val="22"/>
              <w:szCs w:val="22"/>
            </w:rPr>
          </w:pPr>
          <w:r w:rsidRPr="00F100CC">
            <w:rPr>
              <w:rFonts w:ascii="Palatino Linotype" w:hAnsi="Palatino Linotype"/>
              <w:color w:val="auto"/>
              <w:sz w:val="22"/>
              <w:szCs w:val="22"/>
              <w:lang w:val="es-ES"/>
            </w:rPr>
            <w:t xml:space="preserve">RESOLUCIÓN DEL RECURSO DE REVISIÓN </w:t>
          </w:r>
          <w:r w:rsidR="00DF5E16" w:rsidRPr="00F100CC">
            <w:rPr>
              <w:rFonts w:ascii="Palatino Linotype" w:eastAsia="Palatino Linotype" w:hAnsi="Palatino Linotype" w:cs="Palatino Linotype"/>
              <w:color w:val="auto"/>
              <w:sz w:val="22"/>
              <w:szCs w:val="22"/>
            </w:rPr>
            <w:t>06716/INFOEM/IP/RR/2025</w:t>
          </w:r>
        </w:p>
        <w:p w14:paraId="0473AD5C" w14:textId="35C538DA" w:rsidR="00F100CC" w:rsidRPr="00F100CC" w:rsidRDefault="00F0352C">
          <w:pPr>
            <w:pStyle w:val="TDC1"/>
            <w:tabs>
              <w:tab w:val="right" w:leader="dot" w:pos="8828"/>
            </w:tabs>
            <w:rPr>
              <w:rFonts w:ascii="Palatino Linotype" w:eastAsiaTheme="minorEastAsia" w:hAnsi="Palatino Linotype"/>
              <w:noProof/>
              <w:sz w:val="20"/>
              <w:szCs w:val="20"/>
              <w:lang w:eastAsia="es-MX"/>
            </w:rPr>
          </w:pPr>
          <w:r w:rsidRPr="00F100CC">
            <w:rPr>
              <w:rFonts w:ascii="Palatino Linotype" w:hAnsi="Palatino Linotype"/>
              <w:color w:val="FF0000"/>
            </w:rPr>
            <w:fldChar w:fldCharType="begin"/>
          </w:r>
          <w:r w:rsidRPr="00F100CC">
            <w:rPr>
              <w:rFonts w:ascii="Palatino Linotype" w:hAnsi="Palatino Linotype"/>
              <w:color w:val="FF0000"/>
            </w:rPr>
            <w:instrText xml:space="preserve"> TOC \o "1-3" \h \z \u </w:instrText>
          </w:r>
          <w:r w:rsidRPr="00F100CC">
            <w:rPr>
              <w:rFonts w:ascii="Palatino Linotype" w:hAnsi="Palatino Linotype"/>
              <w:color w:val="FF0000"/>
            </w:rPr>
            <w:fldChar w:fldCharType="separate"/>
          </w:r>
          <w:hyperlink w:anchor="_Toc205472283" w:history="1">
            <w:r w:rsidR="00F100CC" w:rsidRPr="00F100CC">
              <w:rPr>
                <w:rStyle w:val="Hipervnculo"/>
                <w:rFonts w:ascii="Palatino Linotype" w:eastAsia="Palatino Linotype" w:hAnsi="Palatino Linotype"/>
                <w:noProof/>
                <w:sz w:val="20"/>
                <w:szCs w:val="20"/>
                <w:lang w:eastAsia="es-MX"/>
              </w:rPr>
              <w:t>A N T E C E D E N T E S</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_Toc205472283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2</w:t>
            </w:r>
            <w:r w:rsidR="00F100CC" w:rsidRPr="00F100CC">
              <w:rPr>
                <w:rFonts w:ascii="Palatino Linotype" w:hAnsi="Palatino Linotype"/>
                <w:noProof/>
                <w:webHidden/>
                <w:sz w:val="20"/>
                <w:szCs w:val="20"/>
              </w:rPr>
              <w:fldChar w:fldCharType="end"/>
            </w:r>
          </w:hyperlink>
        </w:p>
        <w:p w14:paraId="64CE4796" w14:textId="706D0586" w:rsidR="00F100CC" w:rsidRPr="00F100CC" w:rsidRDefault="00FC739A">
          <w:pPr>
            <w:pStyle w:val="TDC2"/>
            <w:tabs>
              <w:tab w:val="right" w:leader="dot" w:pos="8828"/>
            </w:tabs>
            <w:rPr>
              <w:rFonts w:ascii="Palatino Linotype" w:eastAsiaTheme="minorEastAsia" w:hAnsi="Palatino Linotype"/>
              <w:noProof/>
              <w:sz w:val="20"/>
              <w:szCs w:val="20"/>
              <w:lang w:eastAsia="es-MX"/>
            </w:rPr>
          </w:pPr>
          <w:hyperlink w:anchor="_Toc205472284" w:history="1">
            <w:r w:rsidR="00F100CC" w:rsidRPr="00F100CC">
              <w:rPr>
                <w:rStyle w:val="Hipervnculo"/>
                <w:rFonts w:ascii="Palatino Linotype" w:eastAsia="Palatino Linotype" w:hAnsi="Palatino Linotype"/>
                <w:noProof/>
                <w:sz w:val="20"/>
                <w:szCs w:val="20"/>
                <w:lang w:eastAsia="es-MX"/>
              </w:rPr>
              <w:t>I. Presentación de la solicitud de información</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_Toc205472284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2</w:t>
            </w:r>
            <w:r w:rsidR="00F100CC" w:rsidRPr="00F100CC">
              <w:rPr>
                <w:rFonts w:ascii="Palatino Linotype" w:hAnsi="Palatino Linotype"/>
                <w:noProof/>
                <w:webHidden/>
                <w:sz w:val="20"/>
                <w:szCs w:val="20"/>
              </w:rPr>
              <w:fldChar w:fldCharType="end"/>
            </w:r>
          </w:hyperlink>
        </w:p>
        <w:p w14:paraId="589D22ED" w14:textId="5B442E8E" w:rsidR="00F100CC" w:rsidRPr="00F100CC" w:rsidRDefault="00FC739A">
          <w:pPr>
            <w:pStyle w:val="TDC2"/>
            <w:tabs>
              <w:tab w:val="right" w:leader="dot" w:pos="8828"/>
            </w:tabs>
            <w:rPr>
              <w:rFonts w:ascii="Palatino Linotype" w:eastAsiaTheme="minorEastAsia" w:hAnsi="Palatino Linotype"/>
              <w:noProof/>
              <w:sz w:val="20"/>
              <w:szCs w:val="20"/>
              <w:lang w:eastAsia="es-MX"/>
            </w:rPr>
          </w:pPr>
          <w:hyperlink w:anchor="_Toc205472285" w:history="1">
            <w:r w:rsidR="00F100CC" w:rsidRPr="00F100CC">
              <w:rPr>
                <w:rStyle w:val="Hipervnculo"/>
                <w:rFonts w:ascii="Palatino Linotype" w:eastAsia="Palatino Linotype" w:hAnsi="Palatino Linotype"/>
                <w:noProof/>
                <w:sz w:val="20"/>
                <w:szCs w:val="20"/>
                <w:lang w:eastAsia="es-MX"/>
              </w:rPr>
              <w:t>II. Respuesta del Sujeto Obligado</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_Toc205472285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3</w:t>
            </w:r>
            <w:r w:rsidR="00F100CC" w:rsidRPr="00F100CC">
              <w:rPr>
                <w:rFonts w:ascii="Palatino Linotype" w:hAnsi="Palatino Linotype"/>
                <w:noProof/>
                <w:webHidden/>
                <w:sz w:val="20"/>
                <w:szCs w:val="20"/>
              </w:rPr>
              <w:fldChar w:fldCharType="end"/>
            </w:r>
          </w:hyperlink>
        </w:p>
        <w:p w14:paraId="1F51CB58" w14:textId="5B1A7D69" w:rsidR="00F100CC" w:rsidRPr="00F100CC" w:rsidRDefault="00FC739A">
          <w:pPr>
            <w:pStyle w:val="TDC2"/>
            <w:tabs>
              <w:tab w:val="right" w:leader="dot" w:pos="8828"/>
            </w:tabs>
            <w:rPr>
              <w:rFonts w:ascii="Palatino Linotype" w:eastAsiaTheme="minorEastAsia" w:hAnsi="Palatino Linotype"/>
              <w:noProof/>
              <w:sz w:val="20"/>
              <w:szCs w:val="20"/>
              <w:lang w:eastAsia="es-MX"/>
            </w:rPr>
          </w:pPr>
          <w:hyperlink w:anchor="_Toc205472286" w:history="1">
            <w:r w:rsidR="00F100CC" w:rsidRPr="00F100CC">
              <w:rPr>
                <w:rStyle w:val="Hipervnculo"/>
                <w:rFonts w:ascii="Palatino Linotype" w:eastAsia="Palatino Linotype" w:hAnsi="Palatino Linotype"/>
                <w:noProof/>
                <w:sz w:val="20"/>
                <w:szCs w:val="20"/>
                <w:lang w:eastAsia="es-MX"/>
              </w:rPr>
              <w:t>III. Interposición del Recurso de Revisión</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_Toc205472286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4</w:t>
            </w:r>
            <w:r w:rsidR="00F100CC" w:rsidRPr="00F100CC">
              <w:rPr>
                <w:rFonts w:ascii="Palatino Linotype" w:hAnsi="Palatino Linotype"/>
                <w:noProof/>
                <w:webHidden/>
                <w:sz w:val="20"/>
                <w:szCs w:val="20"/>
              </w:rPr>
              <w:fldChar w:fldCharType="end"/>
            </w:r>
          </w:hyperlink>
        </w:p>
        <w:p w14:paraId="1FF2C25E" w14:textId="0DECE285" w:rsidR="00F100CC" w:rsidRPr="00F100CC" w:rsidRDefault="00FC739A">
          <w:pPr>
            <w:pStyle w:val="TDC2"/>
            <w:tabs>
              <w:tab w:val="right" w:leader="dot" w:pos="8828"/>
            </w:tabs>
            <w:rPr>
              <w:rFonts w:ascii="Palatino Linotype" w:eastAsiaTheme="minorEastAsia" w:hAnsi="Palatino Linotype"/>
              <w:noProof/>
              <w:sz w:val="20"/>
              <w:szCs w:val="20"/>
              <w:lang w:eastAsia="es-MX"/>
            </w:rPr>
          </w:pPr>
          <w:hyperlink w:anchor="_Toc205472287" w:history="1">
            <w:r w:rsidR="00F100CC" w:rsidRPr="00F100CC">
              <w:rPr>
                <w:rStyle w:val="Hipervnculo"/>
                <w:rFonts w:ascii="Palatino Linotype" w:eastAsia="Palatino Linotype" w:hAnsi="Palatino Linotype"/>
                <w:noProof/>
                <w:sz w:val="20"/>
                <w:szCs w:val="20"/>
                <w:lang w:eastAsia="es-MX"/>
              </w:rPr>
              <w:t>IV. Trámite del Recurso de Revisión ante este Instituto</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_Toc205472287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7</w:t>
            </w:r>
            <w:r w:rsidR="00F100CC" w:rsidRPr="00F100CC">
              <w:rPr>
                <w:rFonts w:ascii="Palatino Linotype" w:hAnsi="Palatino Linotype"/>
                <w:noProof/>
                <w:webHidden/>
                <w:sz w:val="20"/>
                <w:szCs w:val="20"/>
              </w:rPr>
              <w:fldChar w:fldCharType="end"/>
            </w:r>
          </w:hyperlink>
        </w:p>
        <w:p w14:paraId="3F1749FE" w14:textId="4077ED40" w:rsidR="00F100CC" w:rsidRPr="00F100CC" w:rsidRDefault="00FC739A">
          <w:pPr>
            <w:pStyle w:val="TDC1"/>
            <w:tabs>
              <w:tab w:val="right" w:leader="dot" w:pos="8828"/>
            </w:tabs>
            <w:rPr>
              <w:rFonts w:ascii="Palatino Linotype" w:eastAsiaTheme="minorEastAsia" w:hAnsi="Palatino Linotype"/>
              <w:noProof/>
              <w:sz w:val="20"/>
              <w:szCs w:val="20"/>
              <w:lang w:eastAsia="es-MX"/>
            </w:rPr>
          </w:pPr>
          <w:hyperlink w:anchor="_Toc205472288" w:history="1">
            <w:r w:rsidR="00F100CC" w:rsidRPr="00F100CC">
              <w:rPr>
                <w:rStyle w:val="Hipervnculo"/>
                <w:rFonts w:ascii="Palatino Linotype" w:eastAsia="Palatino Linotype" w:hAnsi="Palatino Linotype"/>
                <w:noProof/>
                <w:sz w:val="20"/>
                <w:szCs w:val="20"/>
                <w:lang w:eastAsia="es-MX"/>
              </w:rPr>
              <w:t>C O N S I D E R A N D O S</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_Toc205472288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9</w:t>
            </w:r>
            <w:r w:rsidR="00F100CC" w:rsidRPr="00F100CC">
              <w:rPr>
                <w:rFonts w:ascii="Palatino Linotype" w:hAnsi="Palatino Linotype"/>
                <w:noProof/>
                <w:webHidden/>
                <w:sz w:val="20"/>
                <w:szCs w:val="20"/>
              </w:rPr>
              <w:fldChar w:fldCharType="end"/>
            </w:r>
          </w:hyperlink>
        </w:p>
        <w:p w14:paraId="7B7E77CD" w14:textId="42B1FF6F" w:rsidR="00F100CC" w:rsidRPr="00F100CC" w:rsidRDefault="00FC739A">
          <w:pPr>
            <w:pStyle w:val="TDC2"/>
            <w:tabs>
              <w:tab w:val="right" w:leader="dot" w:pos="8828"/>
            </w:tabs>
            <w:rPr>
              <w:rFonts w:ascii="Palatino Linotype" w:eastAsiaTheme="minorEastAsia" w:hAnsi="Palatino Linotype"/>
              <w:noProof/>
              <w:sz w:val="20"/>
              <w:szCs w:val="20"/>
              <w:lang w:eastAsia="es-MX"/>
            </w:rPr>
          </w:pPr>
          <w:hyperlink w:anchor="_Toc205472289" w:history="1">
            <w:r w:rsidR="00F100CC" w:rsidRPr="00F100CC">
              <w:rPr>
                <w:rStyle w:val="Hipervnculo"/>
                <w:rFonts w:ascii="Palatino Linotype" w:eastAsia="Palatino Linotype" w:hAnsi="Palatino Linotype"/>
                <w:noProof/>
                <w:sz w:val="20"/>
                <w:szCs w:val="20"/>
                <w:lang w:eastAsia="es-MX"/>
              </w:rPr>
              <w:t>PRIMERO. Competencia</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_Toc205472289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9</w:t>
            </w:r>
            <w:r w:rsidR="00F100CC" w:rsidRPr="00F100CC">
              <w:rPr>
                <w:rFonts w:ascii="Palatino Linotype" w:hAnsi="Palatino Linotype"/>
                <w:noProof/>
                <w:webHidden/>
                <w:sz w:val="20"/>
                <w:szCs w:val="20"/>
              </w:rPr>
              <w:fldChar w:fldCharType="end"/>
            </w:r>
          </w:hyperlink>
        </w:p>
        <w:p w14:paraId="3DC6EE35" w14:textId="5A63E064" w:rsidR="00F100CC" w:rsidRPr="00F100CC" w:rsidRDefault="00FC739A">
          <w:pPr>
            <w:pStyle w:val="TDC2"/>
            <w:tabs>
              <w:tab w:val="right" w:leader="dot" w:pos="8828"/>
            </w:tabs>
            <w:rPr>
              <w:rFonts w:ascii="Palatino Linotype" w:eastAsiaTheme="minorEastAsia" w:hAnsi="Palatino Linotype"/>
              <w:noProof/>
              <w:sz w:val="20"/>
              <w:szCs w:val="20"/>
              <w:lang w:eastAsia="es-MX"/>
            </w:rPr>
          </w:pPr>
          <w:hyperlink w:anchor="_Toc205472290" w:history="1">
            <w:r w:rsidR="00F100CC" w:rsidRPr="00F100CC">
              <w:rPr>
                <w:rStyle w:val="Hipervnculo"/>
                <w:rFonts w:ascii="Palatino Linotype" w:eastAsia="Palatino Linotype" w:hAnsi="Palatino Linotype"/>
                <w:noProof/>
                <w:sz w:val="20"/>
                <w:szCs w:val="20"/>
                <w:lang w:eastAsia="es-MX"/>
              </w:rPr>
              <w:t>SEGUNDO. Causales de improcedencia y sobreseimiento</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_Toc205472290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9</w:t>
            </w:r>
            <w:r w:rsidR="00F100CC" w:rsidRPr="00F100CC">
              <w:rPr>
                <w:rFonts w:ascii="Palatino Linotype" w:hAnsi="Palatino Linotype"/>
                <w:noProof/>
                <w:webHidden/>
                <w:sz w:val="20"/>
                <w:szCs w:val="20"/>
              </w:rPr>
              <w:fldChar w:fldCharType="end"/>
            </w:r>
          </w:hyperlink>
        </w:p>
        <w:p w14:paraId="13AD2F1D" w14:textId="6A770486" w:rsidR="00F100CC" w:rsidRPr="00F100CC" w:rsidRDefault="00FC739A">
          <w:pPr>
            <w:pStyle w:val="TDC2"/>
            <w:tabs>
              <w:tab w:val="right" w:leader="dot" w:pos="8828"/>
            </w:tabs>
            <w:rPr>
              <w:rFonts w:ascii="Palatino Linotype" w:eastAsiaTheme="minorEastAsia" w:hAnsi="Palatino Linotype"/>
              <w:noProof/>
              <w:sz w:val="20"/>
              <w:szCs w:val="20"/>
              <w:lang w:eastAsia="es-MX"/>
            </w:rPr>
          </w:pPr>
          <w:hyperlink w:anchor="_Toc205472291" w:history="1">
            <w:r w:rsidR="00F100CC" w:rsidRPr="00F100CC">
              <w:rPr>
                <w:rStyle w:val="Hipervnculo"/>
                <w:rFonts w:ascii="Palatino Linotype" w:eastAsia="Palatino Linotype" w:hAnsi="Palatino Linotype"/>
                <w:noProof/>
                <w:sz w:val="20"/>
                <w:szCs w:val="20"/>
                <w:lang w:eastAsia="es-MX"/>
              </w:rPr>
              <w:t>TERCERO. Determinación de la Controversia</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_Toc205472291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11</w:t>
            </w:r>
            <w:r w:rsidR="00F100CC" w:rsidRPr="00F100CC">
              <w:rPr>
                <w:rFonts w:ascii="Palatino Linotype" w:hAnsi="Palatino Linotype"/>
                <w:noProof/>
                <w:webHidden/>
                <w:sz w:val="20"/>
                <w:szCs w:val="20"/>
              </w:rPr>
              <w:fldChar w:fldCharType="end"/>
            </w:r>
          </w:hyperlink>
        </w:p>
        <w:p w14:paraId="75F5266D" w14:textId="4EB10D5F" w:rsidR="00F100CC" w:rsidRPr="00F100CC" w:rsidRDefault="00FC739A">
          <w:pPr>
            <w:pStyle w:val="TDC2"/>
            <w:tabs>
              <w:tab w:val="right" w:leader="dot" w:pos="8828"/>
            </w:tabs>
            <w:rPr>
              <w:rFonts w:ascii="Palatino Linotype" w:eastAsiaTheme="minorEastAsia" w:hAnsi="Palatino Linotype"/>
              <w:noProof/>
              <w:sz w:val="20"/>
              <w:szCs w:val="20"/>
              <w:lang w:eastAsia="es-MX"/>
            </w:rPr>
          </w:pPr>
          <w:hyperlink w:anchor="_Toc205472292" w:history="1">
            <w:r w:rsidR="00F100CC" w:rsidRPr="00F100CC">
              <w:rPr>
                <w:rStyle w:val="Hipervnculo"/>
                <w:rFonts w:ascii="Palatino Linotype" w:eastAsia="Palatino Linotype" w:hAnsi="Palatino Linotype"/>
                <w:noProof/>
                <w:sz w:val="20"/>
                <w:szCs w:val="20"/>
                <w:lang w:eastAsia="es-MX"/>
              </w:rPr>
              <w:t>CUARTO. Marco normativo aplicable en materia de transparencia y acceso a la información pública</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_Toc205472292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13</w:t>
            </w:r>
            <w:r w:rsidR="00F100CC" w:rsidRPr="00F100CC">
              <w:rPr>
                <w:rFonts w:ascii="Palatino Linotype" w:hAnsi="Palatino Linotype"/>
                <w:noProof/>
                <w:webHidden/>
                <w:sz w:val="20"/>
                <w:szCs w:val="20"/>
              </w:rPr>
              <w:fldChar w:fldCharType="end"/>
            </w:r>
          </w:hyperlink>
        </w:p>
        <w:p w14:paraId="58D01AF5" w14:textId="2B6A0606" w:rsidR="00F100CC" w:rsidRPr="00F100CC" w:rsidRDefault="00FC739A">
          <w:pPr>
            <w:pStyle w:val="TDC2"/>
            <w:tabs>
              <w:tab w:val="right" w:leader="dot" w:pos="8828"/>
            </w:tabs>
            <w:rPr>
              <w:rFonts w:ascii="Palatino Linotype" w:eastAsiaTheme="minorEastAsia" w:hAnsi="Palatino Linotype"/>
              <w:noProof/>
              <w:sz w:val="20"/>
              <w:szCs w:val="20"/>
              <w:lang w:eastAsia="es-MX"/>
            </w:rPr>
          </w:pPr>
          <w:hyperlink w:anchor="_Toc205472293" w:history="1">
            <w:r w:rsidR="00F100CC" w:rsidRPr="00F100CC">
              <w:rPr>
                <w:rStyle w:val="Hipervnculo"/>
                <w:rFonts w:ascii="Palatino Linotype" w:eastAsia="Palatino Linotype" w:hAnsi="Palatino Linotype"/>
                <w:noProof/>
                <w:sz w:val="20"/>
                <w:szCs w:val="20"/>
                <w:lang w:eastAsia="es-MX"/>
              </w:rPr>
              <w:t>QUINTO. Estudio de Fondo</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_Toc205472293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14</w:t>
            </w:r>
            <w:r w:rsidR="00F100CC" w:rsidRPr="00F100CC">
              <w:rPr>
                <w:rFonts w:ascii="Palatino Linotype" w:hAnsi="Palatino Linotype"/>
                <w:noProof/>
                <w:webHidden/>
                <w:sz w:val="20"/>
                <w:szCs w:val="20"/>
              </w:rPr>
              <w:fldChar w:fldCharType="end"/>
            </w:r>
          </w:hyperlink>
        </w:p>
        <w:p w14:paraId="42A7107B" w14:textId="4F6A10CD" w:rsidR="00F100CC" w:rsidRPr="00F100CC" w:rsidRDefault="00FC739A">
          <w:pPr>
            <w:pStyle w:val="TDC2"/>
            <w:tabs>
              <w:tab w:val="right" w:leader="dot" w:pos="8828"/>
            </w:tabs>
            <w:rPr>
              <w:rFonts w:ascii="Palatino Linotype" w:eastAsiaTheme="minorEastAsia" w:hAnsi="Palatino Linotype"/>
              <w:noProof/>
              <w:sz w:val="20"/>
              <w:szCs w:val="20"/>
              <w:lang w:eastAsia="es-MX"/>
            </w:rPr>
          </w:pPr>
          <w:hyperlink w:anchor="_Toc205472294" w:history="1">
            <w:r w:rsidR="00F100CC" w:rsidRPr="00F100CC">
              <w:rPr>
                <w:rStyle w:val="Hipervnculo"/>
                <w:rFonts w:ascii="Palatino Linotype" w:eastAsia="Calibri" w:hAnsi="Palatino Linotype"/>
                <w:noProof/>
                <w:sz w:val="20"/>
                <w:szCs w:val="20"/>
              </w:rPr>
              <w:t>SEXTO. Decisión</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_Toc205472294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23</w:t>
            </w:r>
            <w:r w:rsidR="00F100CC" w:rsidRPr="00F100CC">
              <w:rPr>
                <w:rFonts w:ascii="Palatino Linotype" w:hAnsi="Palatino Linotype"/>
                <w:noProof/>
                <w:webHidden/>
                <w:sz w:val="20"/>
                <w:szCs w:val="20"/>
              </w:rPr>
              <w:fldChar w:fldCharType="end"/>
            </w:r>
          </w:hyperlink>
        </w:p>
        <w:p w14:paraId="1E30129B" w14:textId="08173B1A" w:rsidR="00F100CC" w:rsidRPr="00F100CC" w:rsidRDefault="00FC739A">
          <w:pPr>
            <w:pStyle w:val="TDC1"/>
            <w:tabs>
              <w:tab w:val="right" w:leader="dot" w:pos="8828"/>
            </w:tabs>
            <w:rPr>
              <w:rFonts w:ascii="Palatino Linotype" w:eastAsiaTheme="minorEastAsia" w:hAnsi="Palatino Linotype"/>
              <w:noProof/>
              <w:sz w:val="20"/>
              <w:szCs w:val="20"/>
              <w:lang w:eastAsia="es-MX"/>
            </w:rPr>
          </w:pPr>
          <w:hyperlink w:anchor="_Toc205472295" w:history="1">
            <w:r w:rsidR="00F100CC" w:rsidRPr="00F100CC">
              <w:rPr>
                <w:rStyle w:val="Hipervnculo"/>
                <w:rFonts w:ascii="Palatino Linotype" w:eastAsia="Palatino Linotype" w:hAnsi="Palatino Linotype" w:cs="Palatino Linotype"/>
                <w:b/>
                <w:noProof/>
                <w:sz w:val="20"/>
                <w:szCs w:val="20"/>
                <w:lang w:eastAsia="es-MX"/>
              </w:rPr>
              <w:t>R E S U E L V E</w:t>
            </w:r>
            <w:r w:rsidR="00F100CC" w:rsidRPr="00F100CC">
              <w:rPr>
                <w:rFonts w:ascii="Palatino Linotype" w:hAnsi="Palatino Linotype"/>
                <w:noProof/>
                <w:webHidden/>
                <w:sz w:val="20"/>
                <w:szCs w:val="20"/>
              </w:rPr>
              <w:tab/>
            </w:r>
            <w:r w:rsidR="00F100CC" w:rsidRPr="00F100CC">
              <w:rPr>
                <w:rFonts w:ascii="Palatino Linotype" w:hAnsi="Palatino Linotype"/>
                <w:noProof/>
                <w:webHidden/>
                <w:sz w:val="20"/>
                <w:szCs w:val="20"/>
              </w:rPr>
              <w:fldChar w:fldCharType="begin"/>
            </w:r>
            <w:r w:rsidR="00F100CC" w:rsidRPr="00F100CC">
              <w:rPr>
                <w:rFonts w:ascii="Palatino Linotype" w:hAnsi="Palatino Linotype"/>
                <w:noProof/>
                <w:webHidden/>
                <w:sz w:val="20"/>
                <w:szCs w:val="20"/>
              </w:rPr>
              <w:instrText xml:space="preserve"> PAGEREF _Toc205472295 \h </w:instrText>
            </w:r>
            <w:r w:rsidR="00F100CC" w:rsidRPr="00F100CC">
              <w:rPr>
                <w:rFonts w:ascii="Palatino Linotype" w:hAnsi="Palatino Linotype"/>
                <w:noProof/>
                <w:webHidden/>
                <w:sz w:val="20"/>
                <w:szCs w:val="20"/>
              </w:rPr>
            </w:r>
            <w:r w:rsidR="00F100CC" w:rsidRPr="00F100CC">
              <w:rPr>
                <w:rFonts w:ascii="Palatino Linotype" w:hAnsi="Palatino Linotype"/>
                <w:noProof/>
                <w:webHidden/>
                <w:sz w:val="20"/>
                <w:szCs w:val="20"/>
              </w:rPr>
              <w:fldChar w:fldCharType="separate"/>
            </w:r>
            <w:r w:rsidR="00F060AE">
              <w:rPr>
                <w:rFonts w:ascii="Palatino Linotype" w:hAnsi="Palatino Linotype"/>
                <w:noProof/>
                <w:webHidden/>
                <w:sz w:val="20"/>
                <w:szCs w:val="20"/>
              </w:rPr>
              <w:t>24</w:t>
            </w:r>
            <w:r w:rsidR="00F100CC" w:rsidRPr="00F100CC">
              <w:rPr>
                <w:rFonts w:ascii="Palatino Linotype" w:hAnsi="Palatino Linotype"/>
                <w:noProof/>
                <w:webHidden/>
                <w:sz w:val="20"/>
                <w:szCs w:val="20"/>
              </w:rPr>
              <w:fldChar w:fldCharType="end"/>
            </w:r>
          </w:hyperlink>
        </w:p>
        <w:p w14:paraId="6F3A2651" w14:textId="6E16C901" w:rsidR="00F0352C" w:rsidRPr="00F100CC" w:rsidRDefault="00F0352C" w:rsidP="00A077A4">
          <w:pPr>
            <w:spacing w:after="0" w:line="360" w:lineRule="auto"/>
            <w:rPr>
              <w:color w:val="FF0000"/>
            </w:rPr>
          </w:pPr>
          <w:r w:rsidRPr="00F100CC">
            <w:rPr>
              <w:rFonts w:ascii="Palatino Linotype" w:hAnsi="Palatino Linotype"/>
              <w:bCs/>
              <w:color w:val="FF0000"/>
              <w:lang w:val="es-ES"/>
            </w:rPr>
            <w:fldChar w:fldCharType="end"/>
          </w:r>
        </w:p>
      </w:sdtContent>
    </w:sdt>
    <w:p w14:paraId="6933EB39" w14:textId="77777777" w:rsidR="006909FC" w:rsidRPr="00F100CC" w:rsidRDefault="006909FC" w:rsidP="005D6E32">
      <w:pPr>
        <w:widowControl w:val="0"/>
        <w:pBdr>
          <w:top w:val="nil"/>
          <w:left w:val="nil"/>
          <w:bottom w:val="nil"/>
          <w:right w:val="nil"/>
          <w:between w:val="nil"/>
        </w:pBdr>
        <w:spacing w:after="0" w:line="360" w:lineRule="auto"/>
        <w:rPr>
          <w:rFonts w:ascii="Times New Roman" w:eastAsia="Times New Roman" w:hAnsi="Times New Roman" w:cs="Times New Roman"/>
          <w:color w:val="FF0000"/>
          <w:sz w:val="20"/>
          <w:szCs w:val="20"/>
          <w:lang w:eastAsia="es-MX"/>
        </w:rPr>
      </w:pPr>
    </w:p>
    <w:p w14:paraId="434296FA" w14:textId="77777777" w:rsidR="00F0352C" w:rsidRPr="00F100CC" w:rsidRDefault="00F0352C" w:rsidP="005D6E32">
      <w:pPr>
        <w:spacing w:after="0" w:line="360" w:lineRule="auto"/>
        <w:jc w:val="both"/>
        <w:rPr>
          <w:rFonts w:ascii="Palatino Linotype" w:eastAsia="Palatino Linotype" w:hAnsi="Palatino Linotype" w:cs="Palatino Linotype"/>
          <w:color w:val="FF0000"/>
          <w:lang w:eastAsia="es-MX"/>
        </w:rPr>
      </w:pPr>
    </w:p>
    <w:p w14:paraId="56B4B6AB" w14:textId="77777777" w:rsidR="00F0352C" w:rsidRPr="00F100CC" w:rsidRDefault="00F0352C" w:rsidP="00F0352C">
      <w:pPr>
        <w:rPr>
          <w:rFonts w:ascii="Palatino Linotype" w:eastAsia="Palatino Linotype" w:hAnsi="Palatino Linotype" w:cs="Palatino Linotype"/>
          <w:color w:val="FF0000"/>
          <w:lang w:eastAsia="es-MX"/>
        </w:rPr>
      </w:pPr>
    </w:p>
    <w:p w14:paraId="57BC02EA" w14:textId="77777777" w:rsidR="007F64E2" w:rsidRPr="00F100CC" w:rsidRDefault="007F64E2" w:rsidP="00F0352C">
      <w:pPr>
        <w:rPr>
          <w:rFonts w:ascii="Palatino Linotype" w:eastAsia="Palatino Linotype" w:hAnsi="Palatino Linotype" w:cs="Palatino Linotype"/>
          <w:color w:val="FF0000"/>
          <w:lang w:eastAsia="es-MX"/>
        </w:rPr>
      </w:pPr>
    </w:p>
    <w:p w14:paraId="0EF18C35" w14:textId="77777777" w:rsidR="007F64E2" w:rsidRPr="00F100CC" w:rsidRDefault="007F64E2" w:rsidP="00F0352C">
      <w:pPr>
        <w:rPr>
          <w:rFonts w:ascii="Palatino Linotype" w:eastAsia="Palatino Linotype" w:hAnsi="Palatino Linotype" w:cs="Palatino Linotype"/>
          <w:color w:val="FF0000"/>
          <w:lang w:eastAsia="es-MX"/>
        </w:rPr>
      </w:pPr>
    </w:p>
    <w:p w14:paraId="639C7963" w14:textId="77777777" w:rsidR="007F64E2" w:rsidRPr="00F100CC" w:rsidRDefault="007F64E2" w:rsidP="00F0352C">
      <w:pPr>
        <w:rPr>
          <w:rFonts w:ascii="Palatino Linotype" w:eastAsia="Palatino Linotype" w:hAnsi="Palatino Linotype" w:cs="Palatino Linotype"/>
          <w:color w:val="FF0000"/>
          <w:lang w:eastAsia="es-MX"/>
        </w:rPr>
      </w:pPr>
    </w:p>
    <w:p w14:paraId="04E9A449" w14:textId="77777777" w:rsidR="007F64E2" w:rsidRPr="00F100CC" w:rsidRDefault="007F64E2" w:rsidP="00F0352C">
      <w:pPr>
        <w:rPr>
          <w:rFonts w:ascii="Palatino Linotype" w:eastAsia="Palatino Linotype" w:hAnsi="Palatino Linotype" w:cs="Palatino Linotype"/>
          <w:color w:val="FF0000"/>
          <w:lang w:eastAsia="es-MX"/>
        </w:rPr>
      </w:pPr>
    </w:p>
    <w:p w14:paraId="7850F3CB" w14:textId="77777777" w:rsidR="00F0352C" w:rsidRPr="00F100CC" w:rsidRDefault="00F0352C" w:rsidP="00F0352C">
      <w:pPr>
        <w:rPr>
          <w:rFonts w:ascii="Palatino Linotype" w:eastAsia="Palatino Linotype" w:hAnsi="Palatino Linotype" w:cs="Palatino Linotype"/>
          <w:color w:val="FF0000"/>
          <w:lang w:eastAsia="es-MX"/>
        </w:rPr>
      </w:pPr>
    </w:p>
    <w:p w14:paraId="07D3E890" w14:textId="3267A322" w:rsidR="006909FC" w:rsidRPr="00F100CC" w:rsidRDefault="006909FC" w:rsidP="00DF5E16">
      <w:pPr>
        <w:tabs>
          <w:tab w:val="left" w:pos="7080"/>
        </w:tabs>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lastRenderedPageBreak/>
        <w:t xml:space="preserve">Resolución del Pleno del Instituto de Transparencia, Acceso a la Información Pública y Protección de Datos Personales del Estado de México y Municipios, con domicilio en Metepec, Estado de México, de fecha </w:t>
      </w:r>
      <w:r w:rsidR="00E20367" w:rsidRPr="00F100CC">
        <w:rPr>
          <w:rFonts w:ascii="Palatino Linotype" w:eastAsia="Palatino Linotype" w:hAnsi="Palatino Linotype" w:cs="Palatino Linotype"/>
          <w:lang w:eastAsia="es-MX"/>
        </w:rPr>
        <w:t>seis</w:t>
      </w:r>
      <w:r w:rsidR="00DF5E16" w:rsidRPr="00F100CC">
        <w:rPr>
          <w:rFonts w:ascii="Palatino Linotype" w:eastAsia="Palatino Linotype" w:hAnsi="Palatino Linotype" w:cs="Palatino Linotype"/>
          <w:lang w:eastAsia="es-MX"/>
        </w:rPr>
        <w:t xml:space="preserve"> de agosto de dos mil veinticinco. </w:t>
      </w:r>
    </w:p>
    <w:p w14:paraId="678DA3A4" w14:textId="77777777" w:rsidR="006909FC" w:rsidRPr="00F100CC" w:rsidRDefault="006909FC" w:rsidP="005D6E32">
      <w:pPr>
        <w:spacing w:after="0" w:line="360" w:lineRule="auto"/>
        <w:rPr>
          <w:rFonts w:ascii="Palatino Linotype" w:eastAsia="Palatino Linotype" w:hAnsi="Palatino Linotype" w:cs="Palatino Linotype"/>
          <w:color w:val="FF0000"/>
          <w:lang w:eastAsia="es-MX"/>
        </w:rPr>
      </w:pPr>
    </w:p>
    <w:p w14:paraId="3FCBC7C9" w14:textId="2F3E8968" w:rsidR="006909FC" w:rsidRPr="00F100CC" w:rsidRDefault="006909FC" w:rsidP="005D6E32">
      <w:pPr>
        <w:spacing w:after="0" w:line="360" w:lineRule="auto"/>
        <w:jc w:val="both"/>
        <w:rPr>
          <w:rFonts w:ascii="Palatino Linotype" w:eastAsia="Palatino Linotype" w:hAnsi="Palatino Linotype" w:cs="Palatino Linotype"/>
          <w:bCs/>
          <w:lang w:eastAsia="es-MX"/>
        </w:rPr>
      </w:pPr>
      <w:r w:rsidRPr="00F100CC">
        <w:rPr>
          <w:rFonts w:ascii="Palatino Linotype" w:eastAsia="Palatino Linotype" w:hAnsi="Palatino Linotype" w:cs="Palatino Linotype"/>
          <w:b/>
          <w:lang w:eastAsia="es-MX"/>
        </w:rPr>
        <w:t xml:space="preserve">VISTO </w:t>
      </w:r>
      <w:r w:rsidRPr="00F100CC">
        <w:rPr>
          <w:rFonts w:ascii="Palatino Linotype" w:eastAsia="Palatino Linotype" w:hAnsi="Palatino Linotype" w:cs="Palatino Linotype"/>
          <w:lang w:eastAsia="es-MX"/>
        </w:rPr>
        <w:t xml:space="preserve">el expediente conformado con motivo del Recurso de Revisión </w:t>
      </w:r>
      <w:r w:rsidR="00DF5E16" w:rsidRPr="001C5EA5">
        <w:rPr>
          <w:rFonts w:ascii="Palatino Linotype" w:eastAsia="Palatino Linotype" w:hAnsi="Palatino Linotype" w:cs="Palatino Linotype"/>
          <w:b/>
          <w:lang w:eastAsia="es-MX"/>
        </w:rPr>
        <w:t>06716</w:t>
      </w:r>
      <w:r w:rsidR="00020B91" w:rsidRPr="001C5EA5">
        <w:rPr>
          <w:rFonts w:ascii="Palatino Linotype" w:eastAsia="Palatino Linotype" w:hAnsi="Palatino Linotype" w:cs="Palatino Linotype"/>
          <w:b/>
          <w:lang w:eastAsia="es-MX"/>
        </w:rPr>
        <w:t>/INFOEM/IP/RR/2025</w:t>
      </w:r>
      <w:r w:rsidRPr="00F100CC">
        <w:rPr>
          <w:rFonts w:ascii="Palatino Linotype" w:eastAsia="Palatino Linotype" w:hAnsi="Palatino Linotype" w:cs="Palatino Linotype"/>
          <w:bCs/>
          <w:lang w:eastAsia="es-MX"/>
        </w:rPr>
        <w:t xml:space="preserve">, interpuesto por </w:t>
      </w:r>
      <w:r w:rsidR="001B0C7B" w:rsidRPr="001B0C7B">
        <w:rPr>
          <w:rFonts w:ascii="Palatino Linotype" w:eastAsia="Palatino Linotype" w:hAnsi="Palatino Linotype" w:cs="Palatino Linotype"/>
          <w:highlight w:val="black"/>
        </w:rPr>
        <w:t>XXXXXXXXXXX</w:t>
      </w:r>
      <w:bookmarkStart w:id="1" w:name="_GoBack"/>
      <w:bookmarkEnd w:id="1"/>
      <w:r w:rsidR="001B0C7B" w:rsidRPr="00F100CC">
        <w:rPr>
          <w:rFonts w:ascii="Palatino Linotype" w:eastAsia="Palatino Linotype" w:hAnsi="Palatino Linotype" w:cs="Palatino Linotype"/>
        </w:rPr>
        <w:t xml:space="preserve"> </w:t>
      </w:r>
      <w:r w:rsidR="00CA3CE4" w:rsidRPr="00F100CC">
        <w:rPr>
          <w:rFonts w:ascii="Palatino Linotype" w:eastAsia="Palatino Linotype" w:hAnsi="Palatino Linotype" w:cs="Palatino Linotype"/>
        </w:rPr>
        <w:t>en lo sucesivo</w:t>
      </w:r>
      <w:r w:rsidR="00CA3CE4" w:rsidRPr="00F100CC">
        <w:rPr>
          <w:rFonts w:ascii="Palatino Linotype" w:eastAsia="Palatino Linotype" w:hAnsi="Palatino Linotype" w:cs="Palatino Linotype"/>
          <w:bCs/>
          <w:lang w:eastAsia="es-MX"/>
        </w:rPr>
        <w:t xml:space="preserve"> </w:t>
      </w:r>
      <w:r w:rsidRPr="00F100CC">
        <w:rPr>
          <w:rFonts w:ascii="Palatino Linotype" w:eastAsia="Palatino Linotype" w:hAnsi="Palatino Linotype" w:cs="Palatino Linotype"/>
          <w:bCs/>
          <w:lang w:eastAsia="es-MX"/>
        </w:rPr>
        <w:t>el Recurrente o Particular, en contra de la respuesta del Sujeto Obligado,</w:t>
      </w:r>
      <w:r w:rsidR="00DF5E16" w:rsidRPr="00F100CC">
        <w:rPr>
          <w:rFonts w:ascii="Verdana" w:hAnsi="Verdana"/>
          <w:bCs/>
          <w:sz w:val="14"/>
          <w:szCs w:val="14"/>
        </w:rPr>
        <w:t xml:space="preserve"> </w:t>
      </w:r>
      <w:r w:rsidR="00DE6148" w:rsidRPr="001C5EA5">
        <w:rPr>
          <w:rFonts w:ascii="Palatino Linotype" w:eastAsia="Palatino Linotype" w:hAnsi="Palatino Linotype" w:cs="Palatino Linotype"/>
          <w:b/>
          <w:lang w:eastAsia="es-MX"/>
        </w:rPr>
        <w:t>Organismo Descentralizado de Agua Potable Alcantarillado y Saneamiento del Municipio de Ixtapaluca</w:t>
      </w:r>
      <w:r w:rsidRPr="001C5EA5">
        <w:rPr>
          <w:rFonts w:ascii="Palatino Linotype" w:eastAsia="Palatino Linotype" w:hAnsi="Palatino Linotype" w:cs="Palatino Linotype"/>
          <w:b/>
          <w:lang w:eastAsia="es-MX"/>
        </w:rPr>
        <w:t>,</w:t>
      </w:r>
      <w:r w:rsidRPr="00F100CC">
        <w:rPr>
          <w:rFonts w:ascii="Palatino Linotype" w:eastAsia="Palatino Linotype" w:hAnsi="Palatino Linotype" w:cs="Palatino Linotype"/>
          <w:bCs/>
          <w:lang w:eastAsia="es-MX"/>
        </w:rPr>
        <w:t xml:space="preserve"> a</w:t>
      </w:r>
      <w:r w:rsidRPr="00F100CC">
        <w:rPr>
          <w:rFonts w:ascii="Palatino Linotype" w:eastAsia="Palatino Linotype" w:hAnsi="Palatino Linotype" w:cs="Palatino Linotype"/>
          <w:lang w:eastAsia="es-MX"/>
        </w:rPr>
        <w:t xml:space="preserve"> la solicitud de acceso a la información pública </w:t>
      </w:r>
      <w:r w:rsidR="00DF5E16" w:rsidRPr="00F100CC">
        <w:rPr>
          <w:rFonts w:ascii="Palatino Linotype" w:eastAsia="Palatino Linotype" w:hAnsi="Palatino Linotype" w:cs="Palatino Linotype"/>
          <w:lang w:eastAsia="es-MX"/>
        </w:rPr>
        <w:t>00013/OASIXTAPAL/IP/2025</w:t>
      </w:r>
      <w:r w:rsidRPr="00F100CC">
        <w:rPr>
          <w:rFonts w:ascii="Palatino Linotype" w:eastAsia="Palatino Linotype" w:hAnsi="Palatino Linotype" w:cs="Palatino Linotype"/>
          <w:lang w:eastAsia="es-MX"/>
        </w:rPr>
        <w:t>, se emite la presente Resolución, con base en los Antecedentes y Considerandos que a continuación se exponen:</w:t>
      </w:r>
    </w:p>
    <w:p w14:paraId="07BC3181" w14:textId="77777777" w:rsidR="006909FC" w:rsidRPr="00F100CC" w:rsidRDefault="006909FC" w:rsidP="005D6E32">
      <w:pPr>
        <w:spacing w:after="0" w:line="360" w:lineRule="auto"/>
        <w:rPr>
          <w:rFonts w:ascii="Palatino Linotype" w:eastAsia="Palatino Linotype" w:hAnsi="Palatino Linotype" w:cs="Palatino Linotype"/>
          <w:color w:val="FF0000"/>
          <w:lang w:eastAsia="es-MX"/>
        </w:rPr>
      </w:pPr>
    </w:p>
    <w:p w14:paraId="59C3E047" w14:textId="77777777" w:rsidR="006909FC" w:rsidRPr="00F100CC" w:rsidRDefault="00020B91" w:rsidP="00F0352C">
      <w:pPr>
        <w:pStyle w:val="Ttulo1"/>
        <w:rPr>
          <w:rFonts w:eastAsia="Palatino Linotype"/>
          <w:color w:val="auto"/>
          <w:lang w:eastAsia="es-MX"/>
        </w:rPr>
      </w:pPr>
      <w:bookmarkStart w:id="2" w:name="_Toc205472283"/>
      <w:r w:rsidRPr="00F100CC">
        <w:rPr>
          <w:rFonts w:eastAsia="Palatino Linotype"/>
          <w:color w:val="auto"/>
          <w:lang w:eastAsia="es-MX"/>
        </w:rPr>
        <w:t>A N T E C E D E N T E S</w:t>
      </w:r>
      <w:bookmarkEnd w:id="2"/>
    </w:p>
    <w:p w14:paraId="4A7FE965" w14:textId="77777777" w:rsidR="006909FC" w:rsidRPr="00F100C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2829AD39" w14:textId="77777777" w:rsidR="006909FC" w:rsidRPr="00F100CC" w:rsidRDefault="006909FC" w:rsidP="00F0352C">
      <w:pPr>
        <w:pStyle w:val="Ttulo2"/>
        <w:rPr>
          <w:rFonts w:eastAsia="Palatino Linotype"/>
          <w:lang w:eastAsia="es-MX"/>
        </w:rPr>
      </w:pPr>
      <w:bookmarkStart w:id="3" w:name="_Toc205472284"/>
      <w:r w:rsidRPr="00F100CC">
        <w:rPr>
          <w:rFonts w:eastAsia="Palatino Linotype"/>
          <w:lang w:eastAsia="es-MX"/>
        </w:rPr>
        <w:t>I. Presentación de la solicitud de información</w:t>
      </w:r>
      <w:bookmarkEnd w:id="3"/>
    </w:p>
    <w:p w14:paraId="61E71BE7" w14:textId="77777777" w:rsidR="006909FC" w:rsidRPr="00F100C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7A264F98" w14:textId="47A13E8B" w:rsidR="006909FC" w:rsidRPr="00F100C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bookmarkStart w:id="4" w:name="_heading=h.gjdgxs" w:colFirst="0" w:colLast="0"/>
      <w:bookmarkEnd w:id="4"/>
      <w:r w:rsidRPr="00F100CC">
        <w:rPr>
          <w:rFonts w:ascii="Palatino Linotype" w:eastAsia="Palatino Linotype" w:hAnsi="Palatino Linotype" w:cs="Palatino Linotype"/>
          <w:lang w:eastAsia="es-MX"/>
        </w:rPr>
        <w:t>Con fecha</w:t>
      </w:r>
      <w:r w:rsidR="00DF5E16" w:rsidRPr="00F100CC">
        <w:rPr>
          <w:rFonts w:ascii="Palatino Linotype" w:eastAsia="Palatino Linotype" w:hAnsi="Palatino Linotype" w:cs="Palatino Linotype"/>
          <w:lang w:eastAsia="es-MX"/>
        </w:rPr>
        <w:t xml:space="preserve"> quince de mayo de dos mil veinticinco, </w:t>
      </w:r>
      <w:r w:rsidR="00020B91" w:rsidRPr="00F100CC">
        <w:rPr>
          <w:rFonts w:ascii="Palatino Linotype" w:eastAsia="Palatino Linotype" w:hAnsi="Palatino Linotype" w:cs="Palatino Linotype"/>
          <w:lang w:eastAsia="es-MX"/>
        </w:rPr>
        <w:t>el</w:t>
      </w:r>
      <w:r w:rsidRPr="00F100CC">
        <w:rPr>
          <w:rFonts w:ascii="Palatino Linotype" w:eastAsia="Palatino Linotype" w:hAnsi="Palatino Linotype" w:cs="Palatino Linotype"/>
          <w:lang w:eastAsia="es-MX"/>
        </w:rPr>
        <w:t xml:space="preserve"> Particular presentó una solicitud de acceso a la información pública, a través del Sistema de Acceso a la Información Mexiquense (SAIMEX),</w:t>
      </w:r>
      <w:r w:rsidR="00020B91" w:rsidRPr="00F100CC">
        <w:rPr>
          <w:rFonts w:ascii="Palatino Linotype" w:eastAsia="Palatino Linotype" w:hAnsi="Palatino Linotype" w:cs="Palatino Linotype"/>
          <w:lang w:eastAsia="es-MX"/>
        </w:rPr>
        <w:t xml:space="preserve"> ante </w:t>
      </w:r>
      <w:r w:rsidR="00DE6148" w:rsidRPr="00F100CC">
        <w:rPr>
          <w:rFonts w:ascii="Palatino Linotype" w:eastAsia="Palatino Linotype" w:hAnsi="Palatino Linotype" w:cs="Palatino Linotype"/>
          <w:lang w:eastAsia="es-MX"/>
        </w:rPr>
        <w:t>Organismo Descentralizado de Agua Potable Alcantarillado y Saneamiento del Municipio de Ixtapaluca</w:t>
      </w:r>
      <w:r w:rsidR="00020B91" w:rsidRPr="00F100CC">
        <w:rPr>
          <w:rFonts w:ascii="Palatino Linotype" w:eastAsia="Palatino Linotype" w:hAnsi="Palatino Linotype" w:cs="Palatino Linotype"/>
          <w:lang w:eastAsia="es-MX"/>
        </w:rPr>
        <w:t xml:space="preserve">, </w:t>
      </w:r>
      <w:r w:rsidRPr="00F100CC">
        <w:rPr>
          <w:rFonts w:ascii="Palatino Linotype" w:eastAsia="Palatino Linotype" w:hAnsi="Palatino Linotype" w:cs="Palatino Linotype"/>
          <w:lang w:eastAsia="es-MX"/>
        </w:rPr>
        <w:t>en los siguientes términos:</w:t>
      </w:r>
    </w:p>
    <w:p w14:paraId="2AC882E4" w14:textId="77777777" w:rsidR="006909FC" w:rsidRPr="00F100C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6952244A" w14:textId="77777777" w:rsidR="006909FC" w:rsidRPr="00F100CC" w:rsidRDefault="006909FC" w:rsidP="005D6E32">
      <w:pPr>
        <w:tabs>
          <w:tab w:val="left" w:pos="4667"/>
        </w:tabs>
        <w:spacing w:after="0" w:line="360" w:lineRule="auto"/>
        <w:ind w:left="567" w:right="567"/>
        <w:jc w:val="both"/>
        <w:rPr>
          <w:rFonts w:ascii="Palatino Linotype" w:eastAsia="Palatino Linotype" w:hAnsi="Palatino Linotype" w:cs="Palatino Linotype"/>
          <w:b/>
          <w:i/>
          <w:sz w:val="20"/>
          <w:szCs w:val="20"/>
          <w:lang w:eastAsia="es-MX"/>
        </w:rPr>
      </w:pPr>
      <w:r w:rsidRPr="00F100CC">
        <w:rPr>
          <w:rFonts w:ascii="Palatino Linotype" w:eastAsia="Palatino Linotype" w:hAnsi="Palatino Linotype" w:cs="Palatino Linotype"/>
          <w:b/>
          <w:i/>
          <w:sz w:val="20"/>
          <w:szCs w:val="20"/>
          <w:lang w:eastAsia="es-MX"/>
        </w:rPr>
        <w:t>“DESCRIPCIÓN CLARA Y PRECISA DE LA INFORMACIÓN SOLICITADA</w:t>
      </w:r>
    </w:p>
    <w:p w14:paraId="0F472552" w14:textId="2C63A036" w:rsidR="006909FC" w:rsidRPr="00F100CC" w:rsidRDefault="00DF5E16" w:rsidP="005D6E32">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i/>
          <w:sz w:val="20"/>
          <w:szCs w:val="20"/>
          <w:lang w:eastAsia="es-MX"/>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w:t>
      </w:r>
      <w:r w:rsidRPr="00F100CC">
        <w:rPr>
          <w:rFonts w:ascii="Palatino Linotype" w:eastAsia="Palatino Linotype" w:hAnsi="Palatino Linotype" w:cs="Palatino Linotype"/>
          <w:i/>
          <w:sz w:val="20"/>
          <w:szCs w:val="20"/>
          <w:lang w:eastAsia="es-MX"/>
        </w:rPr>
        <w:lastRenderedPageBreak/>
        <w:t>Política del Estado Libre y Soberano de México, de la siguiente información para que se haga una búsqueda de manera exhaustiva, desglosada, clara y detallada así como su entrega en versión publica y en formato PDF. Los permisos y autorización por parte de las Áreas administrativas Municipales y el fundamento legal que utilizaron para la autorizaron de la construcción de los puentes vehiculares y de uso particular que se encuentran obstruyendo la barranca así como la colocación de tubos para el paso de agua de dicha barranca que se encuentra en la carretera a San Francisco Cuautla en el tramo que comprende del Puente Mezquite al Carril del Tablón frene a la Unidad Habitacional los Héroes Ixtapaluca</w:t>
      </w:r>
      <w:r w:rsidR="00020B91" w:rsidRPr="00F100CC">
        <w:rPr>
          <w:rFonts w:ascii="Palatino Linotype" w:eastAsia="Palatino Linotype" w:hAnsi="Palatino Linotype" w:cs="Palatino Linotype"/>
          <w:i/>
          <w:sz w:val="20"/>
          <w:szCs w:val="20"/>
          <w:lang w:eastAsia="es-MX"/>
        </w:rPr>
        <w:t>”</w:t>
      </w:r>
      <w:r w:rsidR="006909FC" w:rsidRPr="00F100CC">
        <w:rPr>
          <w:rFonts w:ascii="Palatino Linotype" w:eastAsia="Palatino Linotype" w:hAnsi="Palatino Linotype" w:cs="Palatino Linotype"/>
          <w:i/>
          <w:sz w:val="20"/>
          <w:szCs w:val="20"/>
          <w:lang w:eastAsia="es-MX"/>
        </w:rPr>
        <w:t xml:space="preserve"> (Sic)</w:t>
      </w:r>
    </w:p>
    <w:p w14:paraId="47C0C591" w14:textId="77777777" w:rsidR="006909FC" w:rsidRPr="00F100CC" w:rsidRDefault="006909FC" w:rsidP="005D6E32">
      <w:pPr>
        <w:tabs>
          <w:tab w:val="left" w:pos="4667"/>
        </w:tabs>
        <w:spacing w:after="0" w:line="360" w:lineRule="auto"/>
        <w:ind w:left="567" w:right="567"/>
        <w:jc w:val="both"/>
        <w:rPr>
          <w:rFonts w:ascii="Palatino Linotype" w:eastAsia="Palatino Linotype" w:hAnsi="Palatino Linotype" w:cs="Palatino Linotype"/>
          <w:i/>
          <w:lang w:eastAsia="es-MX"/>
        </w:rPr>
      </w:pPr>
    </w:p>
    <w:p w14:paraId="4968236B" w14:textId="77777777" w:rsidR="006909FC" w:rsidRPr="00F100CC" w:rsidRDefault="006909FC" w:rsidP="005D6E32">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b/>
          <w:i/>
          <w:sz w:val="20"/>
          <w:szCs w:val="20"/>
          <w:lang w:eastAsia="es-MX"/>
        </w:rPr>
        <w:t>“MODALIDAD DE ENTREGA</w:t>
      </w:r>
    </w:p>
    <w:p w14:paraId="244B70F1" w14:textId="7D38A297" w:rsidR="00F0352C" w:rsidRPr="00F100CC" w:rsidRDefault="006909FC" w:rsidP="00F0352C">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i/>
          <w:sz w:val="20"/>
          <w:szCs w:val="20"/>
          <w:lang w:eastAsia="es-MX"/>
        </w:rPr>
        <w:t>A través del SAIMEX”</w:t>
      </w:r>
    </w:p>
    <w:p w14:paraId="40E6558A" w14:textId="77777777" w:rsidR="00F0352C" w:rsidRPr="00F100CC" w:rsidRDefault="00F0352C" w:rsidP="00F0352C">
      <w:pPr>
        <w:tabs>
          <w:tab w:val="left" w:pos="4667"/>
        </w:tabs>
        <w:spacing w:after="0" w:line="360" w:lineRule="auto"/>
        <w:ind w:left="567" w:right="567"/>
        <w:jc w:val="both"/>
        <w:rPr>
          <w:rFonts w:ascii="Palatino Linotype" w:eastAsia="Palatino Linotype" w:hAnsi="Palatino Linotype" w:cs="Palatino Linotype"/>
          <w:i/>
          <w:color w:val="FF0000"/>
          <w:sz w:val="20"/>
          <w:szCs w:val="20"/>
          <w:lang w:eastAsia="es-MX"/>
        </w:rPr>
      </w:pPr>
    </w:p>
    <w:p w14:paraId="61F85180" w14:textId="4B9167E4" w:rsidR="006909FC" w:rsidRPr="00F100CC" w:rsidRDefault="006909FC" w:rsidP="00F0352C">
      <w:pPr>
        <w:pStyle w:val="Ttulo2"/>
        <w:rPr>
          <w:rFonts w:eastAsia="Palatino Linotype"/>
          <w:lang w:eastAsia="es-MX"/>
        </w:rPr>
      </w:pPr>
      <w:bookmarkStart w:id="5" w:name="_Toc205472285"/>
      <w:r w:rsidRPr="00F100CC">
        <w:rPr>
          <w:rFonts w:eastAsia="Palatino Linotype"/>
          <w:lang w:eastAsia="es-MX"/>
        </w:rPr>
        <w:t>II. Respuesta del Sujeto Obligado</w:t>
      </w:r>
      <w:bookmarkEnd w:id="5"/>
    </w:p>
    <w:p w14:paraId="0E5B7D23" w14:textId="77777777" w:rsidR="006909FC" w:rsidRPr="00F100C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p>
    <w:p w14:paraId="776F2CFA" w14:textId="43404C34" w:rsidR="00DF5E16" w:rsidRPr="00F100CC"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Con </w:t>
      </w:r>
      <w:r w:rsidR="004B393F" w:rsidRPr="00F100CC">
        <w:rPr>
          <w:rFonts w:ascii="Palatino Linotype" w:eastAsia="Palatino Linotype" w:hAnsi="Palatino Linotype" w:cs="Palatino Linotype"/>
          <w:lang w:eastAsia="es-MX"/>
        </w:rPr>
        <w:t xml:space="preserve">fecha </w:t>
      </w:r>
      <w:r w:rsidR="00DF5E16" w:rsidRPr="00F100CC">
        <w:rPr>
          <w:rFonts w:ascii="Palatino Linotype" w:eastAsia="Palatino Linotype" w:hAnsi="Palatino Linotype" w:cs="Palatino Linotype"/>
          <w:lang w:eastAsia="es-MX"/>
        </w:rPr>
        <w:t xml:space="preserve">veinte de mayo de dos mil veinticinco, </w:t>
      </w:r>
      <w:r w:rsidRPr="00F100CC">
        <w:rPr>
          <w:rFonts w:ascii="Palatino Linotype" w:eastAsia="Palatino Linotype" w:hAnsi="Palatino Linotype" w:cs="Palatino Linotype"/>
          <w:lang w:eastAsia="es-MX"/>
        </w:rPr>
        <w:t>el Sujeto Obligado, notificó al Solicitante, mediante el Sistema de Acceso a la Información Mexiquense (SAIMEX), la respuesta a la solicitud de acceso a la información, por medio de la digitalización</w:t>
      </w:r>
      <w:r w:rsidR="00DF5E16" w:rsidRPr="00F100CC">
        <w:rPr>
          <w:rFonts w:ascii="Palatino Linotype" w:eastAsia="Palatino Linotype" w:hAnsi="Palatino Linotype" w:cs="Palatino Linotype"/>
          <w:lang w:eastAsia="es-MX"/>
        </w:rPr>
        <w:t xml:space="preserve"> del oficio OE/UT/05/2025 de la misma fecha suscrito por la Titular de la Unidad de Transparencia, por medio del cual se menciona lo siguiente:</w:t>
      </w:r>
    </w:p>
    <w:p w14:paraId="14B835F1" w14:textId="77777777" w:rsidR="00DF5E16" w:rsidRPr="00F100CC" w:rsidRDefault="00DF5E16"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p>
    <w:p w14:paraId="79FA2A3A" w14:textId="5BB2AD37" w:rsidR="00DF5E16" w:rsidRPr="00F100CC" w:rsidRDefault="00DF5E16" w:rsidP="00DF5E16">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i/>
          <w:sz w:val="20"/>
          <w:szCs w:val="20"/>
          <w:lang w:eastAsia="es-MX"/>
        </w:rPr>
        <w:t xml:space="preserve">“…Sea este el medio por el cual le envió un cordial saludo, mismo que aprovecho para hacer de su conocimiento que, una vez analizado el contenido de la solicitud con número de folio </w:t>
      </w:r>
      <w:r w:rsidRPr="00F100CC">
        <w:rPr>
          <w:rFonts w:ascii="Palatino Linotype" w:eastAsia="Palatino Linotype" w:hAnsi="Palatino Linotype" w:cs="Palatino Linotype"/>
          <w:b/>
          <w:i/>
          <w:sz w:val="20"/>
          <w:szCs w:val="20"/>
          <w:lang w:eastAsia="es-MX"/>
        </w:rPr>
        <w:t xml:space="preserve">00013/OASIXTAPAL/IP/2025, se determinó que este Sujeto Obligado (OPDAPAS Ixtapaluca) es incompetente para dar respuesta a dicha solicitud, toda vez que no cuenta con información referente a dicha obra. En ese sentido, se le sugiere presentar una nueva solicitud de información a la Dirección de Desarrollo Territorial, Urbano y Medio ambiente, así como a la Dirección de Obras Públicas е Infraestructura del </w:t>
      </w:r>
      <w:r w:rsidRPr="00F100CC">
        <w:rPr>
          <w:rFonts w:ascii="Palatino Linotype" w:eastAsia="Palatino Linotype" w:hAnsi="Palatino Linotype" w:cs="Palatino Linotype"/>
          <w:b/>
          <w:i/>
          <w:sz w:val="20"/>
          <w:szCs w:val="20"/>
          <w:lang w:eastAsia="es-MX"/>
        </w:rPr>
        <w:lastRenderedPageBreak/>
        <w:t>Ayuntamiento de Ixtapaluca, por ser estos los poseedores de la misma.</w:t>
      </w:r>
      <w:r w:rsidRPr="00F100CC">
        <w:rPr>
          <w:rFonts w:ascii="Palatino Linotype" w:eastAsia="Palatino Linotype" w:hAnsi="Palatino Linotype" w:cs="Palatino Linotype"/>
          <w:i/>
          <w:sz w:val="20"/>
          <w:szCs w:val="20"/>
          <w:lang w:eastAsia="es-MX"/>
        </w:rPr>
        <w:t xml:space="preserve"> Lo anterior con fundamento en el artículo 167 de la Ley de Transparencia y Acceso a la Información Pública del Estado de México y Municipios…”</w:t>
      </w:r>
    </w:p>
    <w:p w14:paraId="2CC8EDD0" w14:textId="77777777" w:rsidR="004B393F" w:rsidRPr="00F100CC" w:rsidRDefault="004B393F"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33581363" w14:textId="77777777" w:rsidR="006909FC" w:rsidRPr="00F100CC" w:rsidRDefault="006909FC" w:rsidP="00F0352C">
      <w:pPr>
        <w:pStyle w:val="Ttulo2"/>
        <w:rPr>
          <w:rFonts w:eastAsia="Palatino Linotype"/>
          <w:lang w:eastAsia="es-MX"/>
        </w:rPr>
      </w:pPr>
      <w:bookmarkStart w:id="6" w:name="_Toc205472286"/>
      <w:r w:rsidRPr="00F100CC">
        <w:rPr>
          <w:rFonts w:eastAsia="Palatino Linotype"/>
          <w:lang w:eastAsia="es-MX"/>
        </w:rPr>
        <w:t>III. Interposición del Recurso de Revisión</w:t>
      </w:r>
      <w:bookmarkEnd w:id="6"/>
    </w:p>
    <w:p w14:paraId="54EC9A1A" w14:textId="77777777" w:rsidR="006909FC" w:rsidRPr="00F100CC" w:rsidRDefault="006909FC" w:rsidP="005D6E32">
      <w:pPr>
        <w:spacing w:after="0" w:line="360" w:lineRule="auto"/>
        <w:jc w:val="both"/>
        <w:rPr>
          <w:rFonts w:ascii="Palatino Linotype" w:eastAsia="Palatino Linotype" w:hAnsi="Palatino Linotype" w:cs="Palatino Linotype"/>
          <w:b/>
          <w:lang w:eastAsia="es-MX"/>
        </w:rPr>
      </w:pPr>
    </w:p>
    <w:p w14:paraId="13E0A8D2" w14:textId="482192EE"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Con fecha </w:t>
      </w:r>
      <w:r w:rsidR="0088317A" w:rsidRPr="00F100CC">
        <w:rPr>
          <w:rFonts w:ascii="Palatino Linotype" w:eastAsia="Palatino Linotype" w:hAnsi="Palatino Linotype" w:cs="Palatino Linotype"/>
          <w:lang w:eastAsia="es-MX"/>
        </w:rPr>
        <w:t xml:space="preserve">nueve de junio de dos mil </w:t>
      </w:r>
      <w:r w:rsidR="007A6DA1" w:rsidRPr="00F100CC">
        <w:rPr>
          <w:rFonts w:ascii="Palatino Linotype" w:eastAsia="Palatino Linotype" w:hAnsi="Palatino Linotype" w:cs="Palatino Linotype"/>
          <w:lang w:eastAsia="es-MX"/>
        </w:rPr>
        <w:t xml:space="preserve">veinticinco, </w:t>
      </w:r>
      <w:r w:rsidRPr="00F100CC">
        <w:rPr>
          <w:rFonts w:ascii="Palatino Linotype" w:eastAsia="Palatino Linotype" w:hAnsi="Palatino Linotype" w:cs="Palatino Linotype"/>
          <w:lang w:eastAsia="es-MX"/>
        </w:rPr>
        <w:t>se recibió en este Instituto, a través del Sistema de Acceso a la Información Mexiquense (SAIMEX), el Recurso de Revisión interpuesto por la parte Recurrente, en contra de la respuesta del Sujeto Obligado, en los siguientes términos:</w:t>
      </w:r>
    </w:p>
    <w:p w14:paraId="2CB93DCF" w14:textId="77777777" w:rsidR="006909FC" w:rsidRPr="00F100CC" w:rsidRDefault="006909FC" w:rsidP="005D6E32">
      <w:pPr>
        <w:widowControl w:val="0"/>
        <w:spacing w:after="0" w:line="360" w:lineRule="auto"/>
        <w:jc w:val="both"/>
        <w:rPr>
          <w:rFonts w:ascii="Palatino Linotype" w:eastAsia="Palatino Linotype" w:hAnsi="Palatino Linotype" w:cs="Palatino Linotype"/>
          <w:color w:val="FF0000"/>
          <w:lang w:eastAsia="es-MX"/>
        </w:rPr>
      </w:pPr>
    </w:p>
    <w:p w14:paraId="5984E68B" w14:textId="77777777" w:rsidR="006909FC" w:rsidRPr="00F100CC" w:rsidRDefault="006909FC" w:rsidP="005D6E32">
      <w:pPr>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b/>
          <w:i/>
          <w:sz w:val="20"/>
          <w:szCs w:val="20"/>
          <w:lang w:eastAsia="es-MX"/>
        </w:rPr>
        <w:t>“ACTO IMPUGNADO</w:t>
      </w:r>
    </w:p>
    <w:p w14:paraId="5A8D531D" w14:textId="02BC9C73" w:rsidR="006909FC" w:rsidRPr="00F100CC" w:rsidRDefault="00FB7865" w:rsidP="005D6E32">
      <w:pPr>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i/>
          <w:sz w:val="20"/>
          <w:szCs w:val="20"/>
          <w:lang w:eastAsia="es-MX"/>
        </w:rPr>
        <w:t>En su respuesta en Sujeto Obligado se declara incompetente</w:t>
      </w:r>
      <w:r w:rsidR="006909FC" w:rsidRPr="00F100CC">
        <w:rPr>
          <w:rFonts w:ascii="Palatino Linotype" w:eastAsia="Palatino Linotype" w:hAnsi="Palatino Linotype" w:cs="Palatino Linotype"/>
          <w:i/>
          <w:sz w:val="20"/>
          <w:szCs w:val="20"/>
          <w:lang w:eastAsia="es-MX"/>
        </w:rPr>
        <w:t xml:space="preserve">” </w:t>
      </w:r>
      <w:r w:rsidR="007A6DA1" w:rsidRPr="00F100CC">
        <w:rPr>
          <w:rFonts w:ascii="Palatino Linotype" w:eastAsia="Palatino Linotype" w:hAnsi="Palatino Linotype" w:cs="Palatino Linotype"/>
          <w:i/>
          <w:sz w:val="20"/>
          <w:szCs w:val="20"/>
          <w:lang w:eastAsia="es-MX"/>
        </w:rPr>
        <w:t>(Sic)</w:t>
      </w:r>
    </w:p>
    <w:p w14:paraId="7ABA5999" w14:textId="77777777" w:rsidR="006909FC" w:rsidRPr="00F100CC" w:rsidRDefault="006909FC" w:rsidP="005D6E32">
      <w:pPr>
        <w:spacing w:after="0" w:line="360" w:lineRule="auto"/>
        <w:ind w:right="567"/>
        <w:jc w:val="both"/>
        <w:rPr>
          <w:rFonts w:ascii="Palatino Linotype" w:eastAsia="Palatino Linotype" w:hAnsi="Palatino Linotype" w:cs="Palatino Linotype"/>
          <w:i/>
          <w:color w:val="FF0000"/>
          <w:sz w:val="20"/>
          <w:szCs w:val="20"/>
          <w:lang w:eastAsia="es-MX"/>
        </w:rPr>
      </w:pPr>
    </w:p>
    <w:p w14:paraId="5A0C2928" w14:textId="77777777" w:rsidR="006909FC" w:rsidRPr="00F100CC" w:rsidRDefault="006909FC" w:rsidP="005D6E32">
      <w:pPr>
        <w:spacing w:after="0" w:line="360" w:lineRule="auto"/>
        <w:ind w:left="567" w:right="567"/>
        <w:jc w:val="both"/>
        <w:rPr>
          <w:rFonts w:ascii="Palatino Linotype" w:eastAsia="Palatino Linotype" w:hAnsi="Palatino Linotype" w:cs="Palatino Linotype"/>
          <w:b/>
          <w:i/>
          <w:sz w:val="20"/>
          <w:szCs w:val="20"/>
          <w:lang w:eastAsia="es-MX"/>
        </w:rPr>
      </w:pPr>
      <w:r w:rsidRPr="00F100CC">
        <w:rPr>
          <w:rFonts w:ascii="Palatino Linotype" w:eastAsia="Palatino Linotype" w:hAnsi="Palatino Linotype" w:cs="Palatino Linotype"/>
          <w:b/>
          <w:i/>
          <w:sz w:val="20"/>
          <w:szCs w:val="20"/>
          <w:lang w:eastAsia="es-MX"/>
        </w:rPr>
        <w:t>“RAZONES O MOTIVOS DE LA INCONFORMIDAD</w:t>
      </w:r>
    </w:p>
    <w:p w14:paraId="1F93D700" w14:textId="4FEFBD68" w:rsidR="006909FC" w:rsidRPr="00F100CC" w:rsidRDefault="00FB7865" w:rsidP="005D6E32">
      <w:pPr>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i/>
          <w:sz w:val="20"/>
          <w:szCs w:val="20"/>
          <w:lang w:eastAsia="es-MX"/>
        </w:rPr>
        <w:t xml:space="preserve">Con fundamento en el artículo 176, 178 y 179 Fracciones I, II, III, IV y V de la Ley de Transparencia y Acceso a la Información Pública del Estado de México y Municipios, hago referencia la respuesta a mi solicitud que no cumple con lo solicitado, por la negativa a la entrega de la información solicitada por parte del Sujeto Obligado. En su respuesta en Sujeto Obligado se declara incompetente para dar respuesta a dicha solicitud, toda vez que no cuenta con información referente a dicha obra. y sugiere presentar una nueva solicitud de información a la Dirección de Desarrollo Territorial, Urbano y Medio ambiente, así como a la Dirección de Obras Públicas e Infraestructura del Ayuntamiento de Ixtapaluca, por ser estos los poseedores de la misma. Cabe hacer mención que con anterioridad presente esta misma solicitud de información al Sujeto Obligado del Ayuntamiento de Ixtapaluca de la cual me asignado el folio No folio 00083/IXTAPALU/IP/2025 de la cual me permito anexar la respuesta y la resolución No. Recurso de Revisión: 03112/INFOEM/IP/RR/2025 en el apartado C ESTUDIO DE LA </w:t>
      </w:r>
      <w:r w:rsidRPr="00F100CC">
        <w:rPr>
          <w:rFonts w:ascii="Palatino Linotype" w:eastAsia="Palatino Linotype" w:hAnsi="Palatino Linotype" w:cs="Palatino Linotype"/>
          <w:i/>
          <w:sz w:val="20"/>
          <w:szCs w:val="20"/>
          <w:lang w:eastAsia="es-MX"/>
        </w:rPr>
        <w:lastRenderedPageBreak/>
        <w:t>CONTRAVERSIA de la autoridad me sugiere de a quien debo solicitar la información para que a sus ves la Autoridad considere quien en verdad me debe contestar a mi solicitud de información</w:t>
      </w:r>
      <w:r w:rsidR="00EC2CD5" w:rsidRPr="00F100CC">
        <w:rPr>
          <w:rFonts w:ascii="Palatino Linotype" w:eastAsia="Palatino Linotype" w:hAnsi="Palatino Linotype" w:cs="Palatino Linotype"/>
          <w:i/>
          <w:sz w:val="20"/>
          <w:szCs w:val="20"/>
          <w:lang w:eastAsia="es-MX"/>
        </w:rPr>
        <w:t>” (Sic)</w:t>
      </w:r>
    </w:p>
    <w:p w14:paraId="05ABCAF5" w14:textId="77777777" w:rsidR="006909FC" w:rsidRPr="00F100CC" w:rsidRDefault="006909FC" w:rsidP="005D6E32">
      <w:pPr>
        <w:spacing w:after="0" w:line="360" w:lineRule="auto"/>
        <w:jc w:val="both"/>
        <w:rPr>
          <w:rFonts w:ascii="Palatino Linotype" w:eastAsia="Palatino Linotype" w:hAnsi="Palatino Linotype" w:cs="Palatino Linotype"/>
          <w:b/>
          <w:color w:val="FF0000"/>
          <w:lang w:eastAsia="es-MX"/>
        </w:rPr>
      </w:pPr>
    </w:p>
    <w:p w14:paraId="3B42274F" w14:textId="53BF3528" w:rsidR="00FB7865" w:rsidRPr="00F100CC" w:rsidRDefault="00FB7865"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Así mismo, anexo la digitalización de los siguientes documentos:</w:t>
      </w:r>
    </w:p>
    <w:p w14:paraId="75E3B4E3" w14:textId="77777777" w:rsidR="00FB7865" w:rsidRPr="00F100CC" w:rsidRDefault="00FB7865" w:rsidP="005D6E32">
      <w:pPr>
        <w:spacing w:after="0" w:line="360" w:lineRule="auto"/>
        <w:jc w:val="both"/>
        <w:rPr>
          <w:rFonts w:ascii="Palatino Linotype" w:eastAsia="Palatino Linotype" w:hAnsi="Palatino Linotype" w:cs="Palatino Linotype"/>
          <w:lang w:eastAsia="es-MX"/>
        </w:rPr>
      </w:pPr>
    </w:p>
    <w:p w14:paraId="3B9F56AF" w14:textId="7E8C394C" w:rsidR="00FB7865" w:rsidRPr="00F100CC" w:rsidRDefault="002831A8"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a) </w:t>
      </w:r>
      <w:r w:rsidR="00FB7865" w:rsidRPr="00F100CC">
        <w:rPr>
          <w:rFonts w:ascii="Palatino Linotype" w:eastAsia="Palatino Linotype" w:hAnsi="Palatino Linotype" w:cs="Palatino Linotype"/>
          <w:lang w:eastAsia="es-MX"/>
        </w:rPr>
        <w:t>Resolución  del treinta de abril de dos mil veinticinco del Recurso de Revisión 03112/INFOEM/IP/RR/2025.</w:t>
      </w:r>
    </w:p>
    <w:p w14:paraId="334E65E3" w14:textId="77777777" w:rsidR="00FB7865" w:rsidRPr="00F100CC" w:rsidRDefault="00FB7865" w:rsidP="005D6E32">
      <w:pPr>
        <w:spacing w:after="0" w:line="360" w:lineRule="auto"/>
        <w:jc w:val="both"/>
        <w:rPr>
          <w:rFonts w:ascii="Palatino Linotype" w:eastAsia="Palatino Linotype" w:hAnsi="Palatino Linotype" w:cs="Palatino Linotype"/>
          <w:lang w:eastAsia="es-MX"/>
        </w:rPr>
      </w:pPr>
    </w:p>
    <w:p w14:paraId="61A79213" w14:textId="50AC2B8C" w:rsidR="00FB7865" w:rsidRPr="00F100CC" w:rsidRDefault="00032F5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b) </w:t>
      </w:r>
      <w:r w:rsidR="00171C46" w:rsidRPr="00F100CC">
        <w:rPr>
          <w:rFonts w:ascii="Palatino Linotype" w:eastAsia="Palatino Linotype" w:hAnsi="Palatino Linotype" w:cs="Palatino Linotype"/>
          <w:lang w:eastAsia="es-MX"/>
        </w:rPr>
        <w:t>Oficio IXYA-DIYOP-0457-2026 del trece de marzo de dos mil veinticinco, suscrito por el Director de Infraestructura y Obra Pública, dirigido a</w:t>
      </w:r>
      <w:r w:rsidR="00431725" w:rsidRPr="00F100CC">
        <w:rPr>
          <w:rFonts w:ascii="Palatino Linotype" w:eastAsia="Palatino Linotype" w:hAnsi="Palatino Linotype" w:cs="Palatino Linotype"/>
          <w:lang w:eastAsia="es-MX"/>
        </w:rPr>
        <w:t xml:space="preserve"> la</w:t>
      </w:r>
      <w:r w:rsidR="00171C46" w:rsidRPr="00F100CC">
        <w:rPr>
          <w:rFonts w:ascii="Palatino Linotype" w:eastAsia="Palatino Linotype" w:hAnsi="Palatino Linotype" w:cs="Palatino Linotype"/>
          <w:lang w:eastAsia="es-MX"/>
        </w:rPr>
        <w:t xml:space="preserve"> Titular de la Unidad</w:t>
      </w:r>
      <w:r w:rsidR="006B2E56" w:rsidRPr="00F100CC">
        <w:rPr>
          <w:rFonts w:ascii="Palatino Linotype" w:eastAsia="Palatino Linotype" w:hAnsi="Palatino Linotype" w:cs="Palatino Linotype"/>
          <w:lang w:eastAsia="es-MX"/>
        </w:rPr>
        <w:t xml:space="preserve"> de Transparencia y Acceso a la Información Pública, por medio del cual se menciona lo siguiente:</w:t>
      </w:r>
    </w:p>
    <w:p w14:paraId="1E96B6DE" w14:textId="77777777" w:rsidR="000E4351" w:rsidRPr="00F100CC" w:rsidRDefault="000E4351" w:rsidP="005D6E32">
      <w:pPr>
        <w:spacing w:after="0" w:line="360" w:lineRule="auto"/>
        <w:jc w:val="both"/>
        <w:rPr>
          <w:rFonts w:ascii="Palatino Linotype" w:eastAsia="Palatino Linotype" w:hAnsi="Palatino Linotype" w:cs="Palatino Linotype"/>
          <w:lang w:eastAsia="es-MX"/>
        </w:rPr>
      </w:pPr>
    </w:p>
    <w:p w14:paraId="178087DB" w14:textId="5C090FAD" w:rsidR="006B2E56" w:rsidRPr="00F100CC" w:rsidRDefault="006635E0" w:rsidP="006635E0">
      <w:pPr>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i/>
          <w:sz w:val="20"/>
          <w:szCs w:val="20"/>
          <w:lang w:eastAsia="es-MX"/>
        </w:rPr>
        <w:t xml:space="preserve">“…Por medio del presente reciba un cordial y afectuoso saludo, así mismo me permito citar su similar No. 00083/IXTAPALU/IP/2025, que a la letra dice: </w:t>
      </w:r>
      <w:r w:rsidRPr="00F100CC">
        <w:rPr>
          <w:rFonts w:ascii="Palatino Linotype" w:eastAsia="Palatino Linotype" w:hAnsi="Palatino Linotype" w:cs="Palatino Linotype"/>
          <w:b/>
          <w:i/>
          <w:sz w:val="20"/>
          <w:szCs w:val="20"/>
          <w:lang w:eastAsia="es-MX"/>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Los permisos y autorización por parte de las Áreas administrativas Municipales y el fundamento legal que utilizaron para la autorizaron de la construcción de los puentes vehiculares y de uso particular que se encuentran obstruyendo la barranca así como la colocación de </w:t>
      </w:r>
      <w:r w:rsidRPr="00F100CC">
        <w:rPr>
          <w:rFonts w:ascii="Palatino Linotype" w:eastAsia="Palatino Linotype" w:hAnsi="Palatino Linotype" w:cs="Palatino Linotype"/>
          <w:b/>
          <w:i/>
          <w:sz w:val="20"/>
          <w:szCs w:val="20"/>
          <w:lang w:eastAsia="es-MX"/>
        </w:rPr>
        <w:lastRenderedPageBreak/>
        <w:t xml:space="preserve">tubos para el paso de agua de dicha barranca que se encuentra en la carretera a San Francisco Cuautla en el tramo que comprende del Puente Mezquite al Carril del Tablón frene a la Unidad Habitacional los Héroes Ixtapaluca; </w:t>
      </w:r>
      <w:r w:rsidRPr="00F100CC">
        <w:rPr>
          <w:rFonts w:ascii="Palatino Linotype" w:eastAsia="Palatino Linotype" w:hAnsi="Palatino Linotype" w:cs="Palatino Linotype"/>
          <w:i/>
          <w:sz w:val="20"/>
          <w:szCs w:val="20"/>
          <w:lang w:eastAsia="es-MX"/>
        </w:rPr>
        <w:t>por lo anterior me permito comentar lo siguiente:</w:t>
      </w:r>
    </w:p>
    <w:p w14:paraId="62AB5063" w14:textId="77777777" w:rsidR="006635E0" w:rsidRPr="00F100CC" w:rsidRDefault="006635E0" w:rsidP="006635E0">
      <w:pPr>
        <w:spacing w:after="0" w:line="360" w:lineRule="auto"/>
        <w:ind w:left="567" w:right="567"/>
        <w:jc w:val="both"/>
        <w:rPr>
          <w:rFonts w:ascii="Palatino Linotype" w:eastAsia="Palatino Linotype" w:hAnsi="Palatino Linotype" w:cs="Palatino Linotype"/>
          <w:i/>
          <w:sz w:val="20"/>
          <w:szCs w:val="20"/>
          <w:lang w:eastAsia="es-MX"/>
        </w:rPr>
      </w:pPr>
    </w:p>
    <w:p w14:paraId="6137DF6C" w14:textId="55E9CA23" w:rsidR="006635E0" w:rsidRPr="00F100CC" w:rsidRDefault="006635E0" w:rsidP="006635E0">
      <w:pPr>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i/>
          <w:sz w:val="20"/>
          <w:szCs w:val="20"/>
          <w:lang w:eastAsia="es-MX"/>
        </w:rPr>
        <w:t>Estos trabajos que se realizan en el lugar antes citados, no se ejecutan a través de la Dirección a mi cargo</w:t>
      </w:r>
      <w:r w:rsidR="00B14075" w:rsidRPr="00F100CC">
        <w:rPr>
          <w:rFonts w:ascii="Palatino Linotype" w:eastAsia="Palatino Linotype" w:hAnsi="Palatino Linotype" w:cs="Palatino Linotype"/>
          <w:i/>
          <w:sz w:val="20"/>
          <w:szCs w:val="20"/>
          <w:lang w:eastAsia="es-MX"/>
        </w:rPr>
        <w:t>…” (Sic)</w:t>
      </w:r>
    </w:p>
    <w:p w14:paraId="69671A44" w14:textId="77777777" w:rsidR="00FB7865" w:rsidRPr="00F100CC" w:rsidRDefault="00FB7865" w:rsidP="005D6E32">
      <w:pPr>
        <w:spacing w:after="0" w:line="360" w:lineRule="auto"/>
        <w:jc w:val="both"/>
        <w:rPr>
          <w:rFonts w:ascii="Palatino Linotype" w:eastAsia="Palatino Linotype" w:hAnsi="Palatino Linotype" w:cs="Palatino Linotype"/>
          <w:color w:val="FF0000"/>
          <w:lang w:eastAsia="es-MX"/>
        </w:rPr>
      </w:pPr>
    </w:p>
    <w:p w14:paraId="19020F69" w14:textId="778FFDDC" w:rsidR="00431725" w:rsidRPr="00F100CC" w:rsidRDefault="00431725"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c) Oficio IXTA/DDTUyMA/260/2025 del veintiséis de mayo de dos mil veinticinco, suscrito por el Director de Desarrollo Territorial, Urbano y Medio Ambiente, dirigido a la Titular de la Unidad de Transparencia, por medio del cual se menciona lo siguiente:</w:t>
      </w:r>
    </w:p>
    <w:p w14:paraId="6F297883" w14:textId="77777777" w:rsidR="009400A8" w:rsidRPr="00F100CC" w:rsidRDefault="009400A8" w:rsidP="005D6E32">
      <w:pPr>
        <w:spacing w:after="0" w:line="360" w:lineRule="auto"/>
        <w:jc w:val="both"/>
        <w:rPr>
          <w:rFonts w:ascii="Palatino Linotype" w:eastAsia="Palatino Linotype" w:hAnsi="Palatino Linotype" w:cs="Palatino Linotype"/>
          <w:lang w:eastAsia="es-MX"/>
        </w:rPr>
      </w:pPr>
    </w:p>
    <w:p w14:paraId="5D9C586E" w14:textId="77777777" w:rsidR="009400A8" w:rsidRPr="00F100CC" w:rsidRDefault="009400A8" w:rsidP="009400A8">
      <w:pPr>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i/>
          <w:sz w:val="20"/>
          <w:szCs w:val="20"/>
          <w:lang w:eastAsia="es-MX"/>
        </w:rPr>
        <w:t xml:space="preserve">Confiando en que usted se encuentre bien, paso a dar respuesta al oficio </w:t>
      </w:r>
      <w:r w:rsidRPr="00F100CC">
        <w:rPr>
          <w:rFonts w:ascii="Palatino Linotype" w:eastAsia="Palatino Linotype" w:hAnsi="Palatino Linotype" w:cs="Palatino Linotype"/>
          <w:b/>
          <w:i/>
          <w:sz w:val="20"/>
          <w:szCs w:val="20"/>
          <w:lang w:eastAsia="es-MX"/>
        </w:rPr>
        <w:t>IXTA/INNGUB/UT/0236/2025,</w:t>
      </w:r>
      <w:r w:rsidRPr="00F100CC">
        <w:rPr>
          <w:rFonts w:ascii="Palatino Linotype" w:eastAsia="Palatino Linotype" w:hAnsi="Palatino Linotype" w:cs="Palatino Linotype"/>
          <w:i/>
          <w:sz w:val="20"/>
          <w:szCs w:val="20"/>
          <w:lang w:eastAsia="es-MX"/>
        </w:rPr>
        <w:t xml:space="preserve"> con fecha de recepción 27 de marzo del presente año, en relación con la solicitud de información con número de folio del Recurso de Revisión 03112/INFOEM/IP/RR/2025, a través del Sistema SAIMEX, derivado de la solicitud de información con número de folio </w:t>
      </w:r>
      <w:r w:rsidRPr="00F100CC">
        <w:rPr>
          <w:rFonts w:ascii="Palatino Linotype" w:eastAsia="Palatino Linotype" w:hAnsi="Palatino Linotype" w:cs="Palatino Linotype"/>
          <w:b/>
          <w:i/>
          <w:sz w:val="20"/>
          <w:szCs w:val="20"/>
          <w:lang w:eastAsia="es-MX"/>
        </w:rPr>
        <w:t>00083/IXTAPALU/IP/2025</w:t>
      </w:r>
      <w:r w:rsidRPr="00F100CC">
        <w:rPr>
          <w:rFonts w:ascii="Palatino Linotype" w:eastAsia="Palatino Linotype" w:hAnsi="Palatino Linotype" w:cs="Palatino Linotype"/>
          <w:i/>
          <w:sz w:val="20"/>
          <w:szCs w:val="20"/>
          <w:lang w:eastAsia="es-MX"/>
        </w:rPr>
        <w:t xml:space="preserve">, en donde solicitan la siguiente información: </w:t>
      </w:r>
    </w:p>
    <w:p w14:paraId="7AEB9C5E" w14:textId="77777777" w:rsidR="009400A8" w:rsidRPr="00F100CC" w:rsidRDefault="009400A8" w:rsidP="009400A8">
      <w:pPr>
        <w:spacing w:after="0" w:line="360" w:lineRule="auto"/>
        <w:ind w:left="567" w:right="567"/>
        <w:jc w:val="both"/>
        <w:rPr>
          <w:rFonts w:ascii="Palatino Linotype" w:eastAsia="Palatino Linotype" w:hAnsi="Palatino Linotype" w:cs="Palatino Linotype"/>
          <w:i/>
          <w:sz w:val="20"/>
          <w:szCs w:val="20"/>
          <w:lang w:eastAsia="es-MX"/>
        </w:rPr>
      </w:pPr>
    </w:p>
    <w:p w14:paraId="6628F55C" w14:textId="51F95B23" w:rsidR="009400A8" w:rsidRPr="00F100CC" w:rsidRDefault="009400A8" w:rsidP="009400A8">
      <w:pPr>
        <w:spacing w:after="0" w:line="360" w:lineRule="auto"/>
        <w:ind w:left="567" w:right="567"/>
        <w:jc w:val="both"/>
        <w:rPr>
          <w:rFonts w:ascii="Palatino Linotype" w:eastAsia="Palatino Linotype" w:hAnsi="Palatino Linotype" w:cs="Palatino Linotype"/>
          <w:b/>
          <w:i/>
          <w:sz w:val="20"/>
          <w:szCs w:val="20"/>
          <w:lang w:eastAsia="es-MX"/>
        </w:rPr>
      </w:pPr>
      <w:r w:rsidRPr="00F100CC">
        <w:rPr>
          <w:rFonts w:ascii="Palatino Linotype" w:eastAsia="Palatino Linotype" w:hAnsi="Palatino Linotype" w:cs="Palatino Linotype"/>
          <w:b/>
          <w:i/>
          <w:sz w:val="20"/>
          <w:szCs w:val="20"/>
          <w:lang w:eastAsia="es-MX"/>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w:t>
      </w:r>
      <w:r w:rsidRPr="00F100CC">
        <w:rPr>
          <w:rFonts w:ascii="Palatino Linotype" w:eastAsia="Palatino Linotype" w:hAnsi="Palatino Linotype" w:cs="Palatino Linotype"/>
          <w:b/>
          <w:i/>
          <w:sz w:val="20"/>
          <w:szCs w:val="20"/>
          <w:lang w:eastAsia="es-MX"/>
        </w:rPr>
        <w:lastRenderedPageBreak/>
        <w:t>Los permisos y autorización por parte de las áreas administrativas Municipales y el fundamento legal que utilizaron para la autorización de la construcción de los puentes vehiculares de uso particular que se encuentran obstruyendo la barranca así como la colocación de tubos para el paso de agua de dicha barranca que se encuentra en la carretera a San Francisco Acuautla en el tramo que comprende del Puente Mezquite al Carril del Tablón frene a la Unidad Habitacional los Héroes Ixtapaluса.</w:t>
      </w:r>
    </w:p>
    <w:p w14:paraId="3BDAACB2" w14:textId="77777777" w:rsidR="009400A8" w:rsidRPr="00F100CC" w:rsidRDefault="009400A8" w:rsidP="009400A8">
      <w:pPr>
        <w:spacing w:after="0" w:line="360" w:lineRule="auto"/>
        <w:ind w:left="567" w:right="567"/>
        <w:jc w:val="both"/>
        <w:rPr>
          <w:rFonts w:ascii="Palatino Linotype" w:eastAsia="Palatino Linotype" w:hAnsi="Palatino Linotype" w:cs="Palatino Linotype"/>
          <w:b/>
          <w:i/>
          <w:sz w:val="20"/>
          <w:szCs w:val="20"/>
          <w:lang w:eastAsia="es-MX"/>
        </w:rPr>
      </w:pPr>
    </w:p>
    <w:p w14:paraId="2B96F107" w14:textId="77777777" w:rsidR="009400A8" w:rsidRPr="00F100CC" w:rsidRDefault="009400A8" w:rsidP="009400A8">
      <w:pPr>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i/>
          <w:sz w:val="20"/>
          <w:szCs w:val="20"/>
          <w:lang w:eastAsia="es-MX"/>
        </w:rPr>
        <w:t>En atención a la información solicitada y con fundamento en el Artículo 59 de la Ley de Transparencia y Acceso a la Información Pública del Estado de México y Municipios, le comentamos lo siguiente:</w:t>
      </w:r>
    </w:p>
    <w:p w14:paraId="759FE095" w14:textId="77777777" w:rsidR="009400A8" w:rsidRPr="00F100CC" w:rsidRDefault="009400A8" w:rsidP="009400A8">
      <w:pPr>
        <w:spacing w:after="0" w:line="360" w:lineRule="auto"/>
        <w:ind w:left="567" w:right="567"/>
        <w:jc w:val="both"/>
        <w:rPr>
          <w:rFonts w:ascii="Palatino Linotype" w:eastAsia="Palatino Linotype" w:hAnsi="Palatino Linotype" w:cs="Palatino Linotype"/>
          <w:i/>
          <w:sz w:val="20"/>
          <w:szCs w:val="20"/>
          <w:lang w:eastAsia="es-MX"/>
        </w:rPr>
      </w:pPr>
    </w:p>
    <w:p w14:paraId="4F200DE4" w14:textId="77FB2114" w:rsidR="009400A8" w:rsidRPr="00F100CC" w:rsidRDefault="009400A8" w:rsidP="009400A8">
      <w:pPr>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i/>
          <w:sz w:val="20"/>
          <w:szCs w:val="20"/>
          <w:lang w:eastAsia="es-MX"/>
        </w:rPr>
        <w:t xml:space="preserve"> Le informo que después de realizar una búsqueda exhaustiva en los archivos de esta Dependencia, no existe ninguna expedición de permisos para autorizar construcción de los puentes vehiculares de uso particular que se encuentran construyendo en la barranca que existe en la carretera a San Francisco Acuautla en el tramo que comprende del Puente Mezquite al carril del Tablón frente al Conjunto Urbano Los Héroes Ixtapaluca…” (Sic)</w:t>
      </w:r>
    </w:p>
    <w:p w14:paraId="32F27B3F" w14:textId="77777777" w:rsidR="002831A8" w:rsidRPr="00F100CC" w:rsidRDefault="002831A8" w:rsidP="005D6E32">
      <w:pPr>
        <w:spacing w:after="0" w:line="360" w:lineRule="auto"/>
        <w:jc w:val="both"/>
        <w:rPr>
          <w:rFonts w:ascii="Palatino Linotype" w:eastAsia="Palatino Linotype" w:hAnsi="Palatino Linotype" w:cs="Palatino Linotype"/>
          <w:color w:val="FF0000"/>
          <w:lang w:eastAsia="es-MX"/>
        </w:rPr>
      </w:pPr>
    </w:p>
    <w:p w14:paraId="2A95D612" w14:textId="77777777" w:rsidR="006909FC" w:rsidRPr="00F100CC" w:rsidRDefault="006909FC" w:rsidP="00F0352C">
      <w:pPr>
        <w:pStyle w:val="Ttulo2"/>
        <w:rPr>
          <w:rFonts w:eastAsia="Palatino Linotype"/>
          <w:lang w:eastAsia="es-MX"/>
        </w:rPr>
      </w:pPr>
      <w:bookmarkStart w:id="7" w:name="_Toc205472287"/>
      <w:r w:rsidRPr="00F100CC">
        <w:rPr>
          <w:rFonts w:eastAsia="Palatino Linotype"/>
          <w:lang w:eastAsia="es-MX"/>
        </w:rPr>
        <w:t>IV. Trámite del Recurso de Revisión ante este Instituto</w:t>
      </w:r>
      <w:bookmarkEnd w:id="7"/>
    </w:p>
    <w:p w14:paraId="2DA3F6D6" w14:textId="77777777" w:rsidR="005D6E32" w:rsidRPr="00F100CC" w:rsidRDefault="005D6E32" w:rsidP="005D6E32">
      <w:pPr>
        <w:spacing w:after="0" w:line="360" w:lineRule="auto"/>
        <w:jc w:val="both"/>
        <w:rPr>
          <w:rFonts w:ascii="Palatino Linotype" w:eastAsia="Palatino Linotype" w:hAnsi="Palatino Linotype" w:cs="Palatino Linotype"/>
          <w:b/>
          <w:lang w:eastAsia="es-MX"/>
        </w:rPr>
      </w:pPr>
    </w:p>
    <w:p w14:paraId="7762DA73" w14:textId="25B06785"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b/>
          <w:lang w:eastAsia="es-MX"/>
        </w:rPr>
        <w:t xml:space="preserve">a) Turno del Recurso de Revisión. </w:t>
      </w:r>
      <w:r w:rsidRPr="00F100CC">
        <w:rPr>
          <w:rFonts w:ascii="Palatino Linotype" w:eastAsia="Palatino Linotype" w:hAnsi="Palatino Linotype" w:cs="Palatino Linotype"/>
          <w:lang w:eastAsia="es-MX"/>
        </w:rPr>
        <w:t xml:space="preserve">El </w:t>
      </w:r>
      <w:r w:rsidR="008B03C7" w:rsidRPr="00F100CC">
        <w:rPr>
          <w:rFonts w:ascii="Palatino Linotype" w:eastAsia="Palatino Linotype" w:hAnsi="Palatino Linotype" w:cs="Palatino Linotype"/>
          <w:lang w:eastAsia="es-MX"/>
        </w:rPr>
        <w:t xml:space="preserve">nueve de junio de dos mil veinticinco, </w:t>
      </w:r>
      <w:r w:rsidRPr="00F100CC">
        <w:rPr>
          <w:rFonts w:ascii="Palatino Linotype" w:eastAsia="Palatino Linotype" w:hAnsi="Palatino Linotype" w:cs="Palatino Linotype"/>
          <w:lang w:eastAsia="es-MX"/>
        </w:rPr>
        <w:t xml:space="preserve">el Sistema de Acceso a la Información Mexiquense (SAIMEX), asignó el número de </w:t>
      </w:r>
      <w:r w:rsidR="005D2CE9" w:rsidRPr="00F100CC">
        <w:rPr>
          <w:rFonts w:ascii="Palatino Linotype" w:eastAsia="Palatino Linotype" w:hAnsi="Palatino Linotype" w:cs="Palatino Linotype"/>
          <w:lang w:eastAsia="es-MX"/>
        </w:rPr>
        <w:t xml:space="preserve">expediente </w:t>
      </w:r>
      <w:r w:rsidR="008B03C7" w:rsidRPr="00F100CC">
        <w:rPr>
          <w:rFonts w:ascii="Palatino Linotype" w:eastAsia="Palatino Linotype" w:hAnsi="Palatino Linotype" w:cs="Palatino Linotype"/>
          <w:b/>
          <w:lang w:eastAsia="es-MX"/>
        </w:rPr>
        <w:t>06716</w:t>
      </w:r>
      <w:r w:rsidR="00AC61DC" w:rsidRPr="00F100CC">
        <w:rPr>
          <w:rFonts w:ascii="Palatino Linotype" w:eastAsia="Palatino Linotype" w:hAnsi="Palatino Linotype" w:cs="Palatino Linotype"/>
          <w:b/>
          <w:lang w:eastAsia="es-MX"/>
        </w:rPr>
        <w:t>/INFOEM/IP/RR/2025</w:t>
      </w:r>
      <w:r w:rsidRPr="00F100CC">
        <w:rPr>
          <w:rFonts w:ascii="Palatino Linotype" w:eastAsia="Palatino Linotype" w:hAnsi="Palatino Linotype" w:cs="Palatino Linotype"/>
          <w:lang w:eastAsia="es-MX"/>
        </w:rPr>
        <w:t xml:space="preserve">, al medio de impugnación que nos ocupa, con base en el sistema aprobado por el Pleno de este </w:t>
      </w:r>
      <w:r w:rsidR="005D6E32" w:rsidRPr="00F100CC">
        <w:rPr>
          <w:rFonts w:ascii="Palatino Linotype" w:eastAsia="Palatino Linotype" w:hAnsi="Palatino Linotype" w:cs="Palatino Linotype"/>
          <w:lang w:eastAsia="es-MX"/>
        </w:rPr>
        <w:t>O</w:t>
      </w:r>
      <w:r w:rsidRPr="00F100CC">
        <w:rPr>
          <w:rFonts w:ascii="Palatino Linotype" w:eastAsia="Palatino Linotype" w:hAnsi="Palatino Linotype" w:cs="Palatino Linotype"/>
          <w:lang w:eastAsia="es-MX"/>
        </w:rPr>
        <w:t>rgan</w:t>
      </w:r>
      <w:r w:rsidR="005D6E32" w:rsidRPr="00F100CC">
        <w:rPr>
          <w:rFonts w:ascii="Palatino Linotype" w:eastAsia="Palatino Linotype" w:hAnsi="Palatino Linotype" w:cs="Palatino Linotype"/>
          <w:lang w:eastAsia="es-MX"/>
        </w:rPr>
        <w:t>ismo</w:t>
      </w:r>
      <w:r w:rsidRPr="00F100CC">
        <w:rPr>
          <w:rFonts w:ascii="Palatino Linotype" w:eastAsia="Palatino Linotype" w:hAnsi="Palatino Linotype" w:cs="Palatino Linotype"/>
          <w:lang w:eastAsia="es-MX"/>
        </w:rPr>
        <w:t xml:space="preserve"> Garante y lo turnó al Comisionado Ponente Luis Gustavo Parra Noriega, para los efectos del artículo 185, fracción I de la Ley de Transparencia y Acceso a la Información Pública del Estado de México y Municipios.</w:t>
      </w:r>
    </w:p>
    <w:p w14:paraId="26636BF5" w14:textId="77777777" w:rsidR="006909FC" w:rsidRPr="00F100CC" w:rsidRDefault="006909FC" w:rsidP="005D6E32">
      <w:pPr>
        <w:spacing w:after="0" w:line="360" w:lineRule="auto"/>
        <w:jc w:val="both"/>
        <w:rPr>
          <w:rFonts w:ascii="Palatino Linotype" w:eastAsia="Palatino Linotype" w:hAnsi="Palatino Linotype" w:cs="Palatino Linotype"/>
          <w:color w:val="FF0000"/>
          <w:lang w:eastAsia="es-MX"/>
        </w:rPr>
      </w:pPr>
    </w:p>
    <w:p w14:paraId="4F316B59" w14:textId="66F6764A"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b/>
          <w:lang w:eastAsia="es-MX"/>
        </w:rPr>
        <w:lastRenderedPageBreak/>
        <w:t xml:space="preserve">b) Admisión de los Recursos de Revisión. </w:t>
      </w:r>
      <w:r w:rsidRPr="00F100CC">
        <w:rPr>
          <w:rFonts w:ascii="Palatino Linotype" w:eastAsia="Palatino Linotype" w:hAnsi="Palatino Linotype" w:cs="Palatino Linotype"/>
          <w:lang w:eastAsia="es-MX"/>
        </w:rPr>
        <w:t>El</w:t>
      </w:r>
      <w:r w:rsidR="00DB621F" w:rsidRPr="00F100CC">
        <w:rPr>
          <w:rFonts w:ascii="Palatino Linotype" w:eastAsia="Palatino Linotype" w:hAnsi="Palatino Linotype" w:cs="Palatino Linotype"/>
          <w:lang w:eastAsia="es-MX"/>
        </w:rPr>
        <w:t xml:space="preserve"> doce de junio de dos mil veinticinco, </w:t>
      </w:r>
      <w:r w:rsidRPr="00F100CC">
        <w:rPr>
          <w:rFonts w:ascii="Palatino Linotype" w:eastAsia="Palatino Linotype" w:hAnsi="Palatino Linotype" w:cs="Palatino Linotype"/>
          <w:lang w:eastAsia="es-MX"/>
        </w:rPr>
        <w:t>se acordó la admisión del Recurso de Revisión, interpuesto por el Recurrente, en contra del Sujeto Obligado, en términos del artículo 185, fracciones I y II de la Ley de Transparencia y Acceso a la Información Pública del Estado de México y Municipios, el cua</w:t>
      </w:r>
      <w:r w:rsidR="00AC61DC" w:rsidRPr="00F100CC">
        <w:rPr>
          <w:rFonts w:ascii="Palatino Linotype" w:eastAsia="Palatino Linotype" w:hAnsi="Palatino Linotype" w:cs="Palatino Linotype"/>
          <w:lang w:eastAsia="es-MX"/>
        </w:rPr>
        <w:t>l fue notificado a las partes el mismo día</w:t>
      </w:r>
      <w:r w:rsidRPr="00F100CC">
        <w:rPr>
          <w:rFonts w:ascii="Palatino Linotype" w:eastAsia="Palatino Linotype" w:hAnsi="Palatino Linotype" w:cs="Palatino Linotype"/>
          <w:lang w:eastAsia="es-MX"/>
        </w:rPr>
        <w:t>, a través del Sistema de Acceso a la Información Mexiquense (SAIMEX), en el que se les otorgó un plazo de siete días hábiles posteriores a la misma, para que manifestaran lo que a su derecho conviniera y formularan alegatos.</w:t>
      </w:r>
    </w:p>
    <w:p w14:paraId="35F00AE7" w14:textId="77777777" w:rsidR="006909FC" w:rsidRPr="00F100CC" w:rsidRDefault="006909FC" w:rsidP="005D6E32">
      <w:pPr>
        <w:spacing w:after="0" w:line="360" w:lineRule="auto"/>
        <w:jc w:val="both"/>
        <w:rPr>
          <w:rFonts w:ascii="Palatino Linotype" w:eastAsia="Palatino Linotype" w:hAnsi="Palatino Linotype" w:cs="Palatino Linotype"/>
          <w:color w:val="FF0000"/>
          <w:lang w:eastAsia="es-MX"/>
        </w:rPr>
      </w:pPr>
    </w:p>
    <w:p w14:paraId="5F37B1F4" w14:textId="7CEC1A0D" w:rsidR="001E7355"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b/>
          <w:lang w:eastAsia="es-MX"/>
        </w:rPr>
        <w:t>c) Informe Justificado.</w:t>
      </w:r>
      <w:r w:rsidRPr="00F100CC">
        <w:rPr>
          <w:rFonts w:ascii="Palatino Linotype" w:eastAsia="Palatino Linotype" w:hAnsi="Palatino Linotype" w:cs="Palatino Linotype"/>
          <w:lang w:eastAsia="es-MX"/>
        </w:rPr>
        <w:t xml:space="preserve"> </w:t>
      </w:r>
      <w:r w:rsidR="009F3DED" w:rsidRPr="00F100CC">
        <w:rPr>
          <w:rFonts w:ascii="Palatino Linotype" w:eastAsia="Palatino Linotype" w:hAnsi="Palatino Linotype" w:cs="Palatino Linotype"/>
          <w:lang w:eastAsia="es-MX"/>
        </w:rPr>
        <w:t xml:space="preserve">El </w:t>
      </w:r>
      <w:r w:rsidR="00DB621F" w:rsidRPr="00F100CC">
        <w:rPr>
          <w:rFonts w:ascii="Palatino Linotype" w:eastAsia="Palatino Linotype" w:hAnsi="Palatino Linotype" w:cs="Palatino Linotype"/>
          <w:lang w:eastAsia="es-MX"/>
        </w:rPr>
        <w:t xml:space="preserve">veintitrés de junio de dos mil veinticinco, </w:t>
      </w:r>
      <w:r w:rsidR="009F3DED" w:rsidRPr="00F100CC">
        <w:rPr>
          <w:rFonts w:ascii="Palatino Linotype" w:eastAsia="Palatino Linotype" w:hAnsi="Palatino Linotype" w:cs="Palatino Linotype"/>
          <w:lang w:eastAsia="es-MX"/>
        </w:rPr>
        <w:t xml:space="preserve">a través del Sistema de Acceso a la Información Mexiquense (SAIMEX), se recibió en este Instituto el informe justificado por parte del Sujeto Obligado, a través de la digitalización de </w:t>
      </w:r>
      <w:r w:rsidR="00090F5E" w:rsidRPr="00F100CC">
        <w:rPr>
          <w:rFonts w:ascii="Palatino Linotype" w:eastAsia="Palatino Linotype" w:hAnsi="Palatino Linotype" w:cs="Palatino Linotype"/>
          <w:lang w:eastAsia="es-MX"/>
        </w:rPr>
        <w:t xml:space="preserve">un escrito de la misma fecha, </w:t>
      </w:r>
      <w:r w:rsidR="003673F7" w:rsidRPr="00F100CC">
        <w:rPr>
          <w:rFonts w:ascii="Palatino Linotype" w:eastAsia="Palatino Linotype" w:hAnsi="Palatino Linotype" w:cs="Palatino Linotype"/>
          <w:lang w:eastAsia="es-MX"/>
        </w:rPr>
        <w:t>dirigido al Comisionado Ponente, por medio del cual se confirma la respuesta del Sujeto Obligado.</w:t>
      </w:r>
    </w:p>
    <w:p w14:paraId="67506148" w14:textId="4E5A72C4" w:rsidR="009F3DED" w:rsidRPr="00F100CC" w:rsidRDefault="009F3DED" w:rsidP="005D6E32">
      <w:pPr>
        <w:spacing w:after="0" w:line="360" w:lineRule="auto"/>
        <w:jc w:val="both"/>
        <w:rPr>
          <w:rFonts w:ascii="Palatino Linotype" w:eastAsia="Palatino Linotype" w:hAnsi="Palatino Linotype" w:cs="Palatino Linotype"/>
          <w:color w:val="FF0000"/>
          <w:lang w:eastAsia="es-MX"/>
        </w:rPr>
      </w:pPr>
    </w:p>
    <w:p w14:paraId="49991E2B" w14:textId="442ABE63" w:rsidR="009F3DED" w:rsidRPr="00F100CC" w:rsidRDefault="009F3DED" w:rsidP="005D6E32">
      <w:pPr>
        <w:spacing w:after="0" w:line="360" w:lineRule="auto"/>
        <w:jc w:val="both"/>
        <w:rPr>
          <w:rFonts w:ascii="Palatino Linotype" w:eastAsia="Calibri" w:hAnsi="Palatino Linotype" w:cs="Times New Roman"/>
        </w:rPr>
      </w:pPr>
      <w:r w:rsidRPr="00F100CC">
        <w:rPr>
          <w:rFonts w:ascii="Palatino Linotype" w:eastAsia="Palatino Linotype" w:hAnsi="Palatino Linotype" w:cs="Palatino Linotype"/>
          <w:b/>
          <w:bCs/>
          <w:lang w:eastAsia="es-MX"/>
        </w:rPr>
        <w:t>d)</w:t>
      </w:r>
      <w:r w:rsidR="003673F7" w:rsidRPr="00F100CC">
        <w:rPr>
          <w:rFonts w:ascii="Palatino Linotype" w:eastAsia="Palatino Linotype" w:hAnsi="Palatino Linotype" w:cs="Palatino Linotype"/>
          <w:b/>
          <w:bCs/>
          <w:lang w:eastAsia="es-MX"/>
        </w:rPr>
        <w:t xml:space="preserve"> </w:t>
      </w:r>
      <w:r w:rsidRPr="00F100CC">
        <w:rPr>
          <w:rFonts w:ascii="Palatino Linotype" w:eastAsia="Palatino Linotype" w:hAnsi="Palatino Linotype" w:cs="Palatino Linotype"/>
          <w:b/>
          <w:bCs/>
          <w:lang w:eastAsia="es-MX"/>
        </w:rPr>
        <w:t>Vista al Informe Justificado.</w:t>
      </w:r>
      <w:r w:rsidRPr="00F100CC">
        <w:rPr>
          <w:rFonts w:ascii="Palatino Linotype" w:eastAsia="Calibri" w:hAnsi="Palatino Linotype" w:cs="Times New Roman"/>
        </w:rPr>
        <w:t xml:space="preserve"> El </w:t>
      </w:r>
      <w:r w:rsidR="003673F7" w:rsidRPr="00F100CC">
        <w:rPr>
          <w:rFonts w:ascii="Palatino Linotype" w:eastAsia="Calibri" w:hAnsi="Palatino Linotype" w:cs="Times New Roman"/>
        </w:rPr>
        <w:t xml:space="preserve">catorce de julio de dos mil veinticinco, </w:t>
      </w:r>
      <w:r w:rsidRPr="00F100CC">
        <w:rPr>
          <w:rFonts w:ascii="Palatino Linotype" w:eastAsia="Calibri" w:hAnsi="Palatino Linotype" w:cs="Times New Roman"/>
        </w:rPr>
        <w:t xml:space="preserve">se notificó a través del Sistema de Acceso a la Información Mexiquense (SAIMEX), el acuerdo mediante el cual 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 </w:t>
      </w:r>
      <w:r w:rsidRPr="00F100CC">
        <w:rPr>
          <w:rFonts w:ascii="Palatino Linotype" w:eastAsia="Calibri" w:hAnsi="Palatino Linotype" w:cs="Times New Roman"/>
          <w:b/>
          <w:bCs/>
        </w:rPr>
        <w:t>Cabe señalar que el Particular fue omiso en realizar manifestación alguna.</w:t>
      </w:r>
    </w:p>
    <w:p w14:paraId="19FF8C87" w14:textId="12273EA7" w:rsidR="009F3DED" w:rsidRPr="00F100CC" w:rsidRDefault="009F3DED" w:rsidP="005D6E32">
      <w:pPr>
        <w:spacing w:after="0" w:line="360" w:lineRule="auto"/>
        <w:jc w:val="both"/>
        <w:rPr>
          <w:rFonts w:ascii="Palatino Linotype" w:eastAsia="Palatino Linotype" w:hAnsi="Palatino Linotype" w:cs="Palatino Linotype"/>
          <w:b/>
          <w:bCs/>
          <w:color w:val="FF0000"/>
          <w:lang w:eastAsia="es-MX"/>
        </w:rPr>
      </w:pPr>
    </w:p>
    <w:p w14:paraId="44FE0BE7" w14:textId="4F1130DD" w:rsidR="006909FC" w:rsidRPr="00F100CC" w:rsidRDefault="009F3DED"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b/>
          <w:bCs/>
          <w:iCs/>
          <w:sz w:val="20"/>
          <w:szCs w:val="20"/>
          <w:lang w:eastAsia="es-MX"/>
        </w:rPr>
        <w:t>e</w:t>
      </w:r>
      <w:r w:rsidR="006909FC" w:rsidRPr="00F100CC">
        <w:rPr>
          <w:rFonts w:ascii="Palatino Linotype" w:eastAsia="Palatino Linotype" w:hAnsi="Palatino Linotype" w:cs="Palatino Linotype"/>
          <w:b/>
          <w:lang w:eastAsia="es-MX"/>
        </w:rPr>
        <w:t>) Cierre de instrucción.</w:t>
      </w:r>
      <w:r w:rsidR="006909FC" w:rsidRPr="00F100CC">
        <w:rPr>
          <w:rFonts w:ascii="Palatino Linotype" w:eastAsia="Palatino Linotype" w:hAnsi="Palatino Linotype" w:cs="Palatino Linotype"/>
          <w:lang w:eastAsia="es-MX"/>
        </w:rPr>
        <w:t xml:space="preserve"> El </w:t>
      </w:r>
      <w:r w:rsidR="006B688D" w:rsidRPr="00F100CC">
        <w:rPr>
          <w:rFonts w:ascii="Palatino Linotype" w:eastAsia="Palatino Linotype" w:hAnsi="Palatino Linotype" w:cs="Palatino Linotype"/>
          <w:lang w:eastAsia="es-MX"/>
        </w:rPr>
        <w:t xml:space="preserve">cinco de agosto </w:t>
      </w:r>
      <w:r w:rsidR="005F7EE9" w:rsidRPr="00F100CC">
        <w:rPr>
          <w:rFonts w:ascii="Palatino Linotype" w:eastAsia="Palatino Linotype" w:hAnsi="Palatino Linotype" w:cs="Palatino Linotype"/>
          <w:lang w:eastAsia="es-MX"/>
        </w:rPr>
        <w:t xml:space="preserve">de dos mil veinticinco, </w:t>
      </w:r>
      <w:r w:rsidR="006909FC" w:rsidRPr="00F100CC">
        <w:rPr>
          <w:rFonts w:ascii="Palatino Linotype" w:eastAsia="Palatino Linotype" w:hAnsi="Palatino Linotype" w:cs="Palatino Linotype"/>
          <w:lang w:eastAsia="es-MX"/>
        </w:rPr>
        <w:t xml:space="preserve">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006909FC" w:rsidRPr="00F100CC">
        <w:rPr>
          <w:rFonts w:ascii="Palatino Linotype" w:eastAsia="Palatino Linotype" w:hAnsi="Palatino Linotype" w:cs="Palatino Linotype"/>
          <w:lang w:eastAsia="es-MX"/>
        </w:rPr>
        <w:lastRenderedPageBreak/>
        <w:t>Pública del Estado de México y Municipios, mismo que fue notificado a las partes el mismo día, a través del Sistema de Acceso a la Información Mexiquense (SAIMEX).</w:t>
      </w:r>
    </w:p>
    <w:p w14:paraId="611B7196" w14:textId="77777777" w:rsidR="006909FC" w:rsidRPr="00F100CC" w:rsidRDefault="006909FC" w:rsidP="005D6E32">
      <w:pPr>
        <w:spacing w:after="0" w:line="360" w:lineRule="auto"/>
        <w:jc w:val="both"/>
        <w:rPr>
          <w:rFonts w:ascii="Palatino Linotype" w:eastAsia="Palatino Linotype" w:hAnsi="Palatino Linotype" w:cs="Palatino Linotype"/>
          <w:b/>
          <w:color w:val="FF0000"/>
          <w:lang w:eastAsia="es-MX"/>
        </w:rPr>
      </w:pPr>
    </w:p>
    <w:p w14:paraId="74E16B12"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En razón de que fue debidamente sustanciado el expediente electrónico y no existe diligencia pendiente de desahogo, se emite la resolución que conforme a Derecho proceda, de acuerdo a los siguientes: </w:t>
      </w:r>
    </w:p>
    <w:p w14:paraId="06D57ABE" w14:textId="77777777" w:rsidR="006909FC" w:rsidRPr="00F100CC" w:rsidRDefault="006909FC" w:rsidP="005D6E32">
      <w:pPr>
        <w:spacing w:after="0" w:line="360" w:lineRule="auto"/>
        <w:jc w:val="center"/>
        <w:rPr>
          <w:rFonts w:ascii="Palatino Linotype" w:eastAsia="Palatino Linotype" w:hAnsi="Palatino Linotype" w:cs="Palatino Linotype"/>
          <w:b/>
          <w:lang w:eastAsia="es-MX"/>
        </w:rPr>
      </w:pPr>
    </w:p>
    <w:p w14:paraId="46D27F66" w14:textId="77777777" w:rsidR="006909FC" w:rsidRPr="00F100CC" w:rsidRDefault="00301FF4" w:rsidP="00F0352C">
      <w:pPr>
        <w:pStyle w:val="Ttulo1"/>
        <w:rPr>
          <w:rFonts w:eastAsia="Palatino Linotype"/>
          <w:color w:val="auto"/>
          <w:lang w:eastAsia="es-MX"/>
        </w:rPr>
      </w:pPr>
      <w:bookmarkStart w:id="8" w:name="_Toc205472288"/>
      <w:r w:rsidRPr="00F100CC">
        <w:rPr>
          <w:rFonts w:eastAsia="Palatino Linotype"/>
          <w:color w:val="auto"/>
          <w:lang w:eastAsia="es-MX"/>
        </w:rPr>
        <w:t>C O N S I D E R A N D O S</w:t>
      </w:r>
      <w:bookmarkEnd w:id="8"/>
    </w:p>
    <w:p w14:paraId="146E449F" w14:textId="77777777" w:rsidR="006909FC" w:rsidRPr="00F100CC" w:rsidRDefault="006909FC" w:rsidP="005D6E32">
      <w:pPr>
        <w:spacing w:after="0" w:line="360" w:lineRule="auto"/>
        <w:jc w:val="both"/>
        <w:rPr>
          <w:rFonts w:ascii="Palatino Linotype" w:eastAsia="Palatino Linotype" w:hAnsi="Palatino Linotype" w:cs="Palatino Linotype"/>
          <w:b/>
          <w:lang w:eastAsia="es-MX"/>
        </w:rPr>
      </w:pPr>
    </w:p>
    <w:p w14:paraId="654B560F" w14:textId="77777777" w:rsidR="006909FC" w:rsidRPr="00F100CC" w:rsidRDefault="006909FC" w:rsidP="00F0352C">
      <w:pPr>
        <w:pStyle w:val="Ttulo2"/>
        <w:rPr>
          <w:rFonts w:eastAsia="Palatino Linotype"/>
          <w:lang w:eastAsia="es-MX"/>
        </w:rPr>
      </w:pPr>
      <w:bookmarkStart w:id="9" w:name="_Toc205472289"/>
      <w:r w:rsidRPr="00F100CC">
        <w:rPr>
          <w:rFonts w:eastAsia="Palatino Linotype"/>
          <w:lang w:eastAsia="es-MX"/>
        </w:rPr>
        <w:t>PRIMERO. Competencia</w:t>
      </w:r>
      <w:bookmarkEnd w:id="9"/>
    </w:p>
    <w:p w14:paraId="46142816" w14:textId="77777777" w:rsidR="00F100CC" w:rsidRPr="00F100CC" w:rsidRDefault="00F100CC" w:rsidP="00F100CC"/>
    <w:p w14:paraId="6CD5185A" w14:textId="77777777" w:rsidR="00F100CC" w:rsidRPr="00F100CC" w:rsidRDefault="00F100CC" w:rsidP="00F100CC">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6317689" w14:textId="77777777" w:rsidR="006909FC" w:rsidRPr="00F100CC" w:rsidRDefault="006909FC" w:rsidP="005D6E32">
      <w:pPr>
        <w:spacing w:after="0" w:line="360" w:lineRule="auto"/>
        <w:jc w:val="both"/>
        <w:rPr>
          <w:rFonts w:ascii="Palatino Linotype" w:eastAsia="Palatino Linotype" w:hAnsi="Palatino Linotype" w:cs="Palatino Linotype"/>
          <w:b/>
          <w:lang w:eastAsia="es-MX"/>
        </w:rPr>
      </w:pPr>
    </w:p>
    <w:p w14:paraId="1AA2649B" w14:textId="77777777" w:rsidR="006909FC" w:rsidRPr="00F100CC" w:rsidRDefault="006909FC" w:rsidP="00F0352C">
      <w:pPr>
        <w:pStyle w:val="Ttulo2"/>
        <w:rPr>
          <w:rFonts w:eastAsia="Palatino Linotype"/>
          <w:lang w:eastAsia="es-MX"/>
        </w:rPr>
      </w:pPr>
      <w:bookmarkStart w:id="10" w:name="_Toc205472290"/>
      <w:r w:rsidRPr="00F100CC">
        <w:rPr>
          <w:rFonts w:eastAsia="Palatino Linotype"/>
          <w:lang w:eastAsia="es-MX"/>
        </w:rPr>
        <w:t>SEGUNDO. Causales de improcedencia y sobreseimiento</w:t>
      </w:r>
      <w:bookmarkEnd w:id="10"/>
    </w:p>
    <w:p w14:paraId="62FA3FFC"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31D01956" w14:textId="77777777" w:rsidR="000E4351" w:rsidRPr="00F100CC" w:rsidRDefault="000E4351" w:rsidP="005D6E32">
      <w:pPr>
        <w:spacing w:after="0" w:line="360" w:lineRule="auto"/>
        <w:jc w:val="both"/>
        <w:rPr>
          <w:rFonts w:ascii="Palatino Linotype" w:eastAsia="Palatino Linotype" w:hAnsi="Palatino Linotype" w:cs="Palatino Linotype"/>
          <w:lang w:eastAsia="es-MX"/>
        </w:rPr>
      </w:pPr>
    </w:p>
    <w:p w14:paraId="2A2565C1" w14:textId="77777777" w:rsidR="000E4351" w:rsidRPr="00F100CC" w:rsidRDefault="000E4351" w:rsidP="005D6E32">
      <w:pPr>
        <w:spacing w:after="0" w:line="360" w:lineRule="auto"/>
        <w:jc w:val="both"/>
        <w:rPr>
          <w:rFonts w:ascii="Palatino Linotype" w:eastAsia="Palatino Linotype" w:hAnsi="Palatino Linotype" w:cs="Palatino Linotype"/>
          <w:lang w:eastAsia="es-MX"/>
        </w:rPr>
      </w:pPr>
    </w:p>
    <w:p w14:paraId="357590CC" w14:textId="1768CA4B"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De las constancias que forma parte del Recurso de Revisión que se analiza, se advierte que previo al estudio del fondo de la </w:t>
      </w:r>
      <w:r w:rsidRPr="00F100CC">
        <w:rPr>
          <w:rFonts w:ascii="Palatino Linotype" w:eastAsia="Palatino Linotype" w:hAnsi="Palatino Linotype" w:cs="Palatino Linotype"/>
          <w:i/>
          <w:lang w:eastAsia="es-MX"/>
        </w:rPr>
        <w:t>litis</w:t>
      </w:r>
      <w:r w:rsidRPr="00F100CC">
        <w:rPr>
          <w:rFonts w:ascii="Palatino Linotype" w:eastAsia="Palatino Linotype" w:hAnsi="Palatino Linotype" w:cs="Palatino Linotype"/>
          <w:lang w:eastAsia="es-MX"/>
        </w:rPr>
        <w:t>, es necesario estudiar las causales de improcedencia y sobreseimiento que se adviertan, para determinar lo que en Derecho proceda.</w:t>
      </w:r>
    </w:p>
    <w:p w14:paraId="7A40AB50"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1DF907A9" w14:textId="77777777" w:rsidR="006909FC" w:rsidRPr="00F100CC" w:rsidRDefault="006909FC" w:rsidP="005D6E32">
      <w:pPr>
        <w:spacing w:after="0" w:line="360" w:lineRule="auto"/>
        <w:jc w:val="both"/>
        <w:rPr>
          <w:rFonts w:ascii="Palatino Linotype" w:eastAsia="Palatino Linotype" w:hAnsi="Palatino Linotype" w:cs="Palatino Linotype"/>
          <w:b/>
          <w:lang w:eastAsia="es-MX"/>
        </w:rPr>
      </w:pPr>
      <w:r w:rsidRPr="00F100CC">
        <w:rPr>
          <w:rFonts w:ascii="Palatino Linotype" w:eastAsia="Palatino Linotype" w:hAnsi="Palatino Linotype" w:cs="Palatino Linotype"/>
          <w:b/>
          <w:lang w:eastAsia="es-MX"/>
        </w:rPr>
        <w:t>Causales de improcedencia</w:t>
      </w:r>
    </w:p>
    <w:p w14:paraId="75A7B1F0"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3D623255"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w:t>
      </w:r>
    </w:p>
    <w:p w14:paraId="7B31C150"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3ED2237B"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En el presente caso, </w:t>
      </w:r>
      <w:r w:rsidRPr="00F100CC">
        <w:rPr>
          <w:rFonts w:ascii="Palatino Linotype" w:eastAsia="Palatino Linotype" w:hAnsi="Palatino Linotype" w:cs="Palatino Linotype"/>
          <w:b/>
          <w:lang w:eastAsia="es-MX"/>
        </w:rPr>
        <w:t>no se actualiza alguna de las causales de improcedencia</w:t>
      </w:r>
      <w:r w:rsidRPr="00F100CC">
        <w:rPr>
          <w:rFonts w:ascii="Palatino Linotype" w:eastAsia="Palatino Linotype" w:hAnsi="Palatino Linotype" w:cs="Palatino Linotype"/>
          <w:lang w:eastAsia="es-MX"/>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1EA8049F"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3A19255B" w14:textId="77777777" w:rsidR="000E4351" w:rsidRPr="00F100CC" w:rsidRDefault="000E4351" w:rsidP="005D6E32">
      <w:pPr>
        <w:spacing w:after="0" w:line="360" w:lineRule="auto"/>
        <w:jc w:val="both"/>
        <w:rPr>
          <w:rFonts w:ascii="Palatino Linotype" w:eastAsia="Palatino Linotype" w:hAnsi="Palatino Linotype" w:cs="Palatino Linotype"/>
          <w:lang w:eastAsia="es-MX"/>
        </w:rPr>
      </w:pPr>
    </w:p>
    <w:p w14:paraId="2EC6008F" w14:textId="361986FE" w:rsidR="006909FC" w:rsidRPr="00F100CC" w:rsidRDefault="006909FC" w:rsidP="005D6E32">
      <w:pPr>
        <w:widowControl w:val="0"/>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lastRenderedPageBreak/>
        <w:t xml:space="preserve">Asimismo, se actualiza la causal de procedencia del Recurso de Revisión señalada en el artículo 179, fracción IV, de la Ley en cita, pues el Recurrente se </w:t>
      </w:r>
      <w:r w:rsidR="005D6E32" w:rsidRPr="00F100CC">
        <w:rPr>
          <w:rFonts w:ascii="Palatino Linotype" w:eastAsia="Palatino Linotype" w:hAnsi="Palatino Linotype" w:cs="Palatino Linotype"/>
          <w:lang w:eastAsia="es-MX"/>
        </w:rPr>
        <w:t>inconformó con</w:t>
      </w:r>
      <w:r w:rsidRPr="00F100CC">
        <w:rPr>
          <w:rFonts w:ascii="Palatino Linotype" w:eastAsia="Palatino Linotype" w:hAnsi="Palatino Linotype" w:cs="Palatino Linotype"/>
          <w:lang w:eastAsia="es-MX"/>
        </w:rPr>
        <w:t xml:space="preserve"> la incompetencia manifestada.</w:t>
      </w:r>
    </w:p>
    <w:p w14:paraId="7D103BA5" w14:textId="77777777" w:rsidR="006909FC" w:rsidRPr="00F100CC" w:rsidRDefault="006909FC" w:rsidP="005D6E32">
      <w:pPr>
        <w:widowControl w:val="0"/>
        <w:spacing w:after="0" w:line="360" w:lineRule="auto"/>
        <w:jc w:val="both"/>
        <w:rPr>
          <w:rFonts w:ascii="Palatino Linotype" w:eastAsia="Palatino Linotype" w:hAnsi="Palatino Linotype" w:cs="Palatino Linotype"/>
          <w:lang w:eastAsia="es-MX"/>
        </w:rPr>
      </w:pPr>
    </w:p>
    <w:p w14:paraId="72CD3701"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b/>
          <w:lang w:eastAsia="es-MX"/>
        </w:rPr>
        <w:t>Causales de sobreseimiento</w:t>
      </w:r>
    </w:p>
    <w:p w14:paraId="45C40A30"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0CC7B1C7"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Por ser de previo y especial pronunciamiento, este Instituto analiza si se actualiza alguna causal de sobreseimiento.</w:t>
      </w:r>
    </w:p>
    <w:p w14:paraId="63FBC6B4"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4D02D60F"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0DAE228"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6822D0CD"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Por tales motivos, se considera procedente entrar al fondo del presente asunto.</w:t>
      </w:r>
    </w:p>
    <w:p w14:paraId="1AB13220"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1ADCB8EA" w14:textId="77777777" w:rsidR="006909FC" w:rsidRPr="00F100CC" w:rsidRDefault="006909FC" w:rsidP="00F0352C">
      <w:pPr>
        <w:pStyle w:val="Ttulo2"/>
        <w:rPr>
          <w:rFonts w:eastAsia="Palatino Linotype"/>
          <w:lang w:eastAsia="es-MX"/>
        </w:rPr>
      </w:pPr>
      <w:bookmarkStart w:id="11" w:name="_Toc205472291"/>
      <w:r w:rsidRPr="00F100CC">
        <w:rPr>
          <w:rFonts w:eastAsia="Palatino Linotype"/>
          <w:lang w:eastAsia="es-MX"/>
        </w:rPr>
        <w:t>TERCERO. Determinación de la Controversia</w:t>
      </w:r>
      <w:bookmarkEnd w:id="11"/>
    </w:p>
    <w:p w14:paraId="20AEA0D5" w14:textId="77777777" w:rsidR="006909FC" w:rsidRPr="00F100CC" w:rsidRDefault="006909FC" w:rsidP="005D6E32">
      <w:pPr>
        <w:spacing w:after="0" w:line="360" w:lineRule="auto"/>
        <w:jc w:val="both"/>
        <w:rPr>
          <w:rFonts w:ascii="Palatino Linotype" w:eastAsia="Palatino Linotype" w:hAnsi="Palatino Linotype" w:cs="Palatino Linotype"/>
          <w:b/>
          <w:color w:val="FF0000"/>
          <w:lang w:eastAsia="es-MX"/>
        </w:rPr>
      </w:pPr>
    </w:p>
    <w:p w14:paraId="1F7E9AD6" w14:textId="011774B6" w:rsidR="00144E22" w:rsidRPr="00F100CC" w:rsidRDefault="006909FC" w:rsidP="00144E22">
      <w:pPr>
        <w:spacing w:after="0" w:line="360" w:lineRule="auto"/>
        <w:ind w:right="-28"/>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Con el objetivo de ilustrar la controversia planteada, resulta conveniente precisar, que una vez realizado el estudio de las constancias que integran el expediente en el que se actúa, se desprende que el Particular requirió</w:t>
      </w:r>
      <w:bookmarkStart w:id="12" w:name="_Hlk158642445"/>
      <w:r w:rsidRPr="00F100CC">
        <w:rPr>
          <w:rFonts w:ascii="Palatino Linotype" w:eastAsia="Palatino Linotype" w:hAnsi="Palatino Linotype" w:cs="Palatino Linotype"/>
          <w:lang w:eastAsia="es-MX"/>
        </w:rPr>
        <w:t xml:space="preserve">, </w:t>
      </w:r>
      <w:r w:rsidR="00460084" w:rsidRPr="00F100CC">
        <w:rPr>
          <w:rFonts w:ascii="Palatino Linotype" w:eastAsia="Palatino Linotype" w:hAnsi="Palatino Linotype" w:cs="Palatino Linotype"/>
          <w:lang w:eastAsia="es-MX"/>
        </w:rPr>
        <w:t xml:space="preserve">en formato PDF, </w:t>
      </w:r>
      <w:r w:rsidR="00144E22" w:rsidRPr="00F100CC">
        <w:rPr>
          <w:rFonts w:ascii="Palatino Linotype" w:eastAsia="Palatino Linotype" w:hAnsi="Palatino Linotype" w:cs="Palatino Linotype"/>
          <w:lang w:eastAsia="es-MX"/>
        </w:rPr>
        <w:t xml:space="preserve"> en relación con la construcción de los </w:t>
      </w:r>
      <w:r w:rsidR="00144E22" w:rsidRPr="00F100CC">
        <w:rPr>
          <w:rFonts w:ascii="Palatino Linotype" w:eastAsia="Palatino Linotype" w:hAnsi="Palatino Linotype" w:cs="Palatino Linotype"/>
          <w:lang w:eastAsia="es-MX"/>
        </w:rPr>
        <w:lastRenderedPageBreak/>
        <w:t xml:space="preserve">puentes vehiculares y de uso particular que se encuentran obstruyendo la barranca </w:t>
      </w:r>
      <w:r w:rsidR="004E370C" w:rsidRPr="00F100CC">
        <w:rPr>
          <w:rFonts w:ascii="Palatino Linotype" w:eastAsia="Palatino Linotype" w:hAnsi="Palatino Linotype" w:cs="Palatino Linotype"/>
          <w:lang w:eastAsia="es-MX"/>
        </w:rPr>
        <w:t>q</w:t>
      </w:r>
      <w:r w:rsidR="00144E22" w:rsidRPr="00F100CC">
        <w:rPr>
          <w:rFonts w:ascii="Palatino Linotype" w:eastAsia="Palatino Linotype" w:hAnsi="Palatino Linotype" w:cs="Palatino Linotype"/>
          <w:lang w:eastAsia="es-MX"/>
        </w:rPr>
        <w:t>ue se encuentra en la carretera a San Francisco Cuautla en el tramo que comprende del Puente Mezquite al Carril del Tablón frene a la Unidad Habitacional los Héroes Ixtapaluca, lo siguiente:</w:t>
      </w:r>
    </w:p>
    <w:p w14:paraId="571D0A99" w14:textId="77777777" w:rsidR="00144E22" w:rsidRPr="00F100CC" w:rsidRDefault="00144E22" w:rsidP="00144E22">
      <w:pPr>
        <w:spacing w:after="0" w:line="360" w:lineRule="auto"/>
        <w:ind w:right="-28"/>
        <w:jc w:val="both"/>
        <w:rPr>
          <w:rFonts w:ascii="Palatino Linotype" w:eastAsia="Palatino Linotype" w:hAnsi="Palatino Linotype" w:cs="Palatino Linotype"/>
          <w:lang w:eastAsia="es-MX"/>
        </w:rPr>
      </w:pPr>
    </w:p>
    <w:p w14:paraId="17F8E46F" w14:textId="77777777" w:rsidR="00460084" w:rsidRPr="00F100CC" w:rsidRDefault="00460084" w:rsidP="005D6E32">
      <w:pPr>
        <w:spacing w:after="0" w:line="360" w:lineRule="auto"/>
        <w:ind w:right="-28"/>
        <w:jc w:val="both"/>
        <w:rPr>
          <w:rFonts w:ascii="Palatino Linotype" w:eastAsia="Palatino Linotype" w:hAnsi="Palatino Linotype" w:cs="Palatino Linotype"/>
          <w:lang w:eastAsia="es-MX"/>
        </w:rPr>
      </w:pPr>
    </w:p>
    <w:p w14:paraId="251F1D28" w14:textId="77777777" w:rsidR="00144E22" w:rsidRPr="00F100CC" w:rsidRDefault="00A17285" w:rsidP="00450184">
      <w:pPr>
        <w:pStyle w:val="Prrafodelista"/>
        <w:numPr>
          <w:ilvl w:val="0"/>
          <w:numId w:val="18"/>
        </w:numPr>
        <w:spacing w:after="0" w:line="360" w:lineRule="auto"/>
        <w:ind w:right="-28"/>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Los permisos y aut</w:t>
      </w:r>
      <w:r w:rsidR="00515D5D" w:rsidRPr="00F100CC">
        <w:rPr>
          <w:rFonts w:ascii="Palatino Linotype" w:eastAsia="Palatino Linotype" w:hAnsi="Palatino Linotype" w:cs="Palatino Linotype"/>
          <w:lang w:eastAsia="es-MX"/>
        </w:rPr>
        <w:t>orizaciones por parte de las áreas administrativas m</w:t>
      </w:r>
      <w:r w:rsidRPr="00F100CC">
        <w:rPr>
          <w:rFonts w:ascii="Palatino Linotype" w:eastAsia="Palatino Linotype" w:hAnsi="Palatino Linotype" w:cs="Palatino Linotype"/>
          <w:lang w:eastAsia="es-MX"/>
        </w:rPr>
        <w:t>unicipales</w:t>
      </w:r>
      <w:r w:rsidR="00144E22" w:rsidRPr="00F100CC">
        <w:rPr>
          <w:rFonts w:ascii="Palatino Linotype" w:eastAsia="Palatino Linotype" w:hAnsi="Palatino Linotype" w:cs="Palatino Linotype"/>
          <w:lang w:eastAsia="es-MX"/>
        </w:rPr>
        <w:t>.</w:t>
      </w:r>
    </w:p>
    <w:p w14:paraId="0091CF24" w14:textId="0253F686" w:rsidR="00144E22" w:rsidRPr="00F100CC" w:rsidRDefault="00144E22" w:rsidP="00450184">
      <w:pPr>
        <w:pStyle w:val="Prrafodelista"/>
        <w:numPr>
          <w:ilvl w:val="0"/>
          <w:numId w:val="18"/>
        </w:numPr>
        <w:spacing w:after="0" w:line="360" w:lineRule="auto"/>
        <w:ind w:right="-28"/>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E</w:t>
      </w:r>
      <w:r w:rsidR="00A17285" w:rsidRPr="00F100CC">
        <w:rPr>
          <w:rFonts w:ascii="Palatino Linotype" w:eastAsia="Palatino Linotype" w:hAnsi="Palatino Linotype" w:cs="Palatino Linotype"/>
          <w:lang w:eastAsia="es-MX"/>
        </w:rPr>
        <w:t>l fundamento legal qu</w:t>
      </w:r>
      <w:r w:rsidR="00515D5D" w:rsidRPr="00F100CC">
        <w:rPr>
          <w:rFonts w:ascii="Palatino Linotype" w:eastAsia="Palatino Linotype" w:hAnsi="Palatino Linotype" w:cs="Palatino Linotype"/>
          <w:lang w:eastAsia="es-MX"/>
        </w:rPr>
        <w:t>e utilizaron para la autorización</w:t>
      </w:r>
      <w:r w:rsidR="00A17285" w:rsidRPr="00F100CC">
        <w:rPr>
          <w:rFonts w:ascii="Palatino Linotype" w:eastAsia="Palatino Linotype" w:hAnsi="Palatino Linotype" w:cs="Palatino Linotype"/>
          <w:lang w:eastAsia="es-MX"/>
        </w:rPr>
        <w:t xml:space="preserve"> de la construcción de los puentes vehiculares y de uso particular</w:t>
      </w:r>
      <w:r w:rsidRPr="00F100CC">
        <w:rPr>
          <w:rFonts w:ascii="Palatino Linotype" w:eastAsia="Palatino Linotype" w:hAnsi="Palatino Linotype" w:cs="Palatino Linotype"/>
          <w:lang w:eastAsia="es-MX"/>
        </w:rPr>
        <w:t>.</w:t>
      </w:r>
    </w:p>
    <w:p w14:paraId="7AE8CE88" w14:textId="02211E7C" w:rsidR="0019043C" w:rsidRPr="00F100CC" w:rsidRDefault="00144E22" w:rsidP="00450184">
      <w:pPr>
        <w:pStyle w:val="Prrafodelista"/>
        <w:numPr>
          <w:ilvl w:val="0"/>
          <w:numId w:val="18"/>
        </w:numPr>
        <w:spacing w:after="0" w:line="360" w:lineRule="auto"/>
        <w:ind w:right="-28"/>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L</w:t>
      </w:r>
      <w:r w:rsidR="00A17285" w:rsidRPr="00F100CC">
        <w:rPr>
          <w:rFonts w:ascii="Palatino Linotype" w:eastAsia="Palatino Linotype" w:hAnsi="Palatino Linotype" w:cs="Palatino Linotype"/>
          <w:lang w:eastAsia="es-MX"/>
        </w:rPr>
        <w:t>a colocación de tubos para el</w:t>
      </w:r>
      <w:r w:rsidRPr="00F100CC">
        <w:rPr>
          <w:rFonts w:ascii="Palatino Linotype" w:eastAsia="Palatino Linotype" w:hAnsi="Palatino Linotype" w:cs="Palatino Linotype"/>
          <w:lang w:eastAsia="es-MX"/>
        </w:rPr>
        <w:t xml:space="preserve"> paso de agua de dicha barranca.</w:t>
      </w:r>
    </w:p>
    <w:p w14:paraId="10ECF3E5" w14:textId="77777777" w:rsidR="00301FF4" w:rsidRPr="00F100CC" w:rsidRDefault="00301FF4" w:rsidP="005D6E32">
      <w:pPr>
        <w:spacing w:after="0" w:line="360" w:lineRule="auto"/>
        <w:ind w:right="-28"/>
        <w:jc w:val="both"/>
        <w:rPr>
          <w:rFonts w:ascii="Palatino Linotype" w:eastAsia="Palatino Linotype" w:hAnsi="Palatino Linotype" w:cs="Palatino Linotype"/>
          <w:color w:val="FF0000"/>
          <w:lang w:eastAsia="es-MX"/>
        </w:rPr>
      </w:pPr>
    </w:p>
    <w:bookmarkEnd w:id="12"/>
    <w:p w14:paraId="6D5555C8" w14:textId="2873FBCF"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En respuesta, </w:t>
      </w:r>
      <w:r w:rsidR="00DE6148" w:rsidRPr="00F100CC">
        <w:rPr>
          <w:rFonts w:ascii="Palatino Linotype" w:eastAsia="Palatino Linotype" w:hAnsi="Palatino Linotype" w:cs="Palatino Linotype"/>
          <w:lang w:eastAsia="es-MX"/>
        </w:rPr>
        <w:t>Organismo Descentralizado de Agua Potable Alcantarillado y Saneamiento del Municipio de Ixtapaluca</w:t>
      </w:r>
      <w:r w:rsidR="00BE2E0A" w:rsidRPr="00F100CC">
        <w:rPr>
          <w:rFonts w:ascii="Palatino Linotype" w:eastAsia="Palatino Linotype" w:hAnsi="Palatino Linotype" w:cs="Palatino Linotype"/>
          <w:lang w:eastAsia="es-MX"/>
        </w:rPr>
        <w:t xml:space="preserve">, </w:t>
      </w:r>
      <w:r w:rsidR="005D6E32" w:rsidRPr="00F100CC">
        <w:rPr>
          <w:rFonts w:ascii="Palatino Linotype" w:eastAsia="Palatino Linotype" w:hAnsi="Palatino Linotype" w:cs="Palatino Linotype"/>
          <w:lang w:eastAsia="es-MX"/>
        </w:rPr>
        <w:t xml:space="preserve">se declaró incompetente para conocer de la información solicitada, toda vez que la </w:t>
      </w:r>
      <w:r w:rsidR="00BE2E0A" w:rsidRPr="00F100CC">
        <w:rPr>
          <w:rFonts w:ascii="Palatino Linotype" w:eastAsia="Palatino Linotype" w:hAnsi="Palatino Linotype" w:cs="Palatino Linotype"/>
          <w:lang w:eastAsia="es-MX"/>
        </w:rPr>
        <w:t>Dirección de Desarrollo Territorial, Urbano y Medio ambiente, así como a la Dirección de Obras Públicas е Infraestructura del Ayuntamiento de Ixtapaluca, son quienes poseen dicha información</w:t>
      </w:r>
      <w:r w:rsidRPr="00F100CC">
        <w:rPr>
          <w:rFonts w:ascii="Palatino Linotype" w:eastAsia="Palatino Linotype" w:hAnsi="Palatino Linotype" w:cs="Palatino Linotype"/>
          <w:lang w:eastAsia="es-MX"/>
        </w:rPr>
        <w:t>; ante dicha situación, la parte Recurrente se inconformó de la declaración de incompetencia por el Sujeto Obligado,</w:t>
      </w:r>
      <w:r w:rsidR="00BE2E0A" w:rsidRPr="00F100CC">
        <w:rPr>
          <w:rFonts w:ascii="Palatino Linotype" w:eastAsia="Palatino Linotype" w:hAnsi="Palatino Linotype" w:cs="Palatino Linotype"/>
          <w:lang w:eastAsia="es-MX"/>
        </w:rPr>
        <w:t xml:space="preserve"> al señalar que con anterioridad presentó esta misma solicitud de información al Sujeto Obligado del Ayuntamiento de Ixtapaluca a la cual se asignado el folio 00083/IXTAPALU/IP/2025 y recayó la resolución del Recurso de Revisión 03112/INFOEM/IP/RR/2025 mediante la cual se sugirió solicitar la información ante </w:t>
      </w:r>
      <w:r w:rsidR="00DE6148" w:rsidRPr="00F100CC">
        <w:rPr>
          <w:rFonts w:ascii="Palatino Linotype" w:eastAsia="Palatino Linotype" w:hAnsi="Palatino Linotype" w:cs="Palatino Linotype"/>
          <w:lang w:eastAsia="es-MX"/>
        </w:rPr>
        <w:t>Organismo Descentralizado de Agua Potable Alcantarillado y Saneamiento del Municipio de Ixtapaluca</w:t>
      </w:r>
      <w:r w:rsidR="00B92028" w:rsidRPr="00F100CC">
        <w:rPr>
          <w:rFonts w:ascii="Palatino Linotype" w:eastAsia="Palatino Linotype" w:hAnsi="Palatino Linotype" w:cs="Palatino Linotype"/>
        </w:rPr>
        <w:t>, hecho que actualiza</w:t>
      </w:r>
      <w:r w:rsidR="00B92028" w:rsidRPr="00F100CC">
        <w:rPr>
          <w:rFonts w:ascii="Palatino Linotype" w:eastAsia="Palatino Linotype" w:hAnsi="Palatino Linotype" w:cs="Palatino Linotype"/>
          <w:lang w:eastAsia="es-MX"/>
        </w:rPr>
        <w:t xml:space="preserve"> el supuesto previsto</w:t>
      </w:r>
      <w:r w:rsidRPr="00F100CC">
        <w:rPr>
          <w:rFonts w:ascii="Palatino Linotype" w:eastAsia="Palatino Linotype" w:hAnsi="Palatino Linotype" w:cs="Palatino Linotype"/>
          <w:lang w:eastAsia="es-MX"/>
        </w:rPr>
        <w:t xml:space="preserve"> en </w:t>
      </w:r>
      <w:r w:rsidR="00B92028" w:rsidRPr="00F100CC">
        <w:rPr>
          <w:rFonts w:ascii="Palatino Linotype" w:eastAsia="Palatino Linotype" w:hAnsi="Palatino Linotype" w:cs="Palatino Linotype"/>
          <w:lang w:eastAsia="es-MX"/>
        </w:rPr>
        <w:t>el artículo</w:t>
      </w:r>
      <w:r w:rsidRPr="00F100CC">
        <w:rPr>
          <w:rFonts w:ascii="Palatino Linotype" w:eastAsia="Palatino Linotype" w:hAnsi="Palatino Linotype" w:cs="Palatino Linotype"/>
          <w:lang w:eastAsia="es-MX"/>
        </w:rPr>
        <w:t xml:space="preserve"> 179, fracción IV, de la Ley de Transparencia y Acceso a la Información Pública del Estado de México y Municipios.</w:t>
      </w:r>
      <w:r w:rsidR="00204990" w:rsidRPr="00F100CC">
        <w:rPr>
          <w:rFonts w:ascii="Palatino Linotype" w:eastAsia="Palatino Linotype" w:hAnsi="Palatino Linotype" w:cs="Palatino Linotype"/>
          <w:lang w:eastAsia="es-MX"/>
        </w:rPr>
        <w:t xml:space="preserve"> </w:t>
      </w:r>
      <w:r w:rsidRPr="00F100CC">
        <w:rPr>
          <w:rFonts w:ascii="Palatino Linotype" w:eastAsia="Palatino Linotype" w:hAnsi="Palatino Linotype" w:cs="Palatino Linotype"/>
          <w:lang w:eastAsia="es-MX"/>
        </w:rPr>
        <w:t xml:space="preserve">Así las cosas, una vez admitido y notificado el </w:t>
      </w:r>
      <w:r w:rsidRPr="00F100CC">
        <w:rPr>
          <w:rFonts w:ascii="Palatino Linotype" w:eastAsia="Palatino Linotype" w:hAnsi="Palatino Linotype" w:cs="Palatino Linotype"/>
          <w:lang w:eastAsia="es-MX"/>
        </w:rPr>
        <w:lastRenderedPageBreak/>
        <w:t xml:space="preserve">Recurso de Revisión, </w:t>
      </w:r>
      <w:r w:rsidR="00301FF4" w:rsidRPr="00F100CC">
        <w:rPr>
          <w:rFonts w:ascii="Palatino Linotype" w:eastAsia="Palatino Linotype" w:hAnsi="Palatino Linotype" w:cs="Palatino Linotype"/>
          <w:lang w:eastAsia="es-MX"/>
        </w:rPr>
        <w:t xml:space="preserve">las partes </w:t>
      </w:r>
      <w:r w:rsidR="009F3DED" w:rsidRPr="00F100CC">
        <w:rPr>
          <w:rFonts w:ascii="Palatino Linotype" w:eastAsia="Palatino Linotype" w:hAnsi="Palatino Linotype" w:cs="Palatino Linotype"/>
          <w:lang w:eastAsia="es-MX"/>
        </w:rPr>
        <w:t xml:space="preserve">el Sujeto Obligado </w:t>
      </w:r>
      <w:r w:rsidR="005D6E32" w:rsidRPr="00F100CC">
        <w:rPr>
          <w:rFonts w:ascii="Palatino Linotype" w:eastAsia="Palatino Linotype" w:hAnsi="Palatino Linotype" w:cs="Palatino Linotype"/>
          <w:lang w:eastAsia="es-MX"/>
        </w:rPr>
        <w:t>remitió su</w:t>
      </w:r>
      <w:r w:rsidR="009F3DED" w:rsidRPr="00F100CC">
        <w:rPr>
          <w:rFonts w:ascii="Palatino Linotype" w:eastAsia="Palatino Linotype" w:hAnsi="Palatino Linotype" w:cs="Palatino Linotype"/>
          <w:lang w:eastAsia="es-MX"/>
        </w:rPr>
        <w:t xml:space="preserve"> informe justificado por medio del cual ratifico su respuesta.</w:t>
      </w:r>
    </w:p>
    <w:p w14:paraId="7DC8BF55" w14:textId="77777777" w:rsidR="006909FC" w:rsidRPr="00F100CC" w:rsidRDefault="006909FC" w:rsidP="005D6E32">
      <w:pPr>
        <w:spacing w:after="0" w:line="360" w:lineRule="auto"/>
        <w:jc w:val="both"/>
        <w:rPr>
          <w:rFonts w:ascii="Palatino Linotype" w:eastAsia="Palatino Linotype" w:hAnsi="Palatino Linotype" w:cs="Palatino Linotype"/>
          <w:color w:val="FF0000"/>
          <w:lang w:eastAsia="es-MX"/>
        </w:rPr>
      </w:pPr>
    </w:p>
    <w:p w14:paraId="19610C74" w14:textId="5A353BCB"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Lo anterior, se desprende de las documentales que obran en el expediente de referencia, materia de la presente resolución, consistentes en: la solicitud de acceso a la información; la respuesta proporcionada p</w:t>
      </w:r>
      <w:r w:rsidR="00204990" w:rsidRPr="00F100CC">
        <w:rPr>
          <w:rFonts w:ascii="Palatino Linotype" w:eastAsia="Palatino Linotype" w:hAnsi="Palatino Linotype" w:cs="Palatino Linotype"/>
          <w:lang w:eastAsia="es-MX"/>
        </w:rPr>
        <w:t xml:space="preserve">or el Sujeto Obligado, </w:t>
      </w:r>
      <w:r w:rsidRPr="00F100CC">
        <w:rPr>
          <w:rFonts w:ascii="Palatino Linotype" w:eastAsia="Palatino Linotype" w:hAnsi="Palatino Linotype" w:cs="Palatino Linotype"/>
          <w:lang w:eastAsia="es-MX"/>
        </w:rPr>
        <w:t>el escrito recursal</w:t>
      </w:r>
      <w:r w:rsidR="00204990" w:rsidRPr="00F100CC">
        <w:rPr>
          <w:rFonts w:ascii="Palatino Linotype" w:eastAsia="Palatino Linotype" w:hAnsi="Palatino Linotype" w:cs="Palatino Linotype"/>
          <w:lang w:eastAsia="es-MX"/>
        </w:rPr>
        <w:t xml:space="preserve"> y el informe justificado</w:t>
      </w:r>
      <w:r w:rsidRPr="00F100CC">
        <w:rPr>
          <w:rFonts w:ascii="Palatino Linotype" w:eastAsia="Palatino Linotype" w:hAnsi="Palatino Linotype" w:cs="Palatino Linotype"/>
          <w:lang w:eastAsia="es-MX"/>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3B277942" w14:textId="77777777" w:rsidR="006909FC" w:rsidRPr="00F100CC" w:rsidRDefault="006909FC" w:rsidP="005D6E32">
      <w:pPr>
        <w:spacing w:after="0" w:line="360" w:lineRule="auto"/>
        <w:jc w:val="both"/>
        <w:rPr>
          <w:rFonts w:ascii="Palatino Linotype" w:eastAsia="Palatino Linotype" w:hAnsi="Palatino Linotype" w:cs="Palatino Linotype"/>
          <w:color w:val="FF0000"/>
          <w:lang w:eastAsia="es-MX"/>
        </w:rPr>
      </w:pPr>
    </w:p>
    <w:p w14:paraId="7463BEE0" w14:textId="77777777" w:rsidR="006909FC" w:rsidRPr="00F100CC" w:rsidRDefault="006909FC" w:rsidP="00F0352C">
      <w:pPr>
        <w:pStyle w:val="Ttulo2"/>
        <w:rPr>
          <w:rFonts w:eastAsia="Palatino Linotype"/>
          <w:lang w:eastAsia="es-MX"/>
        </w:rPr>
      </w:pPr>
      <w:bookmarkStart w:id="13" w:name="_Toc205472292"/>
      <w:r w:rsidRPr="00F100CC">
        <w:rPr>
          <w:rFonts w:eastAsia="Palatino Linotype"/>
          <w:lang w:eastAsia="es-MX"/>
        </w:rPr>
        <w:t xml:space="preserve">CUARTO. Marco normativo aplicable en materia de transparencia y </w:t>
      </w:r>
      <w:r w:rsidR="00F639D0" w:rsidRPr="00F100CC">
        <w:rPr>
          <w:rFonts w:eastAsia="Palatino Linotype"/>
          <w:lang w:eastAsia="es-MX"/>
        </w:rPr>
        <w:t>acceso a la información pública</w:t>
      </w:r>
      <w:bookmarkEnd w:id="13"/>
    </w:p>
    <w:p w14:paraId="319E98C7" w14:textId="77777777" w:rsidR="006909FC" w:rsidRPr="00F100CC" w:rsidRDefault="006909FC" w:rsidP="005D6E32">
      <w:pPr>
        <w:spacing w:after="0" w:line="360" w:lineRule="auto"/>
        <w:jc w:val="both"/>
        <w:rPr>
          <w:rFonts w:ascii="Palatino Linotype" w:eastAsia="Palatino Linotype" w:hAnsi="Palatino Linotype" w:cs="Palatino Linotype"/>
          <w:b/>
          <w:color w:val="FF0000"/>
          <w:lang w:eastAsia="es-MX"/>
        </w:rPr>
      </w:pPr>
    </w:p>
    <w:p w14:paraId="2C57D872"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1175233"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36B93EA0"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7BA460A1"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6C1BFEE4"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F100CC">
        <w:rPr>
          <w:rFonts w:ascii="Palatino Linotype" w:eastAsia="Palatino Linotype" w:hAnsi="Palatino Linotype" w:cs="Palatino Linotype"/>
          <w:lang w:eastAsia="es-MX"/>
        </w:rPr>
        <w:lastRenderedPageBreak/>
        <w:t>como la información referente a la intimidad de la vida privada y la imagen de las personas, con las excepciones que establezca la ley reglamentaria.</w:t>
      </w:r>
    </w:p>
    <w:p w14:paraId="090E5B28"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06CBB76C"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Por su parte, la Ley de Transparencia y Acceso a la Información Pública del Estado de México y Municipios (Reglamentaria del artículo 5° de la Constitución Local), establece lo siguiente:</w:t>
      </w:r>
    </w:p>
    <w:p w14:paraId="2CD73E4B" w14:textId="77777777" w:rsidR="00241024" w:rsidRPr="00F100CC" w:rsidRDefault="00241024" w:rsidP="005D6E32">
      <w:pPr>
        <w:spacing w:after="0" w:line="360" w:lineRule="auto"/>
        <w:jc w:val="both"/>
        <w:rPr>
          <w:rFonts w:ascii="Palatino Linotype" w:eastAsia="Palatino Linotype" w:hAnsi="Palatino Linotype" w:cs="Palatino Linotype"/>
          <w:lang w:eastAsia="es-MX"/>
        </w:rPr>
      </w:pPr>
    </w:p>
    <w:p w14:paraId="50484BF4"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El artículo 12, que, quienes generen, recopilen, administren, manejen, procesen, archiven o conserven información pública serán responsables de la misma.</w:t>
      </w:r>
    </w:p>
    <w:p w14:paraId="00969F72"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2D6F76B0"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23F18150" w14:textId="77777777" w:rsidR="00AE31C5" w:rsidRPr="00F100CC" w:rsidRDefault="00AE31C5" w:rsidP="005D6E32">
      <w:pPr>
        <w:spacing w:after="0" w:line="360" w:lineRule="auto"/>
        <w:jc w:val="both"/>
        <w:rPr>
          <w:rFonts w:ascii="Palatino Linotype" w:eastAsia="Palatino Linotype" w:hAnsi="Palatino Linotype" w:cs="Palatino Linotype"/>
          <w:lang w:eastAsia="es-MX"/>
        </w:rPr>
      </w:pPr>
    </w:p>
    <w:p w14:paraId="47F5B355"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7EDA9D2" w14:textId="77777777" w:rsidR="006909FC" w:rsidRPr="00F100CC" w:rsidRDefault="006909FC" w:rsidP="005D6E32">
      <w:pPr>
        <w:spacing w:after="0" w:line="360" w:lineRule="auto"/>
        <w:jc w:val="both"/>
        <w:rPr>
          <w:rFonts w:ascii="Palatino Linotype" w:eastAsia="Palatino Linotype" w:hAnsi="Palatino Linotype" w:cs="Palatino Linotype"/>
          <w:lang w:eastAsia="es-MX"/>
        </w:rPr>
      </w:pPr>
    </w:p>
    <w:p w14:paraId="3398A8AB" w14:textId="77777777" w:rsidR="006909FC" w:rsidRPr="00F100CC" w:rsidRDefault="006909FC" w:rsidP="00F0352C">
      <w:pPr>
        <w:pStyle w:val="Ttulo2"/>
        <w:rPr>
          <w:rFonts w:eastAsia="Palatino Linotype"/>
          <w:lang w:eastAsia="es-MX"/>
        </w:rPr>
      </w:pPr>
      <w:bookmarkStart w:id="14" w:name="_Toc205472293"/>
      <w:r w:rsidRPr="00F100CC">
        <w:rPr>
          <w:rFonts w:eastAsia="Palatino Linotype"/>
          <w:lang w:eastAsia="es-MX"/>
        </w:rPr>
        <w:t>QUINTO. Estudio de Fondo</w:t>
      </w:r>
      <w:bookmarkEnd w:id="14"/>
    </w:p>
    <w:p w14:paraId="028B77A0" w14:textId="77777777" w:rsidR="006909FC" w:rsidRPr="00F100CC" w:rsidRDefault="006909FC" w:rsidP="005D6E32">
      <w:pPr>
        <w:spacing w:after="0" w:line="360" w:lineRule="auto"/>
        <w:jc w:val="both"/>
        <w:rPr>
          <w:rFonts w:ascii="Palatino Linotype" w:eastAsia="Palatino Linotype" w:hAnsi="Palatino Linotype" w:cs="Palatino Linotype"/>
          <w:color w:val="FF0000"/>
          <w:lang w:eastAsia="es-MX"/>
        </w:rPr>
      </w:pPr>
    </w:p>
    <w:p w14:paraId="71494831" w14:textId="78307531" w:rsidR="005D2CE9" w:rsidRPr="00F100CC" w:rsidRDefault="006909FC" w:rsidP="005D2CE9">
      <w:pPr>
        <w:spacing w:after="0" w:line="360" w:lineRule="auto"/>
        <w:jc w:val="both"/>
        <w:rPr>
          <w:rFonts w:ascii="Palatino Linotype" w:eastAsia="Palatino Linotype" w:hAnsi="Palatino Linotype" w:cs="Palatino Linotype"/>
          <w:color w:val="FF0000"/>
          <w:lang w:eastAsia="es-MX"/>
        </w:rPr>
      </w:pPr>
      <w:r w:rsidRPr="00F100CC">
        <w:rPr>
          <w:rFonts w:ascii="Palatino Linotype" w:eastAsia="Palatino Linotype" w:hAnsi="Palatino Linotype" w:cs="Palatino Linotype"/>
          <w:lang w:eastAsia="es-MX"/>
        </w:rPr>
        <w:t>Expuestas las posturas de las partes, se procede al análisis del agravio hecho valer por el ahora Recurrente</w:t>
      </w:r>
      <w:r w:rsidR="005D2CE9" w:rsidRPr="00F100CC">
        <w:rPr>
          <w:rFonts w:ascii="Palatino Linotype" w:eastAsia="Palatino Linotype" w:hAnsi="Palatino Linotype" w:cs="Palatino Linotype"/>
          <w:lang w:eastAsia="es-MX"/>
        </w:rPr>
        <w:t>; para lo cual, tanto en respuesta, como en Informe Justificado, el Sujeto Obligado precisó que era incompetente para conocer de la solicitud de información, al señalar que</w:t>
      </w:r>
      <w:r w:rsidR="005D2CE9" w:rsidRPr="00F100CC">
        <w:rPr>
          <w:rFonts w:ascii="Palatino Linotype" w:eastAsia="Palatino Linotype" w:hAnsi="Palatino Linotype" w:cs="Palatino Linotype"/>
          <w:color w:val="FF0000"/>
          <w:lang w:eastAsia="es-MX"/>
        </w:rPr>
        <w:t xml:space="preserve"> </w:t>
      </w:r>
      <w:r w:rsidR="00DE523E" w:rsidRPr="00F100CC">
        <w:rPr>
          <w:rFonts w:ascii="Palatino Linotype" w:eastAsia="Palatino Linotype" w:hAnsi="Palatino Linotype" w:cs="Palatino Linotype"/>
          <w:lang w:eastAsia="es-MX"/>
        </w:rPr>
        <w:t xml:space="preserve">toda vez que la Dirección de Desarrollo Territorial, Urbano y Medio ambiente, </w:t>
      </w:r>
      <w:r w:rsidR="00DE523E" w:rsidRPr="00F100CC">
        <w:rPr>
          <w:rFonts w:ascii="Palatino Linotype" w:eastAsia="Palatino Linotype" w:hAnsi="Palatino Linotype" w:cs="Palatino Linotype"/>
          <w:lang w:eastAsia="es-MX"/>
        </w:rPr>
        <w:lastRenderedPageBreak/>
        <w:t>así como a la Dirección de Obras Públicas е Infraestructura del Ayuntamiento de Ixtapaluca, son quienes poseen dicha información</w:t>
      </w:r>
      <w:r w:rsidR="005D2CE9" w:rsidRPr="00F100CC">
        <w:rPr>
          <w:rFonts w:ascii="Palatino Linotype" w:eastAsia="Palatino Linotype" w:hAnsi="Palatino Linotype" w:cs="Palatino Linotype"/>
          <w:lang w:eastAsia="es-MX"/>
        </w:rPr>
        <w:t xml:space="preserve">; al respecto,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005D2CE9" w:rsidRPr="00F100CC">
        <w:rPr>
          <w:rFonts w:ascii="Palatino Linotype" w:eastAsia="Palatino Linotype" w:hAnsi="Palatino Linotype" w:cs="Palatino Linotype"/>
          <w:b/>
          <w:bCs/>
          <w:lang w:eastAsia="es-MX"/>
        </w:rPr>
        <w:t>cuando la misma no sea competencia del sujeto obligado ante el cual se formule la solicitud de acceso</w:t>
      </w:r>
      <w:r w:rsidR="005D2CE9" w:rsidRPr="00F100CC">
        <w:rPr>
          <w:rFonts w:ascii="Palatino Linotype" w:eastAsia="Palatino Linotype" w:hAnsi="Palatino Linotype" w:cs="Palatino Linotype"/>
          <w:b/>
          <w:bCs/>
          <w:color w:val="FF0000"/>
          <w:lang w:eastAsia="es-MX"/>
        </w:rPr>
        <w:t>.</w:t>
      </w:r>
    </w:p>
    <w:p w14:paraId="23637D4F" w14:textId="77777777" w:rsidR="005D2CE9" w:rsidRPr="00F100CC" w:rsidRDefault="005D2CE9" w:rsidP="005D2CE9">
      <w:pPr>
        <w:spacing w:after="0" w:line="360" w:lineRule="auto"/>
        <w:ind w:right="-28"/>
        <w:jc w:val="both"/>
        <w:rPr>
          <w:rFonts w:ascii="Palatino Linotype" w:eastAsia="Palatino Linotype" w:hAnsi="Palatino Linotype" w:cs="Palatino Linotype"/>
          <w:color w:val="FF0000"/>
          <w:lang w:eastAsia="es-MX"/>
        </w:rPr>
      </w:pPr>
    </w:p>
    <w:p w14:paraId="3ACAFCC4" w14:textId="77777777" w:rsidR="005D2CE9" w:rsidRPr="00F100CC" w:rsidRDefault="005D2CE9" w:rsidP="005D2CE9">
      <w:pPr>
        <w:widowControl w:val="0"/>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Como se logra observar, si bien la Ley de la materia, prevé el supuesto de incompetencia para que los sujetos obligados den atención a solitudes de información, también lo es, que no se precisa en que consiste dicho concepto; al respecto, Cabanellas, Guillermo (1993), en el “Diccionario Jurídico Elemental” (p. 32 y 161), precisó los siguientes conceptos:</w:t>
      </w:r>
    </w:p>
    <w:p w14:paraId="184FC678" w14:textId="77777777" w:rsidR="005D2CE9" w:rsidRPr="00F100CC" w:rsidRDefault="005D2CE9" w:rsidP="005D2CE9">
      <w:pPr>
        <w:widowControl w:val="0"/>
        <w:spacing w:after="0" w:line="360" w:lineRule="auto"/>
        <w:jc w:val="both"/>
        <w:rPr>
          <w:rFonts w:ascii="Palatino Linotype" w:eastAsia="Palatino Linotype" w:hAnsi="Palatino Linotype" w:cs="Palatino Linotype"/>
          <w:lang w:eastAsia="es-MX"/>
        </w:rPr>
      </w:pPr>
    </w:p>
    <w:p w14:paraId="477DA636" w14:textId="77777777" w:rsidR="005D2CE9" w:rsidRPr="00F100CC" w:rsidRDefault="005D2CE9" w:rsidP="005D2CE9">
      <w:pPr>
        <w:widowControl w:val="0"/>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b/>
          <w:lang w:eastAsia="es-MX"/>
        </w:rPr>
        <w:t>Competencia:</w:t>
      </w:r>
      <w:r w:rsidRPr="00F100CC">
        <w:rPr>
          <w:rFonts w:ascii="Palatino Linotype" w:eastAsia="Palatino Linotype" w:hAnsi="Palatino Linotype" w:cs="Palatino Linotype"/>
          <w:lang w:eastAsia="es-MX"/>
        </w:rPr>
        <w:t xml:space="preserve"> La capacidad de una autoridad para conocer sobre una materia o asunto.</w:t>
      </w:r>
    </w:p>
    <w:p w14:paraId="7EC6B86A" w14:textId="77777777" w:rsidR="006F56F6" w:rsidRPr="00F100CC" w:rsidRDefault="006F56F6" w:rsidP="006F56F6">
      <w:pPr>
        <w:widowControl w:val="0"/>
        <w:pBdr>
          <w:top w:val="nil"/>
          <w:left w:val="nil"/>
          <w:bottom w:val="nil"/>
          <w:right w:val="nil"/>
          <w:between w:val="nil"/>
        </w:pBdr>
        <w:spacing w:after="0" w:line="360" w:lineRule="auto"/>
        <w:ind w:left="720"/>
        <w:jc w:val="both"/>
        <w:rPr>
          <w:rFonts w:ascii="Palatino Linotype" w:eastAsia="Palatino Linotype" w:hAnsi="Palatino Linotype" w:cs="Palatino Linotype"/>
          <w:lang w:eastAsia="es-MX"/>
        </w:rPr>
      </w:pPr>
    </w:p>
    <w:p w14:paraId="3A5E3D6F" w14:textId="77777777" w:rsidR="005D2CE9" w:rsidRPr="00F100CC" w:rsidRDefault="005D2CE9" w:rsidP="005D2CE9">
      <w:pPr>
        <w:widowControl w:val="0"/>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b/>
          <w:lang w:eastAsia="es-MX"/>
        </w:rPr>
        <w:t>Incompetencia:</w:t>
      </w:r>
      <w:r w:rsidRPr="00F100CC">
        <w:rPr>
          <w:rFonts w:ascii="Palatino Linotype" w:eastAsia="Palatino Linotype" w:hAnsi="Palatino Linotype" w:cs="Palatino Linotype"/>
          <w:lang w:eastAsia="es-MX"/>
        </w:rPr>
        <w:t xml:space="preserve"> Falta de Competencia.</w:t>
      </w:r>
    </w:p>
    <w:p w14:paraId="4C67A0AB" w14:textId="77777777" w:rsidR="005D2CE9" w:rsidRPr="00F100CC" w:rsidRDefault="005D2CE9" w:rsidP="005D2CE9">
      <w:pPr>
        <w:widowControl w:val="0"/>
        <w:spacing w:after="0" w:line="360" w:lineRule="auto"/>
        <w:jc w:val="both"/>
        <w:rPr>
          <w:rFonts w:ascii="Palatino Linotype" w:eastAsia="Palatino Linotype" w:hAnsi="Palatino Linotype" w:cs="Palatino Linotype"/>
          <w:color w:val="FF0000"/>
          <w:lang w:eastAsia="es-MX"/>
        </w:rPr>
      </w:pPr>
    </w:p>
    <w:p w14:paraId="3E8B95B1" w14:textId="77777777" w:rsidR="005D2CE9" w:rsidRPr="00F100CC" w:rsidRDefault="005D2CE9" w:rsidP="005D2CE9">
      <w:pPr>
        <w:widowControl w:val="0"/>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w:t>
      </w:r>
    </w:p>
    <w:p w14:paraId="0BFA6B6A" w14:textId="77777777" w:rsidR="005D2CE9" w:rsidRPr="00F100CC" w:rsidRDefault="005D2CE9" w:rsidP="005D2CE9">
      <w:pPr>
        <w:widowControl w:val="0"/>
        <w:spacing w:after="0" w:line="360" w:lineRule="auto"/>
        <w:jc w:val="both"/>
        <w:rPr>
          <w:rFonts w:ascii="Palatino Linotype" w:eastAsia="Palatino Linotype" w:hAnsi="Palatino Linotype" w:cs="Palatino Linotype"/>
          <w:lang w:eastAsia="es-MX"/>
        </w:rPr>
      </w:pPr>
    </w:p>
    <w:p w14:paraId="20F77942" w14:textId="77777777" w:rsidR="005D2CE9" w:rsidRPr="00F100CC" w:rsidRDefault="005D2CE9" w:rsidP="005D2CE9">
      <w:pPr>
        <w:spacing w:after="0" w:line="360" w:lineRule="auto"/>
        <w:ind w:left="567" w:right="567"/>
        <w:jc w:val="both"/>
        <w:rPr>
          <w:rFonts w:ascii="Palatino Linotype" w:eastAsia="Palatino Linotype" w:hAnsi="Palatino Linotype" w:cs="Palatino Linotype"/>
          <w:i/>
          <w:sz w:val="20"/>
          <w:szCs w:val="20"/>
          <w:lang w:eastAsia="es-MX"/>
        </w:rPr>
      </w:pPr>
      <w:r w:rsidRPr="00F100CC">
        <w:rPr>
          <w:rFonts w:ascii="Palatino Linotype" w:eastAsia="Palatino Linotype" w:hAnsi="Palatino Linotype" w:cs="Palatino Linotype"/>
          <w:b/>
          <w:i/>
          <w:sz w:val="20"/>
          <w:szCs w:val="20"/>
          <w:lang w:eastAsia="es-MX"/>
        </w:rPr>
        <w:t xml:space="preserve">LEGITIMACIÓN DE FUNCIONARIOS PÚBLICOS. LOS TRIBUNALES DE AMPARO, POR ESTAR VINCULADOS CON EL CONCEPTO DE COMPETENCIA A </w:t>
      </w:r>
      <w:r w:rsidRPr="00F100CC">
        <w:rPr>
          <w:rFonts w:ascii="Palatino Linotype" w:eastAsia="Palatino Linotype" w:hAnsi="Palatino Linotype" w:cs="Palatino Linotype"/>
          <w:b/>
          <w:i/>
          <w:sz w:val="20"/>
          <w:szCs w:val="20"/>
          <w:lang w:eastAsia="es-MX"/>
        </w:rPr>
        <w:lastRenderedPageBreak/>
        <w:t>QUE SE REFIERE EL ARTÍCULO 16 CONSTITUCIONAL, NO PUEDEN CONOCER DE AQUÉLLA</w:t>
      </w:r>
      <w:r w:rsidRPr="00F100CC">
        <w:rPr>
          <w:rFonts w:ascii="Palatino Linotype" w:eastAsia="Palatino Linotype" w:hAnsi="Palatino Linotype" w:cs="Palatino Linotype"/>
          <w:i/>
          <w:sz w:val="20"/>
          <w:szCs w:val="20"/>
          <w:lang w:eastAsia="es-MX"/>
        </w:rPr>
        <w:t>.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0F391D9" w14:textId="77777777" w:rsidR="005D2CE9" w:rsidRPr="00F100CC" w:rsidRDefault="005D2CE9" w:rsidP="005D2CE9">
      <w:pPr>
        <w:widowControl w:val="0"/>
        <w:spacing w:after="0" w:line="360" w:lineRule="auto"/>
        <w:jc w:val="both"/>
        <w:rPr>
          <w:rFonts w:ascii="Palatino Linotype" w:eastAsia="Palatino Linotype" w:hAnsi="Palatino Linotype" w:cs="Palatino Linotype"/>
          <w:lang w:eastAsia="es-MX"/>
        </w:rPr>
      </w:pPr>
    </w:p>
    <w:p w14:paraId="2B2F0681" w14:textId="77777777" w:rsidR="005D2CE9" w:rsidRPr="00F100CC" w:rsidRDefault="005D2CE9" w:rsidP="005D2CE9">
      <w:pPr>
        <w:widowControl w:val="0"/>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De la misma manera, resulta necesario traer a colación, el Criterio de Interpretación, de la Segunda Época, con número de registro SO/013/2017, emitido por el Instituto Nacional de Transparencia, Acceso a la Información y Protección de Datos Personales, el cual establece que </w:t>
      </w:r>
      <w:r w:rsidRPr="00F100CC">
        <w:rPr>
          <w:rFonts w:ascii="Palatino Linotype" w:eastAsia="Palatino Linotype" w:hAnsi="Palatino Linotype" w:cs="Palatino Linotype"/>
          <w:b/>
          <w:bCs/>
          <w:lang w:eastAsia="es-MX"/>
        </w:rPr>
        <w:t>la incompetencia implica</w:t>
      </w:r>
      <w:r w:rsidRPr="00F100CC">
        <w:rPr>
          <w:rFonts w:ascii="Palatino Linotype" w:eastAsia="Palatino Linotype" w:hAnsi="Palatino Linotype" w:cs="Palatino Linotype"/>
          <w:lang w:eastAsia="es-MX"/>
        </w:rPr>
        <w:t xml:space="preserve">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46194014" w14:textId="77777777" w:rsidR="005D2CE9" w:rsidRPr="00F100CC" w:rsidRDefault="005D2CE9" w:rsidP="005D2CE9">
      <w:pPr>
        <w:widowControl w:val="0"/>
        <w:spacing w:after="0" w:line="360" w:lineRule="auto"/>
        <w:jc w:val="both"/>
        <w:rPr>
          <w:rFonts w:ascii="Palatino Linotype" w:eastAsia="Palatino Linotype" w:hAnsi="Palatino Linotype" w:cs="Palatino Linotype"/>
          <w:color w:val="FF0000"/>
          <w:lang w:eastAsia="es-MX"/>
        </w:rPr>
      </w:pPr>
    </w:p>
    <w:p w14:paraId="760CCB4A" w14:textId="60E2A03E" w:rsidR="00DE523E" w:rsidRPr="00F100CC" w:rsidRDefault="005D2CE9" w:rsidP="005D2CE9">
      <w:pPr>
        <w:spacing w:after="0" w:line="360" w:lineRule="auto"/>
        <w:jc w:val="both"/>
        <w:rPr>
          <w:rFonts w:ascii="Palatino Linotype" w:eastAsia="Calibri" w:hAnsi="Palatino Linotype" w:cs="Times New Roman"/>
          <w:bCs/>
          <w:color w:val="FF0000"/>
          <w:lang w:eastAsia="es-MX"/>
        </w:rPr>
      </w:pPr>
      <w:r w:rsidRPr="00F100CC">
        <w:rPr>
          <w:rFonts w:ascii="Palatino Linotype" w:eastAsia="Palatino Linotype" w:hAnsi="Palatino Linotype" w:cs="Palatino Linotype"/>
          <w:lang w:eastAsia="es-MX"/>
        </w:rPr>
        <w:t xml:space="preserve">Por tanto, a continuación, se analiza si en la especie, el Ente Recurrido cuenta con atribuciones para conocer sobre la información requerida; para lo cual, </w:t>
      </w:r>
      <w:r w:rsidRPr="00F100CC">
        <w:rPr>
          <w:rFonts w:ascii="Palatino Linotype" w:eastAsia="Calibri" w:hAnsi="Palatino Linotype" w:cs="Times New Roman"/>
          <w:bCs/>
          <w:lang w:eastAsia="es-MX"/>
        </w:rPr>
        <w:t xml:space="preserve">el artículo </w:t>
      </w:r>
      <w:r w:rsidR="00DE523E" w:rsidRPr="00F100CC">
        <w:rPr>
          <w:rFonts w:ascii="Palatino Linotype" w:eastAsia="Calibri" w:hAnsi="Palatino Linotype" w:cs="Times New Roman"/>
          <w:bCs/>
          <w:lang w:eastAsia="es-MX"/>
        </w:rPr>
        <w:t xml:space="preserve">143 del Bando Municipal del Ayuntamiento de Ixtapaluca </w:t>
      </w:r>
      <w:r w:rsidR="00F55182" w:rsidRPr="00F100CC">
        <w:rPr>
          <w:rFonts w:ascii="Palatino Linotype" w:eastAsia="Calibri" w:hAnsi="Palatino Linotype" w:cs="Times New Roman"/>
          <w:bCs/>
          <w:lang w:eastAsia="es-MX"/>
        </w:rPr>
        <w:t xml:space="preserve">dos mil veinticinco, </w:t>
      </w:r>
      <w:r w:rsidR="00DE523E" w:rsidRPr="00F100CC">
        <w:rPr>
          <w:rFonts w:ascii="Palatino Linotype" w:eastAsia="Calibri" w:hAnsi="Palatino Linotype" w:cs="Times New Roman"/>
          <w:bCs/>
          <w:lang w:eastAsia="es-MX"/>
        </w:rPr>
        <w:t xml:space="preserve">establece que la </w:t>
      </w:r>
      <w:r w:rsidR="00DE523E" w:rsidRPr="00F100CC">
        <w:rPr>
          <w:rFonts w:ascii="Palatino Linotype" w:eastAsia="Calibri" w:hAnsi="Palatino Linotype" w:cs="Times New Roman"/>
          <w:b/>
          <w:bCs/>
          <w:lang w:eastAsia="es-MX"/>
        </w:rPr>
        <w:t>Dirección de Desarrollo Territorial, Urbano y Medio Ambiente</w:t>
      </w:r>
      <w:r w:rsidR="00DE523E" w:rsidRPr="00F100CC">
        <w:rPr>
          <w:rFonts w:ascii="Palatino Linotype" w:eastAsia="Calibri" w:hAnsi="Palatino Linotype" w:cs="Times New Roman"/>
          <w:bCs/>
          <w:lang w:eastAsia="es-MX"/>
        </w:rPr>
        <w:t xml:space="preserve">, tiene como objeto promover el ordenamiento territorial e integral del municipio, mediante la planificación </w:t>
      </w:r>
      <w:r w:rsidR="00DE523E" w:rsidRPr="00F100CC">
        <w:rPr>
          <w:rFonts w:ascii="Palatino Linotype" w:eastAsia="Calibri" w:hAnsi="Palatino Linotype" w:cs="Times New Roman"/>
          <w:bCs/>
          <w:lang w:eastAsia="es-MX"/>
        </w:rPr>
        <w:lastRenderedPageBreak/>
        <w:t xml:space="preserve">urbana institucionalizada y programada, enfocada a lograr un crecimiento ordenado y sustentable que garantice beneficios a todos los segmentos de la población, misma que dentro de sus atribuciones se encarga entre otras cosas de </w:t>
      </w:r>
      <w:r w:rsidR="00DE523E" w:rsidRPr="00F100CC">
        <w:rPr>
          <w:rFonts w:ascii="Palatino Linotype" w:eastAsia="Calibri" w:hAnsi="Palatino Linotype" w:cs="Times New Roman"/>
          <w:b/>
          <w:bCs/>
          <w:u w:val="single"/>
          <w:lang w:eastAsia="es-MX"/>
        </w:rPr>
        <w:t>autorizar, controlar y vigilar, a través de la Dependencia respectiva, la utilización del suelo, otorgar licencias de uso de suelo y de construcción, y toda autorización que la normatividad indique</w:t>
      </w:r>
      <w:r w:rsidR="00DE523E" w:rsidRPr="00F100CC">
        <w:rPr>
          <w:rFonts w:ascii="Palatino Linotype" w:eastAsia="Calibri" w:hAnsi="Palatino Linotype" w:cs="Times New Roman"/>
          <w:bCs/>
          <w:lang w:eastAsia="es-MX"/>
        </w:rPr>
        <w:t>, previo cumplimiento de requisitos.</w:t>
      </w:r>
    </w:p>
    <w:p w14:paraId="3A3ECB63" w14:textId="77777777" w:rsidR="00DE523E" w:rsidRPr="00F100CC" w:rsidRDefault="00DE523E" w:rsidP="005D2CE9">
      <w:pPr>
        <w:spacing w:after="0" w:line="360" w:lineRule="auto"/>
        <w:jc w:val="both"/>
        <w:rPr>
          <w:rFonts w:ascii="Palatino Linotype" w:eastAsia="Calibri" w:hAnsi="Palatino Linotype" w:cs="Times New Roman"/>
          <w:bCs/>
          <w:color w:val="FF0000"/>
          <w:lang w:eastAsia="es-MX"/>
        </w:rPr>
      </w:pPr>
    </w:p>
    <w:p w14:paraId="160D54E2" w14:textId="362776F9" w:rsidR="00DE523E" w:rsidRPr="00F100CC" w:rsidRDefault="00F55182" w:rsidP="005D2CE9">
      <w:pPr>
        <w:spacing w:after="0" w:line="360" w:lineRule="auto"/>
        <w:jc w:val="both"/>
        <w:rPr>
          <w:rFonts w:ascii="Palatino Linotype" w:eastAsia="Calibri" w:hAnsi="Palatino Linotype" w:cs="Times New Roman"/>
          <w:b/>
          <w:bCs/>
          <w:lang w:eastAsia="es-MX"/>
        </w:rPr>
      </w:pPr>
      <w:r w:rsidRPr="00F100CC">
        <w:rPr>
          <w:rFonts w:ascii="Palatino Linotype" w:eastAsia="Calibri" w:hAnsi="Palatino Linotype" w:cs="Times New Roman"/>
          <w:bCs/>
          <w:lang w:eastAsia="es-MX"/>
        </w:rPr>
        <w:t xml:space="preserve">En esa misma consecución de ideas, </w:t>
      </w:r>
      <w:r w:rsidR="004A6245" w:rsidRPr="00F100CC">
        <w:rPr>
          <w:rFonts w:ascii="Palatino Linotype" w:eastAsia="Calibri" w:hAnsi="Palatino Linotype" w:cs="Times New Roman"/>
          <w:bCs/>
          <w:lang w:eastAsia="es-MX"/>
        </w:rPr>
        <w:t xml:space="preserve"> el artículo 5.10 del Código Administrativo del estado de México refiere que dentro de las atribuciones con las que cuentan los municipios se encuentra el expedir cédulas informativas de zonificación, licencias de uso de suelo y </w:t>
      </w:r>
      <w:r w:rsidR="004A6245" w:rsidRPr="00F100CC">
        <w:rPr>
          <w:rFonts w:ascii="Palatino Linotype" w:eastAsia="Calibri" w:hAnsi="Palatino Linotype" w:cs="Times New Roman"/>
          <w:b/>
          <w:bCs/>
          <w:lang w:eastAsia="es-MX"/>
        </w:rPr>
        <w:t>licencias de construcción.</w:t>
      </w:r>
    </w:p>
    <w:p w14:paraId="230C0381" w14:textId="77777777" w:rsidR="004A6245" w:rsidRPr="00F100CC" w:rsidRDefault="004A6245" w:rsidP="005D2CE9">
      <w:pPr>
        <w:spacing w:after="0" w:line="360" w:lineRule="auto"/>
        <w:jc w:val="both"/>
        <w:rPr>
          <w:rFonts w:ascii="Palatino Linotype" w:eastAsia="Calibri" w:hAnsi="Palatino Linotype" w:cs="Times New Roman"/>
          <w:b/>
          <w:bCs/>
          <w:lang w:eastAsia="es-MX"/>
        </w:rPr>
      </w:pPr>
    </w:p>
    <w:p w14:paraId="1EEF258F" w14:textId="2410A71A" w:rsidR="004A6245" w:rsidRPr="00F100CC" w:rsidRDefault="004A6245" w:rsidP="005D2CE9">
      <w:pPr>
        <w:spacing w:after="0" w:line="360" w:lineRule="auto"/>
        <w:jc w:val="both"/>
        <w:rPr>
          <w:rFonts w:ascii="Palatino Linotype" w:eastAsia="Calibri" w:hAnsi="Palatino Linotype" w:cs="Times New Roman"/>
          <w:b/>
          <w:bCs/>
          <w:lang w:eastAsia="es-MX"/>
        </w:rPr>
      </w:pPr>
      <w:r w:rsidRPr="00F100CC">
        <w:rPr>
          <w:rFonts w:ascii="Palatino Linotype" w:eastAsia="Calibri" w:hAnsi="Palatino Linotype" w:cs="Times New Roman"/>
          <w:bCs/>
          <w:lang w:eastAsia="es-MX"/>
        </w:rPr>
        <w:t>Por otra parte, el artículo 96 Sexies de la Ley Orgánica Municipal del Estado de México señala que el Director de Desarrollo Urbano o el Titular de la Unidad Administrativa equivalente</w:t>
      </w:r>
      <w:r w:rsidR="00891304" w:rsidRPr="00F100CC">
        <w:rPr>
          <w:rFonts w:ascii="Palatino Linotype" w:eastAsia="Calibri" w:hAnsi="Palatino Linotype" w:cs="Times New Roman"/>
          <w:bCs/>
          <w:lang w:eastAsia="es-MX"/>
        </w:rPr>
        <w:t xml:space="preserve">, dentro de sus atribuciones se encarga entre otras cosas de analizar las cédulas informativas de zonificación, licencias de uso de suelo y </w:t>
      </w:r>
      <w:r w:rsidR="00891304" w:rsidRPr="00F100CC">
        <w:rPr>
          <w:rFonts w:ascii="Palatino Linotype" w:eastAsia="Calibri" w:hAnsi="Palatino Linotype" w:cs="Times New Roman"/>
          <w:b/>
          <w:bCs/>
          <w:lang w:eastAsia="es-MX"/>
        </w:rPr>
        <w:t>licencias de construcción.</w:t>
      </w:r>
    </w:p>
    <w:p w14:paraId="2DE755FB" w14:textId="77777777" w:rsidR="00891304" w:rsidRPr="00F100CC" w:rsidRDefault="00891304" w:rsidP="005D2CE9">
      <w:pPr>
        <w:spacing w:after="0" w:line="360" w:lineRule="auto"/>
        <w:jc w:val="both"/>
        <w:rPr>
          <w:rFonts w:ascii="Palatino Linotype" w:eastAsia="Calibri" w:hAnsi="Palatino Linotype" w:cs="Times New Roman"/>
          <w:b/>
          <w:bCs/>
          <w:lang w:eastAsia="es-MX"/>
        </w:rPr>
      </w:pPr>
    </w:p>
    <w:p w14:paraId="187E1342" w14:textId="3898F075" w:rsidR="00DE523E" w:rsidRPr="00F100CC" w:rsidRDefault="003C7E3C" w:rsidP="005D2CE9">
      <w:pPr>
        <w:spacing w:after="0" w:line="360" w:lineRule="auto"/>
        <w:jc w:val="both"/>
        <w:rPr>
          <w:rFonts w:ascii="Palatino Linotype" w:eastAsia="Calibri" w:hAnsi="Palatino Linotype" w:cs="Times New Roman"/>
          <w:bCs/>
          <w:lang w:eastAsia="es-MX"/>
        </w:rPr>
      </w:pPr>
      <w:r w:rsidRPr="00F100CC">
        <w:rPr>
          <w:rFonts w:ascii="Palatino Linotype" w:eastAsia="Calibri" w:hAnsi="Palatino Linotype" w:cs="Times New Roman"/>
          <w:bCs/>
          <w:lang w:eastAsia="es-MX"/>
        </w:rPr>
        <w:t xml:space="preserve">Ahora bien, el Manual General de Organización del </w:t>
      </w:r>
      <w:r w:rsidRPr="00F100CC">
        <w:rPr>
          <w:rFonts w:ascii="Palatino Linotype" w:eastAsia="Palatino Linotype" w:hAnsi="Palatino Linotype" w:cs="Palatino Linotype"/>
        </w:rPr>
        <w:t>Organismo Descentralizado de Agua Potable Alcantarillado y San</w:t>
      </w:r>
      <w:r w:rsidRPr="00F100CC">
        <w:rPr>
          <w:rFonts w:ascii="Palatino Linotype" w:eastAsia="Calibri" w:hAnsi="Palatino Linotype" w:cs="Times New Roman"/>
          <w:bCs/>
          <w:lang w:eastAsia="es-MX"/>
        </w:rPr>
        <w:t>eamiento del Municipio de Ixtapaluca, dos mil veinticinco, señala que la Dirección  General es el área encargada de organizar, y delegar responsabilidades entre las distintas áreas que conforma el Organismo, con el propósito de alcanzar los objetivos planteados. Así como, determinar y delegar los programas encaminados al desarrollo de las funciones que den cumplimiento a los planes y programas establecidos.</w:t>
      </w:r>
    </w:p>
    <w:p w14:paraId="60F9CB61" w14:textId="77777777" w:rsidR="003C7E3C" w:rsidRPr="00F100CC" w:rsidRDefault="003C7E3C" w:rsidP="005D2CE9">
      <w:pPr>
        <w:spacing w:after="0" w:line="360" w:lineRule="auto"/>
        <w:jc w:val="both"/>
        <w:rPr>
          <w:rFonts w:ascii="Palatino Linotype" w:eastAsia="Calibri" w:hAnsi="Palatino Linotype" w:cs="Times New Roman"/>
          <w:bCs/>
          <w:lang w:eastAsia="es-MX"/>
        </w:rPr>
      </w:pPr>
    </w:p>
    <w:p w14:paraId="69FC3FBF" w14:textId="2B40758E" w:rsidR="003C7E3C" w:rsidRPr="00F100CC" w:rsidRDefault="003C7E3C" w:rsidP="005D2CE9">
      <w:pPr>
        <w:spacing w:after="0" w:line="360" w:lineRule="auto"/>
        <w:jc w:val="both"/>
        <w:rPr>
          <w:rFonts w:ascii="Palatino Linotype" w:eastAsia="Calibri" w:hAnsi="Palatino Linotype" w:cs="Times New Roman"/>
          <w:bCs/>
          <w:lang w:eastAsia="es-MX"/>
        </w:rPr>
      </w:pPr>
      <w:r w:rsidRPr="00F100CC">
        <w:rPr>
          <w:rFonts w:ascii="Palatino Linotype" w:eastAsia="Calibri" w:hAnsi="Palatino Linotype" w:cs="Times New Roman"/>
          <w:bCs/>
          <w:lang w:eastAsia="es-MX"/>
        </w:rPr>
        <w:lastRenderedPageBreak/>
        <w:t xml:space="preserve">La cual, dentro de sus funciones se encarga entre otras cosas de </w:t>
      </w:r>
      <w:r w:rsidRPr="00F100CC">
        <w:rPr>
          <w:rFonts w:ascii="Palatino Linotype" w:eastAsia="Calibri" w:hAnsi="Palatino Linotype" w:cs="Times New Roman"/>
          <w:b/>
          <w:bCs/>
          <w:lang w:eastAsia="es-MX"/>
        </w:rPr>
        <w:t>determinar la factibilidad de las obras</w:t>
      </w:r>
      <w:r w:rsidRPr="00F100CC">
        <w:rPr>
          <w:rFonts w:ascii="Palatino Linotype" w:eastAsia="Calibri" w:hAnsi="Palatino Linotype" w:cs="Times New Roman"/>
          <w:bCs/>
          <w:lang w:eastAsia="es-MX"/>
        </w:rPr>
        <w:t xml:space="preserve"> para el otorgamiento de agua potable, drenaje, alcantarillado y tratamiento de aguas residuales.</w:t>
      </w:r>
    </w:p>
    <w:p w14:paraId="62EA8773" w14:textId="77777777" w:rsidR="003C7E3C" w:rsidRPr="00F100CC" w:rsidRDefault="003C7E3C" w:rsidP="005D2CE9">
      <w:pPr>
        <w:spacing w:after="0" w:line="360" w:lineRule="auto"/>
        <w:jc w:val="both"/>
        <w:rPr>
          <w:rFonts w:ascii="Palatino Linotype" w:eastAsia="Calibri" w:hAnsi="Palatino Linotype" w:cs="Times New Roman"/>
          <w:bCs/>
          <w:lang w:eastAsia="es-MX"/>
        </w:rPr>
      </w:pPr>
    </w:p>
    <w:p w14:paraId="5A5B2FD3" w14:textId="7DB8B9B3" w:rsidR="003C7E3C" w:rsidRPr="00F100CC" w:rsidRDefault="003C7E3C" w:rsidP="005D2CE9">
      <w:pPr>
        <w:spacing w:after="0" w:line="360" w:lineRule="auto"/>
        <w:jc w:val="both"/>
        <w:rPr>
          <w:rFonts w:ascii="Palatino Linotype" w:eastAsia="Calibri" w:hAnsi="Palatino Linotype" w:cs="Times New Roman"/>
          <w:b/>
          <w:bCs/>
          <w:lang w:eastAsia="es-MX"/>
        </w:rPr>
      </w:pPr>
      <w:r w:rsidRPr="00F100CC">
        <w:rPr>
          <w:rFonts w:ascii="Palatino Linotype" w:eastAsia="Calibri" w:hAnsi="Palatino Linotype" w:cs="Times New Roman"/>
          <w:bCs/>
          <w:lang w:eastAsia="es-MX"/>
        </w:rPr>
        <w:t xml:space="preserve">En esa misma consecución de ideas, el Manual previamente referido establece que el o la Coordinadora de Drenaje y Alcantarillado se encarga de </w:t>
      </w:r>
      <w:r w:rsidRPr="00F100CC">
        <w:rPr>
          <w:rFonts w:ascii="Palatino Linotype" w:eastAsia="Calibri" w:hAnsi="Palatino Linotype" w:cs="Times New Roman"/>
          <w:b/>
          <w:bCs/>
          <w:lang w:eastAsia="es-MX"/>
        </w:rPr>
        <w:t>dirigir, supervisar y verificar que la red de drenaje y alcantarillado</w:t>
      </w:r>
      <w:r w:rsidRPr="00F100CC">
        <w:rPr>
          <w:rFonts w:ascii="Palatino Linotype" w:eastAsia="Calibri" w:hAnsi="Palatino Linotype" w:cs="Times New Roman"/>
          <w:bCs/>
          <w:lang w:eastAsia="es-MX"/>
        </w:rPr>
        <w:t xml:space="preserve"> se encuentre en condiciones óptimas, con la finalidad de dar un servicio de calidad que prevenga de inundaciones y que asegure un sistema sanitario eficiente que satisfaga las necesidades de la población, la cual dentro de sus funciones se encarga entre otras cosas de atender las solicitudes de la ciudadanía, con respecto a desazolves y reparaciones de la red de drenaje, así como programar las inspecciones y revisiones técnicas a fin de </w:t>
      </w:r>
      <w:r w:rsidRPr="00F100CC">
        <w:rPr>
          <w:rFonts w:ascii="Palatino Linotype" w:eastAsia="Calibri" w:hAnsi="Palatino Linotype" w:cs="Times New Roman"/>
          <w:b/>
          <w:bCs/>
          <w:lang w:eastAsia="es-MX"/>
        </w:rPr>
        <w:t>informar a la Gerencia Técnica de Operaciones sobre las factibilidades de las conexiones al sistema de drenaje y alcantarillado.</w:t>
      </w:r>
    </w:p>
    <w:p w14:paraId="32B8F2F3" w14:textId="77777777" w:rsidR="003C7E3C" w:rsidRPr="00F100CC" w:rsidRDefault="003C7E3C" w:rsidP="005D2CE9">
      <w:pPr>
        <w:spacing w:after="0" w:line="360" w:lineRule="auto"/>
        <w:jc w:val="both"/>
        <w:rPr>
          <w:rFonts w:ascii="Palatino Linotype" w:eastAsia="Calibri" w:hAnsi="Palatino Linotype" w:cs="Times New Roman"/>
          <w:b/>
          <w:bCs/>
          <w:lang w:eastAsia="es-MX"/>
        </w:rPr>
      </w:pPr>
    </w:p>
    <w:p w14:paraId="7C4D35E8" w14:textId="00519773" w:rsidR="003C7E3C" w:rsidRPr="00F100CC" w:rsidRDefault="00F211DC" w:rsidP="005D2CE9">
      <w:pPr>
        <w:spacing w:after="0" w:line="360" w:lineRule="auto"/>
        <w:jc w:val="both"/>
        <w:rPr>
          <w:rFonts w:ascii="Palatino Linotype" w:eastAsia="Calibri" w:hAnsi="Palatino Linotype" w:cs="Times New Roman"/>
          <w:bCs/>
          <w:lang w:eastAsia="es-MX"/>
        </w:rPr>
      </w:pPr>
      <w:r w:rsidRPr="00F100CC">
        <w:rPr>
          <w:rFonts w:ascii="Palatino Linotype" w:eastAsia="Calibri" w:hAnsi="Palatino Linotype" w:cs="Times New Roman"/>
          <w:bCs/>
          <w:lang w:eastAsia="es-MX"/>
        </w:rPr>
        <w:t>En tal sentido, el Manual en comento señala que el Jefe de Departamento de Líneas y Tanques se encarga de llevar a cabo el suministro, mantenimiento preventivo, predictivo y correctivo de la infraestructura hidráulica en los sistemas de agua potable en el municipio, encargándose entre otras cosas de la instalación de las conexiones del sistema de agua potable.</w:t>
      </w:r>
    </w:p>
    <w:p w14:paraId="7C869F8A" w14:textId="77777777" w:rsidR="00D33C03" w:rsidRPr="00F100CC" w:rsidRDefault="00D33C03" w:rsidP="005D2CE9">
      <w:pPr>
        <w:spacing w:after="0" w:line="360" w:lineRule="auto"/>
        <w:jc w:val="both"/>
        <w:rPr>
          <w:rFonts w:ascii="Palatino Linotype" w:eastAsia="Calibri" w:hAnsi="Palatino Linotype" w:cs="Times New Roman"/>
          <w:bCs/>
          <w:lang w:eastAsia="es-MX"/>
        </w:rPr>
      </w:pPr>
    </w:p>
    <w:p w14:paraId="6EDE123C" w14:textId="2358BA44" w:rsidR="00D11AE0" w:rsidRPr="00F100CC" w:rsidRDefault="005D2CE9" w:rsidP="00D11AE0">
      <w:pPr>
        <w:spacing w:after="0" w:line="360" w:lineRule="auto"/>
        <w:jc w:val="both"/>
        <w:rPr>
          <w:rFonts w:ascii="Palatino Linotype" w:eastAsia="Calibri" w:hAnsi="Palatino Linotype" w:cs="Times New Roman"/>
          <w:b/>
          <w:bCs/>
          <w:lang w:eastAsia="es-MX"/>
        </w:rPr>
      </w:pPr>
      <w:r w:rsidRPr="00F100CC">
        <w:rPr>
          <w:rFonts w:ascii="Palatino Linotype" w:eastAsia="Palatino Linotype" w:hAnsi="Palatino Linotype" w:cs="Palatino Linotype"/>
          <w:lang w:eastAsia="es-MX"/>
        </w:rPr>
        <w:t xml:space="preserve">Conforme a lo anterior, se logra vislumbrar que el Sujeto Obligado, en primera instancia, carece de atribuciones para conocer </w:t>
      </w:r>
      <w:r w:rsidR="00D11AE0" w:rsidRPr="00F100CC">
        <w:rPr>
          <w:rFonts w:ascii="Palatino Linotype" w:eastAsia="Palatino Linotype" w:hAnsi="Palatino Linotype" w:cs="Palatino Linotype"/>
          <w:lang w:eastAsia="es-MX"/>
        </w:rPr>
        <w:t xml:space="preserve">respecto de las de los permisos y autorizaciones de construcción, así como del fundamento legal para emitir los mismos; </w:t>
      </w:r>
      <w:r w:rsidRPr="00F100CC">
        <w:rPr>
          <w:rFonts w:ascii="Palatino Linotype" w:eastAsia="Palatino Linotype" w:hAnsi="Palatino Linotype" w:cs="Palatino Linotype"/>
          <w:lang w:eastAsia="es-MX"/>
        </w:rPr>
        <w:t>lo cual toma sustento, pues conforme a la</w:t>
      </w:r>
      <w:r w:rsidR="00D11AE0" w:rsidRPr="00F100CC">
        <w:rPr>
          <w:rFonts w:ascii="Palatino Linotype" w:eastAsia="Calibri" w:hAnsi="Palatino Linotype" w:cs="Times New Roman"/>
          <w:bCs/>
          <w:lang w:eastAsia="es-MX"/>
        </w:rPr>
        <w:t xml:space="preserve"> Ley Orgánica Municipal del Estado de México el Director de Desarrollo Urbano o el Titular de la Unidad Administrativa equivalente, dentro de sus atribuciones se </w:t>
      </w:r>
      <w:r w:rsidR="00D11AE0" w:rsidRPr="00F100CC">
        <w:rPr>
          <w:rFonts w:ascii="Palatino Linotype" w:eastAsia="Calibri" w:hAnsi="Palatino Linotype" w:cs="Times New Roman"/>
          <w:bCs/>
          <w:lang w:eastAsia="es-MX"/>
        </w:rPr>
        <w:lastRenderedPageBreak/>
        <w:t xml:space="preserve">encarga entre otras cosas de analizar las cédulas informativas de zonificación, licencias de uso de suelo y </w:t>
      </w:r>
      <w:r w:rsidR="00D11AE0" w:rsidRPr="00F100CC">
        <w:rPr>
          <w:rFonts w:ascii="Palatino Linotype" w:eastAsia="Calibri" w:hAnsi="Palatino Linotype" w:cs="Times New Roman"/>
          <w:b/>
          <w:bCs/>
          <w:lang w:eastAsia="es-MX"/>
        </w:rPr>
        <w:t>licencias de construcción.</w:t>
      </w:r>
    </w:p>
    <w:p w14:paraId="1DEE8D2F" w14:textId="77777777" w:rsidR="00D11AE0" w:rsidRPr="00F100CC" w:rsidRDefault="00D11AE0" w:rsidP="005D6E32">
      <w:pPr>
        <w:spacing w:after="0" w:line="360" w:lineRule="auto"/>
        <w:ind w:right="-28"/>
        <w:jc w:val="both"/>
        <w:rPr>
          <w:color w:val="FF0000"/>
        </w:rPr>
      </w:pPr>
    </w:p>
    <w:p w14:paraId="63AB0CAE" w14:textId="07496558" w:rsidR="00D11AE0" w:rsidRPr="00F100CC" w:rsidRDefault="00BE57BE" w:rsidP="005D6E32">
      <w:pPr>
        <w:spacing w:after="0" w:line="360" w:lineRule="auto"/>
        <w:ind w:right="-28"/>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Hecho </w:t>
      </w:r>
      <w:r w:rsidR="00876E53" w:rsidRPr="00F100CC">
        <w:rPr>
          <w:rFonts w:ascii="Palatino Linotype" w:eastAsia="Palatino Linotype" w:hAnsi="Palatino Linotype" w:cs="Palatino Linotype"/>
          <w:lang w:eastAsia="es-MX"/>
        </w:rPr>
        <w:t>que se robustece</w:t>
      </w:r>
      <w:r w:rsidRPr="00F100CC">
        <w:rPr>
          <w:rFonts w:ascii="Palatino Linotype" w:eastAsia="Palatino Linotype" w:hAnsi="Palatino Linotype" w:cs="Palatino Linotype"/>
          <w:lang w:eastAsia="es-MX"/>
        </w:rPr>
        <w:t>,</w:t>
      </w:r>
      <w:r w:rsidR="00876E53" w:rsidRPr="00F100CC">
        <w:rPr>
          <w:rFonts w:ascii="Palatino Linotype" w:eastAsia="Palatino Linotype" w:hAnsi="Palatino Linotype" w:cs="Palatino Linotype"/>
          <w:lang w:eastAsia="es-MX"/>
        </w:rPr>
        <w:t xml:space="preserve"> pues en la página del </w:t>
      </w:r>
      <w:r w:rsidR="00D11AE0" w:rsidRPr="00F100CC">
        <w:rPr>
          <w:rFonts w:ascii="Palatino Linotype" w:eastAsia="Palatino Linotype" w:hAnsi="Palatino Linotype" w:cs="Palatino Linotype"/>
          <w:lang w:eastAsia="es-MX"/>
        </w:rPr>
        <w:t>Ayuntamiento de Ixtapaluca (</w:t>
      </w:r>
      <w:hyperlink r:id="rId8" w:history="1">
        <w:r w:rsidR="00D11AE0" w:rsidRPr="00F100CC">
          <w:rPr>
            <w:rStyle w:val="Hipervnculo"/>
            <w:rFonts w:ascii="Palatino Linotype" w:eastAsia="Palatino Linotype" w:hAnsi="Palatino Linotype" w:cs="Palatino Linotype"/>
            <w:color w:val="auto"/>
            <w:lang w:eastAsia="es-MX"/>
          </w:rPr>
          <w:t>https://www.ixtapaluca.gob.mx/registro-de-tr%C3%A1mites-y-servicios24</w:t>
        </w:r>
      </w:hyperlink>
      <w:r w:rsidR="00D11AE0" w:rsidRPr="00F100CC">
        <w:rPr>
          <w:rFonts w:ascii="Palatino Linotype" w:eastAsia="Palatino Linotype" w:hAnsi="Palatino Linotype" w:cs="Palatino Linotype"/>
          <w:lang w:eastAsia="es-MX"/>
        </w:rPr>
        <w:t xml:space="preserve">), en el apartado de Registro Municipal de Trámites y Servicios (REMTyS), se </w:t>
      </w:r>
      <w:r w:rsidR="00D33C03" w:rsidRPr="00F100CC">
        <w:rPr>
          <w:rFonts w:ascii="Palatino Linotype" w:eastAsia="Palatino Linotype" w:hAnsi="Palatino Linotype" w:cs="Palatino Linotype"/>
          <w:lang w:eastAsia="es-MX"/>
        </w:rPr>
        <w:t>localizó que</w:t>
      </w:r>
      <w:r w:rsidR="00D11AE0" w:rsidRPr="00F100CC">
        <w:rPr>
          <w:rFonts w:ascii="Palatino Linotype" w:eastAsia="Palatino Linotype" w:hAnsi="Palatino Linotype" w:cs="Palatino Linotype"/>
          <w:lang w:eastAsia="es-MX"/>
        </w:rPr>
        <w:t xml:space="preserve"> la Dirección de Desarrollo Territorial y Urbano de encarga de emitir las licencias de construcción en el municipio, tal como se desprende de la siguiente captura de pantalla:</w:t>
      </w:r>
    </w:p>
    <w:p w14:paraId="311E5603" w14:textId="77777777" w:rsidR="000E4351" w:rsidRPr="00F100CC" w:rsidRDefault="000E4351" w:rsidP="005D6E32">
      <w:pPr>
        <w:spacing w:after="0" w:line="360" w:lineRule="auto"/>
        <w:ind w:right="-28"/>
        <w:jc w:val="both"/>
        <w:rPr>
          <w:rFonts w:ascii="Palatino Linotype" w:eastAsia="Palatino Linotype" w:hAnsi="Palatino Linotype" w:cs="Palatino Linotype"/>
          <w:lang w:eastAsia="es-MX"/>
        </w:rPr>
      </w:pPr>
    </w:p>
    <w:p w14:paraId="3C97A8C0" w14:textId="65337D46" w:rsidR="00D11AE0" w:rsidRPr="00F100CC" w:rsidRDefault="00D11AE0" w:rsidP="00683D30">
      <w:pPr>
        <w:spacing w:after="0" w:line="360" w:lineRule="auto"/>
        <w:ind w:right="-28"/>
        <w:jc w:val="center"/>
        <w:rPr>
          <w:rFonts w:ascii="Palatino Linotype" w:eastAsia="Palatino Linotype" w:hAnsi="Palatino Linotype" w:cs="Palatino Linotype"/>
          <w:color w:val="FF0000"/>
          <w:lang w:eastAsia="es-MX"/>
        </w:rPr>
      </w:pPr>
      <w:r w:rsidRPr="00F100CC">
        <w:rPr>
          <w:rFonts w:ascii="Palatino Linotype" w:eastAsia="Palatino Linotype" w:hAnsi="Palatino Linotype" w:cs="Palatino Linotype"/>
          <w:noProof/>
          <w:color w:val="FF0000"/>
          <w:lang w:eastAsia="es-MX"/>
        </w:rPr>
        <w:drawing>
          <wp:inline distT="0" distB="0" distL="0" distR="0" wp14:anchorId="0359DE18" wp14:editId="76235BBB">
            <wp:extent cx="3860510" cy="29146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71753" cy="2923138"/>
                    </a:xfrm>
                    <a:prstGeom prst="rect">
                      <a:avLst/>
                    </a:prstGeom>
                  </pic:spPr>
                </pic:pic>
              </a:graphicData>
            </a:graphic>
          </wp:inline>
        </w:drawing>
      </w:r>
    </w:p>
    <w:p w14:paraId="1AE57DDE" w14:textId="26DE57CD" w:rsidR="00876E53" w:rsidRPr="00F100CC" w:rsidRDefault="00876E53" w:rsidP="00683D30">
      <w:pPr>
        <w:spacing w:after="0" w:line="360" w:lineRule="auto"/>
        <w:ind w:right="-28"/>
        <w:rPr>
          <w:rFonts w:ascii="Palatino Linotype" w:eastAsia="Palatino Linotype" w:hAnsi="Palatino Linotype" w:cs="Palatino Linotype"/>
          <w:color w:val="FF0000"/>
          <w:lang w:eastAsia="es-MX"/>
        </w:rPr>
      </w:pPr>
    </w:p>
    <w:p w14:paraId="32C40187" w14:textId="2282B15F" w:rsidR="00683D30" w:rsidRPr="00F100CC" w:rsidRDefault="006F56F6" w:rsidP="005D6E32">
      <w:pPr>
        <w:spacing w:after="0" w:line="360" w:lineRule="auto"/>
        <w:jc w:val="both"/>
        <w:rPr>
          <w:rFonts w:ascii="Palatino Linotype" w:eastAsia="Times New Roman" w:hAnsi="Palatino Linotype" w:cs="Times New Roman"/>
          <w:lang w:eastAsia="es-ES"/>
        </w:rPr>
      </w:pPr>
      <w:r w:rsidRPr="00F100CC">
        <w:rPr>
          <w:rFonts w:ascii="Palatino Linotype" w:eastAsia="Times New Roman" w:hAnsi="Palatino Linotype" w:cs="Times New Roman"/>
          <w:lang w:eastAsia="es-ES"/>
        </w:rPr>
        <w:t>Conforme a lo anterior, se advierte que</w:t>
      </w:r>
      <w:r w:rsidR="006909FC" w:rsidRPr="00F100CC">
        <w:rPr>
          <w:rFonts w:ascii="Palatino Linotype" w:eastAsia="Times New Roman" w:hAnsi="Palatino Linotype" w:cs="Times New Roman"/>
          <w:lang w:eastAsia="es-ES"/>
        </w:rPr>
        <w:t xml:space="preserve"> </w:t>
      </w:r>
      <w:r w:rsidR="00DE6148" w:rsidRPr="00F100CC">
        <w:rPr>
          <w:rFonts w:ascii="Palatino Linotype" w:eastAsia="Times New Roman" w:hAnsi="Palatino Linotype" w:cs="Times New Roman"/>
          <w:lang w:eastAsia="es-ES"/>
        </w:rPr>
        <w:t>Organismo Descentralizado de Agua Potable Alcantarillado y Saneamiento del Municipio de Ixtapaluca</w:t>
      </w:r>
      <w:r w:rsidR="00683D30" w:rsidRPr="00F100CC">
        <w:rPr>
          <w:rFonts w:ascii="Palatino Linotype" w:eastAsia="Palatino Linotype" w:hAnsi="Palatino Linotype" w:cs="Palatino Linotype"/>
        </w:rPr>
        <w:t xml:space="preserve">, no cuenta con atribuciones para conocer respecto de los permisos y autorizaciones emitidas por las áreas administrativas municipales y fundamento legal, que se utilizaron para la </w:t>
      </w:r>
      <w:r w:rsidR="00683D30" w:rsidRPr="00F100CC">
        <w:rPr>
          <w:rFonts w:ascii="Palatino Linotype" w:eastAsia="Palatino Linotype" w:hAnsi="Palatino Linotype" w:cs="Palatino Linotype"/>
          <w:lang w:eastAsia="es-MX"/>
        </w:rPr>
        <w:t xml:space="preserve">construcción de los puentes vehiculares y de uso particular que se encuentran obstruyendo la barranca ue se encuentra </w:t>
      </w:r>
      <w:r w:rsidR="00683D30" w:rsidRPr="00F100CC">
        <w:rPr>
          <w:rFonts w:ascii="Palatino Linotype" w:eastAsia="Palatino Linotype" w:hAnsi="Palatino Linotype" w:cs="Palatino Linotype"/>
          <w:lang w:eastAsia="es-MX"/>
        </w:rPr>
        <w:lastRenderedPageBreak/>
        <w:t>en la carretera a San Francisco Cuautla en el tramo que comprende del Puente Mezquite al Carril del Tablón frene a la Unidad Habitacional los Héroes Ixtapaluca.</w:t>
      </w:r>
    </w:p>
    <w:p w14:paraId="35C0D28E" w14:textId="77777777" w:rsidR="00A708A4" w:rsidRPr="00F100CC" w:rsidRDefault="00A708A4" w:rsidP="005D6E32">
      <w:pPr>
        <w:spacing w:after="0" w:line="360" w:lineRule="auto"/>
        <w:ind w:right="-93"/>
        <w:jc w:val="both"/>
        <w:rPr>
          <w:rFonts w:ascii="Palatino Linotype" w:eastAsia="Times New Roman" w:hAnsi="Palatino Linotype" w:cs="Tahoma"/>
          <w:bCs/>
          <w:color w:val="FF0000"/>
          <w:lang w:val="es-ES" w:eastAsia="es-ES"/>
        </w:rPr>
      </w:pPr>
    </w:p>
    <w:p w14:paraId="14F7785B" w14:textId="198B72E4" w:rsidR="003B0118" w:rsidRPr="00F100CC" w:rsidRDefault="006909FC" w:rsidP="00A708A4">
      <w:pPr>
        <w:spacing w:after="0" w:line="360" w:lineRule="auto"/>
        <w:ind w:right="-93"/>
        <w:jc w:val="both"/>
        <w:rPr>
          <w:rFonts w:ascii="Palatino Linotype" w:eastAsia="Palatino Linotype" w:hAnsi="Palatino Linotype" w:cs="Palatino Linotype"/>
          <w:b/>
          <w:lang w:eastAsia="es-MX"/>
        </w:rPr>
      </w:pPr>
      <w:r w:rsidRPr="00F100CC">
        <w:rPr>
          <w:rFonts w:ascii="Palatino Linotype" w:eastAsia="Times New Roman" w:hAnsi="Palatino Linotype" w:cs="Tahoma"/>
          <w:bCs/>
          <w:lang w:val="es-ES" w:eastAsia="es-ES"/>
        </w:rPr>
        <w:t xml:space="preserve">Conforme a lo expuesto, se concluye que </w:t>
      </w:r>
      <w:r w:rsidR="00DE6148" w:rsidRPr="00F100CC">
        <w:rPr>
          <w:rFonts w:ascii="Palatino Linotype" w:eastAsia="Times New Roman" w:hAnsi="Palatino Linotype" w:cs="Tahoma"/>
          <w:bCs/>
          <w:lang w:val="es-ES" w:eastAsia="es-ES"/>
        </w:rPr>
        <w:t>Organismo Descentralizado de Agua Potable Alcantarillado y Saneamiento del Municipio de Ixtapaluca</w:t>
      </w:r>
      <w:r w:rsidR="003B0118" w:rsidRPr="00F100CC">
        <w:rPr>
          <w:rFonts w:ascii="Palatino Linotype" w:eastAsia="Times New Roman" w:hAnsi="Palatino Linotype" w:cs="Tahoma"/>
          <w:bCs/>
          <w:lang w:val="es-ES" w:eastAsia="es-ES"/>
        </w:rPr>
        <w:t xml:space="preserve">, </w:t>
      </w:r>
      <w:r w:rsidRPr="00F100CC">
        <w:rPr>
          <w:rFonts w:ascii="Palatino Linotype" w:eastAsia="Times New Roman" w:hAnsi="Palatino Linotype" w:cs="Tahoma"/>
          <w:lang w:val="es-ES" w:eastAsia="es-ES"/>
        </w:rPr>
        <w:t xml:space="preserve">es </w:t>
      </w:r>
      <w:r w:rsidRPr="00F100CC">
        <w:rPr>
          <w:rFonts w:ascii="Palatino Linotype" w:eastAsia="Times New Roman" w:hAnsi="Palatino Linotype" w:cs="Tahoma"/>
          <w:b/>
          <w:lang w:val="es-ES" w:eastAsia="es-ES"/>
        </w:rPr>
        <w:t>notoriamente incompetente</w:t>
      </w:r>
      <w:r w:rsidRPr="00F100CC">
        <w:rPr>
          <w:rFonts w:ascii="Palatino Linotype" w:eastAsia="Times New Roman" w:hAnsi="Palatino Linotype" w:cs="Tahoma"/>
          <w:lang w:val="es-ES" w:eastAsia="es-ES"/>
        </w:rPr>
        <w:t xml:space="preserve"> para conocer </w:t>
      </w:r>
      <w:r w:rsidR="003B0118" w:rsidRPr="00F100CC">
        <w:rPr>
          <w:rFonts w:ascii="Palatino Linotype" w:eastAsia="Times New Roman" w:hAnsi="Palatino Linotype" w:cs="Tahoma"/>
          <w:lang w:val="es-ES" w:eastAsia="es-ES"/>
        </w:rPr>
        <w:t xml:space="preserve">respecto de </w:t>
      </w:r>
      <w:r w:rsidR="003B0118" w:rsidRPr="00F100CC">
        <w:rPr>
          <w:rFonts w:ascii="Palatino Linotype" w:eastAsia="Palatino Linotype" w:hAnsi="Palatino Linotype" w:cs="Palatino Linotype"/>
        </w:rPr>
        <w:t xml:space="preserve">los permisos y autorizaciones emitidas por las áreas administrativas municipales y fundamento legal, que se utilizaron para la </w:t>
      </w:r>
      <w:r w:rsidR="003B0118" w:rsidRPr="00F100CC">
        <w:rPr>
          <w:rFonts w:ascii="Palatino Linotype" w:eastAsia="Palatino Linotype" w:hAnsi="Palatino Linotype" w:cs="Palatino Linotype"/>
          <w:lang w:eastAsia="es-MX"/>
        </w:rPr>
        <w:t xml:space="preserve">construcción de los puentes vehiculares y de uso particular que se encuentran obstruyendo la barranca ue se encuentra en la carretera a San Francisco Cuautla en el tramo que comprende del Puente Mezquite al Carril del Tablón frene a la Unidad Habitacional los Héroes Ixtapaluca, por lo que el agravio del Recurrente se considera es </w:t>
      </w:r>
      <w:r w:rsidR="003B0118" w:rsidRPr="00F100CC">
        <w:rPr>
          <w:rFonts w:ascii="Palatino Linotype" w:eastAsia="Palatino Linotype" w:hAnsi="Palatino Linotype" w:cs="Palatino Linotype"/>
          <w:b/>
          <w:lang w:eastAsia="es-MX"/>
        </w:rPr>
        <w:t>PARCIALMENTE FUNDADO.</w:t>
      </w:r>
    </w:p>
    <w:p w14:paraId="3D14A281" w14:textId="77777777" w:rsidR="00770C04" w:rsidRPr="00F100CC" w:rsidRDefault="00770C04" w:rsidP="00A708A4">
      <w:pPr>
        <w:spacing w:after="0" w:line="360" w:lineRule="auto"/>
        <w:ind w:right="-93"/>
        <w:jc w:val="both"/>
        <w:rPr>
          <w:rFonts w:ascii="Palatino Linotype" w:eastAsia="Palatino Linotype" w:hAnsi="Palatino Linotype" w:cs="Palatino Linotype"/>
          <w:b/>
          <w:lang w:eastAsia="es-MX"/>
        </w:rPr>
      </w:pPr>
    </w:p>
    <w:p w14:paraId="5BAAF4B2" w14:textId="250A7A2F" w:rsidR="00770C04" w:rsidRPr="00F100CC" w:rsidRDefault="00770C04" w:rsidP="00A708A4">
      <w:pPr>
        <w:spacing w:after="0" w:line="360" w:lineRule="auto"/>
        <w:ind w:right="-93"/>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En este orden de ideas, se dejan a salvo los derechos de la </w:t>
      </w:r>
      <w:r w:rsidR="000E4351" w:rsidRPr="00F100CC">
        <w:rPr>
          <w:rFonts w:ascii="Palatino Linotype" w:eastAsia="Palatino Linotype" w:hAnsi="Palatino Linotype" w:cs="Palatino Linotype"/>
          <w:b/>
          <w:lang w:eastAsia="es-MX"/>
        </w:rPr>
        <w:t>parte Recurrente</w:t>
      </w:r>
      <w:r w:rsidRPr="00F100CC">
        <w:rPr>
          <w:rFonts w:ascii="Palatino Linotype" w:eastAsia="Palatino Linotype" w:hAnsi="Palatino Linotype" w:cs="Palatino Linotype"/>
          <w:lang w:eastAsia="es-MX"/>
        </w:rPr>
        <w:t xml:space="preserve"> para que formule una nueva solicitud de información ante el Sujeto Obligado competente, es decir, el Ayuntamiento de Ixtapaluca.</w:t>
      </w:r>
    </w:p>
    <w:p w14:paraId="28509E51" w14:textId="77777777" w:rsidR="003B0118" w:rsidRPr="00F100CC" w:rsidRDefault="003B0118" w:rsidP="00A708A4">
      <w:pPr>
        <w:spacing w:after="0" w:line="360" w:lineRule="auto"/>
        <w:ind w:right="-93"/>
        <w:jc w:val="both"/>
        <w:rPr>
          <w:rFonts w:ascii="Palatino Linotype" w:eastAsia="Palatino Linotype" w:hAnsi="Palatino Linotype" w:cs="Palatino Linotype"/>
          <w:b/>
          <w:lang w:eastAsia="es-MX"/>
        </w:rPr>
      </w:pPr>
    </w:p>
    <w:p w14:paraId="37D6587A" w14:textId="045434FD" w:rsidR="003B0118" w:rsidRPr="00F100CC" w:rsidRDefault="003B0118" w:rsidP="00A708A4">
      <w:pPr>
        <w:spacing w:after="0" w:line="360" w:lineRule="auto"/>
        <w:ind w:right="-93"/>
        <w:jc w:val="both"/>
        <w:rPr>
          <w:rFonts w:ascii="Palatino Linotype" w:eastAsia="Palatino Linotype" w:hAnsi="Palatino Linotype" w:cs="Palatino Linotype"/>
        </w:rPr>
      </w:pPr>
      <w:r w:rsidRPr="00F100CC">
        <w:rPr>
          <w:rFonts w:ascii="Palatino Linotype" w:eastAsia="Palatino Linotype" w:hAnsi="Palatino Linotype" w:cs="Palatino Linotype"/>
          <w:lang w:eastAsia="es-MX"/>
        </w:rPr>
        <w:t xml:space="preserve">Ahora bien, respecto de </w:t>
      </w:r>
      <w:r w:rsidRPr="00F100CC">
        <w:rPr>
          <w:rFonts w:ascii="Palatino Linotype" w:eastAsia="Palatino Linotype" w:hAnsi="Palatino Linotype" w:cs="Palatino Linotype"/>
          <w:iCs/>
          <w:lang w:eastAsia="es-MX"/>
        </w:rPr>
        <w:t>la colocación de tubos para el paso de agua de dicha barranca,</w:t>
      </w:r>
      <w:r w:rsidRPr="00F100CC">
        <w:rPr>
          <w:rFonts w:ascii="Palatino Linotype" w:eastAsia="Palatino Linotype" w:hAnsi="Palatino Linotype" w:cs="Palatino Linotype"/>
          <w:i/>
          <w:lang w:eastAsia="es-MX"/>
        </w:rPr>
        <w:t xml:space="preserve"> </w:t>
      </w:r>
      <w:r w:rsidR="00DE6148" w:rsidRPr="00F100CC">
        <w:rPr>
          <w:rFonts w:ascii="Palatino Linotype" w:eastAsia="Palatino Linotype" w:hAnsi="Palatino Linotype" w:cs="Palatino Linotype"/>
          <w:lang w:eastAsia="es-MX"/>
        </w:rPr>
        <w:t>Organismo Descentralizado de Agua Potable Alcantarillado y Saneamiento del Municipio de Ixtapaluca</w:t>
      </w:r>
      <w:r w:rsidR="0091766E" w:rsidRPr="00F100CC">
        <w:rPr>
          <w:rFonts w:ascii="Palatino Linotype" w:eastAsia="Palatino Linotype" w:hAnsi="Palatino Linotype" w:cs="Palatino Linotype"/>
        </w:rPr>
        <w:t>, es competente para conocer de lo solicitado; lo anterior, toma relevancia, pues este Instituto a través de la resolución del Recurso de Revisión 03112/INFOEM/IP/RR/2025 oriento al Particular para realizar una nueva solicitud de información ante el Organismo para atender este punto del requerimiento informativo.</w:t>
      </w:r>
    </w:p>
    <w:p w14:paraId="2770C816" w14:textId="77777777" w:rsidR="0091766E" w:rsidRPr="00F100CC" w:rsidRDefault="0091766E" w:rsidP="00A708A4">
      <w:pPr>
        <w:spacing w:after="0" w:line="360" w:lineRule="auto"/>
        <w:ind w:right="-93"/>
        <w:jc w:val="both"/>
        <w:rPr>
          <w:rFonts w:ascii="Palatino Linotype" w:eastAsia="Palatino Linotype" w:hAnsi="Palatino Linotype" w:cs="Palatino Linotype"/>
        </w:rPr>
      </w:pPr>
    </w:p>
    <w:p w14:paraId="2CB8BE79" w14:textId="789051A4" w:rsidR="0091766E" w:rsidRPr="00F100CC" w:rsidRDefault="0091766E" w:rsidP="00A708A4">
      <w:pPr>
        <w:spacing w:after="0" w:line="360" w:lineRule="auto"/>
        <w:ind w:right="-93"/>
        <w:jc w:val="both"/>
        <w:rPr>
          <w:rFonts w:ascii="Palatino Linotype" w:eastAsia="Palatino Linotype" w:hAnsi="Palatino Linotype" w:cs="Palatino Linotype"/>
        </w:rPr>
      </w:pPr>
      <w:r w:rsidRPr="00F100CC">
        <w:rPr>
          <w:rFonts w:ascii="Palatino Linotype" w:eastAsia="Palatino Linotype" w:hAnsi="Palatino Linotype" w:cs="Palatino Linotype"/>
        </w:rPr>
        <w:t xml:space="preserve">Lo anterior, se trae como hecho notorio, con fundamento en el artículo 36 del Código de Procedimientos Administrativos del Estado de México, de aplicación supletoria a la Ley de </w:t>
      </w:r>
      <w:r w:rsidRPr="00F100CC">
        <w:rPr>
          <w:rFonts w:ascii="Palatino Linotype" w:eastAsia="Palatino Linotype" w:hAnsi="Palatino Linotype" w:cs="Palatino Linotype"/>
        </w:rPr>
        <w:lastRenderedPageBreak/>
        <w:t>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35305FAF" w14:textId="77777777" w:rsidR="0091766E" w:rsidRPr="00F100CC" w:rsidRDefault="0091766E" w:rsidP="00A708A4">
      <w:pPr>
        <w:spacing w:after="0" w:line="360" w:lineRule="auto"/>
        <w:ind w:right="-93"/>
        <w:jc w:val="both"/>
        <w:rPr>
          <w:rFonts w:ascii="Palatino Linotype" w:eastAsia="Palatino Linotype" w:hAnsi="Palatino Linotype" w:cs="Palatino Linotype"/>
        </w:rPr>
      </w:pPr>
    </w:p>
    <w:p w14:paraId="1BD387E1" w14:textId="4A8E6F29" w:rsidR="0091766E" w:rsidRPr="00F100CC" w:rsidRDefault="00212A87" w:rsidP="00A708A4">
      <w:pPr>
        <w:spacing w:after="0" w:line="360" w:lineRule="auto"/>
        <w:ind w:right="-93"/>
        <w:jc w:val="both"/>
        <w:rPr>
          <w:rFonts w:ascii="Palatino Linotype" w:eastAsia="Palatino Linotype" w:hAnsi="Palatino Linotype" w:cs="Palatino Linotype"/>
          <w:bCs/>
        </w:rPr>
      </w:pPr>
      <w:r w:rsidRPr="00F100CC">
        <w:rPr>
          <w:rFonts w:ascii="Palatino Linotype" w:eastAsia="Palatino Linotype" w:hAnsi="Palatino Linotype" w:cs="Palatino Linotype"/>
        </w:rPr>
        <w:t xml:space="preserve">Conforme a lo anterior, se logra vislumbrar que </w:t>
      </w:r>
      <w:r w:rsidR="00DE6148" w:rsidRPr="00F100CC">
        <w:rPr>
          <w:rFonts w:ascii="Palatino Linotype" w:eastAsia="Palatino Linotype" w:hAnsi="Palatino Linotype" w:cs="Palatino Linotype"/>
        </w:rPr>
        <w:t>Organismo Descentralizado de Agua Potable Alcantarillado y Saneamiento del Municipio de Ixtapaluca</w:t>
      </w:r>
      <w:r w:rsidRPr="00F100CC">
        <w:rPr>
          <w:rFonts w:ascii="Palatino Linotype" w:eastAsia="Palatino Linotype" w:hAnsi="Palatino Linotype" w:cs="Palatino Linotype"/>
        </w:rPr>
        <w:t xml:space="preserve">, es competente </w:t>
      </w:r>
      <w:r w:rsidRPr="00F100CC">
        <w:rPr>
          <w:rFonts w:ascii="Palatino Linotype" w:eastAsia="Palatino Linotype" w:hAnsi="Palatino Linotype" w:cs="Palatino Linotype"/>
          <w:b/>
        </w:rPr>
        <w:t xml:space="preserve">para conocer </w:t>
      </w:r>
      <w:r w:rsidRPr="00F100CC">
        <w:rPr>
          <w:rFonts w:ascii="Palatino Linotype" w:eastAsia="Palatino Linotype" w:hAnsi="Palatino Linotype" w:cs="Palatino Linotype"/>
          <w:bCs/>
        </w:rPr>
        <w:t xml:space="preserve">respecto de la </w:t>
      </w:r>
      <w:r w:rsidRPr="00F100CC">
        <w:rPr>
          <w:rFonts w:ascii="Palatino Linotype" w:eastAsia="Palatino Linotype" w:hAnsi="Palatino Linotype" w:cs="Palatino Linotype"/>
          <w:bCs/>
          <w:lang w:eastAsia="es-MX"/>
        </w:rPr>
        <w:t xml:space="preserve">colocación de tubos para el paso de agua de la barranca </w:t>
      </w:r>
      <w:r w:rsidR="004E370C" w:rsidRPr="00F100CC">
        <w:rPr>
          <w:rFonts w:ascii="Palatino Linotype" w:eastAsia="Palatino Linotype" w:hAnsi="Palatino Linotype" w:cs="Palatino Linotype"/>
          <w:bCs/>
          <w:lang w:eastAsia="es-MX"/>
        </w:rPr>
        <w:t>que se encuentra en la carretera a San Francisco Cuautla en el tramo que comprende del Puente Mezquite al Carril del Tablón frene a la Unidad Habitacional los Héroes Ixtapaluca</w:t>
      </w:r>
      <w:r w:rsidR="000E4351" w:rsidRPr="00F100CC">
        <w:rPr>
          <w:rFonts w:ascii="Palatino Linotype" w:eastAsia="Palatino Linotype" w:hAnsi="Palatino Linotype" w:cs="Palatino Linotype"/>
          <w:b/>
          <w:lang w:eastAsia="es-MX"/>
        </w:rPr>
        <w:t xml:space="preserve">; </w:t>
      </w:r>
      <w:r w:rsidR="000E4351" w:rsidRPr="00F100CC">
        <w:rPr>
          <w:rFonts w:ascii="Palatino Linotype" w:eastAsia="Palatino Linotype" w:hAnsi="Palatino Linotype" w:cs="Palatino Linotype"/>
          <w:bCs/>
          <w:lang w:eastAsia="es-MX"/>
        </w:rPr>
        <w:t>lo cual toma relevancia, pues como ya se indicó el Ente Recurrido conoce sobre la infraestructura hidráulica del Municipio y se encarga de determinar la factibilidad de las obras para el otorgamiento de drenaje</w:t>
      </w:r>
      <w:r w:rsidR="00961A6C" w:rsidRPr="00F100CC">
        <w:rPr>
          <w:rFonts w:ascii="Palatino Linotype" w:eastAsia="Palatino Linotype" w:hAnsi="Palatino Linotype" w:cs="Palatino Linotype"/>
          <w:bCs/>
          <w:lang w:eastAsia="es-MX"/>
        </w:rPr>
        <w:t>, así como factibilidades de conexiones al sistema de drenaje y alcantarillado.</w:t>
      </w:r>
    </w:p>
    <w:p w14:paraId="0D1F9DAC" w14:textId="77777777" w:rsidR="003B0118" w:rsidRPr="00F100CC" w:rsidRDefault="003B0118" w:rsidP="00A708A4">
      <w:pPr>
        <w:spacing w:after="0" w:line="360" w:lineRule="auto"/>
        <w:ind w:right="-93"/>
        <w:jc w:val="both"/>
        <w:rPr>
          <w:rFonts w:ascii="Palatino Linotype" w:eastAsia="Times New Roman" w:hAnsi="Palatino Linotype" w:cs="Tahoma"/>
          <w:color w:val="FF0000"/>
          <w:lang w:val="es-ES" w:eastAsia="es-ES"/>
        </w:rPr>
      </w:pPr>
    </w:p>
    <w:p w14:paraId="0161229B" w14:textId="43295B4C" w:rsidR="004E370C" w:rsidRPr="00F100CC" w:rsidRDefault="004E370C" w:rsidP="004E370C">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rPr>
        <w:t xml:space="preserve">Así, este Organismo Garante determina que el Sujeto Obligado deberá realizar una búsqueda exhaustiva y razonable en todas las unidades administrativas competentes, </w:t>
      </w:r>
      <w:r w:rsidRPr="00F100CC">
        <w:rPr>
          <w:rFonts w:ascii="Palatino Linotype" w:eastAsia="Palatino Linotype" w:hAnsi="Palatino Linotype" w:cs="Palatino Linotype"/>
          <w:b/>
          <w:bCs/>
        </w:rPr>
        <w:t xml:space="preserve">a efecto de que proporcione  el documento donde conste la factibilidad de conexión </w:t>
      </w:r>
      <w:r w:rsidRPr="00F100CC">
        <w:rPr>
          <w:rFonts w:ascii="Palatino Linotype" w:eastAsia="Calibri" w:hAnsi="Palatino Linotype" w:cs="Times New Roman"/>
          <w:b/>
          <w:bCs/>
          <w:lang w:eastAsia="es-MX"/>
        </w:rPr>
        <w:t>al sistema de drenaje y alcantarillado</w:t>
      </w:r>
      <w:r w:rsidR="00961A6C" w:rsidRPr="00F100CC">
        <w:rPr>
          <w:rFonts w:ascii="Palatino Linotype" w:eastAsia="Calibri" w:hAnsi="Palatino Linotype" w:cs="Times New Roman"/>
          <w:b/>
          <w:bCs/>
          <w:lang w:eastAsia="es-MX"/>
        </w:rPr>
        <w:t xml:space="preserve"> para la instalación de </w:t>
      </w:r>
      <w:r w:rsidRPr="00F100CC">
        <w:rPr>
          <w:rFonts w:ascii="Palatino Linotype" w:eastAsia="Calibri" w:hAnsi="Palatino Linotype" w:cs="Times New Roman"/>
          <w:b/>
          <w:bCs/>
          <w:lang w:eastAsia="es-MX"/>
        </w:rPr>
        <w:t xml:space="preserve">los tubos </w:t>
      </w:r>
      <w:r w:rsidRPr="00F100CC">
        <w:rPr>
          <w:rFonts w:ascii="Palatino Linotype" w:eastAsia="Palatino Linotype" w:hAnsi="Palatino Linotype" w:cs="Palatino Linotype"/>
          <w:b/>
          <w:bCs/>
          <w:lang w:eastAsia="es-MX"/>
        </w:rPr>
        <w:t>para el paso de agua de la barranca que se encuentra en la carretera a San Francisco Cuautla en el tramo que comprende del Puente Mezquite al Carril del Tablón frene a la Unidad Habitacional los Héroes Ixtapaluca</w:t>
      </w:r>
      <w:r w:rsidRPr="00F100CC">
        <w:rPr>
          <w:rFonts w:ascii="Palatino Linotype" w:eastAsia="Palatino Linotype" w:hAnsi="Palatino Linotype" w:cs="Palatino Linotype"/>
          <w:lang w:eastAsia="es-MX"/>
        </w:rPr>
        <w:t>, vigente al quince de mayo de dos mil veinticinco.</w:t>
      </w:r>
    </w:p>
    <w:p w14:paraId="5A758028" w14:textId="77777777" w:rsidR="00D33C03" w:rsidRPr="00F100CC" w:rsidRDefault="00D33C03" w:rsidP="004E370C">
      <w:pPr>
        <w:spacing w:after="0" w:line="360" w:lineRule="auto"/>
        <w:jc w:val="both"/>
        <w:rPr>
          <w:rFonts w:ascii="Palatino Linotype" w:eastAsia="Palatino Linotype" w:hAnsi="Palatino Linotype" w:cs="Palatino Linotype"/>
          <w:lang w:eastAsia="es-MX"/>
        </w:rPr>
      </w:pPr>
    </w:p>
    <w:p w14:paraId="609E4451" w14:textId="3D9D6A90" w:rsidR="00D33C03" w:rsidRPr="00F100CC" w:rsidRDefault="00D33C03" w:rsidP="00D33C03">
      <w:pPr>
        <w:spacing w:after="0" w:line="360" w:lineRule="auto"/>
        <w:jc w:val="both"/>
        <w:rPr>
          <w:rFonts w:ascii="Palatino Linotype" w:eastAsia="Calibri" w:hAnsi="Palatino Linotype" w:cs="Times New Roman"/>
          <w:bCs/>
          <w:lang w:eastAsia="es-MX"/>
        </w:rPr>
      </w:pPr>
      <w:r w:rsidRPr="00F100CC">
        <w:rPr>
          <w:rFonts w:ascii="Palatino Linotype" w:eastAsia="Calibri" w:hAnsi="Palatino Linotype" w:cs="Times New Roman"/>
          <w:bCs/>
          <w:lang w:eastAsia="es-MX"/>
        </w:rPr>
        <w:lastRenderedPageBreak/>
        <w:t xml:space="preserve">Conforme lo anterior, es necesario precisar que los Particulares no son peritos en la materia y en tanto, no están obligados a conocer con exactitud el nombre del documento mediante el cual se determina </w:t>
      </w:r>
      <w:r w:rsidRPr="00F100CC">
        <w:rPr>
          <w:rFonts w:ascii="Palatino Linotype" w:eastAsia="Palatino Linotype" w:hAnsi="Palatino Linotype" w:cs="Palatino Linotype"/>
        </w:rPr>
        <w:t xml:space="preserve">la factibilidad de conexión </w:t>
      </w:r>
      <w:r w:rsidRPr="00F100CC">
        <w:rPr>
          <w:rFonts w:ascii="Palatino Linotype" w:eastAsia="Calibri" w:hAnsi="Palatino Linotype" w:cs="Times New Roman"/>
          <w:lang w:eastAsia="es-MX"/>
        </w:rPr>
        <w:t xml:space="preserve">al sistema de drenaje y alcantarillado para la instalación de los tubos </w:t>
      </w:r>
      <w:r w:rsidRPr="00F100CC">
        <w:rPr>
          <w:rFonts w:ascii="Palatino Linotype" w:eastAsia="Palatino Linotype" w:hAnsi="Palatino Linotype" w:cs="Palatino Linotype"/>
          <w:lang w:eastAsia="es-MX"/>
        </w:rPr>
        <w:t>para el paso de agua de la barranca señalada en el requerimiento informativo, eso aunado al hecho de que en la normatividad no se localizó la facultad de emitir autorizaciones o permisos de drenaje únicamente la factibilidad de conexión al sistema de drenaje.</w:t>
      </w:r>
    </w:p>
    <w:p w14:paraId="61A5E608" w14:textId="4332728B" w:rsidR="004E370C" w:rsidRPr="00F100CC" w:rsidRDefault="004E370C" w:rsidP="00A708A4">
      <w:pPr>
        <w:spacing w:after="0" w:line="360" w:lineRule="auto"/>
        <w:ind w:right="-93"/>
        <w:jc w:val="both"/>
        <w:rPr>
          <w:rFonts w:ascii="Palatino Linotype" w:eastAsia="Palatino Linotype" w:hAnsi="Palatino Linotype" w:cs="Palatino Linotype"/>
        </w:rPr>
      </w:pPr>
    </w:p>
    <w:p w14:paraId="5A490805" w14:textId="150A1604" w:rsidR="009E2F5B" w:rsidRPr="00F100CC" w:rsidRDefault="009E2F5B" w:rsidP="00A708A4">
      <w:pPr>
        <w:spacing w:after="0" w:line="360" w:lineRule="auto"/>
        <w:ind w:right="-93"/>
        <w:jc w:val="both"/>
        <w:rPr>
          <w:rFonts w:ascii="Palatino Linotype" w:eastAsia="Palatino Linotype" w:hAnsi="Palatino Linotype" w:cs="Palatino Linotype"/>
        </w:rPr>
      </w:pPr>
      <w:r w:rsidRPr="00F100CC">
        <w:rPr>
          <w:rFonts w:ascii="Palatino Linotype" w:eastAsia="Palatino Linotype" w:hAnsi="Palatino Linotype" w:cs="Palatino Linotype"/>
        </w:rPr>
        <w:t>Ahora bien, para el caso de que no cuente con la información, al no haber sido solicitada por el constructor o no haber realizado alguna conexión al drenaje municipal, deberá hacerlo del conocimiento de la persona Recurrente, de manera clara y precisa, en términos del artículo 19, párrafo segundo, de la Ley de Transparencia y Acceso a la Información Pública del Estado de México y Municipios.</w:t>
      </w:r>
    </w:p>
    <w:p w14:paraId="28B3D3FD" w14:textId="77777777" w:rsidR="009E2F5B" w:rsidRPr="00F100CC" w:rsidRDefault="009E2F5B" w:rsidP="00A708A4">
      <w:pPr>
        <w:spacing w:after="0" w:line="360" w:lineRule="auto"/>
        <w:ind w:right="-93"/>
        <w:jc w:val="both"/>
        <w:rPr>
          <w:rFonts w:ascii="Palatino Linotype" w:eastAsia="Palatino Linotype" w:hAnsi="Palatino Linotype" w:cs="Palatino Linotype"/>
        </w:rPr>
      </w:pPr>
    </w:p>
    <w:p w14:paraId="10A4250C" w14:textId="77777777" w:rsidR="000F4CF7" w:rsidRPr="00F100CC" w:rsidRDefault="000F4CF7" w:rsidP="000F4CF7">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Finalmente, no pasa desapercibido para este Instituto que los documentos que atiendan la solicitud, pudieran contener datos personales confidenciales, tales como el nombre de menores de edad, en términos del artículo 143, fracción I de la Ley de la materia;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0E4BA44" w14:textId="77777777" w:rsidR="000F4CF7" w:rsidRPr="00F100CC" w:rsidRDefault="000F4CF7" w:rsidP="000F4CF7">
      <w:pPr>
        <w:spacing w:after="0" w:line="360" w:lineRule="auto"/>
        <w:jc w:val="both"/>
        <w:rPr>
          <w:rFonts w:ascii="Palatino Linotype" w:eastAsia="Palatino Linotype" w:hAnsi="Palatino Linotype" w:cs="Palatino Linotype"/>
          <w:lang w:eastAsia="es-MX"/>
        </w:rPr>
      </w:pPr>
    </w:p>
    <w:p w14:paraId="34AEE767" w14:textId="042DECDE" w:rsidR="004E370C" w:rsidRPr="00F100CC" w:rsidRDefault="000F4CF7" w:rsidP="000F4CF7">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2DFA899" w14:textId="77777777" w:rsidR="006909FC" w:rsidRPr="00F100CC" w:rsidRDefault="006909FC" w:rsidP="005D6E32">
      <w:pPr>
        <w:spacing w:after="0" w:line="360" w:lineRule="auto"/>
        <w:jc w:val="both"/>
        <w:rPr>
          <w:rFonts w:ascii="Palatino Linotype" w:eastAsia="Times New Roman" w:hAnsi="Palatino Linotype" w:cs="Tahoma"/>
          <w:bCs/>
          <w:iCs/>
          <w:color w:val="FF0000"/>
          <w:lang w:eastAsia="es-ES"/>
        </w:rPr>
      </w:pPr>
    </w:p>
    <w:p w14:paraId="1953D68B" w14:textId="4EC7C2F0" w:rsidR="006909FC" w:rsidRPr="00F100CC" w:rsidRDefault="006909FC" w:rsidP="00F0352C">
      <w:pPr>
        <w:pStyle w:val="Ttulo2"/>
        <w:rPr>
          <w:rFonts w:eastAsia="Calibri"/>
        </w:rPr>
      </w:pPr>
      <w:bookmarkStart w:id="15" w:name="_Toc205472294"/>
      <w:r w:rsidRPr="00F100CC">
        <w:rPr>
          <w:rFonts w:eastAsia="Calibri"/>
        </w:rPr>
        <w:t>SEXTO. Decisión</w:t>
      </w:r>
      <w:bookmarkEnd w:id="15"/>
    </w:p>
    <w:p w14:paraId="283A59B8" w14:textId="77777777" w:rsidR="006F56F6" w:rsidRPr="00F100CC" w:rsidRDefault="006F56F6" w:rsidP="005D6E32">
      <w:pPr>
        <w:spacing w:after="0" w:line="360" w:lineRule="auto"/>
        <w:jc w:val="both"/>
        <w:rPr>
          <w:rFonts w:ascii="Palatino Linotype" w:eastAsia="Calibri" w:hAnsi="Palatino Linotype" w:cs="Tahoma"/>
          <w:b/>
          <w:color w:val="FF0000"/>
        </w:rPr>
      </w:pPr>
    </w:p>
    <w:p w14:paraId="3BB79562" w14:textId="116F4B9C" w:rsidR="000F4CF7" w:rsidRPr="00F100CC" w:rsidRDefault="000F4CF7" w:rsidP="000F4CF7">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De acuerdo con lo expuesto y, con fundamento en el artículo 186, fracción III, de la Ley de Transparencia y Acceso a la Información Pública del Estado de México y Municipios, este Instituto considera procedente </w:t>
      </w:r>
      <w:r w:rsidRPr="00F100CC">
        <w:rPr>
          <w:rFonts w:ascii="Palatino Linotype" w:eastAsia="Palatino Linotype" w:hAnsi="Palatino Linotype" w:cs="Palatino Linotype"/>
          <w:b/>
          <w:lang w:eastAsia="es-MX"/>
        </w:rPr>
        <w:t xml:space="preserve">MODIFICAR </w:t>
      </w:r>
      <w:r w:rsidRPr="00F100CC">
        <w:rPr>
          <w:rFonts w:ascii="Palatino Linotype" w:eastAsia="Palatino Linotype" w:hAnsi="Palatino Linotype" w:cs="Palatino Linotype"/>
          <w:lang w:eastAsia="es-MX"/>
        </w:rPr>
        <w:t>la respuesta d</w:t>
      </w:r>
      <w:r w:rsidR="00961A6C" w:rsidRPr="00F100CC">
        <w:rPr>
          <w:rFonts w:ascii="Palatino Linotype" w:eastAsia="Palatino Linotype" w:hAnsi="Palatino Linotype" w:cs="Palatino Linotype"/>
          <w:lang w:eastAsia="es-MX"/>
        </w:rPr>
        <w:t xml:space="preserve">el </w:t>
      </w:r>
      <w:r w:rsidR="00DE6148" w:rsidRPr="00F100CC">
        <w:rPr>
          <w:rFonts w:ascii="Palatino Linotype" w:eastAsia="Palatino Linotype" w:hAnsi="Palatino Linotype" w:cs="Palatino Linotype"/>
          <w:lang w:eastAsia="es-MX"/>
        </w:rPr>
        <w:t>Organismo Descentralizado de Agua Potable Alcantarillado y Saneamiento del Municipio de Ixtapaluca</w:t>
      </w:r>
      <w:r w:rsidRPr="00F100CC">
        <w:rPr>
          <w:rFonts w:ascii="Palatino Linotype" w:eastAsia="Palatino Linotype" w:hAnsi="Palatino Linotype" w:cs="Palatino Linotype"/>
          <w:b/>
          <w:lang w:eastAsia="es-MX"/>
        </w:rPr>
        <w:t xml:space="preserve">, </w:t>
      </w:r>
      <w:r w:rsidRPr="00F100CC">
        <w:rPr>
          <w:rFonts w:ascii="Palatino Linotype" w:eastAsia="Palatino Linotype" w:hAnsi="Palatino Linotype" w:cs="Palatino Linotype"/>
          <w:lang w:eastAsia="es-MX"/>
        </w:rPr>
        <w:t>a efecto de que previa búsqueda exhaustiva y razonable entregue la información solicitada.</w:t>
      </w:r>
    </w:p>
    <w:p w14:paraId="0CEA9311" w14:textId="77777777" w:rsidR="000F4CF7" w:rsidRPr="00F100CC" w:rsidRDefault="000F4CF7" w:rsidP="000F4CF7">
      <w:pPr>
        <w:spacing w:after="0" w:line="360" w:lineRule="auto"/>
        <w:jc w:val="both"/>
        <w:rPr>
          <w:rFonts w:ascii="Palatino Linotype" w:eastAsia="Palatino Linotype" w:hAnsi="Palatino Linotype" w:cs="Palatino Linotype"/>
          <w:color w:val="FF0000"/>
          <w:lang w:eastAsia="es-MX"/>
        </w:rPr>
      </w:pPr>
    </w:p>
    <w:p w14:paraId="1E18AB13" w14:textId="77777777" w:rsidR="000F4CF7" w:rsidRPr="00F100CC" w:rsidRDefault="000F4CF7" w:rsidP="000F4CF7">
      <w:pPr>
        <w:spacing w:after="0" w:line="360" w:lineRule="auto"/>
        <w:contextualSpacing/>
        <w:jc w:val="both"/>
        <w:rPr>
          <w:rFonts w:ascii="Palatino Linotype" w:eastAsia="Calibri" w:hAnsi="Palatino Linotype" w:cs="Tahoma"/>
          <w:b/>
          <w:bCs/>
          <w:lang w:eastAsia="es-MX"/>
        </w:rPr>
      </w:pPr>
      <w:r w:rsidRPr="00F100CC">
        <w:rPr>
          <w:rFonts w:ascii="Palatino Linotype" w:eastAsia="Calibri" w:hAnsi="Palatino Linotype" w:cs="Tahoma"/>
          <w:b/>
          <w:bCs/>
          <w:lang w:eastAsia="es-MX"/>
        </w:rPr>
        <w:t>Términos de la Resolución para conocimiento del Particular</w:t>
      </w:r>
    </w:p>
    <w:p w14:paraId="3367BEB6" w14:textId="77777777" w:rsidR="000F4CF7" w:rsidRPr="00F100CC" w:rsidRDefault="000F4CF7" w:rsidP="000F4CF7">
      <w:pPr>
        <w:spacing w:after="0" w:line="360" w:lineRule="auto"/>
        <w:contextualSpacing/>
        <w:jc w:val="both"/>
        <w:rPr>
          <w:rFonts w:ascii="Palatino Linotype" w:eastAsia="Calibri" w:hAnsi="Palatino Linotype" w:cs="Tahoma"/>
          <w:b/>
          <w:bCs/>
          <w:lang w:eastAsia="es-MX"/>
        </w:rPr>
      </w:pPr>
    </w:p>
    <w:p w14:paraId="7A71A78C" w14:textId="654CF8BD" w:rsidR="000F4CF7" w:rsidRPr="00F100CC" w:rsidRDefault="000F4CF7" w:rsidP="000F4CF7">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Se le hace del conocimiento a la persona Recurrente que, en el presente asunto, se le da la razón, pues si bien el Sujeto Obligado señaló su incompetencia para conocer de la información solicita, sin embargo, como quedó demostrado en párrafos posteriores, el Sujeto Obligado cuenta con atribuciones para conocer parte del requerimiento informativo formulado por el Particular, por lo que deberá entregar la información solicitada de su competencia.</w:t>
      </w:r>
    </w:p>
    <w:p w14:paraId="11351934" w14:textId="77777777" w:rsidR="00770C04" w:rsidRPr="00F100CC" w:rsidRDefault="00770C04" w:rsidP="000F4CF7">
      <w:pPr>
        <w:spacing w:after="0" w:line="360" w:lineRule="auto"/>
        <w:jc w:val="both"/>
        <w:rPr>
          <w:rFonts w:ascii="Palatino Linotype" w:eastAsia="Palatino Linotype" w:hAnsi="Palatino Linotype" w:cs="Palatino Linotype"/>
          <w:color w:val="FF0000"/>
          <w:lang w:eastAsia="es-MX"/>
        </w:rPr>
      </w:pPr>
    </w:p>
    <w:p w14:paraId="74F330CE" w14:textId="77777777" w:rsidR="000F4CF7" w:rsidRPr="00F100CC" w:rsidRDefault="000F4CF7" w:rsidP="000F4CF7">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 xml:space="preserve">Finalmente, se le hace de su conocimiento que la labor del Instituto de Transparencia, Acceso a la Información Pública y Protección de Datos Personales del Estado de México y </w:t>
      </w:r>
      <w:r w:rsidRPr="00F100CC">
        <w:rPr>
          <w:rFonts w:ascii="Palatino Linotype" w:eastAsia="Palatino Linotype" w:hAnsi="Palatino Linotype" w:cs="Palatino Linotype"/>
          <w:lang w:eastAsia="es-MX"/>
        </w:rPr>
        <w:lastRenderedPageBreak/>
        <w:t>Municipios, es apoyar a la población a acceder a la información pública y garantizar la protección de sus datos personales.</w:t>
      </w:r>
    </w:p>
    <w:p w14:paraId="5EB06DCB" w14:textId="77777777" w:rsidR="00770C04" w:rsidRPr="00F100CC" w:rsidRDefault="00770C04" w:rsidP="000F4CF7">
      <w:pPr>
        <w:spacing w:after="0" w:line="360" w:lineRule="auto"/>
        <w:jc w:val="both"/>
        <w:rPr>
          <w:rFonts w:ascii="Palatino Linotype" w:eastAsia="Palatino Linotype" w:hAnsi="Palatino Linotype" w:cs="Palatino Linotype"/>
          <w:lang w:eastAsia="es-MX"/>
        </w:rPr>
      </w:pPr>
    </w:p>
    <w:p w14:paraId="30A44D17" w14:textId="77777777" w:rsidR="000F4CF7" w:rsidRPr="00F100CC" w:rsidRDefault="000F4CF7" w:rsidP="000F4CF7">
      <w:pPr>
        <w:spacing w:after="0" w:line="360" w:lineRule="auto"/>
        <w:contextualSpacing/>
        <w:jc w:val="both"/>
        <w:rPr>
          <w:rFonts w:ascii="Palatino Linotype" w:eastAsia="Calibri" w:hAnsi="Palatino Linotype" w:cs="Palatino Linotype"/>
          <w:lang w:eastAsia="es-MX"/>
        </w:rPr>
      </w:pPr>
      <w:r w:rsidRPr="00F100CC">
        <w:rPr>
          <w:rFonts w:ascii="Palatino Linotype" w:eastAsia="Calibri" w:hAnsi="Palatino Linotype" w:cs="Palatino Linotype"/>
          <w:lang w:eastAsia="es-MX"/>
        </w:rPr>
        <w:t>Por lo expuesto y fundado, este Pleno:</w:t>
      </w:r>
    </w:p>
    <w:p w14:paraId="2A2E47BE" w14:textId="77777777" w:rsidR="000F4CF7" w:rsidRPr="00F100CC" w:rsidRDefault="000F4CF7" w:rsidP="000F4CF7">
      <w:pPr>
        <w:spacing w:after="0" w:line="360" w:lineRule="auto"/>
        <w:contextualSpacing/>
        <w:jc w:val="both"/>
        <w:rPr>
          <w:rFonts w:ascii="Palatino Linotype" w:eastAsia="Calibri" w:hAnsi="Palatino Linotype" w:cs="Palatino Linotype"/>
          <w:lang w:eastAsia="es-MX"/>
        </w:rPr>
      </w:pPr>
    </w:p>
    <w:p w14:paraId="4C831C70" w14:textId="77777777" w:rsidR="000F4CF7" w:rsidRPr="00F100CC" w:rsidRDefault="000F4CF7" w:rsidP="000F4CF7">
      <w:pPr>
        <w:keepNext/>
        <w:keepLines/>
        <w:spacing w:after="0" w:line="360" w:lineRule="auto"/>
        <w:jc w:val="center"/>
        <w:outlineLvl w:val="0"/>
        <w:rPr>
          <w:rFonts w:ascii="Palatino Linotype" w:eastAsia="Palatino Linotype" w:hAnsi="Palatino Linotype" w:cs="Palatino Linotype"/>
          <w:b/>
          <w:lang w:eastAsia="es-MX"/>
        </w:rPr>
      </w:pPr>
      <w:bookmarkStart w:id="16" w:name="_Toc203058097"/>
      <w:bookmarkStart w:id="17" w:name="_Toc205472295"/>
      <w:r w:rsidRPr="00F100CC">
        <w:rPr>
          <w:rFonts w:ascii="Palatino Linotype" w:eastAsia="Palatino Linotype" w:hAnsi="Palatino Linotype" w:cs="Palatino Linotype"/>
          <w:b/>
          <w:lang w:eastAsia="es-MX"/>
        </w:rPr>
        <w:t>R E S U E L V E</w:t>
      </w:r>
      <w:bookmarkEnd w:id="16"/>
      <w:bookmarkEnd w:id="17"/>
    </w:p>
    <w:p w14:paraId="5CE6DB6A" w14:textId="77777777" w:rsidR="000F4CF7" w:rsidRPr="00F100CC" w:rsidRDefault="000F4CF7" w:rsidP="000F4CF7">
      <w:pPr>
        <w:spacing w:after="0" w:line="360" w:lineRule="auto"/>
        <w:contextualSpacing/>
        <w:jc w:val="both"/>
        <w:rPr>
          <w:rFonts w:ascii="Palatino Linotype" w:eastAsia="Calibri" w:hAnsi="Palatino Linotype" w:cs="Palatino Linotype"/>
          <w:b/>
          <w:bCs/>
          <w:color w:val="FF0000"/>
          <w:lang w:eastAsia="es-MX"/>
        </w:rPr>
      </w:pPr>
    </w:p>
    <w:p w14:paraId="1F7C4C79" w14:textId="00EA2AB4" w:rsidR="000F4CF7" w:rsidRPr="00F100CC" w:rsidRDefault="000F4CF7" w:rsidP="000F4CF7">
      <w:pPr>
        <w:spacing w:after="0" w:line="360" w:lineRule="auto"/>
        <w:contextualSpacing/>
        <w:jc w:val="both"/>
        <w:rPr>
          <w:rFonts w:ascii="Palatino Linotype" w:eastAsia="Palatino Linotype" w:hAnsi="Palatino Linotype" w:cs="Tahoma"/>
          <w:bCs/>
          <w:lang w:eastAsia="es-MX"/>
        </w:rPr>
      </w:pPr>
      <w:r w:rsidRPr="00F100CC">
        <w:rPr>
          <w:rFonts w:ascii="Palatino Linotype" w:eastAsia="Palatino Linotype" w:hAnsi="Palatino Linotype" w:cs="Tahoma"/>
          <w:b/>
          <w:bCs/>
          <w:lang w:eastAsia="es-MX"/>
        </w:rPr>
        <w:t xml:space="preserve">PRIMERO. </w:t>
      </w:r>
      <w:r w:rsidRPr="00F100CC">
        <w:rPr>
          <w:rFonts w:ascii="Palatino Linotype" w:eastAsia="Palatino Linotype" w:hAnsi="Palatino Linotype" w:cs="Tahoma"/>
          <w:bCs/>
          <w:lang w:eastAsia="es-MX"/>
        </w:rPr>
        <w:t xml:space="preserve">Se </w:t>
      </w:r>
      <w:r w:rsidRPr="00F100CC">
        <w:rPr>
          <w:rFonts w:ascii="Palatino Linotype" w:eastAsia="Palatino Linotype" w:hAnsi="Palatino Linotype" w:cs="Tahoma"/>
          <w:b/>
          <w:bCs/>
          <w:lang w:eastAsia="es-MX"/>
        </w:rPr>
        <w:t xml:space="preserve">MODIFICA </w:t>
      </w:r>
      <w:r w:rsidRPr="00F100CC">
        <w:rPr>
          <w:rFonts w:ascii="Palatino Linotype" w:eastAsia="Palatino Linotype" w:hAnsi="Palatino Linotype" w:cs="Tahoma"/>
          <w:bCs/>
          <w:lang w:eastAsia="es-MX"/>
        </w:rPr>
        <w:t>la respuesta entregada por el</w:t>
      </w:r>
      <w:r w:rsidR="008E6631" w:rsidRPr="00F100CC">
        <w:rPr>
          <w:rFonts w:ascii="Palatino Linotype" w:eastAsia="Palatino Linotype" w:hAnsi="Palatino Linotype" w:cs="Tahoma"/>
          <w:bCs/>
          <w:lang w:eastAsia="es-MX"/>
        </w:rPr>
        <w:t xml:space="preserve"> Sujeto Obligado</w:t>
      </w:r>
      <w:r w:rsidRPr="00F100CC">
        <w:rPr>
          <w:rFonts w:ascii="Palatino Linotype" w:eastAsia="Palatino Linotype" w:hAnsi="Palatino Linotype" w:cs="Tahoma"/>
          <w:bCs/>
          <w:lang w:eastAsia="es-MX"/>
        </w:rPr>
        <w:t>, a la solicitud de información</w:t>
      </w:r>
      <w:r w:rsidR="00EC529B" w:rsidRPr="00F100CC">
        <w:rPr>
          <w:rFonts w:ascii="Arial" w:hAnsi="Arial" w:cs="Arial"/>
          <w:b/>
          <w:bCs/>
          <w:sz w:val="15"/>
          <w:szCs w:val="15"/>
        </w:rPr>
        <w:t xml:space="preserve"> </w:t>
      </w:r>
      <w:r w:rsidR="00EC529B" w:rsidRPr="00F100CC">
        <w:rPr>
          <w:rFonts w:ascii="Palatino Linotype" w:eastAsia="Palatino Linotype" w:hAnsi="Palatino Linotype" w:cs="Palatino Linotype"/>
          <w:lang w:eastAsia="es-MX"/>
        </w:rPr>
        <w:t>00013/OASIXTAPAL/IP/2025</w:t>
      </w:r>
      <w:r w:rsidRPr="00F100CC">
        <w:rPr>
          <w:rFonts w:ascii="Palatino Linotype" w:eastAsia="Palatino Linotype" w:hAnsi="Palatino Linotype" w:cs="Palatino Linotype"/>
          <w:bCs/>
          <w:lang w:eastAsia="es-MX"/>
        </w:rPr>
        <w:t>, por resultar</w:t>
      </w:r>
      <w:r w:rsidR="009E2F5B" w:rsidRPr="00F100CC">
        <w:rPr>
          <w:rFonts w:ascii="Palatino Linotype" w:eastAsia="Palatino Linotype" w:hAnsi="Palatino Linotype" w:cs="Palatino Linotype"/>
          <w:bCs/>
          <w:lang w:eastAsia="es-MX"/>
        </w:rPr>
        <w:t xml:space="preserve"> </w:t>
      </w:r>
      <w:r w:rsidR="009E2F5B" w:rsidRPr="00F100CC">
        <w:rPr>
          <w:rFonts w:ascii="Palatino Linotype" w:eastAsia="Palatino Linotype" w:hAnsi="Palatino Linotype" w:cs="Palatino Linotype"/>
          <w:b/>
          <w:lang w:eastAsia="es-MX"/>
        </w:rPr>
        <w:t>PARCIALMENTE</w:t>
      </w:r>
      <w:r w:rsidRPr="00F100CC">
        <w:rPr>
          <w:rFonts w:ascii="Palatino Linotype" w:eastAsia="Palatino Linotype" w:hAnsi="Palatino Linotype" w:cs="Palatino Linotype"/>
          <w:bCs/>
          <w:lang w:eastAsia="es-MX"/>
        </w:rPr>
        <w:t xml:space="preserve"> </w:t>
      </w:r>
      <w:r w:rsidRPr="00F100CC">
        <w:rPr>
          <w:rFonts w:ascii="Palatino Linotype" w:eastAsia="Palatino Linotype" w:hAnsi="Palatino Linotype" w:cs="Palatino Linotype"/>
          <w:b/>
          <w:bCs/>
          <w:lang w:eastAsia="es-MX"/>
        </w:rPr>
        <w:t>FUNDADAS</w:t>
      </w:r>
      <w:r w:rsidRPr="00F100CC">
        <w:rPr>
          <w:rFonts w:ascii="Palatino Linotype" w:eastAsia="Palatino Linotype" w:hAnsi="Palatino Linotype" w:cs="Tahoma"/>
          <w:b/>
          <w:bCs/>
          <w:lang w:eastAsia="es-MX"/>
        </w:rPr>
        <w:t xml:space="preserve"> </w:t>
      </w:r>
      <w:r w:rsidRPr="00F100CC">
        <w:rPr>
          <w:rFonts w:ascii="Palatino Linotype" w:eastAsia="Calibri" w:hAnsi="Palatino Linotype" w:cs="Tahoma"/>
          <w:bCs/>
          <w:lang w:eastAsia="es-MX"/>
        </w:rPr>
        <w:t>las razones o motivos de inconformidad hechos valer por el Recurrente</w:t>
      </w:r>
      <w:r w:rsidRPr="00F100CC">
        <w:rPr>
          <w:rFonts w:ascii="Palatino Linotype" w:eastAsia="Palatino Linotype" w:hAnsi="Palatino Linotype" w:cs="Tahoma"/>
          <w:bCs/>
          <w:lang w:eastAsia="es-MX"/>
        </w:rPr>
        <w:t xml:space="preserve">, </w:t>
      </w:r>
      <w:r w:rsidRPr="00F100CC">
        <w:rPr>
          <w:rFonts w:ascii="Palatino Linotype" w:eastAsia="Calibri" w:hAnsi="Palatino Linotype" w:cs="Tahoma"/>
          <w:bCs/>
          <w:lang w:eastAsia="es-MX"/>
        </w:rPr>
        <w:t>en términos de los considerandos QUINTO y SEXTO de la presente Resolución.</w:t>
      </w:r>
    </w:p>
    <w:p w14:paraId="7E8E850F" w14:textId="77777777" w:rsidR="000F4CF7" w:rsidRPr="00F100CC" w:rsidRDefault="000F4CF7" w:rsidP="000F4CF7">
      <w:pPr>
        <w:spacing w:after="0" w:line="360" w:lineRule="auto"/>
        <w:contextualSpacing/>
        <w:jc w:val="both"/>
        <w:rPr>
          <w:rFonts w:ascii="Palatino Linotype" w:eastAsia="Times New Roman" w:hAnsi="Palatino Linotype" w:cs="Tahoma"/>
          <w:bCs/>
          <w:color w:val="FF0000"/>
          <w:lang w:eastAsia="es-ES"/>
        </w:rPr>
      </w:pPr>
    </w:p>
    <w:p w14:paraId="3C939F1D" w14:textId="1C9C7692" w:rsidR="000F4CF7" w:rsidRPr="00F100CC" w:rsidRDefault="000F4CF7" w:rsidP="000F4CF7">
      <w:p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Tahoma"/>
          <w:b/>
          <w:bCs/>
          <w:lang w:eastAsia="es-MX"/>
        </w:rPr>
        <w:t xml:space="preserve">SEGUNDO. </w:t>
      </w:r>
      <w:r w:rsidRPr="00F100CC">
        <w:rPr>
          <w:rFonts w:ascii="Palatino Linotype" w:eastAsia="Palatino Linotype" w:hAnsi="Palatino Linotype" w:cs="Palatino Linotype"/>
          <w:lang w:eastAsia="es-MX"/>
        </w:rPr>
        <w:t xml:space="preserve">Se </w:t>
      </w:r>
      <w:r w:rsidRPr="00F100CC">
        <w:rPr>
          <w:rFonts w:ascii="Palatino Linotype" w:eastAsia="Palatino Linotype" w:hAnsi="Palatino Linotype" w:cs="Palatino Linotype"/>
          <w:b/>
          <w:lang w:eastAsia="es-MX"/>
        </w:rPr>
        <w:t>ORDENA</w:t>
      </w:r>
      <w:r w:rsidRPr="00F100CC">
        <w:rPr>
          <w:rFonts w:ascii="Palatino Linotype" w:eastAsia="Palatino Linotype" w:hAnsi="Palatino Linotype" w:cs="Palatino Linotype"/>
          <w:lang w:eastAsia="es-MX"/>
        </w:rPr>
        <w:t xml:space="preserve"> al Ente Recurrido</w:t>
      </w:r>
      <w:r w:rsidRPr="00F100CC">
        <w:rPr>
          <w:rFonts w:ascii="Palatino Linotype" w:eastAsia="Palatino Linotype" w:hAnsi="Palatino Linotype" w:cs="Palatino Linotype"/>
          <w:b/>
          <w:lang w:eastAsia="es-MX"/>
        </w:rPr>
        <w:t xml:space="preserve">, </w:t>
      </w:r>
      <w:r w:rsidRPr="00F100CC">
        <w:rPr>
          <w:rFonts w:ascii="Palatino Linotype" w:eastAsia="Palatino Linotype" w:hAnsi="Palatino Linotype" w:cs="Palatino Linotype"/>
          <w:lang w:eastAsia="es-MX"/>
        </w:rPr>
        <w:t>a efecto de que previa búsqueda exhaustiva y razonable, en los archivos de las unidades administrativas competentes, entregue a través del Sistema de Acceso a la Información Mexiquense (SAIMEX</w:t>
      </w:r>
      <w:r w:rsidR="00D33C03" w:rsidRPr="00F100CC">
        <w:rPr>
          <w:rFonts w:ascii="Palatino Linotype" w:eastAsia="Palatino Linotype" w:hAnsi="Palatino Linotype" w:cs="Palatino Linotype"/>
          <w:lang w:eastAsia="es-MX"/>
        </w:rPr>
        <w:t>), de</w:t>
      </w:r>
      <w:r w:rsidR="00EC529B" w:rsidRPr="00F100CC">
        <w:rPr>
          <w:rFonts w:ascii="Palatino Linotype" w:eastAsia="Palatino Linotype" w:hAnsi="Palatino Linotype" w:cs="Palatino Linotype"/>
          <w:lang w:eastAsia="es-MX"/>
        </w:rPr>
        <w:t xml:space="preserve"> ser el caso en </w:t>
      </w:r>
      <w:r w:rsidRPr="00F100CC">
        <w:rPr>
          <w:rFonts w:ascii="Palatino Linotype" w:eastAsia="Palatino Linotype" w:hAnsi="Palatino Linotype" w:cs="Palatino Linotype"/>
          <w:lang w:eastAsia="es-MX"/>
        </w:rPr>
        <w:t xml:space="preserve">versión pública, </w:t>
      </w:r>
      <w:r w:rsidR="004B3F62" w:rsidRPr="00F100CC">
        <w:rPr>
          <w:rFonts w:ascii="Palatino Linotype" w:eastAsia="Palatino Linotype" w:hAnsi="Palatino Linotype" w:cs="Palatino Linotype"/>
          <w:lang w:eastAsia="es-MX"/>
        </w:rPr>
        <w:t xml:space="preserve">preferentemente </w:t>
      </w:r>
      <w:r w:rsidR="00D33C03" w:rsidRPr="00F100CC">
        <w:rPr>
          <w:rFonts w:ascii="Palatino Linotype" w:eastAsia="Palatino Linotype" w:hAnsi="Palatino Linotype" w:cs="Palatino Linotype"/>
          <w:lang w:eastAsia="es-MX"/>
        </w:rPr>
        <w:t xml:space="preserve">en formato PDF o en el que se haya generado, </w:t>
      </w:r>
      <w:r w:rsidR="009E2F5B" w:rsidRPr="00F100CC">
        <w:rPr>
          <w:rFonts w:ascii="Palatino Linotype" w:eastAsia="Palatino Linotype" w:hAnsi="Palatino Linotype" w:cs="Palatino Linotype"/>
          <w:lang w:eastAsia="es-MX"/>
        </w:rPr>
        <w:t>el documento con el que contara al quince de mayo de dos mil veinticinco d</w:t>
      </w:r>
      <w:r w:rsidRPr="00F100CC">
        <w:rPr>
          <w:rFonts w:ascii="Palatino Linotype" w:eastAsia="Palatino Linotype" w:hAnsi="Palatino Linotype" w:cs="Palatino Linotype"/>
          <w:lang w:eastAsia="es-MX"/>
        </w:rPr>
        <w:t>o</w:t>
      </w:r>
      <w:r w:rsidR="009E2F5B" w:rsidRPr="00F100CC">
        <w:rPr>
          <w:rFonts w:ascii="Palatino Linotype" w:eastAsia="Palatino Linotype" w:hAnsi="Palatino Linotype" w:cs="Palatino Linotype"/>
          <w:lang w:eastAsia="es-MX"/>
        </w:rPr>
        <w:t>nde conste lo</w:t>
      </w:r>
      <w:r w:rsidRPr="00F100CC">
        <w:rPr>
          <w:rFonts w:ascii="Palatino Linotype" w:eastAsia="Palatino Linotype" w:hAnsi="Palatino Linotype" w:cs="Palatino Linotype"/>
          <w:lang w:eastAsia="es-MX"/>
        </w:rPr>
        <w:t xml:space="preserve"> siguiente:</w:t>
      </w:r>
    </w:p>
    <w:p w14:paraId="064BEF62" w14:textId="77777777" w:rsidR="000F4CF7" w:rsidRPr="00F100CC" w:rsidRDefault="000F4CF7" w:rsidP="000F4CF7">
      <w:pPr>
        <w:spacing w:after="0" w:line="360" w:lineRule="auto"/>
        <w:jc w:val="both"/>
        <w:rPr>
          <w:rFonts w:ascii="Palatino Linotype" w:eastAsia="Palatino Linotype" w:hAnsi="Palatino Linotype" w:cs="Palatino Linotype"/>
          <w:color w:val="FF0000"/>
          <w:lang w:eastAsia="es-MX"/>
        </w:rPr>
      </w:pPr>
    </w:p>
    <w:p w14:paraId="2A2B3FE5" w14:textId="4EFEA66C" w:rsidR="000F4CF7" w:rsidRPr="00F100CC" w:rsidRDefault="009E2F5B" w:rsidP="00EC529B">
      <w:pPr>
        <w:pStyle w:val="Prrafodelista"/>
        <w:numPr>
          <w:ilvl w:val="0"/>
          <w:numId w:val="20"/>
        </w:numPr>
        <w:spacing w:after="0" w:line="360" w:lineRule="auto"/>
        <w:jc w:val="both"/>
        <w:rPr>
          <w:rFonts w:ascii="Palatino Linotype" w:eastAsia="Palatino Linotype" w:hAnsi="Palatino Linotype" w:cs="Palatino Linotype"/>
          <w:lang w:eastAsia="es-MX"/>
        </w:rPr>
      </w:pPr>
      <w:r w:rsidRPr="00F100CC">
        <w:rPr>
          <w:rFonts w:ascii="Palatino Linotype" w:eastAsia="Palatino Linotype" w:hAnsi="Palatino Linotype" w:cs="Palatino Linotype"/>
          <w:lang w:eastAsia="es-MX"/>
        </w:rPr>
        <w:t>L</w:t>
      </w:r>
      <w:r w:rsidR="00EC529B" w:rsidRPr="00F100CC">
        <w:rPr>
          <w:rFonts w:ascii="Palatino Linotype" w:eastAsia="Palatino Linotype" w:hAnsi="Palatino Linotype" w:cs="Palatino Linotype"/>
          <w:lang w:eastAsia="es-MX"/>
        </w:rPr>
        <w:t>a factibilidad de conexión al sistema de drenaje y alcantarillado, respecto de los tubos para el paso de agua de la barranca que se encuentra en la carretera a San Francisco Cuautla en el tramo que comprende del Puente Mezquite al Carril del Tablón frene a la Unidad Habitacional los Héroes Ixtapaluca</w:t>
      </w:r>
      <w:r w:rsidRPr="00F100CC">
        <w:rPr>
          <w:rFonts w:ascii="Palatino Linotype" w:eastAsia="Palatino Linotype" w:hAnsi="Palatino Linotype" w:cs="Palatino Linotype"/>
          <w:lang w:eastAsia="es-MX"/>
        </w:rPr>
        <w:t>.</w:t>
      </w:r>
    </w:p>
    <w:p w14:paraId="583EFDFF" w14:textId="77777777" w:rsidR="000F4CF7" w:rsidRPr="00F100CC" w:rsidRDefault="000F4CF7" w:rsidP="000F4CF7">
      <w:pPr>
        <w:spacing w:after="0" w:line="360" w:lineRule="auto"/>
        <w:ind w:left="720"/>
        <w:contextualSpacing/>
        <w:jc w:val="both"/>
        <w:rPr>
          <w:rFonts w:ascii="Palatino Linotype" w:eastAsia="Times New Roman" w:hAnsi="Palatino Linotype" w:cs="Times New Roman"/>
          <w:color w:val="FF0000"/>
          <w:szCs w:val="24"/>
          <w:lang w:eastAsia="es-ES"/>
        </w:rPr>
      </w:pPr>
    </w:p>
    <w:p w14:paraId="03A2F642" w14:textId="2DB522B2" w:rsidR="000F4CF7" w:rsidRPr="00F100CC" w:rsidRDefault="000F4CF7" w:rsidP="000F4CF7">
      <w:pPr>
        <w:spacing w:after="0" w:line="360" w:lineRule="auto"/>
        <w:ind w:right="-91"/>
        <w:contextualSpacing/>
        <w:jc w:val="both"/>
        <w:rPr>
          <w:rFonts w:ascii="Palatino Linotype" w:eastAsia="Calibri" w:hAnsi="Palatino Linotype" w:cs="Tahoma"/>
          <w:bCs/>
          <w:lang w:eastAsia="es-MX"/>
        </w:rPr>
      </w:pPr>
      <w:r w:rsidRPr="00F100CC">
        <w:rPr>
          <w:rFonts w:ascii="Palatino Linotype" w:eastAsia="Calibri" w:hAnsi="Palatino Linotype" w:cs="Tahoma"/>
          <w:bCs/>
          <w:lang w:eastAsia="es-MX"/>
        </w:rPr>
        <w:t xml:space="preserve">Además, deberá proporcionar el Acuerdo de Clasificación donde el Comité de Transparencia, confirme la eliminación de los datos o información, en la versión pública, de </w:t>
      </w:r>
      <w:r w:rsidRPr="00F100CC">
        <w:rPr>
          <w:rFonts w:ascii="Palatino Linotype" w:eastAsia="Calibri" w:hAnsi="Palatino Linotype" w:cs="Tahoma"/>
          <w:bCs/>
          <w:lang w:eastAsia="es-MX"/>
        </w:rPr>
        <w:lastRenderedPageBreak/>
        <w:t>conformidad con los artículos 49, fracciones II y VIII, 132, fracción II y 143, fracción I, de la Ley de Transparencia y Acceso a la Información Pública del Estado de México y Municipios.</w:t>
      </w:r>
    </w:p>
    <w:p w14:paraId="29E80158" w14:textId="77777777" w:rsidR="00EC529B" w:rsidRPr="00F100CC" w:rsidRDefault="00EC529B" w:rsidP="000F4CF7">
      <w:pPr>
        <w:spacing w:after="0" w:line="360" w:lineRule="auto"/>
        <w:ind w:right="-91"/>
        <w:contextualSpacing/>
        <w:jc w:val="both"/>
        <w:rPr>
          <w:rFonts w:ascii="Palatino Linotype" w:eastAsia="Calibri" w:hAnsi="Palatino Linotype" w:cs="Tahoma"/>
          <w:bCs/>
          <w:lang w:eastAsia="es-MX"/>
        </w:rPr>
      </w:pPr>
    </w:p>
    <w:p w14:paraId="44884C0F" w14:textId="3CFDA732" w:rsidR="00EC529B" w:rsidRPr="00F100CC" w:rsidRDefault="00EC529B" w:rsidP="000F4CF7">
      <w:pPr>
        <w:spacing w:after="0" w:line="360" w:lineRule="auto"/>
        <w:ind w:right="-91"/>
        <w:contextualSpacing/>
        <w:jc w:val="both"/>
        <w:rPr>
          <w:rFonts w:ascii="Palatino Linotype" w:eastAsia="Calibri" w:hAnsi="Palatino Linotype" w:cs="Tahoma"/>
          <w:bCs/>
          <w:lang w:eastAsia="es-MX"/>
        </w:rPr>
      </w:pPr>
      <w:r w:rsidRPr="00F100CC">
        <w:rPr>
          <w:rFonts w:ascii="Palatino Linotype" w:eastAsia="Calibri" w:hAnsi="Palatino Linotype" w:cs="Tahoma"/>
          <w:bCs/>
          <w:lang w:eastAsia="es-MX"/>
        </w:rPr>
        <w:t>Para el caso de que de que no se cuente con el documento solicitado, por no haberse generado deberá hacerlo del conocimiento del Particular de manera clara y precisa.</w:t>
      </w:r>
    </w:p>
    <w:p w14:paraId="1DCDF48E" w14:textId="77777777" w:rsidR="000F4CF7" w:rsidRPr="00F100CC" w:rsidRDefault="000F4CF7" w:rsidP="000F4CF7">
      <w:pPr>
        <w:spacing w:after="0" w:line="360" w:lineRule="auto"/>
        <w:ind w:right="-91"/>
        <w:contextualSpacing/>
        <w:jc w:val="both"/>
        <w:rPr>
          <w:rFonts w:ascii="Palatino Linotype" w:eastAsia="Calibri" w:hAnsi="Palatino Linotype" w:cs="Tahoma"/>
          <w:b/>
          <w:bCs/>
          <w:lang w:eastAsia="es-MX"/>
        </w:rPr>
      </w:pPr>
    </w:p>
    <w:p w14:paraId="012BB65E" w14:textId="77777777" w:rsidR="000F4CF7" w:rsidRPr="00F100CC" w:rsidRDefault="000F4CF7" w:rsidP="000F4CF7">
      <w:pPr>
        <w:spacing w:after="0" w:line="360" w:lineRule="auto"/>
        <w:ind w:right="-28"/>
        <w:contextualSpacing/>
        <w:jc w:val="both"/>
        <w:rPr>
          <w:rFonts w:ascii="Palatino Linotype" w:eastAsia="Palatino Linotype" w:hAnsi="Palatino Linotype" w:cs="Tahoma"/>
          <w:bCs/>
          <w:iCs/>
          <w:lang w:eastAsia="es-MX"/>
        </w:rPr>
      </w:pPr>
      <w:r w:rsidRPr="00F100CC">
        <w:rPr>
          <w:rFonts w:ascii="Palatino Linotype" w:eastAsia="Calibri" w:hAnsi="Palatino Linotype" w:cs="Tahoma"/>
          <w:b/>
          <w:bCs/>
          <w:lang w:eastAsia="es-MX"/>
        </w:rPr>
        <w:t xml:space="preserve">TERCERO. </w:t>
      </w:r>
      <w:r w:rsidRPr="00F100CC">
        <w:rPr>
          <w:rFonts w:ascii="Palatino Linotype" w:eastAsia="Palatino Linotype" w:hAnsi="Palatino Linotype" w:cs="Tahoma"/>
          <w:b/>
          <w:bCs/>
          <w:iCs/>
          <w:lang w:eastAsia="es-MX"/>
        </w:rPr>
        <w:t xml:space="preserve">NOTIFÍQUESE POR SAIMEX </w:t>
      </w:r>
      <w:r w:rsidRPr="00F100CC">
        <w:rPr>
          <w:rFonts w:ascii="Palatino Linotype" w:eastAsia="Palatino Linotype" w:hAnsi="Palatino Linotype" w:cs="Tahoma"/>
          <w:bCs/>
          <w:iCs/>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04FFF245" w14:textId="77777777" w:rsidR="000F4CF7" w:rsidRPr="00F100CC" w:rsidRDefault="000F4CF7" w:rsidP="000F4CF7">
      <w:pPr>
        <w:spacing w:after="0" w:line="360" w:lineRule="auto"/>
        <w:ind w:right="-28"/>
        <w:contextualSpacing/>
        <w:jc w:val="both"/>
        <w:rPr>
          <w:rFonts w:ascii="Palatino Linotype" w:eastAsia="Palatino Linotype" w:hAnsi="Palatino Linotype" w:cs="Tahoma"/>
          <w:bCs/>
          <w:iCs/>
          <w:lang w:eastAsia="es-MX"/>
        </w:rPr>
      </w:pPr>
    </w:p>
    <w:p w14:paraId="69FDE46E" w14:textId="77777777" w:rsidR="000F4CF7" w:rsidRPr="00F100CC" w:rsidRDefault="000F4CF7" w:rsidP="000F4CF7">
      <w:pPr>
        <w:spacing w:after="0" w:line="360" w:lineRule="auto"/>
        <w:ind w:right="-28"/>
        <w:contextualSpacing/>
        <w:jc w:val="both"/>
        <w:rPr>
          <w:rFonts w:ascii="Palatino Linotype" w:eastAsia="Calibri" w:hAnsi="Palatino Linotype" w:cs="Tahoma"/>
          <w:iCs/>
          <w:lang w:eastAsia="es-MX"/>
        </w:rPr>
      </w:pPr>
      <w:r w:rsidRPr="00F100CC">
        <w:rPr>
          <w:rFonts w:ascii="Palatino Linotype" w:eastAsia="Calibri" w:hAnsi="Palatino Linotype" w:cs="Tahoma"/>
          <w:iCs/>
          <w:lang w:eastAsia="es-MX"/>
        </w:rPr>
        <w:t>De conformidad con el artículo 198 de la Ley de la materia, de considerarlo procedente, el Sujeto Obligado de manera fundada y motivada, podrá solicitar una ampliación de plazo para el cumplimiento de la presente resolución.</w:t>
      </w:r>
    </w:p>
    <w:p w14:paraId="4C315178" w14:textId="77777777" w:rsidR="000F4CF7" w:rsidRPr="00F100CC" w:rsidRDefault="000F4CF7" w:rsidP="000F4CF7">
      <w:pPr>
        <w:spacing w:after="0" w:line="360" w:lineRule="auto"/>
        <w:contextualSpacing/>
        <w:jc w:val="both"/>
        <w:rPr>
          <w:rFonts w:ascii="Palatino Linotype" w:eastAsia="Calibri" w:hAnsi="Palatino Linotype" w:cs="Tahoma"/>
          <w:lang w:val="es-ES" w:eastAsia="es-MX"/>
        </w:rPr>
      </w:pPr>
    </w:p>
    <w:p w14:paraId="1B0F4CB3" w14:textId="77777777" w:rsidR="000F4CF7" w:rsidRPr="00F100CC" w:rsidRDefault="000F4CF7" w:rsidP="000F4CF7">
      <w:pPr>
        <w:spacing w:after="0" w:line="360" w:lineRule="auto"/>
        <w:contextualSpacing/>
        <w:jc w:val="both"/>
        <w:rPr>
          <w:rFonts w:ascii="Palatino Linotype" w:eastAsia="Times New Roman" w:hAnsi="Palatino Linotype" w:cs="Tahoma"/>
          <w:lang w:eastAsia="es-ES"/>
        </w:rPr>
      </w:pPr>
      <w:r w:rsidRPr="00F100CC">
        <w:rPr>
          <w:rFonts w:ascii="Palatino Linotype" w:eastAsia="Calibri" w:hAnsi="Palatino Linotype" w:cs="Tahoma"/>
          <w:b/>
          <w:lang w:eastAsia="es-MX"/>
        </w:rPr>
        <w:t>CUARTO</w:t>
      </w:r>
      <w:r w:rsidRPr="00F100CC">
        <w:rPr>
          <w:rFonts w:ascii="Palatino Linotype" w:eastAsia="Calibri" w:hAnsi="Palatino Linotype" w:cs="Tahoma"/>
          <w:b/>
          <w:bCs/>
          <w:lang w:eastAsia="es-MX"/>
        </w:rPr>
        <w:t xml:space="preserve">. </w:t>
      </w:r>
      <w:r w:rsidRPr="00F100CC">
        <w:rPr>
          <w:rFonts w:ascii="Palatino Linotype" w:eastAsia="Palatino Linotype" w:hAnsi="Palatino Linotype" w:cs="Tahoma"/>
          <w:b/>
          <w:lang w:eastAsia="es-MX"/>
        </w:rPr>
        <w:t>NOTIFÍQUESE POR SAIMEX</w:t>
      </w:r>
      <w:r w:rsidRPr="00F100CC">
        <w:rPr>
          <w:rFonts w:ascii="Palatino Linotype" w:eastAsia="Palatino Linotype" w:hAnsi="Palatino Linotype" w:cs="Tahoma"/>
          <w:lang w:eastAsia="es-MX"/>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FE3C48" w14:textId="77777777" w:rsidR="000F4CF7" w:rsidRPr="00F100CC" w:rsidRDefault="000F4CF7" w:rsidP="000F4CF7">
      <w:pPr>
        <w:spacing w:after="0" w:line="360" w:lineRule="auto"/>
        <w:contextualSpacing/>
        <w:jc w:val="both"/>
        <w:rPr>
          <w:rFonts w:ascii="Palatino Linotype" w:eastAsia="Palatino Linotype" w:hAnsi="Palatino Linotype" w:cs="Arial"/>
          <w:b/>
          <w:bCs/>
          <w:lang w:eastAsia="es-MX"/>
        </w:rPr>
      </w:pPr>
    </w:p>
    <w:p w14:paraId="185B540D" w14:textId="536B8FD0" w:rsidR="000F4CF7" w:rsidRPr="000F4CF7" w:rsidRDefault="000F4CF7" w:rsidP="000F4CF7">
      <w:pPr>
        <w:spacing w:after="0" w:line="360" w:lineRule="auto"/>
        <w:contextualSpacing/>
        <w:jc w:val="both"/>
        <w:rPr>
          <w:rFonts w:ascii="Palatino Linotype" w:eastAsia="Palatino Linotype" w:hAnsi="Palatino Linotype" w:cs="Tahoma"/>
          <w:b/>
          <w:bCs/>
          <w:lang w:eastAsia="es-MX"/>
        </w:rPr>
      </w:pPr>
      <w:r w:rsidRPr="00F100CC">
        <w:rPr>
          <w:rFonts w:ascii="Palatino Linotype" w:eastAsia="Calibri" w:hAnsi="Palatino Linotype" w:cs="Tahoma"/>
          <w:bCs/>
          <w:lang w:eastAsia="es-MX"/>
        </w:rPr>
        <w:lastRenderedPageBreak/>
        <w:t>ASÍ LO RESUELVE, POR </w:t>
      </w:r>
      <w:r w:rsidRPr="00F100CC">
        <w:rPr>
          <w:rFonts w:ascii="Palatino Linotype" w:eastAsia="Calibri" w:hAnsi="Palatino Linotype" w:cs="Tahoma"/>
          <w:b/>
          <w:bCs/>
          <w:lang w:eastAsia="es-MX"/>
        </w:rPr>
        <w:t>UNANIMIDAD</w:t>
      </w:r>
      <w:r w:rsidRPr="00F100CC">
        <w:rPr>
          <w:rFonts w:ascii="Palatino Linotype" w:eastAsia="Calibri" w:hAnsi="Palatino Linotype" w:cs="Tahoma"/>
          <w:bCs/>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D30FBF" w:rsidRPr="00F100CC">
        <w:rPr>
          <w:rFonts w:ascii="Palatino Linotype" w:eastAsia="Calibri" w:hAnsi="Palatino Linotype" w:cs="Tahoma"/>
          <w:bCs/>
          <w:lang w:eastAsia="es-MX"/>
        </w:rPr>
        <w:t xml:space="preserve">SÉPTIMA </w:t>
      </w:r>
      <w:r w:rsidRPr="00F100CC">
        <w:rPr>
          <w:rFonts w:ascii="Palatino Linotype" w:eastAsia="Calibri" w:hAnsi="Palatino Linotype" w:cs="Tahoma"/>
          <w:bCs/>
          <w:lang w:eastAsia="es-MX"/>
        </w:rPr>
        <w:t xml:space="preserve">SESIÓN ORDINARIA, CELEBRADA EL </w:t>
      </w:r>
      <w:r w:rsidR="00D30FBF" w:rsidRPr="00F100CC">
        <w:rPr>
          <w:rFonts w:ascii="Palatino Linotype" w:eastAsia="Calibri" w:hAnsi="Palatino Linotype" w:cs="Tahoma"/>
          <w:bCs/>
          <w:lang w:eastAsia="es-MX"/>
        </w:rPr>
        <w:t xml:space="preserve">SEIS DE AGOSTO </w:t>
      </w:r>
      <w:r w:rsidRPr="00F100CC">
        <w:rPr>
          <w:rFonts w:ascii="Palatino Linotype" w:eastAsia="Calibri" w:hAnsi="Palatino Linotype" w:cs="Tahoma"/>
          <w:bCs/>
          <w:lang w:eastAsia="es-MX"/>
        </w:rPr>
        <w:t>DE DOS MIL VEINTICINCO, ANTE EL SECRETARIO TÉCNICO DEL PLENO, ALEXIS TAPIA RAMÍREZ.</w:t>
      </w:r>
    </w:p>
    <w:p w14:paraId="02B42B8D" w14:textId="77777777" w:rsidR="000F4CF7" w:rsidRPr="000F4CF7" w:rsidRDefault="000F4CF7" w:rsidP="000F4CF7">
      <w:pPr>
        <w:spacing w:after="0" w:line="360" w:lineRule="auto"/>
        <w:ind w:right="-28"/>
        <w:jc w:val="both"/>
        <w:rPr>
          <w:rFonts w:ascii="Palatino Linotype" w:eastAsia="Palatino Linotype" w:hAnsi="Palatino Linotype" w:cs="Palatino Linotype"/>
          <w:lang w:eastAsia="es-MX"/>
        </w:rPr>
      </w:pPr>
    </w:p>
    <w:p w14:paraId="54F775DF" w14:textId="77777777" w:rsidR="000F4CF7" w:rsidRPr="000F4CF7" w:rsidRDefault="000F4CF7" w:rsidP="000F4CF7">
      <w:pPr>
        <w:spacing w:after="0" w:line="360" w:lineRule="auto"/>
        <w:jc w:val="both"/>
        <w:rPr>
          <w:rFonts w:ascii="Palatino Linotype" w:eastAsia="Calibri" w:hAnsi="Palatino Linotype" w:cs="Times New Roman"/>
          <w:b/>
          <w:bCs/>
          <w:lang w:eastAsia="es-MX"/>
        </w:rPr>
      </w:pPr>
    </w:p>
    <w:p w14:paraId="3471C7F4" w14:textId="77777777" w:rsidR="000F4CF7" w:rsidRPr="000F4CF7" w:rsidRDefault="000F4CF7" w:rsidP="000F4CF7">
      <w:pPr>
        <w:spacing w:after="0" w:line="360" w:lineRule="auto"/>
        <w:jc w:val="both"/>
        <w:rPr>
          <w:rFonts w:ascii="Palatino Linotype" w:eastAsia="Calibri" w:hAnsi="Palatino Linotype" w:cs="Times New Roman"/>
          <w:b/>
          <w:bCs/>
          <w:lang w:eastAsia="es-MX"/>
        </w:rPr>
      </w:pPr>
    </w:p>
    <w:p w14:paraId="0C10A141" w14:textId="77777777" w:rsidR="000F4CF7" w:rsidRPr="000F4CF7" w:rsidRDefault="000F4CF7" w:rsidP="000F4CF7">
      <w:pPr>
        <w:spacing w:after="0" w:line="360" w:lineRule="auto"/>
        <w:contextualSpacing/>
        <w:jc w:val="both"/>
        <w:rPr>
          <w:rFonts w:ascii="Palatino Linotype" w:eastAsia="Calibri" w:hAnsi="Palatino Linotype" w:cs="Times New Roman"/>
          <w:color w:val="000000"/>
          <w:lang w:eastAsia="es-MX"/>
        </w:rPr>
      </w:pPr>
    </w:p>
    <w:p w14:paraId="7506E445" w14:textId="77777777" w:rsidR="000F4CF7" w:rsidRPr="000F4CF7" w:rsidRDefault="000F4CF7" w:rsidP="000F4CF7">
      <w:pPr>
        <w:spacing w:after="0" w:line="360" w:lineRule="auto"/>
        <w:contextualSpacing/>
        <w:jc w:val="both"/>
        <w:rPr>
          <w:rFonts w:ascii="Palatino Linotype" w:eastAsia="Palatino Linotype" w:hAnsi="Palatino Linotype" w:cs="Palatino Linotype"/>
          <w:color w:val="000000"/>
          <w:lang w:eastAsia="es-MX"/>
        </w:rPr>
      </w:pPr>
    </w:p>
    <w:p w14:paraId="24702AF9" w14:textId="77777777" w:rsidR="000F4CF7" w:rsidRPr="000F4CF7" w:rsidRDefault="000F4CF7" w:rsidP="000F4CF7">
      <w:pPr>
        <w:spacing w:after="0" w:line="360" w:lineRule="auto"/>
        <w:jc w:val="both"/>
        <w:rPr>
          <w:rFonts w:ascii="Palatino Linotype" w:eastAsia="Palatino Linotype" w:hAnsi="Palatino Linotype" w:cs="Palatino Linotype"/>
          <w:color w:val="000000"/>
          <w:lang w:eastAsia="es-MX"/>
        </w:rPr>
      </w:pPr>
    </w:p>
    <w:p w14:paraId="7E2D4854" w14:textId="77777777" w:rsidR="000F4CF7" w:rsidRPr="000F4CF7" w:rsidRDefault="000F4CF7" w:rsidP="000F4CF7">
      <w:pPr>
        <w:spacing w:after="0" w:line="360" w:lineRule="auto"/>
        <w:jc w:val="both"/>
        <w:rPr>
          <w:rFonts w:ascii="Palatino Linotype" w:eastAsia="Palatino Linotype" w:hAnsi="Palatino Linotype" w:cs="Palatino Linotype"/>
          <w:color w:val="000000"/>
          <w:lang w:eastAsia="es-MX"/>
        </w:rPr>
      </w:pPr>
    </w:p>
    <w:p w14:paraId="2A3CAF5C" w14:textId="77777777" w:rsidR="000F4CF7" w:rsidRPr="000F4CF7" w:rsidRDefault="000F4CF7" w:rsidP="000F4CF7">
      <w:pPr>
        <w:spacing w:after="0" w:line="360" w:lineRule="auto"/>
        <w:jc w:val="both"/>
        <w:rPr>
          <w:rFonts w:ascii="Palatino Linotype" w:eastAsia="Palatino Linotype" w:hAnsi="Palatino Linotype" w:cs="Palatino Linotype"/>
          <w:color w:val="000000"/>
          <w:lang w:eastAsia="es-MX"/>
        </w:rPr>
      </w:pPr>
    </w:p>
    <w:p w14:paraId="184C6F18" w14:textId="77777777" w:rsidR="00D32631" w:rsidRDefault="00D32631" w:rsidP="005D6E32">
      <w:pPr>
        <w:spacing w:after="0" w:line="360" w:lineRule="auto"/>
        <w:rPr>
          <w:color w:val="FF0000"/>
        </w:rPr>
      </w:pPr>
    </w:p>
    <w:p w14:paraId="75166554" w14:textId="77777777" w:rsidR="007F64E2" w:rsidRDefault="007F64E2" w:rsidP="005D6E32">
      <w:pPr>
        <w:spacing w:after="0" w:line="360" w:lineRule="auto"/>
        <w:rPr>
          <w:color w:val="FF0000"/>
        </w:rPr>
      </w:pPr>
    </w:p>
    <w:p w14:paraId="773A3462" w14:textId="77777777" w:rsidR="007F64E2" w:rsidRDefault="007F64E2" w:rsidP="005D6E32">
      <w:pPr>
        <w:spacing w:after="0" w:line="360" w:lineRule="auto"/>
        <w:rPr>
          <w:color w:val="FF0000"/>
        </w:rPr>
      </w:pPr>
    </w:p>
    <w:p w14:paraId="0EF890F6" w14:textId="77777777" w:rsidR="007F64E2" w:rsidRDefault="007F64E2" w:rsidP="005D6E32">
      <w:pPr>
        <w:spacing w:after="0" w:line="360" w:lineRule="auto"/>
        <w:rPr>
          <w:color w:val="FF0000"/>
        </w:rPr>
      </w:pPr>
    </w:p>
    <w:p w14:paraId="70DDDC7F" w14:textId="77777777" w:rsidR="007F64E2" w:rsidRDefault="007F64E2" w:rsidP="005D6E32">
      <w:pPr>
        <w:spacing w:after="0" w:line="360" w:lineRule="auto"/>
        <w:rPr>
          <w:color w:val="FF0000"/>
        </w:rPr>
      </w:pPr>
    </w:p>
    <w:p w14:paraId="478BEEA8" w14:textId="77777777" w:rsidR="00CA3CE4" w:rsidRDefault="00CA3CE4" w:rsidP="005D6E32">
      <w:pPr>
        <w:spacing w:after="0" w:line="360" w:lineRule="auto"/>
        <w:rPr>
          <w:color w:val="FF0000"/>
        </w:rPr>
      </w:pPr>
    </w:p>
    <w:p w14:paraId="5E4F87BC" w14:textId="77777777" w:rsidR="00CA3CE4" w:rsidRDefault="00CA3CE4" w:rsidP="005D6E32">
      <w:pPr>
        <w:spacing w:after="0" w:line="360" w:lineRule="auto"/>
        <w:rPr>
          <w:color w:val="FF0000"/>
        </w:rPr>
      </w:pPr>
    </w:p>
    <w:p w14:paraId="2C1715EF" w14:textId="77777777" w:rsidR="00CA3CE4" w:rsidRDefault="00CA3CE4" w:rsidP="005D6E32">
      <w:pPr>
        <w:spacing w:after="0" w:line="360" w:lineRule="auto"/>
        <w:rPr>
          <w:color w:val="FF0000"/>
        </w:rPr>
      </w:pPr>
    </w:p>
    <w:p w14:paraId="0CB1351D" w14:textId="77777777" w:rsidR="00CA3CE4" w:rsidRDefault="00CA3CE4" w:rsidP="005D6E32">
      <w:pPr>
        <w:spacing w:after="0" w:line="360" w:lineRule="auto"/>
        <w:rPr>
          <w:color w:val="FF0000"/>
        </w:rPr>
      </w:pPr>
    </w:p>
    <w:p w14:paraId="054F515C" w14:textId="77777777" w:rsidR="00CA3CE4" w:rsidRDefault="00CA3CE4" w:rsidP="005D6E32">
      <w:pPr>
        <w:spacing w:after="0" w:line="360" w:lineRule="auto"/>
        <w:rPr>
          <w:color w:val="FF0000"/>
        </w:rPr>
      </w:pPr>
    </w:p>
    <w:p w14:paraId="4EF0F643" w14:textId="77777777" w:rsidR="00CA3CE4" w:rsidRDefault="00CA3CE4" w:rsidP="005D6E32">
      <w:pPr>
        <w:spacing w:after="0" w:line="360" w:lineRule="auto"/>
        <w:rPr>
          <w:color w:val="FF0000"/>
        </w:rPr>
      </w:pPr>
    </w:p>
    <w:p w14:paraId="0A60D7A5" w14:textId="77777777" w:rsidR="007F64E2" w:rsidRDefault="007F64E2" w:rsidP="005D6E32">
      <w:pPr>
        <w:spacing w:after="0" w:line="360" w:lineRule="auto"/>
        <w:rPr>
          <w:color w:val="FF0000"/>
        </w:rPr>
      </w:pPr>
    </w:p>
    <w:p w14:paraId="403D90CF" w14:textId="77777777" w:rsidR="007F64E2" w:rsidRDefault="007F64E2" w:rsidP="005D6E32">
      <w:pPr>
        <w:spacing w:after="0" w:line="360" w:lineRule="auto"/>
        <w:rPr>
          <w:color w:val="FF0000"/>
        </w:rPr>
      </w:pPr>
    </w:p>
    <w:p w14:paraId="14E93410" w14:textId="77777777" w:rsidR="007F64E2" w:rsidRPr="00DF5E16" w:rsidRDefault="007F64E2" w:rsidP="005D6E32">
      <w:pPr>
        <w:spacing w:after="0" w:line="360" w:lineRule="auto"/>
        <w:rPr>
          <w:color w:val="FF0000"/>
        </w:rPr>
      </w:pPr>
    </w:p>
    <w:sectPr w:rsidR="007F64E2" w:rsidRPr="00DF5E16">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95F09" w14:textId="77777777" w:rsidR="00FC739A" w:rsidRDefault="00FC739A" w:rsidP="00824F86">
      <w:pPr>
        <w:spacing w:after="0" w:line="240" w:lineRule="auto"/>
      </w:pPr>
      <w:r>
        <w:separator/>
      </w:r>
    </w:p>
  </w:endnote>
  <w:endnote w:type="continuationSeparator" w:id="0">
    <w:p w14:paraId="42D4A892" w14:textId="77777777" w:rsidR="00FC739A" w:rsidRDefault="00FC739A" w:rsidP="0082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929A8" w14:textId="77777777" w:rsidR="00683D30" w:rsidRDefault="00683D30">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6F1FED5E" w14:textId="77777777" w:rsidR="00683D30" w:rsidRDefault="00683D3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9A7EE" w14:textId="77777777" w:rsidR="00683D30" w:rsidRDefault="00683D30">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450257">
      <w:rPr>
        <w:rFonts w:ascii="Palatino Linotype" w:eastAsia="Palatino Linotype" w:hAnsi="Palatino Linotype" w:cs="Palatino Linotype"/>
        <w:b/>
        <w:noProof/>
        <w:color w:val="000000"/>
      </w:rPr>
      <w:t>4</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450257">
      <w:rPr>
        <w:rFonts w:ascii="Palatino Linotype" w:eastAsia="Palatino Linotype" w:hAnsi="Palatino Linotype" w:cs="Palatino Linotype"/>
        <w:b/>
        <w:noProof/>
        <w:color w:val="000000"/>
      </w:rPr>
      <w:t>27</w:t>
    </w:r>
    <w:r>
      <w:rPr>
        <w:rFonts w:ascii="Palatino Linotype" w:eastAsia="Palatino Linotype" w:hAnsi="Palatino Linotype" w:cs="Palatino Linotype"/>
        <w:b/>
        <w:color w:val="000000"/>
      </w:rPr>
      <w:fldChar w:fldCharType="end"/>
    </w:r>
  </w:p>
  <w:p w14:paraId="10DC12C1" w14:textId="77777777" w:rsidR="00683D30" w:rsidRDefault="00683D30">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5DFBF" w14:textId="77777777" w:rsidR="00683D30" w:rsidRDefault="00683D3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1B0C7B">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1B0C7B">
      <w:rPr>
        <w:rFonts w:ascii="Palatino Linotype" w:eastAsia="Palatino Linotype" w:hAnsi="Palatino Linotype" w:cs="Palatino Linotype"/>
        <w:b/>
        <w:noProof/>
        <w:color w:val="000000"/>
      </w:rPr>
      <w:t>27</w:t>
    </w:r>
    <w:r>
      <w:rPr>
        <w:rFonts w:ascii="Palatino Linotype" w:eastAsia="Palatino Linotype" w:hAnsi="Palatino Linotype" w:cs="Palatino Linotype"/>
        <w:b/>
        <w:color w:val="000000"/>
      </w:rPr>
      <w:fldChar w:fldCharType="end"/>
    </w:r>
  </w:p>
  <w:p w14:paraId="6595690B" w14:textId="77777777" w:rsidR="00683D30" w:rsidRDefault="00683D3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B30D" w14:textId="77777777" w:rsidR="00FC739A" w:rsidRDefault="00FC739A" w:rsidP="00824F86">
      <w:pPr>
        <w:spacing w:after="0" w:line="240" w:lineRule="auto"/>
      </w:pPr>
      <w:r>
        <w:separator/>
      </w:r>
    </w:p>
  </w:footnote>
  <w:footnote w:type="continuationSeparator" w:id="0">
    <w:p w14:paraId="270D0BF4" w14:textId="77777777" w:rsidR="00FC739A" w:rsidRDefault="00FC739A" w:rsidP="00824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D5D9" w14:textId="77777777" w:rsidR="00683D30" w:rsidRDefault="00683D30">
    <w:pPr>
      <w:widowControl w:val="0"/>
      <w:pBdr>
        <w:top w:val="nil"/>
        <w:left w:val="nil"/>
        <w:bottom w:val="nil"/>
        <w:right w:val="nil"/>
        <w:between w:val="nil"/>
      </w:pBdr>
      <w:spacing w:line="276" w:lineRule="auto"/>
      <w:rPr>
        <w:color w:val="000000"/>
      </w:rPr>
    </w:pPr>
  </w:p>
  <w:tbl>
    <w:tblPr>
      <w:tblW w:w="9705" w:type="dxa"/>
      <w:tblInd w:w="-115" w:type="dxa"/>
      <w:tblLayout w:type="fixed"/>
      <w:tblLook w:val="0400" w:firstRow="0" w:lastRow="0" w:firstColumn="0" w:lastColumn="0" w:noHBand="0" w:noVBand="1"/>
    </w:tblPr>
    <w:tblGrid>
      <w:gridCol w:w="2972"/>
      <w:gridCol w:w="6733"/>
    </w:tblGrid>
    <w:tr w:rsidR="00683D30" w14:paraId="11DD4D82" w14:textId="77777777">
      <w:trPr>
        <w:trHeight w:val="1435"/>
      </w:trPr>
      <w:tc>
        <w:tcPr>
          <w:tcW w:w="2972" w:type="dxa"/>
        </w:tcPr>
        <w:p w14:paraId="3264BE2C" w14:textId="77777777" w:rsidR="00683D30" w:rsidRDefault="00683D30">
          <w:pPr>
            <w:tabs>
              <w:tab w:val="right" w:pos="4273"/>
            </w:tabs>
            <w:spacing w:line="256" w:lineRule="auto"/>
            <w:rPr>
              <w:rFonts w:ascii="Garamond" w:eastAsia="Garamond" w:hAnsi="Garamond" w:cs="Garamond"/>
            </w:rPr>
          </w:pPr>
        </w:p>
      </w:tc>
      <w:tc>
        <w:tcPr>
          <w:tcW w:w="6733" w:type="dxa"/>
        </w:tcPr>
        <w:p w14:paraId="5DE07DBE" w14:textId="77777777" w:rsidR="00683D30" w:rsidRDefault="00683D30">
          <w:pPr>
            <w:widowControl w:val="0"/>
            <w:pBdr>
              <w:top w:val="nil"/>
              <w:left w:val="nil"/>
              <w:bottom w:val="nil"/>
              <w:right w:val="nil"/>
              <w:between w:val="nil"/>
            </w:pBdr>
            <w:spacing w:line="276" w:lineRule="auto"/>
            <w:rPr>
              <w:rFonts w:ascii="Garamond" w:eastAsia="Garamond" w:hAnsi="Garamond" w:cs="Garamond"/>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683D30" w14:paraId="34A22ABE" w14:textId="77777777">
            <w:trPr>
              <w:trHeight w:val="144"/>
            </w:trPr>
            <w:tc>
              <w:tcPr>
                <w:tcW w:w="2447" w:type="dxa"/>
              </w:tcPr>
              <w:p w14:paraId="0844C11C" w14:textId="77777777" w:rsidR="00683D30" w:rsidRDefault="00683D30">
                <w:pPr>
                  <w:tabs>
                    <w:tab w:val="right" w:pos="8838"/>
                  </w:tabs>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88" w:type="dxa"/>
              </w:tcPr>
              <w:p w14:paraId="50B115E7" w14:textId="77777777" w:rsidR="00683D30" w:rsidRDefault="00683D30">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02946/INFOEM/IP/RR/2021</w:t>
                </w:r>
              </w:p>
            </w:tc>
          </w:tr>
          <w:tr w:rsidR="00683D30" w14:paraId="1820780E" w14:textId="77777777">
            <w:trPr>
              <w:trHeight w:val="283"/>
            </w:trPr>
            <w:tc>
              <w:tcPr>
                <w:tcW w:w="2447" w:type="dxa"/>
              </w:tcPr>
              <w:p w14:paraId="4C4E7D1C" w14:textId="77777777" w:rsidR="00683D30" w:rsidRDefault="00683D3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88" w:type="dxa"/>
              </w:tcPr>
              <w:p w14:paraId="7A227CF3" w14:textId="77777777" w:rsidR="00683D30" w:rsidRDefault="00683D30">
                <w:pPr>
                  <w:tabs>
                    <w:tab w:val="left" w:pos="2834"/>
                    <w:tab w:val="right" w:pos="8838"/>
                  </w:tabs>
                  <w:ind w:left="-74" w:right="-105"/>
                  <w:jc w:val="both"/>
                  <w:rPr>
                    <w:rFonts w:ascii="Palatino Linotype" w:eastAsia="Palatino Linotype" w:hAnsi="Palatino Linotype" w:cs="Palatino Linotype"/>
                    <w:b/>
                  </w:rPr>
                </w:pPr>
                <w:r>
                  <w:rPr>
                    <w:rFonts w:ascii="Palatino Linotype" w:eastAsia="Palatino Linotype" w:hAnsi="Palatino Linotype" w:cs="Palatino Linotype"/>
                  </w:rPr>
                  <w:t>Ayuntamiento de San Antonio la Isla</w:t>
                </w:r>
              </w:p>
            </w:tc>
          </w:tr>
          <w:tr w:rsidR="00683D30" w14:paraId="029230DE" w14:textId="77777777">
            <w:trPr>
              <w:trHeight w:val="283"/>
            </w:trPr>
            <w:tc>
              <w:tcPr>
                <w:tcW w:w="2447" w:type="dxa"/>
              </w:tcPr>
              <w:p w14:paraId="30AA7BA4" w14:textId="77777777" w:rsidR="00683D30" w:rsidRDefault="00683D3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88" w:type="dxa"/>
              </w:tcPr>
              <w:p w14:paraId="17561228" w14:textId="77777777" w:rsidR="00683D30" w:rsidRDefault="00683D30">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p w14:paraId="5C033842" w14:textId="77777777" w:rsidR="00683D30" w:rsidRDefault="00683D30">
                <w:pPr>
                  <w:tabs>
                    <w:tab w:val="right" w:pos="8838"/>
                  </w:tabs>
                  <w:ind w:left="-74" w:right="-105"/>
                  <w:jc w:val="both"/>
                  <w:rPr>
                    <w:rFonts w:ascii="Palatino Linotype" w:eastAsia="Palatino Linotype" w:hAnsi="Palatino Linotype" w:cs="Palatino Linotype"/>
                    <w:b/>
                  </w:rPr>
                </w:pPr>
              </w:p>
            </w:tc>
          </w:tr>
        </w:tbl>
        <w:p w14:paraId="3D6975E9" w14:textId="77777777" w:rsidR="00683D30" w:rsidRDefault="00683D30">
          <w:pPr>
            <w:tabs>
              <w:tab w:val="right" w:pos="8838"/>
            </w:tabs>
            <w:spacing w:line="256" w:lineRule="auto"/>
            <w:ind w:left="-28"/>
            <w:jc w:val="both"/>
            <w:rPr>
              <w:rFonts w:ascii="Arial" w:eastAsia="Arial" w:hAnsi="Arial" w:cs="Arial"/>
              <w:b/>
            </w:rPr>
          </w:pPr>
        </w:p>
      </w:tc>
    </w:tr>
  </w:tbl>
  <w:p w14:paraId="71F320E2" w14:textId="77777777" w:rsidR="00683D30" w:rsidRDefault="00683D30">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lang w:eastAsia="es-MX"/>
      </w:rPr>
      <w:drawing>
        <wp:anchor distT="0" distB="0" distL="0" distR="0" simplePos="0" relativeHeight="251657728" behindDoc="1" locked="0" layoutInCell="1" hidden="0" allowOverlap="1" wp14:anchorId="6AA3C4D3" wp14:editId="27C2B197">
          <wp:simplePos x="0" y="0"/>
          <wp:positionH relativeFrom="margin">
            <wp:posOffset>-1381123</wp:posOffset>
          </wp:positionH>
          <wp:positionV relativeFrom="margin">
            <wp:posOffset>-1611628</wp:posOffset>
          </wp:positionV>
          <wp:extent cx="5612130" cy="7308215"/>
          <wp:effectExtent l="0" t="0" r="0" b="0"/>
          <wp:wrapNone/>
          <wp:docPr id="214047135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46" w:type="dxa"/>
      <w:tblInd w:w="-115" w:type="dxa"/>
      <w:tblLayout w:type="fixed"/>
      <w:tblLook w:val="0400" w:firstRow="0" w:lastRow="0" w:firstColumn="0" w:lastColumn="0" w:noHBand="0" w:noVBand="1"/>
    </w:tblPr>
    <w:tblGrid>
      <w:gridCol w:w="1675"/>
      <w:gridCol w:w="7371"/>
    </w:tblGrid>
    <w:tr w:rsidR="00683D30" w14:paraId="6ECF2039" w14:textId="77777777" w:rsidTr="00DE6148">
      <w:trPr>
        <w:trHeight w:val="1435"/>
      </w:trPr>
      <w:tc>
        <w:tcPr>
          <w:tcW w:w="1675" w:type="dxa"/>
        </w:tcPr>
        <w:p w14:paraId="042FFF8A" w14:textId="531340AF" w:rsidR="00683D30" w:rsidRDefault="00683D30">
          <w:pPr>
            <w:tabs>
              <w:tab w:val="right" w:pos="4273"/>
            </w:tabs>
            <w:spacing w:line="256" w:lineRule="auto"/>
            <w:rPr>
              <w:rFonts w:ascii="Garamond" w:eastAsia="Garamond" w:hAnsi="Garamond" w:cs="Garamond"/>
            </w:rPr>
          </w:pPr>
          <w:r>
            <w:rPr>
              <w:rFonts w:ascii="Garamond" w:eastAsia="Garamond" w:hAnsi="Garamond" w:cs="Garamond"/>
              <w:noProof/>
              <w:color w:val="000000"/>
              <w:lang w:eastAsia="es-MX"/>
            </w:rPr>
            <w:drawing>
              <wp:anchor distT="0" distB="0" distL="0" distR="0" simplePos="0" relativeHeight="251656704" behindDoc="1" locked="0" layoutInCell="1" hidden="0" allowOverlap="1" wp14:anchorId="7323A6A6" wp14:editId="0C1D70EC">
                <wp:simplePos x="0" y="0"/>
                <wp:positionH relativeFrom="page">
                  <wp:posOffset>-765810</wp:posOffset>
                </wp:positionH>
                <wp:positionV relativeFrom="margin">
                  <wp:posOffset>-38735</wp:posOffset>
                </wp:positionV>
                <wp:extent cx="7835900" cy="10203815"/>
                <wp:effectExtent l="0" t="0" r="0" b="0"/>
                <wp:wrapNone/>
                <wp:docPr id="214047136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7371" w:type="dxa"/>
        </w:tcPr>
        <w:p w14:paraId="2FEB53DD" w14:textId="77777777" w:rsidR="00683D30" w:rsidRDefault="00683D30" w:rsidP="005D6E32">
          <w:pPr>
            <w:spacing w:after="0" w:line="276" w:lineRule="auto"/>
          </w:pPr>
        </w:p>
        <w:tbl>
          <w:tblPr>
            <w:tblW w:w="6408" w:type="dxa"/>
            <w:tblInd w:w="745" w:type="dxa"/>
            <w:tblBorders>
              <w:top w:val="nil"/>
              <w:left w:val="nil"/>
              <w:bottom w:val="nil"/>
              <w:right w:val="nil"/>
              <w:insideH w:val="nil"/>
              <w:insideV w:val="nil"/>
            </w:tblBorders>
            <w:tblLayout w:type="fixed"/>
            <w:tblLook w:val="0400" w:firstRow="0" w:lastRow="0" w:firstColumn="0" w:lastColumn="0" w:noHBand="0" w:noVBand="1"/>
          </w:tblPr>
          <w:tblGrid>
            <w:gridCol w:w="2419"/>
            <w:gridCol w:w="3989"/>
          </w:tblGrid>
          <w:tr w:rsidR="00683D30" w14:paraId="03F6C614" w14:textId="77777777" w:rsidTr="00DE6148">
            <w:trPr>
              <w:trHeight w:val="168"/>
            </w:trPr>
            <w:tc>
              <w:tcPr>
                <w:tcW w:w="2419" w:type="dxa"/>
              </w:tcPr>
              <w:p w14:paraId="63EA6E5C" w14:textId="77777777" w:rsidR="00683D30" w:rsidRDefault="00683D30" w:rsidP="005D6E32">
                <w:pPr>
                  <w:tabs>
                    <w:tab w:val="right" w:pos="8838"/>
                  </w:tabs>
                  <w:spacing w:after="0" w:line="276" w:lineRule="auto"/>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89" w:type="dxa"/>
              </w:tcPr>
              <w:p w14:paraId="3398B223" w14:textId="4C42729D" w:rsidR="00683D30" w:rsidRDefault="00683D30" w:rsidP="005D6E32">
                <w:pPr>
                  <w:tabs>
                    <w:tab w:val="right" w:pos="8838"/>
                  </w:tabs>
                  <w:spacing w:after="0" w:line="276" w:lineRule="auto"/>
                  <w:ind w:left="-74" w:right="-105"/>
                  <w:jc w:val="both"/>
                  <w:rPr>
                    <w:rFonts w:ascii="Palatino Linotype" w:eastAsia="Palatino Linotype" w:hAnsi="Palatino Linotype" w:cs="Palatino Linotype"/>
                  </w:rPr>
                </w:pPr>
                <w:r w:rsidRPr="00DF5E16">
                  <w:rPr>
                    <w:rFonts w:ascii="Palatino Linotype" w:eastAsia="Palatino Linotype" w:hAnsi="Palatino Linotype" w:cs="Palatino Linotype"/>
                  </w:rPr>
                  <w:t>06716/INFOEM/IP/RR/2025</w:t>
                </w:r>
              </w:p>
            </w:tc>
          </w:tr>
          <w:tr w:rsidR="00683D30" w14:paraId="500AB1E7" w14:textId="77777777" w:rsidTr="00DE6148">
            <w:trPr>
              <w:trHeight w:val="331"/>
            </w:trPr>
            <w:tc>
              <w:tcPr>
                <w:tcW w:w="2419" w:type="dxa"/>
              </w:tcPr>
              <w:p w14:paraId="2D19AD2E" w14:textId="77777777" w:rsidR="00683D30" w:rsidRDefault="00683D30" w:rsidP="005D6E32">
                <w:pPr>
                  <w:tabs>
                    <w:tab w:val="right" w:pos="8838"/>
                  </w:tabs>
                  <w:spacing w:after="0" w:line="276" w:lineRule="auto"/>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89" w:type="dxa"/>
              </w:tcPr>
              <w:p w14:paraId="4D15953A" w14:textId="63466DAE" w:rsidR="00683D30" w:rsidRDefault="00DE6148" w:rsidP="005D6E32">
                <w:pPr>
                  <w:tabs>
                    <w:tab w:val="left" w:pos="2834"/>
                    <w:tab w:val="right" w:pos="8838"/>
                  </w:tabs>
                  <w:spacing w:after="0" w:line="276" w:lineRule="auto"/>
                  <w:ind w:left="-74" w:right="-105"/>
                  <w:jc w:val="both"/>
                  <w:rPr>
                    <w:rFonts w:ascii="Palatino Linotype" w:eastAsia="Palatino Linotype" w:hAnsi="Palatino Linotype" w:cs="Palatino Linotype"/>
                    <w:b/>
                  </w:rPr>
                </w:pPr>
                <w:r>
                  <w:rPr>
                    <w:rFonts w:ascii="Palatino Linotype" w:eastAsia="Palatino Linotype" w:hAnsi="Palatino Linotype" w:cs="Palatino Linotype"/>
                  </w:rPr>
                  <w:t>Organismo Descentralizado de Agua Potable Alcantarillado y Saneamiento del Municipio de Ixtapaluca</w:t>
                </w:r>
              </w:p>
            </w:tc>
          </w:tr>
          <w:tr w:rsidR="00683D30" w14:paraId="6194AF5F" w14:textId="77777777" w:rsidTr="00DE6148">
            <w:trPr>
              <w:trHeight w:val="331"/>
            </w:trPr>
            <w:tc>
              <w:tcPr>
                <w:tcW w:w="2419" w:type="dxa"/>
              </w:tcPr>
              <w:p w14:paraId="4557D0F8" w14:textId="77777777" w:rsidR="00683D30" w:rsidRDefault="00683D30" w:rsidP="005D6E32">
                <w:pPr>
                  <w:tabs>
                    <w:tab w:val="right" w:pos="8838"/>
                  </w:tabs>
                  <w:spacing w:after="0" w:line="276" w:lineRule="auto"/>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989" w:type="dxa"/>
              </w:tcPr>
              <w:p w14:paraId="54F8A311" w14:textId="77777777" w:rsidR="00683D30" w:rsidRDefault="00683D30" w:rsidP="005D6E32">
                <w:pPr>
                  <w:tabs>
                    <w:tab w:val="right" w:pos="8838"/>
                  </w:tabs>
                  <w:spacing w:after="0" w:line="276" w:lineRule="auto"/>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2018B471" w14:textId="77777777" w:rsidR="00683D30" w:rsidRDefault="00683D30">
          <w:pPr>
            <w:tabs>
              <w:tab w:val="right" w:pos="8838"/>
            </w:tabs>
            <w:spacing w:line="256" w:lineRule="auto"/>
            <w:ind w:left="-28"/>
            <w:jc w:val="both"/>
            <w:rPr>
              <w:rFonts w:ascii="Arial" w:eastAsia="Arial" w:hAnsi="Arial" w:cs="Arial"/>
              <w:b/>
            </w:rPr>
          </w:pPr>
        </w:p>
      </w:tc>
    </w:tr>
  </w:tbl>
  <w:p w14:paraId="1B142E5C" w14:textId="0F1FD3F6" w:rsidR="00683D30" w:rsidRPr="005D6E32" w:rsidRDefault="00683D30">
    <w:pPr>
      <w:pBdr>
        <w:top w:val="nil"/>
        <w:left w:val="nil"/>
        <w:bottom w:val="nil"/>
        <w:right w:val="nil"/>
        <w:between w:val="nil"/>
      </w:pBdr>
      <w:tabs>
        <w:tab w:val="center" w:pos="4419"/>
        <w:tab w:val="right" w:pos="8838"/>
      </w:tabs>
      <w:rPr>
        <w:color w:val="000000"/>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15" w:type="dxa"/>
      <w:tblLayout w:type="fixed"/>
      <w:tblLook w:val="0400" w:firstRow="0" w:lastRow="0" w:firstColumn="0" w:lastColumn="0" w:noHBand="0" w:noVBand="1"/>
    </w:tblPr>
    <w:tblGrid>
      <w:gridCol w:w="2552"/>
      <w:gridCol w:w="7087"/>
    </w:tblGrid>
    <w:tr w:rsidR="00683D30" w14:paraId="387C097E" w14:textId="77777777">
      <w:trPr>
        <w:trHeight w:val="1435"/>
      </w:trPr>
      <w:tc>
        <w:tcPr>
          <w:tcW w:w="2552" w:type="dxa"/>
        </w:tcPr>
        <w:p w14:paraId="5F51F2D9" w14:textId="432DE558" w:rsidR="00683D30" w:rsidRDefault="00683D30">
          <w:pPr>
            <w:tabs>
              <w:tab w:val="right" w:pos="4273"/>
            </w:tabs>
            <w:spacing w:line="256" w:lineRule="auto"/>
            <w:rPr>
              <w:rFonts w:ascii="Garamond" w:eastAsia="Garamond" w:hAnsi="Garamond" w:cs="Garamond"/>
            </w:rPr>
          </w:pPr>
        </w:p>
      </w:tc>
      <w:tc>
        <w:tcPr>
          <w:tcW w:w="7087" w:type="dxa"/>
        </w:tcPr>
        <w:tbl>
          <w:tblPr>
            <w:tblW w:w="6237" w:type="dxa"/>
            <w:tblInd w:w="2" w:type="dxa"/>
            <w:tblBorders>
              <w:top w:val="nil"/>
              <w:left w:val="nil"/>
              <w:bottom w:val="nil"/>
              <w:right w:val="nil"/>
              <w:insideH w:val="nil"/>
              <w:insideV w:val="nil"/>
            </w:tblBorders>
            <w:tblLayout w:type="fixed"/>
            <w:tblLook w:val="0400" w:firstRow="0" w:lastRow="0" w:firstColumn="0" w:lastColumn="0" w:noHBand="0" w:noVBand="1"/>
          </w:tblPr>
          <w:tblGrid>
            <w:gridCol w:w="2447"/>
            <w:gridCol w:w="3790"/>
          </w:tblGrid>
          <w:tr w:rsidR="00683D30" w14:paraId="73C47604" w14:textId="77777777" w:rsidTr="00DE6148">
            <w:trPr>
              <w:trHeight w:val="144"/>
            </w:trPr>
            <w:tc>
              <w:tcPr>
                <w:tcW w:w="2447" w:type="dxa"/>
              </w:tcPr>
              <w:p w14:paraId="1F14B7F0" w14:textId="77777777" w:rsidR="00683D30" w:rsidRDefault="00683D30" w:rsidP="005D6E32">
                <w:pPr>
                  <w:tabs>
                    <w:tab w:val="right" w:pos="8838"/>
                  </w:tabs>
                  <w:spacing w:after="0"/>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90" w:type="dxa"/>
              </w:tcPr>
              <w:p w14:paraId="78E13BEA" w14:textId="1A9DF5D4" w:rsidR="00683D30" w:rsidRDefault="00683D30" w:rsidP="005D6E32">
                <w:pPr>
                  <w:tabs>
                    <w:tab w:val="left" w:pos="2834"/>
                    <w:tab w:val="right" w:pos="8838"/>
                  </w:tabs>
                  <w:spacing w:after="0"/>
                  <w:ind w:left="-74" w:right="-105"/>
                  <w:jc w:val="both"/>
                  <w:rPr>
                    <w:rFonts w:ascii="Palatino Linotype" w:eastAsia="Palatino Linotype" w:hAnsi="Palatino Linotype" w:cs="Palatino Linotype"/>
                  </w:rPr>
                </w:pPr>
                <w:r w:rsidRPr="00DF5E16">
                  <w:rPr>
                    <w:rFonts w:ascii="Palatino Linotype" w:eastAsia="Palatino Linotype" w:hAnsi="Palatino Linotype" w:cs="Palatino Linotype"/>
                  </w:rPr>
                  <w:t>06716/INFOEM/IP/RR/2025</w:t>
                </w:r>
              </w:p>
            </w:tc>
          </w:tr>
          <w:tr w:rsidR="00683D30" w14:paraId="7F6E9AD6" w14:textId="77777777" w:rsidTr="00DE6148">
            <w:trPr>
              <w:trHeight w:val="144"/>
            </w:trPr>
            <w:tc>
              <w:tcPr>
                <w:tcW w:w="2447" w:type="dxa"/>
              </w:tcPr>
              <w:p w14:paraId="52F07AF4" w14:textId="77777777" w:rsidR="00683D30" w:rsidRDefault="00683D30"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790" w:type="dxa"/>
              </w:tcPr>
              <w:p w14:paraId="6EA9B416" w14:textId="1B82AC76" w:rsidR="00683D30" w:rsidRDefault="001B0C7B" w:rsidP="00CA3CE4">
                <w:pPr>
                  <w:tabs>
                    <w:tab w:val="left" w:pos="2834"/>
                    <w:tab w:val="right" w:pos="8838"/>
                  </w:tabs>
                  <w:spacing w:after="0"/>
                  <w:ind w:left="-74" w:right="-105"/>
                  <w:jc w:val="both"/>
                  <w:rPr>
                    <w:rFonts w:ascii="Palatino Linotype" w:eastAsia="Palatino Linotype" w:hAnsi="Palatino Linotype" w:cs="Palatino Linotype"/>
                  </w:rPr>
                </w:pPr>
                <w:r w:rsidRPr="001B0C7B">
                  <w:rPr>
                    <w:rFonts w:ascii="Palatino Linotype" w:eastAsia="Palatino Linotype" w:hAnsi="Palatino Linotype" w:cs="Palatino Linotype"/>
                    <w:highlight w:val="black"/>
                  </w:rPr>
                  <w:t>XXXXXXXXXXX</w:t>
                </w:r>
              </w:p>
            </w:tc>
          </w:tr>
          <w:tr w:rsidR="00683D30" w14:paraId="0ECE2672" w14:textId="77777777" w:rsidTr="00DE6148">
            <w:trPr>
              <w:trHeight w:val="283"/>
            </w:trPr>
            <w:tc>
              <w:tcPr>
                <w:tcW w:w="2447" w:type="dxa"/>
              </w:tcPr>
              <w:p w14:paraId="513704D8" w14:textId="77777777" w:rsidR="00683D30" w:rsidRDefault="00683D30"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90" w:type="dxa"/>
              </w:tcPr>
              <w:p w14:paraId="46C1AB1C" w14:textId="42602047" w:rsidR="00683D30" w:rsidRDefault="00DE6148" w:rsidP="005D6E32">
                <w:pPr>
                  <w:tabs>
                    <w:tab w:val="left" w:pos="2834"/>
                    <w:tab w:val="right" w:pos="8838"/>
                  </w:tabs>
                  <w:spacing w:after="0"/>
                  <w:ind w:left="-74" w:right="-105"/>
                  <w:jc w:val="both"/>
                  <w:rPr>
                    <w:rFonts w:ascii="Palatino Linotype" w:eastAsia="Palatino Linotype" w:hAnsi="Palatino Linotype" w:cs="Palatino Linotype"/>
                  </w:rPr>
                </w:pPr>
                <w:r>
                  <w:rPr>
                    <w:rFonts w:ascii="Palatino Linotype" w:eastAsia="Palatino Linotype" w:hAnsi="Palatino Linotype" w:cs="Palatino Linotype"/>
                  </w:rPr>
                  <w:t>Organismo Descentralizado de Agua Potable Alcantarillado y Saneamiento del Municipio de Ixtapaluca</w:t>
                </w:r>
              </w:p>
            </w:tc>
          </w:tr>
          <w:tr w:rsidR="00683D30" w14:paraId="00184E4B" w14:textId="77777777" w:rsidTr="00DE6148">
            <w:trPr>
              <w:trHeight w:val="283"/>
            </w:trPr>
            <w:tc>
              <w:tcPr>
                <w:tcW w:w="2447" w:type="dxa"/>
              </w:tcPr>
              <w:p w14:paraId="15A58BA7" w14:textId="77777777" w:rsidR="00683D30" w:rsidRDefault="00683D30"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790" w:type="dxa"/>
              </w:tcPr>
              <w:p w14:paraId="0AEB4DE7" w14:textId="77777777" w:rsidR="00683D30" w:rsidRPr="004E6F8B" w:rsidRDefault="00683D30" w:rsidP="005D6E32">
                <w:pPr>
                  <w:tabs>
                    <w:tab w:val="right" w:pos="8838"/>
                  </w:tabs>
                  <w:spacing w:after="0"/>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3F804FA3" w14:textId="77777777" w:rsidR="00683D30" w:rsidRDefault="00683D30">
          <w:pPr>
            <w:tabs>
              <w:tab w:val="right" w:pos="8838"/>
            </w:tabs>
            <w:spacing w:line="256" w:lineRule="auto"/>
            <w:ind w:left="-28"/>
            <w:jc w:val="both"/>
            <w:rPr>
              <w:rFonts w:ascii="Arial" w:eastAsia="Arial" w:hAnsi="Arial" w:cs="Arial"/>
              <w:b/>
            </w:rPr>
          </w:pPr>
        </w:p>
      </w:tc>
    </w:tr>
  </w:tbl>
  <w:p w14:paraId="0984EFC2" w14:textId="52C44526" w:rsidR="00683D30" w:rsidRPr="005D6E32" w:rsidRDefault="00FC739A" w:rsidP="005D6E32">
    <w:pPr>
      <w:pBdr>
        <w:top w:val="nil"/>
        <w:left w:val="nil"/>
        <w:bottom w:val="nil"/>
        <w:right w:val="nil"/>
        <w:between w:val="nil"/>
      </w:pBdr>
      <w:tabs>
        <w:tab w:val="center" w:pos="4419"/>
        <w:tab w:val="right" w:pos="8838"/>
      </w:tabs>
      <w:rPr>
        <w:color w:val="000000"/>
        <w:sz w:val="2"/>
        <w:szCs w:val="2"/>
      </w:rPr>
    </w:pPr>
    <w:r>
      <w:rPr>
        <w:rFonts w:ascii="Garamond" w:eastAsia="Garamond" w:hAnsi="Garamond" w:cs="Garamond"/>
        <w:color w:val="000000"/>
      </w:rPr>
      <w:pict w14:anchorId="27DC5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8.15pt;margin-top:-119.05pt;width:663.5pt;height:12in;z-index:-251657728;mso-position-horizontal-relative:margin;mso-position-vertical-relative:margin">
          <v:imagedata r:id="rId1" o:title="imag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57FD"/>
    <w:multiLevelType w:val="hybridMultilevel"/>
    <w:tmpl w:val="5DB45F54"/>
    <w:lvl w:ilvl="0" w:tplc="A810F63E">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9F6A31"/>
    <w:multiLevelType w:val="hybridMultilevel"/>
    <w:tmpl w:val="2548AD72"/>
    <w:lvl w:ilvl="0" w:tplc="080A0001">
      <w:start w:val="1"/>
      <w:numFmt w:val="bullet"/>
      <w:lvlText w:val=""/>
      <w:lvlJc w:val="left"/>
      <w:pPr>
        <w:ind w:left="1811" w:hanging="360"/>
      </w:pPr>
      <w:rPr>
        <w:rFonts w:ascii="Symbol" w:hAnsi="Symbol" w:hint="default"/>
      </w:rPr>
    </w:lvl>
    <w:lvl w:ilvl="1" w:tplc="FFFFFFFF" w:tentative="1">
      <w:start w:val="1"/>
      <w:numFmt w:val="lowerLetter"/>
      <w:lvlText w:val="%2."/>
      <w:lvlJc w:val="left"/>
      <w:pPr>
        <w:ind w:left="2531" w:hanging="360"/>
      </w:pPr>
    </w:lvl>
    <w:lvl w:ilvl="2" w:tplc="FFFFFFFF" w:tentative="1">
      <w:start w:val="1"/>
      <w:numFmt w:val="lowerRoman"/>
      <w:lvlText w:val="%3."/>
      <w:lvlJc w:val="right"/>
      <w:pPr>
        <w:ind w:left="3251" w:hanging="180"/>
      </w:pPr>
    </w:lvl>
    <w:lvl w:ilvl="3" w:tplc="FFFFFFFF" w:tentative="1">
      <w:start w:val="1"/>
      <w:numFmt w:val="decimal"/>
      <w:lvlText w:val="%4."/>
      <w:lvlJc w:val="left"/>
      <w:pPr>
        <w:ind w:left="3971" w:hanging="360"/>
      </w:pPr>
    </w:lvl>
    <w:lvl w:ilvl="4" w:tplc="FFFFFFFF" w:tentative="1">
      <w:start w:val="1"/>
      <w:numFmt w:val="lowerLetter"/>
      <w:lvlText w:val="%5."/>
      <w:lvlJc w:val="left"/>
      <w:pPr>
        <w:ind w:left="4691" w:hanging="360"/>
      </w:pPr>
    </w:lvl>
    <w:lvl w:ilvl="5" w:tplc="FFFFFFFF" w:tentative="1">
      <w:start w:val="1"/>
      <w:numFmt w:val="lowerRoman"/>
      <w:lvlText w:val="%6."/>
      <w:lvlJc w:val="right"/>
      <w:pPr>
        <w:ind w:left="5411" w:hanging="180"/>
      </w:pPr>
    </w:lvl>
    <w:lvl w:ilvl="6" w:tplc="FFFFFFFF" w:tentative="1">
      <w:start w:val="1"/>
      <w:numFmt w:val="decimal"/>
      <w:lvlText w:val="%7."/>
      <w:lvlJc w:val="left"/>
      <w:pPr>
        <w:ind w:left="6131" w:hanging="360"/>
      </w:pPr>
    </w:lvl>
    <w:lvl w:ilvl="7" w:tplc="FFFFFFFF" w:tentative="1">
      <w:start w:val="1"/>
      <w:numFmt w:val="lowerLetter"/>
      <w:lvlText w:val="%8."/>
      <w:lvlJc w:val="left"/>
      <w:pPr>
        <w:ind w:left="6851" w:hanging="360"/>
      </w:pPr>
    </w:lvl>
    <w:lvl w:ilvl="8" w:tplc="FFFFFFFF" w:tentative="1">
      <w:start w:val="1"/>
      <w:numFmt w:val="lowerRoman"/>
      <w:lvlText w:val="%9."/>
      <w:lvlJc w:val="right"/>
      <w:pPr>
        <w:ind w:left="7571" w:hanging="180"/>
      </w:pPr>
    </w:lvl>
  </w:abstractNum>
  <w:abstractNum w:abstractNumId="2" w15:restartNumberingAfterBreak="0">
    <w:nsid w:val="13C23ABD"/>
    <w:multiLevelType w:val="hybridMultilevel"/>
    <w:tmpl w:val="51D6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FF7141"/>
    <w:multiLevelType w:val="hybridMultilevel"/>
    <w:tmpl w:val="3D9E5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F41B49"/>
    <w:multiLevelType w:val="hybridMultilevel"/>
    <w:tmpl w:val="DF44B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76701B"/>
    <w:multiLevelType w:val="multilevel"/>
    <w:tmpl w:val="FCB42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012DC9"/>
    <w:multiLevelType w:val="hybridMultilevel"/>
    <w:tmpl w:val="7FF67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B52A2"/>
    <w:multiLevelType w:val="hybridMultilevel"/>
    <w:tmpl w:val="C2C0F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2A003F"/>
    <w:multiLevelType w:val="hybridMultilevel"/>
    <w:tmpl w:val="506CB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3422EAE"/>
    <w:multiLevelType w:val="hybridMultilevel"/>
    <w:tmpl w:val="EB12B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FD20FF"/>
    <w:multiLevelType w:val="hybridMultilevel"/>
    <w:tmpl w:val="284658E6"/>
    <w:lvl w:ilvl="0" w:tplc="10B0792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B777623"/>
    <w:multiLevelType w:val="hybridMultilevel"/>
    <w:tmpl w:val="DDB86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A1419D"/>
    <w:multiLevelType w:val="hybridMultilevel"/>
    <w:tmpl w:val="EB56C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CF4D31"/>
    <w:multiLevelType w:val="hybridMultilevel"/>
    <w:tmpl w:val="2182E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8F6193"/>
    <w:multiLevelType w:val="hybridMultilevel"/>
    <w:tmpl w:val="2A9AB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A13039B"/>
    <w:multiLevelType w:val="hybridMultilevel"/>
    <w:tmpl w:val="DAF6B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4677C7"/>
    <w:multiLevelType w:val="multilevel"/>
    <w:tmpl w:val="C9E04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4"/>
  </w:num>
  <w:num w:numId="5">
    <w:abstractNumId w:val="0"/>
  </w:num>
  <w:num w:numId="6">
    <w:abstractNumId w:val="6"/>
  </w:num>
  <w:num w:numId="7">
    <w:abstractNumId w:val="17"/>
  </w:num>
  <w:num w:numId="8">
    <w:abstractNumId w:val="4"/>
  </w:num>
  <w:num w:numId="9">
    <w:abstractNumId w:val="3"/>
  </w:num>
  <w:num w:numId="10">
    <w:abstractNumId w:val="9"/>
  </w:num>
  <w:num w:numId="11">
    <w:abstractNumId w:val="11"/>
  </w:num>
  <w:num w:numId="12">
    <w:abstractNumId w:val="2"/>
  </w:num>
  <w:num w:numId="13">
    <w:abstractNumId w:val="16"/>
  </w:num>
  <w:num w:numId="14">
    <w:abstractNumId w:val="8"/>
  </w:num>
  <w:num w:numId="15">
    <w:abstractNumId w:val="13"/>
  </w:num>
  <w:num w:numId="16">
    <w:abstractNumId w:val="5"/>
  </w:num>
  <w:num w:numId="17">
    <w:abstractNumId w:val="19"/>
  </w:num>
  <w:num w:numId="18">
    <w:abstractNumId w:val="10"/>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FC"/>
    <w:rsid w:val="00001C46"/>
    <w:rsid w:val="000167D9"/>
    <w:rsid w:val="00020B91"/>
    <w:rsid w:val="00032F5C"/>
    <w:rsid w:val="00047914"/>
    <w:rsid w:val="00062003"/>
    <w:rsid w:val="00070297"/>
    <w:rsid w:val="0008376E"/>
    <w:rsid w:val="00090F5E"/>
    <w:rsid w:val="000954CB"/>
    <w:rsid w:val="000A6652"/>
    <w:rsid w:val="000C5B45"/>
    <w:rsid w:val="000E4351"/>
    <w:rsid w:val="000F4CF7"/>
    <w:rsid w:val="000F5D39"/>
    <w:rsid w:val="001072EE"/>
    <w:rsid w:val="001220C5"/>
    <w:rsid w:val="00144E22"/>
    <w:rsid w:val="00151E38"/>
    <w:rsid w:val="00152549"/>
    <w:rsid w:val="00171C46"/>
    <w:rsid w:val="00174962"/>
    <w:rsid w:val="0019043C"/>
    <w:rsid w:val="0019587C"/>
    <w:rsid w:val="001B0C7B"/>
    <w:rsid w:val="001C5EA5"/>
    <w:rsid w:val="001E1147"/>
    <w:rsid w:val="001E7355"/>
    <w:rsid w:val="00203647"/>
    <w:rsid w:val="00204990"/>
    <w:rsid w:val="00212A87"/>
    <w:rsid w:val="00241024"/>
    <w:rsid w:val="00245A16"/>
    <w:rsid w:val="00256360"/>
    <w:rsid w:val="002831A8"/>
    <w:rsid w:val="002A2FCF"/>
    <w:rsid w:val="002C1196"/>
    <w:rsid w:val="002F4F01"/>
    <w:rsid w:val="00301FF4"/>
    <w:rsid w:val="003671C9"/>
    <w:rsid w:val="003673F7"/>
    <w:rsid w:val="003837A9"/>
    <w:rsid w:val="00395492"/>
    <w:rsid w:val="003B0118"/>
    <w:rsid w:val="003B417B"/>
    <w:rsid w:val="003C7E3C"/>
    <w:rsid w:val="003E42D3"/>
    <w:rsid w:val="004075DC"/>
    <w:rsid w:val="00431725"/>
    <w:rsid w:val="00450184"/>
    <w:rsid w:val="00450257"/>
    <w:rsid w:val="00460084"/>
    <w:rsid w:val="0046728B"/>
    <w:rsid w:val="004734EA"/>
    <w:rsid w:val="00487984"/>
    <w:rsid w:val="004A6245"/>
    <w:rsid w:val="004B393F"/>
    <w:rsid w:val="004B3F62"/>
    <w:rsid w:val="004C551B"/>
    <w:rsid w:val="004E370C"/>
    <w:rsid w:val="00515D5D"/>
    <w:rsid w:val="0055560B"/>
    <w:rsid w:val="0056414C"/>
    <w:rsid w:val="00564370"/>
    <w:rsid w:val="005644F3"/>
    <w:rsid w:val="00586D4A"/>
    <w:rsid w:val="0059728B"/>
    <w:rsid w:val="005B4F54"/>
    <w:rsid w:val="005D2CE9"/>
    <w:rsid w:val="005D6E32"/>
    <w:rsid w:val="005F7EE9"/>
    <w:rsid w:val="006261FA"/>
    <w:rsid w:val="006635E0"/>
    <w:rsid w:val="00683D30"/>
    <w:rsid w:val="006909FC"/>
    <w:rsid w:val="006B2E56"/>
    <w:rsid w:val="006B688D"/>
    <w:rsid w:val="006F4DD6"/>
    <w:rsid w:val="006F56F6"/>
    <w:rsid w:val="00746FA4"/>
    <w:rsid w:val="0075695C"/>
    <w:rsid w:val="00770C04"/>
    <w:rsid w:val="007A6DA1"/>
    <w:rsid w:val="007B73B3"/>
    <w:rsid w:val="007B73C8"/>
    <w:rsid w:val="007F64E2"/>
    <w:rsid w:val="00824F86"/>
    <w:rsid w:val="008365B9"/>
    <w:rsid w:val="00861B5C"/>
    <w:rsid w:val="008669B5"/>
    <w:rsid w:val="00871DAC"/>
    <w:rsid w:val="00876E53"/>
    <w:rsid w:val="0088317A"/>
    <w:rsid w:val="00891304"/>
    <w:rsid w:val="00892860"/>
    <w:rsid w:val="008B03C7"/>
    <w:rsid w:val="008D1D19"/>
    <w:rsid w:val="008E6631"/>
    <w:rsid w:val="0091766E"/>
    <w:rsid w:val="0093795F"/>
    <w:rsid w:val="009400A8"/>
    <w:rsid w:val="00961A6C"/>
    <w:rsid w:val="00992574"/>
    <w:rsid w:val="009A444B"/>
    <w:rsid w:val="009B2D65"/>
    <w:rsid w:val="009D12FB"/>
    <w:rsid w:val="009E2F5B"/>
    <w:rsid w:val="009F3DED"/>
    <w:rsid w:val="00A077A4"/>
    <w:rsid w:val="00A17285"/>
    <w:rsid w:val="00A708A4"/>
    <w:rsid w:val="00AC057C"/>
    <w:rsid w:val="00AC61DC"/>
    <w:rsid w:val="00AE31C5"/>
    <w:rsid w:val="00AE4295"/>
    <w:rsid w:val="00AF4008"/>
    <w:rsid w:val="00B10F88"/>
    <w:rsid w:val="00B14075"/>
    <w:rsid w:val="00B15ACF"/>
    <w:rsid w:val="00B40E52"/>
    <w:rsid w:val="00B92028"/>
    <w:rsid w:val="00BD3FF3"/>
    <w:rsid w:val="00BE2E0A"/>
    <w:rsid w:val="00BE57BE"/>
    <w:rsid w:val="00BF1EE8"/>
    <w:rsid w:val="00C470CD"/>
    <w:rsid w:val="00CA3CE4"/>
    <w:rsid w:val="00CD44BB"/>
    <w:rsid w:val="00D11AE0"/>
    <w:rsid w:val="00D30FBF"/>
    <w:rsid w:val="00D32631"/>
    <w:rsid w:val="00D33C03"/>
    <w:rsid w:val="00D430E4"/>
    <w:rsid w:val="00DA6790"/>
    <w:rsid w:val="00DB621F"/>
    <w:rsid w:val="00DC4B3B"/>
    <w:rsid w:val="00DC5FCE"/>
    <w:rsid w:val="00DE523E"/>
    <w:rsid w:val="00DE6148"/>
    <w:rsid w:val="00DF3C14"/>
    <w:rsid w:val="00DF3FFB"/>
    <w:rsid w:val="00DF5E16"/>
    <w:rsid w:val="00E06298"/>
    <w:rsid w:val="00E20367"/>
    <w:rsid w:val="00E31C01"/>
    <w:rsid w:val="00EC2CD5"/>
    <w:rsid w:val="00EC529B"/>
    <w:rsid w:val="00F0352C"/>
    <w:rsid w:val="00F060AE"/>
    <w:rsid w:val="00F100CC"/>
    <w:rsid w:val="00F211DC"/>
    <w:rsid w:val="00F3667F"/>
    <w:rsid w:val="00F55182"/>
    <w:rsid w:val="00F639D0"/>
    <w:rsid w:val="00F85ACF"/>
    <w:rsid w:val="00FA3740"/>
    <w:rsid w:val="00FA4EF4"/>
    <w:rsid w:val="00FB7808"/>
    <w:rsid w:val="00FB7865"/>
    <w:rsid w:val="00FC707B"/>
    <w:rsid w:val="00FC73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565D2F"/>
  <w15:chartTrackingRefBased/>
  <w15:docId w15:val="{7DF878B7-EBBD-44AD-9347-23706C77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0352C"/>
    <w:pPr>
      <w:keepNext/>
      <w:keepLines/>
      <w:spacing w:after="0" w:line="360" w:lineRule="auto"/>
      <w:jc w:val="center"/>
      <w:outlineLvl w:val="0"/>
    </w:pPr>
    <w:rPr>
      <w:rFonts w:ascii="Palatino Linotype" w:eastAsiaTheme="majorEastAsia" w:hAnsi="Palatino Linotype" w:cstheme="majorBidi"/>
      <w:b/>
      <w:color w:val="000000" w:themeColor="text1"/>
      <w:szCs w:val="32"/>
    </w:rPr>
  </w:style>
  <w:style w:type="paragraph" w:styleId="Ttulo2">
    <w:name w:val="heading 2"/>
    <w:basedOn w:val="Normal"/>
    <w:next w:val="Normal"/>
    <w:link w:val="Ttulo2Car"/>
    <w:uiPriority w:val="9"/>
    <w:unhideWhenUsed/>
    <w:qFormat/>
    <w:rsid w:val="00F0352C"/>
    <w:pPr>
      <w:keepNext/>
      <w:keepLines/>
      <w:spacing w:after="0" w:line="360" w:lineRule="auto"/>
      <w:jc w:val="both"/>
      <w:outlineLvl w:val="1"/>
    </w:pPr>
    <w:rPr>
      <w:rFonts w:ascii="Palatino Linotype" w:eastAsiaTheme="majorEastAsia" w:hAnsi="Palatino Linotype"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61DC"/>
    <w:pPr>
      <w:ind w:left="720"/>
      <w:contextualSpacing/>
    </w:pPr>
  </w:style>
  <w:style w:type="character" w:styleId="Hipervnculo">
    <w:name w:val="Hyperlink"/>
    <w:basedOn w:val="Fuentedeprrafopredeter"/>
    <w:uiPriority w:val="99"/>
    <w:unhideWhenUsed/>
    <w:rsid w:val="003E42D3"/>
    <w:rPr>
      <w:color w:val="0563C1" w:themeColor="hyperlink"/>
      <w:u w:val="single"/>
    </w:rPr>
  </w:style>
  <w:style w:type="character" w:customStyle="1" w:styleId="Mencinsinresolver1">
    <w:name w:val="Mención sin resolver1"/>
    <w:basedOn w:val="Fuentedeprrafopredeter"/>
    <w:uiPriority w:val="99"/>
    <w:semiHidden/>
    <w:unhideWhenUsed/>
    <w:rsid w:val="002A2FCF"/>
    <w:rPr>
      <w:color w:val="605E5C"/>
      <w:shd w:val="clear" w:color="auto" w:fill="E1DFDD"/>
    </w:rPr>
  </w:style>
  <w:style w:type="character" w:styleId="Hipervnculovisitado">
    <w:name w:val="FollowedHyperlink"/>
    <w:basedOn w:val="Fuentedeprrafopredeter"/>
    <w:uiPriority w:val="99"/>
    <w:semiHidden/>
    <w:unhideWhenUsed/>
    <w:rsid w:val="00AE31C5"/>
    <w:rPr>
      <w:color w:val="954F72" w:themeColor="followedHyperlink"/>
      <w:u w:val="single"/>
    </w:rPr>
  </w:style>
  <w:style w:type="character" w:customStyle="1" w:styleId="Ttulo1Car">
    <w:name w:val="Título 1 Car"/>
    <w:basedOn w:val="Fuentedeprrafopredeter"/>
    <w:link w:val="Ttulo1"/>
    <w:uiPriority w:val="9"/>
    <w:rsid w:val="00F0352C"/>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F0352C"/>
    <w:rPr>
      <w:rFonts w:ascii="Palatino Linotype" w:eastAsiaTheme="majorEastAsia" w:hAnsi="Palatino Linotype" w:cstheme="majorBidi"/>
      <w:b/>
      <w:szCs w:val="26"/>
    </w:rPr>
  </w:style>
  <w:style w:type="paragraph" w:styleId="TtulodeTDC">
    <w:name w:val="TOC Heading"/>
    <w:basedOn w:val="Ttulo1"/>
    <w:next w:val="Normal"/>
    <w:uiPriority w:val="39"/>
    <w:unhideWhenUsed/>
    <w:qFormat/>
    <w:rsid w:val="00F0352C"/>
    <w:pPr>
      <w:spacing w:before="240" w:line="259" w:lineRule="auto"/>
      <w:jc w:val="left"/>
      <w:outlineLvl w:val="9"/>
    </w:pPr>
    <w:rPr>
      <w:rFonts w:asciiTheme="majorHAnsi" w:hAnsiTheme="majorHAnsi"/>
      <w:b w:val="0"/>
      <w:color w:val="2E74B5" w:themeColor="accent1" w:themeShade="BF"/>
      <w:sz w:val="32"/>
      <w:lang w:eastAsia="es-MX"/>
    </w:rPr>
  </w:style>
  <w:style w:type="paragraph" w:styleId="TDC1">
    <w:name w:val="toc 1"/>
    <w:basedOn w:val="Normal"/>
    <w:next w:val="Normal"/>
    <w:autoRedefine/>
    <w:uiPriority w:val="39"/>
    <w:unhideWhenUsed/>
    <w:rsid w:val="00F0352C"/>
    <w:pPr>
      <w:spacing w:after="100"/>
    </w:pPr>
  </w:style>
  <w:style w:type="paragraph" w:styleId="TDC2">
    <w:name w:val="toc 2"/>
    <w:basedOn w:val="Normal"/>
    <w:next w:val="Normal"/>
    <w:autoRedefine/>
    <w:uiPriority w:val="39"/>
    <w:unhideWhenUsed/>
    <w:rsid w:val="00F035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16053">
      <w:bodyDiv w:val="1"/>
      <w:marLeft w:val="0"/>
      <w:marRight w:val="0"/>
      <w:marTop w:val="0"/>
      <w:marBottom w:val="0"/>
      <w:divBdr>
        <w:top w:val="none" w:sz="0" w:space="0" w:color="auto"/>
        <w:left w:val="none" w:sz="0" w:space="0" w:color="auto"/>
        <w:bottom w:val="none" w:sz="0" w:space="0" w:color="auto"/>
        <w:right w:val="none" w:sz="0" w:space="0" w:color="auto"/>
      </w:divBdr>
    </w:div>
    <w:div w:id="743650140">
      <w:bodyDiv w:val="1"/>
      <w:marLeft w:val="0"/>
      <w:marRight w:val="0"/>
      <w:marTop w:val="0"/>
      <w:marBottom w:val="0"/>
      <w:divBdr>
        <w:top w:val="none" w:sz="0" w:space="0" w:color="auto"/>
        <w:left w:val="none" w:sz="0" w:space="0" w:color="auto"/>
        <w:bottom w:val="none" w:sz="0" w:space="0" w:color="auto"/>
        <w:right w:val="none" w:sz="0" w:space="0" w:color="auto"/>
      </w:divBdr>
    </w:div>
    <w:div w:id="849103984">
      <w:bodyDiv w:val="1"/>
      <w:marLeft w:val="0"/>
      <w:marRight w:val="0"/>
      <w:marTop w:val="0"/>
      <w:marBottom w:val="0"/>
      <w:divBdr>
        <w:top w:val="none" w:sz="0" w:space="0" w:color="auto"/>
        <w:left w:val="none" w:sz="0" w:space="0" w:color="auto"/>
        <w:bottom w:val="none" w:sz="0" w:space="0" w:color="auto"/>
        <w:right w:val="none" w:sz="0" w:space="0" w:color="auto"/>
      </w:divBdr>
    </w:div>
    <w:div w:id="1265192511">
      <w:bodyDiv w:val="1"/>
      <w:marLeft w:val="0"/>
      <w:marRight w:val="0"/>
      <w:marTop w:val="0"/>
      <w:marBottom w:val="0"/>
      <w:divBdr>
        <w:top w:val="none" w:sz="0" w:space="0" w:color="auto"/>
        <w:left w:val="none" w:sz="0" w:space="0" w:color="auto"/>
        <w:bottom w:val="none" w:sz="0" w:space="0" w:color="auto"/>
        <w:right w:val="none" w:sz="0" w:space="0" w:color="auto"/>
      </w:divBdr>
    </w:div>
    <w:div w:id="1571423992">
      <w:bodyDiv w:val="1"/>
      <w:marLeft w:val="0"/>
      <w:marRight w:val="0"/>
      <w:marTop w:val="0"/>
      <w:marBottom w:val="0"/>
      <w:divBdr>
        <w:top w:val="none" w:sz="0" w:space="0" w:color="auto"/>
        <w:left w:val="none" w:sz="0" w:space="0" w:color="auto"/>
        <w:bottom w:val="none" w:sz="0" w:space="0" w:color="auto"/>
        <w:right w:val="none" w:sz="0" w:space="0" w:color="auto"/>
      </w:divBdr>
    </w:div>
    <w:div w:id="20560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xtapaluca.gob.mx/registro-de-tr%C3%A1mites-y-servicios2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D3BA9-C7DB-4AF1-BD85-BD73FF70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6335</Words>
  <Characters>34845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2025-08-08T05:21:00Z</cp:lastPrinted>
  <dcterms:created xsi:type="dcterms:W3CDTF">2025-08-22T17:54:00Z</dcterms:created>
  <dcterms:modified xsi:type="dcterms:W3CDTF">2025-08-22T17:54:00Z</dcterms:modified>
</cp:coreProperties>
</file>