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458" w:rsidRDefault="00E21458">
      <w:pPr>
        <w:rPr>
          <w:rFonts w:ascii="Palatino Linotype" w:eastAsia="Palatino Linotype" w:hAnsi="Palatino Linotype" w:cs="Palatino Linotype"/>
          <w:color w:val="FF0000"/>
        </w:rPr>
      </w:pPr>
    </w:p>
    <w:p w:rsidR="00E21458" w:rsidRDefault="00E21458">
      <w:pPr>
        <w:rPr>
          <w:rFonts w:ascii="Palatino Linotype" w:eastAsia="Palatino Linotype" w:hAnsi="Palatino Linotype" w:cs="Palatino Linotype"/>
          <w:color w:val="FF0000"/>
        </w:rPr>
      </w:pPr>
    </w:p>
    <w:p w:rsidR="00E21458" w:rsidRDefault="00376B19">
      <w:pPr>
        <w:keepNext/>
        <w:keepLines/>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RESOLUCIÓN DEL RECURSO DE REVISIÓN 06361/INFOEM/IP/RR/2025</w:t>
      </w:r>
    </w:p>
    <w:p w:rsidR="00E21458" w:rsidRDefault="00E21458">
      <w:pPr>
        <w:jc w:val="left"/>
        <w:rPr>
          <w:rFonts w:ascii="Palatino Linotype" w:eastAsia="Palatino Linotype" w:hAnsi="Palatino Linotype" w:cs="Palatino Linotype"/>
          <w:color w:val="FF0000"/>
          <w:sz w:val="20"/>
          <w:szCs w:val="20"/>
        </w:rPr>
      </w:pPr>
    </w:p>
    <w:sdt>
      <w:sdtPr>
        <w:rPr>
          <w:rFonts w:ascii="Calibri" w:eastAsia="Calibri" w:hAnsi="Calibri" w:cs="Calibri"/>
          <w:color w:val="auto"/>
          <w:sz w:val="22"/>
          <w:szCs w:val="22"/>
          <w:lang w:val="es-ES"/>
        </w:rPr>
        <w:id w:val="1072469133"/>
        <w:docPartObj>
          <w:docPartGallery w:val="Table of Contents"/>
          <w:docPartUnique/>
        </w:docPartObj>
      </w:sdtPr>
      <w:sdtEndPr>
        <w:rPr>
          <w:b/>
          <w:bCs/>
        </w:rPr>
      </w:sdtEndPr>
      <w:sdtContent>
        <w:p w:rsidR="009431FC" w:rsidRDefault="009431FC">
          <w:pPr>
            <w:pStyle w:val="TtulodeTDC"/>
          </w:pPr>
        </w:p>
        <w:p w:rsidR="009431FC" w:rsidRDefault="009431FC">
          <w:pPr>
            <w:pStyle w:val="TDC1"/>
            <w:tabs>
              <w:tab w:val="right" w:leader="dot" w:pos="8828"/>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5759133" w:history="1">
            <w:r w:rsidRPr="00666039">
              <w:rPr>
                <w:rStyle w:val="Hipervnculo"/>
                <w:rFonts w:ascii="Palatino Linotype" w:eastAsia="Palatino Linotype" w:hAnsi="Palatino Linotype" w:cs="Palatino Linotype"/>
                <w:noProof/>
              </w:rPr>
              <w:t>A N T E C E D E N T E S</w:t>
            </w:r>
            <w:r>
              <w:rPr>
                <w:noProof/>
                <w:webHidden/>
              </w:rPr>
              <w:tab/>
            </w:r>
            <w:r>
              <w:rPr>
                <w:noProof/>
                <w:webHidden/>
              </w:rPr>
              <w:fldChar w:fldCharType="begin"/>
            </w:r>
            <w:r>
              <w:rPr>
                <w:noProof/>
                <w:webHidden/>
              </w:rPr>
              <w:instrText xml:space="preserve"> PAGEREF _Toc215759133 \h </w:instrText>
            </w:r>
            <w:r>
              <w:rPr>
                <w:noProof/>
                <w:webHidden/>
              </w:rPr>
            </w:r>
            <w:r>
              <w:rPr>
                <w:noProof/>
                <w:webHidden/>
              </w:rPr>
              <w:fldChar w:fldCharType="separate"/>
            </w:r>
            <w:r w:rsidR="00E370E5">
              <w:rPr>
                <w:noProof/>
                <w:webHidden/>
              </w:rPr>
              <w:t>2</w:t>
            </w:r>
            <w:r>
              <w:rPr>
                <w:noProof/>
                <w:webHidden/>
              </w:rPr>
              <w:fldChar w:fldCharType="end"/>
            </w:r>
          </w:hyperlink>
        </w:p>
        <w:p w:rsidR="009431FC" w:rsidRDefault="008D2D86">
          <w:pPr>
            <w:pStyle w:val="TDC2"/>
            <w:tabs>
              <w:tab w:val="right" w:leader="dot" w:pos="8828"/>
            </w:tabs>
            <w:rPr>
              <w:rFonts w:asciiTheme="minorHAnsi" w:eastAsiaTheme="minorEastAsia" w:hAnsiTheme="minorHAnsi" w:cstheme="minorBidi"/>
              <w:noProof/>
            </w:rPr>
          </w:pPr>
          <w:hyperlink w:anchor="_Toc215759134" w:history="1">
            <w:r w:rsidR="009431FC" w:rsidRPr="00666039">
              <w:rPr>
                <w:rStyle w:val="Hipervnculo"/>
                <w:rFonts w:ascii="Palatino Linotype" w:eastAsia="Palatino Linotype" w:hAnsi="Palatino Linotype" w:cs="Palatino Linotype"/>
                <w:noProof/>
              </w:rPr>
              <w:t>II. Respuestas del Sujeto Obligado</w:t>
            </w:r>
            <w:r w:rsidR="009431FC">
              <w:rPr>
                <w:noProof/>
                <w:webHidden/>
              </w:rPr>
              <w:tab/>
            </w:r>
            <w:r w:rsidR="009431FC">
              <w:rPr>
                <w:noProof/>
                <w:webHidden/>
              </w:rPr>
              <w:fldChar w:fldCharType="begin"/>
            </w:r>
            <w:r w:rsidR="009431FC">
              <w:rPr>
                <w:noProof/>
                <w:webHidden/>
              </w:rPr>
              <w:instrText xml:space="preserve"> PAGEREF _Toc215759134 \h </w:instrText>
            </w:r>
            <w:r w:rsidR="009431FC">
              <w:rPr>
                <w:noProof/>
                <w:webHidden/>
              </w:rPr>
            </w:r>
            <w:r w:rsidR="009431FC">
              <w:rPr>
                <w:noProof/>
                <w:webHidden/>
              </w:rPr>
              <w:fldChar w:fldCharType="separate"/>
            </w:r>
            <w:r w:rsidR="00E370E5">
              <w:rPr>
                <w:noProof/>
                <w:webHidden/>
              </w:rPr>
              <w:t>3</w:t>
            </w:r>
            <w:r w:rsidR="009431FC">
              <w:rPr>
                <w:noProof/>
                <w:webHidden/>
              </w:rPr>
              <w:fldChar w:fldCharType="end"/>
            </w:r>
          </w:hyperlink>
        </w:p>
        <w:p w:rsidR="009431FC" w:rsidRDefault="008D2D86">
          <w:pPr>
            <w:pStyle w:val="TDC2"/>
            <w:tabs>
              <w:tab w:val="right" w:leader="dot" w:pos="8828"/>
            </w:tabs>
            <w:rPr>
              <w:rFonts w:asciiTheme="minorHAnsi" w:eastAsiaTheme="minorEastAsia" w:hAnsiTheme="minorHAnsi" w:cstheme="minorBidi"/>
              <w:noProof/>
            </w:rPr>
          </w:pPr>
          <w:hyperlink w:anchor="_Toc215759135" w:history="1">
            <w:r w:rsidR="009431FC" w:rsidRPr="00666039">
              <w:rPr>
                <w:rStyle w:val="Hipervnculo"/>
                <w:rFonts w:ascii="Palatino Linotype" w:eastAsia="Palatino Linotype" w:hAnsi="Palatino Linotype" w:cs="Palatino Linotype"/>
                <w:noProof/>
              </w:rPr>
              <w:t>III. Interposición del Recurso de Revisión</w:t>
            </w:r>
            <w:r w:rsidR="009431FC">
              <w:rPr>
                <w:noProof/>
                <w:webHidden/>
              </w:rPr>
              <w:tab/>
            </w:r>
            <w:r w:rsidR="009431FC">
              <w:rPr>
                <w:noProof/>
                <w:webHidden/>
              </w:rPr>
              <w:fldChar w:fldCharType="begin"/>
            </w:r>
            <w:r w:rsidR="009431FC">
              <w:rPr>
                <w:noProof/>
                <w:webHidden/>
              </w:rPr>
              <w:instrText xml:space="preserve"> PAGEREF _Toc215759135 \h </w:instrText>
            </w:r>
            <w:r w:rsidR="009431FC">
              <w:rPr>
                <w:noProof/>
                <w:webHidden/>
              </w:rPr>
            </w:r>
            <w:r w:rsidR="009431FC">
              <w:rPr>
                <w:noProof/>
                <w:webHidden/>
              </w:rPr>
              <w:fldChar w:fldCharType="separate"/>
            </w:r>
            <w:r w:rsidR="00E370E5">
              <w:rPr>
                <w:noProof/>
                <w:webHidden/>
              </w:rPr>
              <w:t>4</w:t>
            </w:r>
            <w:r w:rsidR="009431FC">
              <w:rPr>
                <w:noProof/>
                <w:webHidden/>
              </w:rPr>
              <w:fldChar w:fldCharType="end"/>
            </w:r>
          </w:hyperlink>
        </w:p>
        <w:p w:rsidR="009431FC" w:rsidRDefault="008D2D86">
          <w:pPr>
            <w:pStyle w:val="TDC2"/>
            <w:tabs>
              <w:tab w:val="right" w:leader="dot" w:pos="8828"/>
            </w:tabs>
            <w:rPr>
              <w:rFonts w:asciiTheme="minorHAnsi" w:eastAsiaTheme="minorEastAsia" w:hAnsiTheme="minorHAnsi" w:cstheme="minorBidi"/>
              <w:noProof/>
            </w:rPr>
          </w:pPr>
          <w:hyperlink w:anchor="_Toc215759136" w:history="1">
            <w:r w:rsidR="009431FC" w:rsidRPr="00666039">
              <w:rPr>
                <w:rStyle w:val="Hipervnculo"/>
                <w:rFonts w:ascii="Palatino Linotype" w:eastAsia="Palatino Linotype" w:hAnsi="Palatino Linotype" w:cs="Palatino Linotype"/>
                <w:noProof/>
              </w:rPr>
              <w:t>IV. Trámite del Recurso de Revisión ante este Instituto</w:t>
            </w:r>
            <w:r w:rsidR="009431FC">
              <w:rPr>
                <w:noProof/>
                <w:webHidden/>
              </w:rPr>
              <w:tab/>
            </w:r>
            <w:r w:rsidR="009431FC">
              <w:rPr>
                <w:noProof/>
                <w:webHidden/>
              </w:rPr>
              <w:fldChar w:fldCharType="begin"/>
            </w:r>
            <w:r w:rsidR="009431FC">
              <w:rPr>
                <w:noProof/>
                <w:webHidden/>
              </w:rPr>
              <w:instrText xml:space="preserve"> PAGEREF _Toc215759136 \h </w:instrText>
            </w:r>
            <w:r w:rsidR="009431FC">
              <w:rPr>
                <w:noProof/>
                <w:webHidden/>
              </w:rPr>
            </w:r>
            <w:r w:rsidR="009431FC">
              <w:rPr>
                <w:noProof/>
                <w:webHidden/>
              </w:rPr>
              <w:fldChar w:fldCharType="separate"/>
            </w:r>
            <w:r w:rsidR="00E370E5">
              <w:rPr>
                <w:noProof/>
                <w:webHidden/>
              </w:rPr>
              <w:t>4</w:t>
            </w:r>
            <w:r w:rsidR="009431FC">
              <w:rPr>
                <w:noProof/>
                <w:webHidden/>
              </w:rPr>
              <w:fldChar w:fldCharType="end"/>
            </w:r>
          </w:hyperlink>
        </w:p>
        <w:p w:rsidR="009431FC" w:rsidRDefault="008D2D86">
          <w:pPr>
            <w:pStyle w:val="TDC1"/>
            <w:tabs>
              <w:tab w:val="right" w:leader="dot" w:pos="8828"/>
            </w:tabs>
            <w:rPr>
              <w:rFonts w:asciiTheme="minorHAnsi" w:eastAsiaTheme="minorEastAsia" w:hAnsiTheme="minorHAnsi" w:cstheme="minorBidi"/>
              <w:noProof/>
            </w:rPr>
          </w:pPr>
          <w:hyperlink w:anchor="_Toc215759137" w:history="1">
            <w:r w:rsidR="009431FC" w:rsidRPr="00666039">
              <w:rPr>
                <w:rStyle w:val="Hipervnculo"/>
                <w:rFonts w:ascii="Palatino Linotype" w:eastAsia="Palatino Linotype" w:hAnsi="Palatino Linotype" w:cs="Palatino Linotype"/>
                <w:noProof/>
              </w:rPr>
              <w:t>C O N S I D E R A N D O S</w:t>
            </w:r>
            <w:r w:rsidR="009431FC">
              <w:rPr>
                <w:noProof/>
                <w:webHidden/>
              </w:rPr>
              <w:tab/>
            </w:r>
            <w:r w:rsidR="009431FC">
              <w:rPr>
                <w:noProof/>
                <w:webHidden/>
              </w:rPr>
              <w:fldChar w:fldCharType="begin"/>
            </w:r>
            <w:r w:rsidR="009431FC">
              <w:rPr>
                <w:noProof/>
                <w:webHidden/>
              </w:rPr>
              <w:instrText xml:space="preserve"> PAGEREF _Toc215759137 \h </w:instrText>
            </w:r>
            <w:r w:rsidR="009431FC">
              <w:rPr>
                <w:noProof/>
                <w:webHidden/>
              </w:rPr>
            </w:r>
            <w:r w:rsidR="009431FC">
              <w:rPr>
                <w:noProof/>
                <w:webHidden/>
              </w:rPr>
              <w:fldChar w:fldCharType="separate"/>
            </w:r>
            <w:r w:rsidR="00E370E5">
              <w:rPr>
                <w:noProof/>
                <w:webHidden/>
              </w:rPr>
              <w:t>6</w:t>
            </w:r>
            <w:r w:rsidR="009431FC">
              <w:rPr>
                <w:noProof/>
                <w:webHidden/>
              </w:rPr>
              <w:fldChar w:fldCharType="end"/>
            </w:r>
          </w:hyperlink>
        </w:p>
        <w:p w:rsidR="009431FC" w:rsidRDefault="008D2D86">
          <w:pPr>
            <w:pStyle w:val="TDC2"/>
            <w:tabs>
              <w:tab w:val="right" w:leader="dot" w:pos="8828"/>
            </w:tabs>
            <w:rPr>
              <w:rFonts w:asciiTheme="minorHAnsi" w:eastAsiaTheme="minorEastAsia" w:hAnsiTheme="minorHAnsi" w:cstheme="minorBidi"/>
              <w:noProof/>
            </w:rPr>
          </w:pPr>
          <w:hyperlink w:anchor="_Toc215759138" w:history="1">
            <w:r w:rsidR="009431FC" w:rsidRPr="00666039">
              <w:rPr>
                <w:rStyle w:val="Hipervnculo"/>
                <w:rFonts w:ascii="Palatino Linotype" w:eastAsia="Palatino Linotype" w:hAnsi="Palatino Linotype" w:cs="Palatino Linotype"/>
                <w:noProof/>
              </w:rPr>
              <w:t>PRIMERO. Competencia</w:t>
            </w:r>
            <w:r w:rsidR="009431FC">
              <w:rPr>
                <w:noProof/>
                <w:webHidden/>
              </w:rPr>
              <w:tab/>
            </w:r>
            <w:r w:rsidR="009431FC">
              <w:rPr>
                <w:noProof/>
                <w:webHidden/>
              </w:rPr>
              <w:fldChar w:fldCharType="begin"/>
            </w:r>
            <w:r w:rsidR="009431FC">
              <w:rPr>
                <w:noProof/>
                <w:webHidden/>
              </w:rPr>
              <w:instrText xml:space="preserve"> PAGEREF _Toc215759138 \h </w:instrText>
            </w:r>
            <w:r w:rsidR="009431FC">
              <w:rPr>
                <w:noProof/>
                <w:webHidden/>
              </w:rPr>
            </w:r>
            <w:r w:rsidR="009431FC">
              <w:rPr>
                <w:noProof/>
                <w:webHidden/>
              </w:rPr>
              <w:fldChar w:fldCharType="separate"/>
            </w:r>
            <w:r w:rsidR="00E370E5">
              <w:rPr>
                <w:noProof/>
                <w:webHidden/>
              </w:rPr>
              <w:t>6</w:t>
            </w:r>
            <w:r w:rsidR="009431FC">
              <w:rPr>
                <w:noProof/>
                <w:webHidden/>
              </w:rPr>
              <w:fldChar w:fldCharType="end"/>
            </w:r>
          </w:hyperlink>
        </w:p>
        <w:p w:rsidR="009431FC" w:rsidRDefault="008D2D86">
          <w:pPr>
            <w:pStyle w:val="TDC2"/>
            <w:tabs>
              <w:tab w:val="right" w:leader="dot" w:pos="8828"/>
            </w:tabs>
            <w:rPr>
              <w:rFonts w:asciiTheme="minorHAnsi" w:eastAsiaTheme="minorEastAsia" w:hAnsiTheme="minorHAnsi" w:cstheme="minorBidi"/>
              <w:noProof/>
            </w:rPr>
          </w:pPr>
          <w:hyperlink w:anchor="_Toc215759139" w:history="1">
            <w:r w:rsidR="009431FC" w:rsidRPr="00666039">
              <w:rPr>
                <w:rStyle w:val="Hipervnculo"/>
                <w:rFonts w:ascii="Palatino Linotype" w:eastAsia="Palatino Linotype" w:hAnsi="Palatino Linotype" w:cs="Palatino Linotype"/>
                <w:noProof/>
              </w:rPr>
              <w:t>SEGUNDO. Causales de improcedencia y sobreseimiento</w:t>
            </w:r>
            <w:r w:rsidR="009431FC">
              <w:rPr>
                <w:noProof/>
                <w:webHidden/>
              </w:rPr>
              <w:tab/>
            </w:r>
            <w:r w:rsidR="009431FC">
              <w:rPr>
                <w:noProof/>
                <w:webHidden/>
              </w:rPr>
              <w:fldChar w:fldCharType="begin"/>
            </w:r>
            <w:r w:rsidR="009431FC">
              <w:rPr>
                <w:noProof/>
                <w:webHidden/>
              </w:rPr>
              <w:instrText xml:space="preserve"> PAGEREF _Toc215759139 \h </w:instrText>
            </w:r>
            <w:r w:rsidR="009431FC">
              <w:rPr>
                <w:noProof/>
                <w:webHidden/>
              </w:rPr>
            </w:r>
            <w:r w:rsidR="009431FC">
              <w:rPr>
                <w:noProof/>
                <w:webHidden/>
              </w:rPr>
              <w:fldChar w:fldCharType="separate"/>
            </w:r>
            <w:r w:rsidR="00E370E5">
              <w:rPr>
                <w:noProof/>
                <w:webHidden/>
              </w:rPr>
              <w:t>7</w:t>
            </w:r>
            <w:r w:rsidR="009431FC">
              <w:rPr>
                <w:noProof/>
                <w:webHidden/>
              </w:rPr>
              <w:fldChar w:fldCharType="end"/>
            </w:r>
          </w:hyperlink>
        </w:p>
        <w:p w:rsidR="009431FC" w:rsidRDefault="008D2D86">
          <w:pPr>
            <w:pStyle w:val="TDC2"/>
            <w:tabs>
              <w:tab w:val="right" w:leader="dot" w:pos="8828"/>
            </w:tabs>
            <w:rPr>
              <w:rFonts w:asciiTheme="minorHAnsi" w:eastAsiaTheme="minorEastAsia" w:hAnsiTheme="minorHAnsi" w:cstheme="minorBidi"/>
              <w:noProof/>
            </w:rPr>
          </w:pPr>
          <w:hyperlink w:anchor="_Toc215759140" w:history="1">
            <w:r w:rsidR="009431FC" w:rsidRPr="00666039">
              <w:rPr>
                <w:rStyle w:val="Hipervnculo"/>
                <w:rFonts w:ascii="Palatino Linotype" w:eastAsia="Palatino Linotype" w:hAnsi="Palatino Linotype" w:cs="Palatino Linotype"/>
                <w:noProof/>
              </w:rPr>
              <w:t>TERCERO. Determinación de la Controversia</w:t>
            </w:r>
            <w:r w:rsidR="009431FC">
              <w:rPr>
                <w:noProof/>
                <w:webHidden/>
              </w:rPr>
              <w:tab/>
            </w:r>
            <w:r w:rsidR="009431FC">
              <w:rPr>
                <w:noProof/>
                <w:webHidden/>
              </w:rPr>
              <w:fldChar w:fldCharType="begin"/>
            </w:r>
            <w:r w:rsidR="009431FC">
              <w:rPr>
                <w:noProof/>
                <w:webHidden/>
              </w:rPr>
              <w:instrText xml:space="preserve"> PAGEREF _Toc215759140 \h </w:instrText>
            </w:r>
            <w:r w:rsidR="009431FC">
              <w:rPr>
                <w:noProof/>
                <w:webHidden/>
              </w:rPr>
            </w:r>
            <w:r w:rsidR="009431FC">
              <w:rPr>
                <w:noProof/>
                <w:webHidden/>
              </w:rPr>
              <w:fldChar w:fldCharType="separate"/>
            </w:r>
            <w:r w:rsidR="00E370E5">
              <w:rPr>
                <w:noProof/>
                <w:webHidden/>
              </w:rPr>
              <w:t>9</w:t>
            </w:r>
            <w:r w:rsidR="009431FC">
              <w:rPr>
                <w:noProof/>
                <w:webHidden/>
              </w:rPr>
              <w:fldChar w:fldCharType="end"/>
            </w:r>
          </w:hyperlink>
        </w:p>
        <w:p w:rsidR="009431FC" w:rsidRDefault="008D2D86">
          <w:pPr>
            <w:pStyle w:val="TDC2"/>
            <w:tabs>
              <w:tab w:val="right" w:leader="dot" w:pos="8828"/>
            </w:tabs>
            <w:rPr>
              <w:rFonts w:asciiTheme="minorHAnsi" w:eastAsiaTheme="minorEastAsia" w:hAnsiTheme="minorHAnsi" w:cstheme="minorBidi"/>
              <w:noProof/>
            </w:rPr>
          </w:pPr>
          <w:hyperlink w:anchor="_Toc215759141" w:history="1">
            <w:r w:rsidR="009431FC" w:rsidRPr="00666039">
              <w:rPr>
                <w:rStyle w:val="Hipervnculo"/>
                <w:rFonts w:ascii="Palatino Linotype" w:eastAsia="Palatino Linotype" w:hAnsi="Palatino Linotype" w:cs="Palatino Linotype"/>
                <w:noProof/>
              </w:rPr>
              <w:t>CUARTO. Marco normativo aplicable en materia de transparencia y acceso a la información pública</w:t>
            </w:r>
            <w:r w:rsidR="009431FC">
              <w:rPr>
                <w:noProof/>
                <w:webHidden/>
              </w:rPr>
              <w:tab/>
            </w:r>
            <w:r w:rsidR="009431FC">
              <w:rPr>
                <w:noProof/>
                <w:webHidden/>
              </w:rPr>
              <w:fldChar w:fldCharType="begin"/>
            </w:r>
            <w:r w:rsidR="009431FC">
              <w:rPr>
                <w:noProof/>
                <w:webHidden/>
              </w:rPr>
              <w:instrText xml:space="preserve"> PAGEREF _Toc215759141 \h </w:instrText>
            </w:r>
            <w:r w:rsidR="009431FC">
              <w:rPr>
                <w:noProof/>
                <w:webHidden/>
              </w:rPr>
            </w:r>
            <w:r w:rsidR="009431FC">
              <w:rPr>
                <w:noProof/>
                <w:webHidden/>
              </w:rPr>
              <w:fldChar w:fldCharType="separate"/>
            </w:r>
            <w:r w:rsidR="00E370E5">
              <w:rPr>
                <w:noProof/>
                <w:webHidden/>
              </w:rPr>
              <w:t>10</w:t>
            </w:r>
            <w:r w:rsidR="009431FC">
              <w:rPr>
                <w:noProof/>
                <w:webHidden/>
              </w:rPr>
              <w:fldChar w:fldCharType="end"/>
            </w:r>
          </w:hyperlink>
        </w:p>
        <w:p w:rsidR="009431FC" w:rsidRDefault="008D2D86">
          <w:pPr>
            <w:pStyle w:val="TDC2"/>
            <w:tabs>
              <w:tab w:val="right" w:leader="dot" w:pos="8828"/>
            </w:tabs>
            <w:rPr>
              <w:rFonts w:asciiTheme="minorHAnsi" w:eastAsiaTheme="minorEastAsia" w:hAnsiTheme="minorHAnsi" w:cstheme="minorBidi"/>
              <w:noProof/>
            </w:rPr>
          </w:pPr>
          <w:hyperlink w:anchor="_Toc215759142" w:history="1">
            <w:r w:rsidR="009431FC" w:rsidRPr="00666039">
              <w:rPr>
                <w:rStyle w:val="Hipervnculo"/>
                <w:rFonts w:ascii="Palatino Linotype" w:eastAsia="Palatino Linotype" w:hAnsi="Palatino Linotype" w:cs="Palatino Linotype"/>
                <w:noProof/>
              </w:rPr>
              <w:t>QUINTO. Estudio de Fondo</w:t>
            </w:r>
            <w:r w:rsidR="009431FC">
              <w:rPr>
                <w:noProof/>
                <w:webHidden/>
              </w:rPr>
              <w:tab/>
            </w:r>
            <w:r w:rsidR="009431FC">
              <w:rPr>
                <w:noProof/>
                <w:webHidden/>
              </w:rPr>
              <w:fldChar w:fldCharType="begin"/>
            </w:r>
            <w:r w:rsidR="009431FC">
              <w:rPr>
                <w:noProof/>
                <w:webHidden/>
              </w:rPr>
              <w:instrText xml:space="preserve"> PAGEREF _Toc215759142 \h </w:instrText>
            </w:r>
            <w:r w:rsidR="009431FC">
              <w:rPr>
                <w:noProof/>
                <w:webHidden/>
              </w:rPr>
            </w:r>
            <w:r w:rsidR="009431FC">
              <w:rPr>
                <w:noProof/>
                <w:webHidden/>
              </w:rPr>
              <w:fldChar w:fldCharType="separate"/>
            </w:r>
            <w:r w:rsidR="00E370E5">
              <w:rPr>
                <w:noProof/>
                <w:webHidden/>
              </w:rPr>
              <w:t>11</w:t>
            </w:r>
            <w:r w:rsidR="009431FC">
              <w:rPr>
                <w:noProof/>
                <w:webHidden/>
              </w:rPr>
              <w:fldChar w:fldCharType="end"/>
            </w:r>
          </w:hyperlink>
        </w:p>
        <w:p w:rsidR="009431FC" w:rsidRDefault="008D2D86">
          <w:pPr>
            <w:pStyle w:val="TDC2"/>
            <w:tabs>
              <w:tab w:val="right" w:leader="dot" w:pos="8828"/>
            </w:tabs>
            <w:rPr>
              <w:rFonts w:asciiTheme="minorHAnsi" w:eastAsiaTheme="minorEastAsia" w:hAnsiTheme="minorHAnsi" w:cstheme="minorBidi"/>
              <w:noProof/>
            </w:rPr>
          </w:pPr>
          <w:hyperlink w:anchor="_Toc215759143" w:history="1">
            <w:r w:rsidR="009431FC" w:rsidRPr="00666039">
              <w:rPr>
                <w:rStyle w:val="Hipervnculo"/>
                <w:rFonts w:ascii="Palatino Linotype" w:eastAsia="Palatino Linotype" w:hAnsi="Palatino Linotype" w:cs="Palatino Linotype"/>
                <w:noProof/>
              </w:rPr>
              <w:t>SEXTO. Decisión</w:t>
            </w:r>
            <w:r w:rsidR="009431FC">
              <w:rPr>
                <w:noProof/>
                <w:webHidden/>
              </w:rPr>
              <w:tab/>
            </w:r>
            <w:r w:rsidR="009431FC">
              <w:rPr>
                <w:noProof/>
                <w:webHidden/>
              </w:rPr>
              <w:fldChar w:fldCharType="begin"/>
            </w:r>
            <w:r w:rsidR="009431FC">
              <w:rPr>
                <w:noProof/>
                <w:webHidden/>
              </w:rPr>
              <w:instrText xml:space="preserve"> PAGEREF _Toc215759143 \h </w:instrText>
            </w:r>
            <w:r w:rsidR="009431FC">
              <w:rPr>
                <w:noProof/>
                <w:webHidden/>
              </w:rPr>
            </w:r>
            <w:r w:rsidR="009431FC">
              <w:rPr>
                <w:noProof/>
                <w:webHidden/>
              </w:rPr>
              <w:fldChar w:fldCharType="separate"/>
            </w:r>
            <w:r w:rsidR="00E370E5">
              <w:rPr>
                <w:noProof/>
                <w:webHidden/>
              </w:rPr>
              <w:t>22</w:t>
            </w:r>
            <w:r w:rsidR="009431FC">
              <w:rPr>
                <w:noProof/>
                <w:webHidden/>
              </w:rPr>
              <w:fldChar w:fldCharType="end"/>
            </w:r>
          </w:hyperlink>
        </w:p>
        <w:p w:rsidR="009431FC" w:rsidRDefault="008D2D86">
          <w:pPr>
            <w:pStyle w:val="TDC1"/>
            <w:tabs>
              <w:tab w:val="right" w:leader="dot" w:pos="8828"/>
            </w:tabs>
            <w:rPr>
              <w:rFonts w:asciiTheme="minorHAnsi" w:eastAsiaTheme="minorEastAsia" w:hAnsiTheme="minorHAnsi" w:cstheme="minorBidi"/>
              <w:noProof/>
            </w:rPr>
          </w:pPr>
          <w:hyperlink w:anchor="_Toc215759144" w:history="1">
            <w:r w:rsidR="009431FC" w:rsidRPr="00666039">
              <w:rPr>
                <w:rStyle w:val="Hipervnculo"/>
                <w:rFonts w:ascii="Palatino Linotype" w:eastAsia="Palatino Linotype" w:hAnsi="Palatino Linotype" w:cs="Palatino Linotype"/>
                <w:noProof/>
              </w:rPr>
              <w:t>R E S U E L V E</w:t>
            </w:r>
            <w:r w:rsidR="009431FC">
              <w:rPr>
                <w:noProof/>
                <w:webHidden/>
              </w:rPr>
              <w:tab/>
            </w:r>
            <w:r w:rsidR="009431FC">
              <w:rPr>
                <w:noProof/>
                <w:webHidden/>
              </w:rPr>
              <w:fldChar w:fldCharType="begin"/>
            </w:r>
            <w:r w:rsidR="009431FC">
              <w:rPr>
                <w:noProof/>
                <w:webHidden/>
              </w:rPr>
              <w:instrText xml:space="preserve"> PAGEREF _Toc215759144 \h </w:instrText>
            </w:r>
            <w:r w:rsidR="009431FC">
              <w:rPr>
                <w:noProof/>
                <w:webHidden/>
              </w:rPr>
            </w:r>
            <w:r w:rsidR="009431FC">
              <w:rPr>
                <w:noProof/>
                <w:webHidden/>
              </w:rPr>
              <w:fldChar w:fldCharType="separate"/>
            </w:r>
            <w:r w:rsidR="00E370E5">
              <w:rPr>
                <w:noProof/>
                <w:webHidden/>
              </w:rPr>
              <w:t>23</w:t>
            </w:r>
            <w:r w:rsidR="009431FC">
              <w:rPr>
                <w:noProof/>
                <w:webHidden/>
              </w:rPr>
              <w:fldChar w:fldCharType="end"/>
            </w:r>
          </w:hyperlink>
        </w:p>
        <w:p w:rsidR="009431FC" w:rsidRDefault="009431FC">
          <w:r>
            <w:rPr>
              <w:b/>
              <w:bCs/>
              <w:lang w:val="es-ES"/>
            </w:rPr>
            <w:fldChar w:fldCharType="end"/>
          </w:r>
        </w:p>
      </w:sdtContent>
    </w:sdt>
    <w:p w:rsidR="009431FC" w:rsidRDefault="009431FC" w:rsidP="009431FC">
      <w:pPr>
        <w:tabs>
          <w:tab w:val="left" w:pos="8931"/>
        </w:tabs>
      </w:pPr>
    </w:p>
    <w:p w:rsidR="009431FC" w:rsidRDefault="009431FC" w:rsidP="009431FC">
      <w:pPr>
        <w:tabs>
          <w:tab w:val="left" w:pos="8931"/>
        </w:tabs>
      </w:pPr>
    </w:p>
    <w:p w:rsidR="00E21458" w:rsidRDefault="00E21458">
      <w:pPr>
        <w:rPr>
          <w:rFonts w:ascii="Palatino Linotype" w:eastAsia="Palatino Linotype" w:hAnsi="Palatino Linotype" w:cs="Palatino Linotype"/>
          <w:color w:val="FF0000"/>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Resolución del Pleno del Instituto de Transparencia, Acceso a la Información Pública y Protección de Datos Personales del Estado de México y Municipios, con domicilio en Metepec, Estado de México, de fecha tres de diciembre de dos mil veinticinco. </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b/>
          <w:bCs/>
        </w:rPr>
        <w:t xml:space="preserve">VISTO </w:t>
      </w:r>
      <w:r>
        <w:rPr>
          <w:rFonts w:ascii="Palatino Linotype" w:eastAsia="Palatino Linotype" w:hAnsi="Palatino Linotype" w:cs="Palatino Linotype"/>
        </w:rPr>
        <w:t xml:space="preserve">el expediente conformado con motivo del Recurso de Revisión </w:t>
      </w:r>
      <w:r w:rsidRPr="00E51160">
        <w:rPr>
          <w:rFonts w:ascii="Palatino Linotype" w:eastAsia="Palatino Linotype" w:hAnsi="Palatino Linotype" w:cs="Palatino Linotype"/>
          <w:b/>
        </w:rPr>
        <w:t>06361/INFOEM/IP/RR/2025</w:t>
      </w:r>
      <w:r>
        <w:rPr>
          <w:rFonts w:ascii="Palatino Linotype" w:eastAsia="Palatino Linotype" w:hAnsi="Palatino Linotype" w:cs="Palatino Linotype"/>
        </w:rPr>
        <w:t xml:space="preserve">, interpuesto en lo sucesivo la persona Recurrente o Particular, en contra de la respuesta del Sujeto Obligado, </w:t>
      </w:r>
      <w:r w:rsidRPr="00E51160">
        <w:rPr>
          <w:rFonts w:ascii="Palatino Linotype" w:eastAsia="Palatino Linotype" w:hAnsi="Palatino Linotype" w:cs="Palatino Linotype"/>
          <w:b/>
        </w:rPr>
        <w:t>Ayuntamiento de Metepec</w:t>
      </w:r>
      <w:r>
        <w:rPr>
          <w:rFonts w:ascii="Palatino Linotype" w:eastAsia="Palatino Linotype" w:hAnsi="Palatino Linotype" w:cs="Palatino Linotype"/>
        </w:rPr>
        <w:t>, a la solicitud de información 00169/METEPEC/IP/2025, se emite la presente Resolución, con base en los Antecedentes y Considerandos que a continuación se exponen:</w:t>
      </w:r>
      <w:bookmarkStart w:id="0" w:name="_GoBack"/>
      <w:bookmarkEnd w:id="0"/>
    </w:p>
    <w:p w:rsidR="00E21458" w:rsidRDefault="00E21458">
      <w:pPr>
        <w:tabs>
          <w:tab w:val="center" w:pos="4522"/>
          <w:tab w:val="left" w:pos="7245"/>
        </w:tabs>
        <w:jc w:val="center"/>
        <w:rPr>
          <w:rFonts w:ascii="Palatino Linotype" w:eastAsia="Palatino Linotype" w:hAnsi="Palatino Linotype" w:cs="Palatino Linotype"/>
          <w:b/>
          <w:bCs/>
          <w:color w:val="FF0000"/>
        </w:rPr>
      </w:pPr>
    </w:p>
    <w:p w:rsidR="00E21458" w:rsidRPr="009431FC" w:rsidRDefault="00376B19" w:rsidP="009431FC">
      <w:pPr>
        <w:pStyle w:val="Ttulo1"/>
        <w:spacing w:before="0" w:after="0"/>
        <w:jc w:val="center"/>
        <w:rPr>
          <w:rFonts w:ascii="Palatino Linotype" w:eastAsia="Palatino Linotype" w:hAnsi="Palatino Linotype" w:cs="Palatino Linotype"/>
          <w:color w:val="000000"/>
          <w:sz w:val="22"/>
          <w:szCs w:val="22"/>
        </w:rPr>
      </w:pPr>
      <w:bookmarkStart w:id="1" w:name="_heading=h.2i8yijg9932l" w:colFirst="0" w:colLast="0"/>
      <w:bookmarkStart w:id="2" w:name="_Toc215759133"/>
      <w:bookmarkEnd w:id="1"/>
      <w:r w:rsidRPr="009431FC">
        <w:rPr>
          <w:rFonts w:ascii="Palatino Linotype" w:eastAsia="Palatino Linotype" w:hAnsi="Palatino Linotype" w:cs="Palatino Linotype"/>
          <w:color w:val="000000"/>
          <w:sz w:val="22"/>
          <w:szCs w:val="22"/>
        </w:rPr>
        <w:t>A N T E C E D E N T E S</w:t>
      </w:r>
      <w:bookmarkEnd w:id="2"/>
    </w:p>
    <w:p w:rsidR="00E21458" w:rsidRDefault="00E21458">
      <w:pPr>
        <w:pBdr>
          <w:top w:val="nil"/>
          <w:left w:val="nil"/>
          <w:bottom w:val="nil"/>
          <w:right w:val="nil"/>
          <w:between w:val="nil"/>
        </w:pBdr>
        <w:tabs>
          <w:tab w:val="left" w:pos="567"/>
        </w:tabs>
        <w:ind w:left="567"/>
        <w:rPr>
          <w:rFonts w:ascii="Palatino Linotype" w:eastAsia="Palatino Linotype" w:hAnsi="Palatino Linotype" w:cs="Palatino Linotype"/>
          <w:color w:val="FF0000"/>
        </w:rPr>
      </w:pPr>
    </w:p>
    <w:p w:rsidR="00E21458" w:rsidRPr="009431FC" w:rsidRDefault="00376B19">
      <w:pPr>
        <w:keepNext/>
        <w:keepLines/>
        <w:rPr>
          <w:rFonts w:ascii="Palatino Linotype" w:eastAsia="Palatino Linotype" w:hAnsi="Palatino Linotype" w:cs="Palatino Linotype"/>
          <w:b/>
          <w:bCs/>
          <w:color w:val="000000"/>
        </w:rPr>
      </w:pPr>
      <w:bookmarkStart w:id="3" w:name="_heading=h.v0i9itdpqzq5" w:colFirst="0" w:colLast="0"/>
      <w:bookmarkEnd w:id="3"/>
      <w:r>
        <w:rPr>
          <w:rFonts w:ascii="Palatino Linotype" w:eastAsia="Palatino Linotype" w:hAnsi="Palatino Linotype" w:cs="Palatino Linotype"/>
          <w:b/>
          <w:bCs/>
        </w:rPr>
        <w:t>I</w:t>
      </w:r>
      <w:r w:rsidRPr="009431FC">
        <w:rPr>
          <w:rFonts w:ascii="Palatino Linotype" w:eastAsia="Palatino Linotype" w:hAnsi="Palatino Linotype" w:cs="Palatino Linotype"/>
          <w:b/>
          <w:bCs/>
          <w:color w:val="000000"/>
        </w:rPr>
        <w:t>. Presentación de la solicitud de información</w:t>
      </w:r>
    </w:p>
    <w:p w:rsidR="00E21458" w:rsidRDefault="00E21458">
      <w:pPr>
        <w:pBdr>
          <w:top w:val="nil"/>
          <w:left w:val="nil"/>
          <w:bottom w:val="nil"/>
          <w:right w:val="nil"/>
          <w:between w:val="nil"/>
        </w:pBdr>
        <w:tabs>
          <w:tab w:val="left" w:pos="567"/>
        </w:tabs>
        <w:rPr>
          <w:rFonts w:ascii="Palatino Linotype" w:eastAsia="Palatino Linotype" w:hAnsi="Palatino Linotype" w:cs="Palatino Linotype"/>
          <w:color w:val="FF0000"/>
        </w:rPr>
      </w:pPr>
    </w:p>
    <w:p w:rsidR="00E21458" w:rsidRDefault="00376B19">
      <w:pPr>
        <w:pBdr>
          <w:top w:val="nil"/>
          <w:left w:val="nil"/>
          <w:bottom w:val="nil"/>
          <w:right w:val="nil"/>
          <w:between w:val="nil"/>
        </w:pBdr>
        <w:tabs>
          <w:tab w:val="left" w:pos="567"/>
        </w:tabs>
        <w:rPr>
          <w:rFonts w:ascii="Palatino Linotype" w:eastAsia="Palatino Linotype" w:hAnsi="Palatino Linotype" w:cs="Palatino Linotype"/>
        </w:rPr>
      </w:pPr>
      <w:r>
        <w:rPr>
          <w:rFonts w:ascii="Palatino Linotype" w:eastAsia="Palatino Linotype" w:hAnsi="Palatino Linotype" w:cs="Palatino Linotype"/>
        </w:rPr>
        <w:t>El veintiocho de abril de dos mil veinticinco, el Particular presentó una solicitud de acceso a la información pública, a través del Sistema de Acceso a la Información Mexiquense (SAIMEX), ante el Ayuntamiento de Metepec, mediante la cual requirió lo siguiente:</w:t>
      </w:r>
    </w:p>
    <w:p w:rsidR="00E21458" w:rsidRDefault="00E21458">
      <w:pPr>
        <w:pBdr>
          <w:top w:val="nil"/>
          <w:left w:val="nil"/>
          <w:bottom w:val="nil"/>
          <w:right w:val="nil"/>
          <w:between w:val="nil"/>
        </w:pBdr>
        <w:tabs>
          <w:tab w:val="left" w:pos="567"/>
        </w:tabs>
        <w:rPr>
          <w:rFonts w:ascii="Palatino Linotype" w:eastAsia="Palatino Linotype" w:hAnsi="Palatino Linotype" w:cs="Palatino Linotype"/>
          <w:b/>
          <w:bCs/>
          <w:color w:val="FF0000"/>
        </w:rPr>
      </w:pPr>
    </w:p>
    <w:p w:rsidR="00E21458" w:rsidRDefault="00376B19">
      <w:pPr>
        <w:tabs>
          <w:tab w:val="left" w:pos="4667"/>
        </w:tabs>
        <w:ind w:left="567" w:right="567"/>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 xml:space="preserve"> “DESCRIPCIÓN CLARA Y PRECISA DE LA INFORMACIÓN SOLICITADA</w:t>
      </w:r>
    </w:p>
    <w:p w:rsidR="00E21458" w:rsidRDefault="00376B19">
      <w:pPr>
        <w:tabs>
          <w:tab w:val="left" w:pos="567"/>
        </w:tabs>
        <w:ind w:left="567" w:right="567"/>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 xml:space="preserve">Presupuesto otorgado y ejercido para el programa o como sea que le denomínele a través de que se atiende el *7311 </w:t>
      </w:r>
      <w:proofErr w:type="spellStart"/>
      <w:r>
        <w:rPr>
          <w:rFonts w:ascii="Palatino Linotype" w:eastAsia="Palatino Linotype" w:hAnsi="Palatino Linotype" w:cs="Palatino Linotype"/>
          <w:i/>
          <w:iCs/>
          <w:sz w:val="20"/>
          <w:szCs w:val="20"/>
        </w:rPr>
        <w:t>ademas</w:t>
      </w:r>
      <w:proofErr w:type="spellEnd"/>
      <w:r>
        <w:rPr>
          <w:rFonts w:ascii="Palatino Linotype" w:eastAsia="Palatino Linotype" w:hAnsi="Palatino Linotype" w:cs="Palatino Linotype"/>
          <w:i/>
          <w:iCs/>
          <w:sz w:val="20"/>
          <w:szCs w:val="20"/>
        </w:rPr>
        <w:t xml:space="preserve"> saber quién lo opera como funciona y desde cuando se instauro y hasta cuando funcionara ya que he hecho varios reportes y no me atienden o me dan largas o me evaden”</w:t>
      </w:r>
    </w:p>
    <w:p w:rsidR="00E21458" w:rsidRDefault="00E21458">
      <w:pPr>
        <w:tabs>
          <w:tab w:val="left" w:pos="567"/>
        </w:tabs>
        <w:ind w:left="567" w:right="567"/>
        <w:rPr>
          <w:rFonts w:ascii="Palatino Linotype" w:eastAsia="Palatino Linotype" w:hAnsi="Palatino Linotype" w:cs="Palatino Linotype"/>
          <w:i/>
          <w:iCs/>
          <w:sz w:val="20"/>
          <w:szCs w:val="20"/>
        </w:rPr>
      </w:pPr>
    </w:p>
    <w:p w:rsidR="00E21458" w:rsidRDefault="00376B19">
      <w:pPr>
        <w:tabs>
          <w:tab w:val="left" w:pos="4667"/>
        </w:tabs>
        <w:ind w:left="567" w:right="567"/>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 xml:space="preserve">“Modalidad de Entrega: </w:t>
      </w:r>
    </w:p>
    <w:p w:rsidR="00E21458" w:rsidRDefault="00376B19">
      <w:pPr>
        <w:tabs>
          <w:tab w:val="left" w:pos="567"/>
        </w:tabs>
        <w:ind w:left="567" w:right="567"/>
        <w:rPr>
          <w:rFonts w:ascii="Palatino Linotype" w:eastAsia="Palatino Linotype" w:hAnsi="Palatino Linotype" w:cs="Palatino Linotype"/>
          <w:i/>
          <w:iCs/>
          <w:sz w:val="20"/>
          <w:szCs w:val="20"/>
        </w:rPr>
      </w:pPr>
      <w:r>
        <w:rPr>
          <w:rFonts w:ascii="Palatino Linotype" w:eastAsia="Palatino Linotype" w:hAnsi="Palatino Linotype" w:cs="Palatino Linotype"/>
          <w:b/>
          <w:bCs/>
          <w:i/>
          <w:iCs/>
          <w:sz w:val="20"/>
          <w:szCs w:val="20"/>
        </w:rPr>
        <w:t xml:space="preserve"> </w:t>
      </w:r>
      <w:r>
        <w:rPr>
          <w:rFonts w:ascii="Palatino Linotype" w:eastAsia="Palatino Linotype" w:hAnsi="Palatino Linotype" w:cs="Palatino Linotype"/>
          <w:i/>
          <w:iCs/>
          <w:sz w:val="20"/>
          <w:szCs w:val="20"/>
        </w:rPr>
        <w:t>A través de SAIMEX”</w:t>
      </w:r>
    </w:p>
    <w:p w:rsidR="00E21458" w:rsidRPr="009431FC" w:rsidRDefault="00E21458" w:rsidP="009431FC">
      <w:pPr>
        <w:pStyle w:val="Ttulo2"/>
        <w:spacing w:before="0" w:after="0"/>
        <w:rPr>
          <w:rFonts w:ascii="Palatino Linotype" w:eastAsia="Palatino Linotype" w:hAnsi="Palatino Linotype" w:cs="Palatino Linotype"/>
          <w:color w:val="000000"/>
          <w:sz w:val="22"/>
          <w:szCs w:val="22"/>
        </w:rPr>
      </w:pPr>
    </w:p>
    <w:p w:rsidR="00E21458" w:rsidRPr="009431FC" w:rsidRDefault="00376B19" w:rsidP="009431FC">
      <w:pPr>
        <w:pStyle w:val="Ttulo2"/>
        <w:spacing w:before="0" w:after="0"/>
        <w:rPr>
          <w:rFonts w:ascii="Palatino Linotype" w:eastAsia="Palatino Linotype" w:hAnsi="Palatino Linotype" w:cs="Palatino Linotype"/>
          <w:color w:val="000000"/>
          <w:sz w:val="22"/>
          <w:szCs w:val="22"/>
        </w:rPr>
      </w:pPr>
      <w:bookmarkStart w:id="4" w:name="_heading=h.mzx7aajkm4tb" w:colFirst="0" w:colLast="0"/>
      <w:bookmarkStart w:id="5" w:name="_Toc215759134"/>
      <w:bookmarkEnd w:id="4"/>
      <w:r w:rsidRPr="009431FC">
        <w:rPr>
          <w:rFonts w:ascii="Palatino Linotype" w:eastAsia="Palatino Linotype" w:hAnsi="Palatino Linotype" w:cs="Palatino Linotype"/>
          <w:color w:val="000000"/>
          <w:sz w:val="22"/>
          <w:szCs w:val="22"/>
        </w:rPr>
        <w:t>II. Respuestas del Sujeto Obligado</w:t>
      </w:r>
      <w:bookmarkEnd w:id="5"/>
    </w:p>
    <w:p w:rsidR="00E21458" w:rsidRDefault="00E21458">
      <w:pPr>
        <w:tabs>
          <w:tab w:val="left" w:pos="4667"/>
        </w:tabs>
        <w:ind w:right="567"/>
        <w:rPr>
          <w:rFonts w:ascii="Palatino Linotype" w:eastAsia="Palatino Linotype" w:hAnsi="Palatino Linotype" w:cs="Palatino Linotype"/>
          <w:b/>
          <w:bCs/>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Con fecha veintiuno de mayo de dos mil veinticinco, el</w:t>
      </w:r>
      <w:r>
        <w:rPr>
          <w:rFonts w:ascii="Palatino Linotype" w:eastAsia="Palatino Linotype" w:hAnsi="Palatino Linotype" w:cs="Palatino Linotype"/>
          <w:b/>
          <w:bCs/>
        </w:rPr>
        <w:t xml:space="preserve"> </w:t>
      </w:r>
      <w:r>
        <w:rPr>
          <w:rFonts w:ascii="Palatino Linotype" w:eastAsia="Palatino Linotype" w:hAnsi="Palatino Linotype" w:cs="Palatino Linotype"/>
        </w:rPr>
        <w:t>Sujeto Obligado dio respuesta a la solicitud de acceso a la información a través del Sistema de Acceso a la Información Mexiquense (SAIMEX), a través de la digitalización de los siguientes documentos:</w:t>
      </w:r>
    </w:p>
    <w:p w:rsidR="00E21458" w:rsidRDefault="00E21458">
      <w:pPr>
        <w:rPr>
          <w:rFonts w:ascii="Palatino Linotype" w:eastAsia="Palatino Linotype" w:hAnsi="Palatino Linotype" w:cs="Palatino Linotype"/>
          <w:color w:val="FF0000"/>
        </w:rPr>
      </w:pPr>
    </w:p>
    <w:p w:rsidR="00E21458" w:rsidRDefault="00376B19">
      <w:pPr>
        <w:rPr>
          <w:rFonts w:ascii="Palatino Linotype" w:eastAsia="Palatino Linotype" w:hAnsi="Palatino Linotype" w:cs="Palatino Linotype"/>
        </w:rPr>
      </w:pPr>
      <w:bookmarkStart w:id="6" w:name="_heading=h.biix606hnmra" w:colFirst="0" w:colLast="0"/>
      <w:bookmarkEnd w:id="6"/>
      <w:r>
        <w:rPr>
          <w:rFonts w:ascii="Palatino Linotype" w:eastAsia="Palatino Linotype" w:hAnsi="Palatino Linotype" w:cs="Palatino Linotype"/>
        </w:rPr>
        <w:t>i. Oficio TM/0615/2025 del doce de mayo de dos mil veinticinco, suscrito por el Tesorero Municipal,  y dirigido al Titular de la Unidad de Transparencia y Acceso a la Información Pública, por medio del cual se menciona lo siguiente:</w:t>
      </w:r>
    </w:p>
    <w:p w:rsidR="00E21458" w:rsidRDefault="00E21458">
      <w:pPr>
        <w:rPr>
          <w:rFonts w:ascii="Palatino Linotype" w:eastAsia="Palatino Linotype" w:hAnsi="Palatino Linotype" w:cs="Palatino Linotype"/>
        </w:rPr>
      </w:pPr>
    </w:p>
    <w:p w:rsidR="00E21458" w:rsidRDefault="00376B19">
      <w:pPr>
        <w:tabs>
          <w:tab w:val="left" w:pos="567"/>
        </w:tabs>
        <w:ind w:left="567" w:right="567"/>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w:t>
      </w:r>
    </w:p>
    <w:p w:rsidR="00E21458" w:rsidRDefault="00376B19">
      <w:pPr>
        <w:tabs>
          <w:tab w:val="left" w:pos="567"/>
        </w:tabs>
        <w:ind w:left="567" w:right="567"/>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 xml:space="preserve">Con la finalidad de atender su solicitud, y respecto a la información que le compete a la tesorería, una vez analizado se informa la obligación de publicar el Estado Analítico del Ejercicio del Presupuesto por clasificación por lo que se proporciona el enlace en el que se puede llevar a cabo la consulta y  reproducción de la información a través de  </w:t>
      </w:r>
      <w:hyperlink r:id="rId9" w:anchor="cuerpo">
        <w:r>
          <w:rPr>
            <w:rFonts w:ascii="Palatino Linotype" w:eastAsia="Palatino Linotype" w:hAnsi="Palatino Linotype" w:cs="Palatino Linotype"/>
            <w:i/>
            <w:iCs/>
            <w:color w:val="0000FF"/>
            <w:sz w:val="20"/>
            <w:szCs w:val="20"/>
            <w:u w:val="single"/>
          </w:rPr>
          <w:t>https://metepec.gob.mx/pagina/archivo-municipal.php#cuerpo</w:t>
        </w:r>
      </w:hyperlink>
      <w:r>
        <w:rPr>
          <w:rFonts w:ascii="Palatino Linotype" w:eastAsia="Palatino Linotype" w:hAnsi="Palatino Linotype" w:cs="Palatino Linotype"/>
          <w:i/>
          <w:iCs/>
          <w:sz w:val="20"/>
          <w:szCs w:val="20"/>
        </w:rPr>
        <w:t>, Al mismo tiempo anexo una guía que deberá de seguir para acceder a la información.</w:t>
      </w:r>
    </w:p>
    <w:p w:rsidR="00E21458" w:rsidRDefault="00376B19">
      <w:pPr>
        <w:tabs>
          <w:tab w:val="left" w:pos="567"/>
        </w:tabs>
        <w:ind w:left="567" w:right="567"/>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 (Sic)</w:t>
      </w:r>
    </w:p>
    <w:p w:rsidR="00E21458" w:rsidRDefault="00E21458">
      <w:pPr>
        <w:rPr>
          <w:rFonts w:ascii="Palatino Linotype" w:eastAsia="Palatino Linotype" w:hAnsi="Palatino Linotype" w:cs="Palatino Linotype"/>
          <w:color w:val="FF0000"/>
          <w:sz w:val="20"/>
          <w:szCs w:val="20"/>
        </w:rPr>
      </w:pPr>
    </w:p>
    <w:p w:rsidR="00E21458" w:rsidRDefault="00376B19">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ii. Oficio MET/GC/0323/2025 del veintiuno de mayo de dos mil veinticinco, suscrito por la Directora de Gerencia de la Ciudad, dirigido al Titular de la Unidad de Transparencia y Acceso a la Información Pública, por medio del cual se menciona lo siguiente:</w:t>
      </w:r>
    </w:p>
    <w:p w:rsidR="00E21458" w:rsidRDefault="00E21458">
      <w:pPr>
        <w:rPr>
          <w:rFonts w:ascii="Palatino Linotype" w:eastAsia="Palatino Linotype" w:hAnsi="Palatino Linotype" w:cs="Palatino Linotype"/>
          <w:sz w:val="20"/>
          <w:szCs w:val="20"/>
        </w:rPr>
      </w:pPr>
    </w:p>
    <w:p w:rsidR="00E21458" w:rsidRDefault="00376B19">
      <w:pPr>
        <w:tabs>
          <w:tab w:val="left" w:pos="567"/>
        </w:tabs>
        <w:ind w:left="567" w:right="567"/>
        <w:rPr>
          <w:rFonts w:ascii="Palatino Linotype" w:eastAsia="Palatino Linotype" w:hAnsi="Palatino Linotype" w:cs="Palatino Linotype"/>
          <w:i/>
          <w:iCs/>
          <w:sz w:val="20"/>
          <w:szCs w:val="20"/>
        </w:rPr>
      </w:pPr>
      <w:r>
        <w:rPr>
          <w:rFonts w:ascii="Palatino Linotype" w:eastAsia="Palatino Linotype" w:hAnsi="Palatino Linotype" w:cs="Palatino Linotype"/>
          <w:i/>
          <w:iCs/>
          <w:sz w:val="20"/>
          <w:szCs w:val="20"/>
        </w:rPr>
        <w:t xml:space="preserve">“…Con relación al presupuesto otorgado y ejercido para el desarrollo y operación del sistema informático de gestión, seguimiento y solicitudes ciudadanas de Metepec (METEPEC*7311), esta </w:t>
      </w:r>
      <w:r>
        <w:rPr>
          <w:rFonts w:ascii="Palatino Linotype" w:eastAsia="Palatino Linotype" w:hAnsi="Palatino Linotype" w:cs="Palatino Linotype"/>
          <w:i/>
          <w:iCs/>
          <w:sz w:val="20"/>
          <w:szCs w:val="20"/>
        </w:rPr>
        <w:lastRenderedPageBreak/>
        <w:t>dirección no cuenta con las atribuciones para emitir opinión o proporcionar información, ya que le corresponde a la Tesorería, Cabe señalar que la Gerencia de la Ciudad opera como instancia ejecutiva encargada de coordinar y supervisar los servicios públicos con el propósito de mejorar la atención ciudadana, Respecto a su origen la gerencia de la ciudad fue instaurada en 2022, como parte de la disposición en el bando municipal, durante la administración del presidente Fernando Flores Fernández, y continua operando de manera activa bajo la administración actual 2025.2027…” (Sic)</w:t>
      </w:r>
    </w:p>
    <w:p w:rsidR="00E21458" w:rsidRDefault="00E21458">
      <w:pPr>
        <w:tabs>
          <w:tab w:val="left" w:pos="567"/>
        </w:tabs>
        <w:ind w:right="567"/>
        <w:rPr>
          <w:rFonts w:ascii="Palatino Linotype" w:eastAsia="Palatino Linotype" w:hAnsi="Palatino Linotype" w:cs="Palatino Linotype"/>
          <w:sz w:val="20"/>
          <w:szCs w:val="20"/>
        </w:rPr>
      </w:pPr>
    </w:p>
    <w:p w:rsidR="00E21458" w:rsidRDefault="00E21458">
      <w:pPr>
        <w:tabs>
          <w:tab w:val="left" w:pos="567"/>
        </w:tabs>
        <w:ind w:right="567"/>
        <w:rPr>
          <w:rFonts w:ascii="Palatino Linotype" w:eastAsia="Palatino Linotype" w:hAnsi="Palatino Linotype" w:cs="Palatino Linotype"/>
          <w:i/>
          <w:iCs/>
          <w:sz w:val="20"/>
          <w:szCs w:val="20"/>
        </w:rPr>
      </w:pPr>
    </w:p>
    <w:p w:rsidR="00E21458" w:rsidRPr="009431FC" w:rsidRDefault="00376B19" w:rsidP="009431FC">
      <w:pPr>
        <w:pStyle w:val="Ttulo2"/>
        <w:spacing w:before="0" w:after="0"/>
        <w:rPr>
          <w:rFonts w:ascii="Palatino Linotype" w:eastAsia="Palatino Linotype" w:hAnsi="Palatino Linotype" w:cs="Palatino Linotype"/>
          <w:color w:val="000000"/>
          <w:sz w:val="22"/>
          <w:szCs w:val="22"/>
        </w:rPr>
      </w:pPr>
      <w:bookmarkStart w:id="7" w:name="_heading=h.y1ca4xellhhx" w:colFirst="0" w:colLast="0"/>
      <w:bookmarkStart w:id="8" w:name="_Toc215759135"/>
      <w:bookmarkEnd w:id="7"/>
      <w:r w:rsidRPr="009431FC">
        <w:rPr>
          <w:rFonts w:ascii="Palatino Linotype" w:eastAsia="Palatino Linotype" w:hAnsi="Palatino Linotype" w:cs="Palatino Linotype"/>
          <w:color w:val="000000"/>
          <w:sz w:val="22"/>
          <w:szCs w:val="22"/>
        </w:rPr>
        <w:t>III. Interposición del Recurso de Revisión</w:t>
      </w:r>
      <w:bookmarkEnd w:id="8"/>
    </w:p>
    <w:p w:rsidR="00E21458" w:rsidRDefault="00E21458">
      <w:pPr>
        <w:rPr>
          <w:rFonts w:ascii="Palatino Linotype" w:eastAsia="Palatino Linotype" w:hAnsi="Palatino Linotype" w:cs="Palatino Linotype"/>
          <w:color w:val="FF0000"/>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El dos de junio de dos mil veinticinco, se recibió en este Instituto, a través del Sistema de Acceso a la Información Mexiquense (SAIMEX), el Recurso de Revisión interpuesto por la persona Recurrente, en contra de la respuesta del Sujeto Obligado, en los siguientes términos:</w:t>
      </w:r>
    </w:p>
    <w:p w:rsidR="00E21458" w:rsidRDefault="00E21458">
      <w:pPr>
        <w:rPr>
          <w:rFonts w:ascii="Palatino Linotype" w:eastAsia="Palatino Linotype" w:hAnsi="Palatino Linotype" w:cs="Palatino Linotype"/>
          <w:b/>
          <w:bCs/>
        </w:rPr>
      </w:pPr>
    </w:p>
    <w:p w:rsidR="00E21458" w:rsidRDefault="00376B19">
      <w:pPr>
        <w:ind w:left="567" w:right="567"/>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“ACTO IMPUGNADO</w:t>
      </w:r>
    </w:p>
    <w:p w:rsidR="00E21458" w:rsidRDefault="00376B19">
      <w:pPr>
        <w:ind w:left="567" w:right="567"/>
        <w:rPr>
          <w:rFonts w:ascii="Palatino Linotype" w:eastAsia="Palatino Linotype" w:hAnsi="Palatino Linotype" w:cs="Palatino Linotype"/>
          <w:i/>
          <w:iCs/>
          <w:sz w:val="20"/>
          <w:szCs w:val="20"/>
        </w:rPr>
      </w:pPr>
      <w:proofErr w:type="gramStart"/>
      <w:r>
        <w:rPr>
          <w:rFonts w:ascii="Palatino Linotype" w:eastAsia="Palatino Linotype" w:hAnsi="Palatino Linotype" w:cs="Palatino Linotype"/>
          <w:i/>
          <w:iCs/>
          <w:sz w:val="20"/>
          <w:szCs w:val="20"/>
        </w:rPr>
        <w:t>niegan</w:t>
      </w:r>
      <w:proofErr w:type="gramEnd"/>
      <w:r>
        <w:rPr>
          <w:rFonts w:ascii="Palatino Linotype" w:eastAsia="Palatino Linotype" w:hAnsi="Palatino Linotype" w:cs="Palatino Linotype"/>
          <w:i/>
          <w:iCs/>
          <w:sz w:val="20"/>
          <w:szCs w:val="20"/>
        </w:rPr>
        <w:t xml:space="preserve"> la información solicitada información incompleta” </w:t>
      </w:r>
    </w:p>
    <w:p w:rsidR="00E21458" w:rsidRDefault="00E21458">
      <w:pPr>
        <w:ind w:left="567" w:right="567"/>
        <w:rPr>
          <w:rFonts w:ascii="Palatino Linotype" w:eastAsia="Palatino Linotype" w:hAnsi="Palatino Linotype" w:cs="Palatino Linotype"/>
          <w:b/>
          <w:bCs/>
          <w:i/>
          <w:iCs/>
          <w:sz w:val="20"/>
          <w:szCs w:val="20"/>
        </w:rPr>
      </w:pPr>
    </w:p>
    <w:p w:rsidR="00E21458" w:rsidRDefault="00376B19">
      <w:pPr>
        <w:ind w:left="567" w:right="567"/>
        <w:rPr>
          <w:rFonts w:ascii="Palatino Linotype" w:eastAsia="Palatino Linotype" w:hAnsi="Palatino Linotype" w:cs="Palatino Linotype"/>
          <w:b/>
          <w:bCs/>
          <w:i/>
          <w:iCs/>
          <w:sz w:val="20"/>
          <w:szCs w:val="20"/>
        </w:rPr>
      </w:pPr>
      <w:r>
        <w:rPr>
          <w:rFonts w:ascii="Palatino Linotype" w:eastAsia="Palatino Linotype" w:hAnsi="Palatino Linotype" w:cs="Palatino Linotype"/>
          <w:b/>
          <w:bCs/>
          <w:i/>
          <w:iCs/>
          <w:sz w:val="20"/>
          <w:szCs w:val="20"/>
        </w:rPr>
        <w:t>“RAZONES O MOTIVOS DE LA INCONFORMIDAD</w:t>
      </w:r>
    </w:p>
    <w:p w:rsidR="00E21458" w:rsidRDefault="00376B19">
      <w:pPr>
        <w:ind w:left="567" w:right="567"/>
        <w:rPr>
          <w:rFonts w:ascii="Palatino Linotype" w:eastAsia="Palatino Linotype" w:hAnsi="Palatino Linotype" w:cs="Palatino Linotype"/>
          <w:i/>
          <w:iCs/>
          <w:sz w:val="20"/>
          <w:szCs w:val="20"/>
        </w:rPr>
      </w:pPr>
      <w:proofErr w:type="gramStart"/>
      <w:r>
        <w:rPr>
          <w:rFonts w:ascii="Palatino Linotype" w:eastAsia="Palatino Linotype" w:hAnsi="Palatino Linotype" w:cs="Palatino Linotype"/>
          <w:i/>
          <w:iCs/>
          <w:sz w:val="20"/>
          <w:szCs w:val="20"/>
        </w:rPr>
        <w:t>niegan</w:t>
      </w:r>
      <w:proofErr w:type="gramEnd"/>
      <w:r>
        <w:rPr>
          <w:rFonts w:ascii="Palatino Linotype" w:eastAsia="Palatino Linotype" w:hAnsi="Palatino Linotype" w:cs="Palatino Linotype"/>
          <w:i/>
          <w:iCs/>
          <w:sz w:val="20"/>
          <w:szCs w:val="20"/>
        </w:rPr>
        <w:t xml:space="preserve"> la información solicitada información incompleta” (Sic)</w:t>
      </w:r>
    </w:p>
    <w:p w:rsidR="00E21458" w:rsidRDefault="00E21458">
      <w:pPr>
        <w:rPr>
          <w:rFonts w:ascii="Palatino Linotype" w:eastAsia="Palatino Linotype" w:hAnsi="Palatino Linotype" w:cs="Palatino Linotype"/>
        </w:rPr>
      </w:pPr>
    </w:p>
    <w:p w:rsidR="00E21458" w:rsidRPr="009431FC" w:rsidRDefault="00376B19" w:rsidP="009431FC">
      <w:pPr>
        <w:pStyle w:val="Ttulo2"/>
        <w:spacing w:before="0" w:after="0"/>
        <w:rPr>
          <w:rFonts w:ascii="Palatino Linotype" w:eastAsia="Palatino Linotype" w:hAnsi="Palatino Linotype" w:cs="Palatino Linotype"/>
          <w:color w:val="000000"/>
          <w:sz w:val="22"/>
          <w:szCs w:val="22"/>
        </w:rPr>
      </w:pPr>
      <w:bookmarkStart w:id="9" w:name="_heading=h.7l5nwr83aa94" w:colFirst="0" w:colLast="0"/>
      <w:bookmarkStart w:id="10" w:name="_Toc215759136"/>
      <w:bookmarkEnd w:id="9"/>
      <w:r w:rsidRPr="009431FC">
        <w:rPr>
          <w:rFonts w:ascii="Palatino Linotype" w:eastAsia="Palatino Linotype" w:hAnsi="Palatino Linotype" w:cs="Palatino Linotype"/>
          <w:color w:val="000000"/>
          <w:sz w:val="22"/>
          <w:szCs w:val="22"/>
        </w:rPr>
        <w:t>IV. Trámite del Recurso de Revisión ante este Instituto</w:t>
      </w:r>
      <w:bookmarkEnd w:id="10"/>
    </w:p>
    <w:p w:rsidR="009431FC" w:rsidRPr="009431FC" w:rsidRDefault="009431FC" w:rsidP="009431FC">
      <w:pPr>
        <w:keepNext/>
        <w:keepLines/>
        <w:rPr>
          <w:rFonts w:ascii="Palatino Linotype" w:eastAsia="Palatino Linotype" w:hAnsi="Palatino Linotype" w:cs="Palatino Linotype"/>
          <w:b/>
          <w:bCs/>
        </w:rPr>
      </w:pPr>
    </w:p>
    <w:p w:rsidR="00E21458" w:rsidRDefault="00376B19">
      <w:pPr>
        <w:rPr>
          <w:rFonts w:ascii="Palatino Linotype" w:eastAsia="Palatino Linotype" w:hAnsi="Palatino Linotype" w:cs="Palatino Linotype"/>
        </w:rPr>
      </w:pPr>
      <w:bookmarkStart w:id="11" w:name="_heading=h.ur8fta6z39ys" w:colFirst="0" w:colLast="0"/>
      <w:bookmarkEnd w:id="11"/>
      <w:r>
        <w:rPr>
          <w:rFonts w:ascii="Palatino Linotype" w:eastAsia="Palatino Linotype" w:hAnsi="Palatino Linotype" w:cs="Palatino Linotype"/>
          <w:b/>
          <w:bCs/>
        </w:rPr>
        <w:t>a) Turno del Medio de Impugnación.</w:t>
      </w:r>
      <w:r>
        <w:rPr>
          <w:rFonts w:ascii="Palatino Linotype" w:eastAsia="Palatino Linotype" w:hAnsi="Palatino Linotype" w:cs="Palatino Linotype"/>
        </w:rPr>
        <w:t xml:space="preserve"> El dos de junio de dos mil veinticinco, el Sistema de Acceso a la Información Mexiquense (SAIMEX), asignó el número de expediente </w:t>
      </w:r>
      <w:r>
        <w:rPr>
          <w:rFonts w:ascii="Palatino Linotype" w:eastAsia="Palatino Linotype" w:hAnsi="Palatino Linotype" w:cs="Palatino Linotype"/>
          <w:b/>
          <w:bCs/>
        </w:rPr>
        <w:lastRenderedPageBreak/>
        <w:t>06361/INFOEM/IP/RR/2025</w:t>
      </w:r>
      <w:r>
        <w:rPr>
          <w:rFonts w:ascii="Palatino Linotype" w:eastAsia="Palatino Linotype" w:hAnsi="Palatino Linotype" w:cs="Palatino Linotype"/>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bookmarkStart w:id="12" w:name="_heading=h.k0yxov23x571" w:colFirst="0" w:colLast="0"/>
      <w:bookmarkEnd w:id="12"/>
      <w:r>
        <w:rPr>
          <w:rFonts w:ascii="Palatino Linotype" w:eastAsia="Palatino Linotype" w:hAnsi="Palatino Linotype" w:cs="Palatino Linotype"/>
          <w:b/>
          <w:bCs/>
        </w:rPr>
        <w:t xml:space="preserve">b) Admisión del Recurso de Revisión. </w:t>
      </w:r>
      <w:r>
        <w:rPr>
          <w:rFonts w:ascii="Palatino Linotype" w:eastAsia="Palatino Linotype" w:hAnsi="Palatino Linotype" w:cs="Palatino Linotype"/>
        </w:rPr>
        <w:t xml:space="preserve">El cinco de junio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 </w:t>
      </w:r>
    </w:p>
    <w:p w:rsidR="00E21458" w:rsidRDefault="00E21458">
      <w:pPr>
        <w:widowControl w:val="0"/>
        <w:rPr>
          <w:rFonts w:ascii="Palatino Linotype" w:eastAsia="Palatino Linotype" w:hAnsi="Palatino Linotype" w:cs="Palatino Linotype"/>
          <w:b/>
          <w:bCs/>
          <w:color w:val="FF0000"/>
        </w:rPr>
      </w:pPr>
    </w:p>
    <w:p w:rsidR="00E21458" w:rsidRDefault="00376B19">
      <w:pPr>
        <w:rPr>
          <w:rFonts w:ascii="Palatino Linotype" w:eastAsia="Palatino Linotype" w:hAnsi="Palatino Linotype" w:cs="Palatino Linotype"/>
        </w:rPr>
      </w:pPr>
      <w:bookmarkStart w:id="13" w:name="_heading=h.mvmgvwrqm5r5" w:colFirst="0" w:colLast="0"/>
      <w:bookmarkEnd w:id="13"/>
      <w:r>
        <w:rPr>
          <w:rFonts w:ascii="Palatino Linotype" w:eastAsia="Palatino Linotype" w:hAnsi="Palatino Linotype" w:cs="Palatino Linotype"/>
          <w:b/>
          <w:bCs/>
        </w:rPr>
        <w:t>d) Informe Justificado.</w:t>
      </w:r>
      <w:r>
        <w:rPr>
          <w:rFonts w:ascii="Palatino Linotype" w:eastAsia="Palatino Linotype" w:hAnsi="Palatino Linotype" w:cs="Palatino Linotype"/>
        </w:rPr>
        <w:t xml:space="preserve"> El nueve y doce de junio de dos mil veinticinco, a través del Sistema de Acceso a la Información Mexiquense (SAIMEX), se recibió en este Instituto el informe justificado por parte del Sujeto Obligado, por medio del cual adjunto tres oficios de la misma fecha, suscrito por el Tesorero Municipal, Directora de Gerencia de la Ciudad y dirigido al Titular de la Unidad de Transparencia y Acceso a la Información, por medio del cual de manera medular ratifico su respuesta.</w:t>
      </w:r>
    </w:p>
    <w:p w:rsidR="00E21458" w:rsidRDefault="00E21458">
      <w:pPr>
        <w:rPr>
          <w:rFonts w:ascii="Palatino Linotype" w:eastAsia="Palatino Linotype" w:hAnsi="Palatino Linotype" w:cs="Palatino Linotype"/>
        </w:rPr>
      </w:pPr>
    </w:p>
    <w:p w:rsidR="00E21458" w:rsidRPr="00D50ECE" w:rsidRDefault="00376B19">
      <w:pPr>
        <w:rPr>
          <w:rFonts w:ascii="Palatino Linotype" w:eastAsia="Palatino Linotype" w:hAnsi="Palatino Linotype" w:cs="Palatino Linotype"/>
        </w:rPr>
      </w:pPr>
      <w:r>
        <w:rPr>
          <w:rFonts w:ascii="Palatino Linotype" w:eastAsia="Palatino Linotype" w:hAnsi="Palatino Linotype" w:cs="Palatino Linotype"/>
          <w:b/>
          <w:bCs/>
        </w:rPr>
        <w:t>e) Vista del Informe Justificado.</w:t>
      </w:r>
      <w:r>
        <w:rPr>
          <w:rFonts w:ascii="Palatino Linotype" w:eastAsia="Palatino Linotype" w:hAnsi="Palatino Linotype" w:cs="Palatino Linotype"/>
        </w:rPr>
        <w:t xml:space="preserve"> El veintiséis de noviembre de dos mil veinticinco, se dictó acuerdo por medio del cual se puso a la vista de la persona Recurrente el Informe Justificado entregado por el Sujeto Obligado, el cual fue notificado a las partes, el mismo día, a través del Sistema de Acceso a la Información Mexiquense (SAIMEX). </w:t>
      </w:r>
      <w:r>
        <w:rPr>
          <w:rFonts w:ascii="Palatino Linotype" w:eastAsia="Palatino Linotype" w:hAnsi="Palatino Linotype" w:cs="Palatino Linotype"/>
          <w:b/>
          <w:bCs/>
        </w:rPr>
        <w:t>Cabe señalar que el Particular fue omiso e</w:t>
      </w:r>
      <w:r w:rsidR="00D50ECE">
        <w:rPr>
          <w:rFonts w:ascii="Palatino Linotype" w:eastAsia="Palatino Linotype" w:hAnsi="Palatino Linotype" w:cs="Palatino Linotype"/>
          <w:b/>
          <w:bCs/>
        </w:rPr>
        <w:t>n realizar manifestación alguna</w:t>
      </w:r>
    </w:p>
    <w:p w:rsidR="009431FC" w:rsidRDefault="00D50ECE" w:rsidP="009431FC">
      <w:pPr>
        <w:tabs>
          <w:tab w:val="left" w:pos="4667"/>
        </w:tabs>
        <w:rPr>
          <w:color w:val="000000"/>
        </w:rPr>
      </w:pPr>
      <w:r>
        <w:rPr>
          <w:rFonts w:ascii="Palatino Linotype" w:hAnsi="Palatino Linotype"/>
          <w:b/>
          <w:bCs/>
          <w:color w:val="000000"/>
        </w:rPr>
        <w:lastRenderedPageBreak/>
        <w:t>f</w:t>
      </w:r>
      <w:r w:rsidR="009431FC" w:rsidRPr="009431FC">
        <w:rPr>
          <w:rFonts w:ascii="Palatino Linotype" w:hAnsi="Palatino Linotype"/>
          <w:b/>
          <w:bCs/>
          <w:color w:val="000000"/>
        </w:rPr>
        <w:t>) Ampliación de plazo para resolver.</w:t>
      </w:r>
      <w:r w:rsidR="009431FC">
        <w:rPr>
          <w:color w:val="000000"/>
        </w:rPr>
        <w:t xml:space="preserve"> </w:t>
      </w:r>
      <w:r w:rsidR="009431FC" w:rsidRPr="009431FC">
        <w:rPr>
          <w:rFonts w:ascii="Palatino Linotype" w:hAnsi="Palatino Linotype"/>
          <w:color w:val="000000"/>
        </w:rPr>
        <w:t>El v</w:t>
      </w:r>
      <w:r w:rsidR="009431FC" w:rsidRPr="009431FC">
        <w:rPr>
          <w:rFonts w:ascii="Palatino Linotype" w:hAnsi="Palatino Linotype"/>
        </w:rPr>
        <w:t>eintisiete</w:t>
      </w:r>
      <w:r w:rsidR="009431FC" w:rsidRPr="009431FC">
        <w:rPr>
          <w:rFonts w:ascii="Palatino Linotype" w:hAnsi="Palatino Linotype"/>
          <w:color w:val="000000"/>
        </w:rPr>
        <w:t xml:space="preserve">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rsidR="009431FC" w:rsidRDefault="009431FC">
      <w:pPr>
        <w:rPr>
          <w:rFonts w:ascii="Palatino Linotype" w:eastAsia="Palatino Linotype" w:hAnsi="Palatino Linotype" w:cs="Palatino Linotype"/>
          <w:b/>
          <w:bCs/>
          <w:color w:val="FF0000"/>
        </w:rPr>
      </w:pPr>
    </w:p>
    <w:p w:rsidR="00E21458" w:rsidRDefault="00D50ECE">
      <w:pPr>
        <w:widowControl w:val="0"/>
        <w:rPr>
          <w:rFonts w:ascii="Palatino Linotype" w:eastAsia="Palatino Linotype" w:hAnsi="Palatino Linotype" w:cs="Palatino Linotype"/>
        </w:rPr>
      </w:pPr>
      <w:bookmarkStart w:id="14" w:name="_heading=h.i6vndrqq1tfz" w:colFirst="0" w:colLast="0"/>
      <w:bookmarkEnd w:id="14"/>
      <w:r>
        <w:rPr>
          <w:rFonts w:ascii="Palatino Linotype" w:eastAsia="Palatino Linotype" w:hAnsi="Palatino Linotype" w:cs="Palatino Linotype"/>
          <w:b/>
          <w:bCs/>
        </w:rPr>
        <w:t>g</w:t>
      </w:r>
      <w:r w:rsidR="00376B19">
        <w:rPr>
          <w:rFonts w:ascii="Palatino Linotype" w:eastAsia="Palatino Linotype" w:hAnsi="Palatino Linotype" w:cs="Palatino Linotype"/>
          <w:b/>
          <w:bCs/>
        </w:rPr>
        <w:t>) Cierre de instrucción.</w:t>
      </w:r>
      <w:r w:rsidR="00376B19">
        <w:rPr>
          <w:rFonts w:ascii="Palatino Linotype" w:eastAsia="Palatino Linotype" w:hAnsi="Palatino Linotype" w:cs="Palatino Linotype"/>
        </w:rPr>
        <w:t xml:space="preserve"> El tres de diciembre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 integrado el expediente electrónico y no existe diligencia pendiente de desahogo, se emite la resolución que conforme a Derecho proceda, de acuerdo a los siguientes:</w:t>
      </w:r>
    </w:p>
    <w:p w:rsidR="00E21458" w:rsidRDefault="00E21458">
      <w:pPr>
        <w:rPr>
          <w:rFonts w:ascii="Palatino Linotype" w:eastAsia="Palatino Linotype" w:hAnsi="Palatino Linotype" w:cs="Palatino Linotype"/>
          <w:color w:val="FF0000"/>
        </w:rPr>
      </w:pPr>
    </w:p>
    <w:p w:rsidR="00E21458" w:rsidRPr="009431FC" w:rsidRDefault="00376B19" w:rsidP="009431FC">
      <w:pPr>
        <w:pStyle w:val="Ttulo1"/>
        <w:spacing w:before="0" w:after="0"/>
        <w:jc w:val="center"/>
        <w:rPr>
          <w:rFonts w:ascii="Palatino Linotype" w:eastAsia="Palatino Linotype" w:hAnsi="Palatino Linotype" w:cs="Palatino Linotype"/>
          <w:color w:val="000000"/>
          <w:sz w:val="22"/>
          <w:szCs w:val="22"/>
        </w:rPr>
      </w:pPr>
      <w:bookmarkStart w:id="15" w:name="_heading=h.mb4qxbglgzd6" w:colFirst="0" w:colLast="0"/>
      <w:bookmarkStart w:id="16" w:name="_Toc215759137"/>
      <w:bookmarkEnd w:id="15"/>
      <w:r w:rsidRPr="009431FC">
        <w:rPr>
          <w:rFonts w:ascii="Palatino Linotype" w:eastAsia="Palatino Linotype" w:hAnsi="Palatino Linotype" w:cs="Palatino Linotype"/>
          <w:color w:val="000000"/>
          <w:sz w:val="22"/>
          <w:szCs w:val="22"/>
        </w:rPr>
        <w:t>C O N S I D E R A N D O S</w:t>
      </w:r>
      <w:bookmarkEnd w:id="16"/>
    </w:p>
    <w:p w:rsidR="00E21458" w:rsidRDefault="00E21458">
      <w:pPr>
        <w:jc w:val="center"/>
        <w:rPr>
          <w:rFonts w:ascii="Palatino Linotype" w:eastAsia="Palatino Linotype" w:hAnsi="Palatino Linotype" w:cs="Palatino Linotype"/>
          <w:b/>
          <w:bCs/>
        </w:rPr>
      </w:pPr>
    </w:p>
    <w:p w:rsidR="00E21458" w:rsidRPr="009431FC" w:rsidRDefault="00376B19" w:rsidP="009431FC">
      <w:pPr>
        <w:pStyle w:val="Ttulo2"/>
        <w:spacing w:before="0" w:after="0"/>
        <w:rPr>
          <w:rFonts w:ascii="Palatino Linotype" w:eastAsia="Palatino Linotype" w:hAnsi="Palatino Linotype" w:cs="Palatino Linotype"/>
          <w:color w:val="000000"/>
          <w:sz w:val="22"/>
          <w:szCs w:val="22"/>
        </w:rPr>
      </w:pPr>
      <w:bookmarkStart w:id="17" w:name="_heading=h.t8qjjm9kezkt" w:colFirst="0" w:colLast="0"/>
      <w:bookmarkStart w:id="18" w:name="_Toc215759138"/>
      <w:bookmarkEnd w:id="17"/>
      <w:r w:rsidRPr="009431FC">
        <w:rPr>
          <w:rFonts w:ascii="Palatino Linotype" w:eastAsia="Palatino Linotype" w:hAnsi="Palatino Linotype" w:cs="Palatino Linotype"/>
          <w:color w:val="000000"/>
          <w:sz w:val="22"/>
          <w:szCs w:val="22"/>
        </w:rPr>
        <w:t>PRIMERO. Competencia</w:t>
      </w:r>
      <w:bookmarkEnd w:id="18"/>
    </w:p>
    <w:p w:rsidR="00E21458" w:rsidRDefault="00E21458">
      <w:pPr>
        <w:rPr>
          <w:rFonts w:ascii="Palatino Linotype" w:eastAsia="Palatino Linotype" w:hAnsi="Palatino Linotype" w:cs="Palatino Linotype"/>
          <w:b/>
          <w:bCs/>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w:t>
      </w:r>
      <w:r>
        <w:rPr>
          <w:rFonts w:ascii="Palatino Linotype" w:eastAsia="Palatino Linotype" w:hAnsi="Palatino Linotype" w:cs="Palatino Linotype"/>
        </w:rPr>
        <w:lastRenderedPageBreak/>
        <w:t>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E21458" w:rsidRDefault="00E21458">
      <w:pPr>
        <w:rPr>
          <w:rFonts w:ascii="Palatino Linotype" w:eastAsia="Palatino Linotype" w:hAnsi="Palatino Linotype" w:cs="Palatino Linotype"/>
        </w:rPr>
      </w:pPr>
    </w:p>
    <w:p w:rsidR="00E21458" w:rsidRPr="009431FC" w:rsidRDefault="00376B19" w:rsidP="009431FC">
      <w:pPr>
        <w:pStyle w:val="Ttulo2"/>
        <w:spacing w:before="0" w:after="0"/>
        <w:rPr>
          <w:rFonts w:ascii="Palatino Linotype" w:eastAsia="Palatino Linotype" w:hAnsi="Palatino Linotype" w:cs="Palatino Linotype"/>
          <w:color w:val="000000"/>
          <w:sz w:val="22"/>
          <w:szCs w:val="22"/>
        </w:rPr>
      </w:pPr>
      <w:bookmarkStart w:id="19" w:name="_heading=h.p7vy7pmh6qoe" w:colFirst="0" w:colLast="0"/>
      <w:bookmarkStart w:id="20" w:name="_Toc215759139"/>
      <w:bookmarkEnd w:id="19"/>
      <w:r w:rsidRPr="009431FC">
        <w:rPr>
          <w:rFonts w:ascii="Palatino Linotype" w:eastAsia="Palatino Linotype" w:hAnsi="Palatino Linotype" w:cs="Palatino Linotype"/>
          <w:color w:val="000000"/>
          <w:sz w:val="22"/>
          <w:szCs w:val="22"/>
        </w:rPr>
        <w:t>SEGUNDO. Causales de improcedencia y sobreseimiento</w:t>
      </w:r>
      <w:bookmarkEnd w:id="20"/>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iCs/>
        </w:rPr>
        <w:t>litis</w:t>
      </w:r>
      <w:proofErr w:type="spellEnd"/>
      <w:r>
        <w:rPr>
          <w:rFonts w:ascii="Palatino Linotype" w:eastAsia="Palatino Linotype" w:hAnsi="Palatino Linotype" w:cs="Palatino Linotype"/>
        </w:rPr>
        <w:t>, es necesario estudiar las causales de improcedencia y sobreseimiento que se adviertan, para determinar lo que en Derecho proceda.</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b/>
          <w:bCs/>
        </w:rPr>
      </w:pPr>
      <w:r>
        <w:rPr>
          <w:rFonts w:ascii="Palatino Linotype" w:eastAsia="Palatino Linotype" w:hAnsi="Palatino Linotype" w:cs="Palatino Linotype"/>
          <w:b/>
          <w:bCs/>
        </w:rPr>
        <w:t>Causales de improcedencia</w:t>
      </w:r>
    </w:p>
    <w:p w:rsidR="00E21458" w:rsidRDefault="00E21458">
      <w:pPr>
        <w:rPr>
          <w:rFonts w:ascii="Palatino Linotype" w:eastAsia="Palatino Linotype" w:hAnsi="Palatino Linotype" w:cs="Palatino Linotype"/>
          <w:b/>
          <w:bCs/>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En el presente caso, </w:t>
      </w:r>
      <w:r>
        <w:rPr>
          <w:rFonts w:ascii="Palatino Linotype" w:eastAsia="Palatino Linotype" w:hAnsi="Palatino Linotype" w:cs="Palatino Linotype"/>
          <w:b/>
          <w:bCs/>
        </w:rPr>
        <w:t>no se actualiza ninguna de las causales de improcedencia</w:t>
      </w:r>
      <w:r>
        <w:rPr>
          <w:rFonts w:ascii="Palatino Linotype" w:eastAsia="Palatino Linotype" w:hAnsi="Palatino Linotype" w:cs="Palatino Linotype"/>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E21458" w:rsidRDefault="00E21458">
      <w:pPr>
        <w:rPr>
          <w:rFonts w:ascii="Palatino Linotype" w:eastAsia="Palatino Linotype" w:hAnsi="Palatino Linotype" w:cs="Palatino Linotype"/>
          <w:color w:val="FF0000"/>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Asimismo, se actualiza la causal de procedencia del Recurso de Revisión señalada en el artículo 179, fracción V, de la Ley en cita, pues la persona Recurrente se inconformó de la entrega de información incompleta.</w:t>
      </w:r>
    </w:p>
    <w:p w:rsidR="00E21458" w:rsidRDefault="00E21458">
      <w:pPr>
        <w:rPr>
          <w:rFonts w:ascii="Palatino Linotype" w:eastAsia="Palatino Linotype" w:hAnsi="Palatino Linotype" w:cs="Palatino Linotype"/>
          <w:color w:val="FF0000"/>
        </w:rPr>
      </w:pPr>
    </w:p>
    <w:p w:rsidR="00E21458" w:rsidRDefault="00376B19">
      <w:pPr>
        <w:rPr>
          <w:rFonts w:ascii="Palatino Linotype" w:eastAsia="Palatino Linotype" w:hAnsi="Palatino Linotype" w:cs="Palatino Linotype"/>
          <w:b/>
          <w:bCs/>
        </w:rPr>
      </w:pPr>
      <w:r>
        <w:rPr>
          <w:rFonts w:ascii="Palatino Linotype" w:eastAsia="Palatino Linotype" w:hAnsi="Palatino Linotype" w:cs="Palatino Linotype"/>
          <w:b/>
          <w:bCs/>
        </w:rPr>
        <w:t>Causales de sobreseimiento</w:t>
      </w:r>
    </w:p>
    <w:p w:rsidR="00E21458" w:rsidRDefault="00E21458">
      <w:pPr>
        <w:rPr>
          <w:rFonts w:ascii="Palatino Linotype" w:eastAsia="Palatino Linotype" w:hAnsi="Palatino Linotype" w:cs="Palatino Linotype"/>
          <w:color w:val="FF0000"/>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 xml:space="preserve">Por ser de previo y especial pronunciamiento, este Instituto analiza si se actualiza alguna causal de sobreseimiento. </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 xml:space="preserve">Por tales motivos, se considera procedente entrar al fondo del presente asunto. </w:t>
      </w:r>
    </w:p>
    <w:p w:rsidR="00E21458" w:rsidRDefault="00E21458">
      <w:pPr>
        <w:rPr>
          <w:rFonts w:ascii="Palatino Linotype" w:eastAsia="Palatino Linotype" w:hAnsi="Palatino Linotype" w:cs="Palatino Linotype"/>
        </w:rPr>
      </w:pPr>
    </w:p>
    <w:p w:rsidR="00E21458" w:rsidRPr="009431FC" w:rsidRDefault="00376B19" w:rsidP="009431FC">
      <w:pPr>
        <w:pStyle w:val="Ttulo2"/>
        <w:spacing w:before="0" w:after="0"/>
        <w:rPr>
          <w:rFonts w:ascii="Palatino Linotype" w:eastAsia="Palatino Linotype" w:hAnsi="Palatino Linotype" w:cs="Palatino Linotype"/>
          <w:color w:val="000000"/>
          <w:sz w:val="22"/>
          <w:szCs w:val="22"/>
        </w:rPr>
      </w:pPr>
      <w:bookmarkStart w:id="21" w:name="_heading=h.ous40683txvs" w:colFirst="0" w:colLast="0"/>
      <w:bookmarkStart w:id="22" w:name="_Toc215759140"/>
      <w:bookmarkEnd w:id="21"/>
      <w:r w:rsidRPr="009431FC">
        <w:rPr>
          <w:rFonts w:ascii="Palatino Linotype" w:eastAsia="Palatino Linotype" w:hAnsi="Palatino Linotype" w:cs="Palatino Linotype"/>
          <w:color w:val="000000"/>
          <w:sz w:val="22"/>
          <w:szCs w:val="22"/>
        </w:rPr>
        <w:t>TERCERO. Determinación de la Controversia</w:t>
      </w:r>
      <w:bookmarkEnd w:id="22"/>
    </w:p>
    <w:p w:rsidR="00E21458" w:rsidRDefault="00E21458">
      <w:pPr>
        <w:rPr>
          <w:rFonts w:ascii="Palatino Linotype" w:eastAsia="Palatino Linotype" w:hAnsi="Palatino Linotype" w:cs="Palatino Linotype"/>
          <w:b/>
          <w:bCs/>
          <w:color w:val="FF0000"/>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Con el objetivo de ilustrar la controversia planteada, resulta conveniente precisar, que una vez realizado el estudio de las constancias que integran el expediente en el que se actúa, se desprende que el Particular requirió, en relación con el programa o aplicación METEPEC *7311, lo siguiente:</w:t>
      </w:r>
    </w:p>
    <w:p w:rsidR="00E21458" w:rsidRDefault="00E21458">
      <w:pPr>
        <w:rPr>
          <w:rFonts w:ascii="Palatino Linotype" w:eastAsia="Palatino Linotype" w:hAnsi="Palatino Linotype" w:cs="Palatino Linotype"/>
        </w:rPr>
      </w:pPr>
    </w:p>
    <w:p w:rsidR="00E21458" w:rsidRDefault="00376B19">
      <w:pPr>
        <w:numPr>
          <w:ilvl w:val="0"/>
          <w:numId w:val="1"/>
        </w:num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Presupuesto otorgado y ejercido</w:t>
      </w:r>
    </w:p>
    <w:p w:rsidR="00E21458" w:rsidRDefault="00376B19">
      <w:pPr>
        <w:numPr>
          <w:ilvl w:val="0"/>
          <w:numId w:val="1"/>
        </w:num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Quien lo opera</w:t>
      </w:r>
    </w:p>
    <w:p w:rsidR="00E21458" w:rsidRDefault="00376B19">
      <w:pPr>
        <w:numPr>
          <w:ilvl w:val="0"/>
          <w:numId w:val="1"/>
        </w:num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funciona</w:t>
      </w:r>
    </w:p>
    <w:p w:rsidR="00E21458" w:rsidRDefault="00376B19">
      <w:pPr>
        <w:numPr>
          <w:ilvl w:val="0"/>
          <w:numId w:val="1"/>
        </w:num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Vigencia</w:t>
      </w:r>
    </w:p>
    <w:p w:rsidR="00E21458" w:rsidRDefault="00E21458">
      <w:pPr>
        <w:rPr>
          <w:rFonts w:ascii="Palatino Linotype" w:eastAsia="Palatino Linotype" w:hAnsi="Palatino Linotype" w:cs="Palatino Linotype"/>
          <w:color w:val="FF0000"/>
        </w:rPr>
      </w:pPr>
    </w:p>
    <w:p w:rsidR="00E21458" w:rsidRDefault="00376B19">
      <w:pPr>
        <w:tabs>
          <w:tab w:val="left" w:pos="4667"/>
        </w:tabs>
        <w:rPr>
          <w:rFonts w:ascii="Palatino Linotype" w:eastAsia="Palatino Linotype" w:hAnsi="Palatino Linotype" w:cs="Palatino Linotype"/>
        </w:rPr>
      </w:pPr>
      <w:r>
        <w:rPr>
          <w:rFonts w:ascii="Palatino Linotype" w:eastAsia="Palatino Linotype" w:hAnsi="Palatino Linotype" w:cs="Palatino Linotype"/>
        </w:rPr>
        <w:t>En respuesta, el Sujeto Obligado, a través de la Tesorería Municipal señaló por medio de un link e indicaciones a seguir para visualizar lo referente al Estado Analítico del Presupuesto de egresos manifestando que lo otra parte del requerimiento correspondía a otra área. Por su parte, la Dirección de Gerencia de la Ciudad indicó que no tiene atribuciones con relación al presupuesto otorgado y ejercido, pronunciándose solamente en que el Sistema Informático de Gestión y solicitudes ciudadanas de Metepec (METEPEC *7311, ya que la misma área solo se encarga de operar, coordinar y dar seguimiento con el propósito de elevar su calidad, así mismo refiere que la dirección de la gerencia de la ciudad fue instaurada en 2022 y sigue operando hasta 2027</w:t>
      </w:r>
      <w:r>
        <w:rPr>
          <w:rFonts w:ascii="Palatino Linotype" w:eastAsia="Palatino Linotype" w:hAnsi="Palatino Linotype" w:cs="Palatino Linotype"/>
          <w:sz w:val="24"/>
          <w:szCs w:val="24"/>
        </w:rPr>
        <w:t xml:space="preserve">; ante dicha circunstancia, el Particular </w:t>
      </w:r>
      <w:r>
        <w:rPr>
          <w:rFonts w:ascii="Palatino Linotype" w:eastAsia="Palatino Linotype" w:hAnsi="Palatino Linotype" w:cs="Palatino Linotype"/>
          <w:sz w:val="24"/>
          <w:szCs w:val="24"/>
        </w:rPr>
        <w:lastRenderedPageBreak/>
        <w:t xml:space="preserve">se inconformó de la entrega de información incompleta, lo cual actualiza la causal de procedencia prevista en la fracción V, del artículo 179 de la Ley de Transparencia y Acceso a la Información Pública del Estado de México </w:t>
      </w:r>
      <w:r>
        <w:rPr>
          <w:rFonts w:ascii="Palatino Linotype" w:eastAsia="Palatino Linotype" w:hAnsi="Palatino Linotype" w:cs="Palatino Linotype"/>
        </w:rPr>
        <w:t xml:space="preserve">y Municipios; dicha situación, al aplicar la suplencia de la queja a favor de la Solicitante, en términos de los diversos 13 y, penúltimo párrafo, del 181 del ordenamiento señalado. Así, las cosas, una vez admitido y notificado el Recurso de Revisión, a las Partes el Sujeto Obligado ratifico su respuesta. </w:t>
      </w:r>
    </w:p>
    <w:p w:rsidR="00E21458" w:rsidRDefault="00E21458">
      <w:pPr>
        <w:rPr>
          <w:rFonts w:ascii="Palatino Linotype" w:eastAsia="Palatino Linotype" w:hAnsi="Palatino Linotype" w:cs="Palatino Linotype"/>
          <w:color w:val="FF0000"/>
        </w:rPr>
      </w:pPr>
    </w:p>
    <w:p w:rsidR="00E21458" w:rsidRDefault="00376B19">
      <w:pPr>
        <w:tabs>
          <w:tab w:val="left" w:pos="4962"/>
        </w:tabs>
        <w:rPr>
          <w:rFonts w:ascii="Palatino Linotype" w:eastAsia="Palatino Linotype" w:hAnsi="Palatino Linotype" w:cs="Palatino Linotype"/>
        </w:rPr>
      </w:pPr>
      <w:r>
        <w:rPr>
          <w:rFonts w:ascii="Palatino Linotype" w:eastAsia="Palatino Linotype" w:hAnsi="Palatino Linotype" w:cs="Palatino Linotype"/>
        </w:rPr>
        <w:t xml:space="preserve">Lo anterior, se desprende de las documentales que obran en el expediente de referencia, materia de la presente resolución, consistente en: la solicitud de acceso a la información; la respuesta entregada y el escrito </w:t>
      </w:r>
      <w:proofErr w:type="spellStart"/>
      <w:r>
        <w:rPr>
          <w:rFonts w:ascii="Palatino Linotype" w:eastAsia="Palatino Linotype" w:hAnsi="Palatino Linotype" w:cs="Palatino Linotype"/>
        </w:rPr>
        <w:t>recursal</w:t>
      </w:r>
      <w:proofErr w:type="spellEnd"/>
      <w:r>
        <w:rPr>
          <w:rFonts w:ascii="Palatino Linotype" w:eastAsia="Palatino Linotype" w:hAnsi="Palatino Linotype" w:cs="Palatino Linotype"/>
        </w:rPr>
        <w:t>; instrumentales que se toman en cuenta a efecto de resolver el presente medio de impugnación, conforme a lo dispuesto por el artículo 185, fracción IV, de la Ley de Transparencia y Acceso a la Información Pública del Estado de México y Municipios.</w:t>
      </w:r>
    </w:p>
    <w:p w:rsidR="00E21458" w:rsidRDefault="00E21458">
      <w:pPr>
        <w:rPr>
          <w:rFonts w:ascii="Palatino Linotype" w:eastAsia="Palatino Linotype" w:hAnsi="Palatino Linotype" w:cs="Palatino Linotype"/>
          <w:color w:val="FF0000"/>
        </w:rPr>
      </w:pPr>
    </w:p>
    <w:p w:rsidR="00E21458" w:rsidRPr="009431FC" w:rsidRDefault="00376B19" w:rsidP="009431FC">
      <w:pPr>
        <w:pStyle w:val="Ttulo2"/>
        <w:spacing w:before="0" w:after="0"/>
        <w:rPr>
          <w:rFonts w:ascii="Palatino Linotype" w:eastAsia="Palatino Linotype" w:hAnsi="Palatino Linotype" w:cs="Palatino Linotype"/>
          <w:color w:val="000000"/>
          <w:sz w:val="22"/>
          <w:szCs w:val="22"/>
        </w:rPr>
      </w:pPr>
      <w:bookmarkStart w:id="23" w:name="_heading=h.cicvpyhf7n6b" w:colFirst="0" w:colLast="0"/>
      <w:bookmarkStart w:id="24" w:name="_Toc215759141"/>
      <w:bookmarkEnd w:id="23"/>
      <w:r w:rsidRPr="009431FC">
        <w:rPr>
          <w:rFonts w:ascii="Palatino Linotype" w:eastAsia="Palatino Linotype" w:hAnsi="Palatino Linotype" w:cs="Palatino Linotype"/>
          <w:color w:val="000000"/>
          <w:sz w:val="22"/>
          <w:szCs w:val="22"/>
        </w:rPr>
        <w:t>CUARTO. Marco normativo aplicable en materia de transparencia y acceso a la información pública</w:t>
      </w:r>
      <w:bookmarkEnd w:id="24"/>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 xml:space="preserve">En materia local, el artículo 5°, fracción I de la Constitución Política del Estado Libre y Soberano de México, es coincidente con la Constitución Política de los Estados Unidos Mexicanos, en el sentido de la publicidad de toda la información, con la única restricción de </w:t>
      </w:r>
      <w:r>
        <w:rPr>
          <w:rFonts w:ascii="Palatino Linotype" w:eastAsia="Palatino Linotype" w:hAnsi="Palatino Linotype" w:cs="Palatino Linotype"/>
        </w:rPr>
        <w:lastRenderedPageBreak/>
        <w:t>proteger el interés público, así como la información referente a la intimidad de la vida privada y la imagen de las personas, con las excepciones que establezca la ley reglamentaria.</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Por su parte, la Ley de Transparencia y Acceso a la Información Pública del Estado de México y Municipios (Reglamentaria del artículo 5° de la Constitución Local), establece lo siguiente:</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El artículo 12, que, quienes generen, recopilen, administren, manejen, procesen, archiven o conserven información pública serán responsables de la misma.</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El artículo 18, que, los Sujetos Obligados deberán documentar todo acto que derive del ejercicio de sus facultades, competencias o funciones, considerando desde su origen la eventual publicidad y reutilización de la información que generen.</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E21458" w:rsidRDefault="00E21458">
      <w:pPr>
        <w:keepNext/>
        <w:keepLines/>
        <w:rPr>
          <w:rFonts w:ascii="Palatino Linotype" w:eastAsia="Palatino Linotype" w:hAnsi="Palatino Linotype" w:cs="Palatino Linotype"/>
          <w:b/>
          <w:bCs/>
        </w:rPr>
      </w:pPr>
    </w:p>
    <w:p w:rsidR="00E21458" w:rsidRPr="009431FC" w:rsidRDefault="00376B19" w:rsidP="009431FC">
      <w:pPr>
        <w:pStyle w:val="Ttulo2"/>
        <w:spacing w:before="0" w:after="0"/>
        <w:rPr>
          <w:rFonts w:ascii="Palatino Linotype" w:eastAsia="Palatino Linotype" w:hAnsi="Palatino Linotype" w:cs="Palatino Linotype"/>
          <w:color w:val="000000"/>
          <w:sz w:val="22"/>
          <w:szCs w:val="22"/>
        </w:rPr>
      </w:pPr>
      <w:bookmarkStart w:id="25" w:name="_heading=h.t4lx6ynwqsuj" w:colFirst="0" w:colLast="0"/>
      <w:bookmarkStart w:id="26" w:name="_Toc215759142"/>
      <w:bookmarkEnd w:id="25"/>
      <w:r w:rsidRPr="009431FC">
        <w:rPr>
          <w:rFonts w:ascii="Palatino Linotype" w:eastAsia="Palatino Linotype" w:hAnsi="Palatino Linotype" w:cs="Palatino Linotype"/>
          <w:color w:val="000000"/>
          <w:sz w:val="22"/>
          <w:szCs w:val="22"/>
        </w:rPr>
        <w:t>QUINTO. Estudio de Fondo</w:t>
      </w:r>
      <w:bookmarkEnd w:id="26"/>
    </w:p>
    <w:p w:rsidR="00E21458" w:rsidRDefault="00E21458">
      <w:pPr>
        <w:widowControl w:val="0"/>
        <w:rPr>
          <w:rFonts w:ascii="Palatino Linotype" w:eastAsia="Palatino Linotype" w:hAnsi="Palatino Linotype" w:cs="Palatino Linotype"/>
          <w:color w:val="FF0000"/>
        </w:rPr>
      </w:pPr>
    </w:p>
    <w:p w:rsidR="00E21458" w:rsidRDefault="00376B19">
      <w:pPr>
        <w:widowControl w:val="0"/>
        <w:rPr>
          <w:rFonts w:ascii="Palatino Linotype" w:eastAsia="Palatino Linotype" w:hAnsi="Palatino Linotype" w:cs="Palatino Linotype"/>
        </w:rPr>
      </w:pPr>
      <w:r>
        <w:rPr>
          <w:rFonts w:ascii="Palatino Linotype" w:eastAsia="Palatino Linotype" w:hAnsi="Palatino Linotype" w:cs="Palatino Linotype"/>
        </w:rPr>
        <w:t>Expuestas las posturas de las partes, se procede al análisis de los agravios hechos valer por la persona Recurrente, por lo que, en un principio, resulta necesario contextualizar la solicitud de información.</w:t>
      </w:r>
    </w:p>
    <w:p w:rsidR="00E21458" w:rsidRDefault="00E21458">
      <w:pPr>
        <w:widowControl w:val="0"/>
        <w:rPr>
          <w:rFonts w:ascii="Palatino Linotype" w:eastAsia="Palatino Linotype" w:hAnsi="Palatino Linotype" w:cs="Palatino Linotype"/>
          <w:color w:val="FF0000"/>
        </w:rPr>
      </w:pPr>
    </w:p>
    <w:p w:rsidR="00E21458" w:rsidRDefault="00376B19">
      <w:pPr>
        <w:widowControl w:val="0"/>
        <w:rPr>
          <w:rFonts w:ascii="Palatino Linotype" w:eastAsia="Palatino Linotype" w:hAnsi="Palatino Linotype" w:cs="Palatino Linotype"/>
          <w:b/>
          <w:bCs/>
        </w:rPr>
      </w:pPr>
      <w:r>
        <w:rPr>
          <w:rFonts w:ascii="Palatino Linotype" w:eastAsia="Palatino Linotype" w:hAnsi="Palatino Linotype" w:cs="Palatino Linotype"/>
        </w:rPr>
        <w:lastRenderedPageBreak/>
        <w:t xml:space="preserve">Sobre el tema, el artículo 31 fracciones I Bis y XXI de la Ley Orgánica Municipal del Estado de México refiere que dentro de las atribuciones de los ayuntamientos se encuentra el aprobar e implementar programas y acciones, así como formular, aprobar y ejecutar los planes de desarrollo municipal y </w:t>
      </w:r>
      <w:r>
        <w:rPr>
          <w:rFonts w:ascii="Palatino Linotype" w:eastAsia="Palatino Linotype" w:hAnsi="Palatino Linotype" w:cs="Palatino Linotype"/>
          <w:b/>
          <w:bCs/>
        </w:rPr>
        <w:t>los programas correspondientes.</w:t>
      </w:r>
    </w:p>
    <w:p w:rsidR="00E21458" w:rsidRDefault="00E21458">
      <w:pPr>
        <w:widowControl w:val="0"/>
        <w:rPr>
          <w:rFonts w:ascii="Palatino Linotype" w:eastAsia="Palatino Linotype" w:hAnsi="Palatino Linotype" w:cs="Palatino Linotype"/>
          <w:b/>
          <w:bCs/>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En esa misma consecución de ideas, el artículo 115 con relación en el 114 establece que</w:t>
      </w:r>
      <w:r>
        <w:t xml:space="preserve"> </w:t>
      </w:r>
      <w:r>
        <w:rPr>
          <w:rFonts w:ascii="Palatino Linotype" w:eastAsia="Palatino Linotype" w:hAnsi="Palatino Linotype" w:cs="Palatino Linotype"/>
        </w:rPr>
        <w:t>cada ayuntamiento elaborará su plan de desarrollo municipal y los programas de trabajo necesarios para su ejecución en forma democrática y participativa. La formulación, aprobación, ejecución, control y evaluación del plan y programas municipales estarán a cargo de los órganos, dependencias o servidores públicos que determinen los ayuntamientos, conforme a las normas legales de la materia y las que cada cabildo determine.</w:t>
      </w:r>
    </w:p>
    <w:p w:rsidR="00E21458" w:rsidRDefault="00E21458">
      <w:pPr>
        <w:widowControl w:val="0"/>
        <w:rPr>
          <w:rFonts w:ascii="Palatino Linotype" w:eastAsia="Palatino Linotype" w:hAnsi="Palatino Linotype" w:cs="Palatino Linotype"/>
        </w:rPr>
      </w:pPr>
    </w:p>
    <w:p w:rsidR="00E21458" w:rsidRDefault="00376B19">
      <w:pPr>
        <w:widowControl w:val="0"/>
        <w:rPr>
          <w:rFonts w:ascii="Palatino Linotype" w:eastAsia="Palatino Linotype" w:hAnsi="Palatino Linotype" w:cs="Palatino Linotype"/>
        </w:rPr>
      </w:pPr>
      <w:r>
        <w:rPr>
          <w:rFonts w:ascii="Palatino Linotype" w:eastAsia="Palatino Linotype" w:hAnsi="Palatino Linotype" w:cs="Palatino Linotype"/>
        </w:rPr>
        <w:t xml:space="preserve">Ahora bien, el artículo 96 </w:t>
      </w:r>
      <w:proofErr w:type="spellStart"/>
      <w:r>
        <w:rPr>
          <w:rFonts w:ascii="Palatino Linotype" w:eastAsia="Palatino Linotype" w:hAnsi="Palatino Linotype" w:cs="Palatino Linotype"/>
        </w:rPr>
        <w:t>Duodecies</w:t>
      </w:r>
      <w:proofErr w:type="spellEnd"/>
      <w:r>
        <w:rPr>
          <w:rFonts w:ascii="Palatino Linotype" w:eastAsia="Palatino Linotype" w:hAnsi="Palatino Linotype" w:cs="Palatino Linotype"/>
        </w:rPr>
        <w:t xml:space="preserve"> establece que el Director de Desarrollo Social o equivalente dentro de sus atribuciones se encarga de cuantificar, determinar y proponer, en coordinación con las instancias competentes, los recursos públicos necesarios para generar los programas y acciones que atiendan las necesidades básicas de la población vulnerable del municipio, ejecutar los programas, proyectos y acciones municipales en materia de desarrollo social, de manera coordinada con las instancias correspondientes.</w:t>
      </w:r>
    </w:p>
    <w:p w:rsidR="00E21458" w:rsidRDefault="00E21458">
      <w:pPr>
        <w:widowControl w:val="0"/>
        <w:rPr>
          <w:rFonts w:ascii="Palatino Linotype" w:eastAsia="Palatino Linotype" w:hAnsi="Palatino Linotype" w:cs="Palatino Linotype"/>
          <w:b/>
          <w:bCs/>
        </w:rPr>
      </w:pPr>
    </w:p>
    <w:p w:rsidR="00E21458" w:rsidRDefault="00376B19">
      <w:pPr>
        <w:widowControl w:val="0"/>
        <w:rPr>
          <w:rFonts w:ascii="Palatino Linotype" w:eastAsia="Palatino Linotype" w:hAnsi="Palatino Linotype" w:cs="Palatino Linotype"/>
        </w:rPr>
      </w:pPr>
      <w:r>
        <w:rPr>
          <w:rFonts w:ascii="Palatino Linotype" w:eastAsia="Palatino Linotype" w:hAnsi="Palatino Linotype" w:cs="Palatino Linotype"/>
        </w:rPr>
        <w:t>Ahora bien, el Código de Reglamentación de Metepec vigente, en su artículo 3.53 establece que la Tesorería dentro de sus atribuciones, se encarga entre otras cosas de administrar la Hacienda Pública Municipal, e integrar y validar los proyectos de presupuestos de ingresos y egresos de las diferentes áreas del Gobierno Municipal para someterlos al Ayuntamiento para su aprobación.</w:t>
      </w:r>
    </w:p>
    <w:p w:rsidR="00E21458" w:rsidRDefault="00E21458">
      <w:pPr>
        <w:widowControl w:val="0"/>
        <w:rPr>
          <w:rFonts w:ascii="Palatino Linotype" w:eastAsia="Palatino Linotype" w:hAnsi="Palatino Linotype" w:cs="Palatino Linotype"/>
        </w:rPr>
      </w:pPr>
    </w:p>
    <w:p w:rsidR="00E21458" w:rsidRDefault="00376B19">
      <w:pPr>
        <w:widowControl w:val="0"/>
        <w:rPr>
          <w:rFonts w:ascii="Palatino Linotype" w:eastAsia="Palatino Linotype" w:hAnsi="Palatino Linotype" w:cs="Palatino Linotype"/>
        </w:rPr>
      </w:pPr>
      <w:r>
        <w:rPr>
          <w:rFonts w:ascii="Palatino Linotype" w:eastAsia="Palatino Linotype" w:hAnsi="Palatino Linotype" w:cs="Palatino Linotype"/>
        </w:rPr>
        <w:t xml:space="preserve">Sobre el tema, el artículo 3.198 de la misma normativa en comento refiere que la dirección de gerencia de la ciudad es la dependencia encargada de la atención eficiente en tiempo y calidad de los requerimientos en materia de servicios públicos por parte de la ciudadanía, con el objeto de </w:t>
      </w:r>
      <w:proofErr w:type="spellStart"/>
      <w:r>
        <w:rPr>
          <w:rFonts w:ascii="Palatino Linotype" w:eastAsia="Palatino Linotype" w:hAnsi="Palatino Linotype" w:cs="Palatino Linotype"/>
        </w:rPr>
        <w:t>eficientar</w:t>
      </w:r>
      <w:proofErr w:type="spellEnd"/>
      <w:r>
        <w:rPr>
          <w:rFonts w:ascii="Palatino Linotype" w:eastAsia="Palatino Linotype" w:hAnsi="Palatino Linotype" w:cs="Palatino Linotype"/>
        </w:rPr>
        <w:t xml:space="preserve"> los procesos de gestión y brindar un servicio más oportuno, con calidez humana y de manera expedita. Así como fungir como un vínculo con la ciudadanía, a fin de atender y resolver las solicitudes y necesidades en materia de servicios públicos.</w:t>
      </w:r>
    </w:p>
    <w:p w:rsidR="00E21458" w:rsidRDefault="00E21458">
      <w:pPr>
        <w:widowControl w:val="0"/>
        <w:rPr>
          <w:rFonts w:ascii="Palatino Linotype" w:eastAsia="Palatino Linotype" w:hAnsi="Palatino Linotype" w:cs="Palatino Linotype"/>
        </w:rPr>
      </w:pPr>
    </w:p>
    <w:p w:rsidR="00E21458" w:rsidRDefault="00376B19">
      <w:pPr>
        <w:widowControl w:val="0"/>
        <w:rPr>
          <w:rFonts w:ascii="Palatino Linotype" w:eastAsia="Palatino Linotype" w:hAnsi="Palatino Linotype" w:cs="Palatino Linotype"/>
        </w:rPr>
      </w:pPr>
      <w:r>
        <w:rPr>
          <w:rFonts w:ascii="Palatino Linotype" w:eastAsia="Palatino Linotype" w:hAnsi="Palatino Linotype" w:cs="Palatino Linotype"/>
        </w:rPr>
        <w:t>En ese contexto, se localizó el Manual de Usuario de la Aplicación Móvil “Metepec *7311”, que precisa que la aplicación fue diseñada para proporcionar a los ciudadanos una forma fácil y conveniente de acceder a los diversos servicios y recursos ofrecidos por el municipio, directamente desde la comodidad de sus dispositivos móviles; por lo que, en dicha aplicación se podrán realizar trámites, consultar información y mantener actualizada a la población sobre noticias y eventos municipales.</w:t>
      </w:r>
    </w:p>
    <w:p w:rsidR="00E21458" w:rsidRDefault="00E21458">
      <w:pPr>
        <w:widowControl w:val="0"/>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De conformidad con lo anterior, se logra advertir que la pretensión del Particular versa en obtener en relación con la Aplicación “METEPEC *7311”, lo siguiente:</w:t>
      </w:r>
    </w:p>
    <w:p w:rsidR="00E21458" w:rsidRDefault="00E21458">
      <w:pPr>
        <w:rPr>
          <w:rFonts w:ascii="Palatino Linotype" w:eastAsia="Palatino Linotype" w:hAnsi="Palatino Linotype" w:cs="Palatino Linotype"/>
        </w:rPr>
      </w:pPr>
    </w:p>
    <w:p w:rsidR="00E21458" w:rsidRDefault="00376B19">
      <w:pPr>
        <w:numPr>
          <w:ilvl w:val="0"/>
          <w:numId w:val="1"/>
        </w:num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Presupuesto asignado y ejercido, desde su implementación a la fecha</w:t>
      </w:r>
    </w:p>
    <w:p w:rsidR="00E21458" w:rsidRDefault="00376B19">
      <w:pPr>
        <w:numPr>
          <w:ilvl w:val="0"/>
          <w:numId w:val="1"/>
        </w:num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Quien lo opera y cómo funciona;</w:t>
      </w:r>
    </w:p>
    <w:p w:rsidR="00E21458" w:rsidRDefault="00376B19">
      <w:pPr>
        <w:numPr>
          <w:ilvl w:val="0"/>
          <w:numId w:val="1"/>
        </w:num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Vigencia, y</w:t>
      </w:r>
    </w:p>
    <w:p w:rsidR="00E21458" w:rsidRDefault="00376B19">
      <w:pPr>
        <w:numPr>
          <w:ilvl w:val="0"/>
          <w:numId w:val="1"/>
        </w:num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de inicio.</w:t>
      </w:r>
    </w:p>
    <w:p w:rsidR="00E21458" w:rsidRDefault="00E21458">
      <w:pPr>
        <w:tabs>
          <w:tab w:val="left" w:pos="4962"/>
        </w:tabs>
        <w:rPr>
          <w:rFonts w:ascii="Palatino Linotype" w:eastAsia="Palatino Linotype" w:hAnsi="Palatino Linotype" w:cs="Palatino Linotype"/>
        </w:rPr>
      </w:pPr>
    </w:p>
    <w:p w:rsidR="00E21458" w:rsidRDefault="00376B19">
      <w:pPr>
        <w:tabs>
          <w:tab w:val="left" w:pos="4962"/>
        </w:tabs>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Ante dicha circunstancia, es necesario precisar que de las constancias que obran en el expediente electrónico, se logra advertir que el Sujeto Obligado turnó la solicitud de información a la Tesorería Municipal y Dirección de Gerencia de la Ciudad, por lo que, resulta necesario hacer referencia al </w:t>
      </w:r>
      <w:r>
        <w:rPr>
          <w:rFonts w:ascii="Palatino Linotype" w:eastAsia="Palatino Linotype" w:hAnsi="Palatino Linotype" w:cs="Palatino Linotype"/>
          <w:b/>
          <w:bCs/>
        </w:rPr>
        <w:t>procedimiento de búsqueda que deben seguir los Sujetos Obligados para localizar la información,</w:t>
      </w:r>
      <w:r>
        <w:rPr>
          <w:rFonts w:ascii="Palatino Linotype" w:eastAsia="Palatino Linotype" w:hAnsi="Palatino Linotype" w:cs="Palatino Linotype"/>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E21458" w:rsidRDefault="00E21458">
      <w:pPr>
        <w:tabs>
          <w:tab w:val="left" w:pos="4962"/>
        </w:tabs>
        <w:rPr>
          <w:rFonts w:ascii="Palatino Linotype" w:eastAsia="Palatino Linotype" w:hAnsi="Palatino Linotype" w:cs="Palatino Linotype"/>
          <w:b/>
          <w:bCs/>
          <w:color w:val="FF0000"/>
        </w:rPr>
      </w:pPr>
    </w:p>
    <w:p w:rsidR="00E21458" w:rsidRDefault="00376B19">
      <w:pPr>
        <w:tabs>
          <w:tab w:val="left" w:pos="4962"/>
        </w:tabs>
        <w:rPr>
          <w:rFonts w:ascii="Palatino Linotype" w:eastAsia="Palatino Linotype" w:hAnsi="Palatino Linotype" w:cs="Palatino Linotype"/>
        </w:rPr>
      </w:pPr>
      <w:r>
        <w:rPr>
          <w:rFonts w:ascii="Palatino Linotype" w:eastAsia="Palatino Linotype" w:hAnsi="Palatino Linotype" w:cs="Palatino Linotype"/>
        </w:rPr>
        <w:t>Así y de lo plasmado en párrafos anteriores y de las constancias del expediente electrónico, se logra colegir que el Sujeto Obligado cumplió con el procedimiento de búsqueda establecido en la Ley de Transparencia y Acceso a la Información Pública del Estado de México y Municipios, toda vez, que turnó la solicitud de información a las áreas competentes para conocer de lo solicitado.</w:t>
      </w:r>
    </w:p>
    <w:p w:rsidR="00E21458" w:rsidRDefault="00E21458">
      <w:pPr>
        <w:tabs>
          <w:tab w:val="left" w:pos="4962"/>
        </w:tabs>
        <w:rPr>
          <w:rFonts w:ascii="Palatino Linotype" w:eastAsia="Palatino Linotype" w:hAnsi="Palatino Linotype" w:cs="Palatino Linotype"/>
          <w:color w:val="FF0000"/>
        </w:rPr>
      </w:pPr>
    </w:p>
    <w:p w:rsidR="00E21458" w:rsidRDefault="00376B19">
      <w:pPr>
        <w:ind w:right="49"/>
        <w:rPr>
          <w:rFonts w:ascii="Palatino Linotype" w:eastAsia="Palatino Linotype" w:hAnsi="Palatino Linotype" w:cs="Palatino Linotype"/>
        </w:rPr>
      </w:pPr>
      <w:r>
        <w:rPr>
          <w:rFonts w:ascii="Palatino Linotype" w:eastAsia="Palatino Linotype" w:hAnsi="Palatino Linotype" w:cs="Palatino Linotype"/>
        </w:rPr>
        <w:t xml:space="preserve">En respuesta, la Tesorería Municipal señaló por medio de un link e indicaciones a seguir para visualizar lo referente al Estado Analítico del Presupuesto de egresos manifestando que la otra parte del requerimiento correspondía a otra área. Por otra parte la Dirección de Gerencia de la Ciudad indicó que no tiene atribuciones con relación al presupuesto otorgado y ejercido, pronunciándose solamente en que el Sistema (METEPEC *7311), serán solo los encargados de operar, coordinar y dar seguimiento con el propósito de elevar su </w:t>
      </w:r>
      <w:r>
        <w:rPr>
          <w:rFonts w:ascii="Palatino Linotype" w:eastAsia="Palatino Linotype" w:hAnsi="Palatino Linotype" w:cs="Palatino Linotype"/>
        </w:rPr>
        <w:lastRenderedPageBreak/>
        <w:t xml:space="preserve">calidad, así mismo refiere que la dirección de la gerencia de la ciudad fue instaurada en 2022 y sigue operando hasta 2027; </w:t>
      </w:r>
    </w:p>
    <w:p w:rsidR="00E21458" w:rsidRDefault="00E21458">
      <w:pPr>
        <w:ind w:right="49"/>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Ahora bien sobre la revisión de estas,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proporcione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rsidR="00E21458" w:rsidRDefault="00E21458">
      <w:pPr>
        <w:rPr>
          <w:rFonts w:ascii="Palatino Linotype" w:eastAsia="Palatino Linotype" w:hAnsi="Palatino Linotype" w:cs="Palatino Linotype"/>
        </w:rPr>
      </w:pPr>
    </w:p>
    <w:p w:rsidR="00E21458" w:rsidRDefault="00376B19">
      <w:pPr>
        <w:numPr>
          <w:ilvl w:val="0"/>
          <w:numId w:val="2"/>
        </w:numPr>
        <w:rPr>
          <w:rFonts w:ascii="Palatino Linotype" w:eastAsia="Palatino Linotype" w:hAnsi="Palatino Linotype" w:cs="Palatino Linotype"/>
          <w:b/>
          <w:bCs/>
        </w:rPr>
      </w:pPr>
      <w:r>
        <w:rPr>
          <w:rFonts w:ascii="Palatino Linotype" w:eastAsia="Palatino Linotype" w:hAnsi="Palatino Linotype" w:cs="Palatino Linotype"/>
          <w:b/>
          <w:bCs/>
        </w:rPr>
        <w:t xml:space="preserve">Dato abierto: </w:t>
      </w:r>
      <w:r>
        <w:rPr>
          <w:rFonts w:ascii="Palatino Linotype" w:eastAsia="Palatino Linotype" w:hAnsi="Palatino Linotype" w:cs="Palatino Linotype"/>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E21458" w:rsidRDefault="00E21458">
      <w:pPr>
        <w:ind w:left="720"/>
        <w:rPr>
          <w:rFonts w:ascii="Palatino Linotype" w:eastAsia="Palatino Linotype" w:hAnsi="Palatino Linotype" w:cs="Palatino Linotype"/>
          <w:b/>
          <w:bCs/>
        </w:rPr>
      </w:pPr>
    </w:p>
    <w:p w:rsidR="00E21458" w:rsidRDefault="00376B19">
      <w:pPr>
        <w:numPr>
          <w:ilvl w:val="0"/>
          <w:numId w:val="2"/>
        </w:numPr>
        <w:rPr>
          <w:rFonts w:ascii="Palatino Linotype" w:eastAsia="Palatino Linotype" w:hAnsi="Palatino Linotype" w:cs="Palatino Linotype"/>
          <w:b/>
          <w:bCs/>
        </w:rPr>
      </w:pPr>
      <w:r>
        <w:rPr>
          <w:rFonts w:ascii="Palatino Linotype" w:eastAsia="Palatino Linotype" w:hAnsi="Palatino Linotype" w:cs="Palatino Linotype"/>
          <w:b/>
          <w:bCs/>
        </w:rPr>
        <w:t xml:space="preserve">Formato accesible: </w:t>
      </w:r>
      <w:r>
        <w:rPr>
          <w:rFonts w:ascii="Palatino Linotype" w:eastAsia="Palatino Linotype" w:hAnsi="Palatino Linotype" w:cs="Palatino Linotype"/>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rsidR="00E21458" w:rsidRDefault="00E21458">
      <w:pPr>
        <w:rPr>
          <w:rFonts w:ascii="Palatino Linotype" w:eastAsia="Palatino Linotype" w:hAnsi="Palatino Linotype" w:cs="Palatino Linotype"/>
        </w:rPr>
      </w:pPr>
    </w:p>
    <w:p w:rsidR="00E21458" w:rsidRDefault="00376B19">
      <w:pPr>
        <w:tabs>
          <w:tab w:val="left" w:pos="4962"/>
        </w:tabs>
        <w:rPr>
          <w:rFonts w:ascii="Palatino Linotype" w:eastAsia="Palatino Linotype" w:hAnsi="Palatino Linotype" w:cs="Palatino Linotype"/>
        </w:rPr>
      </w:pPr>
      <w:r>
        <w:rPr>
          <w:rFonts w:ascii="Palatino Linotype" w:eastAsia="Palatino Linotype" w:hAnsi="Palatino Linotype" w:cs="Palatino Linotype"/>
        </w:rPr>
        <w:t xml:space="preserve">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w:t>
      </w:r>
      <w:r>
        <w:rPr>
          <w:rFonts w:ascii="Palatino Linotype" w:eastAsia="Palatino Linotype" w:hAnsi="Palatino Linotype" w:cs="Palatino Linotype"/>
          <w:b/>
          <w:bCs/>
        </w:rPr>
        <w:t>la fuente, el lugar y la forma</w:t>
      </w:r>
      <w:r>
        <w:rPr>
          <w:rFonts w:ascii="Palatino Linotype" w:eastAsia="Palatino Linotype" w:hAnsi="Palatino Linotype" w:cs="Palatino Linotype"/>
        </w:rPr>
        <w:t xml:space="preserve"> en que se puede obtener la información.</w:t>
      </w:r>
    </w:p>
    <w:p w:rsidR="00E21458" w:rsidRDefault="00E21458">
      <w:pPr>
        <w:tabs>
          <w:tab w:val="left" w:pos="4962"/>
        </w:tabs>
        <w:rPr>
          <w:rFonts w:ascii="Palatino Linotype" w:eastAsia="Palatino Linotype" w:hAnsi="Palatino Linotype" w:cs="Palatino Linotype"/>
        </w:rPr>
      </w:pPr>
    </w:p>
    <w:p w:rsidR="00E21458" w:rsidRDefault="00376B19">
      <w:pPr>
        <w:widowControl w:val="0"/>
        <w:tabs>
          <w:tab w:val="center" w:pos="4522"/>
        </w:tabs>
        <w:rPr>
          <w:rFonts w:ascii="Palatino Linotype" w:eastAsia="Palatino Linotype" w:hAnsi="Palatino Linotype" w:cs="Palatino Linotype"/>
        </w:rPr>
      </w:pPr>
      <w:r>
        <w:rPr>
          <w:rFonts w:ascii="Palatino Linotype" w:eastAsia="Palatino Linotype" w:hAnsi="Palatino Linotype" w:cs="Palatino Linotype"/>
        </w:rPr>
        <w:t>Ahora bien, el Sujeto Obligado si bien señaló la página electrónica, omitió proporcionarlas en formato abierto, lo cual implica la dificultad de acceder a la misma, pues se traduce al hecho de que el Particular tendría que colocar cada dígito alfanumérico, y cuya equivocación implicaría no acceder a la información contenida en las mismas, por lo que, se considera que incumplió con lo establecido en el artículo 161 de la Ley de Transparencia y Acceso a la Información Pública del Estado de México y Municipios.</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Aunado a que el hecho </w:t>
      </w:r>
      <w:r>
        <w:rPr>
          <w:rFonts w:ascii="Palatino Linotype" w:eastAsia="Palatino Linotype" w:hAnsi="Palatino Linotype" w:cs="Palatino Linotype"/>
        </w:rPr>
        <w:lastRenderedPageBreak/>
        <w:t>de mencionar las instrucciones a seguir, este implicaría un análisis aún más profundo para el solicitante ya que no señala concretamente en qué año está la información solicitada, es decir solo divaga al referir que la información se encuentra del dos mil veintidós a dos mil veinticuatro, tal como se logra observar.</w:t>
      </w:r>
    </w:p>
    <w:p w:rsidR="00E21458" w:rsidRDefault="00E21458">
      <w:pPr>
        <w:widowControl w:val="0"/>
        <w:tabs>
          <w:tab w:val="center" w:pos="4522"/>
        </w:tabs>
        <w:rPr>
          <w:rFonts w:ascii="Palatino Linotype" w:eastAsia="Palatino Linotype" w:hAnsi="Palatino Linotype" w:cs="Palatino Linotype"/>
        </w:rPr>
      </w:pPr>
    </w:p>
    <w:p w:rsidR="00E21458" w:rsidRDefault="00376B19">
      <w:pPr>
        <w:widowControl w:val="0"/>
        <w:tabs>
          <w:tab w:val="center" w:pos="4522"/>
        </w:tabs>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5612130" cy="1607820"/>
            <wp:effectExtent l="0" t="0" r="0" b="0"/>
            <wp:docPr id="18874022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12130" cy="1607820"/>
                    </a:xfrm>
                    <a:prstGeom prst="rect">
                      <a:avLst/>
                    </a:prstGeom>
                    <a:ln/>
                  </pic:spPr>
                </pic:pic>
              </a:graphicData>
            </a:graphic>
          </wp:inline>
        </w:drawing>
      </w:r>
    </w:p>
    <w:p w:rsidR="00E21458" w:rsidRDefault="00E21458">
      <w:pPr>
        <w:widowControl w:val="0"/>
        <w:tabs>
          <w:tab w:val="center" w:pos="4522"/>
        </w:tabs>
        <w:rPr>
          <w:rFonts w:ascii="Palatino Linotype" w:eastAsia="Palatino Linotype" w:hAnsi="Palatino Linotype" w:cs="Palatino Linotype"/>
          <w:b/>
          <w:bCs/>
        </w:rPr>
      </w:pPr>
    </w:p>
    <w:p w:rsidR="00E21458" w:rsidRDefault="00376B19">
      <w:pPr>
        <w:widowControl w:val="0"/>
        <w:tabs>
          <w:tab w:val="center" w:pos="4522"/>
        </w:tabs>
        <w:rPr>
          <w:rFonts w:ascii="Palatino Linotype" w:eastAsia="Palatino Linotype" w:hAnsi="Palatino Linotype" w:cs="Palatino Linotype"/>
        </w:rPr>
      </w:pPr>
      <w:r>
        <w:rPr>
          <w:rFonts w:ascii="Palatino Linotype" w:eastAsia="Palatino Linotype" w:hAnsi="Palatino Linotype" w:cs="Palatino Linotype"/>
        </w:rPr>
        <w:t>En ese contexto, la Dirección de Gerencia de la Ciudad refirió que son una dependencia encargada de recibir, gestionar y resolver servicios que el ciudadano tiene a su alcance a través de la aplicación Metepec *7311. En ese contexto podemos referir que dicha dependencia fue vinculada al mismo tiempo que dicha aplicación para poder atender vía telefónica generalmente las quejas de los ciudadanos a los servicios públicos en Metepec, o cualquier siniestro. Es decir que no se tiene una fecha de inicio de la aplicación sin embargo la dependencia fue creada en el año 2022 y tiene la instrucción que estará hasta en funciones hasta la presente administración 2025-2027.</w:t>
      </w:r>
    </w:p>
    <w:p w:rsidR="00E21458" w:rsidRDefault="00E21458">
      <w:pPr>
        <w:widowControl w:val="0"/>
        <w:tabs>
          <w:tab w:val="center" w:pos="4522"/>
        </w:tabs>
        <w:rPr>
          <w:rFonts w:ascii="Palatino Linotype" w:eastAsia="Palatino Linotype" w:hAnsi="Palatino Linotype" w:cs="Palatino Linotype"/>
        </w:rPr>
      </w:pPr>
    </w:p>
    <w:p w:rsidR="00E21458" w:rsidRDefault="00376B19">
      <w:pPr>
        <w:widowControl w:val="0"/>
        <w:tabs>
          <w:tab w:val="center" w:pos="4522"/>
        </w:tabs>
        <w:rPr>
          <w:rFonts w:ascii="Palatino Linotype" w:eastAsia="Palatino Linotype" w:hAnsi="Palatino Linotype" w:cs="Palatino Linotype"/>
        </w:rPr>
      </w:pPr>
      <w:r>
        <w:rPr>
          <w:rFonts w:ascii="Palatino Linotype" w:eastAsia="Palatino Linotype" w:hAnsi="Palatino Linotype" w:cs="Palatino Linotype"/>
        </w:rPr>
        <w:t xml:space="preserve">Situación que robustece, este Instituto localizo dentro de la página oficial del Ayuntamiento de Metepec la página de la gerencia de la ciudad, como apoyo para los ciudadanos los 365 días del año emitido por el Sujeto Obligado en la administración 2022-2024. </w:t>
      </w:r>
    </w:p>
    <w:p w:rsidR="00E21458" w:rsidRDefault="00376B19">
      <w:pPr>
        <w:ind w:right="4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3672151" cy="1139289"/>
            <wp:effectExtent l="0" t="0" r="0" b="0"/>
            <wp:docPr id="18874022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672151" cy="1139289"/>
                    </a:xfrm>
                    <a:prstGeom prst="rect">
                      <a:avLst/>
                    </a:prstGeom>
                    <a:ln/>
                  </pic:spPr>
                </pic:pic>
              </a:graphicData>
            </a:graphic>
          </wp:inline>
        </w:drawing>
      </w:r>
    </w:p>
    <w:p w:rsidR="00E21458" w:rsidRDefault="00376B19">
      <w:pPr>
        <w:ind w:right="49"/>
        <w:rPr>
          <w:rFonts w:ascii="Palatino Linotype" w:eastAsia="Palatino Linotype" w:hAnsi="Palatino Linotype" w:cs="Palatino Linotype"/>
        </w:rPr>
      </w:pPr>
      <w:r>
        <w:rPr>
          <w:rFonts w:ascii="Palatino Linotype" w:eastAsia="Palatino Linotype" w:hAnsi="Palatino Linotype" w:cs="Palatino Linotype"/>
        </w:rPr>
        <w:t xml:space="preserve">(Fotografía extraída de la Página Oficial del Ayuntamiento de Metepec a través de </w:t>
      </w:r>
      <w:hyperlink r:id="rId12">
        <w:r>
          <w:rPr>
            <w:rFonts w:ascii="Palatino Linotype" w:eastAsia="Palatino Linotype" w:hAnsi="Palatino Linotype" w:cs="Palatino Linotype"/>
            <w:color w:val="0000FF"/>
            <w:u w:val="single"/>
          </w:rPr>
          <w:t>https://metepec.gob.mx/gerencia_ciudad/</w:t>
        </w:r>
      </w:hyperlink>
      <w:r>
        <w:rPr>
          <w:rFonts w:ascii="Palatino Linotype" w:eastAsia="Palatino Linotype" w:hAnsi="Palatino Linotype" w:cs="Palatino Linotype"/>
        </w:rPr>
        <w:t xml:space="preserve"> consultada el veintiséis de noviembre de dos mil veinticinco a las 12:30pm)</w:t>
      </w:r>
    </w:p>
    <w:p w:rsidR="00E21458" w:rsidRDefault="00E21458">
      <w:pPr>
        <w:ind w:right="49"/>
        <w:rPr>
          <w:rFonts w:ascii="Palatino Linotype" w:eastAsia="Palatino Linotype" w:hAnsi="Palatino Linotype" w:cs="Palatino Linotype"/>
        </w:rPr>
      </w:pPr>
    </w:p>
    <w:p w:rsidR="00E21458" w:rsidRDefault="00376B19">
      <w:pPr>
        <w:ind w:right="49"/>
        <w:rPr>
          <w:rFonts w:ascii="Palatino Linotype" w:eastAsia="Palatino Linotype" w:hAnsi="Palatino Linotype" w:cs="Palatino Linotype"/>
        </w:rPr>
      </w:pPr>
      <w:r>
        <w:rPr>
          <w:rFonts w:ascii="Palatino Linotype" w:eastAsia="Palatino Linotype" w:hAnsi="Palatino Linotype" w:cs="Palatino Linotype"/>
        </w:rPr>
        <w:t xml:space="preserve">Así mismo, se localizaron las notas periodísticas “Fernando Flores presenta la aplicación *7311 “y “La exitosa app *7311”, (consultadas en las ligas electrónica </w:t>
      </w:r>
      <w:hyperlink r:id="rId13">
        <w:r>
          <w:rPr>
            <w:rFonts w:ascii="Palatino Linotype" w:eastAsia="Palatino Linotype" w:hAnsi="Palatino Linotype" w:cs="Palatino Linotype"/>
            <w:color w:val="0000FF"/>
            <w:u w:val="single"/>
          </w:rPr>
          <w:t>https://www.luisrochanoticias.com/post/fernando-flores-fern%C3%A1ndez-y-la-exitosa-app-7311-de-atenci%C3%B3n-ciudadana</w:t>
        </w:r>
      </w:hyperlink>
      <w:r>
        <w:rPr>
          <w:rFonts w:ascii="Palatino Linotype" w:eastAsia="Palatino Linotype" w:hAnsi="Palatino Linotype" w:cs="Palatino Linotype"/>
        </w:rPr>
        <w:t xml:space="preserve">  </w:t>
      </w:r>
      <w:hyperlink r:id="rId14">
        <w:r>
          <w:rPr>
            <w:rFonts w:ascii="Palatino Linotype" w:eastAsia="Palatino Linotype" w:hAnsi="Palatino Linotype" w:cs="Palatino Linotype"/>
            <w:color w:val="0000FF"/>
            <w:u w:val="single"/>
          </w:rPr>
          <w:t>https://seunonoticias.mx/2024/06/12/fernando-flores-presenta-la-aplicacion-7311-a-traves-de-un-video-en-redes-sociales</w:t>
        </w:r>
      </w:hyperlink>
      <w:r>
        <w:rPr>
          <w:rFonts w:ascii="Palatino Linotype" w:eastAsia="Palatino Linotype" w:hAnsi="Palatino Linotype" w:cs="Palatino Linotype"/>
        </w:rPr>
        <w:t xml:space="preserve"> tal como se muestra a continuación:</w:t>
      </w:r>
    </w:p>
    <w:p w:rsidR="00E21458" w:rsidRDefault="00E21458">
      <w:pPr>
        <w:ind w:right="49"/>
        <w:rPr>
          <w:rFonts w:ascii="Palatino Linotype" w:eastAsia="Palatino Linotype" w:hAnsi="Palatino Linotype" w:cs="Palatino Linotype"/>
        </w:rPr>
      </w:pPr>
    </w:p>
    <w:p w:rsidR="00E21458" w:rsidRDefault="00376B19">
      <w:pPr>
        <w:ind w:right="4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3258461" cy="2797233"/>
            <wp:effectExtent l="0" t="0" r="0" b="0"/>
            <wp:docPr id="18874022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258461" cy="2797233"/>
                    </a:xfrm>
                    <a:prstGeom prst="rect">
                      <a:avLst/>
                    </a:prstGeom>
                    <a:ln/>
                  </pic:spPr>
                </pic:pic>
              </a:graphicData>
            </a:graphic>
          </wp:inline>
        </w:drawing>
      </w:r>
    </w:p>
    <w:p w:rsidR="00E21458" w:rsidRDefault="00376B19">
      <w:pPr>
        <w:ind w:right="49"/>
        <w:rPr>
          <w:rFonts w:ascii="Palatino Linotype" w:eastAsia="Palatino Linotype" w:hAnsi="Palatino Linotype" w:cs="Palatino Linotype"/>
        </w:rPr>
      </w:pPr>
      <w:r>
        <w:rPr>
          <w:rFonts w:ascii="Palatino Linotype" w:eastAsia="Palatino Linotype" w:hAnsi="Palatino Linotype" w:cs="Palatino Linotype"/>
        </w:rPr>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rFonts w:ascii="Palatino Linotype" w:eastAsia="Palatino Linotype" w:hAnsi="Palatino Linotype" w:cs="Palatino Linotype"/>
          <w:b/>
          <w:bCs/>
          <w:i/>
          <w:iCs/>
        </w:rPr>
        <w:t>NOTAS PERIODISTICAS, EL CONOCIMIENTO QUE DE ELLAS SE OBTIENE NO CONSTITUYE ‘UN HECHO PUBLICO Y NOTORIO’</w:t>
      </w:r>
      <w:r>
        <w:rPr>
          <w:rFonts w:ascii="Palatino Linotype" w:eastAsia="Palatino Linotype" w:hAnsi="Palatino Linotype" w:cs="Palatino Linotype"/>
        </w:rPr>
        <w:t xml:space="preserve">” </w:t>
      </w:r>
      <w:r>
        <w:rPr>
          <w:rFonts w:ascii="Palatino Linotype" w:eastAsia="Palatino Linotype" w:hAnsi="Palatino Linotype" w:cs="Palatino Linotype"/>
          <w:i/>
          <w:iCs/>
        </w:rPr>
        <w:t>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r>
        <w:rPr>
          <w:rFonts w:ascii="Palatino Linotype" w:eastAsia="Palatino Linotype" w:hAnsi="Palatino Linotype" w:cs="Palatino Linotype"/>
        </w:rPr>
        <w:t xml:space="preserve">. De tal situación, lo consignado en las notas periodísticas no constituye un hecho público o notorio, sino que es una opinión de su autor, por lo que sólo se pueden tomar como indicios. </w:t>
      </w:r>
    </w:p>
    <w:p w:rsidR="00E21458" w:rsidRDefault="00E21458">
      <w:pPr>
        <w:ind w:right="49"/>
        <w:rPr>
          <w:rFonts w:ascii="Palatino Linotype" w:eastAsia="Palatino Linotype" w:hAnsi="Palatino Linotype" w:cs="Palatino Linotype"/>
        </w:rPr>
      </w:pPr>
    </w:p>
    <w:p w:rsidR="00E21458" w:rsidRDefault="00376B19">
      <w:pPr>
        <w:ind w:right="49"/>
        <w:rPr>
          <w:rFonts w:ascii="Palatino Linotype" w:eastAsia="Palatino Linotype" w:hAnsi="Palatino Linotype" w:cs="Palatino Linotype"/>
        </w:rPr>
      </w:pPr>
      <w:r>
        <w:rPr>
          <w:rFonts w:ascii="Palatino Linotype" w:eastAsia="Palatino Linotype" w:hAnsi="Palatino Linotype" w:cs="Palatino Linotype"/>
        </w:rPr>
        <w:lastRenderedPageBreak/>
        <w:t>En ese sentido, si bien de la nota periodística señalada, contiene información que guarda relación con lo solicitado, a saber, de la aplicación Metepec *7311 en el Municipio, lo cierto es que no constituyen prueba plena, al ser una opinión privada realizada por parte de un particular; sin embargo, en el presente caso, sirven de indicio para robustecer lo encontrado en las redes sociales del Sujeto Obligado.</w:t>
      </w:r>
    </w:p>
    <w:p w:rsidR="00E21458" w:rsidRDefault="00E21458">
      <w:pPr>
        <w:ind w:right="49"/>
        <w:rPr>
          <w:rFonts w:ascii="Palatino Linotype" w:eastAsia="Palatino Linotype" w:hAnsi="Palatino Linotype" w:cs="Palatino Linotype"/>
        </w:rPr>
      </w:pPr>
    </w:p>
    <w:p w:rsidR="00E21458" w:rsidRDefault="00376B19">
      <w:pPr>
        <w:ind w:right="49"/>
        <w:rPr>
          <w:rFonts w:ascii="Palatino Linotype" w:eastAsia="Palatino Linotype" w:hAnsi="Palatino Linotype" w:cs="Palatino Linotype"/>
        </w:rPr>
      </w:pPr>
      <w:r>
        <w:rPr>
          <w:rFonts w:ascii="Palatino Linotype" w:eastAsia="Palatino Linotype" w:hAnsi="Palatino Linotype" w:cs="Palatino Linotype"/>
        </w:rPr>
        <w:t>Ahora bien, de las constancias que obran en el expediente, se logra vislumbrar que el Sujeto Obligado remitió la información incompleta, pues si bien proporciono información que se relaciona con la aplicación Metepec *7311, lo cierto es que fue omiso en pronunciarse respecto al presupuesto otorgado y ejercido, así como las personas que operan dicha aplicación y finalmente la fecha exacta de instauración ; sobre el tema, el artículo 1.8, fracción XIII, del Código Administrativo del Estado de México, establece que para que tenga validez, todo acto administrativo deberá resolver todos los puntos propuestos por los interesados.</w:t>
      </w:r>
    </w:p>
    <w:p w:rsidR="00E21458" w:rsidRDefault="00E21458">
      <w:pPr>
        <w:ind w:right="49"/>
        <w:rPr>
          <w:rFonts w:ascii="Palatino Linotype" w:eastAsia="Palatino Linotype" w:hAnsi="Palatino Linotype" w:cs="Palatino Linotype"/>
        </w:rPr>
      </w:pPr>
    </w:p>
    <w:p w:rsidR="00E21458" w:rsidRDefault="00376B19">
      <w:pPr>
        <w:ind w:right="49"/>
        <w:rPr>
          <w:rFonts w:ascii="Palatino Linotype" w:eastAsia="Palatino Linotype" w:hAnsi="Palatino Linotype" w:cs="Palatino Linotype"/>
        </w:rPr>
      </w:pPr>
      <w:r>
        <w:rPr>
          <w:rFonts w:ascii="Palatino Linotype" w:eastAsia="Palatino Linotype" w:hAnsi="Palatino Linotype" w:cs="Palatino Linotype"/>
        </w:rPr>
        <w:t>Situación que se robustece, con el Criterio de Interpretación, con clave de control SO/002/2017, de la Segunda Época, emitido por el Instituto Nacional de Transparencia, Acceso a la Información y Protección de Datos Personales, que establece que todo acto administrativo debe apegarse al principio de exhaustividad,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E21458" w:rsidRDefault="00E21458">
      <w:pPr>
        <w:ind w:right="49"/>
        <w:rPr>
          <w:rFonts w:ascii="Palatino Linotype" w:eastAsia="Palatino Linotype" w:hAnsi="Palatino Linotype" w:cs="Palatino Linotype"/>
        </w:rPr>
      </w:pPr>
    </w:p>
    <w:p w:rsidR="00E21458" w:rsidRDefault="00376B19">
      <w:pPr>
        <w:ind w:right="49"/>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esa tesitura, se concluye que el Sujeto Obligado no satisfizo el derecho de acceso a la información del Solicitante, al incumplir el principio de exhaustividad, pues omitió proporcionar parte de la información solicitada, lo cual da como resultado que el agravio sea </w:t>
      </w:r>
      <w:r>
        <w:rPr>
          <w:rFonts w:ascii="Palatino Linotype" w:eastAsia="Palatino Linotype" w:hAnsi="Palatino Linotype" w:cs="Palatino Linotype"/>
          <w:b/>
          <w:bCs/>
        </w:rPr>
        <w:t>FUNDADO.</w:t>
      </w:r>
      <w:r>
        <w:rPr>
          <w:rFonts w:ascii="Palatino Linotype" w:eastAsia="Palatino Linotype" w:hAnsi="Palatino Linotype" w:cs="Palatino Linotype"/>
        </w:rPr>
        <w:t xml:space="preserve"> </w:t>
      </w:r>
    </w:p>
    <w:p w:rsidR="00E21458" w:rsidRDefault="00E21458">
      <w:pPr>
        <w:ind w:right="49"/>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Por lo que, para atender el requerimiento de información, el Sujeto Obligado deberá realizar una búsqueda exhaustiva y razonable en los archivos de las unidades administrativas competentes, a efecto de que proporcione el documento donde conste presupuesto otorgado y ejercido, así como las personas que operan dicha aplicación y la fecha exacta de instauración al veintiocho de abril de dos mil veinticinco.</w:t>
      </w:r>
    </w:p>
    <w:p w:rsidR="00E21458" w:rsidRDefault="00E21458">
      <w:pPr>
        <w:rPr>
          <w:rFonts w:ascii="Palatino Linotype" w:eastAsia="Palatino Linotype" w:hAnsi="Palatino Linotype" w:cs="Palatino Linotype"/>
          <w:color w:val="FF0000"/>
        </w:rPr>
      </w:pPr>
    </w:p>
    <w:p w:rsidR="00E21458" w:rsidRDefault="00376B19">
      <w:pPr>
        <w:ind w:right="-28"/>
        <w:rPr>
          <w:rFonts w:ascii="Palatino Linotype" w:eastAsia="Palatino Linotype" w:hAnsi="Palatino Linotype" w:cs="Palatino Linotype"/>
          <w:color w:val="000000"/>
        </w:rPr>
      </w:pPr>
      <w:r>
        <w:rPr>
          <w:rFonts w:ascii="Palatino Linotype" w:eastAsia="Palatino Linotype" w:hAnsi="Palatino Linotype" w:cs="Palatino Linotype"/>
          <w:color w:val="000000"/>
        </w:rP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E21458" w:rsidRDefault="00E21458">
      <w:pPr>
        <w:ind w:right="-28"/>
        <w:rPr>
          <w:rFonts w:ascii="Palatino Linotype" w:eastAsia="Palatino Linotype" w:hAnsi="Palatino Linotype" w:cs="Palatino Linotype"/>
          <w:color w:val="000000"/>
        </w:rPr>
      </w:pPr>
    </w:p>
    <w:p w:rsidR="00E21458" w:rsidRDefault="00376B19">
      <w:pPr>
        <w:ind w:right="-28"/>
        <w:rPr>
          <w:rFonts w:ascii="Palatino Linotype" w:eastAsia="Palatino Linotype" w:hAnsi="Palatino Linotype" w:cs="Palatino Linotype"/>
          <w:color w:val="000000"/>
        </w:rPr>
      </w:pPr>
      <w:r>
        <w:rPr>
          <w:rFonts w:ascii="Palatino Linotype" w:eastAsia="Palatino Linotype" w:hAnsi="Palatino Linotype" w:cs="Palatino Linotype"/>
          <w:color w:val="000000"/>
        </w:rPr>
        <w:t>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w:t>
      </w:r>
    </w:p>
    <w:p w:rsidR="00E21458" w:rsidRDefault="00E21458">
      <w:pPr>
        <w:ind w:right="-28"/>
        <w:rPr>
          <w:rFonts w:ascii="Palatino Linotype" w:eastAsia="Palatino Linotype" w:hAnsi="Palatino Linotype" w:cs="Palatino Linotype"/>
          <w:color w:val="000000"/>
        </w:rPr>
      </w:pPr>
    </w:p>
    <w:p w:rsidR="00E21458" w:rsidRDefault="00376B19">
      <w:pPr>
        <w:ind w:right="49"/>
        <w:rPr>
          <w:rFonts w:ascii="Palatino Linotype" w:eastAsia="Palatino Linotype" w:hAnsi="Palatino Linotype" w:cs="Palatino Linotype"/>
        </w:rPr>
      </w:pPr>
      <w:r>
        <w:rPr>
          <w:rFonts w:ascii="Palatino Linotype" w:eastAsia="Palatino Linotype" w:hAnsi="Palatino Linotype" w:cs="Palatino Linotype"/>
        </w:rPr>
        <w:lastRenderedPageBreak/>
        <w:t>Finalmente, no pasa desapercibido para este Instituto que la información solicitada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rsidR="00E21458" w:rsidRDefault="00E21458">
      <w:pPr>
        <w:ind w:right="49"/>
        <w:rPr>
          <w:rFonts w:ascii="Palatino Linotype" w:eastAsia="Palatino Linotype" w:hAnsi="Palatino Linotype" w:cs="Palatino Linotype"/>
        </w:rPr>
      </w:pPr>
    </w:p>
    <w:p w:rsidR="00E21458" w:rsidRDefault="00376B19">
      <w:pPr>
        <w:ind w:right="49"/>
        <w:rPr>
          <w:rFonts w:ascii="Palatino Linotype" w:eastAsia="Palatino Linotype" w:hAnsi="Palatino Linotype" w:cs="Palatino Linotype"/>
        </w:rPr>
      </w:pPr>
      <w:r>
        <w:rPr>
          <w:rFonts w:ascii="Palatino Linotype" w:eastAsia="Palatino Linotype" w:hAnsi="Palatino Linotype" w:cs="Palatino Linotype"/>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E21458" w:rsidRDefault="00E21458">
      <w:pPr>
        <w:tabs>
          <w:tab w:val="left" w:pos="4962"/>
        </w:tabs>
        <w:rPr>
          <w:rFonts w:ascii="Palatino Linotype" w:eastAsia="Palatino Linotype" w:hAnsi="Palatino Linotype" w:cs="Palatino Linotype"/>
          <w:color w:val="FF0000"/>
        </w:rPr>
      </w:pPr>
    </w:p>
    <w:p w:rsidR="00E21458" w:rsidRPr="009431FC" w:rsidRDefault="00376B19" w:rsidP="009431FC">
      <w:pPr>
        <w:pStyle w:val="Ttulo2"/>
        <w:spacing w:before="0" w:after="0"/>
        <w:rPr>
          <w:rFonts w:ascii="Palatino Linotype" w:eastAsia="Palatino Linotype" w:hAnsi="Palatino Linotype" w:cs="Palatino Linotype"/>
          <w:color w:val="000000"/>
          <w:sz w:val="22"/>
          <w:szCs w:val="22"/>
        </w:rPr>
      </w:pPr>
      <w:bookmarkStart w:id="27" w:name="_heading=h.b6wla17fjbhp" w:colFirst="0" w:colLast="0"/>
      <w:bookmarkStart w:id="28" w:name="_Toc215759143"/>
      <w:bookmarkEnd w:id="27"/>
      <w:r w:rsidRPr="009431FC">
        <w:rPr>
          <w:rFonts w:ascii="Palatino Linotype" w:eastAsia="Palatino Linotype" w:hAnsi="Palatino Linotype" w:cs="Palatino Linotype"/>
          <w:color w:val="000000"/>
          <w:sz w:val="22"/>
          <w:szCs w:val="22"/>
        </w:rPr>
        <w:t>SEXTO. Decisión</w:t>
      </w:r>
      <w:bookmarkEnd w:id="28"/>
      <w:r w:rsidRPr="009431FC">
        <w:rPr>
          <w:rFonts w:ascii="Palatino Linotype" w:eastAsia="Palatino Linotype" w:hAnsi="Palatino Linotype" w:cs="Palatino Linotype"/>
          <w:color w:val="000000"/>
          <w:sz w:val="22"/>
          <w:szCs w:val="22"/>
        </w:rPr>
        <w:t xml:space="preserve"> </w:t>
      </w:r>
    </w:p>
    <w:p w:rsidR="00E21458" w:rsidRDefault="00E21458">
      <w:pPr>
        <w:rPr>
          <w:rFonts w:ascii="Palatino Linotype" w:eastAsia="Palatino Linotype" w:hAnsi="Palatino Linotype" w:cs="Palatino Linotype"/>
          <w:b/>
          <w:bCs/>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 xml:space="preserve">Con fundamento en el artículo 186, fracción II, de la Ley de Transparencia y Acceso a la Información Pública del Estado de México y Municipios, este Instituto considera procedente </w:t>
      </w:r>
      <w:r>
        <w:rPr>
          <w:rFonts w:ascii="Palatino Linotype" w:eastAsia="Palatino Linotype" w:hAnsi="Palatino Linotype" w:cs="Palatino Linotype"/>
          <w:b/>
          <w:bCs/>
        </w:rPr>
        <w:t>MODIFICAR la</w:t>
      </w:r>
      <w:r>
        <w:rPr>
          <w:rFonts w:ascii="Palatino Linotype" w:eastAsia="Palatino Linotype" w:hAnsi="Palatino Linotype" w:cs="Palatino Linotype"/>
        </w:rPr>
        <w:t xml:space="preserve"> respuesta del Ayuntamiento de Metepec, a efecto de que entregue la información solicitada. </w:t>
      </w:r>
    </w:p>
    <w:p w:rsidR="00E21458" w:rsidRDefault="00E21458">
      <w:pPr>
        <w:tabs>
          <w:tab w:val="left" w:pos="4962"/>
        </w:tabs>
        <w:rPr>
          <w:rFonts w:ascii="Palatino Linotype" w:eastAsia="Palatino Linotype" w:hAnsi="Palatino Linotype" w:cs="Palatino Linotype"/>
        </w:rPr>
      </w:pPr>
    </w:p>
    <w:p w:rsidR="00E21458" w:rsidRDefault="00376B19">
      <w:pPr>
        <w:keepNext/>
        <w:keepLines/>
        <w:rPr>
          <w:rFonts w:ascii="Palatino Linotype" w:eastAsia="Palatino Linotype" w:hAnsi="Palatino Linotype" w:cs="Palatino Linotype"/>
          <w:b/>
          <w:bCs/>
        </w:rPr>
      </w:pPr>
      <w:bookmarkStart w:id="29" w:name="_heading=h.76rvjhiqg3zy" w:colFirst="0" w:colLast="0"/>
      <w:bookmarkEnd w:id="29"/>
      <w:r>
        <w:rPr>
          <w:rFonts w:ascii="Palatino Linotype" w:eastAsia="Palatino Linotype" w:hAnsi="Palatino Linotype" w:cs="Palatino Linotype"/>
          <w:b/>
          <w:bCs/>
        </w:rPr>
        <w:t>Términos de la Resolución para conocimiento del Particular</w:t>
      </w:r>
    </w:p>
    <w:p w:rsidR="00E21458" w:rsidRDefault="00E21458">
      <w:pPr>
        <w:rPr>
          <w:rFonts w:ascii="Palatino Linotype" w:eastAsia="Palatino Linotype" w:hAnsi="Palatino Linotype" w:cs="Palatino Linotype"/>
          <w:color w:val="FF0000"/>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lastRenderedPageBreak/>
        <w:t>Se le hace del conocimiento al Particular, que, en el presente caso, se le concede la razón pues el Sujeto Obligado, proporciono una liga electrónica de la cual no se advierte con claridad la información requerida, aunado a que no proporciono de manera completa dicho requerimiento.</w:t>
      </w:r>
    </w:p>
    <w:p w:rsidR="00E21458" w:rsidRDefault="00E21458">
      <w:pPr>
        <w:tabs>
          <w:tab w:val="left" w:pos="4962"/>
        </w:tabs>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Finalmente, se le informa que la labor del Instituto de Transparencia, Acceso a la Información Pública y Protección de Datos Personales del Estado de México y Municipios, es apoyar a la población a acceder a la información pública y garantizar la protección de sus datos personales.</w:t>
      </w:r>
    </w:p>
    <w:p w:rsidR="00E21458" w:rsidRDefault="00E21458">
      <w:pPr>
        <w:widowControl w:val="0"/>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rPr>
        <w:t>Por lo expuesto y fundado, este Pleno:</w:t>
      </w:r>
    </w:p>
    <w:p w:rsidR="00E21458" w:rsidRDefault="00E21458">
      <w:pPr>
        <w:rPr>
          <w:rFonts w:ascii="Palatino Linotype" w:eastAsia="Palatino Linotype" w:hAnsi="Palatino Linotype" w:cs="Palatino Linotype"/>
          <w:color w:val="FF0000"/>
        </w:rPr>
      </w:pPr>
    </w:p>
    <w:p w:rsidR="00E21458" w:rsidRPr="009431FC" w:rsidRDefault="00376B19" w:rsidP="009431FC">
      <w:pPr>
        <w:pStyle w:val="Ttulo1"/>
        <w:spacing w:before="0" w:after="0"/>
        <w:jc w:val="center"/>
        <w:rPr>
          <w:rFonts w:ascii="Palatino Linotype" w:eastAsia="Palatino Linotype" w:hAnsi="Palatino Linotype" w:cs="Palatino Linotype"/>
          <w:color w:val="000000"/>
          <w:sz w:val="22"/>
          <w:szCs w:val="22"/>
        </w:rPr>
      </w:pPr>
      <w:bookmarkStart w:id="30" w:name="_heading=h.ck5w3u26s0r5" w:colFirst="0" w:colLast="0"/>
      <w:bookmarkStart w:id="31" w:name="_Toc215759144"/>
      <w:bookmarkEnd w:id="30"/>
      <w:r w:rsidRPr="009431FC">
        <w:rPr>
          <w:rFonts w:ascii="Palatino Linotype" w:eastAsia="Palatino Linotype" w:hAnsi="Palatino Linotype" w:cs="Palatino Linotype"/>
          <w:color w:val="000000"/>
          <w:sz w:val="22"/>
          <w:szCs w:val="22"/>
        </w:rPr>
        <w:t>R E S U E L V E</w:t>
      </w:r>
      <w:bookmarkEnd w:id="31"/>
    </w:p>
    <w:p w:rsidR="00E21458" w:rsidRDefault="00E21458">
      <w:pPr>
        <w:rPr>
          <w:rFonts w:ascii="Palatino Linotype" w:eastAsia="Palatino Linotype" w:hAnsi="Palatino Linotype" w:cs="Palatino Linotype"/>
        </w:rPr>
      </w:pP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bCs/>
        </w:rPr>
        <w:t>MODIFICA l</w:t>
      </w:r>
      <w:r>
        <w:rPr>
          <w:rFonts w:ascii="Palatino Linotype" w:eastAsia="Palatino Linotype" w:hAnsi="Palatino Linotype" w:cs="Palatino Linotype"/>
        </w:rPr>
        <w:t>a respuesta entregada por el Ayuntamiento de Metepec a la solicitud de acceso a la información con número de folio 00169/METEPEC/IP/2025</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por resultar </w:t>
      </w:r>
      <w:r>
        <w:rPr>
          <w:rFonts w:ascii="Palatino Linotype" w:eastAsia="Palatino Linotype" w:hAnsi="Palatino Linotype" w:cs="Palatino Linotype"/>
          <w:b/>
          <w:bCs/>
        </w:rPr>
        <w:t>FUNDADAS</w:t>
      </w:r>
      <w:r>
        <w:rPr>
          <w:rFonts w:ascii="Palatino Linotype" w:eastAsia="Palatino Linotype" w:hAnsi="Palatino Linotype" w:cs="Palatino Linotype"/>
        </w:rPr>
        <w:t xml:space="preserve"> las razones o motivos de inconformidad hechas valer por el Recurrente, en términos de los Considerandos QUINTO y SEXTO de esta Resolución.</w:t>
      </w:r>
    </w:p>
    <w:p w:rsidR="00E21458" w:rsidRDefault="00E21458">
      <w:pPr>
        <w:rPr>
          <w:rFonts w:ascii="Palatino Linotype" w:eastAsia="Palatino Linotype" w:hAnsi="Palatino Linotype" w:cs="Palatino Linotype"/>
          <w:color w:val="FF0000"/>
        </w:rPr>
      </w:pPr>
    </w:p>
    <w:p w:rsidR="00E21458" w:rsidRDefault="00376B19">
      <w:r>
        <w:rPr>
          <w:rFonts w:ascii="Palatino Linotype" w:eastAsia="Palatino Linotype" w:hAnsi="Palatino Linotype" w:cs="Palatino Linotype"/>
          <w:b/>
          <w:bCs/>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bCs/>
        </w:rPr>
        <w:t>ORDENA</w:t>
      </w:r>
      <w:r>
        <w:rPr>
          <w:rFonts w:ascii="Palatino Linotype" w:eastAsia="Palatino Linotype" w:hAnsi="Palatino Linotype" w:cs="Palatino Linotype"/>
        </w:rPr>
        <w:t xml:space="preserve"> al Ente Recurrido, a efecto de que previa búsqueda exhaustiva y razonable en los archivos de las unidades administrativas competentes, entregue a través del Sistema de Acceso a la Información Mexiquense (SAIMEX), de ser el caso, en versión pública, con relación a la Aplicación “METEPEC *7311”, los documentos donde conste lo siguiente</w:t>
      </w:r>
      <w:r>
        <w:t>:</w:t>
      </w:r>
    </w:p>
    <w:p w:rsidR="00E21458" w:rsidRDefault="00E21458"/>
    <w:p w:rsidR="00E21458" w:rsidRDefault="00376B19">
      <w:pPr>
        <w:numPr>
          <w:ilvl w:val="0"/>
          <w:numId w:val="3"/>
        </w:numPr>
        <w:pBdr>
          <w:top w:val="nil"/>
          <w:left w:val="nil"/>
          <w:bottom w:val="nil"/>
          <w:right w:val="nil"/>
          <w:between w:val="nil"/>
        </w:pBdr>
        <w:ind w:right="-28"/>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Listado de personal adscrito a la Dirección de la Gerencia de la Ciudad que al veintiocho de abril de dos mil veinticinco se encargaba de todo lo relacionado con la aplicación.</w:t>
      </w:r>
    </w:p>
    <w:p w:rsidR="00E21458" w:rsidRDefault="00376B19">
      <w:pPr>
        <w:numPr>
          <w:ilvl w:val="0"/>
          <w:numId w:val="3"/>
        </w:numPr>
        <w:pBdr>
          <w:top w:val="nil"/>
          <w:left w:val="nil"/>
          <w:bottom w:val="nil"/>
          <w:right w:val="nil"/>
          <w:between w:val="nil"/>
        </w:pBdr>
        <w:ind w:right="-28"/>
        <w:rPr>
          <w:rFonts w:ascii="Palatino Linotype" w:eastAsia="Palatino Linotype" w:hAnsi="Palatino Linotype" w:cs="Palatino Linotype"/>
          <w:color w:val="000000"/>
        </w:rPr>
      </w:pPr>
      <w:r>
        <w:rPr>
          <w:rFonts w:ascii="Palatino Linotype" w:eastAsia="Palatino Linotype" w:hAnsi="Palatino Linotype" w:cs="Palatino Linotype"/>
          <w:color w:val="000000"/>
        </w:rPr>
        <w:t>Presupuesto otorgado y ejercido desde su fecha de implementación al veintiocho de abril de dos mil veinticinco.</w:t>
      </w:r>
    </w:p>
    <w:p w:rsidR="00E21458" w:rsidRDefault="00376B19">
      <w:pPr>
        <w:numPr>
          <w:ilvl w:val="0"/>
          <w:numId w:val="3"/>
        </w:numPr>
        <w:pBdr>
          <w:top w:val="nil"/>
          <w:left w:val="nil"/>
          <w:bottom w:val="nil"/>
          <w:right w:val="nil"/>
          <w:between w:val="nil"/>
        </w:pBdr>
        <w:ind w:right="-28"/>
        <w:rPr>
          <w:rFonts w:ascii="Palatino Linotype" w:eastAsia="Palatino Linotype" w:hAnsi="Palatino Linotype" w:cs="Palatino Linotype"/>
          <w:color w:val="000000"/>
        </w:rPr>
      </w:pPr>
      <w:r>
        <w:rPr>
          <w:rFonts w:ascii="Palatino Linotype" w:eastAsia="Palatino Linotype" w:hAnsi="Palatino Linotype" w:cs="Palatino Linotype"/>
          <w:color w:val="000000"/>
        </w:rPr>
        <w:t>Fecha de inicio de operaciones.</w:t>
      </w:r>
    </w:p>
    <w:p w:rsidR="00E21458" w:rsidRDefault="00E21458">
      <w:pPr>
        <w:pBdr>
          <w:top w:val="nil"/>
          <w:left w:val="nil"/>
          <w:bottom w:val="nil"/>
          <w:right w:val="nil"/>
          <w:between w:val="nil"/>
        </w:pBdr>
        <w:ind w:right="-28"/>
        <w:rPr>
          <w:rFonts w:ascii="Palatino Linotype" w:eastAsia="Palatino Linotype" w:hAnsi="Palatino Linotype" w:cs="Palatino Linotype"/>
        </w:rPr>
      </w:pPr>
    </w:p>
    <w:p w:rsidR="00E21458" w:rsidRDefault="00376B19">
      <w:pPr>
        <w:ind w:right="-91"/>
        <w:rPr>
          <w:rFonts w:ascii="Palatino Linotype" w:eastAsia="Palatino Linotype" w:hAnsi="Palatino Linotype" w:cs="Palatino Linotype"/>
        </w:rPr>
      </w:pPr>
      <w:r>
        <w:rPr>
          <w:rFonts w:ascii="Palatino Linotype" w:eastAsia="Palatino Linotype" w:hAnsi="Palatino Linotype" w:cs="Palatino Linotype"/>
        </w:rPr>
        <w:t>Además, de ser necesario, deberá proporcionar el Acuerdo de Clasificación donde el Comité de Transparencia, confirme la eliminación de los datos o información, en la versión pública, de conformidad con los artículos 49, fracciones II y VIII, 132, fracción II y 143, fracción I, de la Ley de Transparencia y Acceso a la Información Pública del Estado de México y Municipios.</w:t>
      </w:r>
    </w:p>
    <w:p w:rsidR="00E21458" w:rsidRDefault="00E21458">
      <w:pPr>
        <w:ind w:right="-91"/>
        <w:rPr>
          <w:rFonts w:ascii="Palatino Linotype" w:eastAsia="Palatino Linotype" w:hAnsi="Palatino Linotype" w:cs="Palatino Linotype"/>
        </w:rPr>
      </w:pPr>
    </w:p>
    <w:p w:rsidR="00E21458" w:rsidRDefault="00376B19">
      <w:pPr>
        <w:ind w:right="-28"/>
        <w:rPr>
          <w:rFonts w:ascii="Palatino Linotype" w:eastAsia="Palatino Linotype" w:hAnsi="Palatino Linotype" w:cs="Palatino Linotype"/>
        </w:rPr>
      </w:pPr>
      <w:r>
        <w:rPr>
          <w:rFonts w:ascii="Palatino Linotype" w:eastAsia="Palatino Linotype" w:hAnsi="Palatino Linotype" w:cs="Palatino Linotype"/>
          <w:b/>
          <w:bCs/>
        </w:rPr>
        <w:t xml:space="preserve">TERCERO. NOTIFÍQUESE POR SAIMEX </w:t>
      </w:r>
      <w:r>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E21458" w:rsidRDefault="00E21458">
      <w:pPr>
        <w:ind w:right="-28"/>
        <w:rPr>
          <w:rFonts w:ascii="Palatino Linotype" w:eastAsia="Palatino Linotype" w:hAnsi="Palatino Linotype" w:cs="Palatino Linotype"/>
        </w:rPr>
      </w:pPr>
    </w:p>
    <w:p w:rsidR="00E21458" w:rsidRDefault="00376B19">
      <w:pPr>
        <w:ind w:right="-28"/>
        <w:rPr>
          <w:rFonts w:ascii="Palatino Linotype" w:eastAsia="Palatino Linotype" w:hAnsi="Palatino Linotype" w:cs="Palatino Linotype"/>
        </w:rPr>
      </w:pPr>
      <w:r>
        <w:rPr>
          <w:rFonts w:ascii="Palatino Linotype" w:eastAsia="Palatino Linotype" w:hAnsi="Palatino Linotype" w:cs="Palatino Linotype"/>
        </w:rPr>
        <w:lastRenderedPageBreak/>
        <w:t>De conformidad con el artículo 198 de la Ley de la materia, de considerarlo procedente, el Sujeto Obligado de manera fundada y motivada, podrá solicitar una ampliación de plazo para el cumplimiento de la presente resolución.</w:t>
      </w:r>
    </w:p>
    <w:p w:rsidR="00E21458" w:rsidRDefault="00376B19">
      <w:pPr>
        <w:tabs>
          <w:tab w:val="left" w:pos="6882"/>
        </w:tabs>
        <w:rPr>
          <w:rFonts w:ascii="Palatino Linotype" w:eastAsia="Palatino Linotype" w:hAnsi="Palatino Linotype" w:cs="Palatino Linotype"/>
        </w:rPr>
      </w:pPr>
      <w:r>
        <w:rPr>
          <w:rFonts w:ascii="Palatino Linotype" w:eastAsia="Palatino Linotype" w:hAnsi="Palatino Linotype" w:cs="Palatino Linotype"/>
        </w:rPr>
        <w:tab/>
      </w:r>
    </w:p>
    <w:p w:rsidR="00E21458" w:rsidRDefault="00376B19">
      <w:pPr>
        <w:rPr>
          <w:rFonts w:ascii="Palatino Linotype" w:eastAsia="Palatino Linotype" w:hAnsi="Palatino Linotype" w:cs="Palatino Linotype"/>
        </w:rPr>
      </w:pPr>
      <w:r>
        <w:rPr>
          <w:rFonts w:ascii="Palatino Linotype" w:eastAsia="Palatino Linotype" w:hAnsi="Palatino Linotype" w:cs="Palatino Linotype"/>
          <w:b/>
          <w:bCs/>
        </w:rPr>
        <w:t>CUARTO. NOTIFÍQUESE POR SAIMEX</w:t>
      </w:r>
      <w:r>
        <w:rPr>
          <w:rFonts w:ascii="Palatino Linotype" w:eastAsia="Palatino Linotype" w:hAnsi="Palatino Linotype" w:cs="Palatino Linotype"/>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E21458" w:rsidRDefault="00E21458">
      <w:pPr>
        <w:rPr>
          <w:rFonts w:ascii="Palatino Linotype" w:eastAsia="Palatino Linotype" w:hAnsi="Palatino Linotype" w:cs="Palatino Linotype"/>
          <w:b/>
          <w:bCs/>
        </w:rPr>
      </w:pPr>
    </w:p>
    <w:p w:rsidR="00E21458" w:rsidRDefault="00376B19">
      <w:pPr>
        <w:rPr>
          <w:rFonts w:ascii="Palatino Linotype" w:eastAsia="Palatino Linotype" w:hAnsi="Palatino Linotype" w:cs="Palatino Linotype"/>
          <w:color w:val="FF0000"/>
        </w:rPr>
      </w:pPr>
      <w:r>
        <w:rPr>
          <w:rFonts w:ascii="Palatino Linotype" w:eastAsia="Palatino Linotype" w:hAnsi="Palatino Linotype" w:cs="Palatino Linotype"/>
        </w:rPr>
        <w:t>ASÍ LO RESUELVE, POR </w:t>
      </w:r>
      <w:r>
        <w:rPr>
          <w:rFonts w:ascii="Palatino Linotype" w:eastAsia="Palatino Linotype" w:hAnsi="Palatino Linotype" w:cs="Palatino Linotype"/>
          <w:b/>
          <w:bCs/>
        </w:rPr>
        <w:t>UNANIMIDAD</w:t>
      </w:r>
      <w:r>
        <w:rPr>
          <w:rFonts w:ascii="Palatino Linotype" w:eastAsia="Palatino Linotype" w:hAnsi="Palatino Linotype" w:cs="Palatino Linotype"/>
        </w:rPr>
        <w:t> DE VOTOS EL PLENO DEL INSTITUTO DE TRANSPARENCIA, ACCESO A LA INFORMACIÓN PÚBLICA Y PROTECCIÓN DE DATOS PERSONALES DEL ESTADO DE MÉXICO Y MUNICIPIOS, CONFORMADO POR LOS COMISIONADOS JOSÉ MARTÍNEZ VILCHIS, MARÍA DEL ROSARIO MEJÍA AYALA, SHARON C</w:t>
      </w:r>
      <w:r w:rsidR="00E51160">
        <w:rPr>
          <w:rFonts w:ascii="Palatino Linotype" w:eastAsia="Palatino Linotype" w:hAnsi="Palatino Linotype" w:cs="Palatino Linotype"/>
        </w:rPr>
        <w:t>RISTINA MORALES MARTÍNEZ</w:t>
      </w:r>
      <w:r>
        <w:rPr>
          <w:rFonts w:ascii="Palatino Linotype" w:eastAsia="Palatino Linotype" w:hAnsi="Palatino Linotype" w:cs="Palatino Linotype"/>
        </w:rPr>
        <w:t>, LUIS GUSTAVO PARRA NORIEGA Y GUADALUPE RAMÍREZ PEÑA, EN LA CUADRAGÉSIMA TERCERA SESIÓN ORDINARIA, CELEBRADA EL TRES DE DICIEMBRE DE DOS MIL VEINTICINCO, ANTE EL SECRETARIO TÉCNICO DEL PLENO, ALEXIS TAPIA RAMÍREZ.</w:t>
      </w:r>
    </w:p>
    <w:p w:rsidR="00E21458" w:rsidRDefault="00E21458">
      <w:pPr>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tabs>
          <w:tab w:val="left" w:pos="4962"/>
        </w:tabs>
        <w:rPr>
          <w:rFonts w:ascii="Palatino Linotype" w:eastAsia="Palatino Linotype" w:hAnsi="Palatino Linotype" w:cs="Palatino Linotype"/>
          <w:color w:val="FF0000"/>
        </w:rPr>
      </w:pPr>
    </w:p>
    <w:p w:rsidR="00E21458" w:rsidRDefault="00E21458">
      <w:pPr>
        <w:rPr>
          <w:rFonts w:ascii="Palatino Linotype" w:eastAsia="Palatino Linotype" w:hAnsi="Palatino Linotype" w:cs="Palatino Linotype"/>
          <w:color w:val="FF0000"/>
        </w:rPr>
      </w:pPr>
    </w:p>
    <w:p w:rsidR="00E21458" w:rsidRDefault="00E21458">
      <w:pPr>
        <w:rPr>
          <w:rFonts w:ascii="Palatino Linotype" w:eastAsia="Palatino Linotype" w:hAnsi="Palatino Linotype" w:cs="Palatino Linotype"/>
          <w:color w:val="FF0000"/>
        </w:rPr>
      </w:pPr>
    </w:p>
    <w:p w:rsidR="00E21458" w:rsidRDefault="00E21458">
      <w:pPr>
        <w:rPr>
          <w:rFonts w:ascii="Palatino Linotype" w:eastAsia="Palatino Linotype" w:hAnsi="Palatino Linotype" w:cs="Palatino Linotype"/>
          <w:color w:val="FF0000"/>
        </w:rPr>
      </w:pPr>
    </w:p>
    <w:p w:rsidR="00E21458" w:rsidRDefault="00E21458">
      <w:pPr>
        <w:rPr>
          <w:rFonts w:ascii="Palatino Linotype" w:eastAsia="Palatino Linotype" w:hAnsi="Palatino Linotype" w:cs="Palatino Linotype"/>
          <w:color w:val="FF0000"/>
        </w:rPr>
      </w:pPr>
    </w:p>
    <w:p w:rsidR="00E21458" w:rsidRDefault="00E21458">
      <w:pPr>
        <w:rPr>
          <w:rFonts w:ascii="Palatino Linotype" w:eastAsia="Palatino Linotype" w:hAnsi="Palatino Linotype" w:cs="Palatino Linotype"/>
          <w:color w:val="FF0000"/>
        </w:rPr>
      </w:pPr>
    </w:p>
    <w:p w:rsidR="00E21458" w:rsidRDefault="00E21458">
      <w:pPr>
        <w:rPr>
          <w:color w:val="FF0000"/>
        </w:rPr>
      </w:pPr>
    </w:p>
    <w:sectPr w:rsidR="00E21458">
      <w:headerReference w:type="even" r:id="rId16"/>
      <w:headerReference w:type="default" r:id="rId17"/>
      <w:footerReference w:type="even" r:id="rId18"/>
      <w:footerReference w:type="default" r:id="rId19"/>
      <w:headerReference w:type="first" r:id="rId20"/>
      <w:footerReference w:type="first" r:id="rId21"/>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D86" w:rsidRDefault="008D2D86">
      <w:pPr>
        <w:spacing w:line="240" w:lineRule="auto"/>
      </w:pPr>
      <w:r>
        <w:separator/>
      </w:r>
    </w:p>
  </w:endnote>
  <w:endnote w:type="continuationSeparator" w:id="0">
    <w:p w:rsidR="008D2D86" w:rsidRDefault="008D2D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E128AD5C-DEAC-4E2A-B650-D52C96223FC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8E9AEEE-84BD-4DE2-ADCD-9FBF1526331D}"/>
    <w:embedBold r:id="rId3" w:fontKey="{3457C9B5-8E2C-4F6A-A01E-D99F963B512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008135B-6F48-4C4E-9EB4-BFEE2C529AD7}"/>
  </w:font>
  <w:font w:name="Calibri Light">
    <w:panose1 w:val="020F0302020204030204"/>
    <w:charset w:val="00"/>
    <w:family w:val="swiss"/>
    <w:pitch w:val="variable"/>
    <w:sig w:usb0="E4002EFF" w:usb1="C200247B" w:usb2="00000009" w:usb3="00000000" w:csb0="000001FF" w:csb1="00000000"/>
    <w:embedRegular r:id="rId5" w:fontKey="{708972DC-7272-4458-9D77-89DA76B5C0A9}"/>
  </w:font>
  <w:font w:name="Palatino Linotype">
    <w:panose1 w:val="02040502050505030304"/>
    <w:charset w:val="00"/>
    <w:family w:val="roman"/>
    <w:pitch w:val="variable"/>
    <w:sig w:usb0="E0000287" w:usb1="40000013" w:usb2="00000000" w:usb3="00000000" w:csb0="0000019F" w:csb1="00000000"/>
    <w:embedRegular r:id="rId6" w:fontKey="{81F03157-5D67-4BB2-BC93-1C66D6623F93}"/>
    <w:embedBold r:id="rId7" w:fontKey="{78EEFA1C-98E3-4345-A028-4AD40E1F586D}"/>
    <w:embedItalic r:id="rId8" w:fontKey="{22B98359-5AFC-4E0F-BB12-EF4C84F1CC0D}"/>
    <w:embedBoldItalic r:id="rId9" w:fontKey="{FA892B53-5D26-4247-83DB-BC2F455CBF9C}"/>
  </w:font>
  <w:font w:name="Garamond">
    <w:panose1 w:val="02020404030301010803"/>
    <w:charset w:val="00"/>
    <w:family w:val="roman"/>
    <w:pitch w:val="variable"/>
    <w:sig w:usb0="00000287" w:usb1="00000000" w:usb2="00000000" w:usb3="00000000" w:csb0="0000009F" w:csb1="00000000"/>
    <w:embedRegular r:id="rId10" w:fontKey="{E33B074C-DB63-4E2A-9AD0-CD87E284A83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58" w:rsidRDefault="00376B19">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E370E5">
      <w:rPr>
        <w:rFonts w:ascii="Palatino Linotype" w:eastAsia="Palatino Linotype" w:hAnsi="Palatino Linotype" w:cs="Palatino Linotype"/>
        <w:b/>
        <w:bCs/>
        <w:noProof/>
        <w:color w:val="000000"/>
      </w:rPr>
      <w:t>26</w:t>
    </w:r>
    <w:r>
      <w:rPr>
        <w:rFonts w:ascii="Palatino Linotype" w:eastAsia="Palatino Linotype" w:hAnsi="Palatino Linotype" w:cs="Palatino Linotype"/>
        <w:b/>
        <w:bCs/>
        <w:color w:val="000000"/>
      </w:rPr>
      <w:fldChar w:fldCharType="end"/>
    </w:r>
  </w:p>
  <w:p w:rsidR="00E21458" w:rsidRDefault="00E2145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58" w:rsidRDefault="00376B19">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separate"/>
    </w:r>
    <w:r w:rsidR="0051211C">
      <w:rPr>
        <w:rFonts w:ascii="Palatino Linotype" w:eastAsia="Palatino Linotype" w:hAnsi="Palatino Linotype" w:cs="Palatino Linotype"/>
        <w:b/>
        <w:bCs/>
        <w:noProof/>
        <w:color w:val="000000"/>
      </w:rPr>
      <w:t>22</w: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51211C">
      <w:rPr>
        <w:rFonts w:ascii="Palatino Linotype" w:eastAsia="Palatino Linotype" w:hAnsi="Palatino Linotype" w:cs="Palatino Linotype"/>
        <w:b/>
        <w:bCs/>
        <w:noProof/>
        <w:color w:val="000000"/>
      </w:rPr>
      <w:t>26</w:t>
    </w:r>
    <w:r>
      <w:rPr>
        <w:rFonts w:ascii="Palatino Linotype" w:eastAsia="Palatino Linotype" w:hAnsi="Palatino Linotype" w:cs="Palatino Linotype"/>
        <w:b/>
        <w:bCs/>
        <w:color w:val="000000"/>
      </w:rPr>
      <w:fldChar w:fldCharType="end"/>
    </w:r>
  </w:p>
  <w:p w:rsidR="00E21458" w:rsidRDefault="00E21458">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58" w:rsidRDefault="00376B1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separate"/>
    </w:r>
    <w:r w:rsidR="0051211C">
      <w:rPr>
        <w:rFonts w:ascii="Palatino Linotype" w:eastAsia="Palatino Linotype" w:hAnsi="Palatino Linotype" w:cs="Palatino Linotype"/>
        <w:b/>
        <w:bCs/>
        <w:noProof/>
        <w:color w:val="000000"/>
      </w:rPr>
      <w:t>1</w: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51211C">
      <w:rPr>
        <w:rFonts w:ascii="Palatino Linotype" w:eastAsia="Palatino Linotype" w:hAnsi="Palatino Linotype" w:cs="Palatino Linotype"/>
        <w:b/>
        <w:bCs/>
        <w:noProof/>
        <w:color w:val="000000"/>
      </w:rPr>
      <w:t>26</w:t>
    </w:r>
    <w:r>
      <w:rPr>
        <w:rFonts w:ascii="Palatino Linotype" w:eastAsia="Palatino Linotype" w:hAnsi="Palatino Linotype" w:cs="Palatino Linotype"/>
        <w:b/>
        <w:bCs/>
        <w:color w:val="000000"/>
      </w:rPr>
      <w:fldChar w:fldCharType="end"/>
    </w:r>
  </w:p>
  <w:p w:rsidR="00E21458" w:rsidRDefault="00E2145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D86" w:rsidRDefault="008D2D86">
      <w:pPr>
        <w:spacing w:line="240" w:lineRule="auto"/>
      </w:pPr>
      <w:r>
        <w:separator/>
      </w:r>
    </w:p>
  </w:footnote>
  <w:footnote w:type="continuationSeparator" w:id="0">
    <w:p w:rsidR="008D2D86" w:rsidRDefault="008D2D8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58" w:rsidRDefault="00E21458">
    <w:pPr>
      <w:widowControl w:val="0"/>
      <w:pBdr>
        <w:top w:val="nil"/>
        <w:left w:val="nil"/>
        <w:bottom w:val="nil"/>
        <w:right w:val="nil"/>
        <w:between w:val="nil"/>
      </w:pBdr>
      <w:spacing w:line="276" w:lineRule="auto"/>
      <w:rPr>
        <w:color w:val="000000"/>
      </w:rPr>
    </w:pPr>
  </w:p>
  <w:tbl>
    <w:tblPr>
      <w:tblStyle w:val="a"/>
      <w:tblW w:w="9705" w:type="dxa"/>
      <w:tblInd w:w="0" w:type="dxa"/>
      <w:tblLayout w:type="fixed"/>
      <w:tblLook w:val="0400" w:firstRow="0" w:lastRow="0" w:firstColumn="0" w:lastColumn="0" w:noHBand="0" w:noVBand="1"/>
    </w:tblPr>
    <w:tblGrid>
      <w:gridCol w:w="2972"/>
      <w:gridCol w:w="6733"/>
    </w:tblGrid>
    <w:tr w:rsidR="00E21458">
      <w:trPr>
        <w:trHeight w:val="1435"/>
      </w:trPr>
      <w:tc>
        <w:tcPr>
          <w:tcW w:w="0" w:type="auto"/>
        </w:tcPr>
        <w:p w:rsidR="00E21458" w:rsidRDefault="00E21458">
          <w:pPr>
            <w:tabs>
              <w:tab w:val="right" w:pos="4273"/>
            </w:tabs>
            <w:spacing w:line="256" w:lineRule="auto"/>
            <w:rPr>
              <w:rFonts w:ascii="Garamond" w:eastAsia="Garamond" w:hAnsi="Garamond" w:cs="Garamond"/>
            </w:rPr>
          </w:pPr>
        </w:p>
      </w:tc>
      <w:tc>
        <w:tcPr>
          <w:tcW w:w="0" w:type="auto"/>
        </w:tcPr>
        <w:p w:rsidR="00E21458" w:rsidRDefault="00E21458">
          <w:pPr>
            <w:widowControl w:val="0"/>
            <w:pBdr>
              <w:top w:val="nil"/>
              <w:left w:val="nil"/>
              <w:bottom w:val="nil"/>
              <w:right w:val="nil"/>
              <w:between w:val="nil"/>
            </w:pBdr>
            <w:spacing w:line="276" w:lineRule="auto"/>
            <w:rPr>
              <w:rFonts w:ascii="Garamond" w:eastAsia="Garamond" w:hAnsi="Garamond" w:cs="Garamond"/>
            </w:rPr>
          </w:pPr>
        </w:p>
        <w:tbl>
          <w:tblPr>
            <w:tblStyle w:val="a0"/>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E21458">
            <w:trPr>
              <w:trHeight w:val="144"/>
            </w:trPr>
            <w:tc>
              <w:tcPr>
                <w:tcW w:w="0" w:type="auto"/>
              </w:tcPr>
              <w:p w:rsidR="00E21458" w:rsidRDefault="00376B19">
                <w:pPr>
                  <w:tabs>
                    <w:tab w:val="right" w:pos="8838"/>
                  </w:tabs>
                  <w:ind w:left="-69"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0" w:type="auto"/>
              </w:tcPr>
              <w:p w:rsidR="00E21458" w:rsidRDefault="00376B19">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02946/INFOEM/IP/RR/2021</w:t>
                </w:r>
              </w:p>
            </w:tc>
          </w:tr>
          <w:tr w:rsidR="00E21458">
            <w:trPr>
              <w:trHeight w:val="283"/>
            </w:trPr>
            <w:tc>
              <w:tcPr>
                <w:tcW w:w="0" w:type="auto"/>
              </w:tcPr>
              <w:p w:rsidR="00E21458" w:rsidRDefault="00376B19">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0" w:type="auto"/>
              </w:tcPr>
              <w:p w:rsidR="00E21458" w:rsidRDefault="00376B19">
                <w:pPr>
                  <w:tabs>
                    <w:tab w:val="left" w:pos="2834"/>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rPr>
                  <w:t>Ayuntamiento de San Antonio la Isla</w:t>
                </w:r>
              </w:p>
            </w:tc>
          </w:tr>
          <w:tr w:rsidR="00E21458">
            <w:trPr>
              <w:trHeight w:val="283"/>
            </w:trPr>
            <w:tc>
              <w:tcPr>
                <w:tcW w:w="0" w:type="auto"/>
              </w:tcPr>
              <w:p w:rsidR="00E21458" w:rsidRDefault="00376B19">
                <w:pPr>
                  <w:tabs>
                    <w:tab w:val="right" w:pos="8838"/>
                  </w:tabs>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0" w:type="auto"/>
              </w:tcPr>
              <w:p w:rsidR="00E21458" w:rsidRDefault="00376B19">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Luis Gustavo Parra Noriega</w:t>
                </w:r>
              </w:p>
              <w:p w:rsidR="00E21458" w:rsidRDefault="00E21458">
                <w:pPr>
                  <w:tabs>
                    <w:tab w:val="right" w:pos="8838"/>
                  </w:tabs>
                  <w:ind w:left="-74" w:right="-105"/>
                  <w:rPr>
                    <w:rFonts w:ascii="Palatino Linotype" w:eastAsia="Palatino Linotype" w:hAnsi="Palatino Linotype" w:cs="Palatino Linotype"/>
                    <w:b/>
                    <w:bCs/>
                  </w:rPr>
                </w:pPr>
              </w:p>
            </w:tc>
          </w:tr>
        </w:tbl>
        <w:p w:rsidR="00E21458" w:rsidRDefault="00E21458">
          <w:pPr>
            <w:tabs>
              <w:tab w:val="right" w:pos="8838"/>
            </w:tabs>
            <w:spacing w:line="256" w:lineRule="auto"/>
            <w:ind w:left="-28"/>
            <w:rPr>
              <w:rFonts w:ascii="Arial" w:eastAsia="Arial" w:hAnsi="Arial" w:cs="Arial"/>
              <w:b/>
              <w:bCs/>
            </w:rPr>
          </w:pPr>
        </w:p>
      </w:tc>
    </w:tr>
  </w:tbl>
  <w:p w:rsidR="00E21458" w:rsidRDefault="00376B19">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rPr>
      <w:drawing>
        <wp:anchor distT="0" distB="0" distL="0" distR="0" simplePos="0" relativeHeight="251657728" behindDoc="1" locked="0" layoutInCell="1" hidden="0" allowOverlap="1">
          <wp:simplePos x="0" y="0"/>
          <wp:positionH relativeFrom="margin">
            <wp:posOffset>-1381123</wp:posOffset>
          </wp:positionH>
          <wp:positionV relativeFrom="margin">
            <wp:posOffset>-1611628</wp:posOffset>
          </wp:positionV>
          <wp:extent cx="5612130" cy="7308215"/>
          <wp:effectExtent l="0" t="0" r="0" b="0"/>
          <wp:wrapNone/>
          <wp:docPr id="188740227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58" w:rsidRDefault="00D50ECE">
    <w:pPr>
      <w:widowControl w:val="0"/>
      <w:pBdr>
        <w:top w:val="nil"/>
        <w:left w:val="nil"/>
        <w:bottom w:val="nil"/>
        <w:right w:val="nil"/>
        <w:between w:val="nil"/>
      </w:pBdr>
      <w:spacing w:line="276" w:lineRule="auto"/>
    </w:pPr>
    <w:r>
      <w:rPr>
        <w:noProof/>
      </w:rPr>
      <w:drawing>
        <wp:anchor distT="0" distB="0" distL="0" distR="0" simplePos="0" relativeHeight="251656704" behindDoc="1" locked="0" layoutInCell="1" hidden="0" allowOverlap="1">
          <wp:simplePos x="0" y="0"/>
          <wp:positionH relativeFrom="page">
            <wp:align>left</wp:align>
          </wp:positionH>
          <wp:positionV relativeFrom="paragraph">
            <wp:posOffset>-451485</wp:posOffset>
          </wp:positionV>
          <wp:extent cx="7835900" cy="10203815"/>
          <wp:effectExtent l="0" t="0" r="0" b="6985"/>
          <wp:wrapNone/>
          <wp:docPr id="188740227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tbl>
    <w:tblPr>
      <w:tblStyle w:val="a1"/>
      <w:tblW w:w="9356" w:type="dxa"/>
      <w:tblInd w:w="0" w:type="dxa"/>
      <w:tblLayout w:type="fixed"/>
      <w:tblLook w:val="0400" w:firstRow="0" w:lastRow="0" w:firstColumn="0" w:lastColumn="0" w:noHBand="0" w:noVBand="1"/>
    </w:tblPr>
    <w:tblGrid>
      <w:gridCol w:w="1985"/>
      <w:gridCol w:w="7371"/>
    </w:tblGrid>
    <w:tr w:rsidR="00E21458">
      <w:trPr>
        <w:trHeight w:val="1435"/>
      </w:trPr>
      <w:tc>
        <w:tcPr>
          <w:tcW w:w="1985" w:type="dxa"/>
        </w:tcPr>
        <w:p w:rsidR="00E21458" w:rsidRDefault="00E21458">
          <w:pPr>
            <w:tabs>
              <w:tab w:val="right" w:pos="4273"/>
            </w:tabs>
            <w:spacing w:line="256" w:lineRule="auto"/>
            <w:rPr>
              <w:rFonts w:ascii="Garamond" w:eastAsia="Garamond" w:hAnsi="Garamond" w:cs="Garamond"/>
            </w:rPr>
          </w:pPr>
        </w:p>
      </w:tc>
      <w:tc>
        <w:tcPr>
          <w:tcW w:w="7371" w:type="dxa"/>
        </w:tcPr>
        <w:p w:rsidR="00E21458" w:rsidRDefault="00E21458">
          <w:pPr>
            <w:widowControl w:val="0"/>
            <w:pBdr>
              <w:top w:val="nil"/>
              <w:left w:val="nil"/>
              <w:bottom w:val="nil"/>
              <w:right w:val="nil"/>
              <w:between w:val="nil"/>
            </w:pBdr>
            <w:spacing w:line="276" w:lineRule="auto"/>
            <w:jc w:val="left"/>
            <w:rPr>
              <w:rFonts w:ascii="Garamond" w:eastAsia="Garamond" w:hAnsi="Garamond" w:cs="Garamond"/>
            </w:rPr>
          </w:pPr>
        </w:p>
        <w:tbl>
          <w:tblPr>
            <w:tblStyle w:val="a2"/>
            <w:tblW w:w="6754" w:type="dxa"/>
            <w:tblInd w:w="1586" w:type="dxa"/>
            <w:tblBorders>
              <w:top w:val="nil"/>
              <w:left w:val="nil"/>
              <w:bottom w:val="nil"/>
              <w:right w:val="nil"/>
              <w:insideH w:val="nil"/>
              <w:insideV w:val="nil"/>
            </w:tblBorders>
            <w:tblLayout w:type="fixed"/>
            <w:tblLook w:val="0400" w:firstRow="0" w:lastRow="0" w:firstColumn="0" w:lastColumn="0" w:noHBand="0" w:noVBand="1"/>
          </w:tblPr>
          <w:tblGrid>
            <w:gridCol w:w="2402"/>
            <w:gridCol w:w="3543"/>
            <w:gridCol w:w="809"/>
          </w:tblGrid>
          <w:tr w:rsidR="00E21458">
            <w:trPr>
              <w:trHeight w:val="194"/>
            </w:trPr>
            <w:tc>
              <w:tcPr>
                <w:tcW w:w="2402" w:type="dxa"/>
              </w:tcPr>
              <w:p w:rsidR="00E21458" w:rsidRDefault="00376B19">
                <w:pPr>
                  <w:tabs>
                    <w:tab w:val="right" w:pos="8838"/>
                  </w:tabs>
                  <w:spacing w:line="276" w:lineRule="auto"/>
                  <w:ind w:left="-114" w:right="-105"/>
                  <w:rPr>
                    <w:rFonts w:ascii="Palatino Linotype" w:eastAsia="Palatino Linotype" w:hAnsi="Palatino Linotype" w:cs="Palatino Linotype"/>
                    <w:b/>
                    <w:bCs/>
                  </w:rPr>
                </w:pPr>
                <w:r>
                  <w:rPr>
                    <w:rFonts w:ascii="Palatino Linotype" w:eastAsia="Palatino Linotype" w:hAnsi="Palatino Linotype" w:cs="Palatino Linotype"/>
                    <w:b/>
                    <w:bCs/>
                  </w:rPr>
                  <w:t xml:space="preserve">    </w:t>
                </w:r>
              </w:p>
              <w:p w:rsidR="00E21458" w:rsidRDefault="00376B19">
                <w:pPr>
                  <w:tabs>
                    <w:tab w:val="right" w:pos="8838"/>
                  </w:tabs>
                  <w:spacing w:line="276" w:lineRule="auto"/>
                  <w:ind w:left="-114"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544" w:type="dxa"/>
              </w:tcPr>
              <w:p w:rsidR="00E21458" w:rsidRDefault="00E21458">
                <w:pPr>
                  <w:tabs>
                    <w:tab w:val="right" w:pos="8838"/>
                  </w:tabs>
                  <w:spacing w:line="276" w:lineRule="auto"/>
                  <w:ind w:left="-114" w:right="454"/>
                  <w:rPr>
                    <w:rFonts w:ascii="Palatino Linotype" w:eastAsia="Palatino Linotype" w:hAnsi="Palatino Linotype" w:cs="Palatino Linotype"/>
                  </w:rPr>
                </w:pPr>
              </w:p>
              <w:p w:rsidR="00E21458" w:rsidRDefault="00376B19">
                <w:pPr>
                  <w:tabs>
                    <w:tab w:val="right" w:pos="8838"/>
                  </w:tabs>
                  <w:spacing w:line="276" w:lineRule="auto"/>
                  <w:ind w:left="-114" w:right="454"/>
                  <w:rPr>
                    <w:rFonts w:ascii="Palatino Linotype" w:eastAsia="Palatino Linotype" w:hAnsi="Palatino Linotype" w:cs="Palatino Linotype"/>
                  </w:rPr>
                </w:pPr>
                <w:r>
                  <w:rPr>
                    <w:rFonts w:ascii="Palatino Linotype" w:eastAsia="Palatino Linotype" w:hAnsi="Palatino Linotype" w:cs="Palatino Linotype"/>
                  </w:rPr>
                  <w:t>06361/INFOEM/IP/RR/2025</w:t>
                </w:r>
              </w:p>
            </w:tc>
            <w:tc>
              <w:tcPr>
                <w:tcW w:w="809" w:type="dxa"/>
              </w:tcPr>
              <w:p w:rsidR="00E21458" w:rsidRDefault="00E21458">
                <w:pPr>
                  <w:tabs>
                    <w:tab w:val="right" w:pos="8838"/>
                  </w:tabs>
                  <w:spacing w:line="276" w:lineRule="auto"/>
                  <w:ind w:left="-114" w:right="-105"/>
                  <w:rPr>
                    <w:rFonts w:ascii="Palatino Linotype" w:eastAsia="Palatino Linotype" w:hAnsi="Palatino Linotype" w:cs="Palatino Linotype"/>
                  </w:rPr>
                </w:pPr>
              </w:p>
            </w:tc>
          </w:tr>
          <w:tr w:rsidR="00E21458">
            <w:trPr>
              <w:trHeight w:val="87"/>
            </w:trPr>
            <w:tc>
              <w:tcPr>
                <w:tcW w:w="2402" w:type="dxa"/>
              </w:tcPr>
              <w:p w:rsidR="00E21458" w:rsidRDefault="00376B19">
                <w:pPr>
                  <w:tabs>
                    <w:tab w:val="right" w:pos="8838"/>
                  </w:tabs>
                  <w:spacing w:line="276" w:lineRule="auto"/>
                  <w:ind w:left="-11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544" w:type="dxa"/>
              </w:tcPr>
              <w:p w:rsidR="00E21458" w:rsidRDefault="00376B19">
                <w:pPr>
                  <w:tabs>
                    <w:tab w:val="left" w:pos="2834"/>
                    <w:tab w:val="right" w:pos="8838"/>
                  </w:tabs>
                  <w:spacing w:line="276" w:lineRule="auto"/>
                  <w:ind w:left="-114"/>
                  <w:rPr>
                    <w:rFonts w:ascii="Palatino Linotype" w:eastAsia="Palatino Linotype" w:hAnsi="Palatino Linotype" w:cs="Palatino Linotype"/>
                    <w:b/>
                    <w:bCs/>
                  </w:rPr>
                </w:pPr>
                <w:r>
                  <w:rPr>
                    <w:rFonts w:ascii="Palatino Linotype" w:eastAsia="Palatino Linotype" w:hAnsi="Palatino Linotype" w:cs="Palatino Linotype"/>
                  </w:rPr>
                  <w:t>Ayuntamiento de Metepec</w:t>
                </w:r>
              </w:p>
            </w:tc>
            <w:tc>
              <w:tcPr>
                <w:tcW w:w="809" w:type="dxa"/>
              </w:tcPr>
              <w:p w:rsidR="00E21458" w:rsidRDefault="00E21458">
                <w:pPr>
                  <w:tabs>
                    <w:tab w:val="left" w:pos="2834"/>
                    <w:tab w:val="right" w:pos="8838"/>
                  </w:tabs>
                  <w:spacing w:line="276" w:lineRule="auto"/>
                  <w:ind w:left="-114"/>
                  <w:rPr>
                    <w:rFonts w:ascii="Palatino Linotype" w:eastAsia="Palatino Linotype" w:hAnsi="Palatino Linotype" w:cs="Palatino Linotype"/>
                  </w:rPr>
                </w:pPr>
              </w:p>
            </w:tc>
          </w:tr>
          <w:tr w:rsidR="00E21458">
            <w:trPr>
              <w:trHeight w:val="383"/>
            </w:trPr>
            <w:tc>
              <w:tcPr>
                <w:tcW w:w="2402" w:type="dxa"/>
              </w:tcPr>
              <w:p w:rsidR="00E21458" w:rsidRDefault="00376B19">
                <w:pPr>
                  <w:tabs>
                    <w:tab w:val="right" w:pos="8838"/>
                  </w:tabs>
                  <w:spacing w:line="276" w:lineRule="auto"/>
                  <w:ind w:left="-11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3544" w:type="dxa"/>
              </w:tcPr>
              <w:p w:rsidR="00E21458" w:rsidRDefault="00376B19">
                <w:pPr>
                  <w:tabs>
                    <w:tab w:val="right" w:pos="8838"/>
                  </w:tabs>
                  <w:spacing w:line="276" w:lineRule="auto"/>
                  <w:ind w:left="-114" w:right="-105"/>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c>
              <w:tcPr>
                <w:tcW w:w="809" w:type="dxa"/>
              </w:tcPr>
              <w:p w:rsidR="00E21458" w:rsidRDefault="00E21458">
                <w:pPr>
                  <w:tabs>
                    <w:tab w:val="right" w:pos="8838"/>
                  </w:tabs>
                  <w:spacing w:line="276" w:lineRule="auto"/>
                  <w:ind w:left="-114" w:right="-105"/>
                  <w:rPr>
                    <w:rFonts w:ascii="Palatino Linotype" w:eastAsia="Palatino Linotype" w:hAnsi="Palatino Linotype" w:cs="Palatino Linotype"/>
                  </w:rPr>
                </w:pPr>
              </w:p>
            </w:tc>
          </w:tr>
        </w:tbl>
        <w:p w:rsidR="00E21458" w:rsidRDefault="00E21458">
          <w:pPr>
            <w:tabs>
              <w:tab w:val="right" w:pos="8838"/>
            </w:tabs>
            <w:spacing w:line="276" w:lineRule="auto"/>
            <w:ind w:left="-28"/>
            <w:rPr>
              <w:rFonts w:ascii="Arial" w:eastAsia="Arial" w:hAnsi="Arial" w:cs="Arial"/>
              <w:b/>
              <w:bCs/>
            </w:rPr>
          </w:pPr>
        </w:p>
      </w:tc>
    </w:tr>
  </w:tbl>
  <w:p w:rsidR="00E21458" w:rsidRDefault="00E21458">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58" w:rsidRDefault="008D2D86">
    <w:pPr>
      <w:widowControl w:val="0"/>
      <w:pBdr>
        <w:top w:val="nil"/>
        <w:left w:val="nil"/>
        <w:bottom w:val="nil"/>
        <w:right w:val="nil"/>
        <w:between w:val="nil"/>
      </w:pBdr>
      <w:spacing w:line="276" w:lineRule="auto"/>
      <w:rPr>
        <w:color w:val="000000"/>
      </w:rPr>
    </w:pPr>
    <w:r>
      <w:rPr>
        <w:rFonts w:ascii="Garamond" w:eastAsia="Garamond" w:hAnsi="Garamond" w:cs="Garamond"/>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84.65pt;margin-top:-136pt;width:663.5pt;height:12in;z-index:-251657728;mso-position-horizontal:absolute;mso-position-horizontal-relative:margin;mso-position-vertical:absolute;mso-position-vertical-relative:margin">
          <v:imagedata r:id="rId1" o:title="image3"/>
          <w10:wrap anchorx="margin" anchory="margin"/>
        </v:shape>
      </w:pict>
    </w:r>
  </w:p>
  <w:tbl>
    <w:tblPr>
      <w:tblStyle w:val="a3"/>
      <w:tblW w:w="9498" w:type="dxa"/>
      <w:tblInd w:w="0" w:type="dxa"/>
      <w:tblLayout w:type="fixed"/>
      <w:tblLook w:val="0400" w:firstRow="0" w:lastRow="0" w:firstColumn="0" w:lastColumn="0" w:noHBand="0" w:noVBand="1"/>
    </w:tblPr>
    <w:tblGrid>
      <w:gridCol w:w="2977"/>
      <w:gridCol w:w="6521"/>
    </w:tblGrid>
    <w:tr w:rsidR="00E21458">
      <w:trPr>
        <w:trHeight w:val="1435"/>
      </w:trPr>
      <w:tc>
        <w:tcPr>
          <w:tcW w:w="2977" w:type="dxa"/>
        </w:tcPr>
        <w:p w:rsidR="00E21458" w:rsidRDefault="00E21458">
          <w:pPr>
            <w:tabs>
              <w:tab w:val="right" w:pos="4273"/>
            </w:tabs>
            <w:spacing w:line="256" w:lineRule="auto"/>
            <w:rPr>
              <w:rFonts w:ascii="Garamond" w:eastAsia="Garamond" w:hAnsi="Garamond" w:cs="Garamond"/>
            </w:rPr>
          </w:pPr>
        </w:p>
      </w:tc>
      <w:tc>
        <w:tcPr>
          <w:tcW w:w="6521" w:type="dxa"/>
        </w:tcPr>
        <w:p w:rsidR="00E21458" w:rsidRDefault="00E21458">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5605" w:type="dxa"/>
            <w:tblInd w:w="334" w:type="dxa"/>
            <w:tblBorders>
              <w:top w:val="nil"/>
              <w:left w:val="nil"/>
              <w:bottom w:val="nil"/>
              <w:right w:val="nil"/>
              <w:insideH w:val="nil"/>
              <w:insideV w:val="nil"/>
            </w:tblBorders>
            <w:tblLayout w:type="fixed"/>
            <w:tblLook w:val="0400" w:firstRow="0" w:lastRow="0" w:firstColumn="0" w:lastColumn="0" w:noHBand="0" w:noVBand="1"/>
          </w:tblPr>
          <w:tblGrid>
            <w:gridCol w:w="2393"/>
            <w:gridCol w:w="3123"/>
            <w:gridCol w:w="89"/>
          </w:tblGrid>
          <w:tr w:rsidR="00E21458">
            <w:trPr>
              <w:gridAfter w:val="1"/>
              <w:wAfter w:w="89" w:type="dxa"/>
              <w:trHeight w:val="114"/>
            </w:trPr>
            <w:tc>
              <w:tcPr>
                <w:tcW w:w="2393" w:type="dxa"/>
              </w:tcPr>
              <w:p w:rsidR="00E21458" w:rsidRDefault="00376B19">
                <w:pPr>
                  <w:tabs>
                    <w:tab w:val="right" w:pos="8838"/>
                  </w:tabs>
                  <w:spacing w:line="276" w:lineRule="auto"/>
                  <w:ind w:left="-69" w:right="-105"/>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123" w:type="dxa"/>
              </w:tcPr>
              <w:p w:rsidR="00E21458" w:rsidRDefault="00376B19">
                <w:pPr>
                  <w:tabs>
                    <w:tab w:val="left" w:pos="2834"/>
                    <w:tab w:val="right" w:pos="8838"/>
                  </w:tabs>
                  <w:spacing w:line="276" w:lineRule="auto"/>
                  <w:ind w:left="-74"/>
                  <w:rPr>
                    <w:rFonts w:ascii="Palatino Linotype" w:eastAsia="Palatino Linotype" w:hAnsi="Palatino Linotype" w:cs="Palatino Linotype"/>
                  </w:rPr>
                </w:pPr>
                <w:r>
                  <w:rPr>
                    <w:rFonts w:ascii="Palatino Linotype" w:eastAsia="Palatino Linotype" w:hAnsi="Palatino Linotype" w:cs="Palatino Linotype"/>
                  </w:rPr>
                  <w:t>06361/INFOEM/IP/RR/2025</w:t>
                </w:r>
              </w:p>
            </w:tc>
          </w:tr>
          <w:tr w:rsidR="00E21458">
            <w:trPr>
              <w:gridAfter w:val="1"/>
              <w:wAfter w:w="89" w:type="dxa"/>
              <w:trHeight w:val="114"/>
            </w:trPr>
            <w:tc>
              <w:tcPr>
                <w:tcW w:w="2393" w:type="dxa"/>
              </w:tcPr>
              <w:p w:rsidR="00E21458" w:rsidRDefault="00376B19">
                <w:pPr>
                  <w:tabs>
                    <w:tab w:val="right" w:pos="8838"/>
                  </w:tabs>
                  <w:spacing w:line="276" w:lineRule="auto"/>
                  <w:ind w:left="-74" w:right="-105"/>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123" w:type="dxa"/>
              </w:tcPr>
              <w:p w:rsidR="00E21458" w:rsidRDefault="00E21458">
                <w:pPr>
                  <w:tabs>
                    <w:tab w:val="left" w:pos="2834"/>
                    <w:tab w:val="right" w:pos="8838"/>
                  </w:tabs>
                  <w:spacing w:line="276" w:lineRule="auto"/>
                  <w:ind w:left="-74"/>
                  <w:rPr>
                    <w:rFonts w:ascii="Palatino Linotype" w:eastAsia="Palatino Linotype" w:hAnsi="Palatino Linotype" w:cs="Palatino Linotype"/>
                  </w:rPr>
                </w:pPr>
              </w:p>
            </w:tc>
          </w:tr>
          <w:tr w:rsidR="00E21458">
            <w:trPr>
              <w:gridAfter w:val="1"/>
              <w:wAfter w:w="89" w:type="dxa"/>
              <w:trHeight w:val="226"/>
            </w:trPr>
            <w:tc>
              <w:tcPr>
                <w:tcW w:w="2393" w:type="dxa"/>
              </w:tcPr>
              <w:p w:rsidR="00E21458" w:rsidRDefault="00376B19">
                <w:pPr>
                  <w:tabs>
                    <w:tab w:val="right" w:pos="8838"/>
                  </w:tabs>
                  <w:spacing w:line="276" w:lineRule="auto"/>
                  <w:ind w:left="-74" w:right="-105"/>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123" w:type="dxa"/>
              </w:tcPr>
              <w:p w:rsidR="00E21458" w:rsidRDefault="00376B19">
                <w:pPr>
                  <w:tabs>
                    <w:tab w:val="left" w:pos="2834"/>
                    <w:tab w:val="right" w:pos="8838"/>
                  </w:tabs>
                  <w:spacing w:line="276" w:lineRule="auto"/>
                  <w:ind w:left="-74"/>
                  <w:rPr>
                    <w:rFonts w:ascii="Palatino Linotype" w:eastAsia="Palatino Linotype" w:hAnsi="Palatino Linotype" w:cs="Palatino Linotype"/>
                  </w:rPr>
                </w:pPr>
                <w:r>
                  <w:rPr>
                    <w:rFonts w:ascii="Palatino Linotype" w:eastAsia="Palatino Linotype" w:hAnsi="Palatino Linotype" w:cs="Palatino Linotype"/>
                  </w:rPr>
                  <w:t>Ayuntamiento de Metepec</w:t>
                </w:r>
              </w:p>
            </w:tc>
          </w:tr>
          <w:tr w:rsidR="00E21458">
            <w:trPr>
              <w:trHeight w:val="226"/>
            </w:trPr>
            <w:tc>
              <w:tcPr>
                <w:tcW w:w="2393" w:type="dxa"/>
              </w:tcPr>
              <w:p w:rsidR="00E21458" w:rsidRDefault="00376B19">
                <w:pPr>
                  <w:tabs>
                    <w:tab w:val="right" w:pos="8838"/>
                  </w:tabs>
                  <w:spacing w:line="276" w:lineRule="auto"/>
                  <w:ind w:left="-74" w:right="-105"/>
                  <w:rPr>
                    <w:rFonts w:ascii="Palatino Linotype" w:eastAsia="Palatino Linotype" w:hAnsi="Palatino Linotype" w:cs="Palatino Linotype"/>
                    <w:b/>
                    <w:bCs/>
                  </w:rPr>
                </w:pPr>
                <w:r>
                  <w:rPr>
                    <w:rFonts w:ascii="Palatino Linotype" w:eastAsia="Palatino Linotype" w:hAnsi="Palatino Linotype" w:cs="Palatino Linotype"/>
                    <w:b/>
                    <w:bCs/>
                  </w:rPr>
                  <w:t>Comisionado Ponente:</w:t>
                </w:r>
              </w:p>
            </w:tc>
            <w:tc>
              <w:tcPr>
                <w:tcW w:w="3212" w:type="dxa"/>
                <w:gridSpan w:val="2"/>
              </w:tcPr>
              <w:p w:rsidR="00E21458" w:rsidRDefault="00376B19">
                <w:pPr>
                  <w:tabs>
                    <w:tab w:val="right" w:pos="8838"/>
                  </w:tabs>
                  <w:spacing w:line="276" w:lineRule="auto"/>
                  <w:ind w:left="-74" w:right="-105"/>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r>
        </w:tbl>
        <w:p w:rsidR="00E21458" w:rsidRDefault="00E21458">
          <w:pPr>
            <w:tabs>
              <w:tab w:val="right" w:pos="8838"/>
            </w:tabs>
            <w:spacing w:line="256" w:lineRule="auto"/>
            <w:ind w:left="-28"/>
            <w:rPr>
              <w:rFonts w:ascii="Arial" w:eastAsia="Arial" w:hAnsi="Arial" w:cs="Arial"/>
              <w:b/>
              <w:bCs/>
            </w:rPr>
          </w:pPr>
        </w:p>
      </w:tc>
    </w:tr>
  </w:tbl>
  <w:p w:rsidR="00E21458" w:rsidRDefault="00E2145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56779"/>
    <w:multiLevelType w:val="multilevel"/>
    <w:tmpl w:val="C4DE0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6622E4"/>
    <w:multiLevelType w:val="multilevel"/>
    <w:tmpl w:val="9D78A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056CF5"/>
    <w:multiLevelType w:val="multilevel"/>
    <w:tmpl w:val="A7FA9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458"/>
    <w:rsid w:val="00376B19"/>
    <w:rsid w:val="004D3D4B"/>
    <w:rsid w:val="0051211C"/>
    <w:rsid w:val="008D2D86"/>
    <w:rsid w:val="009431FC"/>
    <w:rsid w:val="00D00DC0"/>
    <w:rsid w:val="00D50ECE"/>
    <w:rsid w:val="00E21458"/>
    <w:rsid w:val="00E370E5"/>
    <w:rsid w:val="00E511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29AE143A-702D-4027-8165-166257E1C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styleId="Hipervnculo">
    <w:name w:val="Hyperlink"/>
    <w:basedOn w:val="Fuentedeprrafopredeter"/>
    <w:uiPriority w:val="99"/>
    <w:unhideWhenUsed/>
    <w:rsid w:val="009B2008"/>
    <w:rPr>
      <w:color w:val="0000FF"/>
      <w:u w:val="single"/>
    </w:rPr>
  </w:style>
  <w:style w:type="paragraph" w:styleId="Prrafodelista">
    <w:name w:val="List Paragraph"/>
    <w:basedOn w:val="Normal"/>
    <w:uiPriority w:val="34"/>
    <w:qFormat/>
    <w:rsid w:val="00EF3A6B"/>
    <w:pPr>
      <w:ind w:left="720"/>
      <w:contextualSpacing/>
    </w:pPr>
  </w:style>
  <w:style w:type="character" w:customStyle="1" w:styleId="Mencinsinresolver1">
    <w:name w:val="Mención sin resolver1"/>
    <w:basedOn w:val="Fuentedeprrafopredeter"/>
    <w:uiPriority w:val="99"/>
    <w:semiHidden/>
    <w:unhideWhenUsed/>
    <w:rsid w:val="004A3F27"/>
    <w:rPr>
      <w:color w:val="605E5C"/>
      <w:shd w:val="clear" w:color="auto" w:fill="E1DFDD"/>
    </w:rPr>
  </w:style>
  <w:style w:type="table" w:styleId="Tablaconcuadrcula">
    <w:name w:val="Table Grid"/>
    <w:basedOn w:val="Tablanormal"/>
    <w:uiPriority w:val="39"/>
    <w:rsid w:val="0022090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26AF8"/>
    <w:rPr>
      <w:color w:val="954F72" w:themeColor="followedHyperlink"/>
      <w:u w:val="single"/>
    </w:rPr>
  </w:style>
  <w:style w:type="paragraph" w:styleId="TDC2">
    <w:name w:val="toc 2"/>
    <w:basedOn w:val="Normal"/>
    <w:next w:val="Normal"/>
    <w:autoRedefine/>
    <w:uiPriority w:val="39"/>
    <w:unhideWhenUsed/>
    <w:rsid w:val="00B74D35"/>
    <w:pPr>
      <w:spacing w:after="100"/>
      <w:ind w:left="220"/>
    </w:pPr>
  </w:style>
  <w:style w:type="paragraph" w:styleId="TDC1">
    <w:name w:val="toc 1"/>
    <w:basedOn w:val="Normal"/>
    <w:next w:val="Normal"/>
    <w:autoRedefine/>
    <w:uiPriority w:val="39"/>
    <w:unhideWhenUsed/>
    <w:rsid w:val="00B74D35"/>
    <w:pPr>
      <w:spacing w:after="100"/>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paragraph" w:styleId="TtulodeTDC">
    <w:name w:val="TOC Heading"/>
    <w:basedOn w:val="Ttulo1"/>
    <w:next w:val="Normal"/>
    <w:uiPriority w:val="39"/>
    <w:unhideWhenUsed/>
    <w:qFormat/>
    <w:rsid w:val="009431FC"/>
    <w:pPr>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uisrochanoticias.com/post/fernando-flores-fern%C3%A1ndez-y-la-exitosa-app-7311-de-atenci%C3%B3n-ciudadana"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metepec.gob.mx/gerencia_ciuda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metepec.gob.mx/pagina/archivo-municipal.php" TargetMode="External"/><Relationship Id="rId14" Type="http://schemas.openxmlformats.org/officeDocument/2006/relationships/hyperlink" Target="https://seunonoticias.mx/2024/06/12/fernando-flores-presenta-la-aplicacion-7311-a-traves-de-un-video-en-redes-social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D7GouA0wf00D6VhMJBYYXWXv2g==">CgMxLjAyDmguMmk4eWlqZzk5MzJsMg5oLnYwaTlpdGRwcXpxNTIOaC5teng3YWFqa200dGIyDmguYmlpeDYwNmhubXJhMg5oLnkxY2E0eGVsbGhoeDIOaC43bDVud3I4M2FhOTQyDmgudXI4ZnRhNnozOXlzMg5oLmsweXhvdjIzeDU3MTIOaC5tdm1ndndycW01cjUyDmguaTZ2bmRycXExdGZ6Mg5oLm1iNHF4YmdsZ3pkNjIOaC50OHFqam05a2V6a3QyDmgucDd2eTdwbWg2cW9lMg5oLm91czQwNjgzdHh2czIOaC5jaWN2cHloZjduNmIyDmgudDRseDZ5bndxc3VqMg5oLmI2d2xhMTdmamJocDIOaC43NnJ2amhpcWczenkyDmguY2s1dzN1MjZzMHI1OAByITFfU3N3bXdrN3RmR0NjTDRBZjN0dWtYelN3ck9vRWQ2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10D086-2F98-4D00-AD71-643C04012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5634</Words>
  <Characters>30987</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Celi Gs</dc:creator>
  <cp:lastModifiedBy>Usuario</cp:lastModifiedBy>
  <cp:revision>4</cp:revision>
  <cp:lastPrinted>2025-12-05T16:23:00Z</cp:lastPrinted>
  <dcterms:created xsi:type="dcterms:W3CDTF">2025-12-05T16:23:00Z</dcterms:created>
  <dcterms:modified xsi:type="dcterms:W3CDTF">2025-12-15T17:23:00Z</dcterms:modified>
</cp:coreProperties>
</file>