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D7" w:rsidRPr="006314BE" w:rsidRDefault="00ED74BD" w:rsidP="00C05318">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6314B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314BE">
        <w:rPr>
          <w:rFonts w:ascii="Palatino Linotype" w:eastAsia="Palatino Linotype" w:hAnsi="Palatino Linotype" w:cs="Palatino Linotype"/>
          <w:b/>
          <w:color w:val="000000" w:themeColor="text1"/>
        </w:rPr>
        <w:t>de fecha veintiocho de mayo de dos mil veinticinco</w:t>
      </w:r>
      <w:r w:rsidRPr="006314BE">
        <w:rPr>
          <w:rFonts w:ascii="Palatino Linotype" w:eastAsia="Palatino Linotype" w:hAnsi="Palatino Linotype" w:cs="Palatino Linotype"/>
          <w:color w:val="000000" w:themeColor="text1"/>
        </w:rPr>
        <w:t>.</w:t>
      </w:r>
    </w:p>
    <w:p w:rsidR="00242AD7" w:rsidRPr="006314BE" w:rsidRDefault="00242AD7" w:rsidP="00C05318">
      <w:pPr>
        <w:tabs>
          <w:tab w:val="left" w:pos="0"/>
          <w:tab w:val="left" w:pos="567"/>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tabs>
          <w:tab w:val="left" w:pos="0"/>
        </w:tabs>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6314BE">
        <w:rPr>
          <w:rFonts w:ascii="Palatino Linotype" w:eastAsia="Palatino Linotype" w:hAnsi="Palatino Linotype" w:cs="Palatino Linotype"/>
          <w:b/>
          <w:color w:val="000000" w:themeColor="text1"/>
        </w:rPr>
        <w:t>VISTO</w:t>
      </w:r>
      <w:r w:rsidRPr="006314BE">
        <w:rPr>
          <w:rFonts w:ascii="Palatino Linotype" w:eastAsia="Palatino Linotype" w:hAnsi="Palatino Linotype" w:cs="Palatino Linotype"/>
          <w:color w:val="000000" w:themeColor="text1"/>
        </w:rPr>
        <w:t xml:space="preserve"> el expediente electrónico formado con motivo del recurso de revisión </w:t>
      </w:r>
      <w:r w:rsidRPr="006314BE">
        <w:rPr>
          <w:rFonts w:ascii="Palatino Linotype" w:eastAsia="Palatino Linotype" w:hAnsi="Palatino Linotype" w:cs="Palatino Linotype"/>
          <w:b/>
          <w:color w:val="000000" w:themeColor="text1"/>
        </w:rPr>
        <w:t>01003/INFOEM/IP/RR/2025</w:t>
      </w:r>
      <w:r w:rsidRPr="006314BE">
        <w:rPr>
          <w:rFonts w:ascii="Palatino Linotype" w:eastAsia="Palatino Linotype" w:hAnsi="Palatino Linotype" w:cs="Palatino Linotype"/>
          <w:color w:val="000000" w:themeColor="text1"/>
        </w:rPr>
        <w:t>,</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 xml:space="preserve">promovido por un </w:t>
      </w:r>
      <w:r w:rsidR="00C05318" w:rsidRPr="006314BE">
        <w:rPr>
          <w:rFonts w:ascii="Palatino Linotype" w:eastAsia="Palatino Linotype" w:hAnsi="Palatino Linotype" w:cs="Palatino Linotype"/>
          <w:b/>
          <w:color w:val="000000" w:themeColor="text1"/>
        </w:rPr>
        <w:t xml:space="preserve">una persona que no proporcionó datos de identificación, </w:t>
      </w:r>
      <w:r w:rsidR="00C05318" w:rsidRPr="006314BE">
        <w:rPr>
          <w:rFonts w:ascii="Palatino Linotype" w:eastAsia="Palatino Linotype" w:hAnsi="Palatino Linotype" w:cs="Palatino Linotype"/>
          <w:color w:val="000000" w:themeColor="text1"/>
        </w:rPr>
        <w:t xml:space="preserve">y a quién en lo sucesivo, identificaremos como </w:t>
      </w:r>
      <w:r w:rsidR="00C05318" w:rsidRPr="006314BE">
        <w:rPr>
          <w:rFonts w:ascii="Palatino Linotype" w:eastAsia="Palatino Linotype" w:hAnsi="Palatino Linotype" w:cs="Palatino Linotype"/>
          <w:b/>
          <w:color w:val="000000" w:themeColor="text1"/>
        </w:rPr>
        <w:t xml:space="preserve">EL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en contra de la respuesta del </w:t>
      </w:r>
      <w:r w:rsidRPr="006314BE">
        <w:rPr>
          <w:rFonts w:ascii="Palatino Linotype" w:eastAsia="Palatino Linotype" w:hAnsi="Palatino Linotype" w:cs="Palatino Linotype"/>
          <w:b/>
          <w:color w:val="000000" w:themeColor="text1"/>
        </w:rPr>
        <w:t xml:space="preserve">Consejo Estatal para el Desarrollo Integral de </w:t>
      </w:r>
      <w:r w:rsidR="00C05318" w:rsidRPr="006314BE">
        <w:rPr>
          <w:rFonts w:ascii="Palatino Linotype" w:eastAsia="Palatino Linotype" w:hAnsi="Palatino Linotype" w:cs="Palatino Linotype"/>
          <w:b/>
          <w:color w:val="000000" w:themeColor="text1"/>
        </w:rPr>
        <w:t>l</w:t>
      </w:r>
      <w:r w:rsidRPr="006314BE">
        <w:rPr>
          <w:rFonts w:ascii="Palatino Linotype" w:eastAsia="Palatino Linotype" w:hAnsi="Palatino Linotype" w:cs="Palatino Linotype"/>
          <w:b/>
          <w:color w:val="000000" w:themeColor="text1"/>
        </w:rPr>
        <w:t xml:space="preserve">os Pueblos Indígenas del Estado de México, </w:t>
      </w:r>
      <w:r w:rsidRPr="006314BE">
        <w:rPr>
          <w:rFonts w:ascii="Palatino Linotype" w:eastAsia="Palatino Linotype" w:hAnsi="Palatino Linotype" w:cs="Palatino Linotype"/>
          <w:color w:val="000000" w:themeColor="text1"/>
        </w:rPr>
        <w:t>en adelante el</w:t>
      </w:r>
      <w:r w:rsidRPr="006314BE">
        <w:rPr>
          <w:rFonts w:ascii="Palatino Linotype" w:eastAsia="Palatino Linotype" w:hAnsi="Palatino Linotype" w:cs="Palatino Linotype"/>
          <w:b/>
          <w:color w:val="000000" w:themeColor="text1"/>
        </w:rPr>
        <w:t xml:space="preserve"> SUJETO OBLIGADO</w:t>
      </w:r>
      <w:r w:rsidRPr="006314BE">
        <w:rPr>
          <w:rFonts w:ascii="Palatino Linotype" w:eastAsia="Palatino Linotype" w:hAnsi="Palatino Linotype" w:cs="Palatino Linotype"/>
          <w:color w:val="000000" w:themeColor="text1"/>
        </w:rPr>
        <w:t>, se procede a dictar la presente resolución, con base en los siguientes:</w:t>
      </w:r>
    </w:p>
    <w:p w:rsidR="00242AD7" w:rsidRPr="006314BE" w:rsidRDefault="00242AD7" w:rsidP="00C05318">
      <w:pP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pStyle w:val="Ttulo1"/>
        <w:tabs>
          <w:tab w:val="left" w:pos="0"/>
          <w:tab w:val="left" w:pos="567"/>
        </w:tabs>
        <w:spacing w:before="0" w:line="360" w:lineRule="auto"/>
        <w:jc w:val="center"/>
        <w:rPr>
          <w:b w:val="0"/>
          <w:szCs w:val="24"/>
        </w:rPr>
      </w:pPr>
      <w:bookmarkStart w:id="2" w:name="_heading=h.30j0zll" w:colFirst="0" w:colLast="0"/>
      <w:bookmarkEnd w:id="2"/>
      <w:r w:rsidRPr="006314BE">
        <w:rPr>
          <w:szCs w:val="24"/>
        </w:rPr>
        <w:t>A N T E C E D E N T E S</w:t>
      </w:r>
    </w:p>
    <w:p w:rsidR="00242AD7" w:rsidRPr="006314BE" w:rsidRDefault="00242AD7" w:rsidP="00C05318">
      <w:pPr>
        <w:pStyle w:val="Ttulo1"/>
        <w:tabs>
          <w:tab w:val="left" w:pos="0"/>
          <w:tab w:val="left" w:pos="567"/>
        </w:tabs>
        <w:spacing w:before="0" w:line="360" w:lineRule="auto"/>
        <w:jc w:val="center"/>
        <w:rPr>
          <w:szCs w:val="24"/>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 xml:space="preserve">cinco de diciembre de dos mil veinticuatro, </w:t>
      </w:r>
      <w:r w:rsidRPr="006314BE">
        <w:rPr>
          <w:rFonts w:ascii="Palatino Linotype" w:eastAsia="Palatino Linotype" w:hAnsi="Palatino Linotype" w:cs="Palatino Linotype"/>
          <w:color w:val="000000" w:themeColor="text1"/>
        </w:rPr>
        <w:t xml:space="preserve">se presentó ante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vía SAIMEX, la solicitud de información pública registrada con el número</w:t>
      </w:r>
      <w:r w:rsidRPr="006314BE">
        <w:rPr>
          <w:rFonts w:ascii="Palatino Linotype" w:eastAsia="Palatino Linotype" w:hAnsi="Palatino Linotype" w:cs="Palatino Linotype"/>
          <w:b/>
          <w:color w:val="000000" w:themeColor="text1"/>
        </w:rPr>
        <w:t xml:space="preserve"> 00039/CEDIPIEM/IP/202</w:t>
      </w:r>
      <w:r w:rsidR="00C05318" w:rsidRPr="006314BE">
        <w:rPr>
          <w:rFonts w:ascii="Palatino Linotype" w:eastAsia="Palatino Linotype" w:hAnsi="Palatino Linotype" w:cs="Palatino Linotype"/>
          <w:b/>
          <w:color w:val="000000" w:themeColor="text1"/>
        </w:rPr>
        <w:t>4</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mediante la cual se solicitó la siguiente información:</w:t>
      </w:r>
    </w:p>
    <w:p w:rsidR="00242AD7" w:rsidRPr="006314BE" w:rsidRDefault="00242AD7" w:rsidP="00C05318">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242AD7" w:rsidRPr="006314BE" w:rsidRDefault="00ED74BD" w:rsidP="00C05318">
      <w:p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 xml:space="preserve">“Requiero conocer en </w:t>
      </w:r>
      <w:proofErr w:type="spellStart"/>
      <w:r w:rsidRPr="006314BE">
        <w:rPr>
          <w:rFonts w:ascii="Palatino Linotype" w:eastAsia="Palatino Linotype" w:hAnsi="Palatino Linotype" w:cs="Palatino Linotype"/>
          <w:i/>
          <w:color w:val="000000" w:themeColor="text1"/>
        </w:rPr>
        <w:t>que</w:t>
      </w:r>
      <w:proofErr w:type="spellEnd"/>
      <w:r w:rsidRPr="006314BE">
        <w:rPr>
          <w:rFonts w:ascii="Palatino Linotype" w:eastAsia="Palatino Linotype" w:hAnsi="Palatino Linotype" w:cs="Palatino Linotype"/>
          <w:i/>
          <w:color w:val="000000" w:themeColor="text1"/>
        </w:rPr>
        <w:t xml:space="preserve"> fecha se </w:t>
      </w:r>
      <w:proofErr w:type="spellStart"/>
      <w:r w:rsidRPr="006314BE">
        <w:rPr>
          <w:rFonts w:ascii="Palatino Linotype" w:eastAsia="Palatino Linotype" w:hAnsi="Palatino Linotype" w:cs="Palatino Linotype"/>
          <w:i/>
          <w:color w:val="000000" w:themeColor="text1"/>
        </w:rPr>
        <w:t>emitiron</w:t>
      </w:r>
      <w:proofErr w:type="spellEnd"/>
      <w:r w:rsidRPr="006314BE">
        <w:rPr>
          <w:rFonts w:ascii="Palatino Linotype" w:eastAsia="Palatino Linotype" w:hAnsi="Palatino Linotype" w:cs="Palatino Linotype"/>
          <w:i/>
          <w:color w:val="000000" w:themeColor="text1"/>
        </w:rPr>
        <w:t xml:space="preserve"> las convocatorias para los programas Bienestar </w:t>
      </w:r>
      <w:proofErr w:type="spellStart"/>
      <w:r w:rsidRPr="006314BE">
        <w:rPr>
          <w:rFonts w:ascii="Palatino Linotype" w:eastAsia="Palatino Linotype" w:hAnsi="Palatino Linotype" w:cs="Palatino Linotype"/>
          <w:i/>
          <w:color w:val="000000" w:themeColor="text1"/>
        </w:rPr>
        <w:t>Cuntural</w:t>
      </w:r>
      <w:proofErr w:type="spellEnd"/>
      <w:r w:rsidRPr="006314BE">
        <w:rPr>
          <w:rFonts w:ascii="Palatino Linotype" w:eastAsia="Palatino Linotype" w:hAnsi="Palatino Linotype" w:cs="Palatino Linotype"/>
          <w:i/>
          <w:color w:val="000000" w:themeColor="text1"/>
        </w:rPr>
        <w:t xml:space="preserve"> Indígena, Niñez </w:t>
      </w:r>
      <w:proofErr w:type="spellStart"/>
      <w:r w:rsidRPr="006314BE">
        <w:rPr>
          <w:rFonts w:ascii="Palatino Linotype" w:eastAsia="Palatino Linotype" w:hAnsi="Palatino Linotype" w:cs="Palatino Linotype"/>
          <w:i/>
          <w:color w:val="000000" w:themeColor="text1"/>
        </w:rPr>
        <w:t>Indigena</w:t>
      </w:r>
      <w:proofErr w:type="spellEnd"/>
      <w:r w:rsidRPr="006314BE">
        <w:rPr>
          <w:rFonts w:ascii="Palatino Linotype" w:eastAsia="Palatino Linotype" w:hAnsi="Palatino Linotype" w:cs="Palatino Linotype"/>
          <w:i/>
          <w:color w:val="000000" w:themeColor="text1"/>
        </w:rPr>
        <w:t xml:space="preserve"> con Bienestar y Desarrollo Indígena con Bienestar, durante el año 2024, </w:t>
      </w:r>
      <w:proofErr w:type="spellStart"/>
      <w:r w:rsidRPr="006314BE">
        <w:rPr>
          <w:rFonts w:ascii="Palatino Linotype" w:eastAsia="Palatino Linotype" w:hAnsi="Palatino Linotype" w:cs="Palatino Linotype"/>
          <w:i/>
          <w:color w:val="000000" w:themeColor="text1"/>
        </w:rPr>
        <w:t>asi</w:t>
      </w:r>
      <w:proofErr w:type="spellEnd"/>
      <w:r w:rsidRPr="006314BE">
        <w:rPr>
          <w:rFonts w:ascii="Palatino Linotype" w:eastAsia="Palatino Linotype" w:hAnsi="Palatino Linotype" w:cs="Palatino Linotype"/>
          <w:i/>
          <w:color w:val="000000" w:themeColor="text1"/>
        </w:rPr>
        <w:t xml:space="preserve"> como la </w:t>
      </w:r>
      <w:proofErr w:type="spellStart"/>
      <w:r w:rsidRPr="006314BE">
        <w:rPr>
          <w:rFonts w:ascii="Palatino Linotype" w:eastAsia="Palatino Linotype" w:hAnsi="Palatino Linotype" w:cs="Palatino Linotype"/>
          <w:i/>
          <w:color w:val="000000" w:themeColor="text1"/>
        </w:rPr>
        <w:t>expresion</w:t>
      </w:r>
      <w:proofErr w:type="spellEnd"/>
      <w:r w:rsidRPr="006314BE">
        <w:rPr>
          <w:rFonts w:ascii="Palatino Linotype" w:eastAsia="Palatino Linotype" w:hAnsi="Palatino Linotype" w:cs="Palatino Linotype"/>
          <w:i/>
          <w:color w:val="000000" w:themeColor="text1"/>
        </w:rPr>
        <w:t xml:space="preserve"> documental donde consten la convocatorias, así mismo requiero el listado de personas participantes en cada programa y nombre de proyecto en su caso, el listado de personas seleccionadas, nombre de proyectos ganadores y criterios para la selección. Documento donde conste el </w:t>
      </w:r>
      <w:proofErr w:type="spellStart"/>
      <w:r w:rsidRPr="006314BE">
        <w:rPr>
          <w:rFonts w:ascii="Palatino Linotype" w:eastAsia="Palatino Linotype" w:hAnsi="Palatino Linotype" w:cs="Palatino Linotype"/>
          <w:i/>
          <w:color w:val="000000" w:themeColor="text1"/>
        </w:rPr>
        <w:t>analisis</w:t>
      </w:r>
      <w:proofErr w:type="spellEnd"/>
      <w:r w:rsidRPr="006314BE">
        <w:rPr>
          <w:rFonts w:ascii="Palatino Linotype" w:eastAsia="Palatino Linotype" w:hAnsi="Palatino Linotype" w:cs="Palatino Linotype"/>
          <w:i/>
          <w:color w:val="000000" w:themeColor="text1"/>
        </w:rPr>
        <w:t xml:space="preserve"> cualitativo y </w:t>
      </w:r>
      <w:proofErr w:type="spellStart"/>
      <w:r w:rsidRPr="006314BE">
        <w:rPr>
          <w:rFonts w:ascii="Palatino Linotype" w:eastAsia="Palatino Linotype" w:hAnsi="Palatino Linotype" w:cs="Palatino Linotype"/>
          <w:i/>
          <w:color w:val="000000" w:themeColor="text1"/>
        </w:rPr>
        <w:t>cuantivo</w:t>
      </w:r>
      <w:proofErr w:type="spellEnd"/>
      <w:r w:rsidRPr="006314BE">
        <w:rPr>
          <w:rFonts w:ascii="Palatino Linotype" w:eastAsia="Palatino Linotype" w:hAnsi="Palatino Linotype" w:cs="Palatino Linotype"/>
          <w:i/>
          <w:color w:val="000000" w:themeColor="text1"/>
        </w:rPr>
        <w:t xml:space="preserve"> que determino a los ganadores o seleccionados. Gracias.” (Sic)</w:t>
      </w:r>
    </w:p>
    <w:p w:rsidR="00242AD7" w:rsidRPr="006314BE" w:rsidRDefault="00242AD7" w:rsidP="00C05318">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Se eligió como modalidad de entrega de la información: A través del </w:t>
      </w:r>
      <w:r w:rsidRPr="006314BE">
        <w:rPr>
          <w:rFonts w:ascii="Palatino Linotype" w:eastAsia="Palatino Linotype" w:hAnsi="Palatino Linotype" w:cs="Palatino Linotype"/>
          <w:b/>
          <w:color w:val="000000" w:themeColor="text1"/>
        </w:rPr>
        <w:t>SAIMEX.</w:t>
      </w:r>
    </w:p>
    <w:p w:rsidR="00242AD7" w:rsidRPr="006314BE" w:rsidRDefault="00242AD7" w:rsidP="00C0531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diecisiete de enero de dos mil veinticinco</w:t>
      </w:r>
      <w:r w:rsidRPr="006314BE">
        <w:rPr>
          <w:rFonts w:ascii="Palatino Linotype" w:eastAsia="Palatino Linotype" w:hAnsi="Palatino Linotype" w:cs="Palatino Linotype"/>
          <w:color w:val="000000" w:themeColor="text1"/>
        </w:rPr>
        <w:t xml:space="preserve">,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dio respuesta a la solicitud de información en el tenor siguiente:</w:t>
      </w:r>
    </w:p>
    <w:p w:rsidR="00242AD7" w:rsidRPr="006314BE" w:rsidRDefault="00242AD7" w:rsidP="00C05318">
      <w:pPr>
        <w:pBdr>
          <w:top w:val="nil"/>
          <w:left w:val="nil"/>
          <w:bottom w:val="nil"/>
          <w:right w:val="nil"/>
          <w:between w:val="nil"/>
        </w:pBdr>
        <w:tabs>
          <w:tab w:val="left" w:pos="0"/>
        </w:tabs>
        <w:ind w:left="709"/>
        <w:jc w:val="both"/>
        <w:rPr>
          <w:rFonts w:ascii="Palatino Linotype" w:eastAsia="Palatino Linotype" w:hAnsi="Palatino Linotype" w:cs="Palatino Linotype"/>
          <w:i/>
          <w:color w:val="000000" w:themeColor="text1"/>
        </w:rPr>
      </w:pPr>
    </w:p>
    <w:p w:rsidR="00242AD7" w:rsidRPr="006314BE" w:rsidRDefault="00ED74BD" w:rsidP="008006E9">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“Se anexa oficio número CEDIPIEM/UT/39/2024 de fecha 16 de enero de 2025 y anexos.” (Sic)</w:t>
      </w:r>
    </w:p>
    <w:p w:rsidR="00242AD7" w:rsidRPr="006314BE" w:rsidRDefault="00242AD7" w:rsidP="008006E9">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242AD7" w:rsidRPr="006314BE" w:rsidRDefault="00ED74BD" w:rsidP="008006E9">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Archivos electrónicos adjuntos:</w:t>
      </w:r>
    </w:p>
    <w:p w:rsidR="00242AD7" w:rsidRPr="006314BE" w:rsidRDefault="00242AD7" w:rsidP="008006E9">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8">
        <w:r w:rsidR="00ED74BD" w:rsidRPr="006314BE">
          <w:rPr>
            <w:rFonts w:ascii="Palatino Linotype" w:eastAsia="Palatino Linotype" w:hAnsi="Palatino Linotype" w:cs="Palatino Linotype"/>
            <w:b/>
            <w:color w:val="000000" w:themeColor="text1"/>
          </w:rPr>
          <w:t>CEDULA VIABILIDAD CULTURAL.pdf</w:t>
        </w:r>
      </w:hyperlink>
      <w:r w:rsidR="00ED74BD" w:rsidRPr="006314BE">
        <w:rPr>
          <w:rFonts w:ascii="Palatino Linotype" w:eastAsia="Palatino Linotype" w:hAnsi="Palatino Linotype" w:cs="Palatino Linotype"/>
          <w:color w:val="000000" w:themeColor="text1"/>
        </w:rPr>
        <w:t>: Cedula de Viabilidad Cultural del Programa de Desarrollo Social Bienestar Cultural Indígena, de la Secretaría de Bienestar.</w:t>
      </w:r>
    </w:p>
    <w:p w:rsidR="00242AD7" w:rsidRPr="006314BE" w:rsidRDefault="00242AD7" w:rsidP="00C05318">
      <w:pPr>
        <w:tabs>
          <w:tab w:val="left" w:pos="0"/>
        </w:tabs>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9">
        <w:r w:rsidR="00ED74BD" w:rsidRPr="006314BE">
          <w:rPr>
            <w:rFonts w:ascii="Palatino Linotype" w:eastAsia="Palatino Linotype" w:hAnsi="Palatino Linotype" w:cs="Palatino Linotype"/>
            <w:b/>
            <w:color w:val="000000" w:themeColor="text1"/>
          </w:rPr>
          <w:t>FORMATO UNICO DE BIENESTA DIB.pdf</w:t>
        </w:r>
      </w:hyperlink>
      <w:r w:rsidR="00ED74BD" w:rsidRPr="006314BE">
        <w:rPr>
          <w:rFonts w:ascii="Palatino Linotype" w:eastAsia="Palatino Linotype" w:hAnsi="Palatino Linotype" w:cs="Palatino Linotype"/>
          <w:color w:val="000000" w:themeColor="text1"/>
        </w:rPr>
        <w:t>: Formato Único de Bienestar (FUB) del Programa de Desarrollo Social Desarrollo Indígena con Bienestar, de la Secretaría de Bienestar.</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10">
        <w:r w:rsidR="00ED74BD" w:rsidRPr="006314BE">
          <w:rPr>
            <w:rFonts w:ascii="Palatino Linotype" w:eastAsia="Palatino Linotype" w:hAnsi="Palatino Linotype" w:cs="Palatino Linotype"/>
            <w:b/>
            <w:color w:val="000000" w:themeColor="text1"/>
          </w:rPr>
          <w:t>BENEFICIARIOS PDS DIB.pdf</w:t>
        </w:r>
      </w:hyperlink>
      <w:r w:rsidR="00ED74BD" w:rsidRPr="006314BE">
        <w:rPr>
          <w:rFonts w:ascii="Palatino Linotype" w:eastAsia="Palatino Linotype" w:hAnsi="Palatino Linotype" w:cs="Palatino Linotype"/>
          <w:color w:val="000000" w:themeColor="text1"/>
        </w:rPr>
        <w:t>: Registro del Programa de Desarrollo Social “Desarrollo Indígena con Bienestar”, ejercicio 2024, bajo los rubros: Nombre del Proyecto y Nombre del Beneficiario.</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11">
        <w:r w:rsidR="00ED74BD" w:rsidRPr="006314BE">
          <w:rPr>
            <w:rFonts w:ascii="Palatino Linotype" w:eastAsia="Palatino Linotype" w:hAnsi="Palatino Linotype" w:cs="Palatino Linotype"/>
            <w:b/>
            <w:color w:val="000000" w:themeColor="text1"/>
          </w:rPr>
          <w:t>FORMATO UNICO DE BIENESTA NIB.pdf</w:t>
        </w:r>
      </w:hyperlink>
      <w:r w:rsidR="00ED74BD" w:rsidRPr="006314BE">
        <w:rPr>
          <w:rFonts w:ascii="Palatino Linotype" w:eastAsia="Palatino Linotype" w:hAnsi="Palatino Linotype" w:cs="Palatino Linotype"/>
          <w:color w:val="000000" w:themeColor="text1"/>
        </w:rPr>
        <w:t>: Formato Único de Bienestar (FUB) del Programa de Desarrollo Social Niñez Indígena con Bienestar 2024, de la Secretaría de Bienestar.</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12">
        <w:r w:rsidR="00ED74BD" w:rsidRPr="006314BE">
          <w:rPr>
            <w:rFonts w:ascii="Palatino Linotype" w:eastAsia="Palatino Linotype" w:hAnsi="Palatino Linotype" w:cs="Palatino Linotype"/>
            <w:b/>
            <w:color w:val="000000" w:themeColor="text1"/>
          </w:rPr>
          <w:t>BENEFICIARIOS PDS BCI.pdf</w:t>
        </w:r>
      </w:hyperlink>
      <w:r w:rsidR="00ED74BD" w:rsidRPr="006314BE">
        <w:rPr>
          <w:rFonts w:ascii="Palatino Linotype" w:eastAsia="Palatino Linotype" w:hAnsi="Palatino Linotype" w:cs="Palatino Linotype"/>
          <w:color w:val="000000" w:themeColor="text1"/>
        </w:rPr>
        <w:t>: Registro del Programa de Desarrollo Social “Bienestar Cultural Indígena”, bajo los rubros: N.P., VERTIENTE y BENEFICIARIO.</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13">
        <w:r w:rsidR="00ED74BD" w:rsidRPr="006314BE">
          <w:rPr>
            <w:rFonts w:ascii="Palatino Linotype" w:eastAsia="Palatino Linotype" w:hAnsi="Palatino Linotype" w:cs="Palatino Linotype"/>
            <w:b/>
            <w:color w:val="000000" w:themeColor="text1"/>
          </w:rPr>
          <w:t>CONVOCATORIAS PROGRAMAS SOCIALES 2024.pdf</w:t>
        </w:r>
      </w:hyperlink>
      <w:r w:rsidR="00ED74BD" w:rsidRPr="006314BE">
        <w:rPr>
          <w:rFonts w:ascii="Palatino Linotype" w:eastAsia="Palatino Linotype" w:hAnsi="Palatino Linotype" w:cs="Palatino Linotype"/>
          <w:color w:val="000000" w:themeColor="text1"/>
        </w:rPr>
        <w:t>: Convocatoria Bienestar Cultural Indígena 2024. Convocatoria Niñez Indígena con Bienestar 2024. Convocatoria Desarrollo Indígena con Bienestar 2024.</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color w:val="000000" w:themeColor="text1"/>
        </w:rPr>
      </w:pPr>
      <w:hyperlink r:id="rId14">
        <w:r w:rsidR="00ED74BD" w:rsidRPr="006314BE">
          <w:rPr>
            <w:rFonts w:ascii="Palatino Linotype" w:eastAsia="Palatino Linotype" w:hAnsi="Palatino Linotype" w:cs="Palatino Linotype"/>
            <w:b/>
            <w:color w:val="000000" w:themeColor="text1"/>
          </w:rPr>
          <w:t>CEDIPIEM-UT-39-2024.pdf</w:t>
        </w:r>
      </w:hyperlink>
      <w:r w:rsidR="00ED74BD" w:rsidRPr="006314BE">
        <w:rPr>
          <w:rFonts w:ascii="Palatino Linotype" w:eastAsia="Palatino Linotype" w:hAnsi="Palatino Linotype" w:cs="Palatino Linotype"/>
          <w:color w:val="000000" w:themeColor="text1"/>
        </w:rPr>
        <w:t>: Oficio suscrito por el Titular de la Unidad de Transparencia, por medio del cual, refirió que con información que obra en los archivos de la Subdirección de Desarrollo Cultural Indígena y la Subdirección Operativa del Consejo estatal para el Desarrollo Integral de los Pueblos Indígenas del Estado de México, con fecha 5 al 9 de agosto de 2024 fueron publicadas las convocatorias de los programas de desarrollo social “Bienestar Cultural Indígena”, “Niñez Indígena con Bienestar” y “Desarrollo Indígena con Bienestar”, mismas que refirió adjuntar en formato PDF. En cuanto al requerimiento relativo a “las personas participantes o personas seleccionadas”, refirió adjuntar el padrón de beneficiarios de los programas de desarrollo social “Bienestar Cultural Indígena” y “Desarrollo Indígena con Bienestar”, especificando el nombre del proyecto o vertiente. Respecto al padrón de beneficiarios del programa de desarrollo social “Niñez Indígena con Bienestar”, refirió que debido a que corresponde a menores de edad, no es posible proporcionarlo, en términos del artículo 55 de la Ley de los Derechos de Niñas, Niños y Adolescentes del Estado de México. En cuanto a los criterios de selección que fueron implementados para determinar a las personas participantes, informó que estos fueron de acuerdo a lo establecido en el 8.1.1.1 de las Reglas de Operación de los programas en cuestión, mismos que enlisto para cada Programa, respectivamente. Finalmente, referente a la petición relacionada con el documento donde consta el análisis y cualitativo y cuantitativo que determinó el apoyo de los beneficiarios, refirió adjuntar los siguientes formatos: Cédula de Viabilidad Cultural, Diagnostico de Viabilidad (Proyectos productivos) y el Formato único de Bienestar.</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b/>
          <w:color w:val="000000" w:themeColor="text1"/>
        </w:rPr>
      </w:pPr>
      <w:hyperlink r:id="rId15">
        <w:r w:rsidR="00ED74BD" w:rsidRPr="006314BE">
          <w:rPr>
            <w:rFonts w:ascii="Palatino Linotype" w:eastAsia="Palatino Linotype" w:hAnsi="Palatino Linotype" w:cs="Palatino Linotype"/>
            <w:b/>
            <w:color w:val="000000" w:themeColor="text1"/>
          </w:rPr>
          <w:t>DIAGNOSTICO DE VIABILIDAD DIB.pdf</w:t>
        </w:r>
      </w:hyperlink>
      <w:r w:rsidR="00ED74BD" w:rsidRPr="006314BE">
        <w:rPr>
          <w:rFonts w:ascii="Palatino Linotype" w:eastAsia="Palatino Linotype" w:hAnsi="Palatino Linotype" w:cs="Palatino Linotype"/>
          <w:color w:val="000000" w:themeColor="text1"/>
        </w:rPr>
        <w:t>: Formato de Diagnostico Viabilidad del Programa de Desarrollo Social Desarrollo Indígena con Bienestar, de la Secretaría de Bienestar.</w:t>
      </w:r>
    </w:p>
    <w:p w:rsidR="00242AD7" w:rsidRPr="006314BE" w:rsidRDefault="00242AD7" w:rsidP="00C05318">
      <w:pPr>
        <w:tabs>
          <w:tab w:val="left" w:pos="0"/>
        </w:tabs>
        <w:ind w:left="567"/>
        <w:jc w:val="both"/>
        <w:rPr>
          <w:rFonts w:ascii="Palatino Linotype" w:eastAsia="Palatino Linotype" w:hAnsi="Palatino Linotype" w:cs="Palatino Linotype"/>
          <w:color w:val="000000" w:themeColor="text1"/>
        </w:rPr>
      </w:pPr>
    </w:p>
    <w:p w:rsidR="00242AD7" w:rsidRPr="006314BE" w:rsidRDefault="00A71929" w:rsidP="00C05318">
      <w:pPr>
        <w:tabs>
          <w:tab w:val="left" w:pos="0"/>
        </w:tabs>
        <w:ind w:left="567"/>
        <w:jc w:val="both"/>
        <w:rPr>
          <w:rFonts w:ascii="Palatino Linotype" w:eastAsia="Palatino Linotype" w:hAnsi="Palatino Linotype" w:cs="Palatino Linotype"/>
          <w:b/>
          <w:color w:val="000000" w:themeColor="text1"/>
        </w:rPr>
      </w:pPr>
      <w:hyperlink r:id="rId16">
        <w:r w:rsidR="00ED74BD" w:rsidRPr="006314BE">
          <w:rPr>
            <w:rFonts w:ascii="Palatino Linotype" w:eastAsia="Palatino Linotype" w:hAnsi="Palatino Linotype" w:cs="Palatino Linotype"/>
            <w:b/>
            <w:color w:val="000000" w:themeColor="text1"/>
          </w:rPr>
          <w:t>FORMATO UNICO DE BIENESTA BCI.pdf</w:t>
        </w:r>
      </w:hyperlink>
      <w:r w:rsidR="00ED74BD" w:rsidRPr="006314BE">
        <w:rPr>
          <w:rFonts w:ascii="Palatino Linotype" w:eastAsia="Palatino Linotype" w:hAnsi="Palatino Linotype" w:cs="Palatino Linotype"/>
          <w:color w:val="000000" w:themeColor="text1"/>
        </w:rPr>
        <w:t>: Formato Único de Bienestar (FUB) del Programa de Desarrollo Social Bienestar Cultural Indígena, de la Secretaría de Bienestar.</w:t>
      </w:r>
    </w:p>
    <w:p w:rsidR="00242AD7" w:rsidRPr="006314BE" w:rsidRDefault="00242AD7" w:rsidP="00C05318">
      <w:pPr>
        <w:tabs>
          <w:tab w:val="left" w:pos="0"/>
        </w:tabs>
        <w:jc w:val="both"/>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diez de febrero de febrero de dos mil veinticinco</w:t>
      </w:r>
      <w:r w:rsidRPr="006314BE">
        <w:rPr>
          <w:rFonts w:ascii="Palatino Linotype" w:eastAsia="Palatino Linotype" w:hAnsi="Palatino Linotype" w:cs="Palatino Linotype"/>
          <w:color w:val="000000" w:themeColor="text1"/>
        </w:rPr>
        <w:t xml:space="preserve">, el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bookmarkStart w:id="3" w:name="_heading=h.1fob9te" w:colFirst="0" w:colLast="0"/>
      <w:bookmarkEnd w:id="3"/>
      <w:r w:rsidRPr="006314BE">
        <w:rPr>
          <w:rFonts w:ascii="Palatino Linotype" w:eastAsia="Palatino Linotype" w:hAnsi="Palatino Linotype" w:cs="Palatino Linotype"/>
          <w:b/>
          <w:color w:val="000000" w:themeColor="text1"/>
        </w:rPr>
        <w:t>Acto impugnado</w:t>
      </w:r>
      <w:r w:rsidRPr="006314BE">
        <w:rPr>
          <w:rFonts w:ascii="Palatino Linotype" w:eastAsia="Palatino Linotype" w:hAnsi="Palatino Linotype" w:cs="Palatino Linotype"/>
          <w:color w:val="000000" w:themeColor="text1"/>
        </w:rPr>
        <w:t>:</w:t>
      </w:r>
      <w:r w:rsidRPr="006314BE">
        <w:rPr>
          <w:rFonts w:ascii="Palatino Linotype" w:eastAsia="Palatino Linotype" w:hAnsi="Palatino Linotype" w:cs="Palatino Linotype"/>
          <w:i/>
          <w:color w:val="000000" w:themeColor="text1"/>
        </w:rPr>
        <w:t xml:space="preserve"> “La respuesta” (Sic.)</w:t>
      </w:r>
    </w:p>
    <w:p w:rsidR="00242AD7" w:rsidRPr="006314BE" w:rsidRDefault="00242AD7" w:rsidP="00C05318">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242AD7" w:rsidRPr="006314BE" w:rsidRDefault="00ED74BD" w:rsidP="00C05318">
      <w:pPr>
        <w:tabs>
          <w:tab w:val="left" w:pos="0"/>
        </w:tabs>
        <w:ind w:left="567"/>
        <w:jc w:val="both"/>
        <w:rPr>
          <w:rFonts w:ascii="Palatino Linotype" w:eastAsia="Palatino Linotype" w:hAnsi="Palatino Linotype" w:cs="Palatino Linotype"/>
          <w:i/>
          <w:color w:val="000000" w:themeColor="text1"/>
        </w:rPr>
      </w:pPr>
      <w:bookmarkStart w:id="4" w:name="_heading=h.3znysh7" w:colFirst="0" w:colLast="0"/>
      <w:bookmarkEnd w:id="4"/>
      <w:r w:rsidRPr="006314BE">
        <w:rPr>
          <w:rFonts w:ascii="Palatino Linotype" w:eastAsia="Palatino Linotype" w:hAnsi="Palatino Linotype" w:cs="Palatino Linotype"/>
          <w:b/>
          <w:color w:val="000000" w:themeColor="text1"/>
        </w:rPr>
        <w:t>Razones o Motivos de inconformidad:</w:t>
      </w:r>
      <w:r w:rsidRPr="006314BE">
        <w:rPr>
          <w:rFonts w:ascii="Palatino Linotype" w:eastAsia="Palatino Linotype" w:hAnsi="Palatino Linotype" w:cs="Palatino Linotype"/>
          <w:b/>
          <w:i/>
          <w:color w:val="000000" w:themeColor="text1"/>
        </w:rPr>
        <w:t xml:space="preserve"> </w:t>
      </w:r>
      <w:r w:rsidRPr="006314BE">
        <w:rPr>
          <w:rFonts w:ascii="Palatino Linotype" w:eastAsia="Palatino Linotype" w:hAnsi="Palatino Linotype" w:cs="Palatino Linotype"/>
          <w:i/>
          <w:color w:val="000000" w:themeColor="text1"/>
        </w:rPr>
        <w:t xml:space="preserve">“No remiten acuerdo de clasificación de </w:t>
      </w:r>
      <w:proofErr w:type="spellStart"/>
      <w:r w:rsidRPr="006314BE">
        <w:rPr>
          <w:rFonts w:ascii="Palatino Linotype" w:eastAsia="Palatino Linotype" w:hAnsi="Palatino Linotype" w:cs="Palatino Linotype"/>
          <w:i/>
          <w:color w:val="000000" w:themeColor="text1"/>
        </w:rPr>
        <w:t>Comite</w:t>
      </w:r>
      <w:proofErr w:type="spellEnd"/>
      <w:r w:rsidRPr="006314BE">
        <w:rPr>
          <w:rFonts w:ascii="Palatino Linotype" w:eastAsia="Palatino Linotype" w:hAnsi="Palatino Linotype" w:cs="Palatino Linotype"/>
          <w:i/>
          <w:color w:val="000000" w:themeColor="text1"/>
        </w:rPr>
        <w:t xml:space="preserve"> de Transparencia, donde se clasifiquen los padrones de beneficiarios.” (Sic.)</w:t>
      </w:r>
    </w:p>
    <w:p w:rsidR="00242AD7" w:rsidRPr="006314BE" w:rsidRDefault="00242AD7" w:rsidP="00C05318">
      <w:pPr>
        <w:tabs>
          <w:tab w:val="left" w:pos="0"/>
        </w:tabs>
        <w:spacing w:line="360" w:lineRule="auto"/>
        <w:rPr>
          <w:rFonts w:ascii="Palatino Linotype" w:eastAsia="Palatino Linotype" w:hAnsi="Palatino Linotype" w:cs="Palatino Linotype"/>
          <w:i/>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6314BE">
        <w:rPr>
          <w:rFonts w:ascii="Palatino Linotype" w:eastAsia="Palatino Linotype" w:hAnsi="Palatino Linotype" w:cs="Palatino Linotype"/>
          <w:b/>
          <w:color w:val="000000" w:themeColor="text1"/>
        </w:rPr>
        <w:t>doce de febrero de dos mil veinticinco</w:t>
      </w:r>
      <w:r w:rsidRPr="006314BE">
        <w:rPr>
          <w:rFonts w:ascii="Palatino Linotype" w:eastAsia="Palatino Linotype" w:hAnsi="Palatino Linotype" w:cs="Palatino Linotype"/>
          <w:color w:val="000000" w:themeColor="text1"/>
        </w:rPr>
        <w:t xml:space="preserve">, puso a disposición de las partes el expediente electrónico vía </w:t>
      </w:r>
      <w:r w:rsidRPr="006314BE">
        <w:rPr>
          <w:rFonts w:ascii="Palatino Linotype" w:eastAsia="Palatino Linotype" w:hAnsi="Palatino Linotype" w:cs="Palatino Linotype"/>
          <w:b/>
          <w:color w:val="000000" w:themeColor="text1"/>
        </w:rPr>
        <w:t xml:space="preserve">SAIMEX </w:t>
      </w:r>
      <w:r w:rsidRPr="006314B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presentará el Informe Justificado procedente.</w:t>
      </w:r>
    </w:p>
    <w:p w:rsidR="00242AD7" w:rsidRPr="006314BE" w:rsidRDefault="00242AD7" w:rsidP="00C05318">
      <w:pPr>
        <w:tabs>
          <w:tab w:val="left" w:pos="0"/>
        </w:tabs>
        <w:rPr>
          <w:rFonts w:ascii="Palatino Linotype" w:eastAsia="Palatino Linotype" w:hAnsi="Palatino Linotype" w:cs="Palatino Linotype"/>
          <w:color w:val="000000" w:themeColor="text1"/>
        </w:rPr>
      </w:pPr>
    </w:p>
    <w:p w:rsidR="00242AD7" w:rsidRPr="006314BE" w:rsidRDefault="00ED74BD" w:rsidP="00C05318">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veintiuno de marzo de dos mil veinticinco,</w:t>
      </w:r>
      <w:r w:rsidRPr="006314BE">
        <w:rPr>
          <w:rFonts w:ascii="Palatino Linotype" w:eastAsia="Palatino Linotype" w:hAnsi="Palatino Linotype" w:cs="Palatino Linotype"/>
          <w:color w:val="000000" w:themeColor="text1"/>
        </w:rPr>
        <w:t xml:space="preserve"> el </w:t>
      </w:r>
      <w:r w:rsidRPr="006314BE">
        <w:rPr>
          <w:rFonts w:ascii="Palatino Linotype" w:eastAsia="Palatino Linotype" w:hAnsi="Palatino Linotype" w:cs="Palatino Linotype"/>
          <w:b/>
          <w:color w:val="000000" w:themeColor="text1"/>
        </w:rPr>
        <w:t xml:space="preserve">SUJETO OBLIGADO </w:t>
      </w:r>
      <w:r w:rsidRPr="006314BE">
        <w:rPr>
          <w:rFonts w:ascii="Palatino Linotype" w:eastAsia="Palatino Linotype" w:hAnsi="Palatino Linotype" w:cs="Palatino Linotype"/>
          <w:color w:val="000000" w:themeColor="text1"/>
        </w:rPr>
        <w:t xml:space="preserve">rindió el informe justificado correspondiente por medio del archivo electrónico denominado </w:t>
      </w:r>
      <w:r w:rsidRPr="006314BE">
        <w:rPr>
          <w:rFonts w:ascii="Palatino Linotype" w:eastAsia="Palatino Linotype" w:hAnsi="Palatino Linotype" w:cs="Palatino Linotype"/>
          <w:b/>
          <w:color w:val="000000" w:themeColor="text1"/>
        </w:rPr>
        <w:t>“INFORME-JUSTIFICADO-1003-INFOEM-IP-RR-2025.pdf”</w:t>
      </w:r>
      <w:r w:rsidRPr="006314BE">
        <w:rPr>
          <w:rFonts w:ascii="Palatino Linotype" w:eastAsia="Palatino Linotype" w:hAnsi="Palatino Linotype" w:cs="Palatino Linotype"/>
          <w:color w:val="000000" w:themeColor="text1"/>
        </w:rPr>
        <w:t xml:space="preserve">, consistente en un oficio suscrito por el Titular de la Unidad de Transparencia, por medio del cual, refirió que no se omitió ningún dato en la respuesta, por lo que no puede considerarse que el derecho </w:t>
      </w:r>
      <w:r w:rsidRPr="006314BE">
        <w:rPr>
          <w:rFonts w:ascii="Palatino Linotype" w:eastAsia="Palatino Linotype" w:hAnsi="Palatino Linotype" w:cs="Palatino Linotype"/>
          <w:color w:val="000000" w:themeColor="text1"/>
        </w:rPr>
        <w:lastRenderedPageBreak/>
        <w:t>de acceso a la información del que es titular el recurrente haya sido negado, limitado o restringido. Asimismo, argumentó que las razones o motivos de inconformidad, son argumentos subjetivos y poco claros; asimismo, que la Unidad de Transparencia no ocultó información, por el contrario, proporcionó la misma de manera</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clara, objetiva y precisa a cada una de las peticiones realizadas en la solicitud de información.</w:t>
      </w:r>
    </w:p>
    <w:p w:rsidR="00242AD7" w:rsidRPr="006314BE" w:rsidRDefault="00242AD7" w:rsidP="00C05318">
      <w:pPr>
        <w:tabs>
          <w:tab w:val="left" w:pos="0"/>
        </w:tabs>
        <w:spacing w:line="360" w:lineRule="auto"/>
        <w:jc w:val="both"/>
        <w:rPr>
          <w:rFonts w:ascii="Palatino Linotype" w:eastAsia="Palatino Linotype" w:hAnsi="Palatino Linotype" w:cs="Palatino Linotype"/>
          <w:b/>
          <w:color w:val="000000" w:themeColor="text1"/>
        </w:rPr>
      </w:pPr>
    </w:p>
    <w:p w:rsidR="00242AD7" w:rsidRPr="006314BE" w:rsidRDefault="00ED74BD" w:rsidP="00C05318">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color w:val="000000" w:themeColor="text1"/>
        </w:rPr>
        <w:t>Por su parte, el</w:t>
      </w:r>
      <w:r w:rsidRPr="006314BE">
        <w:rPr>
          <w:rFonts w:ascii="Palatino Linotype" w:eastAsia="Palatino Linotype" w:hAnsi="Palatino Linotype" w:cs="Palatino Linotype"/>
          <w:b/>
          <w:color w:val="000000" w:themeColor="text1"/>
        </w:rPr>
        <w:t xml:space="preserve"> RECURRENTE </w:t>
      </w:r>
      <w:r w:rsidRPr="006314BE">
        <w:rPr>
          <w:rFonts w:ascii="Palatino Linotype" w:eastAsia="Palatino Linotype" w:hAnsi="Palatino Linotype" w:cs="Palatino Linotype"/>
          <w:color w:val="000000" w:themeColor="text1"/>
        </w:rPr>
        <w:t xml:space="preserve">dejó de realizar manifestaciones que a su derecho conviniera y asistiera. </w:t>
      </w:r>
    </w:p>
    <w:p w:rsidR="00242AD7" w:rsidRPr="006314BE" w:rsidRDefault="00242AD7" w:rsidP="00C05318">
      <w:pPr>
        <w:pBdr>
          <w:top w:val="nil"/>
          <w:left w:val="nil"/>
          <w:bottom w:val="nil"/>
          <w:right w:val="nil"/>
          <w:between w:val="nil"/>
        </w:pBdr>
        <w:tabs>
          <w:tab w:val="left" w:pos="0"/>
        </w:tabs>
        <w:rPr>
          <w:rFonts w:ascii="Palatino Linotype" w:eastAsia="Palatino Linotype" w:hAnsi="Palatino Linotype" w:cs="Palatino Linotype"/>
          <w:i/>
          <w:color w:val="000000" w:themeColor="text1"/>
        </w:rPr>
      </w:pPr>
    </w:p>
    <w:p w:rsidR="00242AD7" w:rsidRPr="006314BE" w:rsidRDefault="00ED74BD" w:rsidP="00C05318">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veintidós de mayo de dos mil veinticinco</w:t>
      </w:r>
      <w:r w:rsidRPr="006314BE">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242AD7" w:rsidRPr="006314BE" w:rsidRDefault="00242AD7" w:rsidP="00C05318">
      <w:pP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color w:val="000000" w:themeColor="text1"/>
        </w:rPr>
        <w:t xml:space="preserve">Finalmente, mediante acuerdo del </w:t>
      </w:r>
      <w:r w:rsidRPr="006314BE">
        <w:rPr>
          <w:rFonts w:ascii="Palatino Linotype" w:eastAsia="Palatino Linotype" w:hAnsi="Palatino Linotype" w:cs="Palatino Linotype"/>
          <w:b/>
          <w:color w:val="000000" w:themeColor="text1"/>
        </w:rPr>
        <w:t>veintiocho de mayo</w:t>
      </w:r>
      <w:r w:rsidRPr="006314BE">
        <w:rPr>
          <w:rFonts w:ascii="Palatino Linotype" w:eastAsia="Palatino Linotype" w:hAnsi="Palatino Linotype" w:cs="Palatino Linotype"/>
          <w:color w:val="000000" w:themeColor="text1"/>
        </w:rPr>
        <w:t xml:space="preserve"> </w:t>
      </w:r>
      <w:r w:rsidRPr="006314BE">
        <w:rPr>
          <w:rFonts w:ascii="Palatino Linotype" w:eastAsia="Palatino Linotype" w:hAnsi="Palatino Linotype" w:cs="Palatino Linotype"/>
          <w:b/>
          <w:color w:val="000000" w:themeColor="text1"/>
        </w:rPr>
        <w:t>de dos mil veinticinco</w:t>
      </w:r>
      <w:r w:rsidRPr="006314BE">
        <w:rPr>
          <w:rFonts w:ascii="Palatino Linotype" w:eastAsia="Palatino Linotype" w:hAnsi="Palatino Linotype" w:cs="Palatino Linotype"/>
          <w:color w:val="000000" w:themeColor="text1"/>
        </w:rPr>
        <w:t>, se decretó el cierre de instrucción, por lo que no habiendo más que hacer constar, y</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242AD7" w:rsidRPr="006314BE" w:rsidRDefault="00ED74BD" w:rsidP="00C05318">
      <w:pPr>
        <w:pStyle w:val="Ttulo1"/>
        <w:tabs>
          <w:tab w:val="left" w:pos="0"/>
          <w:tab w:val="left" w:pos="567"/>
        </w:tabs>
        <w:spacing w:before="0" w:line="360" w:lineRule="auto"/>
        <w:jc w:val="center"/>
        <w:rPr>
          <w:szCs w:val="24"/>
        </w:rPr>
      </w:pPr>
      <w:bookmarkStart w:id="6" w:name="_heading=h.tyjcwt" w:colFirst="0" w:colLast="0"/>
      <w:bookmarkEnd w:id="6"/>
      <w:r w:rsidRPr="006314BE">
        <w:rPr>
          <w:szCs w:val="24"/>
        </w:rPr>
        <w:t>C O N S I D E R A N D O</w:t>
      </w:r>
    </w:p>
    <w:p w:rsidR="00242AD7" w:rsidRPr="006314BE" w:rsidRDefault="00242AD7" w:rsidP="00C05318">
      <w:pPr>
        <w:tabs>
          <w:tab w:val="left" w:pos="0"/>
        </w:tabs>
        <w:spacing w:line="360" w:lineRule="auto"/>
        <w:rPr>
          <w:rFonts w:ascii="Palatino Linotype" w:eastAsia="Palatino Linotype" w:hAnsi="Palatino Linotype" w:cs="Palatino Linotype"/>
          <w:color w:val="000000" w:themeColor="text1"/>
        </w:rPr>
      </w:pPr>
    </w:p>
    <w:p w:rsidR="00242AD7" w:rsidRPr="006314BE" w:rsidRDefault="00ED74BD" w:rsidP="00C05318">
      <w:pPr>
        <w:pStyle w:val="Ttulo1"/>
        <w:tabs>
          <w:tab w:val="left" w:pos="0"/>
          <w:tab w:val="left" w:pos="567"/>
        </w:tabs>
        <w:spacing w:before="0" w:line="360" w:lineRule="auto"/>
        <w:rPr>
          <w:b w:val="0"/>
          <w:szCs w:val="24"/>
        </w:rPr>
      </w:pPr>
      <w:bookmarkStart w:id="7" w:name="_heading=h.3dy6vkm" w:colFirst="0" w:colLast="0"/>
      <w:bookmarkEnd w:id="7"/>
      <w:r w:rsidRPr="006314BE">
        <w:rPr>
          <w:szCs w:val="24"/>
        </w:rPr>
        <w:t>PRIMERO. De la competencia</w:t>
      </w:r>
    </w:p>
    <w:p w:rsidR="00242AD7" w:rsidRPr="006314BE" w:rsidRDefault="00ED74BD" w:rsidP="00C05318">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6314BE">
        <w:rPr>
          <w:rFonts w:ascii="Palatino Linotype" w:eastAsia="Palatino Linotype" w:hAnsi="Palatino Linotype" w:cs="Palatino Linotype"/>
          <w:b/>
          <w:color w:val="000000" w:themeColor="text1"/>
        </w:rPr>
        <w:t>Constitución Política de los Estados Unidos Mexicanos</w:t>
      </w:r>
      <w:r w:rsidRPr="006314BE">
        <w:rPr>
          <w:rFonts w:ascii="Palatino Linotype" w:eastAsia="Palatino Linotype" w:hAnsi="Palatino Linotype" w:cs="Palatino Linotype"/>
          <w:color w:val="000000" w:themeColor="text1"/>
        </w:rPr>
        <w:t>; 5, párrafos trigésimo segundo, trigésimo tercero y trigésimo cuarto fracciones IV y V de la </w:t>
      </w:r>
      <w:r w:rsidRPr="006314BE">
        <w:rPr>
          <w:rFonts w:ascii="Palatino Linotype" w:eastAsia="Palatino Linotype" w:hAnsi="Palatino Linotype" w:cs="Palatino Linotype"/>
          <w:b/>
          <w:color w:val="000000" w:themeColor="text1"/>
        </w:rPr>
        <w:t xml:space="preserve">Constitución </w:t>
      </w:r>
      <w:r w:rsidRPr="006314BE">
        <w:rPr>
          <w:rFonts w:ascii="Palatino Linotype" w:eastAsia="Palatino Linotype" w:hAnsi="Palatino Linotype" w:cs="Palatino Linotype"/>
          <w:b/>
          <w:color w:val="000000" w:themeColor="text1"/>
        </w:rPr>
        <w:lastRenderedPageBreak/>
        <w:t>Política del Estado Libre y Soberano de México</w:t>
      </w:r>
      <w:r w:rsidRPr="006314BE">
        <w:rPr>
          <w:rFonts w:ascii="Palatino Linotype" w:eastAsia="Palatino Linotype" w:hAnsi="Palatino Linotype" w:cs="Palatino Linotype"/>
          <w:color w:val="000000" w:themeColor="text1"/>
        </w:rPr>
        <w:t>; artículos 1, 2 fracción II, 13, 29, 36 fracciones I y II, 176, 178, 179, 181 párrafo tercero y 185 de la </w:t>
      </w:r>
      <w:r w:rsidRPr="006314BE">
        <w:rPr>
          <w:rFonts w:ascii="Palatino Linotype" w:eastAsia="Palatino Linotype" w:hAnsi="Palatino Linotype" w:cs="Palatino Linotype"/>
          <w:b/>
          <w:color w:val="000000" w:themeColor="text1"/>
        </w:rPr>
        <w:t>Ley de Transparencia y Acceso a la Información Pública del Estado de México y Municipios</w:t>
      </w:r>
      <w:r w:rsidRPr="006314BE">
        <w:rPr>
          <w:rFonts w:ascii="Palatino Linotype" w:eastAsia="Palatino Linotype" w:hAnsi="Palatino Linotype" w:cs="Palatino Linotype"/>
          <w:color w:val="000000" w:themeColor="text1"/>
        </w:rPr>
        <w:t>; y 7, 9 fracciones I y XXIII, y 11 del </w:t>
      </w:r>
      <w:r w:rsidRPr="006314BE">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6314BE">
        <w:rPr>
          <w:rFonts w:ascii="Palatino Linotype" w:eastAsia="Palatino Linotype" w:hAnsi="Palatino Linotype" w:cs="Palatino Linotype"/>
          <w:color w:val="000000" w:themeColor="text1"/>
        </w:rPr>
        <w:t>.</w:t>
      </w:r>
    </w:p>
    <w:p w:rsidR="00242AD7" w:rsidRPr="006314BE" w:rsidRDefault="00242AD7" w:rsidP="00C05318">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pStyle w:val="Ttulo2"/>
        <w:tabs>
          <w:tab w:val="left" w:pos="0"/>
        </w:tabs>
        <w:spacing w:before="0" w:line="360" w:lineRule="auto"/>
        <w:rPr>
          <w:szCs w:val="24"/>
        </w:rPr>
      </w:pPr>
      <w:bookmarkStart w:id="8" w:name="_heading=h.1t3h5sf" w:colFirst="0" w:colLast="0"/>
      <w:bookmarkEnd w:id="8"/>
      <w:r w:rsidRPr="006314BE">
        <w:rPr>
          <w:szCs w:val="24"/>
        </w:rPr>
        <w:t>SEGUNDO. De la oportunidad y procedencia.</w:t>
      </w:r>
    </w:p>
    <w:p w:rsidR="00242AD7" w:rsidRPr="006314BE" w:rsidRDefault="00242AD7" w:rsidP="00C05318">
      <w:pPr>
        <w:tabs>
          <w:tab w:val="left" w:pos="0"/>
        </w:tabs>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 El medio de impugnación fue presentado a través del </w:t>
      </w:r>
      <w:r w:rsidRPr="006314BE">
        <w:rPr>
          <w:rFonts w:ascii="Palatino Linotype" w:eastAsia="Palatino Linotype" w:hAnsi="Palatino Linotype" w:cs="Palatino Linotype"/>
          <w:b/>
          <w:color w:val="000000" w:themeColor="text1"/>
        </w:rPr>
        <w:t>SAIMEX,</w:t>
      </w:r>
      <w:r w:rsidRPr="006314B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entregó su respuesta el </w:t>
      </w:r>
      <w:r w:rsidRPr="006314BE">
        <w:rPr>
          <w:rFonts w:ascii="Palatino Linotype" w:eastAsia="Palatino Linotype" w:hAnsi="Palatino Linotype" w:cs="Palatino Linotype"/>
          <w:b/>
          <w:color w:val="000000" w:themeColor="text1"/>
        </w:rPr>
        <w:t>diecisiete de enero de dos mil veinticinco</w:t>
      </w:r>
      <w:r w:rsidRPr="006314BE">
        <w:rPr>
          <w:rFonts w:ascii="Palatino Linotype" w:eastAsia="Palatino Linotype" w:hAnsi="Palatino Linotype" w:cs="Palatino Linotype"/>
          <w:color w:val="000000" w:themeColor="text1"/>
        </w:rPr>
        <w:t xml:space="preserve">, de tal forma que el plazo para interponer el recurso de revisión transcurrió del </w:t>
      </w:r>
      <w:r w:rsidRPr="006314BE">
        <w:rPr>
          <w:rFonts w:ascii="Palatino Linotype" w:eastAsia="Palatino Linotype" w:hAnsi="Palatino Linotype" w:cs="Palatino Linotype"/>
          <w:b/>
          <w:color w:val="000000" w:themeColor="text1"/>
        </w:rPr>
        <w:t>veinte de enero al diez de febrero de dos mil veinticinco</w:t>
      </w:r>
      <w:r w:rsidRPr="006314BE">
        <w:rPr>
          <w:rFonts w:ascii="Palatino Linotype" w:eastAsia="Palatino Linotype" w:hAnsi="Palatino Linotype" w:cs="Palatino Linotype"/>
          <w:color w:val="000000" w:themeColor="text1"/>
        </w:rPr>
        <w:t xml:space="preserve">; en consecuencia, el ahora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presentó su inconformidad el </w:t>
      </w:r>
      <w:r w:rsidRPr="006314BE">
        <w:rPr>
          <w:rFonts w:ascii="Palatino Linotype" w:eastAsia="Palatino Linotype" w:hAnsi="Palatino Linotype" w:cs="Palatino Linotype"/>
          <w:b/>
          <w:color w:val="000000" w:themeColor="text1"/>
        </w:rPr>
        <w:t>diez de febrero de dos mil veinticinco</w:t>
      </w:r>
      <w:r w:rsidRPr="006314BE">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242AD7" w:rsidRPr="006314BE" w:rsidRDefault="00242AD7" w:rsidP="00C05318">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242AD7" w:rsidRPr="006314BE" w:rsidRDefault="00ED74BD" w:rsidP="00C05318">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42AD7" w:rsidRPr="006314BE" w:rsidRDefault="00242AD7" w:rsidP="00C05318">
      <w:pPr>
        <w:tabs>
          <w:tab w:val="left" w:pos="0"/>
        </w:tabs>
        <w:spacing w:line="360" w:lineRule="auto"/>
        <w:rPr>
          <w:rFonts w:ascii="Palatino Linotype" w:eastAsia="Palatino Linotype" w:hAnsi="Palatino Linotype" w:cs="Palatino Linotype"/>
          <w:color w:val="000000" w:themeColor="text1"/>
        </w:rPr>
      </w:pPr>
    </w:p>
    <w:p w:rsidR="00242AD7" w:rsidRPr="006314BE" w:rsidRDefault="00ED74BD" w:rsidP="00C05318">
      <w:pPr>
        <w:pStyle w:val="Ttulo1"/>
        <w:tabs>
          <w:tab w:val="left" w:pos="0"/>
        </w:tabs>
        <w:spacing w:before="0" w:line="360" w:lineRule="auto"/>
        <w:rPr>
          <w:szCs w:val="24"/>
        </w:rPr>
      </w:pPr>
      <w:r w:rsidRPr="006314BE">
        <w:rPr>
          <w:szCs w:val="24"/>
        </w:rPr>
        <w:lastRenderedPageBreak/>
        <w:t xml:space="preserve">TERCERO. </w:t>
      </w:r>
      <w:r w:rsidR="00144CFB" w:rsidRPr="006314BE">
        <w:rPr>
          <w:rFonts w:eastAsia="Palatino Linotype" w:cs="Palatino Linotype"/>
          <w:szCs w:val="24"/>
        </w:rPr>
        <w:t>Planteamiento de la Litis.</w:t>
      </w:r>
    </w:p>
    <w:p w:rsidR="00242AD7" w:rsidRPr="006314BE" w:rsidRDefault="00242AD7" w:rsidP="00C05318">
      <w:pPr>
        <w:tabs>
          <w:tab w:val="left" w:pos="0"/>
        </w:tabs>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solicitó lo siguiente: </w:t>
      </w:r>
      <w:r w:rsidRPr="006314BE">
        <w:rPr>
          <w:rFonts w:ascii="Palatino Linotype" w:eastAsia="Palatino Linotype" w:hAnsi="Palatino Linotype" w:cs="Palatino Linotype"/>
          <w:i/>
          <w:color w:val="000000" w:themeColor="text1"/>
        </w:rPr>
        <w:t xml:space="preserve">“Requiero conocer en </w:t>
      </w:r>
      <w:proofErr w:type="spellStart"/>
      <w:r w:rsidRPr="006314BE">
        <w:rPr>
          <w:rFonts w:ascii="Palatino Linotype" w:eastAsia="Palatino Linotype" w:hAnsi="Palatino Linotype" w:cs="Palatino Linotype"/>
          <w:i/>
          <w:color w:val="000000" w:themeColor="text1"/>
        </w:rPr>
        <w:t>que</w:t>
      </w:r>
      <w:proofErr w:type="spellEnd"/>
      <w:r w:rsidRPr="006314BE">
        <w:rPr>
          <w:rFonts w:ascii="Palatino Linotype" w:eastAsia="Palatino Linotype" w:hAnsi="Palatino Linotype" w:cs="Palatino Linotype"/>
          <w:i/>
          <w:color w:val="000000" w:themeColor="text1"/>
        </w:rPr>
        <w:t xml:space="preserve"> fecha se </w:t>
      </w:r>
      <w:proofErr w:type="spellStart"/>
      <w:r w:rsidRPr="006314BE">
        <w:rPr>
          <w:rFonts w:ascii="Palatino Linotype" w:eastAsia="Palatino Linotype" w:hAnsi="Palatino Linotype" w:cs="Palatino Linotype"/>
          <w:i/>
          <w:color w:val="000000" w:themeColor="text1"/>
        </w:rPr>
        <w:t>emitiron</w:t>
      </w:r>
      <w:proofErr w:type="spellEnd"/>
      <w:r w:rsidRPr="006314BE">
        <w:rPr>
          <w:rFonts w:ascii="Palatino Linotype" w:eastAsia="Palatino Linotype" w:hAnsi="Palatino Linotype" w:cs="Palatino Linotype"/>
          <w:i/>
          <w:color w:val="000000" w:themeColor="text1"/>
        </w:rPr>
        <w:t xml:space="preserve"> las convocatorias para los programas Bienestar </w:t>
      </w:r>
      <w:proofErr w:type="spellStart"/>
      <w:r w:rsidRPr="006314BE">
        <w:rPr>
          <w:rFonts w:ascii="Palatino Linotype" w:eastAsia="Palatino Linotype" w:hAnsi="Palatino Linotype" w:cs="Palatino Linotype"/>
          <w:i/>
          <w:color w:val="000000" w:themeColor="text1"/>
        </w:rPr>
        <w:t>Cuntural</w:t>
      </w:r>
      <w:proofErr w:type="spellEnd"/>
      <w:r w:rsidRPr="006314BE">
        <w:rPr>
          <w:rFonts w:ascii="Palatino Linotype" w:eastAsia="Palatino Linotype" w:hAnsi="Palatino Linotype" w:cs="Palatino Linotype"/>
          <w:i/>
          <w:color w:val="000000" w:themeColor="text1"/>
        </w:rPr>
        <w:t xml:space="preserve"> Indígena, Niñez </w:t>
      </w:r>
      <w:proofErr w:type="spellStart"/>
      <w:r w:rsidRPr="006314BE">
        <w:rPr>
          <w:rFonts w:ascii="Palatino Linotype" w:eastAsia="Palatino Linotype" w:hAnsi="Palatino Linotype" w:cs="Palatino Linotype"/>
          <w:i/>
          <w:color w:val="000000" w:themeColor="text1"/>
        </w:rPr>
        <w:t>Indigena</w:t>
      </w:r>
      <w:proofErr w:type="spellEnd"/>
      <w:r w:rsidRPr="006314BE">
        <w:rPr>
          <w:rFonts w:ascii="Palatino Linotype" w:eastAsia="Palatino Linotype" w:hAnsi="Palatino Linotype" w:cs="Palatino Linotype"/>
          <w:i/>
          <w:color w:val="000000" w:themeColor="text1"/>
        </w:rPr>
        <w:t xml:space="preserve"> con Bienestar y Desarrollo Indígena con Bienestar, durante el año 2024, </w:t>
      </w:r>
      <w:proofErr w:type="spellStart"/>
      <w:r w:rsidRPr="006314BE">
        <w:rPr>
          <w:rFonts w:ascii="Palatino Linotype" w:eastAsia="Palatino Linotype" w:hAnsi="Palatino Linotype" w:cs="Palatino Linotype"/>
          <w:i/>
          <w:color w:val="000000" w:themeColor="text1"/>
        </w:rPr>
        <w:t>asi</w:t>
      </w:r>
      <w:proofErr w:type="spellEnd"/>
      <w:r w:rsidRPr="006314BE">
        <w:rPr>
          <w:rFonts w:ascii="Palatino Linotype" w:eastAsia="Palatino Linotype" w:hAnsi="Palatino Linotype" w:cs="Palatino Linotype"/>
          <w:i/>
          <w:color w:val="000000" w:themeColor="text1"/>
        </w:rPr>
        <w:t xml:space="preserve"> como la </w:t>
      </w:r>
      <w:proofErr w:type="spellStart"/>
      <w:r w:rsidRPr="006314BE">
        <w:rPr>
          <w:rFonts w:ascii="Palatino Linotype" w:eastAsia="Palatino Linotype" w:hAnsi="Palatino Linotype" w:cs="Palatino Linotype"/>
          <w:i/>
          <w:color w:val="000000" w:themeColor="text1"/>
        </w:rPr>
        <w:t>expresion</w:t>
      </w:r>
      <w:proofErr w:type="spellEnd"/>
      <w:r w:rsidRPr="006314BE">
        <w:rPr>
          <w:rFonts w:ascii="Palatino Linotype" w:eastAsia="Palatino Linotype" w:hAnsi="Palatino Linotype" w:cs="Palatino Linotype"/>
          <w:i/>
          <w:color w:val="000000" w:themeColor="text1"/>
        </w:rPr>
        <w:t xml:space="preserve"> documental donde consten la convocatorias, así mismo requiero el listado de personas participantes en cada programa y nombre de proyecto en su caso, el listado de personas seleccionadas, nombre de proyectos ganadores y criterios para la selección. Documento donde conste el </w:t>
      </w:r>
      <w:proofErr w:type="spellStart"/>
      <w:r w:rsidRPr="006314BE">
        <w:rPr>
          <w:rFonts w:ascii="Palatino Linotype" w:eastAsia="Palatino Linotype" w:hAnsi="Palatino Linotype" w:cs="Palatino Linotype"/>
          <w:i/>
          <w:color w:val="000000" w:themeColor="text1"/>
        </w:rPr>
        <w:t>analisis</w:t>
      </w:r>
      <w:proofErr w:type="spellEnd"/>
      <w:r w:rsidRPr="006314BE">
        <w:rPr>
          <w:rFonts w:ascii="Palatino Linotype" w:eastAsia="Palatino Linotype" w:hAnsi="Palatino Linotype" w:cs="Palatino Linotype"/>
          <w:i/>
          <w:color w:val="000000" w:themeColor="text1"/>
        </w:rPr>
        <w:t xml:space="preserve"> cualitativo y </w:t>
      </w:r>
      <w:proofErr w:type="spellStart"/>
      <w:r w:rsidRPr="006314BE">
        <w:rPr>
          <w:rFonts w:ascii="Palatino Linotype" w:eastAsia="Palatino Linotype" w:hAnsi="Palatino Linotype" w:cs="Palatino Linotype"/>
          <w:i/>
          <w:color w:val="000000" w:themeColor="text1"/>
        </w:rPr>
        <w:t>cuantivo</w:t>
      </w:r>
      <w:proofErr w:type="spellEnd"/>
      <w:r w:rsidRPr="006314BE">
        <w:rPr>
          <w:rFonts w:ascii="Palatino Linotype" w:eastAsia="Palatino Linotype" w:hAnsi="Palatino Linotype" w:cs="Palatino Linotype"/>
          <w:i/>
          <w:color w:val="000000" w:themeColor="text1"/>
        </w:rPr>
        <w:t xml:space="preserve"> que determino a los ganadores o seleccionados. Gracias.” (Sic)</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En respuesta,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por medio</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color w:val="000000" w:themeColor="text1"/>
        </w:rPr>
        <w:t xml:space="preserve">de la Subdirección de Desarrollo Cultural Indígena y la Subdirección Operativa del Consejo estatal para el Desarrollo Integral de los Pueblos Indígenas del Estado de México, informó que con fecha 5 al 9 de agosto de 2024 fueron publicadas las convocatorias de los programas de desarrollo social “Bienestar Cultural Indígena”, “Niñez Indígena con Bienestar” y “Desarrollo Indígena con Bienestar”, mismas adjuntó en formato PDF. En cuanto a “las personas participantes o personas seleccionadas”, refirió adjuntar el padrón de beneficiarios de los programas de desarrollo social “Bienestar Cultural Indígena” y “Desarrollo Indígena con Bienestar”, especificando el nombre del proyecto o vertiente. Respecto al padrón de beneficiarios del programa de desarrollo social “Niñez Indígena con Bienestar”, refirió que debido a que corresponde a menores de edad, no es posible proporcionarlo, en términos del artículo 55 de la Ley de los Derechos de Niñas, Niños y Adolescentes del Estado de México. En cuanto a los criterios de selección que fueron implementados para determinar a las </w:t>
      </w:r>
      <w:r w:rsidRPr="006314BE">
        <w:rPr>
          <w:rFonts w:ascii="Palatino Linotype" w:eastAsia="Palatino Linotype" w:hAnsi="Palatino Linotype" w:cs="Palatino Linotype"/>
          <w:color w:val="000000" w:themeColor="text1"/>
        </w:rPr>
        <w:lastRenderedPageBreak/>
        <w:t xml:space="preserve">personas participantes, informó que estos fueron de acuerdo a lo establecido en el 8.1.1.1 de las Reglas de Operación de los programas en cuestión, mismos que enlisto para cada Programa, respectivamente. Finalmente, referente a la petición relacionada con el documento donde consta el análisis y cualitativo y cuantitativo que determinó el apoyo de los beneficiarios, adjuntó los siguientes formatos: Cédula de Viabilidad Cultural, Diagnostico de Viabilidad (Proyectos productivos) y el Formato único de Bienestar. </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No obstante, el </w:t>
      </w:r>
      <w:r w:rsidRPr="006314BE">
        <w:rPr>
          <w:rFonts w:ascii="Palatino Linotype" w:eastAsia="Palatino Linotype" w:hAnsi="Palatino Linotype" w:cs="Palatino Linotype"/>
          <w:b/>
          <w:color w:val="000000" w:themeColor="text1"/>
        </w:rPr>
        <w:t xml:space="preserve">RECURRENTE </w:t>
      </w:r>
      <w:r w:rsidRPr="006314BE">
        <w:rPr>
          <w:rFonts w:ascii="Palatino Linotype" w:eastAsia="Palatino Linotype" w:hAnsi="Palatino Linotype" w:cs="Palatino Linotype"/>
          <w:color w:val="000000" w:themeColor="text1"/>
        </w:rPr>
        <w:t>interpuso el</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 xml:space="preserve">recurso de revisión número </w:t>
      </w:r>
      <w:r w:rsidRPr="006314BE">
        <w:rPr>
          <w:rFonts w:ascii="Palatino Linotype" w:eastAsia="Palatino Linotype" w:hAnsi="Palatino Linotype" w:cs="Palatino Linotype"/>
          <w:b/>
          <w:color w:val="000000" w:themeColor="text1"/>
        </w:rPr>
        <w:t>01003/INFOEM/IP/RR/2025</w:t>
      </w:r>
      <w:r w:rsidRPr="006314BE">
        <w:rPr>
          <w:rFonts w:ascii="Palatino Linotype" w:eastAsia="Palatino Linotype" w:hAnsi="Palatino Linotype" w:cs="Palatino Linotype"/>
          <w:color w:val="000000" w:themeColor="text1"/>
        </w:rPr>
        <w:t xml:space="preserve">, donde manifestó como motivos de inconformidad: </w:t>
      </w:r>
      <w:r w:rsidRPr="006314BE">
        <w:rPr>
          <w:rFonts w:ascii="Palatino Linotype" w:eastAsia="Palatino Linotype" w:hAnsi="Palatino Linotype" w:cs="Palatino Linotype"/>
          <w:b/>
          <w:i/>
          <w:color w:val="000000" w:themeColor="text1"/>
        </w:rPr>
        <w:t xml:space="preserve">“No remiten acuerdo de clasificación de </w:t>
      </w:r>
      <w:proofErr w:type="spellStart"/>
      <w:r w:rsidRPr="006314BE">
        <w:rPr>
          <w:rFonts w:ascii="Palatino Linotype" w:eastAsia="Palatino Linotype" w:hAnsi="Palatino Linotype" w:cs="Palatino Linotype"/>
          <w:b/>
          <w:i/>
          <w:color w:val="000000" w:themeColor="text1"/>
        </w:rPr>
        <w:t>Comite</w:t>
      </w:r>
      <w:proofErr w:type="spellEnd"/>
      <w:r w:rsidRPr="006314BE">
        <w:rPr>
          <w:rFonts w:ascii="Palatino Linotype" w:eastAsia="Palatino Linotype" w:hAnsi="Palatino Linotype" w:cs="Palatino Linotype"/>
          <w:b/>
          <w:i/>
          <w:color w:val="000000" w:themeColor="text1"/>
        </w:rPr>
        <w:t xml:space="preserve"> de Transparencia, donde se clasifiquen los padrones de beneficiarios.” (Sic.)</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actualizan las causales de procedencia previstas en el artículo 179, fracción II de la Ley de Transparencia y Acceso a la Información Pública del Estado de México y Municipios; que establece </w:t>
      </w:r>
      <w:r w:rsidRPr="006314BE">
        <w:rPr>
          <w:rFonts w:ascii="Palatino Linotype" w:eastAsia="Palatino Linotype" w:hAnsi="Palatino Linotype" w:cs="Palatino Linotype"/>
          <w:b/>
          <w:color w:val="000000" w:themeColor="text1"/>
        </w:rPr>
        <w:t>la clasificación de la información.</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144CFB" w:rsidRPr="006314BE" w:rsidRDefault="00144CFB" w:rsidP="00C05318">
      <w:pPr>
        <w:pStyle w:val="Ttulo1"/>
        <w:tabs>
          <w:tab w:val="left" w:pos="0"/>
        </w:tabs>
        <w:spacing w:before="0" w:after="240" w:line="360" w:lineRule="auto"/>
        <w:rPr>
          <w:rFonts w:eastAsia="Palatino Linotype" w:cs="Palatino Linotype"/>
          <w:b w:val="0"/>
          <w:szCs w:val="24"/>
        </w:rPr>
      </w:pPr>
      <w:r w:rsidRPr="006314BE">
        <w:rPr>
          <w:rFonts w:eastAsia="Palatino Linotype" w:cs="Palatino Linotype"/>
          <w:szCs w:val="24"/>
        </w:rPr>
        <w:lastRenderedPageBreak/>
        <w:t>CUARTO. Del estudio y resolución del recurso de revisión.</w:t>
      </w:r>
    </w:p>
    <w:p w:rsidR="00144CFB" w:rsidRPr="006314BE" w:rsidRDefault="00144CFB" w:rsidP="00C05318">
      <w:pPr>
        <w:pStyle w:val="Ttulo1"/>
        <w:numPr>
          <w:ilvl w:val="0"/>
          <w:numId w:val="3"/>
        </w:numPr>
        <w:tabs>
          <w:tab w:val="left" w:pos="0"/>
        </w:tabs>
        <w:spacing w:before="0" w:after="240" w:line="360" w:lineRule="auto"/>
        <w:rPr>
          <w:rFonts w:eastAsia="Palatino Linotype" w:cs="Palatino Linotype"/>
          <w:b w:val="0"/>
          <w:szCs w:val="24"/>
        </w:rPr>
      </w:pPr>
      <w:bookmarkStart w:id="9" w:name="_heading=h.4d34og8" w:colFirst="0" w:colLast="0"/>
      <w:bookmarkEnd w:id="9"/>
      <w:r w:rsidRPr="006314BE">
        <w:rPr>
          <w:rFonts w:eastAsia="Palatino Linotype" w:cs="Palatino Linotype"/>
          <w:szCs w:val="24"/>
        </w:rPr>
        <w:t>Del derecho de acceso a la información.</w:t>
      </w: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Definiendo el Derecho de Acceso a la Información Pública como: </w:t>
      </w:r>
      <w:r w:rsidRPr="006314BE">
        <w:rPr>
          <w:rFonts w:ascii="Palatino Linotype" w:eastAsia="Palatino Linotype" w:hAnsi="Palatino Linotype" w:cs="Palatino Linotype"/>
          <w:i/>
          <w:color w:val="000000" w:themeColor="text1"/>
        </w:rPr>
        <w:t>La igualdad de oportunidades para recibir, buscar e impartir información</w:t>
      </w:r>
      <w:r w:rsidRPr="006314BE">
        <w:rPr>
          <w:rFonts w:ascii="Palatino Linotype" w:eastAsia="Palatino Linotype" w:hAnsi="Palatino Linotype" w:cs="Palatino Linotype"/>
          <w:i/>
          <w:color w:val="000000" w:themeColor="text1"/>
          <w:vertAlign w:val="superscript"/>
        </w:rPr>
        <w:footnoteReference w:id="1"/>
      </w:r>
      <w:r w:rsidRPr="006314BE">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14BE">
        <w:rPr>
          <w:rFonts w:ascii="Palatino Linotype" w:eastAsia="Palatino Linotype" w:hAnsi="Palatino Linotype" w:cs="Palatino Linotype"/>
          <w:i/>
          <w:color w:val="000000" w:themeColor="text1"/>
          <w:vertAlign w:val="superscript"/>
        </w:rPr>
        <w:footnoteReference w:id="2"/>
      </w:r>
      <w:r w:rsidRPr="006314BE">
        <w:rPr>
          <w:rFonts w:ascii="Palatino Linotype" w:eastAsia="Palatino Linotype" w:hAnsi="Palatino Linotype" w:cs="Palatino Linotype"/>
          <w:color w:val="000000" w:themeColor="text1"/>
        </w:rPr>
        <w:t>que se constituye como una herramienta fundamental para ejercer</w:t>
      </w:r>
      <w:r w:rsidRPr="006314BE">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314BE">
        <w:rPr>
          <w:rFonts w:ascii="Palatino Linotype" w:eastAsia="Palatino Linotype" w:hAnsi="Palatino Linotype" w:cs="Palatino Linotype"/>
          <w:i/>
          <w:color w:val="000000" w:themeColor="text1"/>
          <w:vertAlign w:val="superscript"/>
        </w:rPr>
        <w:footnoteReference w:id="3"/>
      </w:r>
      <w:r w:rsidRPr="006314BE">
        <w:rPr>
          <w:rFonts w:ascii="Palatino Linotype" w:eastAsia="Palatino Linotype" w:hAnsi="Palatino Linotype" w:cs="Palatino Linotype"/>
          <w:color w:val="000000" w:themeColor="text1"/>
        </w:rPr>
        <w:t>fomentando</w:t>
      </w:r>
      <w:r w:rsidRPr="006314BE">
        <w:rPr>
          <w:rFonts w:ascii="Palatino Linotype" w:eastAsia="Palatino Linotype" w:hAnsi="Palatino Linotype" w:cs="Palatino Linotype"/>
          <w:i/>
          <w:color w:val="000000" w:themeColor="text1"/>
        </w:rPr>
        <w:t xml:space="preserve"> la transparencia de las actividades estatales y </w:t>
      </w:r>
      <w:r w:rsidRPr="006314BE">
        <w:rPr>
          <w:rFonts w:ascii="Palatino Linotype" w:eastAsia="Palatino Linotype" w:hAnsi="Palatino Linotype" w:cs="Palatino Linotype"/>
          <w:color w:val="000000" w:themeColor="text1"/>
        </w:rPr>
        <w:t>promoviendo</w:t>
      </w:r>
      <w:r w:rsidRPr="006314BE">
        <w:rPr>
          <w:rFonts w:ascii="Palatino Linotype" w:eastAsia="Palatino Linotype" w:hAnsi="Palatino Linotype" w:cs="Palatino Linotype"/>
          <w:i/>
          <w:color w:val="000000" w:themeColor="text1"/>
        </w:rPr>
        <w:t xml:space="preserve"> la responsabilidad de los funcionarios </w:t>
      </w:r>
      <w:r w:rsidRPr="006314BE">
        <w:rPr>
          <w:rFonts w:ascii="Palatino Linotype" w:eastAsia="Palatino Linotype" w:hAnsi="Palatino Linotype" w:cs="Palatino Linotype"/>
          <w:i/>
          <w:color w:val="000000" w:themeColor="text1"/>
        </w:rPr>
        <w:lastRenderedPageBreak/>
        <w:t>sobre su gestión pública,</w:t>
      </w:r>
      <w:r w:rsidRPr="006314BE">
        <w:rPr>
          <w:rFonts w:ascii="Palatino Linotype" w:eastAsia="Palatino Linotype" w:hAnsi="Palatino Linotype" w:cs="Palatino Linotype"/>
          <w:i/>
          <w:color w:val="000000" w:themeColor="text1"/>
          <w:vertAlign w:val="superscript"/>
        </w:rPr>
        <w:footnoteReference w:id="4"/>
      </w:r>
      <w:r w:rsidRPr="006314BE">
        <w:rPr>
          <w:rFonts w:ascii="Palatino Linotype" w:eastAsia="Palatino Linotype" w:hAnsi="Palatino Linotype" w:cs="Palatino Linotype"/>
          <w:color w:val="000000" w:themeColor="text1"/>
        </w:rPr>
        <w:t>que permite</w:t>
      </w:r>
      <w:r w:rsidRPr="006314B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w:t>
      </w:r>
      <w:r w:rsidRPr="006314BE">
        <w:rPr>
          <w:rFonts w:ascii="Palatino Linotype" w:eastAsia="Palatino Linotype" w:hAnsi="Palatino Linotype" w:cs="Palatino Linotype"/>
          <w:b/>
          <w:i/>
          <w:color w:val="000000" w:themeColor="text1"/>
        </w:rPr>
        <w:t>Artículo 1.-</w:t>
      </w:r>
      <w:r w:rsidRPr="006314BE">
        <w:rPr>
          <w:rFonts w:ascii="Palatino Linotype" w:eastAsia="Palatino Linotype" w:hAnsi="Palatino Linotype" w:cs="Palatino Linotype"/>
          <w:i/>
          <w:color w:val="000000" w:themeColor="text1"/>
        </w:rPr>
        <w:t xml:space="preserve"> </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Todas las</w:t>
      </w:r>
      <w:r w:rsidRPr="006314BE">
        <w:rPr>
          <w:rFonts w:ascii="Palatino Linotype" w:eastAsia="Palatino Linotype" w:hAnsi="Palatino Linotype" w:cs="Palatino Linotype"/>
          <w:color w:val="000000" w:themeColor="text1"/>
        </w:rPr>
        <w:t xml:space="preserve"> </w:t>
      </w:r>
      <w:r w:rsidRPr="006314BE">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44CFB" w:rsidRPr="006314BE" w:rsidRDefault="00144CFB" w:rsidP="00C05318">
      <w:pPr>
        <w:tabs>
          <w:tab w:val="left" w:pos="0"/>
        </w:tabs>
        <w:ind w:left="567"/>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i/>
          <w:color w:val="000000" w:themeColor="text1"/>
        </w:rPr>
        <w:t>(…)</w:t>
      </w:r>
      <w:r w:rsidRPr="006314BE">
        <w:rPr>
          <w:rFonts w:ascii="Palatino Linotype" w:eastAsia="Palatino Linotype" w:hAnsi="Palatino Linotype" w:cs="Palatino Linotype"/>
          <w:color w:val="000000" w:themeColor="text1"/>
        </w:rPr>
        <w:t>”.</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6314BE">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tabs>
          <w:tab w:val="left" w:pos="0"/>
        </w:tabs>
        <w:ind w:left="567"/>
        <w:jc w:val="center"/>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Constitución Política de los Estados Unidos Mexicanos</w:t>
      </w:r>
    </w:p>
    <w:p w:rsidR="00144CFB" w:rsidRPr="006314BE" w:rsidRDefault="00144CFB" w:rsidP="00C05318">
      <w:pPr>
        <w:tabs>
          <w:tab w:val="left" w:pos="0"/>
        </w:tabs>
        <w:ind w:left="567"/>
        <w:jc w:val="both"/>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“Artículo 6.</w:t>
      </w:r>
      <w:r w:rsidRPr="006314BE">
        <w:rPr>
          <w:rFonts w:ascii="Palatino Linotype" w:eastAsia="Palatino Linotype" w:hAnsi="Palatino Linotype" w:cs="Palatino Linotype"/>
          <w:i/>
          <w:color w:val="000000" w:themeColor="text1"/>
        </w:rPr>
        <w:t xml:space="preserve"> …</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Para efectos de lo dispuesto en el presente artículo se observará lo siguiente:</w:t>
      </w:r>
    </w:p>
    <w:p w:rsidR="00144CFB" w:rsidRPr="006314BE" w:rsidRDefault="00144CFB" w:rsidP="00C05318">
      <w:pPr>
        <w:tabs>
          <w:tab w:val="left" w:pos="0"/>
        </w:tabs>
        <w:ind w:left="567"/>
        <w:jc w:val="both"/>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A</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b/>
          <w:i/>
          <w:color w:val="000000" w:themeColor="text1"/>
        </w:rPr>
        <w:t>Para el ejercicio del derecho de acceso a la información</w:t>
      </w:r>
      <w:r w:rsidRPr="006314BE">
        <w:rPr>
          <w:rFonts w:ascii="Palatino Linotype" w:eastAsia="Palatino Linotype" w:hAnsi="Palatino Linotype" w:cs="Palatino Linotype"/>
          <w:i/>
          <w:color w:val="000000" w:themeColor="text1"/>
        </w:rPr>
        <w:t xml:space="preserve">, la Federación y </w:t>
      </w:r>
      <w:r w:rsidRPr="006314BE">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 xml:space="preserve">I. </w:t>
      </w:r>
      <w:r w:rsidRPr="006314BE">
        <w:rPr>
          <w:rFonts w:ascii="Palatino Linotype" w:eastAsia="Palatino Linotype" w:hAnsi="Palatino Linotype" w:cs="Palatino Linotype"/>
          <w:b/>
          <w:i/>
          <w:color w:val="000000" w:themeColor="text1"/>
        </w:rPr>
        <w:tab/>
        <w:t>Toda la información en posesión de cualquier</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b/>
          <w:i/>
          <w:color w:val="000000" w:themeColor="text1"/>
        </w:rPr>
        <w:t>autoridad</w:t>
      </w:r>
      <w:r w:rsidRPr="006314BE">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314BE">
        <w:rPr>
          <w:rFonts w:ascii="Palatino Linotype" w:eastAsia="Palatino Linotype" w:hAnsi="Palatino Linotype" w:cs="Palatino Linotype"/>
          <w:b/>
          <w:i/>
          <w:color w:val="000000" w:themeColor="text1"/>
        </w:rPr>
        <w:t>municipal</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b/>
          <w:i/>
          <w:color w:val="000000" w:themeColor="text1"/>
        </w:rPr>
        <w:t>es pública</w:t>
      </w:r>
      <w:r w:rsidRPr="006314BE">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314BE">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6314B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4CFB" w:rsidRPr="006314BE" w:rsidRDefault="00144CFB" w:rsidP="00C05318">
      <w:pPr>
        <w:tabs>
          <w:tab w:val="left" w:pos="0"/>
          <w:tab w:val="left" w:pos="567"/>
        </w:tabs>
        <w:ind w:left="567"/>
        <w:jc w:val="both"/>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(Énfasis añadido)</w:t>
      </w:r>
    </w:p>
    <w:p w:rsidR="00144CFB" w:rsidRPr="006314BE" w:rsidRDefault="00144CFB" w:rsidP="00C05318">
      <w:pPr>
        <w:tabs>
          <w:tab w:val="left" w:pos="0"/>
          <w:tab w:val="left" w:pos="567"/>
        </w:tabs>
        <w:ind w:left="567"/>
        <w:jc w:val="both"/>
        <w:rPr>
          <w:rFonts w:ascii="Palatino Linotype" w:eastAsia="Palatino Linotype" w:hAnsi="Palatino Linotype" w:cs="Palatino Linotype"/>
          <w:b/>
          <w:i/>
          <w:color w:val="000000" w:themeColor="text1"/>
        </w:rPr>
      </w:pPr>
    </w:p>
    <w:p w:rsidR="00144CFB" w:rsidRPr="006314BE" w:rsidRDefault="00144CFB" w:rsidP="00C05318">
      <w:pPr>
        <w:tabs>
          <w:tab w:val="left" w:pos="0"/>
        </w:tabs>
        <w:ind w:left="567"/>
        <w:jc w:val="center"/>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Constitución Política del Estado Libre y Soberano de México</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“Artículo 5</w:t>
      </w:r>
      <w:r w:rsidRPr="006314BE">
        <w:rPr>
          <w:rFonts w:ascii="Palatino Linotype" w:eastAsia="Palatino Linotype" w:hAnsi="Palatino Linotype" w:cs="Palatino Linotype"/>
          <w:i/>
          <w:color w:val="000000" w:themeColor="text1"/>
        </w:rPr>
        <w:t>.</w:t>
      </w:r>
      <w:proofErr w:type="gramStart"/>
      <w:r w:rsidRPr="006314BE">
        <w:rPr>
          <w:rFonts w:ascii="Palatino Linotype" w:eastAsia="Palatino Linotype" w:hAnsi="Palatino Linotype" w:cs="Palatino Linotype"/>
          <w:i/>
          <w:color w:val="000000" w:themeColor="text1"/>
        </w:rPr>
        <w:t>- …</w:t>
      </w:r>
      <w:proofErr w:type="gramEnd"/>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314BE">
        <w:rPr>
          <w:rFonts w:ascii="Palatino Linotype" w:eastAsia="Palatino Linotype" w:hAnsi="Palatino Linotype" w:cs="Palatino Linotype"/>
          <w:i/>
          <w:color w:val="000000" w:themeColor="text1"/>
        </w:rPr>
        <w:t>.</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lastRenderedPageBreak/>
        <w:t>Este derecho se regirá por los principios y bases siguientes</w:t>
      </w:r>
      <w:r w:rsidRPr="006314BE">
        <w:rPr>
          <w:rFonts w:ascii="Palatino Linotype" w:eastAsia="Palatino Linotype" w:hAnsi="Palatino Linotype" w:cs="Palatino Linotype"/>
          <w:i/>
          <w:color w:val="000000" w:themeColor="text1"/>
        </w:rPr>
        <w:t>:</w:t>
      </w:r>
    </w:p>
    <w:p w:rsidR="00144CFB" w:rsidRPr="006314BE" w:rsidRDefault="00144CFB" w:rsidP="00C05318">
      <w:pP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I. Toda la información en posesión de cualquier autoridad, entidad, órgano y organismos de los</w:t>
      </w:r>
      <w:r w:rsidRPr="006314BE">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314BE">
        <w:rPr>
          <w:rFonts w:ascii="Palatino Linotype" w:eastAsia="Palatino Linotype" w:hAnsi="Palatino Linotype" w:cs="Palatino Linotype"/>
          <w:b/>
          <w:i/>
          <w:color w:val="000000" w:themeColor="text1"/>
        </w:rPr>
        <w:t>municipales</w:t>
      </w:r>
      <w:r w:rsidRPr="006314BE">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314BE">
        <w:rPr>
          <w:rFonts w:ascii="Palatino Linotype" w:eastAsia="Palatino Linotype" w:hAnsi="Palatino Linotype" w:cs="Palatino Linotype"/>
          <w:b/>
          <w:i/>
          <w:color w:val="000000" w:themeColor="text1"/>
        </w:rPr>
        <w:t>es pública</w:t>
      </w:r>
      <w:r w:rsidRPr="006314BE">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314BE">
        <w:rPr>
          <w:rFonts w:ascii="Palatino Linotype" w:eastAsia="Palatino Linotype" w:hAnsi="Palatino Linotype" w:cs="Palatino Linotype"/>
          <w:b/>
          <w:i/>
          <w:color w:val="000000" w:themeColor="text1"/>
        </w:rPr>
        <w:t>En la interpretación de este derecho deberá prevalecer el principio de máxima publicidad</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314B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314BE">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6314BE">
        <w:rPr>
          <w:rFonts w:ascii="Palatino Linotype" w:eastAsia="Palatino Linotype" w:hAnsi="Palatino Linotype" w:cs="Palatino Linotype"/>
          <w:color w:val="000000" w:themeColor="text1"/>
        </w:rPr>
        <w:t>, contemplando el derecho de las personas con discapacidad y hablantes de lengua indígena.</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314BE">
        <w:rPr>
          <w:rFonts w:ascii="Palatino Linotype" w:eastAsia="Palatino Linotype" w:hAnsi="Palatino Linotype" w:cs="Palatino Linotype"/>
          <w:i/>
          <w:color w:val="000000" w:themeColor="text1"/>
        </w:rPr>
        <w:t>solicitudes de acceso a la información</w:t>
      </w:r>
      <w:r w:rsidRPr="006314BE">
        <w:rPr>
          <w:rFonts w:ascii="Palatino Linotype" w:eastAsia="Palatino Linotype" w:hAnsi="Palatino Linotype" w:cs="Palatino Linotype"/>
          <w:color w:val="000000" w:themeColor="text1"/>
        </w:rPr>
        <w:t>.</w:t>
      </w:r>
    </w:p>
    <w:p w:rsidR="00144CFB" w:rsidRPr="006314BE" w:rsidRDefault="00144CFB" w:rsidP="00C05318">
      <w:pPr>
        <w:tabs>
          <w:tab w:val="left" w:pos="0"/>
        </w:tabs>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Así entonces, se procede analizar, en primer lugar, si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w:t>
      </w:r>
      <w:r w:rsidRPr="006314BE">
        <w:rPr>
          <w:rFonts w:ascii="Palatino Linotype" w:eastAsia="Palatino Linotype" w:hAnsi="Palatino Linotype" w:cs="Palatino Linotype"/>
          <w:color w:val="000000" w:themeColor="text1"/>
        </w:rPr>
        <w:lastRenderedPageBreak/>
        <w:t>con su deber de respetar y garantizar el derecho, entregando toda la información solicitada.</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144CFB" w:rsidRPr="006314BE" w:rsidRDefault="00144CFB" w:rsidP="00C05318">
      <w:pPr>
        <w:keepNext/>
        <w:keepLines/>
        <w:tabs>
          <w:tab w:val="left" w:pos="0"/>
        </w:tabs>
        <w:spacing w:line="360" w:lineRule="auto"/>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b/>
          <w:color w:val="000000" w:themeColor="text1"/>
        </w:rPr>
        <w:t>II. De la información solicitada y la respuesta del SUJETO OBLIGADO.</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 xml:space="preserve">Como ya se ha señalado, el </w:t>
      </w:r>
      <w:r w:rsidRPr="006314BE">
        <w:rPr>
          <w:rFonts w:ascii="Palatino Linotype" w:eastAsia="Palatino Linotype" w:hAnsi="Palatino Linotype" w:cs="Palatino Linotype"/>
          <w:b/>
          <w:color w:val="000000" w:themeColor="text1"/>
        </w:rPr>
        <w:t xml:space="preserve">RECURRENTE </w:t>
      </w:r>
      <w:r w:rsidRPr="006314BE">
        <w:rPr>
          <w:rFonts w:ascii="Palatino Linotype" w:eastAsia="Palatino Linotype" w:hAnsi="Palatino Linotype" w:cs="Palatino Linotype"/>
          <w:color w:val="000000" w:themeColor="text1"/>
        </w:rPr>
        <w:t>solicitó lo siguiente:</w:t>
      </w:r>
      <w:r w:rsidRPr="006314BE">
        <w:rPr>
          <w:rFonts w:ascii="Palatino Linotype" w:eastAsia="Palatino Linotype" w:hAnsi="Palatino Linotype" w:cs="Palatino Linotype"/>
          <w:i/>
          <w:color w:val="000000" w:themeColor="text1"/>
        </w:rPr>
        <w:t xml:space="preserve"> “Requiero conocer en </w:t>
      </w:r>
      <w:proofErr w:type="spellStart"/>
      <w:r w:rsidRPr="006314BE">
        <w:rPr>
          <w:rFonts w:ascii="Palatino Linotype" w:eastAsia="Palatino Linotype" w:hAnsi="Palatino Linotype" w:cs="Palatino Linotype"/>
          <w:i/>
          <w:color w:val="000000" w:themeColor="text1"/>
        </w:rPr>
        <w:t>que</w:t>
      </w:r>
      <w:proofErr w:type="spellEnd"/>
      <w:r w:rsidRPr="006314BE">
        <w:rPr>
          <w:rFonts w:ascii="Palatino Linotype" w:eastAsia="Palatino Linotype" w:hAnsi="Palatino Linotype" w:cs="Palatino Linotype"/>
          <w:i/>
          <w:color w:val="000000" w:themeColor="text1"/>
        </w:rPr>
        <w:t xml:space="preserve"> fecha se </w:t>
      </w:r>
      <w:proofErr w:type="spellStart"/>
      <w:r w:rsidRPr="006314BE">
        <w:rPr>
          <w:rFonts w:ascii="Palatino Linotype" w:eastAsia="Palatino Linotype" w:hAnsi="Palatino Linotype" w:cs="Palatino Linotype"/>
          <w:i/>
          <w:color w:val="000000" w:themeColor="text1"/>
        </w:rPr>
        <w:t>emitiron</w:t>
      </w:r>
      <w:proofErr w:type="spellEnd"/>
      <w:r w:rsidRPr="006314BE">
        <w:rPr>
          <w:rFonts w:ascii="Palatino Linotype" w:eastAsia="Palatino Linotype" w:hAnsi="Palatino Linotype" w:cs="Palatino Linotype"/>
          <w:i/>
          <w:color w:val="000000" w:themeColor="text1"/>
        </w:rPr>
        <w:t xml:space="preserve"> las convocatorias para los programas Bienestar </w:t>
      </w:r>
      <w:proofErr w:type="spellStart"/>
      <w:r w:rsidRPr="006314BE">
        <w:rPr>
          <w:rFonts w:ascii="Palatino Linotype" w:eastAsia="Palatino Linotype" w:hAnsi="Palatino Linotype" w:cs="Palatino Linotype"/>
          <w:i/>
          <w:color w:val="000000" w:themeColor="text1"/>
        </w:rPr>
        <w:t>Cuntural</w:t>
      </w:r>
      <w:proofErr w:type="spellEnd"/>
      <w:r w:rsidRPr="006314BE">
        <w:rPr>
          <w:rFonts w:ascii="Palatino Linotype" w:eastAsia="Palatino Linotype" w:hAnsi="Palatino Linotype" w:cs="Palatino Linotype"/>
          <w:i/>
          <w:color w:val="000000" w:themeColor="text1"/>
        </w:rPr>
        <w:t xml:space="preserve"> Indígena, Niñez </w:t>
      </w:r>
      <w:proofErr w:type="spellStart"/>
      <w:r w:rsidRPr="006314BE">
        <w:rPr>
          <w:rFonts w:ascii="Palatino Linotype" w:eastAsia="Palatino Linotype" w:hAnsi="Palatino Linotype" w:cs="Palatino Linotype"/>
          <w:i/>
          <w:color w:val="000000" w:themeColor="text1"/>
        </w:rPr>
        <w:t>Indigena</w:t>
      </w:r>
      <w:proofErr w:type="spellEnd"/>
      <w:r w:rsidRPr="006314BE">
        <w:rPr>
          <w:rFonts w:ascii="Palatino Linotype" w:eastAsia="Palatino Linotype" w:hAnsi="Palatino Linotype" w:cs="Palatino Linotype"/>
          <w:i/>
          <w:color w:val="000000" w:themeColor="text1"/>
        </w:rPr>
        <w:t xml:space="preserve"> con Bienestar y Desarrollo Indígena con Bienestar, durante el año 2024, </w:t>
      </w:r>
      <w:proofErr w:type="spellStart"/>
      <w:r w:rsidRPr="006314BE">
        <w:rPr>
          <w:rFonts w:ascii="Palatino Linotype" w:eastAsia="Palatino Linotype" w:hAnsi="Palatino Linotype" w:cs="Palatino Linotype"/>
          <w:i/>
          <w:color w:val="000000" w:themeColor="text1"/>
        </w:rPr>
        <w:t>asi</w:t>
      </w:r>
      <w:proofErr w:type="spellEnd"/>
      <w:r w:rsidRPr="006314BE">
        <w:rPr>
          <w:rFonts w:ascii="Palatino Linotype" w:eastAsia="Palatino Linotype" w:hAnsi="Palatino Linotype" w:cs="Palatino Linotype"/>
          <w:i/>
          <w:color w:val="000000" w:themeColor="text1"/>
        </w:rPr>
        <w:t xml:space="preserve"> como la </w:t>
      </w:r>
      <w:proofErr w:type="spellStart"/>
      <w:r w:rsidRPr="006314BE">
        <w:rPr>
          <w:rFonts w:ascii="Palatino Linotype" w:eastAsia="Palatino Linotype" w:hAnsi="Palatino Linotype" w:cs="Palatino Linotype"/>
          <w:i/>
          <w:color w:val="000000" w:themeColor="text1"/>
        </w:rPr>
        <w:t>expresion</w:t>
      </w:r>
      <w:proofErr w:type="spellEnd"/>
      <w:r w:rsidRPr="006314BE">
        <w:rPr>
          <w:rFonts w:ascii="Palatino Linotype" w:eastAsia="Palatino Linotype" w:hAnsi="Palatino Linotype" w:cs="Palatino Linotype"/>
          <w:i/>
          <w:color w:val="000000" w:themeColor="text1"/>
        </w:rPr>
        <w:t xml:space="preserve"> documental donde consten la convocatorias, así mismo requiero el listado de personas participantes en cada programa y nombre de proyecto en su caso, el listado de personas seleccionadas, nombre de proyectos ganadores y criterios para la selección. Documento donde conste el </w:t>
      </w:r>
      <w:proofErr w:type="spellStart"/>
      <w:r w:rsidRPr="006314BE">
        <w:rPr>
          <w:rFonts w:ascii="Palatino Linotype" w:eastAsia="Palatino Linotype" w:hAnsi="Palatino Linotype" w:cs="Palatino Linotype"/>
          <w:i/>
          <w:color w:val="000000" w:themeColor="text1"/>
        </w:rPr>
        <w:t>analisis</w:t>
      </w:r>
      <w:proofErr w:type="spellEnd"/>
      <w:r w:rsidRPr="006314BE">
        <w:rPr>
          <w:rFonts w:ascii="Palatino Linotype" w:eastAsia="Palatino Linotype" w:hAnsi="Palatino Linotype" w:cs="Palatino Linotype"/>
          <w:i/>
          <w:color w:val="000000" w:themeColor="text1"/>
        </w:rPr>
        <w:t xml:space="preserve"> cualitativo y </w:t>
      </w:r>
      <w:proofErr w:type="spellStart"/>
      <w:r w:rsidRPr="006314BE">
        <w:rPr>
          <w:rFonts w:ascii="Palatino Linotype" w:eastAsia="Palatino Linotype" w:hAnsi="Palatino Linotype" w:cs="Palatino Linotype"/>
          <w:i/>
          <w:color w:val="000000" w:themeColor="text1"/>
        </w:rPr>
        <w:t>cuantivo</w:t>
      </w:r>
      <w:proofErr w:type="spellEnd"/>
      <w:r w:rsidRPr="006314BE">
        <w:rPr>
          <w:rFonts w:ascii="Palatino Linotype" w:eastAsia="Palatino Linotype" w:hAnsi="Palatino Linotype" w:cs="Palatino Linotype"/>
          <w:i/>
          <w:color w:val="000000" w:themeColor="text1"/>
        </w:rPr>
        <w:t xml:space="preserve"> que determino a los ganadores o seleccionados. Gracias.” (Sic)</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 xml:space="preserve">En respuesta,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por medio</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color w:val="000000" w:themeColor="text1"/>
        </w:rPr>
        <w:t xml:space="preserve">de la Subdirección de Desarrollo Cultural Indígena y la Subdirección Operativa del Consejo estatal para el Desarrollo </w:t>
      </w:r>
      <w:r w:rsidRPr="006314BE">
        <w:rPr>
          <w:rFonts w:ascii="Palatino Linotype" w:eastAsia="Palatino Linotype" w:hAnsi="Palatino Linotype" w:cs="Palatino Linotype"/>
          <w:color w:val="000000" w:themeColor="text1"/>
        </w:rPr>
        <w:lastRenderedPageBreak/>
        <w:t>Integral de los Pueblos Indígenas del Estado de México, informó que con fecha 5 al 9 de agosto de 2024 fueron publicadas las convocatorias de los programas de desarrollo social “Bienestar Cultural Indígena”, “Niñez Indígena con Bienestar” y “Desarrollo Indígena con Bienestar”, mismas adjuntó en formato PDF. En cuanto a “las personas participantes o personas seleccionadas”, refirió adjuntar el padrón de beneficiarios de los programas de desarrollo social “Bienestar Cultural Indígena” y “Desarrollo Indígena con Bienestar”, especificando el nombre del proyecto o vertiente. Respecto al padrón de beneficiarios del programa de desarrollo social “Niñez Indígena con Bienestar”, refirió que debido a que corresponde a menores de edad, no es posible proporcionarlo, en términos del artículo 55 de la Ley de los Derechos de Niñas, Niños y Adolescentes del Estado de México. En cuanto a los criterios de selección que fueron implementados para determinar a las personas participantes, informó que estos fueron de acuerdo a lo establecido en el 8.1.1.1 de las Reglas de Operación de los programas en cuestión, mismos que enlisto para cada Programa, respectivamente. Finalmente, referente a la petición relacionada con el documento donde consta el análisis y cualitativo y cuantitativo que determinó el apoyo de los beneficiarios, adjuntó los siguientes formatos: Cédula de Viabilidad Cultural, Diagnostico de Viabilidad (Proyectos productivos) y el Formato único de Bienestar. (La información fue entregada de manera íntegra)</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 xml:space="preserve">No obstante, el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por medio del recurso de revisión, manifestó como razones o motivos de inconformidad: </w:t>
      </w:r>
      <w:r w:rsidRPr="006314BE">
        <w:rPr>
          <w:rFonts w:ascii="Palatino Linotype" w:eastAsia="Palatino Linotype" w:hAnsi="Palatino Linotype" w:cs="Palatino Linotype"/>
          <w:b/>
          <w:i/>
          <w:color w:val="000000" w:themeColor="text1"/>
        </w:rPr>
        <w:t xml:space="preserve">“No remiten acuerdo de clasificación de </w:t>
      </w:r>
      <w:proofErr w:type="spellStart"/>
      <w:r w:rsidRPr="006314BE">
        <w:rPr>
          <w:rFonts w:ascii="Palatino Linotype" w:eastAsia="Palatino Linotype" w:hAnsi="Palatino Linotype" w:cs="Palatino Linotype"/>
          <w:b/>
          <w:i/>
          <w:color w:val="000000" w:themeColor="text1"/>
        </w:rPr>
        <w:t>Comite</w:t>
      </w:r>
      <w:proofErr w:type="spellEnd"/>
      <w:r w:rsidRPr="006314BE">
        <w:rPr>
          <w:rFonts w:ascii="Palatino Linotype" w:eastAsia="Palatino Linotype" w:hAnsi="Palatino Linotype" w:cs="Palatino Linotype"/>
          <w:b/>
          <w:i/>
          <w:color w:val="000000" w:themeColor="text1"/>
        </w:rPr>
        <w:t xml:space="preserve"> de Transparencia, donde se clasifiquen los padrones de beneficiarios.” (Sic.)</w:t>
      </w:r>
    </w:p>
    <w:p w:rsidR="00242AD7" w:rsidRPr="006314BE" w:rsidRDefault="00242AD7" w:rsidP="00C05318">
      <w:pPr>
        <w:tabs>
          <w:tab w:val="left" w:pos="0"/>
        </w:tabs>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Ahora bien, </w:t>
      </w:r>
      <w:r w:rsidRPr="006314BE">
        <w:rPr>
          <w:rFonts w:ascii="Palatino Linotype" w:eastAsia="MS Mincho" w:hAnsi="Palatino Linotype" w:cs="Arial"/>
          <w:bCs/>
          <w:color w:val="000000" w:themeColor="text1"/>
          <w:lang w:eastAsia="es-ES"/>
        </w:rPr>
        <w:t xml:space="preserve">resulta necesario señalar que, </w:t>
      </w:r>
      <w:r w:rsidRPr="006314BE">
        <w:rPr>
          <w:rFonts w:ascii="Palatino Linotype" w:eastAsia="MS Gothic" w:hAnsi="Palatino Linotype" w:cstheme="majorBidi"/>
          <w:color w:val="000000" w:themeColor="text1"/>
        </w:rPr>
        <w:t xml:space="preserve">el </w:t>
      </w:r>
      <w:r w:rsidRPr="006314BE">
        <w:rPr>
          <w:rFonts w:ascii="Palatino Linotype" w:eastAsia="MS Gothic" w:hAnsi="Palatino Linotype" w:cstheme="majorBidi"/>
          <w:b/>
          <w:bCs/>
          <w:color w:val="000000" w:themeColor="text1"/>
        </w:rPr>
        <w:t>RECURRENTE</w:t>
      </w:r>
      <w:r w:rsidRPr="006314BE">
        <w:rPr>
          <w:rFonts w:ascii="Palatino Linotype" w:eastAsia="MS Gothic" w:hAnsi="Palatino Linotype" w:cstheme="majorBidi"/>
          <w:b/>
          <w:color w:val="000000" w:themeColor="text1"/>
        </w:rPr>
        <w:t xml:space="preserve"> </w:t>
      </w:r>
      <w:r w:rsidRPr="006314BE">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Pr="006314BE">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xml:space="preserve"> satisface este punto de la solicitud presentada. </w:t>
      </w:r>
    </w:p>
    <w:p w:rsidR="00144CFB" w:rsidRPr="006314BE" w:rsidRDefault="00144CFB" w:rsidP="00C05318">
      <w:pPr>
        <w:tabs>
          <w:tab w:val="left" w:pos="0"/>
        </w:tabs>
        <w:rPr>
          <w:rFonts w:ascii="Palatino Linotype" w:eastAsia="Calibri" w:hAnsi="Palatino Linotype" w:cs="Arial"/>
          <w:color w:val="000000" w:themeColor="text1"/>
          <w:lang w:val="es-ES"/>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Calibri" w:hAnsi="Palatino Linotype" w:cs="Arial"/>
          <w:color w:val="000000" w:themeColor="text1"/>
          <w:lang w:val="es-ES"/>
        </w:rPr>
        <w:t xml:space="preserve">Lo </w:t>
      </w:r>
      <w:r w:rsidRPr="006314BE">
        <w:rPr>
          <w:rFonts w:ascii="Palatino Linotype" w:eastAsia="Palatino Linotype" w:hAnsi="Palatino Linotype" w:cs="Palatino Linotype"/>
          <w:color w:val="000000" w:themeColor="text1"/>
        </w:rPr>
        <w:t xml:space="preserve">anterior es así, debido a que cuando un Recurrente impugna la respuesta del </w:t>
      </w:r>
      <w:r w:rsidRPr="006314BE">
        <w:rPr>
          <w:rFonts w:ascii="Palatino Linotype" w:eastAsia="Palatino Linotype" w:hAnsi="Palatino Linotype" w:cs="Palatino Linotype"/>
          <w:b/>
          <w:color w:val="000000" w:themeColor="text1"/>
        </w:rPr>
        <w:t>SUJETO OBLIGADO</w:t>
      </w:r>
      <w:r w:rsidRPr="006314BE">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Calibri" w:hAnsi="Palatino Linotype" w:cs="Arial"/>
          <w:color w:val="000000" w:themeColor="text1"/>
          <w:lang w:val="es-ES"/>
        </w:rPr>
      </w:pPr>
    </w:p>
    <w:p w:rsidR="00144CFB" w:rsidRPr="006314BE" w:rsidRDefault="00144CFB" w:rsidP="00C05318">
      <w:pPr>
        <w:pBdr>
          <w:top w:val="nil"/>
          <w:left w:val="nil"/>
          <w:bottom w:val="nil"/>
          <w:right w:val="nil"/>
          <w:between w:val="nil"/>
        </w:pBdr>
        <w:tabs>
          <w:tab w:val="left" w:pos="0"/>
        </w:tabs>
        <w:ind w:left="567"/>
        <w:jc w:val="both"/>
        <w:rPr>
          <w:rFonts w:ascii="Palatino Linotype" w:eastAsia="Calibri" w:hAnsi="Palatino Linotype" w:cs="Arial"/>
          <w:color w:val="000000" w:themeColor="text1"/>
          <w:lang w:val="es-ES"/>
        </w:rPr>
      </w:pPr>
      <w:r w:rsidRPr="006314BE">
        <w:rPr>
          <w:rFonts w:ascii="Palatino Linotype" w:eastAsia="Palatino Linotype" w:hAnsi="Palatino Linotype" w:cs="Palatino Linotype"/>
          <w:b/>
          <w:i/>
          <w:color w:val="000000" w:themeColor="text1"/>
        </w:rPr>
        <w:t xml:space="preserve">“REVISIÓN EN AMPARO. LOS RESOLUTIVOS NO COMBATIDOS DEBEN DECLARARSE FIRMES. </w:t>
      </w:r>
      <w:r w:rsidRPr="006314BE">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Calibri" w:hAnsi="Palatino Linotype" w:cs="Arial"/>
          <w:color w:val="000000" w:themeColor="text1"/>
          <w:lang w:val="es-ES"/>
        </w:rPr>
        <w:lastRenderedPageBreak/>
        <w:t xml:space="preserve">Consecuentemente, </w:t>
      </w:r>
      <w:r w:rsidRPr="006314BE">
        <w:rPr>
          <w:rFonts w:ascii="Palatino Linotype" w:eastAsia="Palatino Linotype" w:hAnsi="Palatino Linotype" w:cs="Palatino Linotype"/>
          <w:color w:val="000000" w:themeColor="text1"/>
        </w:rPr>
        <w:t>se reitera que la parte de la solicitud que no fue impugnada debe declararse consentida por el Recurrente, debido a que no se realizaron manifestaciones de inconformidad, por</w:t>
      </w:r>
      <w:r w:rsidRPr="006314BE">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ante la falta de impugnación eficaz.</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Calibri" w:hAnsi="Palatino Linotype" w:cs="Arial"/>
          <w:color w:val="000000" w:themeColor="text1"/>
          <w:lang w:val="es-ES"/>
        </w:rPr>
        <w:t xml:space="preserve">Sirve </w:t>
      </w:r>
      <w:r w:rsidRPr="006314BE">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pStyle w:val="Prrafodelista"/>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smallCaps/>
          <w:color w:val="000000" w:themeColor="text1"/>
        </w:rPr>
        <w:t xml:space="preserve">ACTOS CONSENTIDOS. SON LOS QUE NO SE IMPUGNAN MEDIANTE EL RECURSO IDÓNEO. </w:t>
      </w:r>
      <w:r w:rsidRPr="006314BE">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Calibri" w:hAnsi="Palatino Linotype" w:cs="Arial"/>
          <w:color w:val="000000" w:themeColor="text1"/>
          <w:lang w:val="es-ES"/>
        </w:rPr>
        <w:t xml:space="preserve">Para </w:t>
      </w:r>
      <w:r w:rsidRPr="006314BE">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rsidR="00144CFB" w:rsidRPr="006314BE" w:rsidRDefault="00144CFB" w:rsidP="00C05318">
      <w:pPr>
        <w:pStyle w:val="Prrafodelista"/>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Actos consentidos tácitamente. Improcedencia de su análisis.</w:t>
      </w:r>
      <w:r w:rsidRPr="006314BE">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Calibri" w:hAnsi="Palatino Linotype" w:cs="Arial"/>
          <w:color w:val="000000" w:themeColor="text1"/>
          <w:lang w:val="es-ES"/>
        </w:rPr>
        <w:lastRenderedPageBreak/>
        <w:t xml:space="preserve">De </w:t>
      </w:r>
      <w:r w:rsidRPr="006314BE">
        <w:rPr>
          <w:rFonts w:ascii="Palatino Linotype" w:eastAsia="Palatino Linotype" w:hAnsi="Palatino Linotype" w:cs="Palatino Linotype"/>
          <w:color w:val="000000" w:themeColor="text1"/>
        </w:rPr>
        <w:t xml:space="preserve">lo anteriormente referido, y a efecto de garantizar el efectivo ejercicio del derecho de acceso a la información pública que asiste al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resulta conveniente precisar que el presente análisis versará únicamente sobre: </w:t>
      </w:r>
      <w:r w:rsidRPr="006314BE">
        <w:rPr>
          <w:rFonts w:ascii="Palatino Linotype" w:eastAsia="Palatino Linotype" w:hAnsi="Palatino Linotype" w:cs="Palatino Linotype"/>
          <w:b/>
          <w:color w:val="000000" w:themeColor="text1"/>
        </w:rPr>
        <w:t>el Acuerdo de Clasificación del Comité de Transparencia, donde se clasifiquen los Padrones de Beneficiarios.</w:t>
      </w:r>
    </w:p>
    <w:p w:rsidR="00144CFB" w:rsidRPr="006314BE" w:rsidRDefault="00144CFB"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Precisado lo anterior</w:t>
      </w:r>
      <w:r w:rsidR="00ED74BD" w:rsidRPr="006314BE">
        <w:rPr>
          <w:rFonts w:ascii="Palatino Linotype" w:eastAsia="Palatino Linotype" w:hAnsi="Palatino Linotype" w:cs="Palatino Linotype"/>
          <w:color w:val="000000" w:themeColor="text1"/>
        </w:rPr>
        <w:t xml:space="preserve">, </w:t>
      </w:r>
      <w:r w:rsidRPr="006314BE">
        <w:rPr>
          <w:rFonts w:ascii="Palatino Linotype" w:eastAsia="Palatino Linotype" w:hAnsi="Palatino Linotype" w:cs="Palatino Linotype"/>
          <w:color w:val="000000" w:themeColor="text1"/>
        </w:rPr>
        <w:t xml:space="preserve">se advierte que </w:t>
      </w:r>
      <w:r w:rsidR="00ED74BD" w:rsidRPr="006314BE">
        <w:rPr>
          <w:rFonts w:ascii="Palatino Linotype" w:eastAsia="Palatino Linotype" w:hAnsi="Palatino Linotype" w:cs="Palatino Linotype"/>
          <w:color w:val="000000" w:themeColor="text1"/>
        </w:rPr>
        <w:t xml:space="preserve">mediante el informe justificado, el </w:t>
      </w:r>
      <w:r w:rsidR="00ED74BD" w:rsidRPr="006314BE">
        <w:rPr>
          <w:rFonts w:ascii="Palatino Linotype" w:eastAsia="Palatino Linotype" w:hAnsi="Palatino Linotype" w:cs="Palatino Linotype"/>
          <w:b/>
          <w:color w:val="000000" w:themeColor="text1"/>
        </w:rPr>
        <w:t>SUJETO OBLIGADO</w:t>
      </w:r>
      <w:r w:rsidR="00ED74BD" w:rsidRPr="006314BE">
        <w:rPr>
          <w:rFonts w:ascii="Palatino Linotype" w:eastAsia="Palatino Linotype" w:hAnsi="Palatino Linotype" w:cs="Palatino Linotype"/>
          <w:color w:val="000000" w:themeColor="text1"/>
        </w:rPr>
        <w:t xml:space="preserve"> refirió que </w:t>
      </w:r>
      <w:r w:rsidR="00ED74BD" w:rsidRPr="006314BE">
        <w:rPr>
          <w:rFonts w:ascii="Palatino Linotype" w:eastAsia="Palatino Linotype" w:hAnsi="Palatino Linotype" w:cs="Palatino Linotype"/>
          <w:b/>
          <w:color w:val="000000" w:themeColor="text1"/>
        </w:rPr>
        <w:t>no se omitió ningún dato en la respuesta, por lo que no puede considerarse que el derecho de acceso a la información del que es titular el RECURRENTE haya sido negado</w:t>
      </w:r>
      <w:r w:rsidR="00ED74BD" w:rsidRPr="006314BE">
        <w:rPr>
          <w:rFonts w:ascii="Palatino Linotype" w:eastAsia="Palatino Linotype" w:hAnsi="Palatino Linotype" w:cs="Palatino Linotype"/>
          <w:color w:val="000000" w:themeColor="text1"/>
        </w:rPr>
        <w:t xml:space="preserve">, </w:t>
      </w:r>
      <w:r w:rsidR="00ED74BD" w:rsidRPr="006314BE">
        <w:rPr>
          <w:rFonts w:ascii="Palatino Linotype" w:eastAsia="Palatino Linotype" w:hAnsi="Palatino Linotype" w:cs="Palatino Linotype"/>
          <w:b/>
          <w:color w:val="000000" w:themeColor="text1"/>
        </w:rPr>
        <w:t>limitado o restringido.</w:t>
      </w:r>
      <w:r w:rsidR="00ED74BD" w:rsidRPr="006314BE">
        <w:rPr>
          <w:rFonts w:ascii="Palatino Linotype" w:eastAsia="Palatino Linotype" w:hAnsi="Palatino Linotype" w:cs="Palatino Linotype"/>
          <w:color w:val="000000" w:themeColor="text1"/>
        </w:rPr>
        <w:t xml:space="preserve"> Asimismo, argumentó que las razones o motivos de inconformidad, son argumentos subjetivos y poco claros; asimismo, que la Unidad de Transparencia </w:t>
      </w:r>
      <w:r w:rsidR="00ED74BD" w:rsidRPr="006314BE">
        <w:rPr>
          <w:rFonts w:ascii="Palatino Linotype" w:eastAsia="Palatino Linotype" w:hAnsi="Palatino Linotype" w:cs="Palatino Linotype"/>
          <w:b/>
          <w:color w:val="000000" w:themeColor="text1"/>
        </w:rPr>
        <w:t>no ocultó información,</w:t>
      </w:r>
      <w:r w:rsidR="00ED74BD" w:rsidRPr="006314BE">
        <w:rPr>
          <w:rFonts w:ascii="Palatino Linotype" w:eastAsia="Palatino Linotype" w:hAnsi="Palatino Linotype" w:cs="Palatino Linotype"/>
          <w:color w:val="000000" w:themeColor="text1"/>
        </w:rPr>
        <w:t xml:space="preserve"> por el contrario, proporcionó la misma de manera</w:t>
      </w:r>
      <w:r w:rsidR="00ED74BD" w:rsidRPr="006314BE">
        <w:rPr>
          <w:rFonts w:ascii="Palatino Linotype" w:eastAsia="Palatino Linotype" w:hAnsi="Palatino Linotype" w:cs="Palatino Linotype"/>
          <w:b/>
          <w:color w:val="000000" w:themeColor="text1"/>
        </w:rPr>
        <w:t xml:space="preserve"> </w:t>
      </w:r>
      <w:r w:rsidR="00ED74BD" w:rsidRPr="006314BE">
        <w:rPr>
          <w:rFonts w:ascii="Palatino Linotype" w:eastAsia="Palatino Linotype" w:hAnsi="Palatino Linotype" w:cs="Palatino Linotype"/>
          <w:color w:val="000000" w:themeColor="text1"/>
        </w:rPr>
        <w:t>clara, objetiva y precisa a cada una de las peticiones realizadas en la solicitud de información.</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4CFB"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Precisado lo anterior, este Organismo Garante advierte que, del análisis realizado a las documentales remitidas mediante respuesta, </w:t>
      </w:r>
      <w:r w:rsidR="00144CFB" w:rsidRPr="006314BE">
        <w:rPr>
          <w:rFonts w:ascii="Palatino Linotype" w:hAnsi="Palatino Linotype"/>
          <w:color w:val="000000" w:themeColor="text1"/>
        </w:rPr>
        <w:t xml:space="preserve">el </w:t>
      </w:r>
      <w:r w:rsidR="00144CFB" w:rsidRPr="006314BE">
        <w:rPr>
          <w:rFonts w:ascii="Palatino Linotype" w:hAnsi="Palatino Linotype"/>
          <w:b/>
          <w:color w:val="000000" w:themeColor="text1"/>
        </w:rPr>
        <w:t>SUJETO OBLIGADO</w:t>
      </w:r>
      <w:r w:rsidR="00144CFB" w:rsidRPr="006314BE">
        <w:rPr>
          <w:rFonts w:ascii="Palatino Linotype" w:hAnsi="Palatino Linotype"/>
          <w:color w:val="000000" w:themeColor="text1"/>
        </w:rPr>
        <w:t xml:space="preserve"> omitió remitir el Acuerdo de Clasificación de la información relativa al Padrón de Beneficiarios del Programa de Desarrollo Social “Niñez Indígena con Bienestar”, toda vez que refirió la imposibilidad para proporcionarlo debido a que corresponde a menores de edad.</w:t>
      </w:r>
    </w:p>
    <w:p w:rsidR="00144CFB" w:rsidRPr="006314BE" w:rsidRDefault="00144CFB" w:rsidP="00C05318">
      <w:pPr>
        <w:pStyle w:val="Prrafodelista"/>
        <w:tabs>
          <w:tab w:val="left" w:pos="0"/>
        </w:tabs>
        <w:rPr>
          <w:rFonts w:ascii="Palatino Linotype" w:eastAsia="Palatino Linotype" w:hAnsi="Palatino Linotype" w:cs="Palatino Linotype"/>
          <w:color w:val="000000" w:themeColor="text1"/>
        </w:rPr>
      </w:pPr>
    </w:p>
    <w:p w:rsidR="00144CFB" w:rsidRPr="006314BE" w:rsidRDefault="00144CFB"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En atención a lo anterior, el artículo 55 de la </w:t>
      </w:r>
      <w:r w:rsidRPr="006314BE">
        <w:rPr>
          <w:rFonts w:ascii="Palatino Linotype" w:hAnsi="Palatino Linotype"/>
          <w:color w:val="000000" w:themeColor="text1"/>
        </w:rPr>
        <w:t>Ley de los Derechos de Niñas, Niños y Adolescentes del Estado de México, establece lo siguiente:</w:t>
      </w:r>
    </w:p>
    <w:p w:rsidR="00144CFB" w:rsidRPr="006314BE" w:rsidRDefault="00144CFB" w:rsidP="00C05318">
      <w:pPr>
        <w:pStyle w:val="Prrafodelista"/>
        <w:tabs>
          <w:tab w:val="left" w:pos="0"/>
        </w:tabs>
        <w:rPr>
          <w:rFonts w:ascii="Palatino Linotype" w:eastAsia="Palatino Linotype" w:hAnsi="Palatino Linotype" w:cs="Palatino Linotype"/>
          <w:color w:val="000000" w:themeColor="text1"/>
        </w:rPr>
      </w:pPr>
    </w:p>
    <w:p w:rsidR="00210A9D" w:rsidRPr="006314BE" w:rsidRDefault="00144CFB" w:rsidP="00C05318">
      <w:pPr>
        <w:pBdr>
          <w:top w:val="nil"/>
          <w:left w:val="nil"/>
          <w:bottom w:val="nil"/>
          <w:right w:val="nil"/>
          <w:between w:val="nil"/>
        </w:pBdr>
        <w:tabs>
          <w:tab w:val="left" w:pos="0"/>
        </w:tabs>
        <w:ind w:left="567"/>
        <w:jc w:val="center"/>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Capítulo Décimo Séptimo</w:t>
      </w:r>
    </w:p>
    <w:p w:rsidR="00210A9D" w:rsidRPr="006314BE" w:rsidRDefault="00144CFB" w:rsidP="00C05318">
      <w:pPr>
        <w:pBdr>
          <w:top w:val="nil"/>
          <w:left w:val="nil"/>
          <w:bottom w:val="nil"/>
          <w:right w:val="nil"/>
          <w:between w:val="nil"/>
        </w:pBdr>
        <w:tabs>
          <w:tab w:val="left" w:pos="0"/>
        </w:tabs>
        <w:ind w:left="567"/>
        <w:jc w:val="center"/>
        <w:rPr>
          <w:rFonts w:ascii="Palatino Linotype" w:eastAsia="Palatino Linotype" w:hAnsi="Palatino Linotype" w:cs="Palatino Linotype"/>
          <w:b/>
          <w:i/>
          <w:color w:val="000000" w:themeColor="text1"/>
        </w:rPr>
      </w:pPr>
      <w:r w:rsidRPr="006314BE">
        <w:rPr>
          <w:rFonts w:ascii="Palatino Linotype" w:eastAsia="Palatino Linotype" w:hAnsi="Palatino Linotype" w:cs="Palatino Linotype"/>
          <w:b/>
          <w:i/>
          <w:color w:val="000000" w:themeColor="text1"/>
        </w:rPr>
        <w:t>Del Derecho a la Intimidad</w:t>
      </w:r>
    </w:p>
    <w:p w:rsidR="00210A9D" w:rsidRPr="006314BE" w:rsidRDefault="00210A9D" w:rsidP="00C05318">
      <w:pPr>
        <w:pBdr>
          <w:top w:val="nil"/>
          <w:left w:val="nil"/>
          <w:bottom w:val="nil"/>
          <w:right w:val="nil"/>
          <w:between w:val="nil"/>
        </w:pBdr>
        <w:tabs>
          <w:tab w:val="left" w:pos="0"/>
        </w:tabs>
        <w:ind w:left="567"/>
        <w:jc w:val="center"/>
        <w:rPr>
          <w:rFonts w:ascii="Palatino Linotype" w:eastAsia="Palatino Linotype" w:hAnsi="Palatino Linotype" w:cs="Palatino Linotype"/>
          <w:b/>
          <w:i/>
          <w:color w:val="000000" w:themeColor="text1"/>
        </w:rPr>
      </w:pPr>
    </w:p>
    <w:p w:rsidR="00144CFB" w:rsidRPr="006314BE" w:rsidRDefault="00144CFB"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Artículo 55.</w:t>
      </w:r>
      <w:r w:rsidRPr="006314BE">
        <w:rPr>
          <w:rFonts w:ascii="Palatino Linotype" w:eastAsia="Palatino Linotype" w:hAnsi="Palatino Linotype" w:cs="Palatino Linotype"/>
          <w:i/>
          <w:color w:val="000000" w:themeColor="text1"/>
        </w:rPr>
        <w:t xml:space="preserve"> </w:t>
      </w:r>
      <w:r w:rsidRPr="006314BE">
        <w:rPr>
          <w:rFonts w:ascii="Palatino Linotype" w:eastAsia="Palatino Linotype" w:hAnsi="Palatino Linotype" w:cs="Palatino Linotype"/>
          <w:b/>
          <w:i/>
          <w:color w:val="000000" w:themeColor="text1"/>
        </w:rPr>
        <w:t>Niñas, niños y adolescentes tienen derecho a la intimidad contra toda injerencia arbitraria o ilegal en su vida privada y en la de su familia, domicilio o correspondencia y a la protección de sus datos personales.</w:t>
      </w: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 xml:space="preserve">No se considerará injerencia ilegal o arbitraria, aquella que emane de quienes ejercen la patria potestad, tutela o guarda y custodia, en el cumplimiento de la obligación de orientar, supervisar y, en su caso, restringir las conductas y hábitos de niñas, niños y adolescentes, siempre que atiendan al interés superior de la niñez. </w:t>
      </w: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b/>
          <w:i/>
          <w:color w:val="000000" w:themeColor="text1"/>
        </w:rPr>
        <w:t>Niñas, niños y adolescentes no podrán ser objeto de divulgaciones o difusiones ilícitas de información, manejo de su imagen o datos personales,</w:t>
      </w:r>
      <w:r w:rsidRPr="006314BE">
        <w:rPr>
          <w:rFonts w:ascii="Palatino Linotype" w:eastAsia="Palatino Linotype" w:hAnsi="Palatino Linotype" w:cs="Palatino Linotype"/>
          <w:i/>
          <w:color w:val="000000" w:themeColor="text1"/>
        </w:rPr>
        <w:t xml:space="preserve"> incluyendo aquella que tenga carácter informativo a la opinión pública o de noticia que permita identificarlos, que menoscabe su honra o reputación, sea contrario a sus derechos o que los ponga en riesgo, conforme al principio de interés superior de la niñez. </w:t>
      </w: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 xml:space="preserve">Cualquier medio de comunicación que difunda entrevistas, imágenes, voz o datos deberán cuidar en todo momento el desarrollo integral de niñas, niños y adolescentes. </w:t>
      </w:r>
    </w:p>
    <w:p w:rsidR="00210A9D" w:rsidRPr="006314BE" w:rsidRDefault="00210A9D" w:rsidP="00C05318">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i/>
          <w:color w:val="000000" w:themeColor="text1"/>
        </w:rPr>
        <w:t>En caso de incumplimiento se promoverán las acciones civiles, denuncias, querellas y procedimientos de conformidad con la legislación Civil, Penal y Administrativa del Estado de México y demás disposiciones jurídicas aplicables.</w:t>
      </w:r>
    </w:p>
    <w:p w:rsidR="00144CFB" w:rsidRPr="006314BE" w:rsidRDefault="00144CFB" w:rsidP="00C05318">
      <w:pPr>
        <w:pStyle w:val="Prrafodelista"/>
        <w:tabs>
          <w:tab w:val="left" w:pos="0"/>
        </w:tabs>
        <w:rPr>
          <w:rFonts w:ascii="Palatino Linotype" w:eastAsia="Palatino Linotype" w:hAnsi="Palatino Linotype" w:cs="Palatino Linotype"/>
          <w:color w:val="000000" w:themeColor="text1"/>
        </w:rPr>
      </w:pPr>
    </w:p>
    <w:p w:rsidR="00210A9D" w:rsidRPr="006314BE" w:rsidRDefault="00210A9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Correlativo a lo anterior</w:t>
      </w:r>
      <w:r w:rsidR="00144CFB" w:rsidRPr="006314BE">
        <w:rPr>
          <w:rFonts w:ascii="Palatino Linotype" w:eastAsia="Palatino Linotype" w:hAnsi="Palatino Linotype" w:cs="Palatino Linotype"/>
          <w:color w:val="000000" w:themeColor="text1"/>
        </w:rPr>
        <w:t>,</w:t>
      </w:r>
      <w:r w:rsidRPr="006314BE">
        <w:rPr>
          <w:rFonts w:ascii="Palatino Linotype" w:eastAsia="Palatino Linotype" w:hAnsi="Palatino Linotype" w:cs="Palatino Linotype"/>
          <w:color w:val="000000" w:themeColor="text1"/>
        </w:rPr>
        <w:t xml:space="preserve"> </w:t>
      </w:r>
      <w:r w:rsidRPr="006314BE">
        <w:rPr>
          <w:rFonts w:ascii="Palatino Linotype" w:hAnsi="Palatino Linotype" w:cs="Arial"/>
          <w:color w:val="000000" w:themeColor="text1"/>
        </w:rPr>
        <w:t xml:space="preserve">resulta oportuno traer a colación el criterio orientador </w:t>
      </w:r>
      <w:r w:rsidRPr="006314BE">
        <w:rPr>
          <w:rFonts w:ascii="Palatino Linotype" w:hAnsi="Palatino Linotype" w:cs="Arial"/>
          <w:b/>
          <w:bCs/>
          <w:color w:val="000000" w:themeColor="text1"/>
        </w:rPr>
        <w:t xml:space="preserve">03/19 </w:t>
      </w:r>
      <w:r w:rsidRPr="006314BE">
        <w:rPr>
          <w:rFonts w:ascii="Palatino Linotype" w:hAnsi="Palatino Linotype" w:cs="Arial"/>
          <w:color w:val="000000" w:themeColor="text1"/>
        </w:rPr>
        <w:t>sustentado por el Pleno del Órgano Garante local, cuyo rubro y texto disponen a la literalidad lo siguiente:</w:t>
      </w:r>
    </w:p>
    <w:p w:rsidR="00210A9D" w:rsidRPr="006314BE" w:rsidRDefault="00210A9D" w:rsidP="00C05318">
      <w:pPr>
        <w:pStyle w:val="CitasINFOEM"/>
        <w:tabs>
          <w:tab w:val="left" w:pos="0"/>
        </w:tabs>
        <w:spacing w:line="240" w:lineRule="auto"/>
        <w:ind w:left="567" w:right="0"/>
        <w:rPr>
          <w:b/>
          <w:bCs/>
          <w:color w:val="000000" w:themeColor="text1"/>
          <w:sz w:val="24"/>
        </w:rPr>
      </w:pPr>
      <w:r w:rsidRPr="006314BE">
        <w:rPr>
          <w:b/>
          <w:bCs/>
          <w:color w:val="000000" w:themeColor="text1"/>
          <w:sz w:val="24"/>
        </w:rPr>
        <w:t xml:space="preserve">“PADRÓN DE BENEFICIARIOS EN POSESIÓN DE SUJETOS OBLIGADOS. EXCEPCIONES PARA LA PUBLICACIÓN DE DATOS PERSONALES CONTENIDOS EN AQUÉL. </w:t>
      </w:r>
    </w:p>
    <w:p w:rsidR="00210A9D" w:rsidRPr="006314BE" w:rsidRDefault="00210A9D" w:rsidP="00C05318">
      <w:pPr>
        <w:pStyle w:val="CitasINFOEM"/>
        <w:tabs>
          <w:tab w:val="left" w:pos="0"/>
        </w:tabs>
        <w:spacing w:line="240" w:lineRule="auto"/>
        <w:ind w:left="567" w:right="0"/>
        <w:rPr>
          <w:color w:val="000000" w:themeColor="text1"/>
          <w:sz w:val="24"/>
        </w:rPr>
      </w:pPr>
      <w:r w:rsidRPr="006314BE">
        <w:rPr>
          <w:color w:val="000000" w:themeColor="text1"/>
          <w:sz w:val="24"/>
        </w:rPr>
        <w:lastRenderedPageBreak/>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6314BE">
        <w:rPr>
          <w:b/>
          <w:bCs/>
          <w:color w:val="000000" w:themeColor="text1"/>
          <w:sz w:val="24"/>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6314BE">
        <w:rPr>
          <w:color w:val="000000" w:themeColor="text1"/>
          <w:sz w:val="24"/>
        </w:rPr>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w:t>
      </w:r>
      <w:r w:rsidRPr="006314BE">
        <w:rPr>
          <w:color w:val="000000" w:themeColor="text1"/>
          <w:sz w:val="24"/>
        </w:rPr>
        <w:lastRenderedPageBreak/>
        <w:t xml:space="preserve">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0A9D" w:rsidRPr="006314BE" w:rsidRDefault="00210A9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En este sentido, </w:t>
      </w:r>
      <w:r w:rsidRPr="006314BE">
        <w:rPr>
          <w:rFonts w:ascii="Palatino Linotype" w:hAnsi="Palatino Linotype"/>
          <w:color w:val="000000" w:themeColor="text1"/>
        </w:rPr>
        <w:t>toda vez que se aceptó contar con el Padrón de Beneficiarios del Programa de Desarrollo Social “Niñez Indígena con Bienestar”</w:t>
      </w:r>
      <w:r w:rsidR="008E07E1" w:rsidRPr="006314BE">
        <w:rPr>
          <w:rFonts w:ascii="Palatino Linotype" w:hAnsi="Palatino Linotype"/>
          <w:color w:val="000000" w:themeColor="text1"/>
        </w:rPr>
        <w:t xml:space="preserve"> de 2024</w:t>
      </w:r>
      <w:r w:rsidRPr="006314BE">
        <w:rPr>
          <w:rFonts w:ascii="Palatino Linotype" w:hAnsi="Palatino Linotype"/>
          <w:color w:val="000000" w:themeColor="text1"/>
        </w:rPr>
        <w:t>,</w:t>
      </w:r>
      <w:r w:rsidRPr="006314BE">
        <w:rPr>
          <w:rFonts w:ascii="Palatino Linotype" w:eastAsia="Palatino Linotype" w:hAnsi="Palatino Linotype" w:cs="Palatino Linotype"/>
          <w:color w:val="000000" w:themeColor="text1"/>
        </w:rPr>
        <w:t xml:space="preserve"> </w:t>
      </w:r>
      <w:r w:rsidRPr="006314BE">
        <w:rPr>
          <w:rFonts w:ascii="Palatino Linotype" w:hAnsi="Palatino Linotype"/>
          <w:color w:val="000000" w:themeColor="text1"/>
        </w:rPr>
        <w:t>pero este no puede ser entregado por tratarse de menores de edad</w:t>
      </w:r>
      <w:r w:rsidR="00411F95" w:rsidRPr="006314BE">
        <w:rPr>
          <w:rFonts w:ascii="Palatino Linotype" w:hAnsi="Palatino Linotype"/>
          <w:color w:val="000000" w:themeColor="text1"/>
        </w:rPr>
        <w:t xml:space="preserve">, resulta </w:t>
      </w:r>
      <w:r w:rsidR="00ED74BD" w:rsidRPr="006314BE">
        <w:rPr>
          <w:rFonts w:ascii="Palatino Linotype" w:hAnsi="Palatino Linotype"/>
          <w:color w:val="000000" w:themeColor="text1"/>
        </w:rPr>
        <w:t xml:space="preserve">dable ordenar la entrega del Acuerdo </w:t>
      </w:r>
      <w:r w:rsidRPr="006314BE">
        <w:rPr>
          <w:rFonts w:ascii="Palatino Linotype" w:hAnsi="Palatino Linotype"/>
          <w:color w:val="000000" w:themeColor="text1"/>
        </w:rPr>
        <w:t>con el que el Comité de Transparencia</w:t>
      </w:r>
      <w:r w:rsidR="00ED74BD" w:rsidRPr="006314BE">
        <w:rPr>
          <w:rFonts w:ascii="Palatino Linotype" w:hAnsi="Palatino Linotype"/>
          <w:color w:val="000000" w:themeColor="text1"/>
        </w:rPr>
        <w:t xml:space="preserve"> del </w:t>
      </w:r>
      <w:r w:rsidR="00ED74BD" w:rsidRPr="006314BE">
        <w:rPr>
          <w:rFonts w:ascii="Palatino Linotype" w:hAnsi="Palatino Linotype"/>
          <w:b/>
          <w:color w:val="000000" w:themeColor="text1"/>
        </w:rPr>
        <w:t>SUJETO OBLIGADO</w:t>
      </w:r>
      <w:r w:rsidRPr="006314BE">
        <w:rPr>
          <w:rFonts w:ascii="Palatino Linotype" w:hAnsi="Palatino Linotype"/>
          <w:color w:val="000000" w:themeColor="text1"/>
        </w:rPr>
        <w:t xml:space="preserve"> funde y motive la clasificación de la información</w:t>
      </w:r>
      <w:r w:rsidR="00411F95" w:rsidRPr="006314BE">
        <w:rPr>
          <w:rFonts w:ascii="Palatino Linotype" w:hAnsi="Palatino Linotype"/>
          <w:color w:val="000000" w:themeColor="text1"/>
        </w:rPr>
        <w:t>.</w:t>
      </w:r>
    </w:p>
    <w:p w:rsidR="00210A9D" w:rsidRPr="006314BE" w:rsidRDefault="00210A9D"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Al respecto, </w:t>
      </w:r>
      <w:r w:rsidRPr="006314BE">
        <w:rPr>
          <w:rFonts w:ascii="Palatino Linotype" w:eastAsia="MS Gothic" w:hAnsi="Palatino Linotype"/>
          <w:color w:val="000000" w:themeColor="text1"/>
        </w:rPr>
        <w:t xml:space="preserve">es importante señalar que </w:t>
      </w:r>
      <w:r w:rsidRPr="006314BE">
        <w:rPr>
          <w:rFonts w:ascii="Palatino Linotype" w:eastAsia="MS Gothic" w:hAnsi="Palatino Linotype"/>
          <w:b/>
          <w:color w:val="000000" w:themeColor="text1"/>
        </w:rPr>
        <w:t>la clasificación total o parcial</w:t>
      </w:r>
      <w:r w:rsidRPr="006314BE">
        <w:rPr>
          <w:rFonts w:ascii="Palatino Linotype" w:eastAsia="MS Gothic" w:hAnsi="Palatino Linotype"/>
          <w:color w:val="000000" w:themeColor="text1"/>
        </w:rPr>
        <w:t xml:space="preserve"> de la información requerida mediante solicitud de acceso a la información pública, constituye una restricción al derecho humano de acceso a la información. </w:t>
      </w:r>
    </w:p>
    <w:p w:rsidR="00411F95" w:rsidRPr="006314BE" w:rsidRDefault="00411F95" w:rsidP="00C05318">
      <w:pPr>
        <w:tabs>
          <w:tab w:val="left" w:pos="0"/>
        </w:tabs>
        <w:rPr>
          <w:rFonts w:ascii="Palatino Linotype" w:eastAsia="MS Gothic" w:hAnsi="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Así, la clasificación total o parcial de la información es un supuesto que tanto la Ley General de Transparencia y Acceso a la Información Pública, como la Ley de Transparencia y Acceso a la Información Pública del Estado de México y Municipios, establecen el procedimiento legalmente establecido, para ello.</w:t>
      </w:r>
    </w:p>
    <w:p w:rsidR="00411F95" w:rsidRPr="006314BE" w:rsidRDefault="00411F95" w:rsidP="00C05318">
      <w:pPr>
        <w:tabs>
          <w:tab w:val="left" w:pos="0"/>
        </w:tabs>
        <w:rPr>
          <w:rFonts w:ascii="Palatino Linotype" w:eastAsia="MS Gothic" w:hAnsi="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MS Gothic" w:hAnsi="Palatino Linotype"/>
          <w:color w:val="000000" w:themeColor="text1"/>
        </w:rPr>
      </w:pP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w:t>
      </w:r>
      <w:r w:rsidRPr="006314BE">
        <w:rPr>
          <w:rFonts w:ascii="Palatino Linotype" w:hAnsi="Palatino Linotype" w:cs="Arial"/>
          <w:b/>
          <w:i/>
          <w:color w:val="000000" w:themeColor="text1"/>
        </w:rPr>
        <w:t>Quincuagésimo.</w:t>
      </w:r>
      <w:r w:rsidRPr="006314BE">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b/>
          <w:i/>
          <w:color w:val="000000" w:themeColor="text1"/>
        </w:rPr>
        <w:t>Quincuagésimo primero.</w:t>
      </w:r>
      <w:r w:rsidRPr="006314BE">
        <w:rPr>
          <w:rFonts w:ascii="Palatino Linotype" w:hAnsi="Palatino Linotype" w:cs="Arial"/>
          <w:i/>
          <w:color w:val="000000" w:themeColor="text1"/>
        </w:rPr>
        <w:t xml:space="preserve"> La leyenda en los documentos clasificados indicará:</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I. La fecha de sesión del Comité de Transparencia en donde se confirmó la clasificación, en su caso;</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II. El nombre del área;</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III. La palabra reservado o confidencial;</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IV. Las partes o secciones reservadas o confidenciales, en su caso;</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V. El fundamento legal;</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VI. El periodo de reserva, y</w:t>
      </w:r>
    </w:p>
    <w:p w:rsidR="00411F95" w:rsidRPr="006314BE" w:rsidRDefault="00411F95" w:rsidP="00C05318">
      <w:pPr>
        <w:pStyle w:val="Prrafodelista"/>
        <w:tabs>
          <w:tab w:val="left" w:pos="0"/>
          <w:tab w:val="left" w:pos="142"/>
          <w:tab w:val="left" w:pos="284"/>
        </w:tabs>
        <w:ind w:left="567"/>
        <w:jc w:val="both"/>
        <w:rPr>
          <w:rFonts w:ascii="Palatino Linotype" w:hAnsi="Palatino Linotype" w:cs="Arial"/>
          <w:i/>
          <w:color w:val="000000" w:themeColor="text1"/>
        </w:rPr>
      </w:pPr>
      <w:r w:rsidRPr="006314BE">
        <w:rPr>
          <w:rFonts w:ascii="Palatino Linotype" w:hAnsi="Palatino Linotype" w:cs="Arial"/>
          <w:i/>
          <w:color w:val="000000" w:themeColor="text1"/>
        </w:rPr>
        <w:t>VII. La rúbrica del titular del área.</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Una vez hecho lo anterior, se remite la información al Titular de la Unidad de Transparencia, con el acuerdo de clasificación correspondiente, para que sea sometido al conocimiento del Comité de Transparencia.</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pStyle w:val="Prrafodelista"/>
        <w:numPr>
          <w:ilvl w:val="0"/>
          <w:numId w:val="6"/>
        </w:numPr>
        <w:tabs>
          <w:tab w:val="left" w:pos="0"/>
          <w:tab w:val="left" w:pos="142"/>
          <w:tab w:val="left" w:pos="284"/>
          <w:tab w:val="left" w:pos="426"/>
        </w:tabs>
        <w:spacing w:line="360" w:lineRule="auto"/>
        <w:jc w:val="both"/>
        <w:outlineLvl w:val="2"/>
        <w:rPr>
          <w:rFonts w:ascii="Palatino Linotype" w:hAnsi="Palatino Linotype" w:cs="Arial"/>
          <w:b/>
          <w:color w:val="000000" w:themeColor="text1"/>
        </w:rPr>
      </w:pPr>
      <w:bookmarkStart w:id="10" w:name="_Toc51863317"/>
      <w:bookmarkStart w:id="11" w:name="_Toc52444651"/>
      <w:bookmarkStart w:id="12" w:name="_Toc57154370"/>
      <w:bookmarkStart w:id="13" w:name="_Toc65170176"/>
      <w:r w:rsidRPr="006314BE">
        <w:rPr>
          <w:rFonts w:ascii="Palatino Linotype" w:hAnsi="Palatino Linotype" w:cs="Arial"/>
          <w:b/>
          <w:color w:val="000000" w:themeColor="text1"/>
        </w:rPr>
        <w:t>La intervención del Comité de Transparencia.</w:t>
      </w:r>
      <w:bookmarkEnd w:id="10"/>
      <w:bookmarkEnd w:id="11"/>
      <w:bookmarkEnd w:id="12"/>
      <w:bookmarkEnd w:id="13"/>
    </w:p>
    <w:p w:rsidR="00411F95" w:rsidRPr="006314BE" w:rsidRDefault="00411F95" w:rsidP="00C05318">
      <w:pPr>
        <w:pStyle w:val="Prrafodelista"/>
        <w:tabs>
          <w:tab w:val="left" w:pos="0"/>
          <w:tab w:val="left" w:pos="142"/>
          <w:tab w:val="left" w:pos="284"/>
          <w:tab w:val="left" w:pos="426"/>
        </w:tabs>
        <w:spacing w:line="360" w:lineRule="auto"/>
        <w:ind w:left="0"/>
        <w:jc w:val="both"/>
        <w:rPr>
          <w:rFonts w:ascii="Palatino Linotype" w:hAnsi="Palatino Linotype" w:cs="Arial"/>
          <w:b/>
          <w:color w:val="000000" w:themeColor="text1"/>
        </w:rPr>
      </w:pPr>
      <w:r w:rsidRPr="006314BE">
        <w:rPr>
          <w:rFonts w:ascii="Palatino Linotype" w:hAnsi="Palatino Linotype" w:cs="Arial"/>
          <w:b/>
          <w:color w:val="000000" w:themeColor="text1"/>
        </w:rPr>
        <w:t xml:space="preserve">      a) Formalidades para emitir el Acuerdo de Clasificación.</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314BE">
        <w:rPr>
          <w:rFonts w:ascii="Palatino Linotype" w:eastAsia="MS Gothic" w:hAnsi="Palatino Linotype"/>
          <w:b/>
          <w:color w:val="000000" w:themeColor="text1"/>
          <w:u w:val="single"/>
        </w:rPr>
        <w:t>confirmar, modificar o revocar</w:t>
      </w:r>
      <w:r w:rsidRPr="006314BE">
        <w:rPr>
          <w:rFonts w:ascii="Palatino Linotype" w:eastAsia="MS Gothic" w:hAnsi="Palatino Linotype"/>
          <w:color w:val="000000" w:themeColor="text1"/>
        </w:rPr>
        <w:t xml:space="preserve"> la clasificación </w:t>
      </w:r>
      <w:r w:rsidRPr="006314BE">
        <w:rPr>
          <w:rFonts w:ascii="Palatino Linotype" w:eastAsia="MS Gothic" w:hAnsi="Palatino Linotype"/>
          <w:color w:val="000000" w:themeColor="text1"/>
        </w:rPr>
        <w:lastRenderedPageBreak/>
        <w:t xml:space="preserve">de la información que ha hecho el Titular del Área que administra la información. Por lo tanto, el Comité </w:t>
      </w:r>
      <w:r w:rsidRPr="006314BE">
        <w:rPr>
          <w:rFonts w:ascii="Palatino Linotype" w:eastAsia="MS Gothic" w:hAnsi="Palatino Linotype"/>
          <w:b/>
          <w:color w:val="000000" w:themeColor="text1"/>
          <w:u w:val="single"/>
        </w:rPr>
        <w:t>no aprueba</w:t>
      </w:r>
      <w:r w:rsidRPr="006314BE">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6314BE">
        <w:rPr>
          <w:rFonts w:ascii="Palatino Linotype" w:eastAsia="MS Gothic" w:hAnsi="Palatino Linotype"/>
          <w:b/>
          <w:color w:val="000000" w:themeColor="text1"/>
          <w:u w:val="single"/>
        </w:rPr>
        <w:t>el acto reúna con los requisitos elementales</w:t>
      </w:r>
      <w:r w:rsidRPr="006314BE">
        <w:rPr>
          <w:rFonts w:ascii="Palatino Linotype" w:eastAsia="MS Gothic" w:hAnsi="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11F95" w:rsidRPr="006314BE" w:rsidRDefault="00411F95" w:rsidP="00C05318">
      <w:pPr>
        <w:tabs>
          <w:tab w:val="left" w:pos="0"/>
        </w:tabs>
        <w:rPr>
          <w:rFonts w:ascii="Palatino Linotype" w:eastAsia="MS Gothic" w:hAnsi="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D74BD" w:rsidRPr="006314BE" w:rsidRDefault="00ED74BD"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pStyle w:val="Prrafodelista"/>
        <w:numPr>
          <w:ilvl w:val="0"/>
          <w:numId w:val="6"/>
        </w:numPr>
        <w:tabs>
          <w:tab w:val="left" w:pos="0"/>
          <w:tab w:val="left" w:pos="142"/>
          <w:tab w:val="left" w:pos="284"/>
          <w:tab w:val="left" w:pos="426"/>
        </w:tabs>
        <w:spacing w:line="360" w:lineRule="auto"/>
        <w:jc w:val="both"/>
        <w:rPr>
          <w:rFonts w:ascii="Palatino Linotype" w:hAnsi="Palatino Linotype" w:cs="Arial"/>
          <w:b/>
          <w:color w:val="000000" w:themeColor="text1"/>
        </w:rPr>
      </w:pPr>
      <w:r w:rsidRPr="006314BE">
        <w:rPr>
          <w:rFonts w:ascii="Palatino Linotype" w:hAnsi="Palatino Linotype" w:cs="Arial"/>
          <w:b/>
          <w:color w:val="000000" w:themeColor="text1"/>
        </w:rPr>
        <w:lastRenderedPageBreak/>
        <w:t>b) Requisitos de fondo del Acuerdo de Clasificación.</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11F95" w:rsidRPr="006314BE" w:rsidRDefault="00411F95" w:rsidP="00C05318">
      <w:pPr>
        <w:tabs>
          <w:tab w:val="left" w:pos="0"/>
        </w:tabs>
        <w:rPr>
          <w:rFonts w:ascii="Palatino Linotype" w:hAnsi="Palatino Linotype" w:cs="Arial"/>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MS Gothic" w:hAnsi="Palatino Linotype"/>
          <w:color w:val="000000" w:themeColor="text1"/>
        </w:rPr>
      </w:pP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b/>
          <w:i/>
          <w:color w:val="000000" w:themeColor="text1"/>
        </w:rPr>
        <w:lastRenderedPageBreak/>
        <w:t>FUNDAMENTACIÓN Y MOTIVACIÓN.</w:t>
      </w:r>
      <w:r w:rsidRPr="006314BE">
        <w:rPr>
          <w:rFonts w:ascii="Palatino Linotype" w:hAnsi="Palatino Linotype" w:cs="Arial"/>
          <w:i/>
          <w:color w:val="000000" w:themeColor="text1"/>
        </w:rPr>
        <w:t xml:space="preserve"> “La </w:t>
      </w:r>
      <w:r w:rsidRPr="006314BE">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314BE">
        <w:rPr>
          <w:rFonts w:ascii="Palatino Linotype" w:hAnsi="Palatino Linotype" w:cs="Arial"/>
          <w:i/>
          <w:color w:val="000000" w:themeColor="text1"/>
        </w:rPr>
        <w:t>.”</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SEGUNDO TRIBUNAL COLEGIADO DEL SEXTO CIRCUITO.</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6314BE">
        <w:rPr>
          <w:rFonts w:ascii="Palatino Linotype" w:hAnsi="Palatino Linotype" w:cs="Arial"/>
          <w:i/>
          <w:color w:val="000000" w:themeColor="text1"/>
        </w:rPr>
        <w:t>Esponda</w:t>
      </w:r>
      <w:proofErr w:type="spellEnd"/>
      <w:r w:rsidRPr="006314BE">
        <w:rPr>
          <w:rFonts w:ascii="Palatino Linotype" w:hAnsi="Palatino Linotype" w:cs="Arial"/>
          <w:i/>
          <w:color w:val="000000" w:themeColor="text1"/>
        </w:rPr>
        <w:t xml:space="preserve"> Rincón.</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 xml:space="preserve">Amparo en revisión 333/88. </w:t>
      </w:r>
      <w:proofErr w:type="spellStart"/>
      <w:r w:rsidRPr="006314BE">
        <w:rPr>
          <w:rFonts w:ascii="Palatino Linotype" w:hAnsi="Palatino Linotype" w:cs="Arial"/>
          <w:i/>
          <w:color w:val="000000" w:themeColor="text1"/>
        </w:rPr>
        <w:t>Adilia</w:t>
      </w:r>
      <w:proofErr w:type="spellEnd"/>
      <w:r w:rsidRPr="006314BE">
        <w:rPr>
          <w:rFonts w:ascii="Palatino Linotype" w:hAnsi="Palatino Linotype" w:cs="Arial"/>
          <w:i/>
          <w:color w:val="000000" w:themeColor="text1"/>
        </w:rPr>
        <w:t xml:space="preserve"> Romero. 26 de octubre de 1988. Unanimidad de votos. Ponente: Arnoldo Nájera Virgen. Secretario: Enrique Crispín Campos Ramírez.</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6314BE">
        <w:rPr>
          <w:rFonts w:ascii="Palatino Linotype" w:hAnsi="Palatino Linotype" w:cs="Arial"/>
          <w:i/>
          <w:color w:val="000000" w:themeColor="text1"/>
        </w:rPr>
        <w:t>Goyzueta</w:t>
      </w:r>
      <w:proofErr w:type="spellEnd"/>
      <w:r w:rsidRPr="006314BE">
        <w:rPr>
          <w:rFonts w:ascii="Palatino Linotype" w:hAnsi="Palatino Linotype" w:cs="Arial"/>
          <w:i/>
          <w:color w:val="000000" w:themeColor="text1"/>
        </w:rPr>
        <w:t>. Secretario: Gonzalo Carrera Molina.</w:t>
      </w:r>
    </w:p>
    <w:p w:rsidR="00411F95" w:rsidRPr="006314BE" w:rsidRDefault="00411F95" w:rsidP="00C05318">
      <w:pPr>
        <w:tabs>
          <w:tab w:val="left" w:pos="0"/>
        </w:tabs>
        <w:ind w:left="567"/>
        <w:contextualSpacing/>
        <w:jc w:val="both"/>
        <w:rPr>
          <w:rFonts w:ascii="Palatino Linotype" w:hAnsi="Palatino Linotype" w:cs="Arial"/>
          <w:i/>
          <w:color w:val="000000" w:themeColor="text1"/>
        </w:rPr>
      </w:pPr>
      <w:r w:rsidRPr="006314BE">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6314BE">
        <w:rPr>
          <w:rFonts w:ascii="Palatino Linotype" w:hAnsi="Palatino Linotype" w:cs="Arial"/>
          <w:i/>
          <w:color w:val="000000" w:themeColor="text1"/>
        </w:rPr>
        <w:t>Baigts</w:t>
      </w:r>
      <w:proofErr w:type="spellEnd"/>
      <w:r w:rsidRPr="006314BE">
        <w:rPr>
          <w:rFonts w:ascii="Palatino Linotype" w:hAnsi="Palatino Linotype" w:cs="Arial"/>
          <w:i/>
          <w:color w:val="000000" w:themeColor="text1"/>
        </w:rPr>
        <w:t xml:space="preserve"> Muñoz.</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11F95"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11F95" w:rsidRPr="006314BE" w:rsidRDefault="00411F95"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E07E1"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MS Gothic" w:hAnsi="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w:t>
      </w:r>
      <w:r w:rsidRPr="006314BE">
        <w:rPr>
          <w:rFonts w:ascii="Palatino Linotype" w:eastAsia="MS Gothic" w:hAnsi="Palatino Linotype"/>
          <w:color w:val="000000" w:themeColor="text1"/>
        </w:rPr>
        <w:lastRenderedPageBreak/>
        <w:t>auténtica defensa.</w:t>
      </w:r>
      <w:r w:rsidRPr="006314BE">
        <w:rPr>
          <w:rFonts w:ascii="Palatino Linotype" w:hAnsi="Palatino Linotype" w:cs="Arial"/>
          <w:color w:val="000000" w:themeColor="text1"/>
          <w:lang w:val="es-US"/>
        </w:rPr>
        <w:t xml:space="preserve"> </w:t>
      </w:r>
      <w:r w:rsidRPr="006314BE">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rsidR="008E07E1" w:rsidRPr="006314BE" w:rsidRDefault="008E07E1" w:rsidP="00C05318">
      <w:pPr>
        <w:pStyle w:val="Prrafodelista"/>
        <w:tabs>
          <w:tab w:val="left" w:pos="0"/>
        </w:tabs>
        <w:rPr>
          <w:rFonts w:ascii="Palatino Linotype" w:eastAsia="Palatino Linotype" w:hAnsi="Palatino Linotype" w:cs="Palatino Linotype"/>
          <w:color w:val="000000" w:themeColor="text1"/>
        </w:rPr>
      </w:pPr>
    </w:p>
    <w:p w:rsidR="008E07E1" w:rsidRPr="006314BE" w:rsidRDefault="00411F95"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color w:val="000000" w:themeColor="text1"/>
        </w:rPr>
        <w:t xml:space="preserve">En este sentido, se reitera que, </w:t>
      </w:r>
      <w:r w:rsidR="008E07E1" w:rsidRPr="006314BE">
        <w:rPr>
          <w:rFonts w:ascii="Palatino Linotype" w:eastAsia="Palatino Linotype" w:hAnsi="Palatino Linotype" w:cs="Palatino Linotype"/>
          <w:color w:val="000000" w:themeColor="text1"/>
        </w:rPr>
        <w:t xml:space="preserve">el </w:t>
      </w:r>
      <w:r w:rsidR="008E07E1" w:rsidRPr="006314BE">
        <w:rPr>
          <w:rFonts w:ascii="Palatino Linotype" w:eastAsia="Palatino Linotype" w:hAnsi="Palatino Linotype" w:cs="Palatino Linotype"/>
          <w:b/>
          <w:color w:val="000000" w:themeColor="text1"/>
        </w:rPr>
        <w:t>SUJETO OBLIGADO</w:t>
      </w:r>
      <w:r w:rsidR="008E07E1" w:rsidRPr="006314BE">
        <w:rPr>
          <w:rFonts w:ascii="Palatino Linotype" w:eastAsia="Palatino Linotype" w:hAnsi="Palatino Linotype" w:cs="Palatino Linotype"/>
          <w:color w:val="000000" w:themeColor="text1"/>
        </w:rPr>
        <w:t xml:space="preserve"> deberá entregar el Acuerdo emitido por el Comité de Transparencia, en el que clasifique como confidencial </w:t>
      </w:r>
      <w:r w:rsidR="008E07E1" w:rsidRPr="006314BE">
        <w:rPr>
          <w:rFonts w:ascii="Palatino Linotype" w:hAnsi="Palatino Linotype"/>
          <w:color w:val="000000" w:themeColor="text1"/>
        </w:rPr>
        <w:t>el Padrón de Beneficiarios del Programa de Desarrollo Social “Niñez Indígena con Bienestar” de 2024.</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6314BE">
        <w:rPr>
          <w:rFonts w:ascii="Palatino Linotype" w:eastAsia="Palatino Linotype" w:hAnsi="Palatino Linotype" w:cs="Palatino Linotype"/>
          <w:color w:val="000000" w:themeColor="text1"/>
        </w:rPr>
        <w:t xml:space="preserve">Por lo anteriormente expuesto y fundado, este </w:t>
      </w:r>
      <w:r w:rsidRPr="006314BE">
        <w:rPr>
          <w:rFonts w:ascii="Palatino Linotype" w:eastAsia="Palatino Linotype" w:hAnsi="Palatino Linotype" w:cs="Palatino Linotype"/>
          <w:b/>
          <w:color w:val="000000" w:themeColor="text1"/>
        </w:rPr>
        <w:t>ÓRGANO GARANTE</w:t>
      </w:r>
      <w:r w:rsidRPr="006314BE">
        <w:rPr>
          <w:rFonts w:ascii="Palatino Linotype" w:eastAsia="Palatino Linotype" w:hAnsi="Palatino Linotype" w:cs="Palatino Linotype"/>
          <w:color w:val="000000" w:themeColor="text1"/>
        </w:rPr>
        <w:t xml:space="preserve"> emite los siguientes:</w:t>
      </w:r>
    </w:p>
    <w:p w:rsidR="00242AD7" w:rsidRPr="006314BE" w:rsidRDefault="00242AD7"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E07E1" w:rsidRPr="006314BE" w:rsidRDefault="008E07E1" w:rsidP="00C053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2AD7" w:rsidRPr="006314BE" w:rsidRDefault="00ED74BD" w:rsidP="00C05318">
      <w:pPr>
        <w:pStyle w:val="Ttulo1"/>
        <w:tabs>
          <w:tab w:val="left" w:pos="0"/>
        </w:tabs>
        <w:spacing w:before="0" w:line="360" w:lineRule="auto"/>
        <w:jc w:val="center"/>
        <w:rPr>
          <w:szCs w:val="24"/>
        </w:rPr>
      </w:pPr>
      <w:r w:rsidRPr="006314BE">
        <w:rPr>
          <w:szCs w:val="24"/>
        </w:rPr>
        <w:t>R E S O L U T I V O S</w:t>
      </w:r>
    </w:p>
    <w:p w:rsidR="00242AD7" w:rsidRPr="006314BE" w:rsidRDefault="00242AD7" w:rsidP="00C05318">
      <w:pPr>
        <w:tabs>
          <w:tab w:val="left" w:pos="0"/>
        </w:tabs>
        <w:spacing w:line="360" w:lineRule="auto"/>
        <w:rPr>
          <w:rFonts w:ascii="Palatino Linotype" w:eastAsia="Palatino Linotype" w:hAnsi="Palatino Linotype" w:cs="Palatino Linotype"/>
          <w:color w:val="000000" w:themeColor="text1"/>
        </w:rPr>
      </w:pPr>
    </w:p>
    <w:p w:rsidR="00411F95" w:rsidRPr="006314BE" w:rsidRDefault="00411F95" w:rsidP="00C05318">
      <w:pPr>
        <w:tabs>
          <w:tab w:val="left" w:pos="0"/>
        </w:tabs>
        <w:spacing w:before="240" w:after="240"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b/>
          <w:color w:val="000000" w:themeColor="text1"/>
        </w:rPr>
        <w:t xml:space="preserve">PRIMERO. </w:t>
      </w:r>
      <w:r w:rsidRPr="006314BE">
        <w:rPr>
          <w:rFonts w:ascii="Palatino Linotype" w:eastAsia="Palatino Linotype" w:hAnsi="Palatino Linotype" w:cs="Palatino Linotype"/>
          <w:color w:val="000000" w:themeColor="text1"/>
        </w:rPr>
        <w:t>Resultan fundadas las</w:t>
      </w:r>
      <w:r w:rsidRPr="006314BE">
        <w:rPr>
          <w:rFonts w:ascii="Palatino Linotype" w:eastAsia="Palatino Linotype" w:hAnsi="Palatino Linotype" w:cs="Palatino Linotype"/>
          <w:b/>
          <w:color w:val="000000" w:themeColor="text1"/>
        </w:rPr>
        <w:t xml:space="preserve"> </w:t>
      </w:r>
      <w:r w:rsidRPr="006314BE">
        <w:rPr>
          <w:rFonts w:ascii="Palatino Linotype" w:eastAsia="Palatino Linotype" w:hAnsi="Palatino Linotype" w:cs="Palatino Linotype"/>
          <w:color w:val="000000" w:themeColor="text1"/>
        </w:rPr>
        <w:t xml:space="preserve">razones o motivos de inconformidad hechos valer en el recurso de revisión </w:t>
      </w:r>
      <w:r w:rsidRPr="006314BE">
        <w:rPr>
          <w:rFonts w:ascii="Palatino Linotype" w:eastAsia="Palatino Linotype" w:hAnsi="Palatino Linotype" w:cs="Palatino Linotype"/>
          <w:b/>
          <w:color w:val="000000" w:themeColor="text1"/>
        </w:rPr>
        <w:t xml:space="preserve">01003/INFOEM/IP/RR/2025, </w:t>
      </w:r>
      <w:r w:rsidRPr="006314BE">
        <w:rPr>
          <w:rFonts w:ascii="Palatino Linotype" w:eastAsia="Palatino Linotype" w:hAnsi="Palatino Linotype" w:cs="Palatino Linotype"/>
          <w:color w:val="000000" w:themeColor="text1"/>
        </w:rPr>
        <w:t xml:space="preserve">en términos del </w:t>
      </w:r>
      <w:r w:rsidRPr="006314BE">
        <w:rPr>
          <w:rFonts w:ascii="Palatino Linotype" w:eastAsia="Palatino Linotype" w:hAnsi="Palatino Linotype" w:cs="Palatino Linotype"/>
          <w:b/>
          <w:color w:val="000000" w:themeColor="text1"/>
        </w:rPr>
        <w:t>Considerando</w:t>
      </w:r>
      <w:r w:rsidRPr="006314BE">
        <w:rPr>
          <w:rFonts w:ascii="Palatino Linotype" w:eastAsia="Palatino Linotype" w:hAnsi="Palatino Linotype" w:cs="Palatino Linotype"/>
          <w:color w:val="000000" w:themeColor="text1"/>
        </w:rPr>
        <w:t xml:space="preserve"> </w:t>
      </w:r>
      <w:r w:rsidRPr="006314BE">
        <w:rPr>
          <w:rFonts w:ascii="Palatino Linotype" w:eastAsia="Palatino Linotype" w:hAnsi="Palatino Linotype" w:cs="Palatino Linotype"/>
          <w:b/>
          <w:color w:val="000000" w:themeColor="text1"/>
        </w:rPr>
        <w:t xml:space="preserve">CUARTO </w:t>
      </w:r>
      <w:r w:rsidRPr="006314BE">
        <w:rPr>
          <w:rFonts w:ascii="Palatino Linotype" w:eastAsia="Palatino Linotype" w:hAnsi="Palatino Linotype" w:cs="Palatino Linotype"/>
          <w:color w:val="000000" w:themeColor="text1"/>
        </w:rPr>
        <w:t>de la presente resolución.</w:t>
      </w:r>
    </w:p>
    <w:p w:rsidR="00433271" w:rsidRPr="006314BE" w:rsidRDefault="00433271" w:rsidP="00C05318">
      <w:pPr>
        <w:tabs>
          <w:tab w:val="left" w:pos="0"/>
        </w:tabs>
        <w:spacing w:before="240" w:after="240" w:line="360" w:lineRule="auto"/>
        <w:jc w:val="both"/>
        <w:rPr>
          <w:rFonts w:ascii="Palatino Linotype" w:eastAsia="Palatino Linotype" w:hAnsi="Palatino Linotype" w:cs="Palatino Linotype"/>
          <w:color w:val="000000" w:themeColor="text1"/>
        </w:rPr>
      </w:pPr>
    </w:p>
    <w:p w:rsidR="00411F95" w:rsidRPr="006314BE" w:rsidRDefault="00411F95" w:rsidP="00C05318">
      <w:pPr>
        <w:tabs>
          <w:tab w:val="left" w:pos="0"/>
        </w:tabs>
        <w:spacing w:before="240" w:after="240" w:line="360" w:lineRule="auto"/>
        <w:jc w:val="both"/>
        <w:rPr>
          <w:rFonts w:ascii="Palatino Linotype" w:eastAsia="Palatino Linotype" w:hAnsi="Palatino Linotype" w:cs="Palatino Linotype"/>
          <w:color w:val="000000" w:themeColor="text1"/>
        </w:rPr>
      </w:pPr>
      <w:bookmarkStart w:id="14" w:name="_heading=h.lnxbz9" w:colFirst="0" w:colLast="0"/>
      <w:bookmarkEnd w:id="14"/>
      <w:r w:rsidRPr="006314BE">
        <w:rPr>
          <w:rFonts w:ascii="Palatino Linotype" w:eastAsia="Palatino Linotype" w:hAnsi="Palatino Linotype" w:cs="Palatino Linotype"/>
          <w:b/>
          <w:color w:val="000000" w:themeColor="text1"/>
        </w:rPr>
        <w:lastRenderedPageBreak/>
        <w:t>SEGUNDO.</w:t>
      </w:r>
      <w:r w:rsidRPr="006314BE">
        <w:rPr>
          <w:rFonts w:ascii="Palatino Linotype" w:eastAsia="Palatino Linotype" w:hAnsi="Palatino Linotype" w:cs="Palatino Linotype"/>
          <w:color w:val="000000" w:themeColor="text1"/>
        </w:rPr>
        <w:t xml:space="preserve"> Se</w:t>
      </w:r>
      <w:r w:rsidRPr="006314BE">
        <w:rPr>
          <w:rFonts w:ascii="Palatino Linotype" w:eastAsia="Palatino Linotype" w:hAnsi="Palatino Linotype" w:cs="Palatino Linotype"/>
          <w:b/>
          <w:color w:val="000000" w:themeColor="text1"/>
        </w:rPr>
        <w:t xml:space="preserve"> MODIFICA </w:t>
      </w:r>
      <w:r w:rsidRPr="006314BE">
        <w:rPr>
          <w:rFonts w:ascii="Palatino Linotype" w:eastAsia="Palatino Linotype" w:hAnsi="Palatino Linotype" w:cs="Palatino Linotype"/>
          <w:color w:val="000000" w:themeColor="text1"/>
        </w:rPr>
        <w:t xml:space="preserve">la respuesta emitida por el </w:t>
      </w:r>
      <w:r w:rsidRPr="006314BE">
        <w:rPr>
          <w:rFonts w:ascii="Palatino Linotype" w:eastAsia="Palatino Linotype" w:hAnsi="Palatino Linotype" w:cs="Palatino Linotype"/>
          <w:b/>
          <w:color w:val="000000" w:themeColor="text1"/>
        </w:rPr>
        <w:t xml:space="preserve">Consejo Estatal para el Desarrollo Integral de Los Pueblos Indígenas del Estado de México </w:t>
      </w:r>
      <w:r w:rsidRPr="006314BE">
        <w:rPr>
          <w:rFonts w:ascii="Palatino Linotype" w:eastAsia="Palatino Linotype" w:hAnsi="Palatino Linotype" w:cs="Palatino Linotype"/>
          <w:color w:val="000000" w:themeColor="text1"/>
        </w:rPr>
        <w:t>y se</w:t>
      </w:r>
      <w:r w:rsidRPr="006314BE">
        <w:rPr>
          <w:rFonts w:ascii="Palatino Linotype" w:eastAsia="Palatino Linotype" w:hAnsi="Palatino Linotype" w:cs="Palatino Linotype"/>
          <w:b/>
          <w:color w:val="000000" w:themeColor="text1"/>
        </w:rPr>
        <w:t xml:space="preserve"> ORDENA </w:t>
      </w:r>
      <w:r w:rsidRPr="006314BE">
        <w:rPr>
          <w:rFonts w:ascii="Palatino Linotype" w:eastAsia="Palatino Linotype" w:hAnsi="Palatino Linotype" w:cs="Palatino Linotype"/>
          <w:color w:val="000000" w:themeColor="text1"/>
        </w:rPr>
        <w:t xml:space="preserve">entregar vía Sistema de Accesos a la Información Mexiquense </w:t>
      </w:r>
      <w:r w:rsidRPr="006314BE">
        <w:rPr>
          <w:rFonts w:ascii="Palatino Linotype" w:eastAsia="Palatino Linotype" w:hAnsi="Palatino Linotype" w:cs="Palatino Linotype"/>
          <w:b/>
          <w:color w:val="000000" w:themeColor="text1"/>
        </w:rPr>
        <w:t>(SAIMEX)</w:t>
      </w:r>
      <w:r w:rsidR="008E07E1" w:rsidRPr="006314BE">
        <w:rPr>
          <w:rFonts w:ascii="Palatino Linotype" w:eastAsia="Palatino Linotype" w:hAnsi="Palatino Linotype" w:cs="Palatino Linotype"/>
          <w:color w:val="000000" w:themeColor="text1"/>
        </w:rPr>
        <w:t>, lo siguiente:</w:t>
      </w:r>
    </w:p>
    <w:p w:rsidR="008E07E1" w:rsidRPr="006314BE" w:rsidRDefault="008E07E1" w:rsidP="00C05318">
      <w:pPr>
        <w:tabs>
          <w:tab w:val="left" w:pos="0"/>
        </w:tabs>
        <w:spacing w:before="240" w:after="240"/>
        <w:jc w:val="both"/>
        <w:rPr>
          <w:rFonts w:ascii="Palatino Linotype" w:eastAsia="Palatino Linotype" w:hAnsi="Palatino Linotype" w:cs="Palatino Linotype"/>
          <w:color w:val="000000" w:themeColor="text1"/>
        </w:rPr>
      </w:pPr>
    </w:p>
    <w:p w:rsidR="008E07E1" w:rsidRPr="006314BE" w:rsidRDefault="00ED74BD" w:rsidP="00C05318">
      <w:pPr>
        <w:pStyle w:val="Prrafodelista"/>
        <w:numPr>
          <w:ilvl w:val="0"/>
          <w:numId w:val="9"/>
        </w:numPr>
        <w:pBdr>
          <w:top w:val="nil"/>
          <w:left w:val="nil"/>
          <w:bottom w:val="nil"/>
          <w:right w:val="nil"/>
          <w:between w:val="nil"/>
        </w:pBdr>
        <w:tabs>
          <w:tab w:val="left" w:pos="0"/>
          <w:tab w:val="left" w:pos="993"/>
        </w:tabs>
        <w:spacing w:line="360" w:lineRule="auto"/>
        <w:ind w:left="567" w:firstLine="0"/>
        <w:jc w:val="both"/>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b/>
          <w:color w:val="000000" w:themeColor="text1"/>
        </w:rPr>
        <w:t>Acuerdo emitido por el Comité de Tran</w:t>
      </w:r>
      <w:r w:rsidR="008E07E1" w:rsidRPr="006314BE">
        <w:rPr>
          <w:rFonts w:ascii="Palatino Linotype" w:eastAsia="Palatino Linotype" w:hAnsi="Palatino Linotype" w:cs="Palatino Linotype"/>
          <w:b/>
          <w:color w:val="000000" w:themeColor="text1"/>
        </w:rPr>
        <w:t xml:space="preserve">sparencia, en el que clasifique </w:t>
      </w:r>
      <w:r w:rsidRPr="006314BE">
        <w:rPr>
          <w:rFonts w:ascii="Palatino Linotype" w:eastAsia="Palatino Linotype" w:hAnsi="Palatino Linotype" w:cs="Palatino Linotype"/>
          <w:b/>
          <w:color w:val="000000" w:themeColor="text1"/>
        </w:rPr>
        <w:t xml:space="preserve">como confidencial </w:t>
      </w:r>
      <w:r w:rsidR="008E07E1" w:rsidRPr="006314BE">
        <w:rPr>
          <w:rFonts w:ascii="Palatino Linotype" w:hAnsi="Palatino Linotype"/>
          <w:b/>
          <w:color w:val="000000" w:themeColor="text1"/>
        </w:rPr>
        <w:t>el Padrón de Beneficiarios del Programa de Desarrollo Social “Niñez Indígena con Bienestar” de 2024.</w:t>
      </w:r>
    </w:p>
    <w:p w:rsidR="00411F95" w:rsidRPr="006314BE" w:rsidRDefault="00411F95" w:rsidP="00C05318">
      <w:pPr>
        <w:tabs>
          <w:tab w:val="left" w:pos="0"/>
          <w:tab w:val="left" w:pos="8080"/>
        </w:tabs>
        <w:spacing w:before="240"/>
        <w:jc w:val="both"/>
        <w:rPr>
          <w:rFonts w:ascii="Palatino Linotype" w:eastAsia="Palatino Linotype" w:hAnsi="Palatino Linotype" w:cs="Palatino Linotype"/>
          <w:b/>
          <w:color w:val="000000" w:themeColor="text1"/>
        </w:rPr>
      </w:pPr>
    </w:p>
    <w:p w:rsidR="00433271" w:rsidRPr="006314BE" w:rsidRDefault="00433271" w:rsidP="00C05318">
      <w:pPr>
        <w:tabs>
          <w:tab w:val="left" w:pos="0"/>
          <w:tab w:val="left" w:pos="8080"/>
        </w:tabs>
        <w:spacing w:before="240"/>
        <w:jc w:val="both"/>
        <w:rPr>
          <w:rFonts w:ascii="Palatino Linotype" w:eastAsia="Palatino Linotype" w:hAnsi="Palatino Linotype" w:cs="Palatino Linotype"/>
          <w:b/>
          <w:color w:val="000000" w:themeColor="text1"/>
        </w:rPr>
      </w:pPr>
    </w:p>
    <w:p w:rsidR="00411F95" w:rsidRPr="006314BE" w:rsidRDefault="00411F95" w:rsidP="00C05318">
      <w:pPr>
        <w:tabs>
          <w:tab w:val="left" w:pos="0"/>
          <w:tab w:val="left" w:pos="808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b/>
          <w:color w:val="000000" w:themeColor="text1"/>
        </w:rPr>
        <w:t xml:space="preserve">TERCERO. Notifíquese </w:t>
      </w:r>
      <w:r w:rsidR="00433271" w:rsidRPr="006314BE">
        <w:rPr>
          <w:rFonts w:ascii="Palatino Linotype" w:eastAsia="Palatino Linotype" w:hAnsi="Palatino Linotype" w:cs="Palatino Linotype"/>
          <w:color w:val="000000" w:themeColor="text1"/>
        </w:rPr>
        <w:t>l</w:t>
      </w:r>
      <w:r w:rsidRPr="006314BE">
        <w:rPr>
          <w:rFonts w:ascii="Palatino Linotype" w:eastAsia="Palatino Linotype" w:hAnsi="Palatino Linotype" w:cs="Palatino Linotype"/>
          <w:color w:val="000000" w:themeColor="text1"/>
        </w:rPr>
        <w:t xml:space="preserve">a presente resolución al Titular de la Unidad de Transparencia del </w:t>
      </w:r>
      <w:r w:rsidRPr="006314BE">
        <w:rPr>
          <w:rFonts w:ascii="Palatino Linotype" w:eastAsia="Palatino Linotype" w:hAnsi="Palatino Linotype" w:cs="Palatino Linotype"/>
          <w:b/>
          <w:color w:val="000000" w:themeColor="text1"/>
        </w:rPr>
        <w:t>SUJETO OBLIGADO</w:t>
      </w:r>
      <w:r w:rsidR="00433271" w:rsidRPr="006314BE">
        <w:rPr>
          <w:rFonts w:ascii="Palatino Linotype" w:eastAsia="Palatino Linotype" w:hAnsi="Palatino Linotype" w:cs="Palatino Linotype"/>
          <w:b/>
          <w:color w:val="000000" w:themeColor="text1"/>
        </w:rPr>
        <w:t xml:space="preserve"> </w:t>
      </w:r>
      <w:r w:rsidR="00433271" w:rsidRPr="006314BE">
        <w:rPr>
          <w:rFonts w:ascii="Palatino Linotype" w:eastAsia="Times New Roman" w:hAnsi="Palatino Linotype" w:cs="Times New Roman"/>
          <w:color w:val="000000" w:themeColor="text1"/>
          <w:lang w:val="es-MX"/>
        </w:rPr>
        <w:t>vía SAIMEX</w:t>
      </w:r>
      <w:r w:rsidRPr="006314BE">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6314BE">
        <w:rPr>
          <w:rFonts w:ascii="Palatino Linotype" w:eastAsia="Palatino Linotype" w:hAnsi="Palatino Linotype" w:cs="Palatino Linotype"/>
          <w:b/>
          <w:color w:val="000000" w:themeColor="text1"/>
        </w:rPr>
        <w:t>dé cumplimiento a lo ordenado dentro del plazo de</w:t>
      </w:r>
      <w:r w:rsidRPr="006314BE">
        <w:rPr>
          <w:rFonts w:ascii="Palatino Linotype" w:eastAsia="Palatino Linotype" w:hAnsi="Palatino Linotype" w:cs="Palatino Linotype"/>
          <w:color w:val="000000" w:themeColor="text1"/>
        </w:rPr>
        <w:t xml:space="preserve"> </w:t>
      </w:r>
      <w:r w:rsidRPr="006314BE">
        <w:rPr>
          <w:rFonts w:ascii="Palatino Linotype" w:eastAsia="Palatino Linotype" w:hAnsi="Palatino Linotype" w:cs="Palatino Linotype"/>
          <w:b/>
          <w:color w:val="000000" w:themeColor="text1"/>
        </w:rPr>
        <w:t>diez días hábiles</w:t>
      </w:r>
      <w:r w:rsidRPr="006314B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69A9" w:rsidRPr="006314BE" w:rsidRDefault="007769A9" w:rsidP="00C05318">
      <w:pPr>
        <w:tabs>
          <w:tab w:val="left" w:pos="0"/>
          <w:tab w:val="left" w:pos="8080"/>
        </w:tabs>
        <w:spacing w:line="360" w:lineRule="auto"/>
        <w:jc w:val="both"/>
        <w:rPr>
          <w:rFonts w:ascii="Palatino Linotype" w:eastAsia="Palatino Linotype" w:hAnsi="Palatino Linotype" w:cs="Palatino Linotype"/>
          <w:color w:val="000000" w:themeColor="text1"/>
        </w:rPr>
      </w:pPr>
    </w:p>
    <w:p w:rsidR="00433271" w:rsidRPr="006314BE" w:rsidRDefault="00433271" w:rsidP="00C05318">
      <w:pPr>
        <w:tabs>
          <w:tab w:val="left" w:pos="0"/>
          <w:tab w:val="left" w:pos="8080"/>
        </w:tabs>
        <w:spacing w:line="360" w:lineRule="auto"/>
        <w:jc w:val="both"/>
        <w:rPr>
          <w:rFonts w:ascii="Palatino Linotype" w:eastAsia="Palatino Linotype" w:hAnsi="Palatino Linotype" w:cs="Palatino Linotype"/>
          <w:color w:val="000000" w:themeColor="text1"/>
        </w:rPr>
      </w:pPr>
    </w:p>
    <w:p w:rsidR="00433271" w:rsidRPr="006314BE" w:rsidRDefault="00411F95" w:rsidP="006314BE">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6314BE">
        <w:rPr>
          <w:rFonts w:ascii="Palatino Linotype" w:eastAsia="Palatino Linotype" w:hAnsi="Palatino Linotype" w:cs="Palatino Linotype"/>
          <w:b/>
          <w:color w:val="000000" w:themeColor="text1"/>
        </w:rPr>
        <w:lastRenderedPageBreak/>
        <w:t>CUARTO. Notifíquese al RECURRENTE</w:t>
      </w:r>
      <w:r w:rsidRPr="006314BE">
        <w:rPr>
          <w:rFonts w:ascii="Palatino Linotype" w:eastAsia="Palatino Linotype" w:hAnsi="Palatino Linotype" w:cs="Palatino Linotype"/>
          <w:color w:val="000000" w:themeColor="text1"/>
        </w:rPr>
        <w:t xml:space="preserve"> la presente resolución vía </w:t>
      </w:r>
      <w:r w:rsidRPr="006314BE">
        <w:rPr>
          <w:rFonts w:ascii="Palatino Linotype" w:eastAsia="Palatino Linotype" w:hAnsi="Palatino Linotype" w:cs="Palatino Linotype"/>
          <w:b/>
          <w:color w:val="000000" w:themeColor="text1"/>
        </w:rPr>
        <w:t>SAIMEX.</w:t>
      </w:r>
    </w:p>
    <w:p w:rsidR="00433271" w:rsidRPr="006314BE" w:rsidRDefault="00411F95" w:rsidP="00C05318">
      <w:pPr>
        <w:tabs>
          <w:tab w:val="left" w:pos="0"/>
        </w:tabs>
        <w:spacing w:before="240" w:after="240"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b/>
          <w:color w:val="000000" w:themeColor="text1"/>
        </w:rPr>
        <w:t>QUINTO.</w:t>
      </w:r>
      <w:r w:rsidRPr="006314BE">
        <w:rPr>
          <w:rFonts w:ascii="Palatino Linotype" w:eastAsia="Palatino Linotype" w:hAnsi="Palatino Linotype" w:cs="Palatino Linotype"/>
          <w:color w:val="000000" w:themeColor="text1"/>
        </w:rPr>
        <w:t xml:space="preserve"> Se hace del conocimiento del </w:t>
      </w:r>
      <w:r w:rsidRPr="006314BE">
        <w:rPr>
          <w:rFonts w:ascii="Palatino Linotype" w:eastAsia="Palatino Linotype" w:hAnsi="Palatino Linotype" w:cs="Palatino Linotype"/>
          <w:b/>
          <w:color w:val="000000" w:themeColor="text1"/>
        </w:rPr>
        <w:t>RECURRENTE</w:t>
      </w:r>
      <w:r w:rsidRPr="006314B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769A9" w:rsidRPr="006314BE" w:rsidRDefault="00411F95" w:rsidP="00C05318">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6314BE">
        <w:rPr>
          <w:rFonts w:ascii="Palatino Linotype" w:eastAsia="Palatino Linotype" w:hAnsi="Palatino Linotype" w:cs="Palatino Linotype"/>
          <w:b/>
          <w:color w:val="000000" w:themeColor="text1"/>
        </w:rPr>
        <w:t xml:space="preserve">SEXTO. </w:t>
      </w:r>
      <w:r w:rsidRPr="006314BE">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314BE" w:rsidRPr="006314BE" w:rsidRDefault="006314BE" w:rsidP="00C05318">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242AD7" w:rsidRPr="00C05318" w:rsidRDefault="006314BE"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bookmarkStart w:id="15" w:name="_heading=h.n4vrv79blwje" w:colFirst="0" w:colLast="0"/>
      <w:bookmarkEnd w:id="15"/>
      <w:r w:rsidRPr="006314BE">
        <w:rPr>
          <w:rFonts w:ascii="Palatino Linotype" w:eastAsia="Palatino Linotype" w:hAnsi="Palatino Linotype" w:cs="Palatino Linotype"/>
          <w:color w:val="000000" w:themeColor="text1"/>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6314BE">
        <w:rPr>
          <w:rFonts w:ascii="Palatino Linotype" w:eastAsia="Palatino Linotype" w:hAnsi="Palatino Linotype" w:cs="Palatino Linotype"/>
          <w:color w:val="000000" w:themeColor="text1"/>
        </w:rPr>
        <w:t xml:space="preserve">(AUSENCIA JUSTIFICADA) </w:t>
      </w:r>
      <w:r w:rsidRPr="006314BE">
        <w:rPr>
          <w:rFonts w:ascii="Palatino Linotype" w:eastAsia="Palatino Linotype" w:hAnsi="Palatino Linotype" w:cs="Palatino Linotype"/>
          <w:color w:val="000000" w:themeColor="text1"/>
          <w:lang w:eastAsia="es-ES"/>
        </w:rPr>
        <w:t>Y GUADALUPE RAMÍREZ PEÑA; EN LA DÉCIMA NOVENA SESIÓN ORDINARIA, CELEBRADA EL VEINTIOCHO (28) DE MAYO DE DOS MIL VEINTICINCO, ANTE EL SECRETARIO TÉCNICO DEL PLENO ALEXIS TAPIA RAMÍREZ.</w:t>
      </w:r>
      <w:bookmarkStart w:id="16" w:name="_GoBack"/>
      <w:bookmarkEnd w:id="16"/>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Pr="00C05318" w:rsidRDefault="00242AD7" w:rsidP="00C05318">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242AD7" w:rsidRDefault="00242AD7"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433271" w:rsidRPr="00C05318" w:rsidRDefault="00433271" w:rsidP="00C05318">
      <w:pPr>
        <w:tabs>
          <w:tab w:val="left" w:pos="0"/>
        </w:tabs>
        <w:spacing w:line="360" w:lineRule="auto"/>
        <w:jc w:val="both"/>
        <w:rPr>
          <w:rFonts w:ascii="Palatino Linotype" w:eastAsia="Palatino Linotype" w:hAnsi="Palatino Linotype" w:cs="Palatino Linotype"/>
          <w:color w:val="000000" w:themeColor="text1"/>
        </w:rPr>
      </w:pPr>
    </w:p>
    <w:p w:rsidR="00242AD7" w:rsidRPr="00C05318" w:rsidRDefault="00242AD7" w:rsidP="00C05318">
      <w:pPr>
        <w:pStyle w:val="Ttulo2"/>
        <w:tabs>
          <w:tab w:val="left" w:pos="0"/>
        </w:tabs>
        <w:spacing w:before="0" w:line="360" w:lineRule="auto"/>
        <w:rPr>
          <w:szCs w:val="24"/>
        </w:rPr>
      </w:pPr>
    </w:p>
    <w:sectPr w:rsidR="00242AD7" w:rsidRPr="00C05318" w:rsidSect="00C05318">
      <w:headerReference w:type="default" r:id="rId17"/>
      <w:footerReference w:type="default" r:id="rId18"/>
      <w:headerReference w:type="first" r:id="rId19"/>
      <w:footerReference w:type="first" r:id="rId20"/>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929" w:rsidRDefault="00A71929">
      <w:r>
        <w:separator/>
      </w:r>
    </w:p>
  </w:endnote>
  <w:endnote w:type="continuationSeparator" w:id="0">
    <w:p w:rsidR="00A71929" w:rsidRDefault="00A7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swiss"/>
    <w:notTrueType/>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BD" w:rsidRDefault="00ED74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314BE">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314BE">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p>
  <w:p w:rsidR="00ED74BD" w:rsidRDefault="00ED74B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ED74BD" w:rsidRDefault="00ED74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BD" w:rsidRDefault="00ED74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14B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14BE">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p w:rsidR="00ED74BD" w:rsidRDefault="00ED74B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ED74BD" w:rsidRDefault="00ED74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929" w:rsidRDefault="00A71929">
      <w:r>
        <w:separator/>
      </w:r>
    </w:p>
  </w:footnote>
  <w:footnote w:type="continuationSeparator" w:id="0">
    <w:p w:rsidR="00A71929" w:rsidRDefault="00A71929">
      <w:r>
        <w:continuationSeparator/>
      </w:r>
    </w:p>
  </w:footnote>
  <w:footnote w:id="1">
    <w:p w:rsidR="00ED74BD" w:rsidRDefault="00ED74BD" w:rsidP="00144CF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D74BD" w:rsidRDefault="00ED74BD" w:rsidP="00144CF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D74BD" w:rsidRDefault="00ED74BD" w:rsidP="00144CF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D74BD" w:rsidRDefault="00ED74BD" w:rsidP="00144CF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w:t>
      </w:r>
      <w:proofErr w:type="spellStart"/>
      <w:r>
        <w:rPr>
          <w:rFonts w:ascii="Calibri" w:eastAsia="Calibri" w:hAnsi="Calibri" w:cs="Calibri"/>
          <w:color w:val="000000"/>
          <w:sz w:val="20"/>
          <w:szCs w:val="20"/>
        </w:rPr>
        <w:t>Parr</w:t>
      </w:r>
      <w:proofErr w:type="spellEnd"/>
      <w:r>
        <w:rPr>
          <w:rFonts w:ascii="Calibri" w:eastAsia="Calibri" w:hAnsi="Calibri" w:cs="Calibri"/>
          <w:color w:val="000000"/>
          <w:sz w:val="20"/>
          <w:szCs w:val="20"/>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BD" w:rsidRDefault="00ED74BD">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-876825</wp:posOffset>
          </wp:positionH>
          <wp:positionV relativeFrom="paragraph">
            <wp:posOffset>-421000</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6649"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ED74BD" w:rsidRPr="00C05318" w:rsidTr="00C05318">
      <w:trPr>
        <w:trHeight w:val="138"/>
      </w:trPr>
      <w:tc>
        <w:tcPr>
          <w:tcW w:w="2734" w:type="dxa"/>
          <w:vAlign w:val="center"/>
        </w:tcPr>
        <w:p w:rsidR="00ED74BD" w:rsidRPr="00C05318" w:rsidRDefault="00ED74BD" w:rsidP="00C05318">
          <w:pPr>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Recurso de Revisión:</w:t>
          </w:r>
        </w:p>
      </w:tc>
      <w:tc>
        <w:tcPr>
          <w:tcW w:w="3915" w:type="dxa"/>
          <w:vAlign w:val="center"/>
        </w:tcPr>
        <w:p w:rsidR="00ED74BD" w:rsidRPr="00C05318" w:rsidRDefault="00ED74BD" w:rsidP="00C0531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C05318">
            <w:rPr>
              <w:rFonts w:ascii="Palatino Linotype" w:eastAsia="Palatino Linotype" w:hAnsi="Palatino Linotype" w:cs="Palatino Linotype"/>
              <w:color w:val="000000"/>
              <w:sz w:val="24"/>
              <w:szCs w:val="24"/>
            </w:rPr>
            <w:t>01003/INFOEM/IP/RR/2025</w:t>
          </w:r>
        </w:p>
      </w:tc>
    </w:tr>
    <w:tr w:rsidR="00ED74BD" w:rsidRPr="00C05318" w:rsidTr="00C05318">
      <w:trPr>
        <w:trHeight w:val="321"/>
      </w:trPr>
      <w:tc>
        <w:tcPr>
          <w:tcW w:w="2734" w:type="dxa"/>
          <w:vAlign w:val="center"/>
        </w:tcPr>
        <w:p w:rsidR="00ED74BD" w:rsidRDefault="00ED74BD" w:rsidP="00C05318">
          <w:pPr>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Sujeto Obligado:</w:t>
          </w:r>
        </w:p>
        <w:p w:rsidR="00C05318" w:rsidRDefault="00C05318" w:rsidP="00C05318">
          <w:pPr>
            <w:jc w:val="right"/>
            <w:rPr>
              <w:rFonts w:ascii="Palatino Linotype" w:eastAsia="Palatino Linotype" w:hAnsi="Palatino Linotype" w:cs="Palatino Linotype"/>
              <w:b/>
              <w:sz w:val="24"/>
              <w:szCs w:val="24"/>
            </w:rPr>
          </w:pPr>
        </w:p>
        <w:p w:rsidR="00C05318" w:rsidRPr="00C05318" w:rsidRDefault="00C05318" w:rsidP="00C05318">
          <w:pPr>
            <w:jc w:val="right"/>
            <w:rPr>
              <w:rFonts w:ascii="Palatino Linotype" w:eastAsia="Palatino Linotype" w:hAnsi="Palatino Linotype" w:cs="Palatino Linotype"/>
              <w:b/>
              <w:sz w:val="24"/>
              <w:szCs w:val="24"/>
            </w:rPr>
          </w:pPr>
        </w:p>
      </w:tc>
      <w:tc>
        <w:tcPr>
          <w:tcW w:w="3915" w:type="dxa"/>
          <w:vAlign w:val="center"/>
        </w:tcPr>
        <w:p w:rsidR="00ED74BD" w:rsidRPr="00C05318" w:rsidRDefault="00ED74BD" w:rsidP="00C05318">
          <w:pPr>
            <w:rPr>
              <w:rFonts w:ascii="Palatino Linotype" w:eastAsia="Palatino Linotype" w:hAnsi="Palatino Linotype" w:cs="Palatino Linotype"/>
              <w:sz w:val="24"/>
              <w:szCs w:val="24"/>
            </w:rPr>
          </w:pPr>
          <w:r w:rsidRPr="00C05318">
            <w:rPr>
              <w:rFonts w:ascii="Palatino Linotype" w:eastAsia="Palatino Linotype" w:hAnsi="Palatino Linotype" w:cs="Palatino Linotype"/>
              <w:sz w:val="24"/>
              <w:szCs w:val="24"/>
            </w:rPr>
            <w:t>Consejo Estatal para el Desarrollo Integral de Los Pueblos Indígenas del Estado de México</w:t>
          </w:r>
        </w:p>
      </w:tc>
    </w:tr>
    <w:tr w:rsidR="00ED74BD" w:rsidRPr="00C05318" w:rsidTr="00C05318">
      <w:trPr>
        <w:trHeight w:val="321"/>
      </w:trPr>
      <w:tc>
        <w:tcPr>
          <w:tcW w:w="2734" w:type="dxa"/>
          <w:vAlign w:val="center"/>
        </w:tcPr>
        <w:p w:rsidR="00ED74BD" w:rsidRPr="00C05318" w:rsidRDefault="00ED74BD" w:rsidP="00C05318">
          <w:pPr>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Comisionada Ponente:</w:t>
          </w:r>
        </w:p>
      </w:tc>
      <w:tc>
        <w:tcPr>
          <w:tcW w:w="3915" w:type="dxa"/>
          <w:vAlign w:val="center"/>
        </w:tcPr>
        <w:p w:rsidR="00ED74BD" w:rsidRPr="00C05318" w:rsidRDefault="00ED74BD" w:rsidP="00C0531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C05318">
            <w:rPr>
              <w:rFonts w:ascii="Palatino Linotype" w:eastAsia="Palatino Linotype" w:hAnsi="Palatino Linotype" w:cs="Palatino Linotype"/>
              <w:color w:val="000000"/>
              <w:sz w:val="24"/>
              <w:szCs w:val="24"/>
            </w:rPr>
            <w:t>María del Rosario Mejía Ayala</w:t>
          </w:r>
        </w:p>
      </w:tc>
    </w:tr>
  </w:tbl>
  <w:p w:rsidR="00ED74BD" w:rsidRDefault="00ED74BD">
    <w:pPr>
      <w:pBdr>
        <w:top w:val="nil"/>
        <w:left w:val="nil"/>
        <w:bottom w:val="nil"/>
        <w:right w:val="nil"/>
        <w:between w:val="nil"/>
      </w:pBdr>
      <w:tabs>
        <w:tab w:val="center" w:pos="4252"/>
        <w:tab w:val="right" w:pos="8504"/>
      </w:tabs>
      <w:rPr>
        <w:color w:val="000000"/>
      </w:rPr>
    </w:pPr>
  </w:p>
  <w:p w:rsidR="00ED74BD" w:rsidRDefault="00ED74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BD" w:rsidRDefault="00C05318">
    <w:pPr>
      <w:rPr>
        <w:color w:val="000000"/>
      </w:rPr>
    </w:pPr>
    <w:r>
      <w:rPr>
        <w:noProof/>
        <w:lang w:val="es-MX"/>
      </w:rPr>
      <w:drawing>
        <wp:anchor distT="0" distB="0" distL="0" distR="0" simplePos="0" relativeHeight="251659264" behindDoc="1" locked="0" layoutInCell="1" hidden="0" allowOverlap="1">
          <wp:simplePos x="0" y="0"/>
          <wp:positionH relativeFrom="column">
            <wp:posOffset>-854075</wp:posOffset>
          </wp:positionH>
          <wp:positionV relativeFrom="paragraph">
            <wp:posOffset>-432435</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rsidR="00ED74BD">
      <w:rPr>
        <w:color w:val="000000"/>
      </w:rPr>
      <w:tab/>
    </w:r>
    <w:r w:rsidR="00ED74BD">
      <w:rPr>
        <w:color w:val="000000"/>
      </w:rPr>
      <w:tab/>
    </w:r>
  </w:p>
  <w:tbl>
    <w:tblPr>
      <w:tblStyle w:val="a9"/>
      <w:tblW w:w="6775"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C05318" w:rsidRPr="00C05318" w:rsidTr="00C05318">
      <w:trPr>
        <w:trHeight w:val="138"/>
      </w:trPr>
      <w:tc>
        <w:tcPr>
          <w:tcW w:w="2725" w:type="dxa"/>
          <w:vAlign w:val="center"/>
        </w:tcPr>
        <w:p w:rsidR="00C05318" w:rsidRPr="00C05318" w:rsidRDefault="00C05318" w:rsidP="00C05318">
          <w:pPr>
            <w:ind w:right="-108"/>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Recurso de Revisión:</w:t>
          </w:r>
        </w:p>
      </w:tc>
      <w:tc>
        <w:tcPr>
          <w:tcW w:w="4050" w:type="dxa"/>
          <w:vAlign w:val="center"/>
        </w:tcPr>
        <w:p w:rsidR="00C05318" w:rsidRPr="00C05318" w:rsidRDefault="00C05318" w:rsidP="00C05318">
          <w:pPr>
            <w:pBdr>
              <w:top w:val="nil"/>
              <w:left w:val="nil"/>
              <w:bottom w:val="nil"/>
              <w:right w:val="nil"/>
              <w:between w:val="nil"/>
            </w:pBdr>
            <w:tabs>
              <w:tab w:val="center" w:pos="4252"/>
              <w:tab w:val="right" w:pos="8504"/>
            </w:tabs>
            <w:ind w:left="33" w:right="-73"/>
            <w:rPr>
              <w:rFonts w:ascii="Palatino Linotype" w:eastAsia="Palatino Linotype" w:hAnsi="Palatino Linotype" w:cs="Palatino Linotype"/>
              <w:color w:val="000000"/>
              <w:sz w:val="24"/>
              <w:szCs w:val="24"/>
            </w:rPr>
          </w:pPr>
          <w:r w:rsidRPr="00C05318">
            <w:rPr>
              <w:rFonts w:ascii="Palatino Linotype" w:eastAsia="Palatino Linotype" w:hAnsi="Palatino Linotype" w:cs="Palatino Linotype"/>
              <w:color w:val="000000"/>
              <w:sz w:val="24"/>
              <w:szCs w:val="24"/>
            </w:rPr>
            <w:t>01003/INFOEM/IP/RR/2025</w:t>
          </w:r>
        </w:p>
      </w:tc>
    </w:tr>
    <w:tr w:rsidR="00C05318" w:rsidRPr="00C05318" w:rsidTr="00C05318">
      <w:trPr>
        <w:trHeight w:val="227"/>
      </w:trPr>
      <w:tc>
        <w:tcPr>
          <w:tcW w:w="2725" w:type="dxa"/>
          <w:vAlign w:val="center"/>
        </w:tcPr>
        <w:p w:rsidR="00C05318" w:rsidRPr="00C05318" w:rsidRDefault="00C05318" w:rsidP="00C05318">
          <w:pPr>
            <w:ind w:right="-108"/>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Recurrente:</w:t>
          </w:r>
        </w:p>
      </w:tc>
      <w:tc>
        <w:tcPr>
          <w:tcW w:w="4050" w:type="dxa"/>
          <w:vAlign w:val="center"/>
        </w:tcPr>
        <w:p w:rsidR="00C05318" w:rsidRPr="00C05318" w:rsidRDefault="00C05318" w:rsidP="00C05318">
          <w:pPr>
            <w:pBdr>
              <w:top w:val="nil"/>
              <w:left w:val="nil"/>
              <w:bottom w:val="nil"/>
              <w:right w:val="nil"/>
              <w:between w:val="nil"/>
            </w:pBdr>
            <w:tabs>
              <w:tab w:val="center" w:pos="4252"/>
              <w:tab w:val="right" w:pos="8504"/>
            </w:tabs>
            <w:ind w:left="33" w:right="-73"/>
            <w:rPr>
              <w:rFonts w:ascii="Palatino Linotype" w:eastAsia="Palatino Linotype" w:hAnsi="Palatino Linotype" w:cs="Palatino Linotype"/>
              <w:color w:val="000000"/>
              <w:sz w:val="24"/>
              <w:szCs w:val="24"/>
            </w:rPr>
          </w:pPr>
        </w:p>
      </w:tc>
    </w:tr>
    <w:tr w:rsidR="00C05318" w:rsidRPr="00C05318" w:rsidTr="00C05318">
      <w:trPr>
        <w:trHeight w:val="232"/>
      </w:trPr>
      <w:tc>
        <w:tcPr>
          <w:tcW w:w="2725" w:type="dxa"/>
          <w:vAlign w:val="center"/>
        </w:tcPr>
        <w:p w:rsidR="00C05318" w:rsidRDefault="00C05318" w:rsidP="00C05318">
          <w:pPr>
            <w:ind w:right="-108"/>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Sujeto Obligado:</w:t>
          </w:r>
        </w:p>
        <w:p w:rsidR="00C05318" w:rsidRDefault="00C05318" w:rsidP="00C05318">
          <w:pPr>
            <w:ind w:right="-108"/>
            <w:jc w:val="right"/>
            <w:rPr>
              <w:rFonts w:ascii="Palatino Linotype" w:eastAsia="Palatino Linotype" w:hAnsi="Palatino Linotype" w:cs="Palatino Linotype"/>
              <w:b/>
              <w:sz w:val="24"/>
              <w:szCs w:val="24"/>
            </w:rPr>
          </w:pPr>
        </w:p>
        <w:p w:rsidR="00C05318" w:rsidRPr="00C05318" w:rsidRDefault="00C05318" w:rsidP="00C05318">
          <w:pPr>
            <w:ind w:right="-108"/>
            <w:jc w:val="right"/>
            <w:rPr>
              <w:rFonts w:ascii="Palatino Linotype" w:eastAsia="Palatino Linotype" w:hAnsi="Palatino Linotype" w:cs="Palatino Linotype"/>
              <w:b/>
              <w:sz w:val="24"/>
              <w:szCs w:val="24"/>
            </w:rPr>
          </w:pPr>
        </w:p>
      </w:tc>
      <w:tc>
        <w:tcPr>
          <w:tcW w:w="4050" w:type="dxa"/>
          <w:vAlign w:val="center"/>
        </w:tcPr>
        <w:p w:rsidR="00C05318" w:rsidRPr="00C05318" w:rsidRDefault="00C05318" w:rsidP="00C05318">
          <w:pPr>
            <w:ind w:left="33" w:right="-73"/>
            <w:rPr>
              <w:sz w:val="24"/>
              <w:szCs w:val="24"/>
            </w:rPr>
          </w:pPr>
          <w:r w:rsidRPr="00C05318">
            <w:rPr>
              <w:rFonts w:ascii="Palatino Linotype" w:eastAsia="Palatino Linotype" w:hAnsi="Palatino Linotype" w:cs="Palatino Linotype"/>
              <w:sz w:val="24"/>
              <w:szCs w:val="24"/>
            </w:rPr>
            <w:t>Consejo Estatal para el Desarrollo Integral de Los Pueblos Indígenas del Estado de México</w:t>
          </w:r>
        </w:p>
      </w:tc>
    </w:tr>
    <w:tr w:rsidR="00C05318" w:rsidRPr="00C05318" w:rsidTr="00C05318">
      <w:trPr>
        <w:trHeight w:val="320"/>
      </w:trPr>
      <w:tc>
        <w:tcPr>
          <w:tcW w:w="2725" w:type="dxa"/>
          <w:vAlign w:val="center"/>
        </w:tcPr>
        <w:p w:rsidR="00C05318" w:rsidRPr="00C05318" w:rsidRDefault="00C05318" w:rsidP="00C05318">
          <w:pPr>
            <w:ind w:right="-108"/>
            <w:jc w:val="right"/>
            <w:rPr>
              <w:rFonts w:ascii="Palatino Linotype" w:eastAsia="Palatino Linotype" w:hAnsi="Palatino Linotype" w:cs="Palatino Linotype"/>
              <w:b/>
              <w:sz w:val="24"/>
              <w:szCs w:val="24"/>
            </w:rPr>
          </w:pPr>
          <w:r w:rsidRPr="00C05318">
            <w:rPr>
              <w:rFonts w:ascii="Palatino Linotype" w:eastAsia="Palatino Linotype" w:hAnsi="Palatino Linotype" w:cs="Palatino Linotype"/>
              <w:b/>
              <w:sz w:val="24"/>
              <w:szCs w:val="24"/>
            </w:rPr>
            <w:t>Comisionada Ponente:</w:t>
          </w:r>
        </w:p>
      </w:tc>
      <w:tc>
        <w:tcPr>
          <w:tcW w:w="4050" w:type="dxa"/>
          <w:vAlign w:val="center"/>
        </w:tcPr>
        <w:p w:rsidR="00C05318" w:rsidRPr="00C05318" w:rsidRDefault="00C05318" w:rsidP="00C05318">
          <w:pPr>
            <w:pBdr>
              <w:top w:val="nil"/>
              <w:left w:val="nil"/>
              <w:bottom w:val="nil"/>
              <w:right w:val="nil"/>
              <w:between w:val="nil"/>
            </w:pBdr>
            <w:tabs>
              <w:tab w:val="center" w:pos="4252"/>
              <w:tab w:val="right" w:pos="8504"/>
            </w:tabs>
            <w:ind w:left="33" w:right="-73"/>
            <w:rPr>
              <w:rFonts w:ascii="Palatino Linotype" w:eastAsia="Palatino Linotype" w:hAnsi="Palatino Linotype" w:cs="Palatino Linotype"/>
              <w:color w:val="000000"/>
              <w:sz w:val="24"/>
              <w:szCs w:val="24"/>
            </w:rPr>
          </w:pPr>
          <w:r w:rsidRPr="00C05318">
            <w:rPr>
              <w:rFonts w:ascii="Palatino Linotype" w:eastAsia="Palatino Linotype" w:hAnsi="Palatino Linotype" w:cs="Palatino Linotype"/>
              <w:color w:val="000000"/>
              <w:sz w:val="24"/>
              <w:szCs w:val="24"/>
            </w:rPr>
            <w:t>María del Rosario Mejía Ayala</w:t>
          </w:r>
        </w:p>
      </w:tc>
    </w:tr>
  </w:tbl>
  <w:p w:rsidR="00ED74BD" w:rsidRDefault="00ED74BD">
    <w:pPr>
      <w:pBdr>
        <w:top w:val="nil"/>
        <w:left w:val="nil"/>
        <w:bottom w:val="nil"/>
        <w:right w:val="nil"/>
        <w:between w:val="nil"/>
      </w:pBdr>
      <w:tabs>
        <w:tab w:val="center" w:pos="4252"/>
        <w:tab w:val="right" w:pos="8504"/>
      </w:tabs>
      <w:rPr>
        <w:color w:val="000000"/>
      </w:rPr>
    </w:pPr>
  </w:p>
  <w:p w:rsidR="00ED74BD" w:rsidRDefault="00ED74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286A27D8"/>
    <w:multiLevelType w:val="multilevel"/>
    <w:tmpl w:val="80D878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3478D"/>
    <w:multiLevelType w:val="multilevel"/>
    <w:tmpl w:val="86025E0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863BD5"/>
    <w:multiLevelType w:val="multilevel"/>
    <w:tmpl w:val="260875CE"/>
    <w:lvl w:ilvl="0">
      <w:start w:val="1"/>
      <w:numFmt w:val="lowerLetter"/>
      <w:lvlText w:val="%1)"/>
      <w:lvlJc w:val="left"/>
      <w:pPr>
        <w:ind w:left="860" w:hanging="360"/>
      </w:p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4">
    <w:nsid w:val="2B6F0E37"/>
    <w:multiLevelType w:val="hybridMultilevel"/>
    <w:tmpl w:val="1E146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421468B"/>
    <w:multiLevelType w:val="hybridMultilevel"/>
    <w:tmpl w:val="0F801A7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54980263"/>
    <w:multiLevelType w:val="multilevel"/>
    <w:tmpl w:val="7DF6BF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26324C"/>
    <w:multiLevelType w:val="multilevel"/>
    <w:tmpl w:val="B9FA29C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7"/>
  </w:num>
  <w:num w:numId="4">
    <w:abstractNumId w:val="5"/>
  </w:num>
  <w:num w:numId="5">
    <w:abstractNumId w:val="0"/>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D7"/>
    <w:rsid w:val="00144CFB"/>
    <w:rsid w:val="001D3B44"/>
    <w:rsid w:val="00210A9D"/>
    <w:rsid w:val="00242AD7"/>
    <w:rsid w:val="00342FE2"/>
    <w:rsid w:val="00411F95"/>
    <w:rsid w:val="00433271"/>
    <w:rsid w:val="00525EBD"/>
    <w:rsid w:val="006314BE"/>
    <w:rsid w:val="00676C5A"/>
    <w:rsid w:val="007769A9"/>
    <w:rsid w:val="007801A3"/>
    <w:rsid w:val="007C3533"/>
    <w:rsid w:val="008006E9"/>
    <w:rsid w:val="008318BC"/>
    <w:rsid w:val="008E07E1"/>
    <w:rsid w:val="00936A83"/>
    <w:rsid w:val="00A71929"/>
    <w:rsid w:val="00C05318"/>
    <w:rsid w:val="00D47BBF"/>
    <w:rsid w:val="00E07C6C"/>
    <w:rsid w:val="00EB0775"/>
    <w:rsid w:val="00ED74BD"/>
    <w:rsid w:val="00F60FED"/>
    <w:rsid w:val="00F95253"/>
    <w:rsid w:val="00FB0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9B678E-8FB7-4E89-BDEC-78C22ED6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table" w:customStyle="1" w:styleId="2">
    <w:name w:val="2"/>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1">
    <w:name w:val="1"/>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0" w:type="dxa"/>
        <w:bottom w:w="0" w:type="dxa"/>
        <w:right w:w="0"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3">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a7">
    <w:basedOn w:val="TableNormal1"/>
    <w:rPr>
      <w:sz w:val="22"/>
      <w:szCs w:val="22"/>
    </w:rPr>
    <w:tblPr>
      <w:tblStyleRowBandSize w:val="1"/>
      <w:tblStyleColBandSize w:val="1"/>
      <w:tblCellMar>
        <w:top w:w="0" w:type="dxa"/>
        <w:left w:w="108" w:type="dxa"/>
        <w:bottom w:w="0" w:type="dxa"/>
        <w:right w:w="108" w:type="dxa"/>
      </w:tblCellMar>
    </w:tblPr>
  </w:style>
  <w:style w:type="table" w:customStyle="1" w:styleId="a8">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9">
    <w:basedOn w:val="TableNormal0"/>
    <w:rPr>
      <w:sz w:val="22"/>
      <w:szCs w:val="22"/>
    </w:rPr>
    <w:tblPr>
      <w:tblStyleRowBandSize w:val="1"/>
      <w:tblStyleColBandSize w:val="1"/>
      <w:tblCellMar>
        <w:top w:w="0" w:type="dxa"/>
        <w:left w:w="108" w:type="dxa"/>
        <w:bottom w:w="0" w:type="dxa"/>
        <w:right w:w="108" w:type="dxa"/>
      </w:tblCellMar>
    </w:tblPr>
  </w:style>
  <w:style w:type="paragraph" w:customStyle="1" w:styleId="CitasINFOEM">
    <w:name w:val="Citas INFOEM"/>
    <w:basedOn w:val="Normal"/>
    <w:qFormat/>
    <w:rsid w:val="00210A9D"/>
    <w:pPr>
      <w:spacing w:before="240" w:after="160" w:line="360" w:lineRule="auto"/>
      <w:ind w:left="851" w:right="851"/>
      <w:jc w:val="both"/>
    </w:pPr>
    <w:rPr>
      <w:rFonts w:ascii="Palatino Linotype" w:eastAsia="Times New Roman" w:hAnsi="Palatino Linotype" w:cs="Times New Roman"/>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25187.page" TargetMode="External"/><Relationship Id="rId13" Type="http://schemas.openxmlformats.org/officeDocument/2006/relationships/hyperlink" Target="https://saimex.org.mx/saimex/solicitud/downloadAttach/2325192.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25191.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aimex.org.mx/saimex/solicitud/downloadAttach/2325195.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25190.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2325194.page" TargetMode="External"/><Relationship Id="rId10" Type="http://schemas.openxmlformats.org/officeDocument/2006/relationships/hyperlink" Target="https://saimex.org.mx/saimex/solicitud/downloadAttach/232518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2325188.page" TargetMode="External"/><Relationship Id="rId14" Type="http://schemas.openxmlformats.org/officeDocument/2006/relationships/hyperlink" Target="https://saimex.org.mx/saimex/solicitud/downloadAttach/232519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A3Ezzmag+JyWrDy+80/e7+jTg==">CgMxLjAyDmguc3JlOWgwNXE0djBiMghoLmdqZGd4czIJaC4zMGowemxsMgloLjFmb2I5dGUyCWguM3pueXNoNzIJaC4yZXQ5MnAwMghoLnR5amN3dDIJaC4zZHk2dmttMgloLjF0M2g1c2YyDmguaGk0MnVwdGV5MWNsMg5oLm40dnJ2NzlibHdqZTgAciExTjdHeVdYODFma1ZHRk9WYlpOUW9DWk4xSW4tUGw0R1M=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6638</Words>
  <Characters>36511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INFOEM416</cp:lastModifiedBy>
  <cp:revision>12</cp:revision>
  <cp:lastPrinted>2025-05-30T16:33:00Z</cp:lastPrinted>
  <dcterms:created xsi:type="dcterms:W3CDTF">2025-05-27T00:25:00Z</dcterms:created>
  <dcterms:modified xsi:type="dcterms:W3CDTF">2025-05-30T16:33:00Z</dcterms:modified>
</cp:coreProperties>
</file>