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b w:val="1"/>
          <w:sz w:val="22"/>
          <w:szCs w:val="22"/>
        </w:rPr>
      </w:pPr>
      <w:bookmarkStart w:colFirst="0" w:colLast="0" w:name="_heading=h.1fob9te"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w:t>
      </w:r>
      <w:r w:rsidDel="00000000" w:rsidR="00000000" w:rsidRPr="00000000">
        <w:rPr>
          <w:rFonts w:ascii="Palatino Linotype" w:cs="Palatino Linotype" w:eastAsia="Palatino Linotype" w:hAnsi="Palatino Linotype"/>
          <w:b w:val="1"/>
          <w:sz w:val="22"/>
          <w:szCs w:val="22"/>
          <w:rtl w:val="0"/>
        </w:rPr>
        <w:t xml:space="preserve">a seis de marzo de dos mil veinticinco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tl w:val="0"/>
        </w:rPr>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sz w:val="22"/>
          <w:szCs w:val="22"/>
        </w:rPr>
      </w:pPr>
      <w:bookmarkStart w:colFirst="0" w:colLast="0" w:name="_heading=h.4d34og8" w:id="1"/>
      <w:bookmarkEnd w:id="1"/>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sz w:val="22"/>
          <w:szCs w:val="22"/>
          <w:rtl w:val="0"/>
        </w:rPr>
        <w:t xml:space="preserve">00404/INFOEM/IP/RR/2025</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sz w:val="22"/>
          <w:szCs w:val="22"/>
          <w:rtl w:val="0"/>
        </w:rPr>
        <w:t xml:space="preserve">XXXXX XXXXXXX XXXXXX,</w:t>
      </w:r>
      <w:r w:rsidDel="00000000" w:rsidR="00000000" w:rsidRPr="00000000">
        <w:rPr>
          <w:rFonts w:ascii="Palatino Linotype" w:cs="Palatino Linotype" w:eastAsia="Palatino Linotype" w:hAnsi="Palatino Linotype"/>
          <w:sz w:val="22"/>
          <w:szCs w:val="22"/>
          <w:rtl w:val="0"/>
        </w:rPr>
        <w:t xml:space="preserve"> en lo sucesivo</w:t>
      </w:r>
      <w:r w:rsidDel="00000000" w:rsidR="00000000" w:rsidRPr="00000000">
        <w:rPr>
          <w:rFonts w:ascii="Palatino Linotype" w:cs="Palatino Linotype" w:eastAsia="Palatino Linotype" w:hAnsi="Palatino Linotype"/>
          <w:b w:val="1"/>
          <w:sz w:val="22"/>
          <w:szCs w:val="22"/>
          <w:rtl w:val="0"/>
        </w:rPr>
        <w:t xml:space="preserve"> 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su solicitud por parte del </w:t>
      </w:r>
      <w:r w:rsidDel="00000000" w:rsidR="00000000" w:rsidRPr="00000000">
        <w:rPr>
          <w:rFonts w:ascii="Palatino Linotype" w:cs="Palatino Linotype" w:eastAsia="Palatino Linotype" w:hAnsi="Palatino Linotype"/>
          <w:b w:val="1"/>
          <w:sz w:val="22"/>
          <w:szCs w:val="22"/>
          <w:rtl w:val="0"/>
        </w:rPr>
        <w:t xml:space="preserve">Colegio de Bachilleres del Estado de México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diecisiete de diciembre de dos mil veinticuatro,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 en lo subsecuente el SAIMEX, formuló ante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solicitud de acceso a la información pública a la que se le asignó el número </w:t>
      </w:r>
      <w:r w:rsidDel="00000000" w:rsidR="00000000" w:rsidRPr="00000000">
        <w:rPr>
          <w:rFonts w:ascii="Palatino Linotype" w:cs="Palatino Linotype" w:eastAsia="Palatino Linotype" w:hAnsi="Palatino Linotype"/>
          <w:b w:val="1"/>
          <w:sz w:val="22"/>
          <w:szCs w:val="22"/>
          <w:rtl w:val="0"/>
        </w:rPr>
        <w:t xml:space="preserve">00182/COBAEM/IP/2024, </w:t>
      </w:r>
      <w:r w:rsidDel="00000000" w:rsidR="00000000" w:rsidRPr="00000000">
        <w:rPr>
          <w:rFonts w:ascii="Palatino Linotype" w:cs="Palatino Linotype" w:eastAsia="Palatino Linotype" w:hAnsi="Palatino Linotype"/>
          <w:sz w:val="22"/>
          <w:szCs w:val="22"/>
          <w:rtl w:val="0"/>
        </w:rPr>
        <w:t xml:space="preserve">mediante la cual, medularmente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requirió la información siguiente: </w:t>
      </w:r>
    </w:p>
    <w:p w:rsidR="00000000" w:rsidDel="00000000" w:rsidP="00000000" w:rsidRDefault="00000000" w:rsidRPr="00000000" w14:paraId="00000005">
      <w:pPr>
        <w:spacing w:after="240" w:before="240" w:line="360" w:lineRule="auto"/>
        <w:jc w:val="both"/>
        <w:rPr>
          <w:rFonts w:ascii="Palatino Linotype" w:cs="Palatino Linotype" w:eastAsia="Palatino Linotype" w:hAnsi="Palatino Linotype"/>
          <w:i w:val="1"/>
          <w:sz w:val="22"/>
          <w:szCs w:val="22"/>
        </w:rPr>
      </w:pPr>
      <w:bookmarkStart w:colFirst="0" w:colLast="0" w:name="_heading=h.gjdgxs" w:id="2"/>
      <w:bookmarkEnd w:id="2"/>
      <w:r w:rsidDel="00000000" w:rsidR="00000000" w:rsidRPr="00000000">
        <w:rPr>
          <w:rFonts w:ascii="Palatino Linotype" w:cs="Palatino Linotype" w:eastAsia="Palatino Linotype" w:hAnsi="Palatino Linotype"/>
          <w:sz w:val="22"/>
          <w:szCs w:val="22"/>
          <w:rtl w:val="0"/>
        </w:rPr>
        <w:t xml:space="preserve">De una servidora pública cuyo nombre es Teresa Lemus Fuentes, adscrita a un plantel del Colegio de Bachilleres del Estado de México, en relación con el Anexo de Ejecución 0236/2024 celebrado entre el Ejecutivo Federal, Gobierno del Estado de México y el Colegio de Bachilleres, el diez de enero del dos mil veinticuatro, que incluye el Apartado Analítico de servicios personales 2024, plazas, horas y sueldos autorizados, se requiere la siguiente información: </w:t>
      </w: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11"/>
        </w:tabs>
        <w:spacing w:after="0" w:before="120" w:line="360" w:lineRule="auto"/>
        <w:ind w:left="771" w:right="0"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Monto total individualizado asignado a la plaza del servidor público, como ingreso bruto, que debió y debo percibir en el ejercicio 2024;</w:t>
      </w:r>
    </w:p>
    <w:p w:rsidR="00000000" w:rsidDel="00000000" w:rsidP="00000000" w:rsidRDefault="00000000" w:rsidRPr="00000000" w14:paraId="000000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11"/>
        </w:tabs>
        <w:spacing w:after="0" w:before="0" w:line="360" w:lineRule="auto"/>
        <w:ind w:left="771" w:right="0"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Monto detallado anual que debió aplicarse por concepto tanto de percepciones como de deducciones -cuyos conceptos se precisaron en cada caso, respecto del ejercicio 2024-.</w:t>
      </w:r>
    </w:p>
    <w:p w:rsidR="00000000" w:rsidDel="00000000" w:rsidP="00000000" w:rsidRDefault="00000000" w:rsidRPr="00000000" w14:paraId="0000000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11"/>
        </w:tabs>
        <w:spacing w:after="120" w:before="0" w:line="360" w:lineRule="auto"/>
        <w:ind w:left="771" w:right="0"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En caso de que exista diferencia salarial entre lo autorizado en el Anexo de Ejecución y lo que realmente se ha pagado en 2024, se informe el monto que dejó de percibir el servidor público y los conceptos, en los cuales se aplicó la deducción.</w:t>
      </w:r>
    </w:p>
    <w:p w:rsidR="00000000" w:rsidDel="00000000" w:rsidP="00000000" w:rsidRDefault="00000000" w:rsidRPr="00000000" w14:paraId="0000000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Adjunto a la solicitud, la persona solicitante adjuntó el Anexo “B” del Anexo de Ejecución / Apoyo Financiero 2024 SEMS-EL COBAEM-MÉXICO 0236/24, relativo al Analítico de servicios personales 2024, plazas, horas y sueldos autorizados, a que se hace referencia en la solicitud.</w:t>
      </w:r>
    </w:p>
    <w:p w:rsidR="00000000" w:rsidDel="00000000" w:rsidP="00000000" w:rsidRDefault="00000000" w:rsidRPr="00000000" w14:paraId="0000000A">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de Entrega:</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(SAIMEX) y correo electrónico.</w:t>
      </w:r>
    </w:p>
    <w:p w:rsidR="00000000" w:rsidDel="00000000" w:rsidP="00000000" w:rsidRDefault="00000000" w:rsidRPr="00000000" w14:paraId="0000000B">
      <w:pPr>
        <w:pBdr>
          <w:top w:space="0" w:sz="0" w:val="nil"/>
          <w:left w:space="0" w:sz="0" w:val="nil"/>
          <w:bottom w:space="0" w:sz="0" w:val="nil"/>
          <w:right w:space="0" w:sz="0" w:val="nil"/>
          <w:between w:space="0" w:sz="0" w:val="nil"/>
        </w:pBdr>
        <w:tabs>
          <w:tab w:val="left" w:leader="none" w:pos="142"/>
          <w:tab w:val="left" w:leader="none" w:pos="284"/>
        </w:tabs>
        <w:spacing w:after="240" w:before="240" w:line="360" w:lineRule="auto"/>
        <w:jc w:val="both"/>
        <w:rPr>
          <w:rFonts w:ascii="Palatino Linotype" w:cs="Palatino Linotype" w:eastAsia="Palatino Linotype" w:hAnsi="Palatino Linotype"/>
          <w:b w:val="1"/>
          <w:sz w:val="22"/>
          <w:szCs w:val="22"/>
        </w:rPr>
      </w:pPr>
      <w:bookmarkStart w:colFirst="0" w:colLast="0" w:name="_heading=h.3dy6vkm" w:id="3"/>
      <w:bookmarkEnd w:id="3"/>
      <w:r w:rsidDel="00000000" w:rsidR="00000000" w:rsidRPr="00000000">
        <w:rPr>
          <w:rFonts w:ascii="Palatino Linotype" w:cs="Palatino Linotype" w:eastAsia="Palatino Linotype" w:hAnsi="Palatino Linotype"/>
          <w:b w:val="1"/>
          <w:sz w:val="22"/>
          <w:szCs w:val="22"/>
          <w:rtl w:val="0"/>
        </w:rPr>
        <w:t xml:space="preserve">2.</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Respuesta.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diecisiete de enero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envió su respuesta a la solicitud de acceso a la información a través de SAIMEX, sustancialmente en los términos siguientes:</w:t>
      </w:r>
      <w:r w:rsidDel="00000000" w:rsidR="00000000" w:rsidRPr="00000000">
        <w:rPr>
          <w:rtl w:val="0"/>
        </w:rPr>
      </w:r>
    </w:p>
    <w:p w:rsidR="00000000" w:rsidDel="00000000" w:rsidP="00000000" w:rsidRDefault="00000000" w:rsidRPr="00000000" w14:paraId="0000000C">
      <w:pPr>
        <w:spacing w:after="16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adjunta oficio 228C0701040001L/0038/2025, signado por la Lic. Julia Leticia Domínguez bustos, Jefa del Departamento de Recursos Humanos, a través del cual se da respuesta a la información solicitada.” (Sic)</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Adjunto a la respuesta,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hizo entrega del archivo electrónico denominado “</w:t>
      </w:r>
      <w:r w:rsidDel="00000000" w:rsidR="00000000" w:rsidRPr="00000000">
        <w:rPr>
          <w:rFonts w:ascii="Palatino Linotype" w:cs="Palatino Linotype" w:eastAsia="Palatino Linotype" w:hAnsi="Palatino Linotype"/>
          <w:b w:val="1"/>
          <w:i w:val="1"/>
          <w:sz w:val="22"/>
          <w:szCs w:val="22"/>
          <w:rtl w:val="0"/>
        </w:rPr>
        <w:t xml:space="preserve">182.pdf</w:t>
      </w:r>
      <w:r w:rsidDel="00000000" w:rsidR="00000000" w:rsidRPr="00000000">
        <w:rPr>
          <w:rFonts w:ascii="Palatino Linotype" w:cs="Palatino Linotype" w:eastAsia="Palatino Linotype" w:hAnsi="Palatino Linotype"/>
          <w:sz w:val="22"/>
          <w:szCs w:val="22"/>
          <w:rtl w:val="0"/>
        </w:rPr>
        <w:t xml:space="preserve">” que contiene la siguiente información: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F">
      <w:pPr>
        <w:numPr>
          <w:ilvl w:val="0"/>
          <w:numId w:val="7"/>
        </w:numPr>
        <w:pBdr>
          <w:top w:space="0" w:sz="0" w:val="nil"/>
          <w:left w:space="0" w:sz="0" w:val="nil"/>
          <w:bottom w:space="0" w:sz="0" w:val="nil"/>
          <w:right w:space="0" w:sz="0" w:val="nil"/>
          <w:between w:space="0" w:sz="0" w:val="nil"/>
        </w:pBdr>
        <w:spacing w:line="360" w:lineRule="auto"/>
        <w:ind w:left="36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número 228C0701040001L/0038/2025 del 15 de enero de 2025, a través del cual la Jefa del Departamento de Recursos Humanos informó, que con relación a la solicitud de información, informaba que de acuerdo con los conceptos establecidos en la misma, no es posible determinar algún otro instrumento de análisis y comparativo de las percepciones y deducciones del solicitante; sin embargo, indicó que remitía los montos de percepciones y deducciones acumulados durante el ejercicio 2024 a nombre de la servidora pública señalada en la solicitud; proporcionando en dos tablas de contenido, conceptos y montos de las percepciones y deducciones acumulados respecto del servidor público en el ejercicio 2024.</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76" w:lineRule="auto"/>
        <w:ind w:left="36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sz w:val="22"/>
          <w:szCs w:val="22"/>
          <w:rtl w:val="0"/>
        </w:rPr>
        <w:t xml:space="preserve"> treinta y uno de enero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a través de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donde se manifestó de la siguiente manera:</w:t>
      </w:r>
      <w:r w:rsidDel="00000000" w:rsidR="00000000" w:rsidRPr="00000000">
        <w:rPr>
          <w:rtl w:val="0"/>
        </w:rPr>
      </w:r>
    </w:p>
    <w:p w:rsidR="00000000" w:rsidDel="00000000" w:rsidP="00000000" w:rsidRDefault="00000000" w:rsidRPr="00000000" w14:paraId="00000012">
      <w:pPr>
        <w:spacing w:after="240" w:before="240" w:line="276" w:lineRule="auto"/>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a) Acto impugnado: </w:t>
      </w:r>
      <w:r w:rsidDel="00000000" w:rsidR="00000000" w:rsidRPr="00000000">
        <w:rPr>
          <w:rFonts w:ascii="Palatino Linotype" w:cs="Palatino Linotype" w:eastAsia="Palatino Linotype" w:hAnsi="Palatino Linotype"/>
          <w:i w:val="1"/>
          <w:sz w:val="22"/>
          <w:szCs w:val="22"/>
          <w:rtl w:val="0"/>
        </w:rPr>
        <w:t xml:space="preserve">“Oficio de respuesta suscrito por Julia Leticia Domínguez Bustos, Jefa del Departamento de Recursos Humanos que recayó a esta solicitud y por el cual se está presentando el presente Recurso de Revisión EN TIEMPO Y FORMA.” (Sic)</w:t>
      </w:r>
    </w:p>
    <w:p w:rsidR="00000000" w:rsidDel="00000000" w:rsidP="00000000" w:rsidRDefault="00000000" w:rsidRPr="00000000" w14:paraId="00000013">
      <w:pPr>
        <w:spacing w:line="276" w:lineRule="auto"/>
        <w:ind w:left="567" w:right="900" w:firstLine="0"/>
        <w:jc w:val="both"/>
        <w:rPr>
          <w:rFonts w:ascii="Palatino Linotype" w:cs="Palatino Linotype" w:eastAsia="Palatino Linotype" w:hAnsi="Palatino Linotype"/>
          <w:i w:val="1"/>
          <w:sz w:val="22"/>
          <w:szCs w:val="22"/>
        </w:rPr>
      </w:pPr>
      <w:bookmarkStart w:colFirst="0" w:colLast="0" w:name="_heading=h.30j0zll" w:id="4"/>
      <w:bookmarkEnd w:id="4"/>
      <w:r w:rsidDel="00000000" w:rsidR="00000000" w:rsidRPr="00000000">
        <w:rPr>
          <w:rFonts w:ascii="Palatino Linotype" w:cs="Palatino Linotype" w:eastAsia="Palatino Linotype" w:hAnsi="Palatino Linotype"/>
          <w:b w:val="1"/>
          <w:sz w:val="22"/>
          <w:szCs w:val="22"/>
          <w:rtl w:val="0"/>
        </w:rPr>
        <w:t xml:space="preserve">b) Razones o motivos de inconformidad</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“Es improcedente y totalmente contrario a derecho y a las constancias procesales, lo argumentado por la autoridad, en el oficio al que da respuesta, donde manifiesta: "...No es posible determinar algún otro instrumento de análisis y comparativo de percepciones y deducciones, sin embargo, remito a Usted los montos de percepción y deducción acumulados durante el ejercicio fiscal 2024..." </w:t>
      </w:r>
      <w:r w:rsidDel="00000000" w:rsidR="00000000" w:rsidRPr="00000000">
        <w:rPr>
          <w:rFonts w:ascii="Palatino Linotype" w:cs="Palatino Linotype" w:eastAsia="Palatino Linotype" w:hAnsi="Palatino Linotype"/>
          <w:b w:val="1"/>
          <w:i w:val="1"/>
          <w:sz w:val="22"/>
          <w:szCs w:val="22"/>
          <w:rtl w:val="0"/>
        </w:rPr>
        <w:t xml:space="preserve">Con dicha respuesta, no da contestación, a mi solicitud en el sentido de que, se me informara el ingreso bruto anualizado que me correspondía percibir, por el año 2024 en términos del "Anexo de Ejecución que celebró el Ejecutivo Federal, con Gobierno del Estado de México, donde le asistió la Secretaria de Finanzas y el Colegio de Bachilleres del Estado de México de fecha 10 de enero 2024." Por lo tanto SÍ tiene un instrumento base de análisis donde puede obtener el comparativo solicitado , que es el anterior mencionado, y que además el Colegio de Bachilleres suscribió,</w:t>
      </w:r>
      <w:r w:rsidDel="00000000" w:rsidR="00000000" w:rsidRPr="00000000">
        <w:rPr>
          <w:rFonts w:ascii="Palatino Linotype" w:cs="Palatino Linotype" w:eastAsia="Palatino Linotype" w:hAnsi="Palatino Linotype"/>
          <w:i w:val="1"/>
          <w:sz w:val="22"/>
          <w:szCs w:val="22"/>
          <w:rtl w:val="0"/>
        </w:rPr>
        <w:t xml:space="preserve"> Por lo cual del Anexo mencionado puede obtener, el total de las aportaciones tanto federal como estatal, asignados para el pago de las plazas, determinar cuál era el monto real por mi plaza anualizado y que me correspondía, y en virtud de que ya dio respuesta al monto que sí percibí por el año 2024, que la propia autoridad plasma en la respuesta de fecha 15 de enero 2025, me informe cuanto es el ingreso bruto anualizado correspondiente a mi plaza que debí recibir, la diferencia que deje de percibir, en términos de dicho Anexo, en el que, se insiste, el COLEGIO DE BACHILLERES, FUE PARTE SUSTANCIAL en este acuerdo, ENTRE EL GOBIERNO DEL ESTADO EN SU CALIDAD DE UN ENTE DE GOBIERNO Y EL GOBIERNO FEDERAL, POR LO TANTO NO ES VALIDA SU RESPUESTA AL UNICAMENTE ARGUMENTAR QUE NO TIENE ELEMENTOS, PUES AL SUSCRIBIR UN CONVENIO FEDERAL, QUEDA SUPEDITADA A SU CUMPLIMIENTO Y POR LO TANTO TIENE LAS HERRRAMIETNAS Y EL CONOCIMIENTO DE LOS MONTOS, QUE DEBEN DE PAGAR” (Sic)</w:t>
      </w:r>
    </w:p>
    <w:p w:rsidR="00000000" w:rsidDel="00000000" w:rsidP="00000000" w:rsidRDefault="00000000" w:rsidRPr="00000000" w14:paraId="00000014">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5">
      <w:pPr>
        <w:spacing w:after="16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Adjunto al formato de interposición del recurso de revisión, el particular entregó un archivo electrónico denominado “</w:t>
      </w:r>
      <w:r w:rsidDel="00000000" w:rsidR="00000000" w:rsidRPr="00000000">
        <w:rPr>
          <w:rFonts w:ascii="Palatino Linotype" w:cs="Palatino Linotype" w:eastAsia="Palatino Linotype" w:hAnsi="Palatino Linotype"/>
          <w:b w:val="1"/>
          <w:i w:val="1"/>
          <w:sz w:val="22"/>
          <w:szCs w:val="22"/>
          <w:rtl w:val="0"/>
        </w:rPr>
        <w:t xml:space="preserve">15_ANEXO DE EJECUCION MEXICO 0236_24.pdf</w:t>
      </w:r>
      <w:r w:rsidDel="00000000" w:rsidR="00000000" w:rsidRPr="00000000">
        <w:rPr>
          <w:rFonts w:ascii="Palatino Linotype" w:cs="Palatino Linotype" w:eastAsia="Palatino Linotype" w:hAnsi="Palatino Linotype"/>
          <w:sz w:val="22"/>
          <w:szCs w:val="22"/>
          <w:rtl w:val="0"/>
        </w:rPr>
        <w:t xml:space="preserve">”, que contiene el Anexo de Ejecución/ Apoyo Financiero 2024 que celebran el Ejecutivo Federal, por conducto de la Secretaría de Educación Pública, el Gobierno del Estado Libre y Soberano de México, por conducto de la Gobernadora, asistida de la Secretaria de Finanzas; y, el Colegio de Bachilleres del Estado de México, por conducto de su Director General, celebrado el 10 de enero de 2024; y, sus respectivos apartados A y B.</w:t>
      </w:r>
    </w:p>
    <w:p w:rsidR="00000000" w:rsidDel="00000000" w:rsidP="00000000" w:rsidRDefault="00000000" w:rsidRPr="00000000" w14:paraId="00000016">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7">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18">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5. Admisión del Recurso de revisión.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seis de febrero de dos mil veinticinco,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presentara su informe justificado.</w:t>
      </w:r>
    </w:p>
    <w:p w:rsidR="00000000" w:rsidDel="00000000" w:rsidP="00000000" w:rsidRDefault="00000000" w:rsidRPr="00000000" w14:paraId="0000001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bookmarkStart w:colFirst="0" w:colLast="0" w:name="_heading=h.2s8eyo1" w:id="5"/>
      <w:bookmarkEnd w:id="5"/>
      <w:r w:rsidDel="00000000" w:rsidR="00000000" w:rsidRPr="00000000">
        <w:rPr>
          <w:rFonts w:ascii="Palatino Linotype" w:cs="Palatino Linotype" w:eastAsia="Palatino Linotype" w:hAnsi="Palatino Linotype"/>
          <w:b w:val="1"/>
          <w:sz w:val="22"/>
          <w:szCs w:val="22"/>
          <w:rtl w:val="0"/>
        </w:rPr>
        <w:t xml:space="preserve">6. Manifestaciones</w:t>
      </w:r>
      <w:r w:rsidDel="00000000" w:rsidR="00000000" w:rsidRPr="00000000">
        <w:rPr>
          <w:rFonts w:ascii="Palatino Linotype" w:cs="Palatino Linotype" w:eastAsia="Palatino Linotype" w:hAnsi="Palatino Linotype"/>
          <w:sz w:val="22"/>
          <w:szCs w:val="22"/>
          <w:rtl w:val="0"/>
        </w:rPr>
        <w:t xml:space="preserve">. De las constancias que integran el expediente en que se actúa se advierte que durante el periodo de manifestaciones,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catorce de febrero de dos mil veinticinco</w:t>
      </w:r>
      <w:r w:rsidDel="00000000" w:rsidR="00000000" w:rsidRPr="00000000">
        <w:rPr>
          <w:rFonts w:ascii="Palatino Linotype" w:cs="Palatino Linotype" w:eastAsia="Palatino Linotype" w:hAnsi="Palatino Linotype"/>
          <w:sz w:val="22"/>
          <w:szCs w:val="22"/>
          <w:rtl w:val="0"/>
        </w:rPr>
        <w:t xml:space="preserve"> rindió su informe justificado a través del archivo electrónico denominado “</w:t>
      </w:r>
      <w:r w:rsidDel="00000000" w:rsidR="00000000" w:rsidRPr="00000000">
        <w:rPr>
          <w:rFonts w:ascii="Palatino Linotype" w:cs="Palatino Linotype" w:eastAsia="Palatino Linotype" w:hAnsi="Palatino Linotype"/>
          <w:b w:val="1"/>
          <w:i w:val="1"/>
          <w:sz w:val="22"/>
          <w:szCs w:val="22"/>
          <w:rtl w:val="0"/>
        </w:rPr>
        <w:t xml:space="preserve">OFICIO 063 RECURSO 404 DE SOLICITUD 182.pdf</w:t>
      </w:r>
      <w:r w:rsidDel="00000000" w:rsidR="00000000" w:rsidRPr="00000000">
        <w:rPr>
          <w:rFonts w:ascii="Palatino Linotype" w:cs="Palatino Linotype" w:eastAsia="Palatino Linotype" w:hAnsi="Palatino Linotype"/>
          <w:sz w:val="22"/>
          <w:szCs w:val="22"/>
          <w:rtl w:val="0"/>
        </w:rPr>
        <w:t xml:space="preserve">”, que contiene la información siguiente:</w:t>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D">
      <w:pPr>
        <w:numPr>
          <w:ilvl w:val="0"/>
          <w:numId w:val="6"/>
        </w:numPr>
        <w:pBdr>
          <w:top w:space="0" w:sz="0" w:val="nil"/>
          <w:left w:space="0" w:sz="0" w:val="nil"/>
          <w:bottom w:space="0" w:sz="0" w:val="nil"/>
          <w:right w:space="0" w:sz="0" w:val="nil"/>
          <w:between w:space="0" w:sz="0" w:val="nil"/>
        </w:pBdr>
        <w:tabs>
          <w:tab w:val="left" w:leader="none" w:pos="426"/>
        </w:tabs>
        <w:spacing w:line="276" w:lineRule="auto"/>
        <w:ind w:left="36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número 228C0701040001L/0038/2025 del 15 de enero de 2025, signado por la Jefa del Departamento de Recursos Humanos; mismo que fue remitido en respuesta.</w:t>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426"/>
        </w:tabs>
        <w:spacing w:line="276" w:lineRule="auto"/>
        <w:ind w:left="36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36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228C0701020001L/063/2025 del 13 de febrero de 2025, a través del cual el Jefe del Departamento de Planeación y Programación y Titular de la Unidad de Transparencia indica que rinde informe justificado dentro del medio de impugnación de nuestra atención.</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36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426" w:right="49" w:hanging="426"/>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número 228C0701040001L/0345/2025 del 12 de febrero de 2025, a través del cual la Encargada del Despacho del Departamento de Recursos Humanos informó al servidor público respecto del cual se pide la información, que se ha dado puntual respuesta a su petición con el oficio entregado en respuesta.</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36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Documentos que no se pusieron a la vista de </w:t>
      </w:r>
      <w:r w:rsidDel="00000000" w:rsidR="00000000" w:rsidRPr="00000000">
        <w:rPr>
          <w:rFonts w:ascii="Palatino Linotype" w:cs="Palatino Linotype" w:eastAsia="Palatino Linotype" w:hAnsi="Palatino Linotype"/>
          <w:b w:val="1"/>
          <w:sz w:val="22"/>
          <w:szCs w:val="22"/>
          <w:rtl w:val="0"/>
        </w:rPr>
        <w:t xml:space="preserve">la parte Recurrente </w:t>
      </w:r>
      <w:r w:rsidDel="00000000" w:rsidR="00000000" w:rsidRPr="00000000">
        <w:rPr>
          <w:rFonts w:ascii="Palatino Linotype" w:cs="Palatino Linotype" w:eastAsia="Palatino Linotype" w:hAnsi="Palatino Linotype"/>
          <w:sz w:val="22"/>
          <w:szCs w:val="22"/>
          <w:rtl w:val="0"/>
        </w:rPr>
        <w:t xml:space="preserve">en virtud de que en el archivo a través del cual fueron remitidos se entregó un oficio con datos personales de índole confidencial que debieron protegerse, como más adelante se detallara. </w:t>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lado,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fue omisa en rendir alegatos o manifestaciones que conforme a derecho resultaran procedentes.</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7. Reconducción de Vía y prevención. </w:t>
      </w:r>
      <w:r w:rsidDel="00000000" w:rsidR="00000000" w:rsidRPr="00000000">
        <w:rPr>
          <w:rFonts w:ascii="Palatino Linotype" w:cs="Palatino Linotype" w:eastAsia="Palatino Linotype" w:hAnsi="Palatino Linotype"/>
          <w:sz w:val="22"/>
          <w:szCs w:val="22"/>
          <w:rtl w:val="0"/>
        </w:rPr>
        <w:t xml:space="preserve">En fechas </w:t>
      </w:r>
      <w:r w:rsidDel="00000000" w:rsidR="00000000" w:rsidRPr="00000000">
        <w:rPr>
          <w:rFonts w:ascii="Palatino Linotype" w:cs="Palatino Linotype" w:eastAsia="Palatino Linotype" w:hAnsi="Palatino Linotype"/>
          <w:b w:val="1"/>
          <w:sz w:val="22"/>
          <w:szCs w:val="22"/>
          <w:rtl w:val="0"/>
        </w:rPr>
        <w:t xml:space="preserve">doce y diecinueve de febrero de dos mil veinticinco, </w:t>
      </w:r>
      <w:r w:rsidDel="00000000" w:rsidR="00000000" w:rsidRPr="00000000">
        <w:rPr>
          <w:rFonts w:ascii="Palatino Linotype" w:cs="Palatino Linotype" w:eastAsia="Palatino Linotype" w:hAnsi="Palatino Linotype"/>
          <w:sz w:val="22"/>
          <w:szCs w:val="22"/>
          <w:rtl w:val="0"/>
        </w:rPr>
        <w:t xml:space="preserve">este Organismo Garante, vía SAIMEX y correo electrónico, respectivamente, notificó a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la reconducción de la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vía, al ejercicio de Derechos ARCO (Acceso, Rectificación, Cancelación y Oposición de datos personales), en términos del artículo 112, párrafo segundo de la Ley de Protección de Datos Personales en Posesión de Sujetos Obligados del Estado de México y Municipios, al advertir que prende ejercer el derecho de acceso a datos personales en términos de lo contemplado en el artículo 98 de la Ley de Protección de Datos Personales en Posesión de Sujetos Obligados del Estado de México y Municipios, en representación de la persona titular de los datos personales.</w:t>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8">
      <w:pPr>
        <w:spacing w:line="360" w:lineRule="auto"/>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sz w:val="22"/>
          <w:szCs w:val="22"/>
          <w:rtl w:val="0"/>
        </w:rPr>
        <w:t xml:space="preserve">Asimismo, se previno a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para que en un término no mayor a cinco días hábiles, contados a partir del día hábil siguiente a la fecha de notificación, </w:t>
      </w:r>
      <w:r w:rsidDel="00000000" w:rsidR="00000000" w:rsidRPr="00000000">
        <w:rPr>
          <w:rFonts w:ascii="Palatino Linotype" w:cs="Palatino Linotype" w:eastAsia="Palatino Linotype" w:hAnsi="Palatino Linotype"/>
          <w:b w:val="1"/>
          <w:sz w:val="22"/>
          <w:szCs w:val="22"/>
          <w:u w:val="single"/>
          <w:rtl w:val="0"/>
        </w:rPr>
        <w:t xml:space="preserve">subsanara la omisión de acreditar su identidad y representación, así como la identidad de la persona titular de los datos personales sobre los cuales se pretende ejercer el Derecho de Acceso.</w:t>
      </w:r>
    </w:p>
    <w:p w:rsidR="00000000" w:rsidDel="00000000" w:rsidP="00000000" w:rsidRDefault="00000000" w:rsidRPr="00000000" w14:paraId="00000029">
      <w:pPr>
        <w:spacing w:line="360" w:lineRule="auto"/>
        <w:jc w:val="both"/>
        <w:rPr>
          <w:rFonts w:ascii="Palatino Linotype" w:cs="Palatino Linotype" w:eastAsia="Palatino Linotype" w:hAnsi="Palatino Linotype"/>
          <w:b w:val="1"/>
          <w:sz w:val="22"/>
          <w:szCs w:val="22"/>
          <w:u w:val="single"/>
        </w:rPr>
      </w:pPr>
      <w:r w:rsidDel="00000000" w:rsidR="00000000" w:rsidRPr="00000000">
        <w:rPr>
          <w:rtl w:val="0"/>
        </w:rPr>
      </w:r>
    </w:p>
    <w:p w:rsidR="00000000" w:rsidDel="00000000" w:rsidP="00000000" w:rsidRDefault="00000000" w:rsidRPr="00000000" w14:paraId="0000002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8. Preclusión del plazo para desahogar la prevención.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veintisiete de febrero de dos mil veinticinco, </w:t>
      </w:r>
      <w:r w:rsidDel="00000000" w:rsidR="00000000" w:rsidRPr="00000000">
        <w:rPr>
          <w:rFonts w:ascii="Palatino Linotype" w:cs="Palatino Linotype" w:eastAsia="Palatino Linotype" w:hAnsi="Palatino Linotype"/>
          <w:sz w:val="22"/>
          <w:szCs w:val="22"/>
          <w:rtl w:val="0"/>
        </w:rPr>
        <w:t xml:space="preserve">al no haber desahogado la prevención relativa a la acreditación de la identidad y representación, así como la identidad de la persona titular de los datos personales sobre los cuales se pretende ejercer el Derecho de acceso, en el plazo establecido para tal efecto, se decretó la preclusión del mismo, de conformidad con los artículos 124 y 136 de la Ley de Protección de Datos Personales en Posesión de Sujetos Obligados del Estado de México y Municipios.</w:t>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9.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sz w:val="22"/>
          <w:szCs w:val="22"/>
          <w:rtl w:val="0"/>
        </w:rPr>
        <w:t xml:space="preserve">veintisiete de febrero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F">
      <w:pPr>
        <w:widowControl w:val="0"/>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 C O N S I D E R A N D O S</w:t>
      </w:r>
    </w:p>
    <w:p w:rsidR="00000000" w:rsidDel="00000000" w:rsidP="00000000" w:rsidRDefault="00000000" w:rsidRPr="00000000" w14:paraId="0000003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fracción IV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1, 3, fracción XXIV, fracción I, 103 y 111, de la Ley General de Protección de Datos Personales en Posesión de Sujetos Obligados,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3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bookmarkStart w:colFirst="0" w:colLast="0" w:name="_heading=h.tyjcwt" w:id="6"/>
      <w:bookmarkEnd w:id="6"/>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rsidR="00000000" w:rsidDel="00000000" w:rsidP="00000000" w:rsidRDefault="00000000" w:rsidRPr="00000000" w14:paraId="00000033">
      <w:pPr>
        <w:spacing w:after="120" w:before="12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128. </w:t>
      </w:r>
      <w:r w:rsidDel="00000000" w:rsidR="00000000" w:rsidRPr="00000000">
        <w:rPr>
          <w:rFonts w:ascii="Palatino Linotype" w:cs="Palatino Linotype" w:eastAsia="Palatino Linotype" w:hAnsi="Palatino Linotype"/>
          <w:i w:val="1"/>
          <w:sz w:val="22"/>
          <w:szCs w:val="22"/>
          <w:rtl w:val="0"/>
        </w:rPr>
        <w:t xml:space="preserve">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rsidR="00000000" w:rsidDel="00000000" w:rsidP="00000000" w:rsidRDefault="00000000" w:rsidRPr="00000000" w14:paraId="00000034">
      <w:pPr>
        <w:spacing w:after="120" w:before="12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 </w:t>
      </w:r>
    </w:p>
    <w:p w:rsidR="00000000" w:rsidDel="00000000" w:rsidP="00000000" w:rsidRDefault="00000000" w:rsidRPr="00000000" w14:paraId="00000035">
      <w:pPr>
        <w:widowControl w:val="0"/>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atendiendo a que el</w:t>
      </w:r>
      <w:r w:rsidDel="00000000" w:rsidR="00000000" w:rsidRPr="00000000">
        <w:rPr>
          <w:rFonts w:ascii="Palatino Linotype" w:cs="Palatino Linotype" w:eastAsia="Palatino Linotype" w:hAnsi="Palatino Linotype"/>
          <w:b w:val="1"/>
          <w:sz w:val="22"/>
          <w:szCs w:val="22"/>
          <w:rtl w:val="0"/>
        </w:rPr>
        <w:t xml:space="preserve"> Sujeto Obligado</w:t>
      </w:r>
      <w:r w:rsidDel="00000000" w:rsidR="00000000" w:rsidRPr="00000000">
        <w:rPr>
          <w:rFonts w:ascii="Palatino Linotype" w:cs="Palatino Linotype" w:eastAsia="Palatino Linotype" w:hAnsi="Palatino Linotype"/>
          <w:sz w:val="22"/>
          <w:szCs w:val="22"/>
          <w:rtl w:val="0"/>
        </w:rPr>
        <w:t xml:space="preserve"> notificó la respuesta a la solicitud el </w:t>
      </w:r>
      <w:r w:rsidDel="00000000" w:rsidR="00000000" w:rsidRPr="00000000">
        <w:rPr>
          <w:rFonts w:ascii="Palatino Linotype" w:cs="Palatino Linotype" w:eastAsia="Palatino Linotype" w:hAnsi="Palatino Linotype"/>
          <w:b w:val="1"/>
          <w:sz w:val="22"/>
          <w:szCs w:val="22"/>
          <w:rtl w:val="0"/>
        </w:rPr>
        <w:t xml:space="preserve">diecisiete de enero de dos mil veinticinco</w:t>
      </w:r>
      <w:r w:rsidDel="00000000" w:rsidR="00000000" w:rsidRPr="00000000">
        <w:rPr>
          <w:rFonts w:ascii="Palatino Linotype" w:cs="Palatino Linotype" w:eastAsia="Palatino Linotype" w:hAnsi="Palatino Linotype"/>
          <w:sz w:val="22"/>
          <w:szCs w:val="22"/>
          <w:rtl w:val="0"/>
        </w:rPr>
        <w:t xml:space="preserve">, por lo que, el plazo de quince días hábiles que contempla el artículo 128 de la Ley de Protección de Datos Personales en Posesión de Sujetos Obligados del Estado de México y Municipios, transcurrió del </w:t>
      </w:r>
      <w:r w:rsidDel="00000000" w:rsidR="00000000" w:rsidRPr="00000000">
        <w:rPr>
          <w:rFonts w:ascii="Palatino Linotype" w:cs="Palatino Linotype" w:eastAsia="Palatino Linotype" w:hAnsi="Palatino Linotype"/>
          <w:b w:val="1"/>
          <w:sz w:val="22"/>
          <w:szCs w:val="22"/>
          <w:rtl w:val="0"/>
        </w:rPr>
        <w:t xml:space="preserve">veinte de enero de dos mil veinticinco al diez de febrero de dos mil veinticinco</w:t>
      </w:r>
      <w:r w:rsidDel="00000000" w:rsidR="00000000" w:rsidRPr="00000000">
        <w:rPr>
          <w:rFonts w:ascii="Palatino Linotype" w:cs="Palatino Linotype" w:eastAsia="Palatino Linotype" w:hAnsi="Palatino Linotype"/>
          <w:sz w:val="22"/>
          <w:szCs w:val="22"/>
          <w:rtl w:val="0"/>
        </w:rPr>
        <w:t xml:space="preserve">; en términos de los artículos 4 fracción XV de la Ley de Protección de Datos Personales en Posesión de Sujetos Obligados del Estado de México y Municipios y 3 fracción X de la Ley de Transparencia y Acceso a la Información Pública del Estado de México y Municipios, de aplicación supletoria.</w:t>
      </w:r>
    </w:p>
    <w:p w:rsidR="00000000" w:rsidDel="00000000" w:rsidP="00000000" w:rsidRDefault="00000000" w:rsidRPr="00000000" w14:paraId="00000036">
      <w:pPr>
        <w:widowControl w:val="0"/>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 base a esta cronología, si el recurso de revisión que nos ocupa se interpuso el </w:t>
      </w:r>
      <w:r w:rsidDel="00000000" w:rsidR="00000000" w:rsidRPr="00000000">
        <w:rPr>
          <w:rFonts w:ascii="Palatino Linotype" w:cs="Palatino Linotype" w:eastAsia="Palatino Linotype" w:hAnsi="Palatino Linotype"/>
          <w:b w:val="1"/>
          <w:sz w:val="22"/>
          <w:szCs w:val="22"/>
          <w:rtl w:val="0"/>
        </w:rPr>
        <w:t xml:space="preserve">treinta y uno de enero de dos mil veinticinco</w:t>
      </w:r>
      <w:r w:rsidDel="00000000" w:rsidR="00000000" w:rsidRPr="00000000">
        <w:rPr>
          <w:rFonts w:ascii="Palatino Linotype" w:cs="Palatino Linotype" w:eastAsia="Palatino Linotype" w:hAnsi="Palatino Linotype"/>
          <w:sz w:val="22"/>
          <w:szCs w:val="22"/>
          <w:rtl w:val="0"/>
        </w:rPr>
        <w:t xml:space="preserve">; es decir, el </w:t>
      </w:r>
      <w:r w:rsidDel="00000000" w:rsidR="00000000" w:rsidRPr="00000000">
        <w:rPr>
          <w:rFonts w:ascii="Palatino Linotype" w:cs="Palatino Linotype" w:eastAsia="Palatino Linotype" w:hAnsi="Palatino Linotype"/>
          <w:b w:val="1"/>
          <w:sz w:val="22"/>
          <w:szCs w:val="22"/>
          <w:u w:val="single"/>
          <w:rtl w:val="0"/>
        </w:rPr>
        <w:t xml:space="preserve">décimo primer</w:t>
      </w:r>
      <w:r w:rsidDel="00000000" w:rsidR="00000000" w:rsidRPr="00000000">
        <w:rPr>
          <w:rFonts w:ascii="Palatino Linotype" w:cs="Palatino Linotype" w:eastAsia="Palatino Linotype" w:hAnsi="Palatino Linotype"/>
          <w:sz w:val="22"/>
          <w:szCs w:val="22"/>
          <w:rtl w:val="0"/>
        </w:rPr>
        <w:t xml:space="preserve"> día hábil siguiente al que tuvo conocimiento de la respuesta; por lo tanto, el medio de impugnación se encuentra dentro de los márgenes temporales previstos en el artículo 128 de la Ley de Protección de Datos Personales en Posesión de Sujetos Obligados del Estado de México y Municipios y, por tanto, </w:t>
      </w:r>
      <w:r w:rsidDel="00000000" w:rsidR="00000000" w:rsidRPr="00000000">
        <w:rPr>
          <w:rFonts w:ascii="Palatino Linotype" w:cs="Palatino Linotype" w:eastAsia="Palatino Linotype" w:hAnsi="Palatino Linotype"/>
          <w:b w:val="1"/>
          <w:sz w:val="22"/>
          <w:szCs w:val="22"/>
          <w:u w:val="single"/>
          <w:rtl w:val="0"/>
        </w:rPr>
        <w:t xml:space="preserve">su interposición se considera oportuna</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3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Análisis de las causales de improcedencia y sobreseimiento del recurso de revisión. </w:t>
      </w:r>
      <w:r w:rsidDel="00000000" w:rsidR="00000000" w:rsidRPr="00000000">
        <w:rPr>
          <w:rFonts w:ascii="Palatino Linotype" w:cs="Palatino Linotype" w:eastAsia="Palatino Linotype" w:hAnsi="Palatino Linotype"/>
          <w:sz w:val="22"/>
          <w:szCs w:val="22"/>
          <w:rtl w:val="0"/>
        </w:rPr>
        <w:t xml:space="preserve">En primer término, es importante establecer la materia de la solicitud, para determinar si se trata de una solicitud de acceso a la información como fue ingresada, o bien, si es de acceso a datos personales, en virtud de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al momento de formular su solicitud lo realizó vía el Sistema de Acceso a la Información Mexiquense.</w:t>
      </w:r>
    </w:p>
    <w:p w:rsidR="00000000" w:rsidDel="00000000" w:rsidP="00000000" w:rsidRDefault="00000000" w:rsidRPr="00000000" w14:paraId="00000038">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es importante precisar que el derecho de acceso a la información pública tiene su sustento en los artículos 6, apartado A, fracción IV de la Constitución Política de los Estados Unidos Mexicanos; 5, párrafos trigésimo tercero, trigésimo cuarto y trigésimo quinto fracciones IV y V de la Constitución Política del Estado Libre y Soberano de México, con relación en los artículos 1, 2 y 4 de la Ley de Transparencia y Acceso a la Información Pública del Estado de México y Municipios.</w:t>
      </w:r>
    </w:p>
    <w:p w:rsidR="00000000" w:rsidDel="00000000" w:rsidP="00000000" w:rsidRDefault="00000000" w:rsidRPr="00000000" w14:paraId="0000003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cual, implica transparentar el ejercicio de la función pública, facilitar el acceso de los particulares a la información pública que los Sujetos Obligados generen, posean o administren en ejercicio de sus atribuciones, mediante procedimientos sencillos y expeditos, de manera oportuna y gratuita, privilegiando el principio de máxima publicidad de la información. </w:t>
      </w:r>
    </w:p>
    <w:p w:rsidR="00000000" w:rsidDel="00000000" w:rsidP="00000000" w:rsidRDefault="00000000" w:rsidRPr="00000000" w14:paraId="0000003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los Sujetos Obligados deben poner en práctica, políticas y programas de acceso a la información que se apeguen a principios de simplicidad, rapidez, y gratuidad del procedimiento, de auxilio y orientación a los particulares, así como la atención adecuada a las personas con discapacidad y a los hablantes de la lengua indígena, a través del procedimiento previsto en los artículos 150, 152, 153 y 155 de la Ley de Transparencia y Acceso a la Información Pública del Estado de México y Municipios.</w:t>
      </w:r>
    </w:p>
    <w:p w:rsidR="00000000" w:rsidDel="00000000" w:rsidP="00000000" w:rsidRDefault="00000000" w:rsidRPr="00000000" w14:paraId="0000003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debe quedar claro que una solicitud de información es un requerimiento formulado ante los Sujetos Obligados, a través de la cual se abre la posibilidad de consultar, sin necesidad de acreditar ningún tipo de interés, los documentos generados, administrados y resguardados por ellos, tal cual se encuentran en sus archivos. Por lo tanto, los Sujetos Obligados no tienen la responsabilidad de elaborar resúmenes, cálculos ni investigaciones que impliquen el procesamiento de los datos. En contraste, deben buscar y entregar la información requerida, de acuerdo con la Ley de Transparencia local.</w:t>
      </w:r>
    </w:p>
    <w:p w:rsidR="00000000" w:rsidDel="00000000" w:rsidP="00000000" w:rsidRDefault="00000000" w:rsidRPr="00000000" w14:paraId="0000003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w:t>
      </w:r>
      <w:r w:rsidDel="00000000" w:rsidR="00000000" w:rsidRPr="00000000">
        <w:rPr>
          <w:rFonts w:ascii="Palatino Linotype" w:cs="Palatino Linotype" w:eastAsia="Palatino Linotype" w:hAnsi="Palatino Linotype"/>
          <w:b w:val="1"/>
          <w:sz w:val="22"/>
          <w:szCs w:val="22"/>
          <w:rtl w:val="0"/>
        </w:rPr>
        <w:t xml:space="preserve">por lo que respecta al procedimiento de acceso a los datos personales</w:t>
      </w:r>
      <w:r w:rsidDel="00000000" w:rsidR="00000000" w:rsidRPr="00000000">
        <w:rPr>
          <w:rFonts w:ascii="Palatino Linotype" w:cs="Palatino Linotype" w:eastAsia="Palatino Linotype" w:hAnsi="Palatino Linotype"/>
          <w:sz w:val="22"/>
          <w:szCs w:val="22"/>
          <w:rtl w:val="0"/>
        </w:rPr>
        <w:t xml:space="preserve"> debe destacarse que, de igual forma que el derecho de acceso a la información pública tiene su sustento en los artículos 6, apartado A, fracción II  y 16 párrafo segundo de la Constitución Política de los Estados Unidos Mexicanos, los cuales establecen medularmente que la información que se refiere a la vida privada y los datos personales será protegida en los términos y con las excepciones que fijen las leyes, siendo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los datos, por razones de seguridad nacional, disposiciones de orden público, seguridad y salud públicas o para proteger los derechos de terceros.</w:t>
      </w:r>
    </w:p>
    <w:p w:rsidR="00000000" w:rsidDel="00000000" w:rsidP="00000000" w:rsidRDefault="00000000" w:rsidRPr="00000000" w14:paraId="0000003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Procedimiento que, además, está regulado en la Ley de Protección de Datos Personales en Posesión de Sujetos Obligados del Estado de México, en específico en los artículos 97 y 98 que </w:t>
      </w:r>
      <w:r w:rsidDel="00000000" w:rsidR="00000000" w:rsidRPr="00000000">
        <w:rPr>
          <w:rFonts w:ascii="Palatino Linotype" w:cs="Palatino Linotype" w:eastAsia="Palatino Linotype" w:hAnsi="Palatino Linotype"/>
          <w:b w:val="1"/>
          <w:sz w:val="22"/>
          <w:szCs w:val="22"/>
          <w:rtl w:val="0"/>
        </w:rPr>
        <w:t xml:space="preserve">establecen que el titular por sí o través de su representante legal que acrediten su identidad o representación, respectivamente</w:t>
      </w:r>
      <w:r w:rsidDel="00000000" w:rsidR="00000000" w:rsidRPr="00000000">
        <w:rPr>
          <w:rFonts w:ascii="Palatino Linotype" w:cs="Palatino Linotype" w:eastAsia="Palatino Linotype" w:hAnsi="Palatino Linotype"/>
          <w:sz w:val="22"/>
          <w:szCs w:val="22"/>
          <w:rtl w:val="0"/>
        </w:rPr>
        <w:t xml:space="preserve">; tiene derecho a solicitar y ser informado sobre sus datos personales que estén en posesión de los Sujetos Obligados, el origen de dichos datos, el tratamiento del cual sean objeto, las cesiones realizadas o que se pretendan realizar, así como a tener acceso al aviso de privacidad al que está sujeto dicho tratamiento; entendiéndose por dato personal cualquier información concerniente a una persona física o jurídica colectiva identificada o identificable, establecida en cualquier formato o modalidad y que esté almacenada en bases de datos, conforme a lo establecido en esta Ley.</w:t>
      </w:r>
    </w:p>
    <w:p w:rsidR="00000000" w:rsidDel="00000000" w:rsidP="00000000" w:rsidRDefault="00000000" w:rsidRPr="00000000" w14:paraId="0000003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las cosas, tenemos que cuando hablamos de una solicitud de derechos ARCO se refiere a aquel derecho que tiene un titular de datos personales para solicitar el acceso, rectificación, cancelación, oposición y portabilidad sobre el tratamiento de sus datos, ante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esté en posesión de los mismos.</w:t>
      </w:r>
    </w:p>
    <w:p w:rsidR="00000000" w:rsidDel="00000000" w:rsidP="00000000" w:rsidRDefault="00000000" w:rsidRPr="00000000" w14:paraId="0000003F">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Sin embargo, es importante señalar, que la procedencia de los derechos de acceso, rectificación, cancelación y oposición de datos personales, ARCO, es efectiva una vez que el titular o su representante legal acrediten su identidad o representación, respectivamente.</w:t>
      </w:r>
    </w:p>
    <w:p w:rsidR="00000000" w:rsidDel="00000000" w:rsidP="00000000" w:rsidRDefault="00000000" w:rsidRPr="00000000" w14:paraId="00000040">
      <w:pPr>
        <w:spacing w:after="240" w:before="240"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a la solicitud se advierte que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de una servidora pública adscrito a un plantel del Colegio de Bachilleres del Estado de México, en relación con el Anexo de Ejecución 0236/2024 celebrado entre el Ejecutivo Federal, Gobierno del Estado de México y el Colegio de Bachilleres, el diez de enero del dos mil veinticuatro, que incluye el Apartado Analítico de servicios personales 2024, plazas, horas y sueldos autorizados, requiere la siguiente información: </w:t>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411"/>
        </w:tabs>
        <w:spacing w:after="0" w:before="120" w:line="360" w:lineRule="auto"/>
        <w:ind w:left="771"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Monto total individualizado asignado a la plaza del servidor público, como ingreso bruto, que debió y debo percibir en el ejercicio 2024;</w:t>
      </w:r>
    </w:p>
    <w:p w:rsidR="00000000" w:rsidDel="00000000" w:rsidP="00000000" w:rsidRDefault="00000000" w:rsidRPr="00000000" w14:paraId="000000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411"/>
        </w:tabs>
        <w:spacing w:after="0" w:before="0" w:line="360" w:lineRule="auto"/>
        <w:ind w:left="771"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Monto detallado anual que debió aplicarse por concepto tanto de percepciones como de deducciones -cuyos conceptos se precisaron en cada caso, respecto del ejercicio 2024-.</w:t>
      </w:r>
    </w:p>
    <w:p w:rsidR="00000000" w:rsidDel="00000000" w:rsidP="00000000" w:rsidRDefault="00000000" w:rsidRPr="00000000" w14:paraId="000000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411"/>
        </w:tabs>
        <w:spacing w:after="120" w:before="0" w:line="360" w:lineRule="auto"/>
        <w:ind w:left="771"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caso de que exista diferencia salarial entre lo autorizado en el Anexo de Ejecución y lo que realmente se ha pagado en 2024, se informe el monto que dejó de percibir el servidor público y los conceptos, en los cuales se aplicó la deducción.</w:t>
      </w:r>
    </w:p>
    <w:p w:rsidR="00000000" w:rsidDel="00000000" w:rsidP="00000000" w:rsidRDefault="00000000" w:rsidRPr="00000000" w14:paraId="0000004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Adjuntando a la solicitud, el Anexo “B” del Anexo de Ejecución / Apoyo Financiero 2024 SEMS-EL COBAEM-MÉXICO 0236/24, relativo al Analítico de servicios personales 2024, plazas, horas y sueldos autorizados, a que se hace referencia en la solicitud.</w:t>
      </w:r>
    </w:p>
    <w:p w:rsidR="00000000" w:rsidDel="00000000" w:rsidP="00000000" w:rsidRDefault="00000000" w:rsidRPr="00000000" w14:paraId="0000004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toda vez que se pretende obtener, además del monto de las percepciones y deducciones de Ley de la persona servidora pública referida en la solicitud, que es información de carácter público; </w:t>
      </w:r>
      <w:r w:rsidDel="00000000" w:rsidR="00000000" w:rsidRPr="00000000">
        <w:rPr>
          <w:rFonts w:ascii="Palatino Linotype" w:cs="Palatino Linotype" w:eastAsia="Palatino Linotype" w:hAnsi="Palatino Linotype"/>
          <w:b w:val="1"/>
          <w:sz w:val="22"/>
          <w:szCs w:val="22"/>
          <w:u w:val="single"/>
          <w:rtl w:val="0"/>
        </w:rPr>
        <w:t xml:space="preserve">el acceso al monto de las deducciones personales que le son aplicadas,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u w:val="single"/>
          <w:rtl w:val="0"/>
        </w:rPr>
        <w:t xml:space="preserve">información que por su naturaleza incide en su vida privada</w:t>
      </w:r>
      <w:r w:rsidDel="00000000" w:rsidR="00000000" w:rsidRPr="00000000">
        <w:rPr>
          <w:rFonts w:ascii="Palatino Linotype" w:cs="Palatino Linotype" w:eastAsia="Palatino Linotype" w:hAnsi="Palatino Linotype"/>
          <w:sz w:val="22"/>
          <w:szCs w:val="22"/>
          <w:rtl w:val="0"/>
        </w:rPr>
        <w:t xml:space="preserve">, al revelar parte de las decisiones que adopta una persona respecto del uso y destino de su remuneración salarial, lo cual se relaciona intrínsecamente con la manera en que se integra su patrimonio, por lo tanto, al ser información que no es de carácter público, sino que concierne únicamente a su titular, se puntualiza que el procedimiento de acceso a la información pública NO es la vía para la tramitación del presente asunto, sino que debe ser atendido en términos del ejercicio del derecho de acceso a datos personales.</w:t>
      </w:r>
    </w:p>
    <w:p w:rsidR="00000000" w:rsidDel="00000000" w:rsidP="00000000" w:rsidRDefault="00000000" w:rsidRPr="00000000" w14:paraId="0000004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en virtud de que este Instituto al igual que otros Organismos Garantes, como es el Instituto Nacional de Acceso a la Información y Protección de Datos, (INAI) se han pronunciado por la procedencia de los recursos de revisión según la materia de la solicitud.</w:t>
      </w:r>
    </w:p>
    <w:p w:rsidR="00000000" w:rsidDel="00000000" w:rsidP="00000000" w:rsidRDefault="00000000" w:rsidRPr="00000000" w14:paraId="00000047">
      <w:pP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Discernimiento que encuentra apoyo en el criterio </w:t>
      </w:r>
      <w:r w:rsidDel="00000000" w:rsidR="00000000" w:rsidRPr="00000000">
        <w:rPr>
          <w:rFonts w:ascii="Palatino Linotype" w:cs="Palatino Linotype" w:eastAsia="Palatino Linotype" w:hAnsi="Palatino Linotype"/>
          <w:b w:val="1"/>
          <w:sz w:val="22"/>
          <w:szCs w:val="22"/>
          <w:rtl w:val="0"/>
        </w:rPr>
        <w:t xml:space="preserve">008/2009</w:t>
      </w:r>
      <w:r w:rsidDel="00000000" w:rsidR="00000000" w:rsidRPr="00000000">
        <w:rPr>
          <w:rFonts w:ascii="Palatino Linotype" w:cs="Palatino Linotype" w:eastAsia="Palatino Linotype" w:hAnsi="Palatino Linotype"/>
          <w:sz w:val="22"/>
          <w:szCs w:val="22"/>
          <w:rtl w:val="0"/>
        </w:rPr>
        <w:t xml:space="preserve"> del INAI, que a la letra dispone:</w:t>
      </w:r>
    </w:p>
    <w:p w:rsidR="00000000" w:rsidDel="00000000" w:rsidP="00000000" w:rsidRDefault="00000000" w:rsidRPr="00000000" w14:paraId="00000048">
      <w:pPr>
        <w:tabs>
          <w:tab w:val="left" w:leader="none" w:pos="7655"/>
        </w:tabs>
        <w:spacing w:after="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dependencias y entidades deberán dar trámite a las solicitudes aun cuando la vía en la que fueron presentadas -acceso a datos personales o información pública- no corresponda con la naturaleza de la materia de la misma.</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Todas aquellas solicitudes cuyo objetivo sea allegarse de información pública y que sean ingresadas por la vía de acceso a datos personales, así como el caso contrario, </w:t>
      </w:r>
      <w:r w:rsidDel="00000000" w:rsidR="00000000" w:rsidRPr="00000000">
        <w:rPr>
          <w:rFonts w:ascii="Palatino Linotype" w:cs="Palatino Linotype" w:eastAsia="Palatino Linotype" w:hAnsi="Palatino Linotype"/>
          <w:b w:val="1"/>
          <w:i w:val="1"/>
          <w:sz w:val="22"/>
          <w:szCs w:val="22"/>
          <w:u w:val="single"/>
          <w:rtl w:val="0"/>
        </w:rPr>
        <w:t xml:space="preserve">deberán ser tramitadas por las dependencias y entidades de conformidad con la naturaleza de la información de que se trate</w:t>
      </w:r>
      <w:r w:rsidDel="00000000" w:rsidR="00000000" w:rsidRPr="00000000">
        <w:rPr>
          <w:rFonts w:ascii="Palatino Linotype" w:cs="Palatino Linotype" w:eastAsia="Palatino Linotype" w:hAnsi="Palatino Linotype"/>
          <w:b w:val="1"/>
          <w:i w:val="1"/>
          <w:sz w:val="22"/>
          <w:szCs w:val="22"/>
          <w:rtl w:val="0"/>
        </w:rPr>
        <w:t xml:space="preserve">, sin necesidad de que el particular requiera presentar una nueva solicitud.</w:t>
      </w:r>
    </w:p>
    <w:p w:rsidR="00000000" w:rsidDel="00000000" w:rsidP="00000000" w:rsidRDefault="00000000" w:rsidRPr="00000000" w14:paraId="00000049">
      <w:pPr>
        <w:tabs>
          <w:tab w:val="left" w:leader="none" w:pos="7655"/>
        </w:tabs>
        <w:spacing w:after="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conformidad con lo dispuesto en el artículo 1° de la Ley Federal de Transparencia y Acceso a la Información Pública Gubernamental, ésta tiene como finalidad proveer lo necesario para garantizar el 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w:t>
      </w:r>
      <w:r w:rsidDel="00000000" w:rsidR="00000000" w:rsidRPr="00000000">
        <w:rPr>
          <w:rFonts w:ascii="Palatino Linotype" w:cs="Palatino Linotype" w:eastAsia="Palatino Linotype" w:hAnsi="Palatino Linotype"/>
          <w:b w:val="1"/>
          <w:i w:val="1"/>
          <w:sz w:val="22"/>
          <w:szCs w:val="22"/>
          <w:rtl w:val="0"/>
        </w:rPr>
        <w:t xml:space="preserve">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Lo anterior, bajo el principio  de expeditez</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que consiste en que la impartición de justicia debe estar libre de estorbos, lo que significa que el poder público —en cualquiera de sus manifestaciones: Ejecutivo, Legislativo o Judicial— no puede supeditar el acceso a los tribunales a la satisfacción de condiciones innecesarias, excesivas y carentes de razonabilidad o proporcionalidad”, </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esta línea de pensamiento, se determina procedente dar trámite a la solicitud formulada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bajo el procedimiento de acceso a los datos personales previsto en la Ley de Protección de Datos Personales en Posesión de Sujetos Obligados del Estado de México y Municipios, la cual, de conformidad con su artículo 1, tiene por objeto garantizar la protección de los datos personales que se encuentren en posesión de los </w:t>
        <w:br w:type="textWrapping"/>
        <w:t xml:space="preserve">Sujetos Obligados. </w:t>
      </w:r>
    </w:p>
    <w:p w:rsidR="00000000" w:rsidDel="00000000" w:rsidP="00000000" w:rsidRDefault="00000000" w:rsidRPr="00000000" w14:paraId="0000004C">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Acotado lo anterior, cabe reiterar que en respuesta a la solicitud de acceso a datos personales,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Jefa del Departamento de Recursos Humanos informó, que con relación a la solicitud de información, informaba que de acuerdo con los conceptos establecidos en la misma, no es posible determinar algún otro instrumento de análisis y comparativo de las percepciones y deducciones del solicitante; sin embargo, indicó que remitía los montos de percepciones y deducciones acumulados durante el ejercicio 2024 a nombre de la servidora pública de quien se solicita la información; sin embargo, indicó la entrega de los montos de las percepciones y deducciones acumulados durante el ejercicio 2024 a nombre de dicha persona; proporcionando en el acto, dos tablas de contenido, conceptos y montos de las percepciones y deducciones acumulados respecto de la persona referida en el ejercicio 2024.</w:t>
      </w:r>
    </w:p>
    <w:p w:rsidR="00000000" w:rsidDel="00000000" w:rsidP="00000000" w:rsidRDefault="00000000" w:rsidRPr="00000000" w14:paraId="0000004D">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conocida la respuesta por la persona solicitante, ésta presentó el recurso de revisión que se resuelve, donde se agravió en lo medular porque la respuesta no da contestación a lo requerido, ya que a su consideración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si cuenta con un instrumento base de análisis de donde se puede obtener el comparativo solicitado, el cual corresponde al Anexo de Ejecución que celebró el Ejecutivo Federal, con Gobierno del Estado de México, donde le asistió la Secretaria de Finanzas y el Colegio de Bachilleres del Estado de México de fecha diez de enero de dos mil veinticuatro, y por tanto insiste en que le asiste el derecho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contestar la solicitud.</w:t>
      </w:r>
    </w:p>
    <w:p w:rsidR="00000000" w:rsidDel="00000000" w:rsidP="00000000" w:rsidRDefault="00000000" w:rsidRPr="00000000" w14:paraId="0000004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 ello, mediante informe justificado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ratificó en lo sustancial la respuesta emitida en primera instancia y de nueva cuenta se adjuntó el oficio de respuesta de la Jefa del Departamento de Recursos Humanos, mediante el cual atendió la solicitud. </w:t>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Sin embargo, es de señalar que dicho documento no se hizo del conocimiento de la parte Recurrente, </w:t>
      </w:r>
      <w:r w:rsidDel="00000000" w:rsidR="00000000" w:rsidRPr="00000000">
        <w:rPr>
          <w:rFonts w:ascii="Palatino Linotype" w:cs="Palatino Linotype" w:eastAsia="Palatino Linotype" w:hAnsi="Palatino Linotype"/>
          <w:b w:val="1"/>
          <w:sz w:val="22"/>
          <w:szCs w:val="22"/>
          <w:rtl w:val="0"/>
        </w:rPr>
        <w:t xml:space="preserve">al contener datos personales susceptibles de ser clasificados como confidenciales,</w:t>
      </w:r>
      <w:r w:rsidDel="00000000" w:rsidR="00000000" w:rsidRPr="00000000">
        <w:rPr>
          <w:rFonts w:ascii="Palatino Linotype" w:cs="Palatino Linotype" w:eastAsia="Palatino Linotype" w:hAnsi="Palatino Linotype"/>
          <w:sz w:val="22"/>
          <w:szCs w:val="22"/>
          <w:rtl w:val="0"/>
        </w:rPr>
        <w:t xml:space="preserve"> y </w:t>
      </w:r>
      <w:r w:rsidDel="00000000" w:rsidR="00000000" w:rsidRPr="00000000">
        <w:rPr>
          <w:rFonts w:ascii="Palatino Linotype" w:cs="Palatino Linotype" w:eastAsia="Palatino Linotype" w:hAnsi="Palatino Linotype"/>
          <w:b w:val="1"/>
          <w:sz w:val="22"/>
          <w:szCs w:val="22"/>
          <w:rtl w:val="0"/>
        </w:rPr>
        <w:t xml:space="preserve">no haber acreditado la identidad del titular de los datos personales sobre los cuales se pretende ejercer el Derecho de Acceso, así como su personalidad e identidad posiblemente en calidad de representante</w:t>
      </w:r>
      <w:r w:rsidDel="00000000" w:rsidR="00000000" w:rsidRPr="00000000">
        <w:rPr>
          <w:rFonts w:ascii="Palatino Linotype" w:cs="Palatino Linotype" w:eastAsia="Palatino Linotype" w:hAnsi="Palatino Linotype"/>
          <w:sz w:val="22"/>
          <w:szCs w:val="22"/>
          <w:rtl w:val="0"/>
        </w:rPr>
        <w:t xml:space="preserve">, siendo requisitos indispensables para el ejercicio de dicho Derecho, como a continuación se expone.</w:t>
      </w:r>
    </w:p>
    <w:p w:rsidR="00000000" w:rsidDel="00000000" w:rsidP="00000000" w:rsidRDefault="00000000" w:rsidRPr="00000000" w14:paraId="00000050">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es importante insistir en que, para el ejercicio del derecho de acceso a datos personales es necesario que el titular de los mismos acredite su identidad, y en caso de que se pretenda acceder a través de un representante; este, deberá acreditar, además, la identidad y personalidad con la que actué; requisito dispuesto en el artículo 106, párrafo tercero de la Ley de Protección de Datos Personales en Posesión de Sujeto Obligados del Estado de México y Municipios</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que es del tenor literal siguiente:</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120" w:before="120" w:lineRule="auto"/>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106</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120" w:before="120" w:lineRule="auto"/>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Para el ejercicio de los derechos ARCO solicitados será necesario acreditar la identidad de titular y en su caso la identidad y personalidad con la que actúe el representante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es de indicar que, de conformidad con los artículos 120 de la Ley de Protección de Datos Personales en Posesión de Sujetos Obligados del Estado de México y Municipios; 76 de los Lineamientos Generales de Protección de Datos Personales para el Sector Público; y 2.5 Bis del Código Civil del Estado de México</w:t>
      </w:r>
      <w:r w:rsidDel="00000000" w:rsidR="00000000" w:rsidRPr="00000000">
        <w:rPr>
          <w:rFonts w:ascii="Palatino Linotype" w:cs="Palatino Linotype" w:eastAsia="Palatino Linotype" w:hAnsi="Palatino Linotype"/>
          <w:b w:val="1"/>
          <w:sz w:val="22"/>
          <w:szCs w:val="22"/>
          <w:rtl w:val="0"/>
        </w:rPr>
        <w:t xml:space="preserve">, los medios para acreditar la identidad de personas físicas son los siguientes</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5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Identificación oficial, como Credencial para votar, pasaporte, matrícula consular mexicana, carta de naturalización, cédula profesional o de pasante, etc.</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Credenciales expedidas por autoridades educativas que cuenten con autorización o con reconocimiento de validez oficial o instituciones de seguridad social, licencia para conducir, cartilla del servicio militar nacional, etc.</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Firma electrónica avanzada o del instrumento electrónico que lo sustituya.</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Mecanismos de autenticación autorizados por el Instituto o el Instituto Nacional publicados por acuerdo general en el periódico oficial “Gaceta del Gobierno” o en el Diario Oficial de la Federación, siempre y cuando permitan de forma inequívoca la acreditación de la identidad del titular.</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de conformidad con los artículos 121 de la Ley de Protección de Datos Personales en Posesión de Sujetos Obligados del Estado de México y Municipios; y 77 de los Lineamientos Generales de Protección de Datos Personales para el Sector Público; </w:t>
      </w:r>
      <w:r w:rsidDel="00000000" w:rsidR="00000000" w:rsidRPr="00000000">
        <w:rPr>
          <w:rFonts w:ascii="Palatino Linotype" w:cs="Palatino Linotype" w:eastAsia="Palatino Linotype" w:hAnsi="Palatino Linotype"/>
          <w:b w:val="1"/>
          <w:sz w:val="22"/>
          <w:szCs w:val="22"/>
          <w:rtl w:val="0"/>
        </w:rPr>
        <w:t xml:space="preserve">cuando el titular de los datos actúe a través de un representante, </w:t>
      </w:r>
      <w:r w:rsidDel="00000000" w:rsidR="00000000" w:rsidRPr="00000000">
        <w:rPr>
          <w:rFonts w:ascii="Palatino Linotype" w:cs="Palatino Linotype" w:eastAsia="Palatino Linotype" w:hAnsi="Palatino Linotype"/>
          <w:sz w:val="22"/>
          <w:szCs w:val="22"/>
          <w:rtl w:val="0"/>
        </w:rPr>
        <w:t xml:space="preserve">éste último debe acreditar la identidad del titular de los datos, así como su identidad y personalidad en representación, presentando ante el responsable de los datos lo siguiente:</w:t>
      </w:r>
    </w:p>
    <w:p w:rsidR="00000000" w:rsidDel="00000000" w:rsidP="00000000" w:rsidRDefault="00000000" w:rsidRPr="00000000" w14:paraId="0000005E">
      <w:pPr>
        <w:spacing w:after="120" w:before="12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Copia simple de la identificación del titular.</w:t>
      </w:r>
    </w:p>
    <w:p w:rsidR="00000000" w:rsidDel="00000000" w:rsidP="00000000" w:rsidRDefault="00000000" w:rsidRPr="00000000" w14:paraId="0000005F">
      <w:pPr>
        <w:spacing w:after="120" w:before="12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Identificación oficial del representante, e</w:t>
      </w:r>
    </w:p>
    <w:p w:rsidR="00000000" w:rsidDel="00000000" w:rsidP="00000000" w:rsidRDefault="00000000" w:rsidRPr="00000000" w14:paraId="00000060">
      <w:pPr>
        <w:spacing w:after="120" w:before="12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Instrumento público, carta poder simple suscrita ante dos testigos anexado copia simple de las identificaciones oficiales de quienes intervengan en la suscripción de la misma, o declaración en comparecencia personal del titular y del representante ante el Instituto.</w:t>
      </w:r>
    </w:p>
    <w:p w:rsidR="00000000" w:rsidDel="00000000" w:rsidP="00000000" w:rsidRDefault="00000000" w:rsidRPr="00000000" w14:paraId="0000006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Preceptos legales que se cita continuación para mejor referencia:</w:t>
      </w:r>
    </w:p>
    <w:p w:rsidR="00000000" w:rsidDel="00000000" w:rsidP="00000000" w:rsidRDefault="00000000" w:rsidRPr="00000000" w14:paraId="0000006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121</w:t>
      </w:r>
      <w:r w:rsidDel="00000000" w:rsidR="00000000" w:rsidRPr="00000000">
        <w:rPr>
          <w:rFonts w:ascii="Palatino Linotype" w:cs="Palatino Linotype" w:eastAsia="Palatino Linotype" w:hAnsi="Palatino Linotype"/>
          <w:i w:val="1"/>
          <w:sz w:val="22"/>
          <w:szCs w:val="22"/>
          <w:rtl w:val="0"/>
        </w:rPr>
        <w:t xml:space="preserve">. Cuando el titular actúe a través de un representante, éste deberá acreditar su personalidad en los términos siguientes: </w:t>
      </w:r>
    </w:p>
    <w:p w:rsidR="00000000" w:rsidDel="00000000" w:rsidP="00000000" w:rsidRDefault="00000000" w:rsidRPr="00000000" w14:paraId="0000006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Si se trata de una persona física, a través de carta poder simple suscrita ante dos testigos anexando copia de las identificaciones de los suscriptores o instrumento público o declaración en comparecencia personal del titular y del representante ante el Instituto. </w:t>
      </w:r>
    </w:p>
    <w:p w:rsidR="00000000" w:rsidDel="00000000" w:rsidP="00000000" w:rsidRDefault="00000000" w:rsidRPr="00000000" w14:paraId="0000006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Si se trata de una persona jurídica colectiva, a través de instrumento público.</w:t>
      </w:r>
    </w:p>
    <w:p w:rsidR="00000000" w:rsidDel="00000000" w:rsidP="00000000" w:rsidRDefault="00000000" w:rsidRPr="00000000" w14:paraId="0000006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Artículo 77</w:t>
      </w:r>
      <w:r w:rsidDel="00000000" w:rsidR="00000000" w:rsidRPr="00000000">
        <w:rPr>
          <w:rFonts w:ascii="Palatino Linotype" w:cs="Palatino Linotype" w:eastAsia="Palatino Linotype" w:hAnsi="Palatino Linotype"/>
          <w:i w:val="1"/>
          <w:sz w:val="22"/>
          <w:szCs w:val="22"/>
          <w:rtl w:val="0"/>
        </w:rPr>
        <w:t xml:space="preserve">. Cuando el titular ejerza sus derechos ARCO a través de su representante, éste deberá acreditar la identidad del titular y su identidad y personalidad presentando ante el responsable lo siguiente:</w:t>
      </w:r>
    </w:p>
    <w:p w:rsidR="00000000" w:rsidDel="00000000" w:rsidP="00000000" w:rsidRDefault="00000000" w:rsidRPr="00000000" w14:paraId="00000066">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Copia simple de la identificación oficial del titular;</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67">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Identificación oficial del representante,</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e</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6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i w:val="1"/>
          <w:sz w:val="22"/>
          <w:szCs w:val="22"/>
          <w:rtl w:val="0"/>
        </w:rPr>
        <w:t xml:space="preserve">Instrumento público; carta poder simple firmada ante dos testigos anexando copia simple de las identificaciones oficiales de quienes intervengan en la suscripción del mismo, o declaración en comparecencia personal del titular.”</w:t>
      </w:r>
    </w:p>
    <w:p w:rsidR="00000000" w:rsidDel="00000000" w:rsidP="00000000" w:rsidRDefault="00000000" w:rsidRPr="00000000" w14:paraId="0000006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contexto, cabe resaltar que de las constancias que integran el expediente del recurso de revisión de mérito, no se advierten documentos que acrediten la identidad de la persona titular de los datos personales sobre los cuales se pretende ejercer el acceso, así como la identidad y personalidad en representación de la persona solicitante de los mismos, tanto en el escrito de su solicitud, como en el escrito de interposición del recurso de revisión, en virtud de que no escapa de la óptica de este Organismo Garante que el usuario del sistema SAIMEX no coincide con el nombre de la persona que afirma ser titular de los datos personales, situación que permite inferir que la persona solicitante actúa en representación de la persona titular de los datos personales.</w:t>
      </w:r>
    </w:p>
    <w:p w:rsidR="00000000" w:rsidDel="00000000" w:rsidP="00000000" w:rsidRDefault="00000000" w:rsidRPr="00000000" w14:paraId="0000006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encuentra sustento en los artículos 110, fracción II y 130, fracción VI, de la Ley de Protección de Datos Personales en Posesión de Sujetos Obligados del Estado de México y Municipios, al ser requisitos que deben contener tanto la solicitud, como el escrito de interposición del recurso de revisión, a saber:</w:t>
      </w:r>
    </w:p>
    <w:p w:rsidR="00000000" w:rsidDel="00000000" w:rsidP="00000000" w:rsidRDefault="00000000" w:rsidRPr="00000000" w14:paraId="0000006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110.</w:t>
      </w:r>
      <w:r w:rsidDel="00000000" w:rsidR="00000000" w:rsidRPr="00000000">
        <w:rPr>
          <w:rFonts w:ascii="Palatino Linotype" w:cs="Palatino Linotype" w:eastAsia="Palatino Linotype" w:hAnsi="Palatino Linotype"/>
          <w:i w:val="1"/>
          <w:sz w:val="22"/>
          <w:szCs w:val="22"/>
          <w:rtl w:val="0"/>
        </w:rPr>
        <w:t xml:space="preserve"> La solicitud para el ejercicio de derechos ARCO, deberá contener:</w:t>
      </w:r>
    </w:p>
    <w:p w:rsidR="00000000" w:rsidDel="00000000" w:rsidP="00000000" w:rsidRDefault="00000000" w:rsidRPr="00000000" w14:paraId="0000006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documentos que acrediten la identidad del titular y en su caso, la personalidad e identidad de su representante.</w:t>
      </w:r>
    </w:p>
    <w:p w:rsidR="00000000" w:rsidDel="00000000" w:rsidP="00000000" w:rsidRDefault="00000000" w:rsidRPr="00000000" w14:paraId="0000006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130.</w:t>
      </w:r>
      <w:r w:rsidDel="00000000" w:rsidR="00000000" w:rsidRPr="00000000">
        <w:rPr>
          <w:rFonts w:ascii="Palatino Linotype" w:cs="Palatino Linotype" w:eastAsia="Palatino Linotype" w:hAnsi="Palatino Linotype"/>
          <w:i w:val="1"/>
          <w:sz w:val="22"/>
          <w:szCs w:val="22"/>
          <w:rtl w:val="0"/>
        </w:rPr>
        <w:t xml:space="preserve"> Los únicos requisitos exigibles en el escrito de interposición del recurso de revisión serán los siguientes:</w:t>
      </w:r>
    </w:p>
    <w:p w:rsidR="00000000" w:rsidDel="00000000" w:rsidP="00000000" w:rsidRDefault="00000000" w:rsidRPr="00000000" w14:paraId="0000007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Los documentos que acrediten la identidad del titular y en su caso, la personalidad e identidad de su representante.”</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lo anterior, una vez admitido el recurso de revisión y al advertirse que la solicitud de trata del ejercicio del derecho de acceso a datos personales, se procedió a reconducir la vía para resolver el asunto, ya que no es posible darle el tratamiento de acceso a información pública, toda vez que se trata de información concerniente con la vida privada de la persona titular de los datos personales, asimismo, en el acto se previno a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a efecto de que subsanara la omisión de acreditar su identidad y representación, así como la identidad de la persona titular de los datos personales a los cuales pretende acceder, al momento de interponer el recurso de revisión, en el entendido de que frecuentemente las personas que pretenden ejercer sus derechos ARCO, no son expertos en la materia, sumado a que mayoritariamente lo hacen sin apoyo de una asesoría jurídica.</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cabe hacer un paréntesis y referir que si bien la normativa en la materia, establece de manera puntual que para el ejercicio de los derechos ARCO solicitados </w:t>
      </w:r>
      <w:r w:rsidDel="00000000" w:rsidR="00000000" w:rsidRPr="00000000">
        <w:rPr>
          <w:rFonts w:ascii="Palatino Linotype" w:cs="Palatino Linotype" w:eastAsia="Palatino Linotype" w:hAnsi="Palatino Linotype"/>
          <w:b w:val="1"/>
          <w:sz w:val="22"/>
          <w:szCs w:val="22"/>
          <w:u w:val="single"/>
          <w:rtl w:val="0"/>
        </w:rPr>
        <w:t xml:space="preserve">será necesario acreditar la identidad del titular y en su caso la identidad y personalidad con la que actúe el representante</w:t>
      </w:r>
      <w:r w:rsidDel="00000000" w:rsidR="00000000" w:rsidRPr="00000000">
        <w:rPr>
          <w:rFonts w:ascii="Palatino Linotype" w:cs="Palatino Linotype" w:eastAsia="Palatino Linotype" w:hAnsi="Palatino Linotype"/>
          <w:sz w:val="22"/>
          <w:szCs w:val="22"/>
          <w:rtl w:val="0"/>
        </w:rPr>
        <w:t xml:space="preserve">, y que en</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b w:val="1"/>
          <w:sz w:val="22"/>
          <w:szCs w:val="22"/>
          <w:u w:val="single"/>
          <w:rtl w:val="0"/>
        </w:rPr>
        <w:t xml:space="preserve">el caso concreto no aconteció al momento de la presentar la solicitud ni en la interposición del recurso de revisión</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no debe perderse de vista que de conformidad con el artículo 136 de Ley de Protección de Datos Personales en Posesión de Sujetos Obligados del Estado de México y Municipios, y 142 de los Lineamientos Generales de Protección de Datos Personales para el Sector Público, en aquellos casos donde el escrito de interposición del recurso de revisión no cumpla con alguno de los requisitos previstos en el artículo 130 de la Ley de Protección de Datos, y este Instituto no tenga elementos para subsanarlos, cuenta con el deber de prevenir a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a efecto de que proporcione la información necesaria para subsanar las omisiones del escrito del recurso de revisión, con el apercibimiento de que, en caso de no cumplir con el requerimiento, en un plazo máximo de cinco días contados a partir del día siguiente al de la notificación del acuerdo, se desechará el recurso de revisión, como se lee en seguida:</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120" w:before="120" w:lineRule="auto"/>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“Prevención por la falta de requisitos en el escrito de interposición del recurso</w:t>
        <w:br w:type="textWrapping"/>
        <w:t xml:space="preserve">Artículo 136.</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Si en el escrito de interposición del recurso de revisión</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 recurrente </w:t>
      </w:r>
      <w:r w:rsidDel="00000000" w:rsidR="00000000" w:rsidRPr="00000000">
        <w:rPr>
          <w:rFonts w:ascii="Palatino Linotype" w:cs="Palatino Linotype" w:eastAsia="Palatino Linotype" w:hAnsi="Palatino Linotype"/>
          <w:b w:val="1"/>
          <w:i w:val="1"/>
          <w:sz w:val="22"/>
          <w:szCs w:val="22"/>
          <w:u w:val="single"/>
          <w:rtl w:val="0"/>
        </w:rPr>
        <w:t xml:space="preserve">no cumple con alguno de los requisitos previstos en el artículo 130</w:t>
      </w:r>
      <w:r w:rsidDel="00000000" w:rsidR="00000000" w:rsidRPr="00000000">
        <w:rPr>
          <w:rFonts w:ascii="Palatino Linotype" w:cs="Palatino Linotype" w:eastAsia="Palatino Linotype" w:hAnsi="Palatino Linotype"/>
          <w:i w:val="1"/>
          <w:sz w:val="22"/>
          <w:szCs w:val="22"/>
          <w:rtl w:val="0"/>
        </w:rPr>
        <w:t xml:space="preserve"> de la presente Ley </w:t>
      </w:r>
      <w:r w:rsidDel="00000000" w:rsidR="00000000" w:rsidRPr="00000000">
        <w:rPr>
          <w:rFonts w:ascii="Palatino Linotype" w:cs="Palatino Linotype" w:eastAsia="Palatino Linotype" w:hAnsi="Palatino Linotype"/>
          <w:b w:val="1"/>
          <w:i w:val="1"/>
          <w:sz w:val="22"/>
          <w:szCs w:val="22"/>
          <w:u w:val="single"/>
          <w:rtl w:val="0"/>
        </w:rPr>
        <w:t xml:space="preserve">y el Instituto no cuente con elementos para subsanarlos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deberá requerir al recurrente</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por una sola ocasión, </w:t>
      </w:r>
      <w:r w:rsidDel="00000000" w:rsidR="00000000" w:rsidRPr="00000000">
        <w:rPr>
          <w:rFonts w:ascii="Palatino Linotype" w:cs="Palatino Linotype" w:eastAsia="Palatino Linotype" w:hAnsi="Palatino Linotype"/>
          <w:b w:val="1"/>
          <w:i w:val="1"/>
          <w:sz w:val="22"/>
          <w:szCs w:val="22"/>
          <w:u w:val="single"/>
          <w:rtl w:val="0"/>
        </w:rPr>
        <w:t xml:space="preserve">la información que subsane las omisiones</w:t>
      </w:r>
      <w:r w:rsidDel="00000000" w:rsidR="00000000" w:rsidRPr="00000000">
        <w:rPr>
          <w:rFonts w:ascii="Palatino Linotype" w:cs="Palatino Linotype" w:eastAsia="Palatino Linotype" w:hAnsi="Palatino Linotype"/>
          <w:i w:val="1"/>
          <w:sz w:val="22"/>
          <w:szCs w:val="22"/>
          <w:rtl w:val="0"/>
        </w:rPr>
        <w:t xml:space="preserve"> en un plazo que no podrá exceder de cinco días, contados a partir del día siguiente de la presentación del escrito.</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120" w:before="120" w:lineRule="auto"/>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w:t>
      </w:r>
      <w:r w:rsidDel="00000000" w:rsidR="00000000" w:rsidRPr="00000000">
        <w:rPr>
          <w:rFonts w:ascii="Palatino Linotype" w:cs="Palatino Linotype" w:eastAsia="Palatino Linotype" w:hAnsi="Palatino Linotype"/>
          <w:b w:val="1"/>
          <w:i w:val="1"/>
          <w:sz w:val="22"/>
          <w:szCs w:val="22"/>
          <w:rtl w:val="0"/>
        </w:rPr>
        <w:t xml:space="preserve">recurrente contará con un plazo que no podrá exceder de cinco días, contados a partir del día siguiente al de la notificación de la prevención, para subsanar las omisiones</w:t>
      </w:r>
      <w:r w:rsidDel="00000000" w:rsidR="00000000" w:rsidRPr="00000000">
        <w:rPr>
          <w:rFonts w:ascii="Palatino Linotype" w:cs="Palatino Linotype" w:eastAsia="Palatino Linotype" w:hAnsi="Palatino Linotype"/>
          <w:i w:val="1"/>
          <w:sz w:val="22"/>
          <w:szCs w:val="22"/>
          <w:rtl w:val="0"/>
        </w:rPr>
        <w:t xml:space="preserve">, con el apercibimiento que en caso de no cumplir con el requerimiento, se desechará el recurso de revisión.</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120" w:before="120" w:lineRule="auto"/>
        <w:ind w:left="851" w:right="618"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La prevención tendrá el efecto de interrumpir el plazo que tiene el Instituto para resolver el recurso, por lo que comenzará a computarse a partir del día siguiente a su desahogo.”</w:t>
      </w:r>
      <w:r w:rsidDel="00000000" w:rsidR="00000000" w:rsidRPr="00000000">
        <w:rPr>
          <w:rtl w:val="0"/>
        </w:rPr>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tabs>
          <w:tab w:val="left" w:leader="none" w:pos="3885"/>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tenor, si bien</w:t>
      </w:r>
      <w:r w:rsidDel="00000000" w:rsidR="00000000" w:rsidRPr="00000000">
        <w:rPr>
          <w:rFonts w:ascii="Palatino Linotype" w:cs="Palatino Linotype" w:eastAsia="Palatino Linotype" w:hAnsi="Palatino Linotype"/>
          <w:b w:val="1"/>
          <w:sz w:val="22"/>
          <w:szCs w:val="22"/>
          <w:rtl w:val="0"/>
        </w:rPr>
        <w:t xml:space="preserve"> la parte Recurrente no acreditó su identidad y representación al momento de interponer el recurso de revisión,</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así como la identidad de la persona titular de los datos personales a los que se pretende acceder</w:t>
      </w:r>
      <w:r w:rsidDel="00000000" w:rsidR="00000000" w:rsidRPr="00000000">
        <w:rPr>
          <w:rFonts w:ascii="Palatino Linotype" w:cs="Palatino Linotype" w:eastAsia="Palatino Linotype" w:hAnsi="Palatino Linotype"/>
          <w:sz w:val="22"/>
          <w:szCs w:val="22"/>
          <w:rtl w:val="0"/>
        </w:rPr>
        <w:t xml:space="preserve">, corresponde a un elemento subsanable, a través de la prevención que efectúe este Organismo Garante, para lo cual se le conceden a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cinco días hábiles posteriores a la notificación de la prevención para subsanar las omisiones.</w:t>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tabs>
          <w:tab w:val="left" w:leader="none" w:pos="3885"/>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siendo un elemento subsanable, se admitió el recurso de revisión con el objeto de tutelar de manera más amplia el ejercicio del derecho de acceso a datos personales que prendió ejercer la persona solicitante en representación de la persona titular de dichos datos, otorgado la posibilidad, mediante acuerdo de prevención notificado en fechas </w:t>
      </w:r>
      <w:r w:rsidDel="00000000" w:rsidR="00000000" w:rsidRPr="00000000">
        <w:rPr>
          <w:rFonts w:ascii="Palatino Linotype" w:cs="Palatino Linotype" w:eastAsia="Palatino Linotype" w:hAnsi="Palatino Linotype"/>
          <w:b w:val="1"/>
          <w:sz w:val="22"/>
          <w:szCs w:val="22"/>
          <w:rtl w:val="0"/>
        </w:rPr>
        <w:t xml:space="preserve">doce y diecinueve de febrero de dos mil veinticinco</w:t>
      </w:r>
      <w:r w:rsidDel="00000000" w:rsidR="00000000" w:rsidRPr="00000000">
        <w:rPr>
          <w:rFonts w:ascii="Palatino Linotype" w:cs="Palatino Linotype" w:eastAsia="Palatino Linotype" w:hAnsi="Palatino Linotype"/>
          <w:sz w:val="22"/>
          <w:szCs w:val="22"/>
          <w:rtl w:val="0"/>
        </w:rPr>
        <w:t xml:space="preserve">, a través del sistema SAIMEX y por correo electrónico, respectivamente, para efecto de que acreditara su identidad y representación, así como la identidad de la persona titular de los datos personales, mediante el desahogo de la prevención, y así cumplir con el requisito de procedencia previsto en el artículo 130, fracción VI de la Ley en la materia, en los términos siguientes:</w:t>
      </w:r>
    </w:p>
    <w:p w:rsidR="00000000" w:rsidDel="00000000" w:rsidP="00000000" w:rsidRDefault="00000000" w:rsidRPr="00000000" w14:paraId="00000079">
      <w:pPr>
        <w:spacing w:line="276"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Segundo.</w:t>
      </w:r>
      <w:r w:rsidDel="00000000" w:rsidR="00000000" w:rsidRPr="00000000">
        <w:rPr>
          <w:rFonts w:ascii="Palatino Linotype" w:cs="Palatino Linotype" w:eastAsia="Palatino Linotype" w:hAnsi="Palatino Linotype"/>
          <w:i w:val="1"/>
          <w:sz w:val="22"/>
          <w:szCs w:val="22"/>
          <w:rtl w:val="0"/>
        </w:rPr>
        <w:t xml:space="preserve"> Con fundamento en lo previsto en los artículos 121, 130 fracción VI y 136 de la Ley de Protección de Datos Personales en Posesión de Sujetos Obligados del Estado de México y Municipios, </w:t>
      </w:r>
      <w:r w:rsidDel="00000000" w:rsidR="00000000" w:rsidRPr="00000000">
        <w:rPr>
          <w:rFonts w:ascii="Palatino Linotype" w:cs="Palatino Linotype" w:eastAsia="Palatino Linotype" w:hAnsi="Palatino Linotype"/>
          <w:b w:val="1"/>
          <w:i w:val="1"/>
          <w:sz w:val="22"/>
          <w:szCs w:val="22"/>
          <w:rtl w:val="0"/>
        </w:rPr>
        <w:t xml:space="preserve">SE PREVIENE</w:t>
      </w:r>
      <w:r w:rsidDel="00000000" w:rsidR="00000000" w:rsidRPr="00000000">
        <w:rPr>
          <w:rFonts w:ascii="Palatino Linotype" w:cs="Palatino Linotype" w:eastAsia="Palatino Linotype" w:hAnsi="Palatino Linotype"/>
          <w:i w:val="1"/>
          <w:sz w:val="22"/>
          <w:szCs w:val="22"/>
          <w:rtl w:val="0"/>
        </w:rPr>
        <w:t xml:space="preserve"> a </w:t>
      </w:r>
      <w:r w:rsidDel="00000000" w:rsidR="00000000" w:rsidRPr="00000000">
        <w:rPr>
          <w:rFonts w:ascii="Palatino Linotype" w:cs="Palatino Linotype" w:eastAsia="Palatino Linotype" w:hAnsi="Palatino Linotype"/>
          <w:b w:val="1"/>
          <w:i w:val="1"/>
          <w:sz w:val="22"/>
          <w:szCs w:val="22"/>
          <w:rtl w:val="0"/>
        </w:rPr>
        <w:t xml:space="preserve">la parte Recurrente</w:t>
      </w:r>
      <w:r w:rsidDel="00000000" w:rsidR="00000000" w:rsidRPr="00000000">
        <w:rPr>
          <w:rFonts w:ascii="Palatino Linotype" w:cs="Palatino Linotype" w:eastAsia="Palatino Linotype" w:hAnsi="Palatino Linotype"/>
          <w:i w:val="1"/>
          <w:sz w:val="22"/>
          <w:szCs w:val="22"/>
          <w:rtl w:val="0"/>
        </w:rPr>
        <w:t xml:space="preserve"> para que, </w:t>
      </w:r>
      <w:r w:rsidDel="00000000" w:rsidR="00000000" w:rsidRPr="00000000">
        <w:rPr>
          <w:rFonts w:ascii="Palatino Linotype" w:cs="Palatino Linotype" w:eastAsia="Palatino Linotype" w:hAnsi="Palatino Linotype"/>
          <w:b w:val="1"/>
          <w:i w:val="1"/>
          <w:sz w:val="22"/>
          <w:szCs w:val="22"/>
          <w:rtl w:val="0"/>
        </w:rPr>
        <w:t xml:space="preserve">en un término no mayor de cinco días hábiles </w:t>
      </w:r>
      <w:r w:rsidDel="00000000" w:rsidR="00000000" w:rsidRPr="00000000">
        <w:rPr>
          <w:rFonts w:ascii="Palatino Linotype" w:cs="Palatino Linotype" w:eastAsia="Palatino Linotype" w:hAnsi="Palatino Linotype"/>
          <w:i w:val="1"/>
          <w:sz w:val="22"/>
          <w:szCs w:val="22"/>
          <w:rtl w:val="0"/>
        </w:rPr>
        <w:t xml:space="preserve">contados a partir del día hábil siguiente a la fecha de la notificación del presente acuerdo, </w:t>
      </w:r>
      <w:r w:rsidDel="00000000" w:rsidR="00000000" w:rsidRPr="00000000">
        <w:rPr>
          <w:rFonts w:ascii="Palatino Linotype" w:cs="Palatino Linotype" w:eastAsia="Palatino Linotype" w:hAnsi="Palatino Linotype"/>
          <w:b w:val="1"/>
          <w:i w:val="1"/>
          <w:sz w:val="22"/>
          <w:szCs w:val="22"/>
          <w:rtl w:val="0"/>
        </w:rPr>
        <w:t xml:space="preserve">subsane la omisión de acreditar la identidad del titular de los datos personales sobre los cuales se pretende ejercer el Derecho de Acceso, así como su personalidad e identidad en calidad de representante, en los términos indicados.</w:t>
      </w:r>
      <w:r w:rsidDel="00000000" w:rsidR="00000000" w:rsidRPr="00000000">
        <w:rPr>
          <w:rtl w:val="0"/>
        </w:rPr>
      </w:r>
    </w:p>
    <w:p w:rsidR="00000000" w:rsidDel="00000000" w:rsidP="00000000" w:rsidRDefault="00000000" w:rsidRPr="00000000" w14:paraId="0000007A">
      <w:pPr>
        <w:spacing w:line="276" w:lineRule="auto"/>
        <w:ind w:left="567" w:right="47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B">
      <w:pPr>
        <w:spacing w:line="276"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Tercero. </w:t>
      </w:r>
      <w:r w:rsidDel="00000000" w:rsidR="00000000" w:rsidRPr="00000000">
        <w:rPr>
          <w:rFonts w:ascii="Palatino Linotype" w:cs="Palatino Linotype" w:eastAsia="Palatino Linotype" w:hAnsi="Palatino Linotype"/>
          <w:i w:val="1"/>
          <w:sz w:val="22"/>
          <w:szCs w:val="22"/>
          <w:rtl w:val="0"/>
        </w:rPr>
        <w:t xml:space="preserve">Se apercibe a la </w:t>
      </w:r>
      <w:r w:rsidDel="00000000" w:rsidR="00000000" w:rsidRPr="00000000">
        <w:rPr>
          <w:rFonts w:ascii="Palatino Linotype" w:cs="Palatino Linotype" w:eastAsia="Palatino Linotype" w:hAnsi="Palatino Linotype"/>
          <w:b w:val="1"/>
          <w:i w:val="1"/>
          <w:sz w:val="22"/>
          <w:szCs w:val="22"/>
          <w:rtl w:val="0"/>
        </w:rPr>
        <w:t xml:space="preserve">parte Recurrente</w:t>
      </w:r>
      <w:r w:rsidDel="00000000" w:rsidR="00000000" w:rsidRPr="00000000">
        <w:rPr>
          <w:rFonts w:ascii="Palatino Linotype" w:cs="Palatino Linotype" w:eastAsia="Palatino Linotype" w:hAnsi="Palatino Linotype"/>
          <w:i w:val="1"/>
          <w:sz w:val="22"/>
          <w:szCs w:val="22"/>
          <w:rtl w:val="0"/>
        </w:rPr>
        <w:t xml:space="preserve"> que, en caso de no desahogar la prevención en los términos que le es formulada y dentro del plazo señalado, su recurso será sobreseído por improcedente, en términos de los artículos 137, fracción I, 138, fracción II, y 139, fracción III, de la Ley de Protección de Datos Personales en Posesión de Sujetos Obligados del Estado de México y Municipios.”</w:t>
      </w:r>
    </w:p>
    <w:p w:rsidR="00000000" w:rsidDel="00000000" w:rsidP="00000000" w:rsidRDefault="00000000" w:rsidRPr="00000000" w14:paraId="0000007C">
      <w:pPr>
        <w:spacing w:after="240" w:before="240" w:line="360" w:lineRule="auto"/>
        <w:jc w:val="both"/>
        <w:rPr>
          <w:rFonts w:ascii="Palatino Linotype" w:cs="Palatino Linotype" w:eastAsia="Palatino Linotype" w:hAnsi="Palatino Linotype"/>
          <w:sz w:val="22"/>
          <w:szCs w:val="22"/>
        </w:rPr>
      </w:pPr>
      <w:bookmarkStart w:colFirst="0" w:colLast="0" w:name="_heading=h.lnxbz9" w:id="7"/>
      <w:bookmarkEnd w:id="7"/>
      <w:r w:rsidDel="00000000" w:rsidR="00000000" w:rsidRPr="00000000">
        <w:rPr>
          <w:rFonts w:ascii="Palatino Linotype" w:cs="Palatino Linotype" w:eastAsia="Palatino Linotype" w:hAnsi="Palatino Linotype"/>
          <w:sz w:val="22"/>
          <w:szCs w:val="22"/>
          <w:rtl w:val="0"/>
        </w:rPr>
        <w:t xml:space="preserve">Mediante dicho acuerdo, se le concedieron cinco días hábiles</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con la finalidad de que subsanara la omisión de acreditar su identidad y representación, así como la identidad de la persona titular de los datos personales sobre los cuales se pretende ejercer el derecho de acceso, no obstante, </w:t>
      </w:r>
      <w:r w:rsidDel="00000000" w:rsidR="00000000" w:rsidRPr="00000000">
        <w:rPr>
          <w:rFonts w:ascii="Palatino Linotype" w:cs="Palatino Linotype" w:eastAsia="Palatino Linotype" w:hAnsi="Palatino Linotype"/>
          <w:b w:val="1"/>
          <w:sz w:val="22"/>
          <w:szCs w:val="22"/>
          <w:rtl w:val="0"/>
        </w:rPr>
        <w:t xml:space="preserve">de las constancias que obran en expediente electrónico, así como de la revisión al correo institucional,</w:t>
      </w:r>
      <w:r w:rsidDel="00000000" w:rsidR="00000000" w:rsidRPr="00000000">
        <w:rPr>
          <w:rFonts w:ascii="Palatino Linotype" w:cs="Palatino Linotype" w:eastAsia="Palatino Linotype" w:hAnsi="Palatino Linotype"/>
          <w:sz w:val="22"/>
          <w:szCs w:val="22"/>
          <w:rtl w:val="0"/>
        </w:rPr>
        <w:t xml:space="preserve"> se desprende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no atendió la prevención en el plazo establecido para tal efecto, por tanto al no haber exhibido los documentos mediante los cuales subsanara la omisión referida, subsiste el incumplimiento al requisito establecido en el artículo 106, párrafo tercero de </w:t>
      </w:r>
      <w:r w:rsidDel="00000000" w:rsidR="00000000" w:rsidRPr="00000000">
        <w:rPr>
          <w:rFonts w:ascii="Palatino Linotype" w:cs="Palatino Linotype" w:eastAsia="Palatino Linotype" w:hAnsi="Palatino Linotype"/>
          <w:b w:val="1"/>
          <w:sz w:val="22"/>
          <w:szCs w:val="22"/>
          <w:rtl w:val="0"/>
        </w:rPr>
        <w:t xml:space="preserve">Ley de Protección de Datos Personales en Posesión de Sujeto Obligados del Estado de México y Municipios, </w:t>
      </w:r>
      <w:r w:rsidDel="00000000" w:rsidR="00000000" w:rsidRPr="00000000">
        <w:rPr>
          <w:rFonts w:ascii="Palatino Linotype" w:cs="Palatino Linotype" w:eastAsia="Palatino Linotype" w:hAnsi="Palatino Linotype"/>
          <w:sz w:val="22"/>
          <w:szCs w:val="22"/>
          <w:rtl w:val="0"/>
        </w:rPr>
        <w:t xml:space="preserve">el cual claramente establece que para el ejercicio de los derechos ARCO será necesario acreditar la identidad de titular y en su caso la identidad y personalidad con la que actúe el representante.</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cobra relevancia lo establecido en</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los artículos 138, fracción II y</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139, fracción III de la Ley de Protección de Datos Personales en Posesión de Sujetos Obligados del Estado de México y Municipios, a saber: </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120" w:before="120" w:lineRule="auto"/>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Causales de improcedencia</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120" w:before="120" w:lineRule="auto"/>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138</w:t>
      </w:r>
      <w:r w:rsidDel="00000000" w:rsidR="00000000" w:rsidRPr="00000000">
        <w:rPr>
          <w:rFonts w:ascii="Palatino Linotype" w:cs="Palatino Linotype" w:eastAsia="Palatino Linotype" w:hAnsi="Palatino Linotype"/>
          <w:i w:val="1"/>
          <w:sz w:val="22"/>
          <w:szCs w:val="22"/>
          <w:rtl w:val="0"/>
        </w:rPr>
        <w:t xml:space="preserve">. El recurso de revisión podrá ser desechado por improcedente cuando:</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120" w:before="120" w:lineRule="auto"/>
        <w:ind w:left="1134"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Sea extemporáneo por haber transcurrido el plazo establecido en el artículo 128 de la presente Ley. </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120" w:before="120" w:lineRule="auto"/>
        <w:ind w:left="1134" w:right="618"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II. El titular o su representante no acrediten debidamente su identidad y personalidad de este último.</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120" w:before="120" w:lineRule="auto"/>
        <w:ind w:left="1134"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El Instituto haya resuelto anteriormente en definitiva sobre la materia del mismo. </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120" w:before="120" w:lineRule="auto"/>
        <w:ind w:left="1134"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No se actualice alguna de las causales del recurso de revisión previstas en el artículo 129 de la presente Ley. </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120" w:before="120" w:lineRule="auto"/>
        <w:ind w:left="1134"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Se esté tramitando ante los tribunales competentes algún recurso o medio de defensa interpuesto por el recurrente, o en su caso, por el tercero interesado, en contra del acto recurrido ante el Instituto. </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120" w:before="120" w:lineRule="auto"/>
        <w:ind w:left="1134"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El recurrente modifique o amplíe su petición en el recurso de revisión, únicamente respecto de los nuevos contenidos. </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120" w:before="120" w:lineRule="auto"/>
        <w:ind w:left="1134"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El recurrente no acredite interés jurídico. </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120" w:before="120" w:lineRule="auto"/>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desechamiento no implica la preclusión del derecho del titular para interponer ante el Instituto un nuevo recurso de revisión.</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120" w:before="120" w:lineRule="auto"/>
        <w:ind w:left="851" w:right="61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Causales de Sobreseimiento</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120" w:before="120" w:lineRule="auto"/>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139</w:t>
      </w:r>
      <w:r w:rsidDel="00000000" w:rsidR="00000000" w:rsidRPr="00000000">
        <w:rPr>
          <w:rFonts w:ascii="Palatino Linotype" w:cs="Palatino Linotype" w:eastAsia="Palatino Linotype" w:hAnsi="Palatino Linotype"/>
          <w:i w:val="1"/>
          <w:sz w:val="22"/>
          <w:szCs w:val="22"/>
          <w:rtl w:val="0"/>
        </w:rPr>
        <w:t xml:space="preserve">. El recurso de revisión sólo podrá ser sobreseído cuando: </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120" w:before="120" w:lineRule="auto"/>
        <w:ind w:left="1134"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recurrente se desista expresamente. </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120" w:before="120" w:lineRule="auto"/>
        <w:ind w:left="1134"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El recurrente fallezca. </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120" w:before="120" w:lineRule="auto"/>
        <w:ind w:left="1134"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III. Admitido el recurso de revisión, se actualice alguna causal de improcedencia en los términos de la presente Ley</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120" w:before="120" w:lineRule="auto"/>
        <w:ind w:left="1134"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El responsable modifique o revoque su respuesta de tal manera que el recurso de revisión quede sin materia. </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120" w:before="120" w:lineRule="auto"/>
        <w:ind w:left="1134"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Quede sin materia el recurso de revisión.”</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consiguiente, de las constancias que obran en el expediente electrónico en que se actúa, se advierte que se actualiza el supuesto de sobreseimiento previsto en la fracción III, del artículo 139, en correlación con la fracción II de artículo 138, ambos de la Ley en comento, esto es que admitido el recurso de revisión, se actualice alguna causal de improcedencia, siendo esta en el caso particular, que el titular o su representante no acrediten debidamente su identidad y personalidad de este último.</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en virtud de que se insiste, no existen constancias tendentes a acreditar debidamente interés, identidad y personalidad de la persona solicitante de los datos personales, desde la presentación de la solicitud ni durante la sustanciación del recurso de revisión que nos ocupa, se concluye que se está ante la presencia de la causal de sobreseimiento establecida en el diverso 139, fracción III, de la Ley de la materia; sin embargo, toda vez que fue admitido el medio de impugnación, y subsistió la causal de improcedencia consistente en la omisión de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resulta procedente </w:t>
      </w:r>
      <w:r w:rsidDel="00000000" w:rsidR="00000000" w:rsidRPr="00000000">
        <w:rPr>
          <w:rFonts w:ascii="Palatino Linotype" w:cs="Palatino Linotype" w:eastAsia="Palatino Linotype" w:hAnsi="Palatino Linotype"/>
          <w:b w:val="1"/>
          <w:sz w:val="22"/>
          <w:szCs w:val="22"/>
          <w:rtl w:val="0"/>
        </w:rPr>
        <w:t xml:space="preserve">Sobreseer </w:t>
      </w:r>
      <w:r w:rsidDel="00000000" w:rsidR="00000000" w:rsidRPr="00000000">
        <w:rPr>
          <w:rFonts w:ascii="Palatino Linotype" w:cs="Palatino Linotype" w:eastAsia="Palatino Linotype" w:hAnsi="Palatino Linotype"/>
          <w:sz w:val="22"/>
          <w:szCs w:val="22"/>
          <w:rtl w:val="0"/>
        </w:rPr>
        <w:t xml:space="preserve">el presente recurso de revisión, de conformidad con el artículo 137, fracción I</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 la Ley de Protección de Datos Personales en Posesión de Sujetos Obligados del Estado de México y Municipios, que es del tenor literal siguiente: </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120" w:before="120" w:lineRule="auto"/>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137</w:t>
      </w:r>
      <w:r w:rsidDel="00000000" w:rsidR="00000000" w:rsidRPr="00000000">
        <w:rPr>
          <w:rFonts w:ascii="Palatino Linotype" w:cs="Palatino Linotype" w:eastAsia="Palatino Linotype" w:hAnsi="Palatino Linotype"/>
          <w:i w:val="1"/>
          <w:sz w:val="22"/>
          <w:szCs w:val="22"/>
          <w:rtl w:val="0"/>
        </w:rPr>
        <w:t xml:space="preserve">. Las resoluciones del Instituto podrán: </w:t>
      </w:r>
    </w:p>
    <w:p w:rsidR="00000000" w:rsidDel="00000000" w:rsidP="00000000" w:rsidRDefault="00000000" w:rsidRPr="00000000" w14:paraId="00000092">
      <w:pPr>
        <w:numPr>
          <w:ilvl w:val="0"/>
          <w:numId w:val="2"/>
        </w:numPr>
        <w:pBdr>
          <w:top w:space="0" w:sz="0" w:val="nil"/>
          <w:left w:space="0" w:sz="0" w:val="nil"/>
          <w:bottom w:space="0" w:sz="0" w:val="nil"/>
          <w:right w:space="0" w:sz="0" w:val="nil"/>
          <w:between w:space="0" w:sz="0" w:val="nil"/>
        </w:pBdr>
        <w:spacing w:after="120" w:before="120" w:lineRule="auto"/>
        <w:ind w:left="1134" w:right="618"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Sobreseer o desechar el recurso de revisión por improcedente.”</w:t>
      </w:r>
    </w:p>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left" w:leader="none" w:pos="0"/>
        </w:tabs>
        <w:spacing w:after="240" w:before="240"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No obsta mencionar que, de acuerdo con el procesalista Niceto Alcalá-Zamora y Castillo en su obra </w:t>
      </w:r>
      <w:r w:rsidDel="00000000" w:rsidR="00000000" w:rsidRPr="00000000">
        <w:rPr>
          <w:rFonts w:ascii="Palatino Linotype" w:cs="Palatino Linotype" w:eastAsia="Palatino Linotype" w:hAnsi="Palatino Linotype"/>
          <w:i w:val="1"/>
          <w:sz w:val="22"/>
          <w:szCs w:val="22"/>
          <w:rtl w:val="0"/>
        </w:rPr>
        <w:t xml:space="preserve">“Cuestiones de Terminología Procesal”</w:t>
      </w:r>
      <w:r w:rsidDel="00000000" w:rsidR="00000000" w:rsidRPr="00000000">
        <w:rPr>
          <w:rFonts w:ascii="Palatino Linotype" w:cs="Palatino Linotype" w:eastAsia="Palatino Linotype" w:hAnsi="Palatino Linotype"/>
          <w:sz w:val="22"/>
          <w:szCs w:val="22"/>
          <w:rtl w:val="0"/>
        </w:rPr>
        <w:t xml:space="preserve">, el sobreseimiento es </w:t>
      </w:r>
      <w:r w:rsidDel="00000000" w:rsidR="00000000" w:rsidRPr="00000000">
        <w:rPr>
          <w:rFonts w:ascii="Palatino Linotype" w:cs="Palatino Linotype" w:eastAsia="Palatino Linotype" w:hAnsi="Palatino Linotype"/>
          <w:i w:val="1"/>
          <w:sz w:val="22"/>
          <w:szCs w:val="22"/>
          <w:rtl w:val="0"/>
        </w:rPr>
        <w:t xml:space="preserve">“...una resolución en forma de auto, que produce la suspensión indefinida del procedimiento penal, o que pone fin al proceso, impidiendo en ambos casos, mientras subsista, la apertura del plenario o que en él se pronuncie sentencia...”</w:t>
      </w:r>
    </w:p>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left" w:leader="none" w:pos="0"/>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Y por su parte, Eduardo Pallares, en su artículo </w:t>
      </w:r>
      <w:r w:rsidDel="00000000" w:rsidR="00000000" w:rsidRPr="00000000">
        <w:rPr>
          <w:rFonts w:ascii="Palatino Linotype" w:cs="Palatino Linotype" w:eastAsia="Palatino Linotype" w:hAnsi="Palatino Linotype"/>
          <w:i w:val="1"/>
          <w:sz w:val="22"/>
          <w:szCs w:val="22"/>
          <w:rtl w:val="0"/>
        </w:rPr>
        <w:t xml:space="preserve">“La caducidad y el sobreseimiento en el amparo”</w:t>
      </w:r>
      <w:r w:rsidDel="00000000" w:rsidR="00000000" w:rsidRPr="00000000">
        <w:rPr>
          <w:rFonts w:ascii="Palatino Linotype" w:cs="Palatino Linotype" w:eastAsia="Palatino Linotype" w:hAnsi="Palatino Linotype"/>
          <w:sz w:val="22"/>
          <w:szCs w:val="22"/>
          <w:rtl w:val="0"/>
        </w:rPr>
        <w:t xml:space="preserve">, cita la definición de Aguilera Paz, aduciendo que se </w:t>
      </w:r>
      <w:r w:rsidDel="00000000" w:rsidR="00000000" w:rsidRPr="00000000">
        <w:rPr>
          <w:rFonts w:ascii="Palatino Linotype" w:cs="Palatino Linotype" w:eastAsia="Palatino Linotype" w:hAnsi="Palatino Linotype"/>
          <w:i w:val="1"/>
          <w:sz w:val="22"/>
          <w:szCs w:val="22"/>
          <w:rtl w:val="0"/>
        </w:rPr>
        <w:t xml:space="preserve">“...entiende por sobreseimiento en el tecnicismo forense, el hecho de cesar en el procedimiento o curso de la causa, por no existir méritos bastantes para entrar en un juicio o para entablar la contienda judicial que debe ser objeto del mismo...”</w:t>
      </w:r>
      <w:r w:rsidDel="00000000" w:rsidR="00000000" w:rsidRPr="00000000">
        <w:rPr>
          <w:rFonts w:ascii="Palatino Linotype" w:cs="Palatino Linotype" w:eastAsia="Palatino Linotype" w:hAnsi="Palatino Linotype"/>
          <w:sz w:val="22"/>
          <w:szCs w:val="22"/>
          <w:rtl w:val="0"/>
        </w:rPr>
        <w:t xml:space="preserve">. Asimismo señala que existe el sobreseimiento provisional y el definitivo</w:t>
      </w:r>
      <w:r w:rsidDel="00000000" w:rsidR="00000000" w:rsidRPr="00000000">
        <w:rPr>
          <w:rFonts w:ascii="Palatino Linotype" w:cs="Palatino Linotype" w:eastAsia="Palatino Linotype" w:hAnsi="Palatino Linotype"/>
          <w:i w:val="1"/>
          <w:sz w:val="22"/>
          <w:szCs w:val="22"/>
          <w:rtl w:val="0"/>
        </w:rPr>
        <w:t xml:space="preserve">: “...el definitivo es una verdadera sentencia que pone fin al juicio, y que una vez dictada, produce cosa juzgada, mientras que el provisorio tiene por efectos suspender la prosecución de la causa...”</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left" w:leader="none" w:pos="0"/>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para la doctrina el sobreseimiento provoca que un procedimiento se suspenda o se resuelva en definitiva </w:t>
      </w:r>
      <w:r w:rsidDel="00000000" w:rsidR="00000000" w:rsidRPr="00000000">
        <w:rPr>
          <w:rFonts w:ascii="Palatino Linotype" w:cs="Palatino Linotype" w:eastAsia="Palatino Linotype" w:hAnsi="Palatino Linotype"/>
          <w:b w:val="1"/>
          <w:sz w:val="22"/>
          <w:szCs w:val="22"/>
          <w:u w:val="single"/>
          <w:rtl w:val="0"/>
        </w:rPr>
        <w:t xml:space="preserve">sin que se entre al estudio de los agravios o motivos de inconformidad</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Este mismo criterio es compartido por el más alto tribunal del país en múltiples jurisprudencias, por lo que a continuación se agrega una de ellas que sirve como orientador en esta resolución:</w:t>
      </w:r>
    </w:p>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left" w:leader="none" w:pos="7938"/>
        </w:tabs>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“SOBRESEIMIENTO EN EL JUICIO DE AMPARO DIRECTO. IMPIDE EL ESTUDIO DE LAS VIOLACIONES PROCESALES PLANTEADAS EN LOS CONCEPTOS DE VIOLACIÓN. El sobreseimiento</w:t>
      </w:r>
      <w:r w:rsidDel="00000000" w:rsidR="00000000" w:rsidRPr="00000000">
        <w:rPr>
          <w:rFonts w:ascii="Palatino Linotype" w:cs="Palatino Linotype" w:eastAsia="Palatino Linotype" w:hAnsi="Palatino Linotype"/>
          <w:i w:val="1"/>
          <w:sz w:val="22"/>
          <w:szCs w:val="22"/>
          <w:rtl w:val="0"/>
        </w:rPr>
        <w:t xml:space="preserve"> en el juicio de amparo directo </w:t>
      </w:r>
      <w:r w:rsidDel="00000000" w:rsidR="00000000" w:rsidRPr="00000000">
        <w:rPr>
          <w:rFonts w:ascii="Palatino Linotype" w:cs="Palatino Linotype" w:eastAsia="Palatino Linotype" w:hAnsi="Palatino Linotype"/>
          <w:b w:val="1"/>
          <w:i w:val="1"/>
          <w:sz w:val="22"/>
          <w:szCs w:val="22"/>
          <w:rtl w:val="0"/>
        </w:rPr>
        <w:t xml:space="preserve">provoca la terminación de la controversia planteada</w:t>
      </w:r>
      <w:r w:rsidDel="00000000" w:rsidR="00000000" w:rsidRPr="00000000">
        <w:rPr>
          <w:rFonts w:ascii="Palatino Linotype" w:cs="Palatino Linotype" w:eastAsia="Palatino Linotype" w:hAnsi="Palatino Linotype"/>
          <w:i w:val="1"/>
          <w:sz w:val="22"/>
          <w:szCs w:val="22"/>
          <w:rtl w:val="0"/>
        </w:rPr>
        <w:t xml:space="preserve"> por el quejoso en la demanda de amparo</w:t>
      </w:r>
      <w:r w:rsidDel="00000000" w:rsidR="00000000" w:rsidRPr="00000000">
        <w:rPr>
          <w:rFonts w:ascii="Palatino Linotype" w:cs="Palatino Linotype" w:eastAsia="Palatino Linotype" w:hAnsi="Palatino Linotype"/>
          <w:b w:val="1"/>
          <w:i w:val="1"/>
          <w:sz w:val="22"/>
          <w:szCs w:val="22"/>
          <w:rtl w:val="0"/>
        </w:rPr>
        <w:t xml:space="preserve">, sin hacer un pronunciamiento de fondo sobre la legalidad o ilegalidad de la sentencia reclamada</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Por consiguiente, si al sobreseerse en el juicio de amparo </w:t>
      </w:r>
      <w:r w:rsidDel="00000000" w:rsidR="00000000" w:rsidRPr="00000000">
        <w:rPr>
          <w:rFonts w:ascii="Palatino Linotype" w:cs="Palatino Linotype" w:eastAsia="Palatino Linotype" w:hAnsi="Palatino Linotype"/>
          <w:b w:val="1"/>
          <w:i w:val="1"/>
          <w:sz w:val="22"/>
          <w:szCs w:val="22"/>
          <w:u w:val="single"/>
          <w:rtl w:val="0"/>
        </w:rPr>
        <w:t xml:space="preserve">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se dejan a salvo los derechos de la persona solicitante para que presente nueva solicitud en caso de ser de su interés; asimismo, es importante hacer de su conocimiento que la Ley otorga a los titulares de los datos personales el derecho a acceder, rectificar y cancelar su información personal en posesión de Sujetos Obligados, o bien oponerse al tratamiento de la misma, recordando que </w:t>
      </w:r>
      <w:r w:rsidDel="00000000" w:rsidR="00000000" w:rsidRPr="00000000">
        <w:rPr>
          <w:rFonts w:ascii="Palatino Linotype" w:cs="Palatino Linotype" w:eastAsia="Palatino Linotype" w:hAnsi="Palatino Linotype"/>
          <w:b w:val="1"/>
          <w:sz w:val="22"/>
          <w:szCs w:val="22"/>
          <w:rtl w:val="0"/>
        </w:rPr>
        <w:t xml:space="preserve">para ejercer dichos derechos ante el responsable o el Instituto, deberá demostrar que es el titular de los datos o, en caso de que lo haga en representación del titular de los datos personales, deberá acreditar ésta situación.</w:t>
      </w:r>
      <w:r w:rsidDel="00000000" w:rsidR="00000000" w:rsidRPr="00000000">
        <w:rPr>
          <w:rFonts w:ascii="Palatino Linotype" w:cs="Palatino Linotype" w:eastAsia="Palatino Linotype" w:hAnsi="Palatino Linotype"/>
          <w:sz w:val="22"/>
          <w:szCs w:val="22"/>
          <w:rtl w:val="0"/>
        </w:rPr>
        <w:t xml:space="preserve"> Esto está pensado para que NADIE más que el titular o el representante, puedan decidir el uso que se le dará a sus datos personales, como una medida de seguridad de si información personal.</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lo anterior pueden ser utilizados los medios de identificación y formas de acreditar la personalidad que se prevén en los artículos 120 y 121 de la Ley de Protección de Datos Personales en Posesión de Sujetos Obligados del Estado de México y Municipios; 73, 76 y 77 de los Lineamientos Generales de Protección de Datos Personales para el Sector Público; 2.5 Bis, del Código Civil del Estado de México, y de ésta manera evitar el uso malintencionado que alguien pueda hacer de la información o documentación que le concierne.</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se hace del conocimiento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que existe el sistema denominado Sistema de Acceso, Rectificación, Cancelación y Oposición de Datos Personales del Estado de México, SARCOEM; a través del cual, puede ejercer los derechos ARCO, que se refieren a aquel derecho que tiene el titular de datos personales, para solicitar el acceso, rectificación, cancelación, oposición y portabilidad sobre el tratamiento de sus datos, ante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esté en posesión de los mismos.</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Cabe mencionar que el sistema SARCOEM se encuentra en la dirección electrónica: </w:t>
      </w:r>
      <w:hyperlink r:id="rId8">
        <w:r w:rsidDel="00000000" w:rsidR="00000000" w:rsidRPr="00000000">
          <w:rPr>
            <w:rFonts w:ascii="Palatino Linotype" w:cs="Palatino Linotype" w:eastAsia="Palatino Linotype" w:hAnsi="Palatino Linotype"/>
            <w:color w:val="000000"/>
            <w:sz w:val="22"/>
            <w:szCs w:val="22"/>
            <w:u w:val="single"/>
            <w:rtl w:val="0"/>
          </w:rPr>
          <w:t xml:space="preserve">https://www.sarcoem.org.mx/sarcoem/ciudadano/login.page</w:t>
        </w:r>
      </w:hyperlink>
      <w:r w:rsidDel="00000000" w:rsidR="00000000" w:rsidRPr="00000000">
        <w:rPr>
          <w:rFonts w:ascii="Palatino Linotype" w:cs="Palatino Linotype" w:eastAsia="Palatino Linotype" w:hAnsi="Palatino Linotype"/>
          <w:sz w:val="22"/>
          <w:szCs w:val="22"/>
          <w:rtl w:val="0"/>
        </w:rPr>
        <w:t xml:space="preserve">, asimismo, las guías de uso de dicho sistema, tales como el registro ciudadano, el registro de solicitudes, el seguimiento a recursos de revisión, entre otras, se encuentran disponibles en la siguiente dirección electrónica: </w:t>
      </w:r>
      <w:hyperlink r:id="rId9">
        <w:r w:rsidDel="00000000" w:rsidR="00000000" w:rsidRPr="00000000">
          <w:rPr>
            <w:rFonts w:ascii="Palatino Linotype" w:cs="Palatino Linotype" w:eastAsia="Palatino Linotype" w:hAnsi="Palatino Linotype"/>
            <w:color w:val="000000"/>
            <w:sz w:val="22"/>
            <w:szCs w:val="22"/>
            <w:u w:val="single"/>
            <w:rtl w:val="0"/>
          </w:rPr>
          <w:t xml:space="preserve">https://www.sarcoem.org.mx/sarcoem/guias.html</w:t>
        </w:r>
      </w:hyperlink>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9B">
      <w:pPr>
        <w:tabs>
          <w:tab w:val="left" w:leader="none" w:pos="426"/>
        </w:tabs>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toda vez que dentro del expediente electrónico no se advirtió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 cumplimiento a lo dispuesto en los artículos 106 y 118 de la Ley de Protección de Datos Personales en Posesión de Sujetos Obligados del Estado de México y Municipios, verificara la identidad y representación de la persona solicitante previo a la entrega de datos personales, concretamente por lo que se refiere a los montos de las deducciones personales acumuladas recibidas en el ejercicio 2024 por la persona referida en la solicitud, en virtud de que el nombre del usuario del sistema SAIMEX y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el presente asunto, es distinto al de la presunta titular de los datos personales, se estima procedente dar vista a la Dirección General de Protección de Datos Personales de este Instituto, con fundamento en el artículo 82, fracción XXVII de la Ley de Protección de Datos Personales del Estado de México y Municipios, a fin de llevar a cabo el procedimiento que conforme a Derecho corresponda.</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tercero, trigésimo cuarto y trigésimo quinto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III. R E S U E L V E</w:t>
      </w:r>
    </w:p>
    <w:p w:rsidR="00000000" w:rsidDel="00000000" w:rsidP="00000000" w:rsidRDefault="00000000" w:rsidRPr="00000000" w14:paraId="0000009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Se</w:t>
      </w:r>
      <w:r w:rsidDel="00000000" w:rsidR="00000000" w:rsidRPr="00000000">
        <w:rPr>
          <w:rFonts w:ascii="Palatino Linotype" w:cs="Palatino Linotype" w:eastAsia="Palatino Linotype" w:hAnsi="Palatino Linotype"/>
          <w:b w:val="1"/>
          <w:sz w:val="22"/>
          <w:szCs w:val="22"/>
          <w:rtl w:val="0"/>
        </w:rPr>
        <w:t xml:space="preserve"> Sobresee, </w:t>
      </w:r>
      <w:r w:rsidDel="00000000" w:rsidR="00000000" w:rsidRPr="00000000">
        <w:rPr>
          <w:rFonts w:ascii="Palatino Linotype" w:cs="Palatino Linotype" w:eastAsia="Palatino Linotype" w:hAnsi="Palatino Linotype"/>
          <w:sz w:val="22"/>
          <w:szCs w:val="22"/>
          <w:rtl w:val="0"/>
        </w:rPr>
        <w:t xml:space="preserve">por </w:t>
      </w:r>
      <w:r w:rsidDel="00000000" w:rsidR="00000000" w:rsidRPr="00000000">
        <w:rPr>
          <w:rFonts w:ascii="Palatino Linotype" w:cs="Palatino Linotype" w:eastAsia="Palatino Linotype" w:hAnsi="Palatino Linotype"/>
          <w:b w:val="1"/>
          <w:sz w:val="22"/>
          <w:szCs w:val="22"/>
          <w:rtl w:val="0"/>
        </w:rPr>
        <w:t xml:space="preserve">improcedente</w:t>
      </w:r>
      <w:r w:rsidDel="00000000" w:rsidR="00000000" w:rsidRPr="00000000">
        <w:rPr>
          <w:rFonts w:ascii="Palatino Linotype" w:cs="Palatino Linotype" w:eastAsia="Palatino Linotype" w:hAnsi="Palatino Linotype"/>
          <w:sz w:val="22"/>
          <w:szCs w:val="22"/>
          <w:rtl w:val="0"/>
        </w:rPr>
        <w:t xml:space="preserve"> el recurso de revisión número </w:t>
      </w:r>
      <w:r w:rsidDel="00000000" w:rsidR="00000000" w:rsidRPr="00000000">
        <w:rPr>
          <w:rFonts w:ascii="Palatino Linotype" w:cs="Palatino Linotype" w:eastAsia="Palatino Linotype" w:hAnsi="Palatino Linotype"/>
          <w:b w:val="1"/>
          <w:sz w:val="22"/>
          <w:szCs w:val="22"/>
          <w:rtl w:val="0"/>
        </w:rPr>
        <w:t xml:space="preserve">00404/INFOEM/IP/RR/2025, </w:t>
      </w:r>
      <w:r w:rsidDel="00000000" w:rsidR="00000000" w:rsidRPr="00000000">
        <w:rPr>
          <w:rFonts w:ascii="Palatino Linotype" w:cs="Palatino Linotype" w:eastAsia="Palatino Linotype" w:hAnsi="Palatino Linotype"/>
          <w:sz w:val="22"/>
          <w:szCs w:val="22"/>
          <w:rtl w:val="0"/>
        </w:rPr>
        <w:t xml:space="preserve">de conformidad con lo dispuesto en el artículo 139 fracción III, en relación con el artículo 138 fracción II, ambos de la Ley de Protección de Datos Personales en Posesión de Sujetos Obligados del Estado de México y Municipios, en términos del Considerando </w:t>
      </w:r>
      <w:r w:rsidDel="00000000" w:rsidR="00000000" w:rsidRPr="00000000">
        <w:rPr>
          <w:rFonts w:ascii="Palatino Linotype" w:cs="Palatino Linotype" w:eastAsia="Palatino Linotype" w:hAnsi="Palatino Linotype"/>
          <w:b w:val="1"/>
          <w:sz w:val="22"/>
          <w:szCs w:val="22"/>
          <w:rtl w:val="0"/>
        </w:rPr>
        <w:t xml:space="preserve">Tercero</w:t>
      </w:r>
      <w:r w:rsidDel="00000000" w:rsidR="00000000" w:rsidRPr="00000000">
        <w:rPr>
          <w:rFonts w:ascii="Palatino Linotype" w:cs="Palatino Linotype" w:eastAsia="Palatino Linotype" w:hAnsi="Palatino Linotype"/>
          <w:sz w:val="22"/>
          <w:szCs w:val="22"/>
          <w:rtl w:val="0"/>
        </w:rPr>
        <w:t xml:space="preserve"> de la presente Resolución.</w:t>
      </w:r>
    </w:p>
    <w:p w:rsidR="00000000" w:rsidDel="00000000" w:rsidP="00000000" w:rsidRDefault="00000000" w:rsidRPr="00000000" w14:paraId="0000009F">
      <w:pPr>
        <w:tabs>
          <w:tab w:val="left" w:leader="none" w:pos="7936"/>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Notifíquese, </w:t>
      </w:r>
      <w:r w:rsidDel="00000000" w:rsidR="00000000" w:rsidRPr="00000000">
        <w:rPr>
          <w:rFonts w:ascii="Palatino Linotype" w:cs="Palatino Linotype" w:eastAsia="Palatino Linotype" w:hAnsi="Palatino Linotype"/>
          <w:sz w:val="22"/>
          <w:szCs w:val="22"/>
          <w:rtl w:val="0"/>
        </w:rPr>
        <w:t xml:space="preserve">vía</w:t>
      </w:r>
      <w:r w:rsidDel="00000000" w:rsidR="00000000" w:rsidRPr="00000000">
        <w:rPr>
          <w:rFonts w:ascii="Palatino Linotype" w:cs="Palatino Linotype" w:eastAsia="Palatino Linotype" w:hAnsi="Palatino Linotype"/>
          <w:b w:val="1"/>
          <w:sz w:val="22"/>
          <w:szCs w:val="22"/>
          <w:rtl w:val="0"/>
        </w:rPr>
        <w:t xml:space="preserve"> SAIMEX</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al Responsable de la Unidad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presente resolución, para su conocimiento.</w:t>
      </w:r>
    </w:p>
    <w:p w:rsidR="00000000" w:rsidDel="00000000" w:rsidP="00000000" w:rsidRDefault="00000000" w:rsidRPr="00000000" w14:paraId="000000A0">
      <w:pPr>
        <w:tabs>
          <w:tab w:val="left" w:leader="none" w:pos="4667"/>
        </w:tabs>
        <w:spacing w:after="240" w:before="240" w:line="360" w:lineRule="auto"/>
        <w:jc w:val="both"/>
        <w:rPr>
          <w:rFonts w:ascii="Palatino Linotype" w:cs="Palatino Linotype" w:eastAsia="Palatino Linotype" w:hAnsi="Palatino Linotype"/>
          <w:sz w:val="22"/>
          <w:szCs w:val="22"/>
        </w:rPr>
      </w:pPr>
      <w:bookmarkStart w:colFirst="0" w:colLast="0" w:name="_heading=h.26in1rg" w:id="8"/>
      <w:bookmarkEnd w:id="8"/>
      <w:r w:rsidDel="00000000" w:rsidR="00000000" w:rsidRPr="00000000">
        <w:rPr>
          <w:rFonts w:ascii="Palatino Linotype" w:cs="Palatino Linotype" w:eastAsia="Palatino Linotype" w:hAnsi="Palatino Linotype"/>
          <w:b w:val="1"/>
          <w:sz w:val="22"/>
          <w:szCs w:val="22"/>
          <w:rtl w:val="0"/>
        </w:rPr>
        <w:t xml:space="preserve">Tercero. Notifíquese, </w:t>
      </w:r>
      <w:r w:rsidDel="00000000" w:rsidR="00000000" w:rsidRPr="00000000">
        <w:rPr>
          <w:rFonts w:ascii="Palatino Linotype" w:cs="Palatino Linotype" w:eastAsia="Palatino Linotype" w:hAnsi="Palatino Linotype"/>
          <w:sz w:val="22"/>
          <w:szCs w:val="22"/>
          <w:rtl w:val="0"/>
        </w:rPr>
        <w:t xml:space="preserve">vía</w:t>
      </w:r>
      <w:r w:rsidDel="00000000" w:rsidR="00000000" w:rsidRPr="00000000">
        <w:rPr>
          <w:rFonts w:ascii="Palatino Linotype" w:cs="Palatino Linotype" w:eastAsia="Palatino Linotype" w:hAnsi="Palatino Linotype"/>
          <w:b w:val="1"/>
          <w:sz w:val="22"/>
          <w:szCs w:val="22"/>
          <w:rtl w:val="0"/>
        </w:rPr>
        <w:t xml:space="preserve"> SAIMEX y correo electrónico</w:t>
      </w:r>
      <w:r w:rsidDel="00000000" w:rsidR="00000000" w:rsidRPr="00000000">
        <w:rPr>
          <w:rFonts w:ascii="Palatino Linotype" w:cs="Palatino Linotype" w:eastAsia="Palatino Linotype" w:hAnsi="Palatino Linotype"/>
          <w:sz w:val="22"/>
          <w:szCs w:val="22"/>
          <w:rtl w:val="0"/>
        </w:rPr>
        <w:t xml:space="preserve">, 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la presente resolución; asimismo, se hace de su conocimiento que de conformidad con lo establecido en el artículo 196 de la Ley de Transparencia y Acceso a la Información Pública del Estado de México y Municipios y 142 de la Ley de Protección de Datos Personales en Posesión de Sujetos Obligados del Estado de México y Municipios podrá promover el Juicio de Amparo en los términos de las leyes aplicables. </w:t>
      </w:r>
    </w:p>
    <w:p w:rsidR="00000000" w:rsidDel="00000000" w:rsidP="00000000" w:rsidRDefault="00000000" w:rsidRPr="00000000" w14:paraId="000000A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Gírese </w:t>
      </w:r>
      <w:r w:rsidDel="00000000" w:rsidR="00000000" w:rsidRPr="00000000">
        <w:rPr>
          <w:rFonts w:ascii="Palatino Linotype" w:cs="Palatino Linotype" w:eastAsia="Palatino Linotype" w:hAnsi="Palatino Linotype"/>
          <w:sz w:val="22"/>
          <w:szCs w:val="22"/>
          <w:rtl w:val="0"/>
        </w:rPr>
        <w:t xml:space="preserve">oficio a la Dirección de Protección de Datos Personales de este Instituto para hacer de su conocimiento la presente resolución, a fin de que en ejercicio de sus atribuciones y de conformidad con el artículo 82 de la Ley de Protección de Datos Personales en Posesión de Sujetos Obligados del Estado de México y Municipios, determine lo conducente, en términos de lo señalado en el Considerando </w:t>
      </w:r>
      <w:r w:rsidDel="00000000" w:rsidR="00000000" w:rsidRPr="00000000">
        <w:rPr>
          <w:rFonts w:ascii="Palatino Linotype" w:cs="Palatino Linotype" w:eastAsia="Palatino Linotype" w:hAnsi="Palatino Linotype"/>
          <w:b w:val="1"/>
          <w:sz w:val="22"/>
          <w:szCs w:val="22"/>
          <w:rtl w:val="0"/>
        </w:rPr>
        <w:t xml:space="preserve">Tercero</w:t>
      </w:r>
      <w:r w:rsidDel="00000000" w:rsidR="00000000" w:rsidRPr="00000000">
        <w:rPr>
          <w:rFonts w:ascii="Palatino Linotype" w:cs="Palatino Linotype" w:eastAsia="Palatino Linotype" w:hAnsi="Palatino Linotype"/>
          <w:sz w:val="22"/>
          <w:szCs w:val="22"/>
          <w:rtl w:val="0"/>
        </w:rPr>
        <w:t xml:space="preserve"> de la presente resolución.</w:t>
      </w:r>
    </w:p>
    <w:p w:rsidR="00000000" w:rsidDel="00000000" w:rsidP="00000000" w:rsidRDefault="00000000" w:rsidRPr="00000000" w14:paraId="000000A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EMITIENDO VOTO PARTICULAR CONCURRENTE Y GUADALUPE RAMÍREZ PEÑA EMITIENDO VOTO PARTICULAR CONCURRENTE; EN LA OCTAVA SESIÓN ORDINARIA, CELEBRADA EL SEIS DE MARZO DE DOS MIL VEINTICINCO, ANTE EL SECRETARIO TÉCNICO DEL PLENO ALEXIS TAPIA RAMÍREZ. </w:t>
      </w:r>
    </w:p>
    <w:p w:rsidR="00000000" w:rsidDel="00000000" w:rsidP="00000000" w:rsidRDefault="00000000" w:rsidRPr="00000000" w14:paraId="000000A4">
      <w:pPr>
        <w:rPr>
          <w:rFonts w:ascii="Palatino Linotype" w:cs="Palatino Linotype" w:eastAsia="Palatino Linotype" w:hAnsi="Palatino Linotype"/>
          <w:sz w:val="22"/>
          <w:szCs w:val="22"/>
        </w:rPr>
      </w:pPr>
      <w:bookmarkStart w:colFirst="0" w:colLast="0" w:name="_heading=h.17dp8vu" w:id="9"/>
      <w:bookmarkEnd w:id="9"/>
      <w:r w:rsidDel="00000000" w:rsidR="00000000" w:rsidRPr="00000000">
        <w:rPr>
          <w:rtl w:val="0"/>
        </w:rPr>
      </w:r>
    </w:p>
    <w:p w:rsidR="00000000" w:rsidDel="00000000" w:rsidP="00000000" w:rsidRDefault="00000000" w:rsidRPr="00000000" w14:paraId="000000A5">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6">
      <w:pPr>
        <w:spacing w:line="360" w:lineRule="auto"/>
        <w:jc w:val="both"/>
        <w:rPr>
          <w:rFonts w:ascii="Palatino Linotype" w:cs="Palatino Linotype" w:eastAsia="Palatino Linotype" w:hAnsi="Palatino Linotype"/>
          <w:sz w:val="22"/>
          <w:szCs w:val="22"/>
        </w:rPr>
      </w:pPr>
      <w:bookmarkStart w:colFirst="0" w:colLast="0" w:name="_heading=h.3rdcrjn" w:id="10"/>
      <w:bookmarkEnd w:id="10"/>
      <w:r w:rsidDel="00000000" w:rsidR="00000000" w:rsidRPr="00000000">
        <w:rPr>
          <w:rtl w:val="0"/>
        </w:rPr>
      </w:r>
    </w:p>
    <w:p w:rsidR="00000000" w:rsidDel="00000000" w:rsidP="00000000" w:rsidRDefault="00000000" w:rsidRPr="00000000" w14:paraId="000000A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9">
      <w:pPr>
        <w:spacing w:line="360" w:lineRule="auto"/>
        <w:jc w:val="both"/>
        <w:rPr>
          <w:rFonts w:ascii="Palatino Linotype" w:cs="Palatino Linotype" w:eastAsia="Palatino Linotype" w:hAnsi="Palatino Linotype"/>
          <w:sz w:val="22"/>
          <w:szCs w:val="22"/>
        </w:rPr>
      </w:pPr>
      <w:bookmarkStart w:colFirst="0" w:colLast="0" w:name="_heading=h.1t3h5sf" w:id="11"/>
      <w:bookmarkEnd w:id="11"/>
      <w:r w:rsidDel="00000000" w:rsidR="00000000" w:rsidRPr="00000000">
        <w:rPr>
          <w:rtl w:val="0"/>
        </w:rPr>
      </w:r>
    </w:p>
    <w:p w:rsidR="00000000" w:rsidDel="00000000" w:rsidP="00000000" w:rsidRDefault="00000000" w:rsidRPr="00000000" w14:paraId="000000A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F">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C0">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BONILLLA LÓPEZ Miguel. </w:t>
      </w:r>
      <w:r w:rsidDel="00000000" w:rsidR="00000000" w:rsidRPr="00000000">
        <w:rPr>
          <w:rFonts w:ascii="Palatino Linotype" w:cs="Palatino Linotype" w:eastAsia="Palatino Linotype" w:hAnsi="Palatino Linotype"/>
          <w:i w:val="1"/>
          <w:color w:val="000000"/>
          <w:sz w:val="16"/>
          <w:szCs w:val="16"/>
          <w:rtl w:val="0"/>
        </w:rPr>
        <w:t xml:space="preserve">Los principios Constitucionales del Juicio de Amparo II.</w:t>
      </w:r>
      <w:r w:rsidDel="00000000" w:rsidR="00000000" w:rsidRPr="00000000">
        <w:rPr>
          <w:rFonts w:ascii="Palatino Linotype" w:cs="Palatino Linotype" w:eastAsia="Palatino Linotype" w:hAnsi="Palatino Linotype"/>
          <w:color w:val="000000"/>
          <w:sz w:val="16"/>
          <w:szCs w:val="16"/>
          <w:rtl w:val="0"/>
        </w:rPr>
        <w:t xml:space="preserve"> México. 2009. UNAM.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-1080108</wp:posOffset>
          </wp:positionH>
          <wp:positionV relativeFrom="paragraph">
            <wp:posOffset>-488282</wp:posOffset>
          </wp:positionV>
          <wp:extent cx="7809865" cy="10165715"/>
          <wp:effectExtent b="0" l="0" r="0" t="0"/>
          <wp:wrapNone/>
          <wp:docPr id="3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7087.0" w:type="dxa"/>
      <w:jc w:val="left"/>
      <w:tblInd w:w="3261.0" w:type="dxa"/>
      <w:tblLayout w:type="fixed"/>
      <w:tblLook w:val="0400"/>
    </w:tblPr>
    <w:tblGrid>
      <w:gridCol w:w="2489"/>
      <w:gridCol w:w="4598"/>
      <w:tblGridChange w:id="0">
        <w:tblGrid>
          <w:gridCol w:w="2489"/>
          <w:gridCol w:w="4598"/>
        </w:tblGrid>
      </w:tblGridChange>
    </w:tblGrid>
    <w:tr>
      <w:trPr>
        <w:cantSplit w:val="0"/>
        <w:tblHeader w:val="0"/>
      </w:trPr>
      <w:tc>
        <w:tcPr>
          <w:shd w:fill="auto" w:val="clear"/>
        </w:tcPr>
        <w:p w:rsidR="00000000" w:rsidDel="00000000" w:rsidP="00000000" w:rsidRDefault="00000000" w:rsidRPr="00000000" w14:paraId="000000C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C3">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00404/INFOEM/IP/RR/2025</w:t>
          </w:r>
        </w:p>
      </w:tc>
    </w:tr>
    <w:tr>
      <w:trPr>
        <w:cantSplit w:val="0"/>
        <w:trHeight w:val="228" w:hRule="atLeast"/>
        <w:tblHeader w:val="0"/>
      </w:trPr>
      <w:tc>
        <w:tcPr>
          <w:shd w:fill="auto" w:val="clear"/>
          <w:vAlign w:val="center"/>
        </w:tcPr>
        <w:p w:rsidR="00000000" w:rsidDel="00000000" w:rsidP="00000000" w:rsidRDefault="00000000" w:rsidRPr="00000000" w14:paraId="000000C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C5">
          <w:pPr>
            <w:ind w:left="-45" w:right="158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Colegio de Bachilleres del Estado de México</w:t>
          </w:r>
        </w:p>
      </w:tc>
    </w:tr>
    <w:tr>
      <w:trPr>
        <w:cantSplit w:val="0"/>
        <w:tblHeader w:val="0"/>
      </w:trPr>
      <w:tc>
        <w:tcPr>
          <w:shd w:fill="auto" w:val="clear"/>
          <w:vAlign w:val="center"/>
        </w:tcPr>
        <w:p w:rsidR="00000000" w:rsidDel="00000000" w:rsidP="00000000" w:rsidRDefault="00000000" w:rsidRPr="00000000" w14:paraId="000000C6">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C7">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C8">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-1079486</wp:posOffset>
          </wp:positionH>
          <wp:positionV relativeFrom="paragraph">
            <wp:posOffset>-328914</wp:posOffset>
          </wp:positionV>
          <wp:extent cx="7809865" cy="10165715"/>
          <wp:effectExtent b="0" l="0" r="0" t="0"/>
          <wp:wrapNone/>
          <wp:docPr id="3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6945.0" w:type="dxa"/>
      <w:jc w:val="left"/>
      <w:tblInd w:w="3261.0" w:type="dxa"/>
      <w:tblLayout w:type="fixed"/>
      <w:tblLook w:val="0400"/>
    </w:tblPr>
    <w:tblGrid>
      <w:gridCol w:w="2551"/>
      <w:gridCol w:w="4394"/>
      <w:tblGridChange w:id="0">
        <w:tblGrid>
          <w:gridCol w:w="2551"/>
          <w:gridCol w:w="4394"/>
        </w:tblGrid>
      </w:tblGridChange>
    </w:tblGrid>
    <w:tr>
      <w:trPr>
        <w:cantSplit w:val="0"/>
        <w:tblHeader w:val="0"/>
      </w:trPr>
      <w:tc>
        <w:tcPr>
          <w:shd w:fill="auto" w:val="clear"/>
          <w:vAlign w:val="center"/>
        </w:tcPr>
        <w:p w:rsidR="00000000" w:rsidDel="00000000" w:rsidP="00000000" w:rsidRDefault="00000000" w:rsidRPr="00000000" w14:paraId="000000C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CB">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00404/INFOEM/IP/RR/2025</w:t>
          </w:r>
        </w:p>
      </w:tc>
    </w:tr>
    <w:tr>
      <w:trPr>
        <w:cantSplit w:val="0"/>
        <w:trHeight w:val="130" w:hRule="atLeast"/>
        <w:tblHeader w:val="0"/>
      </w:trPr>
      <w:tc>
        <w:tcPr>
          <w:shd w:fill="auto" w:val="clear"/>
          <w:vAlign w:val="center"/>
        </w:tcPr>
        <w:p w:rsidR="00000000" w:rsidDel="00000000" w:rsidP="00000000" w:rsidRDefault="00000000" w:rsidRPr="00000000" w14:paraId="000000C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0CD">
          <w:pPr>
            <w:ind w:left="-45" w:right="1444"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 XXXXXXX XXXXXX </w:t>
          </w:r>
        </w:p>
      </w:tc>
    </w:tr>
    <w:tr>
      <w:trPr>
        <w:cantSplit w:val="0"/>
        <w:trHeight w:val="228" w:hRule="atLeast"/>
        <w:tblHeader w:val="0"/>
      </w:trPr>
      <w:tc>
        <w:tcPr>
          <w:shd w:fill="auto" w:val="clear"/>
          <w:vAlign w:val="center"/>
        </w:tcPr>
        <w:p w:rsidR="00000000" w:rsidDel="00000000" w:rsidP="00000000" w:rsidRDefault="00000000" w:rsidRPr="00000000" w14:paraId="000000C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CF">
          <w:pPr>
            <w:ind w:left="-45" w:right="158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Colegio de Bachilleres del Estado de México</w:t>
          </w:r>
        </w:p>
      </w:tc>
    </w:tr>
    <w:tr>
      <w:trPr>
        <w:cantSplit w:val="0"/>
        <w:tblHeader w:val="0"/>
      </w:trPr>
      <w:tc>
        <w:tcPr>
          <w:shd w:fill="auto" w:val="clear"/>
          <w:vAlign w:val="center"/>
        </w:tcPr>
        <w:p w:rsidR="00000000" w:rsidDel="00000000" w:rsidP="00000000" w:rsidRDefault="00000000" w:rsidRPr="00000000" w14:paraId="000000D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D1">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6"/>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upperRoman"/>
      <w:lvlText w:val="%1."/>
      <w:lvlJc w:val="left"/>
      <w:pPr>
        <w:ind w:left="1571" w:hanging="720"/>
      </w:pPr>
      <w:rPr/>
    </w:lvl>
    <w:lvl w:ilvl="1">
      <w:start w:val="1"/>
      <w:numFmt w:val="lowerLetter"/>
      <w:lvlText w:val="%2."/>
      <w:lvlJc w:val="left"/>
      <w:pPr>
        <w:ind w:left="1931" w:hanging="360"/>
      </w:pPr>
      <w:rPr/>
    </w:lvl>
    <w:lvl w:ilvl="2">
      <w:start w:val="1"/>
      <w:numFmt w:val="lowerRoman"/>
      <w:lvlText w:val="%3."/>
      <w:lvlJc w:val="right"/>
      <w:pPr>
        <w:ind w:left="2651" w:hanging="180"/>
      </w:pPr>
      <w:rPr/>
    </w:lvl>
    <w:lvl w:ilvl="3">
      <w:start w:val="1"/>
      <w:numFmt w:val="decimal"/>
      <w:lvlText w:val="%4."/>
      <w:lvlJc w:val="left"/>
      <w:pPr>
        <w:ind w:left="3371" w:hanging="360"/>
      </w:pPr>
      <w:rPr/>
    </w:lvl>
    <w:lvl w:ilvl="4">
      <w:start w:val="1"/>
      <w:numFmt w:val="lowerLetter"/>
      <w:lvlText w:val="%5."/>
      <w:lvlJc w:val="left"/>
      <w:pPr>
        <w:ind w:left="4091" w:hanging="360"/>
      </w:pPr>
      <w:rPr/>
    </w:lvl>
    <w:lvl w:ilvl="5">
      <w:start w:val="1"/>
      <w:numFmt w:val="lowerRoman"/>
      <w:lvlText w:val="%6."/>
      <w:lvlJc w:val="right"/>
      <w:pPr>
        <w:ind w:left="4811" w:hanging="180"/>
      </w:pPr>
      <w:rPr/>
    </w:lvl>
    <w:lvl w:ilvl="6">
      <w:start w:val="1"/>
      <w:numFmt w:val="decimal"/>
      <w:lvlText w:val="%7."/>
      <w:lvlJc w:val="left"/>
      <w:pPr>
        <w:ind w:left="5531" w:hanging="360"/>
      </w:pPr>
      <w:rPr/>
    </w:lvl>
    <w:lvl w:ilvl="7">
      <w:start w:val="1"/>
      <w:numFmt w:val="lowerLetter"/>
      <w:lvlText w:val="%8."/>
      <w:lvlJc w:val="left"/>
      <w:pPr>
        <w:ind w:left="6251" w:hanging="360"/>
      </w:pPr>
      <w:rPr/>
    </w:lvl>
    <w:lvl w:ilvl="8">
      <w:start w:val="1"/>
      <w:numFmt w:val="lowerRoman"/>
      <w:lvlText w:val="%9."/>
      <w:lvlJc w:val="right"/>
      <w:pPr>
        <w:ind w:left="6971" w:hanging="180"/>
      </w:pPr>
      <w:rPr/>
    </w:lvl>
  </w:abstractNum>
  <w:abstractNum w:abstractNumId="3">
    <w:lvl w:ilvl="0">
      <w:start w:val="1"/>
      <w:numFmt w:val="decimal"/>
      <w:lvlText w:val="%1."/>
      <w:lvlJc w:val="left"/>
      <w:pPr>
        <w:ind w:left="771" w:hanging="360.00000000000006"/>
      </w:pPr>
      <w:rPr/>
    </w:lvl>
    <w:lvl w:ilvl="1">
      <w:start w:val="1"/>
      <w:numFmt w:val="lowerLetter"/>
      <w:lvlText w:val="%2."/>
      <w:lvlJc w:val="left"/>
      <w:pPr>
        <w:ind w:left="1491" w:hanging="360"/>
      </w:pPr>
      <w:rPr/>
    </w:lvl>
    <w:lvl w:ilvl="2">
      <w:start w:val="1"/>
      <w:numFmt w:val="lowerRoman"/>
      <w:lvlText w:val="%3."/>
      <w:lvlJc w:val="right"/>
      <w:pPr>
        <w:ind w:left="2211" w:hanging="180"/>
      </w:pPr>
      <w:rPr/>
    </w:lvl>
    <w:lvl w:ilvl="3">
      <w:start w:val="1"/>
      <w:numFmt w:val="decimal"/>
      <w:lvlText w:val="%4."/>
      <w:lvlJc w:val="left"/>
      <w:pPr>
        <w:ind w:left="2931" w:hanging="360"/>
      </w:pPr>
      <w:rPr/>
    </w:lvl>
    <w:lvl w:ilvl="4">
      <w:start w:val="1"/>
      <w:numFmt w:val="lowerLetter"/>
      <w:lvlText w:val="%5."/>
      <w:lvlJc w:val="left"/>
      <w:pPr>
        <w:ind w:left="3651" w:hanging="360"/>
      </w:pPr>
      <w:rPr/>
    </w:lvl>
    <w:lvl w:ilvl="5">
      <w:start w:val="1"/>
      <w:numFmt w:val="lowerRoman"/>
      <w:lvlText w:val="%6."/>
      <w:lvlJc w:val="right"/>
      <w:pPr>
        <w:ind w:left="4371" w:hanging="180"/>
      </w:pPr>
      <w:rPr/>
    </w:lvl>
    <w:lvl w:ilvl="6">
      <w:start w:val="1"/>
      <w:numFmt w:val="decimal"/>
      <w:lvlText w:val="%7."/>
      <w:lvlJc w:val="left"/>
      <w:pPr>
        <w:ind w:left="5091" w:hanging="360"/>
      </w:pPr>
      <w:rPr/>
    </w:lvl>
    <w:lvl w:ilvl="7">
      <w:start w:val="1"/>
      <w:numFmt w:val="lowerLetter"/>
      <w:lvlText w:val="%8."/>
      <w:lvlJc w:val="left"/>
      <w:pPr>
        <w:ind w:left="5811" w:hanging="360"/>
      </w:pPr>
      <w:rPr/>
    </w:lvl>
    <w:lvl w:ilvl="8">
      <w:start w:val="1"/>
      <w:numFmt w:val="lowerRoman"/>
      <w:lvlText w:val="%9."/>
      <w:lvlJc w:val="right"/>
      <w:pPr>
        <w:ind w:left="6531" w:hanging="180"/>
      </w:pPr>
      <w:rPr/>
    </w:lvl>
  </w:abstractNum>
  <w:abstractNum w:abstractNumId="4">
    <w:lvl w:ilvl="0">
      <w:start w:val="1"/>
      <w:numFmt w:val="bullet"/>
      <w:lvlText w:val="●"/>
      <w:lvlJc w:val="left"/>
      <w:pPr>
        <w:ind w:left="771" w:hanging="360.00000000000006"/>
      </w:pPr>
      <w:rPr>
        <w:rFonts w:ascii="Noto Sans Symbols" w:cs="Noto Sans Symbols" w:eastAsia="Noto Sans Symbols" w:hAnsi="Noto Sans Symbols"/>
      </w:rPr>
    </w:lvl>
    <w:lvl w:ilvl="1">
      <w:start w:val="1"/>
      <w:numFmt w:val="lowerLetter"/>
      <w:lvlText w:val="%2."/>
      <w:lvlJc w:val="left"/>
      <w:pPr>
        <w:ind w:left="1491" w:hanging="360"/>
      </w:pPr>
      <w:rPr/>
    </w:lvl>
    <w:lvl w:ilvl="2">
      <w:start w:val="1"/>
      <w:numFmt w:val="lowerRoman"/>
      <w:lvlText w:val="%3."/>
      <w:lvlJc w:val="right"/>
      <w:pPr>
        <w:ind w:left="2211" w:hanging="180"/>
      </w:pPr>
      <w:rPr/>
    </w:lvl>
    <w:lvl w:ilvl="3">
      <w:start w:val="1"/>
      <w:numFmt w:val="decimal"/>
      <w:lvlText w:val="%4."/>
      <w:lvlJc w:val="left"/>
      <w:pPr>
        <w:ind w:left="2931" w:hanging="360"/>
      </w:pPr>
      <w:rPr/>
    </w:lvl>
    <w:lvl w:ilvl="4">
      <w:start w:val="1"/>
      <w:numFmt w:val="lowerLetter"/>
      <w:lvlText w:val="%5."/>
      <w:lvlJc w:val="left"/>
      <w:pPr>
        <w:ind w:left="3651" w:hanging="360"/>
      </w:pPr>
      <w:rPr/>
    </w:lvl>
    <w:lvl w:ilvl="5">
      <w:start w:val="1"/>
      <w:numFmt w:val="lowerRoman"/>
      <w:lvlText w:val="%6."/>
      <w:lvlJc w:val="right"/>
      <w:pPr>
        <w:ind w:left="4371" w:hanging="180"/>
      </w:pPr>
      <w:rPr/>
    </w:lvl>
    <w:lvl w:ilvl="6">
      <w:start w:val="1"/>
      <w:numFmt w:val="decimal"/>
      <w:lvlText w:val="%7."/>
      <w:lvlJc w:val="left"/>
      <w:pPr>
        <w:ind w:left="5091" w:hanging="360"/>
      </w:pPr>
      <w:rPr/>
    </w:lvl>
    <w:lvl w:ilvl="7">
      <w:start w:val="1"/>
      <w:numFmt w:val="lowerLetter"/>
      <w:lvlText w:val="%8."/>
      <w:lvlJc w:val="left"/>
      <w:pPr>
        <w:ind w:left="5811" w:hanging="360"/>
      </w:pPr>
      <w:rPr/>
    </w:lvl>
    <w:lvl w:ilvl="8">
      <w:start w:val="1"/>
      <w:numFmt w:val="lowerRoman"/>
      <w:lvlText w:val="%9."/>
      <w:lvlJc w:val="right"/>
      <w:pPr>
        <w:ind w:left="6531" w:hanging="180"/>
      </w:pPr>
      <w:rPr/>
    </w:lvl>
  </w:abstractNum>
  <w:abstractNum w:abstractNumId="5">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6"/>
      <w:numFmt w:val="bullet"/>
      <w:lvlText w:val="●"/>
      <w:lvlJc w:val="left"/>
      <w:pPr>
        <w:ind w:left="360" w:hanging="360"/>
      </w:pPr>
      <w:rPr>
        <w:rFonts w:ascii="Noto Sans Symbols" w:cs="Noto Sans Symbols" w:eastAsia="Noto Sans Symbols" w:hAnsi="Noto Sans Symbols"/>
        <w:sz w:val="18"/>
        <w:szCs w:val="18"/>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2"/>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45936"/>
  </w:style>
  <w:style w:type="paragraph" w:styleId="Ttulo1">
    <w:name w:val="heading 1"/>
    <w:basedOn w:val="Normal"/>
    <w:next w:val="Normal"/>
    <w:uiPriority w:val="9"/>
    <w:qFormat w:val="1"/>
    <w:pPr>
      <w:keepNext w:val="1"/>
      <w:keepLines w:val="1"/>
      <w:spacing w:before="240"/>
      <w:outlineLvl w:val="0"/>
    </w:pPr>
    <w:rPr>
      <w:rFonts w:ascii="Calibri" w:cs="Calibri" w:eastAsia="Calibri" w:hAnsi="Calibri"/>
      <w:color w:val="366091"/>
      <w:sz w:val="32"/>
      <w:szCs w:val="32"/>
      <w:lang w:val="es-ES"/>
    </w:rPr>
  </w:style>
  <w:style w:type="paragraph" w:styleId="Ttulo2">
    <w:name w:val="heading 2"/>
    <w:basedOn w:val="Normal"/>
    <w:next w:val="Normal"/>
    <w:uiPriority w:val="9"/>
    <w:semiHidden w:val="1"/>
    <w:unhideWhenUsed w:val="1"/>
    <w:qFormat w:val="1"/>
    <w:pPr>
      <w:keepNext w:val="1"/>
      <w:keepLines w:val="1"/>
      <w:spacing w:before="40"/>
      <w:outlineLvl w:val="1"/>
    </w:pPr>
    <w:rPr>
      <w:rFonts w:ascii="Calibri" w:cs="Calibri" w:eastAsia="Calibri" w:hAnsi="Calibri"/>
      <w:color w:val="366091"/>
      <w:sz w:val="26"/>
      <w:szCs w:val="26"/>
      <w:lang w:val="es-ES"/>
    </w:rPr>
  </w:style>
  <w:style w:type="paragraph" w:styleId="Ttulo3">
    <w:name w:val="heading 3"/>
    <w:basedOn w:val="Normal"/>
    <w:next w:val="Normal"/>
    <w:uiPriority w:val="9"/>
    <w:semiHidden w:val="1"/>
    <w:unhideWhenUsed w:val="1"/>
    <w:qFormat w:val="1"/>
    <w:pPr>
      <w:keepNext w:val="1"/>
      <w:spacing w:after="60" w:before="240"/>
      <w:ind w:left="2160" w:hanging="720"/>
      <w:outlineLvl w:val="2"/>
    </w:pPr>
    <w:rPr>
      <w:rFonts w:ascii="Calibri" w:cs="Calibri" w:eastAsia="Calibri" w:hAnsi="Calibri"/>
      <w:b w:val="1"/>
      <w:sz w:val="26"/>
      <w:szCs w:val="26"/>
      <w:lang w:val="es-ES"/>
    </w:rPr>
  </w:style>
  <w:style w:type="paragraph" w:styleId="Ttulo4">
    <w:name w:val="heading 4"/>
    <w:basedOn w:val="Normal"/>
    <w:next w:val="Normal"/>
    <w:uiPriority w:val="9"/>
    <w:semiHidden w:val="1"/>
    <w:unhideWhenUsed w:val="1"/>
    <w:qFormat w:val="1"/>
    <w:pPr>
      <w:keepNext w:val="1"/>
      <w:spacing w:after="60" w:before="240"/>
      <w:ind w:left="2880" w:hanging="720"/>
      <w:outlineLvl w:val="3"/>
    </w:pPr>
    <w:rPr>
      <w:rFonts w:ascii="Cambria" w:cs="Cambria" w:eastAsia="Cambria" w:hAnsi="Cambria"/>
      <w:b w:val="1"/>
      <w:sz w:val="28"/>
      <w:szCs w:val="28"/>
      <w:lang w:val="es-ES"/>
    </w:rPr>
  </w:style>
  <w:style w:type="paragraph" w:styleId="Ttulo5">
    <w:name w:val="heading 5"/>
    <w:basedOn w:val="Normal"/>
    <w:next w:val="Normal"/>
    <w:uiPriority w:val="9"/>
    <w:semiHidden w:val="1"/>
    <w:unhideWhenUsed w:val="1"/>
    <w:qFormat w:val="1"/>
    <w:pPr>
      <w:spacing w:after="60" w:before="240"/>
      <w:ind w:left="3600" w:hanging="720"/>
      <w:outlineLvl w:val="4"/>
    </w:pPr>
    <w:rPr>
      <w:rFonts w:ascii="Cambria" w:cs="Cambria" w:eastAsia="Cambria" w:hAnsi="Cambria"/>
      <w:b w:val="1"/>
      <w:i w:val="1"/>
      <w:sz w:val="26"/>
      <w:szCs w:val="26"/>
      <w:lang w:val="es-ES"/>
    </w:rPr>
  </w:style>
  <w:style w:type="paragraph" w:styleId="Ttulo6">
    <w:name w:val="heading 6"/>
    <w:basedOn w:val="Normal"/>
    <w:next w:val="Normal"/>
    <w:uiPriority w:val="9"/>
    <w:semiHidden w:val="1"/>
    <w:unhideWhenUsed w:val="1"/>
    <w:qFormat w:val="1"/>
    <w:pPr>
      <w:spacing w:after="60" w:before="240"/>
      <w:ind w:left="4320" w:hanging="720"/>
      <w:outlineLvl w:val="5"/>
    </w:pPr>
    <w:rPr>
      <w:b w:val="1"/>
      <w:sz w:val="22"/>
      <w:szCs w:val="22"/>
      <w:lang w:val="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lang w:val="es-ES"/>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7" w:customStyle="1">
    <w:name w:val="Table Normal7"/>
    <w:tblPr>
      <w:tblCellMar>
        <w:top w:w="0.0" w:type="dxa"/>
        <w:left w:w="0.0" w:type="dxa"/>
        <w:bottom w:w="0.0" w:type="dxa"/>
        <w:right w:w="0.0" w:type="dxa"/>
      </w:tblCellMar>
    </w:tblPr>
  </w:style>
  <w:style w:type="table" w:styleId="TableNormal6" w:customStyle="1">
    <w:name w:val="Table Normal6"/>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16" w:customStyle="1">
    <w:name w:val="16"/>
    <w:basedOn w:val="TableNormal10"/>
    <w:tblPr>
      <w:tblStyleRowBandSize w:val="1"/>
      <w:tblStyleColBandSize w:val="1"/>
      <w:tblCellMar>
        <w:left w:w="115.0" w:type="dxa"/>
        <w:right w:w="115.0" w:type="dxa"/>
      </w:tblCellMar>
    </w:tblPr>
  </w:style>
  <w:style w:type="table" w:styleId="15" w:customStyle="1">
    <w:name w:val="15"/>
    <w:basedOn w:val="TableNormal10"/>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FE2A5A"/>
    <w:pPr>
      <w:tabs>
        <w:tab w:val="center" w:pos="4419"/>
        <w:tab w:val="right" w:pos="8838"/>
      </w:tabs>
    </w:pPr>
    <w:rPr>
      <w:lang w:val="es-ES"/>
    </w:rPr>
  </w:style>
  <w:style w:type="character" w:styleId="EncabezadoCar" w:customStyle="1">
    <w:name w:val="Encabezado Car"/>
    <w:basedOn w:val="Fuentedeprrafopredeter"/>
    <w:link w:val="Encabezado"/>
    <w:uiPriority w:val="99"/>
    <w:rsid w:val="00FE2A5A"/>
  </w:style>
  <w:style w:type="paragraph" w:styleId="Piedepgina">
    <w:name w:val="footer"/>
    <w:basedOn w:val="Normal"/>
    <w:link w:val="PiedepginaCar"/>
    <w:uiPriority w:val="99"/>
    <w:unhideWhenUsed w:val="1"/>
    <w:rsid w:val="00FE2A5A"/>
    <w:pPr>
      <w:tabs>
        <w:tab w:val="center" w:pos="4419"/>
        <w:tab w:val="right" w:pos="8838"/>
      </w:tabs>
    </w:pPr>
    <w:rPr>
      <w:lang w:val="es-ES"/>
    </w:rPr>
  </w:style>
  <w:style w:type="character" w:styleId="PiedepginaCar" w:customStyle="1">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FE2A5A"/>
    <w:pPr>
      <w:ind w:left="720"/>
      <w:contextualSpacing w:val="1"/>
    </w:pPr>
    <w:rPr>
      <w:lang w:val="es-ES"/>
    </w:rPr>
  </w:style>
  <w:style w:type="table" w:styleId="Tablaconcuadrcula">
    <w:name w:val="Table Grid"/>
    <w:basedOn w:val="Tablanormal"/>
    <w:uiPriority w:val="39"/>
    <w:rsid w:val="0051350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9012F5"/>
    <w:pPr>
      <w:spacing w:after="100" w:afterAutospacing="1" w:before="100" w:beforeAutospacing="1"/>
    </w:pPr>
    <w:rPr>
      <w:lang w:val="es-ES"/>
    </w:rPr>
  </w:style>
  <w:style w:type="table" w:styleId="14" w:customStyle="1">
    <w:name w:val="14"/>
    <w:basedOn w:val="TableNormal10"/>
    <w:tblPr>
      <w:tblStyleRowBandSize w:val="1"/>
      <w:tblStyleColBandSize w:val="1"/>
      <w:tblCellMar>
        <w:left w:w="115.0" w:type="dxa"/>
        <w:right w:w="115.0" w:type="dxa"/>
      </w:tblCellMar>
    </w:tblPr>
  </w:style>
  <w:style w:type="table" w:styleId="13" w:customStyle="1">
    <w:name w:val="13"/>
    <w:basedOn w:val="TableNormal10"/>
    <w:tblPr>
      <w:tblStyleRowBandSize w:val="1"/>
      <w:tblStyleColBandSize w:val="1"/>
      <w:tblCellMar>
        <w:left w:w="115.0" w:type="dxa"/>
        <w:right w:w="115.0" w:type="dxa"/>
      </w:tblCellMar>
    </w:tblPr>
  </w:style>
  <w:style w:type="character" w:styleId="apple-tab-span" w:customStyle="1">
    <w:name w:val="apple-tab-span"/>
    <w:basedOn w:val="Fuentedeprrafopredeter"/>
    <w:rsid w:val="00355FC9"/>
  </w:style>
  <w:style w:type="table" w:styleId="12" w:customStyle="1">
    <w:name w:val="12"/>
    <w:basedOn w:val="TableNormal2"/>
    <w:tblPr>
      <w:tblStyleRowBandSize w:val="1"/>
      <w:tblStyleColBandSize w:val="1"/>
      <w:tblCellMar>
        <w:left w:w="115.0" w:type="dxa"/>
        <w:right w:w="115.0" w:type="dxa"/>
      </w:tblCellMar>
    </w:tblPr>
  </w:style>
  <w:style w:type="table" w:styleId="11" w:customStyle="1">
    <w:name w:val="11"/>
    <w:basedOn w:val="TableNormal2"/>
    <w:tblPr>
      <w:tblStyleRowBandSize w:val="1"/>
      <w:tblStyleColBandSize w:val="1"/>
      <w:tblCellMar>
        <w:left w:w="115.0" w:type="dxa"/>
        <w:right w:w="115.0" w:type="dxa"/>
      </w:tblCellMar>
    </w:tblPr>
  </w:style>
  <w:style w:type="character" w:styleId="Hipervnculo">
    <w:name w:val="Hyperlink"/>
    <w:basedOn w:val="Fuentedeprrafopredeter"/>
    <w:uiPriority w:val="99"/>
    <w:unhideWhenUsed w:val="1"/>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F759CF"/>
    <w:rPr>
      <w:sz w:val="20"/>
      <w:szCs w:val="20"/>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val="1"/>
    <w:qFormat w:val="1"/>
    <w:rsid w:val="00F759CF"/>
    <w:rPr>
      <w:vertAlign w:val="superscript"/>
    </w:rPr>
  </w:style>
  <w:style w:type="table" w:styleId="10" w:customStyle="1">
    <w:name w:val="10"/>
    <w:basedOn w:val="TableNormal3"/>
    <w:tblPr>
      <w:tblStyleRowBandSize w:val="1"/>
      <w:tblStyleColBandSize w:val="1"/>
      <w:tblCellMar>
        <w:left w:w="115.0" w:type="dxa"/>
        <w:right w:w="115.0" w:type="dxa"/>
      </w:tblCellMar>
    </w:tblPr>
  </w:style>
  <w:style w:type="table" w:styleId="9" w:customStyle="1">
    <w:name w:val="9"/>
    <w:basedOn w:val="TableNormal3"/>
    <w:tblPr>
      <w:tblStyleRowBandSize w:val="1"/>
      <w:tblStyleColBandSize w:val="1"/>
      <w:tblCellMar>
        <w:left w:w="115.0" w:type="dxa"/>
        <w:right w:w="115.0" w:type="dxa"/>
      </w:tblCellMar>
    </w:tbl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283BF5"/>
    <w:rPr>
      <w:lang w:val="es-ES"/>
    </w:rPr>
  </w:style>
  <w:style w:type="table" w:styleId="8" w:customStyle="1">
    <w:name w:val="8"/>
    <w:basedOn w:val="TableNormal4"/>
    <w:tblPr>
      <w:tblStyleRowBandSize w:val="1"/>
      <w:tblStyleColBandSize w:val="1"/>
      <w:tblCellMar>
        <w:left w:w="115.0" w:type="dxa"/>
        <w:right w:w="115.0" w:type="dxa"/>
      </w:tblCellMar>
    </w:tblPr>
  </w:style>
  <w:style w:type="table" w:styleId="7" w:customStyle="1">
    <w:name w:val="7"/>
    <w:basedOn w:val="TableNormal4"/>
    <w:tblPr>
      <w:tblStyleRowBandSize w:val="1"/>
      <w:tblStyleColBandSize w:val="1"/>
      <w:tblCellMar>
        <w:left w:w="115.0" w:type="dxa"/>
        <w:right w:w="115.0" w:type="dxa"/>
      </w:tblCellMar>
    </w:tblPr>
  </w:style>
  <w:style w:type="table" w:styleId="6" w:customStyle="1">
    <w:name w:val="6"/>
    <w:basedOn w:val="TableNormal5"/>
    <w:tblPr>
      <w:tblStyleRowBandSize w:val="1"/>
      <w:tblStyleColBandSize w:val="1"/>
      <w:tblCellMar>
        <w:left w:w="115.0" w:type="dxa"/>
        <w:right w:w="115.0" w:type="dxa"/>
      </w:tblCellMar>
    </w:tblPr>
  </w:style>
  <w:style w:type="table" w:styleId="5" w:customStyle="1">
    <w:name w:val="5"/>
    <w:basedOn w:val="TableNormal5"/>
    <w:tblPr>
      <w:tblStyleRowBandSize w:val="1"/>
      <w:tblStyleColBandSize w:val="1"/>
      <w:tblCellMar>
        <w:left w:w="115.0" w:type="dxa"/>
        <w:right w:w="115.0" w:type="dxa"/>
      </w:tblCellMar>
    </w:tblPr>
  </w:style>
  <w:style w:type="paragraph" w:styleId="Listaconvietas3">
    <w:name w:val="List Bullet 3"/>
    <w:basedOn w:val="Normal"/>
    <w:uiPriority w:val="99"/>
    <w:unhideWhenUsed w:val="1"/>
    <w:rsid w:val="0077142E"/>
    <w:pPr>
      <w:numPr>
        <w:numId w:val="6"/>
      </w:numPr>
      <w:contextualSpacing w:val="1"/>
    </w:pPr>
  </w:style>
  <w:style w:type="table" w:styleId="4" w:customStyle="1">
    <w:name w:val="4"/>
    <w:basedOn w:val="TableNormal6"/>
    <w:tblPr>
      <w:tblStyleRowBandSize w:val="1"/>
      <w:tblStyleColBandSize w:val="1"/>
      <w:tblCellMar>
        <w:left w:w="115.0" w:type="dxa"/>
        <w:right w:w="115.0" w:type="dxa"/>
      </w:tblCellMar>
    </w:tblPr>
  </w:style>
  <w:style w:type="table" w:styleId="3" w:customStyle="1">
    <w:name w:val="3"/>
    <w:basedOn w:val="TableNormal6"/>
    <w:tblPr>
      <w:tblStyleRowBandSize w:val="1"/>
      <w:tblStyleColBandSize w:val="1"/>
      <w:tblCellMar>
        <w:left w:w="115.0" w:type="dxa"/>
        <w:right w:w="115.0" w:type="dxa"/>
      </w:tblCellMar>
    </w:tblPr>
  </w:style>
  <w:style w:type="table" w:styleId="2" w:customStyle="1">
    <w:name w:val="2"/>
    <w:basedOn w:val="TableNormal7"/>
    <w:tblPr>
      <w:tblStyleRowBandSize w:val="1"/>
      <w:tblStyleColBandSize w:val="1"/>
      <w:tblCellMar>
        <w:left w:w="115.0" w:type="dxa"/>
        <w:right w:w="115.0" w:type="dxa"/>
      </w:tblCellMar>
    </w:tblPr>
  </w:style>
  <w:style w:type="table" w:styleId="1" w:customStyle="1">
    <w:name w:val="1"/>
    <w:basedOn w:val="TableNormal7"/>
    <w:tblPr>
      <w:tblStyleRowBandSize w:val="1"/>
      <w:tblStyleColBandSize w:val="1"/>
      <w:tblCellMar>
        <w:left w:w="115.0" w:type="dxa"/>
        <w:right w:w="115.0" w:type="dxa"/>
      </w:tblCellMar>
    </w:tblPr>
  </w:style>
  <w:style w:type="paragraph" w:styleId="Listaconvietas2">
    <w:name w:val="List Bullet 2"/>
    <w:basedOn w:val="Normal"/>
    <w:uiPriority w:val="99"/>
    <w:unhideWhenUsed w:val="1"/>
    <w:rsid w:val="00B910CA"/>
    <w:pPr>
      <w:tabs>
        <w:tab w:val="num" w:pos="720"/>
      </w:tabs>
      <w:ind w:left="720" w:hanging="720"/>
      <w:contextualSpacing w:val="1"/>
    </w:pPr>
  </w:style>
  <w:style w:type="paragraph" w:styleId="Textodeglobo">
    <w:name w:val="Balloon Text"/>
    <w:basedOn w:val="Normal"/>
    <w:link w:val="TextodegloboCar"/>
    <w:uiPriority w:val="99"/>
    <w:semiHidden w:val="1"/>
    <w:unhideWhenUsed w:val="1"/>
    <w:rsid w:val="003B3B2A"/>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3B3B2A"/>
    <w:rPr>
      <w:rFonts w:ascii="Segoe UI" w:cs="Segoe UI" w:hAnsi="Segoe UI"/>
      <w:sz w:val="18"/>
      <w:szCs w:val="18"/>
    </w:rPr>
  </w:style>
  <w:style w:type="character" w:styleId="Hipervnculovisitado">
    <w:name w:val="FollowedHyperlink"/>
    <w:basedOn w:val="Fuentedeprrafopredeter"/>
    <w:uiPriority w:val="99"/>
    <w:semiHidden w:val="1"/>
    <w:unhideWhenUsed w:val="1"/>
    <w:rsid w:val="00E9311B"/>
    <w:rPr>
      <w:color w:val="800080" w:themeColor="followedHyperlink"/>
      <w:u w:val="single"/>
    </w:rPr>
  </w:style>
  <w:style w:type="table" w:styleId="a" w:customStyle="1">
    <w:basedOn w:val="TableNormal1"/>
    <w:tblPr>
      <w:tblStyleRowBandSize w:val="1"/>
      <w:tblStyleColBandSize w:val="1"/>
      <w:tblCellMar>
        <w:left w:w="115.0" w:type="dxa"/>
        <w:right w:w="115.0" w:type="dxa"/>
      </w:tblCellMar>
    </w:tblPr>
  </w:style>
  <w:style w:type="table" w:styleId="a0" w:customStyle="1">
    <w:basedOn w:val="TableNormal1"/>
    <w:tblPr>
      <w:tblStyleRowBandSize w:val="1"/>
      <w:tblStyleColBandSize w:val="1"/>
      <w:tblCellMar>
        <w:left w:w="115.0" w:type="dxa"/>
        <w:right w:w="115.0" w:type="dxa"/>
      </w:tblCellMar>
    </w:tblPr>
  </w:style>
  <w:style w:type="table" w:styleId="a1" w:customStyle="1">
    <w:basedOn w:val="TableNormal0"/>
    <w:tblPr>
      <w:tblStyleRowBandSize w:val="1"/>
      <w:tblStyleColBandSize w:val="1"/>
      <w:tblCellMar>
        <w:left w:w="115.0" w:type="dxa"/>
        <w:right w:w="115.0" w:type="dxa"/>
      </w:tblCellMar>
    </w:tblPr>
  </w:style>
  <w:style w:type="table" w:styleId="a2"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sarcoem.org.mx/sarcoem/guias.html"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sarcoem.org.mx/sarcoem/ciudadano/login.pag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ttl7mCfpdYtqA04JCYe6wfDArA==">CgMxLjAyCWguMWZvYjl0ZTIJaC40ZDM0b2c4MghoLmdqZGd4czIJaC4zZHk2dmttMgloLjMwajB6bGwyCWguMnM4ZXlvMTIIaC50eWpjd3QyCGgubG54Yno5MgloLjI2aW4xcmcyCWguMTdkcDh2dTIJaC4zcmRjcmpuMgloLjF0M2g1c2Y4AHIhMUNXWVEyRkgyVXBNeU10bVg0STFZcHh1cjVzQUwtczVi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2025-03-27T21:04:00Z</dcterms:created>
  <dc:creator>USUARIO</dc:creator>
</cp:coreProperties>
</file>