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393005918"/>
        <w:docPartObj>
          <w:docPartGallery w:val="Table of Contents"/>
          <w:docPartUnique/>
        </w:docPartObj>
      </w:sdtPr>
      <w:sdtEndPr>
        <w:rPr>
          <w:b/>
          <w:bCs/>
        </w:rPr>
      </w:sdtEndPr>
      <w:sdtContent>
        <w:p w14:paraId="4C8EBD91" w14:textId="77777777" w:rsidR="00247497" w:rsidRPr="004E336B" w:rsidRDefault="00247497" w:rsidP="004E336B">
          <w:pPr>
            <w:pStyle w:val="TtulodeTDC"/>
            <w:rPr>
              <w:color w:val="auto"/>
              <w:sz w:val="28"/>
              <w:szCs w:val="22"/>
            </w:rPr>
          </w:pPr>
          <w:r w:rsidRPr="004E336B">
            <w:rPr>
              <w:color w:val="auto"/>
              <w:sz w:val="28"/>
              <w:szCs w:val="22"/>
              <w:lang w:val="es-ES"/>
            </w:rPr>
            <w:t>Contenido</w:t>
          </w:r>
        </w:p>
        <w:p w14:paraId="32DDD79E" w14:textId="32C34EAC" w:rsidR="001003F5" w:rsidRPr="004E336B" w:rsidRDefault="00247497" w:rsidP="004E336B">
          <w:pPr>
            <w:pStyle w:val="TDC1"/>
            <w:tabs>
              <w:tab w:val="right" w:leader="dot" w:pos="9034"/>
            </w:tabs>
            <w:rPr>
              <w:rFonts w:asciiTheme="minorHAnsi" w:eastAsiaTheme="minorEastAsia" w:hAnsiTheme="minorHAnsi" w:cstheme="minorBidi"/>
              <w:noProof/>
              <w:szCs w:val="22"/>
              <w:lang w:eastAsia="es-MX"/>
            </w:rPr>
          </w:pPr>
          <w:r w:rsidRPr="004E336B">
            <w:rPr>
              <w:b/>
              <w:bCs/>
              <w:szCs w:val="22"/>
              <w:lang w:val="es-ES"/>
            </w:rPr>
            <w:fldChar w:fldCharType="begin"/>
          </w:r>
          <w:r w:rsidRPr="004E336B">
            <w:rPr>
              <w:b/>
              <w:bCs/>
              <w:szCs w:val="22"/>
              <w:lang w:val="es-ES"/>
            </w:rPr>
            <w:instrText xml:space="preserve"> TOC \o "1-3" \h \z \u </w:instrText>
          </w:r>
          <w:r w:rsidRPr="004E336B">
            <w:rPr>
              <w:b/>
              <w:bCs/>
              <w:szCs w:val="22"/>
              <w:lang w:val="es-ES"/>
            </w:rPr>
            <w:fldChar w:fldCharType="separate"/>
          </w:r>
          <w:hyperlink w:anchor="_Toc197537176" w:history="1">
            <w:r w:rsidR="001003F5" w:rsidRPr="004E336B">
              <w:rPr>
                <w:rStyle w:val="Hipervnculo"/>
                <w:rFonts w:eastAsiaTheme="majorEastAsia"/>
                <w:noProof/>
                <w:color w:val="auto"/>
              </w:rPr>
              <w:t>ANTECEDENTES</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_Toc197537176 \h </w:instrText>
            </w:r>
            <w:r w:rsidR="001003F5" w:rsidRPr="004E336B">
              <w:rPr>
                <w:noProof/>
                <w:webHidden/>
              </w:rPr>
            </w:r>
            <w:r w:rsidR="001003F5" w:rsidRPr="004E336B">
              <w:rPr>
                <w:noProof/>
                <w:webHidden/>
              </w:rPr>
              <w:fldChar w:fldCharType="separate"/>
            </w:r>
            <w:r w:rsidR="00522537">
              <w:rPr>
                <w:noProof/>
                <w:webHidden/>
              </w:rPr>
              <w:t>1</w:t>
            </w:r>
            <w:r w:rsidR="001003F5" w:rsidRPr="004E336B">
              <w:rPr>
                <w:noProof/>
                <w:webHidden/>
              </w:rPr>
              <w:fldChar w:fldCharType="end"/>
            </w:r>
          </w:hyperlink>
        </w:p>
        <w:p w14:paraId="03A592BB" w14:textId="06BE6922" w:rsidR="001003F5" w:rsidRPr="004E336B" w:rsidRDefault="00B9720F" w:rsidP="004E336B">
          <w:pPr>
            <w:pStyle w:val="TDC2"/>
            <w:rPr>
              <w:rFonts w:asciiTheme="minorHAnsi" w:eastAsiaTheme="minorEastAsia" w:hAnsiTheme="minorHAnsi" w:cstheme="minorBidi"/>
              <w:noProof/>
              <w:szCs w:val="22"/>
              <w:lang w:eastAsia="es-MX"/>
            </w:rPr>
          </w:pPr>
          <w:hyperlink w:anchor="_Toc197537177" w:history="1">
            <w:r w:rsidR="001003F5" w:rsidRPr="004E336B">
              <w:rPr>
                <w:rStyle w:val="Hipervnculo"/>
                <w:rFonts w:eastAsiaTheme="majorEastAsia"/>
                <w:noProof/>
                <w:color w:val="auto"/>
              </w:rPr>
              <w:t>DE LA SOLICITUD DE INFORMACIÓN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_Toc197537177 \h </w:instrText>
            </w:r>
            <w:r w:rsidR="001003F5" w:rsidRPr="004E336B">
              <w:rPr>
                <w:noProof/>
                <w:webHidden/>
              </w:rPr>
            </w:r>
            <w:r w:rsidR="001003F5" w:rsidRPr="004E336B">
              <w:rPr>
                <w:noProof/>
                <w:webHidden/>
              </w:rPr>
              <w:fldChar w:fldCharType="separate"/>
            </w:r>
            <w:r w:rsidR="00522537">
              <w:rPr>
                <w:noProof/>
                <w:webHidden/>
              </w:rPr>
              <w:t>1</w:t>
            </w:r>
            <w:r w:rsidR="001003F5" w:rsidRPr="004E336B">
              <w:rPr>
                <w:noProof/>
                <w:webHidden/>
              </w:rPr>
              <w:fldChar w:fldCharType="end"/>
            </w:r>
          </w:hyperlink>
        </w:p>
        <w:p w14:paraId="01FACA9B" w14:textId="48FBFB82" w:rsidR="001003F5" w:rsidRPr="004E336B" w:rsidRDefault="00B9720F" w:rsidP="004E336B">
          <w:pPr>
            <w:pStyle w:val="TDC3"/>
            <w:rPr>
              <w:rFonts w:asciiTheme="minorHAnsi" w:eastAsiaTheme="minorEastAsia" w:hAnsiTheme="minorHAnsi" w:cstheme="minorBidi"/>
              <w:noProof/>
              <w:szCs w:val="22"/>
              <w:lang w:eastAsia="es-MX"/>
            </w:rPr>
          </w:pPr>
          <w:hyperlink w:anchor="_Toc197537178" w:history="1">
            <w:r w:rsidR="001003F5" w:rsidRPr="004E336B">
              <w:rPr>
                <w:rStyle w:val="Hipervnculo"/>
                <w:rFonts w:eastAsiaTheme="majorEastAsia"/>
                <w:noProof/>
                <w:color w:val="auto"/>
              </w:rPr>
              <w:t>a) Solicitud de información.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_Toc197537178 \h </w:instrText>
            </w:r>
            <w:r w:rsidR="001003F5" w:rsidRPr="004E336B">
              <w:rPr>
                <w:noProof/>
                <w:webHidden/>
              </w:rPr>
            </w:r>
            <w:r w:rsidR="001003F5" w:rsidRPr="004E336B">
              <w:rPr>
                <w:noProof/>
                <w:webHidden/>
              </w:rPr>
              <w:fldChar w:fldCharType="separate"/>
            </w:r>
            <w:r w:rsidR="00522537">
              <w:rPr>
                <w:noProof/>
                <w:webHidden/>
              </w:rPr>
              <w:t>1</w:t>
            </w:r>
            <w:r w:rsidR="001003F5" w:rsidRPr="004E336B">
              <w:rPr>
                <w:noProof/>
                <w:webHidden/>
              </w:rPr>
              <w:fldChar w:fldCharType="end"/>
            </w:r>
          </w:hyperlink>
        </w:p>
        <w:p w14:paraId="0D3B5868" w14:textId="5F341F18" w:rsidR="001003F5" w:rsidRPr="004E336B" w:rsidRDefault="00B9720F" w:rsidP="004E336B">
          <w:pPr>
            <w:pStyle w:val="TDC3"/>
            <w:rPr>
              <w:rFonts w:asciiTheme="minorHAnsi" w:eastAsiaTheme="minorEastAsia" w:hAnsiTheme="minorHAnsi" w:cstheme="minorBidi"/>
              <w:noProof/>
              <w:szCs w:val="22"/>
              <w:lang w:eastAsia="es-MX"/>
            </w:rPr>
          </w:pPr>
          <w:hyperlink w:anchor="_Toc197537179" w:history="1">
            <w:r w:rsidR="001003F5" w:rsidRPr="004E336B">
              <w:rPr>
                <w:rStyle w:val="Hipervnculo"/>
                <w:rFonts w:eastAsiaTheme="majorEastAsia"/>
                <w:noProof/>
                <w:color w:val="auto"/>
              </w:rPr>
              <w:t>b) Respuesta del Sujeto Obligado.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_Toc197537179 \h </w:instrText>
            </w:r>
            <w:r w:rsidR="001003F5" w:rsidRPr="004E336B">
              <w:rPr>
                <w:noProof/>
                <w:webHidden/>
              </w:rPr>
            </w:r>
            <w:r w:rsidR="001003F5" w:rsidRPr="004E336B">
              <w:rPr>
                <w:noProof/>
                <w:webHidden/>
              </w:rPr>
              <w:fldChar w:fldCharType="separate"/>
            </w:r>
            <w:r w:rsidR="00522537">
              <w:rPr>
                <w:noProof/>
                <w:webHidden/>
              </w:rPr>
              <w:t>2</w:t>
            </w:r>
            <w:r w:rsidR="001003F5" w:rsidRPr="004E336B">
              <w:rPr>
                <w:noProof/>
                <w:webHidden/>
              </w:rPr>
              <w:fldChar w:fldCharType="end"/>
            </w:r>
          </w:hyperlink>
        </w:p>
        <w:p w14:paraId="38BB34D2" w14:textId="3F358555" w:rsidR="001003F5" w:rsidRPr="004E336B" w:rsidRDefault="00B9720F" w:rsidP="004E336B">
          <w:pPr>
            <w:pStyle w:val="TDC2"/>
            <w:rPr>
              <w:rFonts w:asciiTheme="minorHAnsi" w:eastAsiaTheme="minorEastAsia" w:hAnsiTheme="minorHAnsi" w:cstheme="minorBidi"/>
              <w:noProof/>
              <w:szCs w:val="22"/>
              <w:lang w:eastAsia="es-MX"/>
            </w:rPr>
          </w:pPr>
          <w:hyperlink w:anchor="_Toc197537180" w:history="1">
            <w:r w:rsidR="001003F5" w:rsidRPr="004E336B">
              <w:rPr>
                <w:rStyle w:val="Hipervnculo"/>
                <w:rFonts w:eastAsiaTheme="majorEastAsia"/>
                <w:noProof/>
                <w:color w:val="auto"/>
              </w:rPr>
              <w:t>DEL RECURSO DE REVISIÓN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_Toc197537180 \h </w:instrText>
            </w:r>
            <w:r w:rsidR="001003F5" w:rsidRPr="004E336B">
              <w:rPr>
                <w:noProof/>
                <w:webHidden/>
              </w:rPr>
            </w:r>
            <w:r w:rsidR="001003F5" w:rsidRPr="004E336B">
              <w:rPr>
                <w:noProof/>
                <w:webHidden/>
              </w:rPr>
              <w:fldChar w:fldCharType="separate"/>
            </w:r>
            <w:r w:rsidR="00522537">
              <w:rPr>
                <w:noProof/>
                <w:webHidden/>
              </w:rPr>
              <w:t>3</w:t>
            </w:r>
            <w:r w:rsidR="001003F5" w:rsidRPr="004E336B">
              <w:rPr>
                <w:noProof/>
                <w:webHidden/>
              </w:rPr>
              <w:fldChar w:fldCharType="end"/>
            </w:r>
          </w:hyperlink>
        </w:p>
        <w:p w14:paraId="00E63F1D" w14:textId="20CB7A0D" w:rsidR="001003F5" w:rsidRPr="004E336B" w:rsidRDefault="00B9720F" w:rsidP="004E336B">
          <w:pPr>
            <w:pStyle w:val="TDC3"/>
            <w:rPr>
              <w:rFonts w:asciiTheme="minorHAnsi" w:eastAsiaTheme="minorEastAsia" w:hAnsiTheme="minorHAnsi" w:cstheme="minorBidi"/>
              <w:noProof/>
              <w:szCs w:val="22"/>
              <w:lang w:eastAsia="es-MX"/>
            </w:rPr>
          </w:pPr>
          <w:hyperlink w:anchor="_Toc197537181" w:history="1">
            <w:r w:rsidR="001003F5" w:rsidRPr="004E336B">
              <w:rPr>
                <w:rStyle w:val="Hipervnculo"/>
                <w:rFonts w:eastAsiaTheme="majorEastAsia"/>
                <w:noProof/>
                <w:color w:val="auto"/>
              </w:rPr>
              <w:t>a) Interposición del Recurso de Revisión.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_Toc197537181 \h </w:instrText>
            </w:r>
            <w:r w:rsidR="001003F5" w:rsidRPr="004E336B">
              <w:rPr>
                <w:noProof/>
                <w:webHidden/>
              </w:rPr>
            </w:r>
            <w:r w:rsidR="001003F5" w:rsidRPr="004E336B">
              <w:rPr>
                <w:noProof/>
                <w:webHidden/>
              </w:rPr>
              <w:fldChar w:fldCharType="separate"/>
            </w:r>
            <w:r w:rsidR="00522537">
              <w:rPr>
                <w:noProof/>
                <w:webHidden/>
              </w:rPr>
              <w:t>3</w:t>
            </w:r>
            <w:r w:rsidR="001003F5" w:rsidRPr="004E336B">
              <w:rPr>
                <w:noProof/>
                <w:webHidden/>
              </w:rPr>
              <w:fldChar w:fldCharType="end"/>
            </w:r>
          </w:hyperlink>
        </w:p>
        <w:p w14:paraId="1C0FF622" w14:textId="1BC59ADC" w:rsidR="001003F5" w:rsidRPr="004E336B" w:rsidRDefault="00B9720F" w:rsidP="004E336B">
          <w:pPr>
            <w:pStyle w:val="TDC3"/>
            <w:rPr>
              <w:rFonts w:asciiTheme="minorHAnsi" w:eastAsiaTheme="minorEastAsia" w:hAnsiTheme="minorHAnsi" w:cstheme="minorBidi"/>
              <w:noProof/>
              <w:szCs w:val="22"/>
              <w:lang w:eastAsia="es-MX"/>
            </w:rPr>
          </w:pPr>
          <w:hyperlink w:anchor="_Toc197537182" w:history="1">
            <w:r w:rsidR="001003F5" w:rsidRPr="004E336B">
              <w:rPr>
                <w:rStyle w:val="Hipervnculo"/>
                <w:rFonts w:eastAsiaTheme="majorEastAsia"/>
                <w:noProof/>
                <w:color w:val="auto"/>
              </w:rPr>
              <w:t>b) Turno del Recurso de Revisión.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_Toc197537182 \h </w:instrText>
            </w:r>
            <w:r w:rsidR="001003F5" w:rsidRPr="004E336B">
              <w:rPr>
                <w:noProof/>
                <w:webHidden/>
              </w:rPr>
            </w:r>
            <w:r w:rsidR="001003F5" w:rsidRPr="004E336B">
              <w:rPr>
                <w:noProof/>
                <w:webHidden/>
              </w:rPr>
              <w:fldChar w:fldCharType="separate"/>
            </w:r>
            <w:r w:rsidR="00522537">
              <w:rPr>
                <w:noProof/>
                <w:webHidden/>
              </w:rPr>
              <w:t>3</w:t>
            </w:r>
            <w:r w:rsidR="001003F5" w:rsidRPr="004E336B">
              <w:rPr>
                <w:noProof/>
                <w:webHidden/>
              </w:rPr>
              <w:fldChar w:fldCharType="end"/>
            </w:r>
          </w:hyperlink>
        </w:p>
        <w:p w14:paraId="2B622B7A" w14:textId="59D5F940" w:rsidR="001003F5" w:rsidRPr="004E336B" w:rsidRDefault="00B9720F" w:rsidP="004E336B">
          <w:pPr>
            <w:pStyle w:val="TDC3"/>
            <w:rPr>
              <w:rFonts w:asciiTheme="minorHAnsi" w:eastAsiaTheme="minorEastAsia" w:hAnsiTheme="minorHAnsi" w:cstheme="minorBidi"/>
              <w:noProof/>
              <w:szCs w:val="22"/>
              <w:lang w:eastAsia="es-MX"/>
            </w:rPr>
          </w:pPr>
          <w:hyperlink w:anchor="_Toc197537183" w:history="1">
            <w:r w:rsidR="001003F5" w:rsidRPr="004E336B">
              <w:rPr>
                <w:rStyle w:val="Hipervnculo"/>
                <w:rFonts w:eastAsiaTheme="majorEastAsia"/>
                <w:noProof/>
                <w:color w:val="auto"/>
              </w:rPr>
              <w:t>c) Admisión del Recurso de Revisión.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_Toc197537183 \h </w:instrText>
            </w:r>
            <w:r w:rsidR="001003F5" w:rsidRPr="004E336B">
              <w:rPr>
                <w:noProof/>
                <w:webHidden/>
              </w:rPr>
            </w:r>
            <w:r w:rsidR="001003F5" w:rsidRPr="004E336B">
              <w:rPr>
                <w:noProof/>
                <w:webHidden/>
              </w:rPr>
              <w:fldChar w:fldCharType="separate"/>
            </w:r>
            <w:r w:rsidR="00522537">
              <w:rPr>
                <w:noProof/>
                <w:webHidden/>
              </w:rPr>
              <w:t>3</w:t>
            </w:r>
            <w:r w:rsidR="001003F5" w:rsidRPr="004E336B">
              <w:rPr>
                <w:noProof/>
                <w:webHidden/>
              </w:rPr>
              <w:fldChar w:fldCharType="end"/>
            </w:r>
          </w:hyperlink>
        </w:p>
        <w:p w14:paraId="702AC457" w14:textId="11795F05" w:rsidR="001003F5" w:rsidRPr="004E336B" w:rsidRDefault="00B9720F" w:rsidP="004E336B">
          <w:pPr>
            <w:pStyle w:val="TDC3"/>
            <w:rPr>
              <w:rFonts w:asciiTheme="minorHAnsi" w:eastAsiaTheme="minorEastAsia" w:hAnsiTheme="minorHAnsi" w:cstheme="minorBidi"/>
              <w:noProof/>
              <w:szCs w:val="22"/>
              <w:lang w:eastAsia="es-MX"/>
            </w:rPr>
          </w:pPr>
          <w:hyperlink w:anchor="_Toc197537184" w:history="1">
            <w:r w:rsidR="001003F5" w:rsidRPr="004E336B">
              <w:rPr>
                <w:rStyle w:val="Hipervnculo"/>
                <w:rFonts w:eastAsiaTheme="majorEastAsia"/>
                <w:noProof/>
                <w:color w:val="auto"/>
              </w:rPr>
              <w:t>d) Manifestaciones de la Parte Recurrente.</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_Toc197537184 \h </w:instrText>
            </w:r>
            <w:r w:rsidR="001003F5" w:rsidRPr="004E336B">
              <w:rPr>
                <w:noProof/>
                <w:webHidden/>
              </w:rPr>
            </w:r>
            <w:r w:rsidR="001003F5" w:rsidRPr="004E336B">
              <w:rPr>
                <w:noProof/>
                <w:webHidden/>
              </w:rPr>
              <w:fldChar w:fldCharType="separate"/>
            </w:r>
            <w:r w:rsidR="00522537">
              <w:rPr>
                <w:noProof/>
                <w:webHidden/>
              </w:rPr>
              <w:t>4</w:t>
            </w:r>
            <w:r w:rsidR="001003F5" w:rsidRPr="004E336B">
              <w:rPr>
                <w:noProof/>
                <w:webHidden/>
              </w:rPr>
              <w:fldChar w:fldCharType="end"/>
            </w:r>
          </w:hyperlink>
        </w:p>
        <w:p w14:paraId="33BB3E12" w14:textId="239DCB5C" w:rsidR="001003F5" w:rsidRPr="004E336B" w:rsidRDefault="00B9720F" w:rsidP="004E336B">
          <w:pPr>
            <w:pStyle w:val="TDC3"/>
            <w:rPr>
              <w:rFonts w:asciiTheme="minorHAnsi" w:eastAsiaTheme="minorEastAsia" w:hAnsiTheme="minorHAnsi" w:cstheme="minorBidi"/>
              <w:noProof/>
              <w:szCs w:val="22"/>
              <w:lang w:eastAsia="es-MX"/>
            </w:rPr>
          </w:pPr>
          <w:hyperlink w:anchor="_Toc197537185" w:history="1">
            <w:r w:rsidR="001003F5" w:rsidRPr="004E336B">
              <w:rPr>
                <w:rStyle w:val="Hipervnculo"/>
                <w:rFonts w:eastAsiaTheme="majorEastAsia"/>
                <w:noProof/>
                <w:color w:val="auto"/>
              </w:rPr>
              <w:t>e) Informe Justificado del Sujeto Obligado.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_Toc197537185 \h </w:instrText>
            </w:r>
            <w:r w:rsidR="001003F5" w:rsidRPr="004E336B">
              <w:rPr>
                <w:noProof/>
                <w:webHidden/>
              </w:rPr>
            </w:r>
            <w:r w:rsidR="001003F5" w:rsidRPr="004E336B">
              <w:rPr>
                <w:noProof/>
                <w:webHidden/>
              </w:rPr>
              <w:fldChar w:fldCharType="separate"/>
            </w:r>
            <w:r w:rsidR="00522537">
              <w:rPr>
                <w:noProof/>
                <w:webHidden/>
              </w:rPr>
              <w:t>4</w:t>
            </w:r>
            <w:r w:rsidR="001003F5" w:rsidRPr="004E336B">
              <w:rPr>
                <w:noProof/>
                <w:webHidden/>
              </w:rPr>
              <w:fldChar w:fldCharType="end"/>
            </w:r>
          </w:hyperlink>
        </w:p>
        <w:p w14:paraId="31490F88" w14:textId="4FFC1591" w:rsidR="001003F5" w:rsidRPr="004E336B" w:rsidRDefault="00B9720F" w:rsidP="004E336B">
          <w:pPr>
            <w:pStyle w:val="TDC3"/>
            <w:rPr>
              <w:rFonts w:asciiTheme="minorHAnsi" w:eastAsiaTheme="minorEastAsia" w:hAnsiTheme="minorHAnsi" w:cstheme="minorBidi"/>
              <w:noProof/>
              <w:szCs w:val="22"/>
              <w:lang w:eastAsia="es-MX"/>
            </w:rPr>
          </w:pPr>
          <w:hyperlink w:anchor="_Toc197537186" w:history="1">
            <w:r w:rsidR="001003F5" w:rsidRPr="004E336B">
              <w:rPr>
                <w:rStyle w:val="Hipervnculo"/>
                <w:rFonts w:eastAsiaTheme="majorEastAsia"/>
                <w:noProof/>
                <w:color w:val="auto"/>
              </w:rPr>
              <w:t>f) Cierre de instrucción.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_Toc197537186 \h </w:instrText>
            </w:r>
            <w:r w:rsidR="001003F5" w:rsidRPr="004E336B">
              <w:rPr>
                <w:noProof/>
                <w:webHidden/>
              </w:rPr>
            </w:r>
            <w:r w:rsidR="001003F5" w:rsidRPr="004E336B">
              <w:rPr>
                <w:noProof/>
                <w:webHidden/>
              </w:rPr>
              <w:fldChar w:fldCharType="separate"/>
            </w:r>
            <w:r w:rsidR="00522537">
              <w:rPr>
                <w:noProof/>
                <w:webHidden/>
              </w:rPr>
              <w:t>4</w:t>
            </w:r>
            <w:r w:rsidR="001003F5" w:rsidRPr="004E336B">
              <w:rPr>
                <w:noProof/>
                <w:webHidden/>
              </w:rPr>
              <w:fldChar w:fldCharType="end"/>
            </w:r>
          </w:hyperlink>
        </w:p>
        <w:p w14:paraId="5AE5A9D3" w14:textId="2D40CD2D" w:rsidR="001003F5" w:rsidRPr="004E336B" w:rsidRDefault="00B9720F" w:rsidP="004E336B">
          <w:pPr>
            <w:pStyle w:val="TDC1"/>
            <w:tabs>
              <w:tab w:val="right" w:leader="dot" w:pos="9034"/>
            </w:tabs>
            <w:rPr>
              <w:rFonts w:asciiTheme="minorHAnsi" w:eastAsiaTheme="minorEastAsia" w:hAnsiTheme="minorHAnsi" w:cstheme="minorBidi"/>
              <w:noProof/>
              <w:szCs w:val="22"/>
              <w:lang w:eastAsia="es-MX"/>
            </w:rPr>
          </w:pPr>
          <w:hyperlink w:anchor="_Toc197537187" w:history="1">
            <w:r w:rsidR="001003F5" w:rsidRPr="004E336B">
              <w:rPr>
                <w:rStyle w:val="Hipervnculo"/>
                <w:rFonts w:eastAsiaTheme="majorEastAsia"/>
                <w:noProof/>
                <w:color w:val="auto"/>
              </w:rPr>
              <w:t>CONSIDERANDOS</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_Toc197537187 \h </w:instrText>
            </w:r>
            <w:r w:rsidR="001003F5" w:rsidRPr="004E336B">
              <w:rPr>
                <w:noProof/>
                <w:webHidden/>
              </w:rPr>
            </w:r>
            <w:r w:rsidR="001003F5" w:rsidRPr="004E336B">
              <w:rPr>
                <w:noProof/>
                <w:webHidden/>
              </w:rPr>
              <w:fldChar w:fldCharType="separate"/>
            </w:r>
            <w:r w:rsidR="00522537">
              <w:rPr>
                <w:noProof/>
                <w:webHidden/>
              </w:rPr>
              <w:t>5</w:t>
            </w:r>
            <w:r w:rsidR="001003F5" w:rsidRPr="004E336B">
              <w:rPr>
                <w:noProof/>
                <w:webHidden/>
              </w:rPr>
              <w:fldChar w:fldCharType="end"/>
            </w:r>
          </w:hyperlink>
        </w:p>
        <w:p w14:paraId="37B0E031" w14:textId="2AEDFC45" w:rsidR="001003F5" w:rsidRPr="004E336B" w:rsidRDefault="00B9720F" w:rsidP="004E336B">
          <w:pPr>
            <w:pStyle w:val="TDC2"/>
            <w:rPr>
              <w:rFonts w:asciiTheme="minorHAnsi" w:eastAsiaTheme="minorEastAsia" w:hAnsiTheme="minorHAnsi" w:cstheme="minorBidi"/>
              <w:noProof/>
              <w:szCs w:val="22"/>
              <w:lang w:eastAsia="es-MX"/>
            </w:rPr>
          </w:pPr>
          <w:hyperlink w:anchor="_Toc197537188" w:history="1">
            <w:r w:rsidR="001003F5" w:rsidRPr="004E336B">
              <w:rPr>
                <w:rStyle w:val="Hipervnculo"/>
                <w:rFonts w:eastAsiaTheme="majorEastAsia"/>
                <w:noProof/>
                <w:color w:val="auto"/>
              </w:rPr>
              <w:t>PRIMERO. Procedibilidad</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_Toc197537188 \h </w:instrText>
            </w:r>
            <w:r w:rsidR="001003F5" w:rsidRPr="004E336B">
              <w:rPr>
                <w:noProof/>
                <w:webHidden/>
              </w:rPr>
            </w:r>
            <w:r w:rsidR="001003F5" w:rsidRPr="004E336B">
              <w:rPr>
                <w:noProof/>
                <w:webHidden/>
              </w:rPr>
              <w:fldChar w:fldCharType="separate"/>
            </w:r>
            <w:r w:rsidR="00522537">
              <w:rPr>
                <w:noProof/>
                <w:webHidden/>
              </w:rPr>
              <w:t>5</w:t>
            </w:r>
            <w:r w:rsidR="001003F5" w:rsidRPr="004E336B">
              <w:rPr>
                <w:noProof/>
                <w:webHidden/>
              </w:rPr>
              <w:fldChar w:fldCharType="end"/>
            </w:r>
          </w:hyperlink>
        </w:p>
        <w:p w14:paraId="179577CB" w14:textId="4A619E7A" w:rsidR="001003F5" w:rsidRPr="004E336B" w:rsidRDefault="00B9720F" w:rsidP="004E336B">
          <w:pPr>
            <w:pStyle w:val="TDC3"/>
            <w:rPr>
              <w:rFonts w:asciiTheme="minorHAnsi" w:eastAsiaTheme="minorEastAsia" w:hAnsiTheme="minorHAnsi" w:cstheme="minorBidi"/>
              <w:noProof/>
              <w:szCs w:val="22"/>
              <w:lang w:eastAsia="es-MX"/>
            </w:rPr>
          </w:pPr>
          <w:hyperlink w:anchor="_Toc197537189" w:history="1">
            <w:r w:rsidR="001003F5" w:rsidRPr="004E336B">
              <w:rPr>
                <w:rStyle w:val="Hipervnculo"/>
                <w:rFonts w:eastAsiaTheme="majorEastAsia"/>
                <w:noProof/>
                <w:color w:val="auto"/>
              </w:rPr>
              <w:t>a) Competencia del Instituto.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_Toc197537189 \h </w:instrText>
            </w:r>
            <w:r w:rsidR="001003F5" w:rsidRPr="004E336B">
              <w:rPr>
                <w:noProof/>
                <w:webHidden/>
              </w:rPr>
            </w:r>
            <w:r w:rsidR="001003F5" w:rsidRPr="004E336B">
              <w:rPr>
                <w:noProof/>
                <w:webHidden/>
              </w:rPr>
              <w:fldChar w:fldCharType="separate"/>
            </w:r>
            <w:r w:rsidR="00522537">
              <w:rPr>
                <w:noProof/>
                <w:webHidden/>
              </w:rPr>
              <w:t>5</w:t>
            </w:r>
            <w:r w:rsidR="001003F5" w:rsidRPr="004E336B">
              <w:rPr>
                <w:noProof/>
                <w:webHidden/>
              </w:rPr>
              <w:fldChar w:fldCharType="end"/>
            </w:r>
          </w:hyperlink>
        </w:p>
        <w:p w14:paraId="5C215EDE" w14:textId="703A8D3C" w:rsidR="001003F5" w:rsidRPr="004E336B" w:rsidRDefault="00B9720F" w:rsidP="004E336B">
          <w:pPr>
            <w:pStyle w:val="TDC3"/>
            <w:rPr>
              <w:rFonts w:asciiTheme="minorHAnsi" w:eastAsiaTheme="minorEastAsia" w:hAnsiTheme="minorHAnsi" w:cstheme="minorBidi"/>
              <w:noProof/>
              <w:szCs w:val="22"/>
              <w:lang w:eastAsia="es-MX"/>
            </w:rPr>
          </w:pPr>
          <w:hyperlink w:anchor="_Toc197537190" w:history="1">
            <w:r w:rsidR="001003F5" w:rsidRPr="004E336B">
              <w:rPr>
                <w:rStyle w:val="Hipervnculo"/>
                <w:rFonts w:eastAsiaTheme="majorEastAsia"/>
                <w:noProof/>
                <w:color w:val="auto"/>
              </w:rPr>
              <w:t>b) Legitimidad de la parte recurrente.</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_Toc197537190 \h </w:instrText>
            </w:r>
            <w:r w:rsidR="001003F5" w:rsidRPr="004E336B">
              <w:rPr>
                <w:noProof/>
                <w:webHidden/>
              </w:rPr>
            </w:r>
            <w:r w:rsidR="001003F5" w:rsidRPr="004E336B">
              <w:rPr>
                <w:noProof/>
                <w:webHidden/>
              </w:rPr>
              <w:fldChar w:fldCharType="separate"/>
            </w:r>
            <w:r w:rsidR="00522537">
              <w:rPr>
                <w:noProof/>
                <w:webHidden/>
              </w:rPr>
              <w:t>5</w:t>
            </w:r>
            <w:r w:rsidR="001003F5" w:rsidRPr="004E336B">
              <w:rPr>
                <w:noProof/>
                <w:webHidden/>
              </w:rPr>
              <w:fldChar w:fldCharType="end"/>
            </w:r>
          </w:hyperlink>
        </w:p>
        <w:p w14:paraId="0741465D" w14:textId="3E79E7A6" w:rsidR="001003F5" w:rsidRPr="004E336B" w:rsidRDefault="00B9720F" w:rsidP="004E336B">
          <w:pPr>
            <w:pStyle w:val="TDC3"/>
            <w:rPr>
              <w:rFonts w:asciiTheme="minorHAnsi" w:eastAsiaTheme="minorEastAsia" w:hAnsiTheme="minorHAnsi" w:cstheme="minorBidi"/>
              <w:noProof/>
              <w:szCs w:val="22"/>
              <w:lang w:eastAsia="es-MX"/>
            </w:rPr>
          </w:pPr>
          <w:hyperlink w:anchor="_Toc197537191" w:history="1">
            <w:r w:rsidR="001003F5" w:rsidRPr="004E336B">
              <w:rPr>
                <w:rStyle w:val="Hipervnculo"/>
                <w:rFonts w:eastAsiaTheme="majorEastAsia"/>
                <w:noProof/>
                <w:color w:val="auto"/>
              </w:rPr>
              <w:t>c) Plazo para interponer el recurso.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_Toc197537191 \h </w:instrText>
            </w:r>
            <w:r w:rsidR="001003F5" w:rsidRPr="004E336B">
              <w:rPr>
                <w:noProof/>
                <w:webHidden/>
              </w:rPr>
            </w:r>
            <w:r w:rsidR="001003F5" w:rsidRPr="004E336B">
              <w:rPr>
                <w:noProof/>
                <w:webHidden/>
              </w:rPr>
              <w:fldChar w:fldCharType="separate"/>
            </w:r>
            <w:r w:rsidR="00522537">
              <w:rPr>
                <w:noProof/>
                <w:webHidden/>
              </w:rPr>
              <w:t>5</w:t>
            </w:r>
            <w:r w:rsidR="001003F5" w:rsidRPr="004E336B">
              <w:rPr>
                <w:noProof/>
                <w:webHidden/>
              </w:rPr>
              <w:fldChar w:fldCharType="end"/>
            </w:r>
          </w:hyperlink>
        </w:p>
        <w:p w14:paraId="6E351DD9" w14:textId="74D88E50" w:rsidR="001003F5" w:rsidRPr="004E336B" w:rsidRDefault="00B9720F" w:rsidP="004E336B">
          <w:pPr>
            <w:pStyle w:val="TDC3"/>
            <w:rPr>
              <w:rFonts w:asciiTheme="minorHAnsi" w:eastAsiaTheme="minorEastAsia" w:hAnsiTheme="minorHAnsi" w:cstheme="minorBidi"/>
              <w:noProof/>
              <w:szCs w:val="22"/>
              <w:lang w:eastAsia="es-MX"/>
            </w:rPr>
          </w:pPr>
          <w:hyperlink w:anchor="_Toc197537192" w:history="1">
            <w:r w:rsidR="001003F5" w:rsidRPr="004E336B">
              <w:rPr>
                <w:rStyle w:val="Hipervnculo"/>
                <w:rFonts w:eastAsiaTheme="majorEastAsia"/>
                <w:noProof/>
                <w:color w:val="auto"/>
              </w:rPr>
              <w:t>d) Causal de procedencia.</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_Toc197537192 \h </w:instrText>
            </w:r>
            <w:r w:rsidR="001003F5" w:rsidRPr="004E336B">
              <w:rPr>
                <w:noProof/>
                <w:webHidden/>
              </w:rPr>
            </w:r>
            <w:r w:rsidR="001003F5" w:rsidRPr="004E336B">
              <w:rPr>
                <w:noProof/>
                <w:webHidden/>
              </w:rPr>
              <w:fldChar w:fldCharType="separate"/>
            </w:r>
            <w:r w:rsidR="00522537">
              <w:rPr>
                <w:noProof/>
                <w:webHidden/>
              </w:rPr>
              <w:t>7</w:t>
            </w:r>
            <w:r w:rsidR="001003F5" w:rsidRPr="004E336B">
              <w:rPr>
                <w:noProof/>
                <w:webHidden/>
              </w:rPr>
              <w:fldChar w:fldCharType="end"/>
            </w:r>
          </w:hyperlink>
        </w:p>
        <w:p w14:paraId="06C6F34A" w14:textId="38125AD6" w:rsidR="001003F5" w:rsidRPr="004E336B" w:rsidRDefault="00B9720F" w:rsidP="004E336B">
          <w:pPr>
            <w:pStyle w:val="TDC3"/>
            <w:rPr>
              <w:rFonts w:asciiTheme="minorHAnsi" w:eastAsiaTheme="minorEastAsia" w:hAnsiTheme="minorHAnsi" w:cstheme="minorBidi"/>
              <w:noProof/>
              <w:szCs w:val="22"/>
              <w:lang w:eastAsia="es-MX"/>
            </w:rPr>
          </w:pPr>
          <w:hyperlink w:anchor="_Toc197537193" w:history="1">
            <w:r w:rsidR="001003F5" w:rsidRPr="004E336B">
              <w:rPr>
                <w:rStyle w:val="Hipervnculo"/>
                <w:rFonts w:eastAsiaTheme="majorEastAsia"/>
                <w:noProof/>
                <w:color w:val="auto"/>
              </w:rPr>
              <w:t>e) Requisitos formales para la interposición del recurso.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_Toc197537193 \h </w:instrText>
            </w:r>
            <w:r w:rsidR="001003F5" w:rsidRPr="004E336B">
              <w:rPr>
                <w:noProof/>
                <w:webHidden/>
              </w:rPr>
            </w:r>
            <w:r w:rsidR="001003F5" w:rsidRPr="004E336B">
              <w:rPr>
                <w:noProof/>
                <w:webHidden/>
              </w:rPr>
              <w:fldChar w:fldCharType="separate"/>
            </w:r>
            <w:r w:rsidR="00522537">
              <w:rPr>
                <w:noProof/>
                <w:webHidden/>
              </w:rPr>
              <w:t>7</w:t>
            </w:r>
            <w:r w:rsidR="001003F5" w:rsidRPr="004E336B">
              <w:rPr>
                <w:noProof/>
                <w:webHidden/>
              </w:rPr>
              <w:fldChar w:fldCharType="end"/>
            </w:r>
          </w:hyperlink>
        </w:p>
        <w:p w14:paraId="19700F43" w14:textId="5B42F08E" w:rsidR="001003F5" w:rsidRPr="004E336B" w:rsidRDefault="00B9720F" w:rsidP="004E336B">
          <w:pPr>
            <w:pStyle w:val="TDC2"/>
            <w:rPr>
              <w:rFonts w:asciiTheme="minorHAnsi" w:eastAsiaTheme="minorEastAsia" w:hAnsiTheme="minorHAnsi" w:cstheme="minorBidi"/>
              <w:noProof/>
              <w:szCs w:val="22"/>
              <w:lang w:eastAsia="es-MX"/>
            </w:rPr>
          </w:pPr>
          <w:hyperlink w:anchor="_Toc197537194" w:history="1">
            <w:r w:rsidR="001003F5" w:rsidRPr="004E336B">
              <w:rPr>
                <w:rStyle w:val="Hipervnculo"/>
                <w:rFonts w:eastAsiaTheme="majorEastAsia"/>
                <w:noProof/>
                <w:color w:val="auto"/>
              </w:rPr>
              <w:t>SEGUNDO. Estudio de Fondo.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_Toc197537194 \h </w:instrText>
            </w:r>
            <w:r w:rsidR="001003F5" w:rsidRPr="004E336B">
              <w:rPr>
                <w:noProof/>
                <w:webHidden/>
              </w:rPr>
            </w:r>
            <w:r w:rsidR="001003F5" w:rsidRPr="004E336B">
              <w:rPr>
                <w:noProof/>
                <w:webHidden/>
              </w:rPr>
              <w:fldChar w:fldCharType="separate"/>
            </w:r>
            <w:r w:rsidR="00522537">
              <w:rPr>
                <w:noProof/>
                <w:webHidden/>
              </w:rPr>
              <w:t>8</w:t>
            </w:r>
            <w:r w:rsidR="001003F5" w:rsidRPr="004E336B">
              <w:rPr>
                <w:noProof/>
                <w:webHidden/>
              </w:rPr>
              <w:fldChar w:fldCharType="end"/>
            </w:r>
          </w:hyperlink>
        </w:p>
        <w:p w14:paraId="7B064BB6" w14:textId="2A4CF297" w:rsidR="001003F5" w:rsidRPr="004E336B" w:rsidRDefault="00B9720F" w:rsidP="004E336B">
          <w:pPr>
            <w:pStyle w:val="TDC3"/>
            <w:rPr>
              <w:rFonts w:asciiTheme="minorHAnsi" w:eastAsiaTheme="minorEastAsia" w:hAnsiTheme="minorHAnsi" w:cstheme="minorBidi"/>
              <w:noProof/>
              <w:szCs w:val="22"/>
              <w:lang w:eastAsia="es-MX"/>
            </w:rPr>
          </w:pPr>
          <w:hyperlink w:anchor="_Toc197537195" w:history="1">
            <w:r w:rsidR="001003F5" w:rsidRPr="004E336B">
              <w:rPr>
                <w:rStyle w:val="Hipervnculo"/>
                <w:rFonts w:eastAsiaTheme="majorEastAsia"/>
                <w:noProof/>
                <w:color w:val="auto"/>
              </w:rPr>
              <w:t>a) Mandato de transparencia y responsabilidad del Sujeto Obligado.</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_Toc197537195 \h </w:instrText>
            </w:r>
            <w:r w:rsidR="001003F5" w:rsidRPr="004E336B">
              <w:rPr>
                <w:noProof/>
                <w:webHidden/>
              </w:rPr>
            </w:r>
            <w:r w:rsidR="001003F5" w:rsidRPr="004E336B">
              <w:rPr>
                <w:noProof/>
                <w:webHidden/>
              </w:rPr>
              <w:fldChar w:fldCharType="separate"/>
            </w:r>
            <w:r w:rsidR="00522537">
              <w:rPr>
                <w:noProof/>
                <w:webHidden/>
              </w:rPr>
              <w:t>8</w:t>
            </w:r>
            <w:r w:rsidR="001003F5" w:rsidRPr="004E336B">
              <w:rPr>
                <w:noProof/>
                <w:webHidden/>
              </w:rPr>
              <w:fldChar w:fldCharType="end"/>
            </w:r>
          </w:hyperlink>
        </w:p>
        <w:p w14:paraId="3B93852C" w14:textId="4BE20D5D" w:rsidR="001003F5" w:rsidRPr="004E336B" w:rsidRDefault="00B9720F" w:rsidP="004E336B">
          <w:pPr>
            <w:pStyle w:val="TDC3"/>
            <w:rPr>
              <w:rFonts w:asciiTheme="minorHAnsi" w:eastAsiaTheme="minorEastAsia" w:hAnsiTheme="minorHAnsi" w:cstheme="minorBidi"/>
              <w:noProof/>
              <w:szCs w:val="22"/>
              <w:lang w:eastAsia="es-MX"/>
            </w:rPr>
          </w:pPr>
          <w:hyperlink w:anchor="_Toc197537196" w:history="1">
            <w:r w:rsidR="001003F5" w:rsidRPr="004E336B">
              <w:rPr>
                <w:rStyle w:val="Hipervnculo"/>
                <w:rFonts w:eastAsiaTheme="majorEastAsia"/>
                <w:noProof/>
                <w:color w:val="auto"/>
              </w:rPr>
              <w:t>b) Controversia a resolver.</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_Toc197537196 \h </w:instrText>
            </w:r>
            <w:r w:rsidR="001003F5" w:rsidRPr="004E336B">
              <w:rPr>
                <w:noProof/>
                <w:webHidden/>
              </w:rPr>
            </w:r>
            <w:r w:rsidR="001003F5" w:rsidRPr="004E336B">
              <w:rPr>
                <w:noProof/>
                <w:webHidden/>
              </w:rPr>
              <w:fldChar w:fldCharType="separate"/>
            </w:r>
            <w:r w:rsidR="00522537">
              <w:rPr>
                <w:noProof/>
                <w:webHidden/>
              </w:rPr>
              <w:t>11</w:t>
            </w:r>
            <w:r w:rsidR="001003F5" w:rsidRPr="004E336B">
              <w:rPr>
                <w:noProof/>
                <w:webHidden/>
              </w:rPr>
              <w:fldChar w:fldCharType="end"/>
            </w:r>
          </w:hyperlink>
        </w:p>
        <w:p w14:paraId="2568ACCC" w14:textId="1B51C8B3" w:rsidR="001003F5" w:rsidRPr="004E336B" w:rsidRDefault="00B9720F" w:rsidP="004E336B">
          <w:pPr>
            <w:pStyle w:val="TDC3"/>
            <w:rPr>
              <w:rFonts w:asciiTheme="minorHAnsi" w:eastAsiaTheme="minorEastAsia" w:hAnsiTheme="minorHAnsi" w:cstheme="minorBidi"/>
              <w:noProof/>
              <w:szCs w:val="22"/>
              <w:lang w:eastAsia="es-MX"/>
            </w:rPr>
          </w:pPr>
          <w:hyperlink w:anchor="_Toc197537197" w:history="1">
            <w:r w:rsidR="001003F5" w:rsidRPr="004E336B">
              <w:rPr>
                <w:rStyle w:val="Hipervnculo"/>
                <w:rFonts w:eastAsiaTheme="majorEastAsia"/>
                <w:noProof/>
                <w:color w:val="auto"/>
              </w:rPr>
              <w:t>c) Estudio de la controversia.</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_Toc197537197 \h </w:instrText>
            </w:r>
            <w:r w:rsidR="001003F5" w:rsidRPr="004E336B">
              <w:rPr>
                <w:noProof/>
                <w:webHidden/>
              </w:rPr>
            </w:r>
            <w:r w:rsidR="001003F5" w:rsidRPr="004E336B">
              <w:rPr>
                <w:noProof/>
                <w:webHidden/>
              </w:rPr>
              <w:fldChar w:fldCharType="separate"/>
            </w:r>
            <w:r w:rsidR="00522537">
              <w:rPr>
                <w:noProof/>
                <w:webHidden/>
              </w:rPr>
              <w:t>12</w:t>
            </w:r>
            <w:r w:rsidR="001003F5" w:rsidRPr="004E336B">
              <w:rPr>
                <w:noProof/>
                <w:webHidden/>
              </w:rPr>
              <w:fldChar w:fldCharType="end"/>
            </w:r>
          </w:hyperlink>
        </w:p>
        <w:p w14:paraId="3BB9D059" w14:textId="66F24658" w:rsidR="001003F5" w:rsidRPr="004E336B" w:rsidRDefault="00B9720F" w:rsidP="004E336B">
          <w:pPr>
            <w:pStyle w:val="TDC3"/>
            <w:rPr>
              <w:rFonts w:asciiTheme="minorHAnsi" w:eastAsiaTheme="minorEastAsia" w:hAnsiTheme="minorHAnsi" w:cstheme="minorBidi"/>
              <w:noProof/>
              <w:szCs w:val="22"/>
              <w:lang w:eastAsia="es-MX"/>
            </w:rPr>
          </w:pPr>
          <w:hyperlink w:anchor="_Toc197537198" w:history="1">
            <w:r w:rsidR="001003F5" w:rsidRPr="004E336B">
              <w:rPr>
                <w:rStyle w:val="Hipervnculo"/>
                <w:rFonts w:eastAsiaTheme="majorEastAsia"/>
                <w:noProof/>
                <w:color w:val="auto"/>
              </w:rPr>
              <w:t>d) Conclusión.</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_Toc197537198 \h </w:instrText>
            </w:r>
            <w:r w:rsidR="001003F5" w:rsidRPr="004E336B">
              <w:rPr>
                <w:noProof/>
                <w:webHidden/>
              </w:rPr>
            </w:r>
            <w:r w:rsidR="001003F5" w:rsidRPr="004E336B">
              <w:rPr>
                <w:noProof/>
                <w:webHidden/>
              </w:rPr>
              <w:fldChar w:fldCharType="separate"/>
            </w:r>
            <w:r w:rsidR="00522537">
              <w:rPr>
                <w:noProof/>
                <w:webHidden/>
              </w:rPr>
              <w:t>18</w:t>
            </w:r>
            <w:r w:rsidR="001003F5" w:rsidRPr="004E336B">
              <w:rPr>
                <w:noProof/>
                <w:webHidden/>
              </w:rPr>
              <w:fldChar w:fldCharType="end"/>
            </w:r>
          </w:hyperlink>
        </w:p>
        <w:p w14:paraId="627AAFAF" w14:textId="427E3114" w:rsidR="001003F5" w:rsidRPr="004E336B" w:rsidRDefault="00B9720F" w:rsidP="004E336B">
          <w:pPr>
            <w:pStyle w:val="TDC1"/>
            <w:tabs>
              <w:tab w:val="right" w:leader="dot" w:pos="9034"/>
            </w:tabs>
            <w:rPr>
              <w:rFonts w:asciiTheme="minorHAnsi" w:eastAsiaTheme="minorEastAsia" w:hAnsiTheme="minorHAnsi" w:cstheme="minorBidi"/>
              <w:noProof/>
              <w:szCs w:val="22"/>
              <w:lang w:eastAsia="es-MX"/>
            </w:rPr>
          </w:pPr>
          <w:hyperlink w:anchor="_Toc197537199" w:history="1">
            <w:r w:rsidR="001003F5" w:rsidRPr="004E336B">
              <w:rPr>
                <w:rStyle w:val="Hipervnculo"/>
                <w:rFonts w:eastAsiaTheme="majorEastAsia"/>
                <w:noProof/>
                <w:color w:val="auto"/>
              </w:rPr>
              <w:t>RESUELVE</w:t>
            </w:r>
            <w:r w:rsidR="001003F5" w:rsidRPr="004E336B">
              <w:rPr>
                <w:noProof/>
                <w:webHidden/>
              </w:rPr>
              <w:tab/>
            </w:r>
            <w:r w:rsidR="001003F5" w:rsidRPr="004E336B">
              <w:rPr>
                <w:noProof/>
                <w:webHidden/>
              </w:rPr>
              <w:fldChar w:fldCharType="begin"/>
            </w:r>
            <w:r w:rsidR="001003F5" w:rsidRPr="004E336B">
              <w:rPr>
                <w:noProof/>
                <w:webHidden/>
              </w:rPr>
              <w:instrText xml:space="preserve"> PAGEREF _Toc197537199 \h </w:instrText>
            </w:r>
            <w:r w:rsidR="001003F5" w:rsidRPr="004E336B">
              <w:rPr>
                <w:noProof/>
                <w:webHidden/>
              </w:rPr>
            </w:r>
            <w:r w:rsidR="001003F5" w:rsidRPr="004E336B">
              <w:rPr>
                <w:noProof/>
                <w:webHidden/>
              </w:rPr>
              <w:fldChar w:fldCharType="separate"/>
            </w:r>
            <w:r w:rsidR="00522537">
              <w:rPr>
                <w:noProof/>
                <w:webHidden/>
              </w:rPr>
              <w:t>19</w:t>
            </w:r>
            <w:r w:rsidR="001003F5" w:rsidRPr="004E336B">
              <w:rPr>
                <w:noProof/>
                <w:webHidden/>
              </w:rPr>
              <w:fldChar w:fldCharType="end"/>
            </w:r>
          </w:hyperlink>
        </w:p>
        <w:p w14:paraId="3A77D8BC" w14:textId="6C0A98ED" w:rsidR="00247497" w:rsidRPr="004E336B" w:rsidRDefault="00247497" w:rsidP="004E336B">
          <w:pPr>
            <w:rPr>
              <w:szCs w:val="22"/>
            </w:rPr>
          </w:pPr>
          <w:r w:rsidRPr="004E336B">
            <w:rPr>
              <w:b/>
              <w:bCs/>
              <w:szCs w:val="22"/>
              <w:lang w:val="es-ES"/>
            </w:rPr>
            <w:fldChar w:fldCharType="end"/>
          </w:r>
        </w:p>
      </w:sdtContent>
    </w:sdt>
    <w:p w14:paraId="22C281BC" w14:textId="77777777" w:rsidR="002B11D9" w:rsidRPr="004E336B" w:rsidRDefault="002B11D9" w:rsidP="004E336B">
      <w:pPr>
        <w:rPr>
          <w:szCs w:val="22"/>
        </w:rPr>
        <w:sectPr w:rsidR="002B11D9" w:rsidRPr="004E336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AF7D02E" w14:textId="749546B4" w:rsidR="002B11D9" w:rsidRPr="004E336B" w:rsidRDefault="00E43858" w:rsidP="004E336B">
      <w:pPr>
        <w:rPr>
          <w:b/>
          <w:szCs w:val="22"/>
        </w:rPr>
      </w:pPr>
      <w:r w:rsidRPr="004E336B">
        <w:rPr>
          <w:szCs w:val="22"/>
        </w:rPr>
        <w:lastRenderedPageBreak/>
        <w:t>Resolución del Pleno del Instituto de Transparencia, Acceso a la Información Pública y Protección de Datos Personales del Estado de México y Municipios, con domicilio en Metepec, Estado de México, de</w:t>
      </w:r>
      <w:r w:rsidR="00090FAC" w:rsidRPr="004E336B">
        <w:rPr>
          <w:szCs w:val="22"/>
        </w:rPr>
        <w:t>l</w:t>
      </w:r>
      <w:r w:rsidRPr="004E336B">
        <w:rPr>
          <w:szCs w:val="22"/>
        </w:rPr>
        <w:t xml:space="preserve"> </w:t>
      </w:r>
      <w:r w:rsidR="00735B22" w:rsidRPr="004E336B">
        <w:rPr>
          <w:b/>
          <w:szCs w:val="22"/>
        </w:rPr>
        <w:t>catorce</w:t>
      </w:r>
      <w:r w:rsidR="00090FAC" w:rsidRPr="004E336B">
        <w:rPr>
          <w:b/>
          <w:szCs w:val="22"/>
        </w:rPr>
        <w:t xml:space="preserve"> </w:t>
      </w:r>
      <w:r w:rsidRPr="004E336B">
        <w:rPr>
          <w:b/>
          <w:szCs w:val="22"/>
        </w:rPr>
        <w:t xml:space="preserve">de </w:t>
      </w:r>
      <w:r w:rsidR="002C2212" w:rsidRPr="004E336B">
        <w:rPr>
          <w:b/>
          <w:szCs w:val="22"/>
        </w:rPr>
        <w:t>mayo</w:t>
      </w:r>
      <w:r w:rsidR="00090FAC" w:rsidRPr="004E336B">
        <w:rPr>
          <w:b/>
          <w:szCs w:val="22"/>
        </w:rPr>
        <w:t xml:space="preserve"> </w:t>
      </w:r>
      <w:r w:rsidRPr="004E336B">
        <w:rPr>
          <w:b/>
          <w:szCs w:val="22"/>
        </w:rPr>
        <w:t xml:space="preserve">de dos mil </w:t>
      </w:r>
      <w:r w:rsidR="00743588" w:rsidRPr="004E336B">
        <w:rPr>
          <w:b/>
          <w:szCs w:val="22"/>
        </w:rPr>
        <w:t>veinticinco</w:t>
      </w:r>
      <w:r w:rsidRPr="004E336B">
        <w:rPr>
          <w:b/>
          <w:szCs w:val="22"/>
        </w:rPr>
        <w:t>.</w:t>
      </w:r>
    </w:p>
    <w:p w14:paraId="2FFA481C" w14:textId="77777777" w:rsidR="002B11D9" w:rsidRPr="004E336B" w:rsidRDefault="002B11D9" w:rsidP="004E336B">
      <w:pPr>
        <w:rPr>
          <w:szCs w:val="22"/>
        </w:rPr>
      </w:pPr>
    </w:p>
    <w:p w14:paraId="2FAD1405" w14:textId="18A6A927" w:rsidR="002B11D9" w:rsidRPr="004E336B" w:rsidRDefault="00E43858" w:rsidP="004E336B">
      <w:pPr>
        <w:rPr>
          <w:szCs w:val="22"/>
        </w:rPr>
      </w:pPr>
      <w:r w:rsidRPr="004E336B">
        <w:rPr>
          <w:b/>
          <w:szCs w:val="22"/>
        </w:rPr>
        <w:t xml:space="preserve">VISTO </w:t>
      </w:r>
      <w:r w:rsidRPr="004E336B">
        <w:rPr>
          <w:szCs w:val="22"/>
        </w:rPr>
        <w:t xml:space="preserve">el expediente formado con motivo del Recurso de Revisión </w:t>
      </w:r>
      <w:r w:rsidR="00EC13AD" w:rsidRPr="004E336B">
        <w:rPr>
          <w:b/>
          <w:szCs w:val="22"/>
        </w:rPr>
        <w:t>0</w:t>
      </w:r>
      <w:r w:rsidR="00735B22" w:rsidRPr="004E336B">
        <w:rPr>
          <w:b/>
          <w:szCs w:val="22"/>
        </w:rPr>
        <w:t>3437</w:t>
      </w:r>
      <w:r w:rsidRPr="004E336B">
        <w:rPr>
          <w:b/>
          <w:szCs w:val="22"/>
        </w:rPr>
        <w:t>/INFOEM/IP/RR/202</w:t>
      </w:r>
      <w:r w:rsidR="00CB091A" w:rsidRPr="004E336B">
        <w:rPr>
          <w:b/>
          <w:szCs w:val="22"/>
        </w:rPr>
        <w:t>5</w:t>
      </w:r>
      <w:r w:rsidRPr="004E336B">
        <w:rPr>
          <w:szCs w:val="22"/>
        </w:rPr>
        <w:t xml:space="preserve"> interpuesto por </w:t>
      </w:r>
      <w:bookmarkStart w:id="2" w:name="_GoBack"/>
      <w:r w:rsidR="000D2DC9">
        <w:rPr>
          <w:b/>
          <w:szCs w:val="22"/>
        </w:rPr>
        <w:t>XXX</w:t>
      </w:r>
      <w:r w:rsidR="002C2212" w:rsidRPr="004E336B">
        <w:rPr>
          <w:b/>
          <w:szCs w:val="22"/>
        </w:rPr>
        <w:t xml:space="preserve"> </w:t>
      </w:r>
      <w:bookmarkEnd w:id="2"/>
      <w:r w:rsidRPr="004E336B">
        <w:rPr>
          <w:szCs w:val="22"/>
        </w:rPr>
        <w:t xml:space="preserve">a quien en lo subsecuente se le denominará </w:t>
      </w:r>
      <w:r w:rsidRPr="004E336B">
        <w:rPr>
          <w:b/>
          <w:szCs w:val="22"/>
        </w:rPr>
        <w:t>LA PARTE RECURRENTE</w:t>
      </w:r>
      <w:r w:rsidRPr="004E336B">
        <w:rPr>
          <w:szCs w:val="22"/>
        </w:rPr>
        <w:t xml:space="preserve">, en contra de la respuesta emitida por </w:t>
      </w:r>
      <w:r w:rsidR="00CB091A" w:rsidRPr="004E336B">
        <w:rPr>
          <w:szCs w:val="22"/>
        </w:rPr>
        <w:t>el</w:t>
      </w:r>
      <w:r w:rsidRPr="004E336B">
        <w:rPr>
          <w:szCs w:val="22"/>
        </w:rPr>
        <w:t xml:space="preserve"> </w:t>
      </w:r>
      <w:r w:rsidR="00735B22" w:rsidRPr="004E336B">
        <w:rPr>
          <w:b/>
          <w:szCs w:val="22"/>
        </w:rPr>
        <w:t>Ayuntamiento de Tlalnepantla de Baz</w:t>
      </w:r>
      <w:r w:rsidRPr="004E336B">
        <w:rPr>
          <w:b/>
          <w:szCs w:val="22"/>
        </w:rPr>
        <w:t xml:space="preserve">, </w:t>
      </w:r>
      <w:r w:rsidRPr="004E336B">
        <w:rPr>
          <w:szCs w:val="22"/>
        </w:rPr>
        <w:t xml:space="preserve">en adelante </w:t>
      </w:r>
      <w:r w:rsidRPr="004E336B">
        <w:rPr>
          <w:b/>
          <w:szCs w:val="22"/>
        </w:rPr>
        <w:t>EL SUJETO OBLIGADO</w:t>
      </w:r>
      <w:r w:rsidRPr="004E336B">
        <w:rPr>
          <w:szCs w:val="22"/>
        </w:rPr>
        <w:t>, se emite la presente Resolución con base en los Antecedentes y Considerandos que se exponen a continuación:</w:t>
      </w:r>
    </w:p>
    <w:p w14:paraId="1DE5BFFC" w14:textId="77777777" w:rsidR="002B11D9" w:rsidRPr="004E336B" w:rsidRDefault="002B11D9" w:rsidP="004E336B">
      <w:pPr>
        <w:rPr>
          <w:szCs w:val="22"/>
        </w:rPr>
      </w:pPr>
    </w:p>
    <w:p w14:paraId="1202FAEB" w14:textId="77777777" w:rsidR="002B11D9" w:rsidRPr="004E336B" w:rsidRDefault="00E43858" w:rsidP="004E336B">
      <w:pPr>
        <w:pStyle w:val="Ttulo1"/>
        <w:rPr>
          <w:szCs w:val="22"/>
        </w:rPr>
      </w:pPr>
      <w:bookmarkStart w:id="3" w:name="_Toc197537176"/>
      <w:r w:rsidRPr="004E336B">
        <w:rPr>
          <w:szCs w:val="22"/>
        </w:rPr>
        <w:t>ANTECEDENTES</w:t>
      </w:r>
      <w:bookmarkEnd w:id="3"/>
    </w:p>
    <w:p w14:paraId="1760D115" w14:textId="77777777" w:rsidR="002B11D9" w:rsidRPr="004E336B" w:rsidRDefault="002B11D9" w:rsidP="004E336B">
      <w:pPr>
        <w:rPr>
          <w:szCs w:val="22"/>
        </w:rPr>
      </w:pPr>
    </w:p>
    <w:p w14:paraId="7841BF95" w14:textId="77777777" w:rsidR="002B11D9" w:rsidRPr="004E336B" w:rsidRDefault="00E43858" w:rsidP="004E336B">
      <w:pPr>
        <w:pStyle w:val="Ttulo2"/>
        <w:jc w:val="left"/>
        <w:rPr>
          <w:szCs w:val="22"/>
        </w:rPr>
      </w:pPr>
      <w:bookmarkStart w:id="4" w:name="_Toc197537177"/>
      <w:r w:rsidRPr="004E336B">
        <w:rPr>
          <w:szCs w:val="22"/>
        </w:rPr>
        <w:t>DE LA SOLICITUD DE INFORMACIÓN</w:t>
      </w:r>
      <w:bookmarkEnd w:id="4"/>
    </w:p>
    <w:p w14:paraId="2BF20AA9" w14:textId="77777777" w:rsidR="002B11D9" w:rsidRPr="004E336B" w:rsidRDefault="00E43858" w:rsidP="004E336B">
      <w:pPr>
        <w:pStyle w:val="Ttulo3"/>
        <w:rPr>
          <w:szCs w:val="22"/>
        </w:rPr>
      </w:pPr>
      <w:bookmarkStart w:id="5" w:name="_Toc197537178"/>
      <w:r w:rsidRPr="004E336B">
        <w:rPr>
          <w:szCs w:val="22"/>
        </w:rPr>
        <w:t>a) Solicitud de información.</w:t>
      </w:r>
      <w:bookmarkEnd w:id="5"/>
    </w:p>
    <w:p w14:paraId="7F8FD05B" w14:textId="26FA6AB7" w:rsidR="002B11D9" w:rsidRPr="004E336B" w:rsidRDefault="00E43858" w:rsidP="004E336B">
      <w:pPr>
        <w:pBdr>
          <w:top w:val="nil"/>
          <w:left w:val="nil"/>
          <w:bottom w:val="nil"/>
          <w:right w:val="nil"/>
          <w:between w:val="nil"/>
        </w:pBdr>
        <w:tabs>
          <w:tab w:val="left" w:pos="0"/>
        </w:tabs>
        <w:rPr>
          <w:rFonts w:eastAsia="Palatino Linotype" w:cs="Palatino Linotype"/>
          <w:szCs w:val="22"/>
        </w:rPr>
      </w:pPr>
      <w:r w:rsidRPr="004E336B">
        <w:rPr>
          <w:rFonts w:eastAsia="Palatino Linotype" w:cs="Palatino Linotype"/>
          <w:szCs w:val="22"/>
        </w:rPr>
        <w:t xml:space="preserve">El </w:t>
      </w:r>
      <w:r w:rsidR="00735B22" w:rsidRPr="004E336B">
        <w:rPr>
          <w:rFonts w:eastAsia="Palatino Linotype" w:cs="Palatino Linotype"/>
          <w:b/>
          <w:szCs w:val="22"/>
        </w:rPr>
        <w:t>cuatro</w:t>
      </w:r>
      <w:r w:rsidRPr="004E336B">
        <w:rPr>
          <w:rFonts w:eastAsia="Palatino Linotype" w:cs="Palatino Linotype"/>
          <w:b/>
          <w:szCs w:val="22"/>
        </w:rPr>
        <w:t xml:space="preserve"> de </w:t>
      </w:r>
      <w:r w:rsidR="00735B22" w:rsidRPr="004E336B">
        <w:rPr>
          <w:rFonts w:eastAsia="Palatino Linotype" w:cs="Palatino Linotype"/>
          <w:b/>
          <w:szCs w:val="22"/>
        </w:rPr>
        <w:t>marzo</w:t>
      </w:r>
      <w:r w:rsidRPr="004E336B">
        <w:rPr>
          <w:rFonts w:eastAsia="Palatino Linotype" w:cs="Palatino Linotype"/>
          <w:b/>
          <w:szCs w:val="22"/>
        </w:rPr>
        <w:t xml:space="preserve"> de dos mil </w:t>
      </w:r>
      <w:r w:rsidR="001C0893" w:rsidRPr="004E336B">
        <w:rPr>
          <w:rFonts w:eastAsia="Palatino Linotype" w:cs="Palatino Linotype"/>
          <w:b/>
          <w:szCs w:val="22"/>
        </w:rPr>
        <w:t>veinticinco</w:t>
      </w:r>
      <w:r w:rsidR="001003F5" w:rsidRPr="004E336B">
        <w:rPr>
          <w:rStyle w:val="Refdenotaalpie"/>
          <w:rFonts w:eastAsia="Palatino Linotype" w:cs="Palatino Linotype"/>
          <w:b/>
          <w:szCs w:val="22"/>
        </w:rPr>
        <w:footnoteReference w:id="1"/>
      </w:r>
      <w:r w:rsidRPr="004E336B">
        <w:rPr>
          <w:rFonts w:eastAsia="Palatino Linotype" w:cs="Palatino Linotype"/>
          <w:szCs w:val="22"/>
        </w:rPr>
        <w:t xml:space="preserve"> </w:t>
      </w:r>
      <w:r w:rsidRPr="004E336B">
        <w:rPr>
          <w:rFonts w:eastAsia="Palatino Linotype" w:cs="Palatino Linotype"/>
          <w:b/>
          <w:szCs w:val="22"/>
        </w:rPr>
        <w:t>LA PARTE RECURRENTE</w:t>
      </w:r>
      <w:r w:rsidRPr="004E336B">
        <w:rPr>
          <w:rFonts w:eastAsia="Palatino Linotype" w:cs="Palatino Linotype"/>
          <w:szCs w:val="22"/>
        </w:rPr>
        <w:t xml:space="preserve"> presentó una solicitud de acceso a la información pública ante el </w:t>
      </w:r>
      <w:r w:rsidRPr="004E336B">
        <w:rPr>
          <w:rFonts w:eastAsia="Palatino Linotype" w:cs="Palatino Linotype"/>
          <w:b/>
          <w:szCs w:val="22"/>
        </w:rPr>
        <w:t>SUJETO OBLIGADO</w:t>
      </w:r>
      <w:r w:rsidRPr="004E336B">
        <w:rPr>
          <w:rFonts w:eastAsia="Palatino Linotype" w:cs="Palatino Linotype"/>
          <w:szCs w:val="22"/>
        </w:rPr>
        <w:t>, a través de</w:t>
      </w:r>
      <w:r w:rsidR="004A1070" w:rsidRPr="004E336B">
        <w:rPr>
          <w:rFonts w:eastAsia="Palatino Linotype" w:cs="Palatino Linotype"/>
          <w:szCs w:val="22"/>
        </w:rPr>
        <w:t xml:space="preserve">l </w:t>
      </w:r>
      <w:r w:rsidRPr="004E336B">
        <w:rPr>
          <w:rFonts w:eastAsia="Palatino Linotype" w:cs="Palatino Linotype"/>
          <w:szCs w:val="22"/>
        </w:rPr>
        <w:t>Sistema de Acceso a la Información Mexiquense (SAIMEX). Dicha solicitud quedó registrada con el número de folio</w:t>
      </w:r>
      <w:r w:rsidR="00602E1E" w:rsidRPr="004E336B">
        <w:rPr>
          <w:rFonts w:eastAsia="Palatino Linotype" w:cs="Palatino Linotype"/>
          <w:b/>
          <w:szCs w:val="22"/>
        </w:rPr>
        <w:t xml:space="preserve"> </w:t>
      </w:r>
      <w:r w:rsidR="00735B22" w:rsidRPr="004E336B">
        <w:rPr>
          <w:rFonts w:eastAsia="Palatino Linotype" w:cs="Palatino Linotype"/>
          <w:b/>
          <w:szCs w:val="22"/>
        </w:rPr>
        <w:t>00242/TLALNEPA/IP/2025</w:t>
      </w:r>
      <w:r w:rsidR="00CB091A" w:rsidRPr="004E336B">
        <w:rPr>
          <w:rFonts w:eastAsia="Palatino Linotype" w:cs="Palatino Linotype"/>
          <w:b/>
          <w:szCs w:val="22"/>
        </w:rPr>
        <w:t xml:space="preserve"> </w:t>
      </w:r>
      <w:r w:rsidRPr="004E336B">
        <w:rPr>
          <w:rFonts w:eastAsia="Palatino Linotype" w:cs="Palatino Linotype"/>
          <w:szCs w:val="22"/>
        </w:rPr>
        <w:t>y en ella se requirió la siguiente información:</w:t>
      </w:r>
    </w:p>
    <w:p w14:paraId="4B392087" w14:textId="77777777" w:rsidR="002B11D9" w:rsidRPr="004E336B" w:rsidRDefault="002B11D9" w:rsidP="004E336B">
      <w:pPr>
        <w:tabs>
          <w:tab w:val="left" w:pos="4667"/>
        </w:tabs>
        <w:ind w:left="567" w:right="567"/>
        <w:rPr>
          <w:b/>
          <w:szCs w:val="22"/>
        </w:rPr>
      </w:pPr>
    </w:p>
    <w:p w14:paraId="69A1C36A" w14:textId="684719E5" w:rsidR="002B11D9" w:rsidRPr="004E336B" w:rsidRDefault="00E43858" w:rsidP="004E336B">
      <w:pPr>
        <w:pStyle w:val="Puesto"/>
      </w:pPr>
      <w:r w:rsidRPr="004E336B">
        <w:t>“</w:t>
      </w:r>
      <w:r w:rsidR="00735B22" w:rsidRPr="004E336B">
        <w:t>QUIERO LA EXPERIENCIA Y LA CERTIDICACION DE CONTRALORIA DE LA PERSONA QUE OCUPE EL CARGO EN ESE AYUNTAMIENTO A SU COMO SU CEDULA Y TITULO PROFESIONAL</w:t>
      </w:r>
      <w:r w:rsidRPr="004E336B">
        <w:t>” (sic).</w:t>
      </w:r>
    </w:p>
    <w:p w14:paraId="7DD2BAAE" w14:textId="63A89CDC" w:rsidR="002B11D9" w:rsidRPr="004E336B" w:rsidRDefault="002B11D9" w:rsidP="004E336B">
      <w:pPr>
        <w:tabs>
          <w:tab w:val="left" w:pos="5743"/>
        </w:tabs>
        <w:ind w:left="567" w:right="567"/>
        <w:rPr>
          <w:i/>
          <w:szCs w:val="22"/>
        </w:rPr>
      </w:pPr>
    </w:p>
    <w:p w14:paraId="1850AB1C" w14:textId="77777777" w:rsidR="002B11D9" w:rsidRPr="004E336B" w:rsidRDefault="00E43858" w:rsidP="004E336B">
      <w:pPr>
        <w:tabs>
          <w:tab w:val="left" w:pos="4667"/>
        </w:tabs>
        <w:ind w:right="567"/>
        <w:rPr>
          <w:szCs w:val="22"/>
        </w:rPr>
      </w:pPr>
      <w:r w:rsidRPr="004E336B">
        <w:rPr>
          <w:b/>
          <w:szCs w:val="22"/>
        </w:rPr>
        <w:t>Modalidad de entrega</w:t>
      </w:r>
      <w:r w:rsidRPr="004E336B">
        <w:rPr>
          <w:szCs w:val="22"/>
        </w:rPr>
        <w:t>: a</w:t>
      </w:r>
      <w:r w:rsidRPr="004E336B">
        <w:rPr>
          <w:i/>
          <w:szCs w:val="22"/>
        </w:rPr>
        <w:t xml:space="preserve"> </w:t>
      </w:r>
      <w:r w:rsidRPr="004E336B">
        <w:rPr>
          <w:szCs w:val="22"/>
        </w:rPr>
        <w:t xml:space="preserve">través del </w:t>
      </w:r>
      <w:r w:rsidRPr="004E336B">
        <w:rPr>
          <w:b/>
          <w:szCs w:val="22"/>
        </w:rPr>
        <w:t>SAIMEX</w:t>
      </w:r>
      <w:r w:rsidRPr="004E336B">
        <w:rPr>
          <w:szCs w:val="22"/>
        </w:rPr>
        <w:t>.</w:t>
      </w:r>
    </w:p>
    <w:p w14:paraId="4E513195" w14:textId="77777777" w:rsidR="000828E0" w:rsidRPr="004E336B" w:rsidRDefault="000828E0" w:rsidP="004E336B">
      <w:pPr>
        <w:rPr>
          <w:szCs w:val="22"/>
        </w:rPr>
      </w:pPr>
    </w:p>
    <w:p w14:paraId="53C684AE" w14:textId="0141946B" w:rsidR="002B11D9" w:rsidRPr="004E336B" w:rsidRDefault="00735B22" w:rsidP="004E336B">
      <w:pPr>
        <w:pStyle w:val="Ttulo3"/>
        <w:rPr>
          <w:szCs w:val="22"/>
        </w:rPr>
      </w:pPr>
      <w:bookmarkStart w:id="6" w:name="_Toc184287666"/>
      <w:bookmarkStart w:id="7" w:name="_Toc197537179"/>
      <w:r w:rsidRPr="004E336B">
        <w:rPr>
          <w:szCs w:val="22"/>
        </w:rPr>
        <w:t>b</w:t>
      </w:r>
      <w:r w:rsidR="00EC13AD" w:rsidRPr="004E336B">
        <w:rPr>
          <w:szCs w:val="22"/>
        </w:rPr>
        <w:t xml:space="preserve">) </w:t>
      </w:r>
      <w:bookmarkEnd w:id="6"/>
      <w:r w:rsidR="00E43858" w:rsidRPr="004E336B">
        <w:rPr>
          <w:szCs w:val="22"/>
        </w:rPr>
        <w:t>Respuesta del Sujeto Obligado.</w:t>
      </w:r>
      <w:bookmarkEnd w:id="7"/>
    </w:p>
    <w:p w14:paraId="01DCF07D" w14:textId="41AC6A42" w:rsidR="002B11D9" w:rsidRPr="004E336B" w:rsidRDefault="00E43858" w:rsidP="004E336B">
      <w:pPr>
        <w:pBdr>
          <w:top w:val="nil"/>
          <w:left w:val="nil"/>
          <w:bottom w:val="nil"/>
          <w:right w:val="nil"/>
          <w:between w:val="nil"/>
        </w:pBdr>
        <w:rPr>
          <w:rFonts w:eastAsia="Palatino Linotype" w:cs="Palatino Linotype"/>
          <w:szCs w:val="22"/>
        </w:rPr>
      </w:pPr>
      <w:r w:rsidRPr="004E336B">
        <w:rPr>
          <w:rFonts w:eastAsia="Palatino Linotype" w:cs="Palatino Linotype"/>
          <w:szCs w:val="22"/>
        </w:rPr>
        <w:t xml:space="preserve">El </w:t>
      </w:r>
      <w:r w:rsidR="00735B22" w:rsidRPr="004E336B">
        <w:rPr>
          <w:rFonts w:eastAsia="Palatino Linotype" w:cs="Palatino Linotype"/>
          <w:b/>
          <w:szCs w:val="22"/>
        </w:rPr>
        <w:t>veinticuatro</w:t>
      </w:r>
      <w:r w:rsidRPr="004E336B">
        <w:rPr>
          <w:rFonts w:eastAsia="Palatino Linotype" w:cs="Palatino Linotype"/>
          <w:b/>
          <w:szCs w:val="22"/>
        </w:rPr>
        <w:t xml:space="preserve"> de </w:t>
      </w:r>
      <w:r w:rsidR="00735B22" w:rsidRPr="004E336B">
        <w:rPr>
          <w:rFonts w:eastAsia="Palatino Linotype" w:cs="Palatino Linotype"/>
          <w:b/>
          <w:szCs w:val="22"/>
        </w:rPr>
        <w:t>marzo</w:t>
      </w:r>
      <w:r w:rsidRPr="004E336B">
        <w:rPr>
          <w:rFonts w:eastAsia="Palatino Linotype" w:cs="Palatino Linotype"/>
          <w:b/>
          <w:szCs w:val="22"/>
        </w:rPr>
        <w:t xml:space="preserve"> de dos mil </w:t>
      </w:r>
      <w:r w:rsidR="00732DB5" w:rsidRPr="004E336B">
        <w:rPr>
          <w:rFonts w:eastAsia="Palatino Linotype" w:cs="Palatino Linotype"/>
          <w:b/>
          <w:szCs w:val="22"/>
        </w:rPr>
        <w:t>veinticinco</w:t>
      </w:r>
      <w:r w:rsidRPr="004E336B">
        <w:rPr>
          <w:rFonts w:eastAsia="Palatino Linotype" w:cs="Palatino Linotype"/>
          <w:szCs w:val="22"/>
        </w:rPr>
        <w:t xml:space="preserve"> el Titular de la Unidad de Transparencia del </w:t>
      </w:r>
      <w:r w:rsidRPr="004E336B">
        <w:rPr>
          <w:rFonts w:eastAsia="Palatino Linotype" w:cs="Palatino Linotype"/>
          <w:b/>
          <w:szCs w:val="22"/>
        </w:rPr>
        <w:t>SUJETO OBLIGADO</w:t>
      </w:r>
      <w:r w:rsidRPr="004E336B">
        <w:rPr>
          <w:rFonts w:eastAsia="Palatino Linotype" w:cs="Palatino Linotype"/>
          <w:szCs w:val="22"/>
        </w:rPr>
        <w:t xml:space="preserve"> notificó la siguiente respuesta a través del </w:t>
      </w:r>
      <w:r w:rsidRPr="004E336B">
        <w:rPr>
          <w:rFonts w:eastAsia="Palatino Linotype" w:cs="Palatino Linotype"/>
          <w:b/>
          <w:szCs w:val="22"/>
        </w:rPr>
        <w:t>SAIMEX</w:t>
      </w:r>
      <w:r w:rsidRPr="004E336B">
        <w:rPr>
          <w:rFonts w:eastAsia="Palatino Linotype" w:cs="Palatino Linotype"/>
          <w:szCs w:val="22"/>
        </w:rPr>
        <w:t>:</w:t>
      </w:r>
    </w:p>
    <w:p w14:paraId="1402A6C2" w14:textId="77777777" w:rsidR="002B11D9" w:rsidRPr="004E336B" w:rsidRDefault="002B11D9" w:rsidP="004E336B">
      <w:pPr>
        <w:tabs>
          <w:tab w:val="left" w:pos="4667"/>
        </w:tabs>
        <w:ind w:left="567" w:right="567"/>
        <w:rPr>
          <w:b/>
          <w:szCs w:val="22"/>
        </w:rPr>
      </w:pPr>
    </w:p>
    <w:p w14:paraId="48B9CD55" w14:textId="19B3ADA5" w:rsidR="00735B22" w:rsidRPr="004E336B" w:rsidRDefault="00E43858" w:rsidP="004E336B">
      <w:pPr>
        <w:spacing w:line="276" w:lineRule="auto"/>
        <w:ind w:left="851" w:right="822"/>
        <w:rPr>
          <w:i/>
          <w:szCs w:val="22"/>
        </w:rPr>
      </w:pPr>
      <w:r w:rsidRPr="004E336B">
        <w:rPr>
          <w:i/>
          <w:szCs w:val="22"/>
        </w:rPr>
        <w:t>“</w:t>
      </w:r>
      <w:r w:rsidR="00735B22" w:rsidRPr="004E336B">
        <w:rPr>
          <w:i/>
          <w:szCs w:val="22"/>
        </w:rPr>
        <w:t>Tlalnepantla de Baz, México a 24 de Marzo de 2025</w:t>
      </w:r>
    </w:p>
    <w:p w14:paraId="1B0708E7" w14:textId="77777777" w:rsidR="00735B22" w:rsidRPr="004E336B" w:rsidRDefault="00735B22" w:rsidP="004E336B">
      <w:pPr>
        <w:spacing w:line="276" w:lineRule="auto"/>
        <w:ind w:left="851" w:right="822"/>
        <w:rPr>
          <w:i/>
          <w:szCs w:val="22"/>
        </w:rPr>
      </w:pPr>
      <w:r w:rsidRPr="004E336B">
        <w:rPr>
          <w:i/>
          <w:szCs w:val="22"/>
        </w:rPr>
        <w:t>Nombre del solicitante: C. Solicitante</w:t>
      </w:r>
    </w:p>
    <w:p w14:paraId="77ED4348" w14:textId="77777777" w:rsidR="00735B22" w:rsidRPr="004E336B" w:rsidRDefault="00735B22" w:rsidP="004E336B">
      <w:pPr>
        <w:spacing w:line="276" w:lineRule="auto"/>
        <w:ind w:left="851" w:right="822"/>
        <w:rPr>
          <w:i/>
          <w:szCs w:val="22"/>
        </w:rPr>
      </w:pPr>
      <w:r w:rsidRPr="004E336B">
        <w:rPr>
          <w:i/>
          <w:szCs w:val="22"/>
        </w:rPr>
        <w:t>Folio de la solicitud: 00242/TLALNEPA/IP/2025</w:t>
      </w:r>
    </w:p>
    <w:p w14:paraId="7CA29D48" w14:textId="77777777" w:rsidR="001003F5" w:rsidRPr="004E336B" w:rsidRDefault="001003F5" w:rsidP="004E336B">
      <w:pPr>
        <w:spacing w:line="276" w:lineRule="auto"/>
        <w:ind w:left="851" w:right="822"/>
        <w:rPr>
          <w:i/>
          <w:szCs w:val="22"/>
        </w:rPr>
      </w:pPr>
    </w:p>
    <w:p w14:paraId="643B184A" w14:textId="77777777" w:rsidR="00735B22" w:rsidRPr="004E336B" w:rsidRDefault="00735B22" w:rsidP="004E336B">
      <w:pPr>
        <w:spacing w:line="276" w:lineRule="auto"/>
        <w:ind w:left="851" w:right="822"/>
        <w:rPr>
          <w:i/>
          <w:szCs w:val="22"/>
        </w:rPr>
      </w:pPr>
      <w:r w:rsidRPr="004E336B">
        <w:rPr>
          <w:i/>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0578D3E3" w14:textId="77777777" w:rsidR="001003F5" w:rsidRPr="004E336B" w:rsidRDefault="001003F5" w:rsidP="004E336B">
      <w:pPr>
        <w:spacing w:line="276" w:lineRule="auto"/>
        <w:ind w:left="851" w:right="822"/>
        <w:rPr>
          <w:i/>
          <w:szCs w:val="22"/>
        </w:rPr>
      </w:pPr>
    </w:p>
    <w:p w14:paraId="4A1FC7E4" w14:textId="77777777" w:rsidR="00735B22" w:rsidRPr="004E336B" w:rsidRDefault="00735B22" w:rsidP="004E336B">
      <w:pPr>
        <w:spacing w:line="276" w:lineRule="auto"/>
        <w:ind w:left="851" w:right="822"/>
        <w:rPr>
          <w:i/>
          <w:szCs w:val="22"/>
        </w:rPr>
      </w:pPr>
      <w:r w:rsidRPr="004E336B">
        <w:rPr>
          <w:i/>
          <w:szCs w:val="22"/>
        </w:rPr>
        <w:t>ATENTAMENTE</w:t>
      </w:r>
    </w:p>
    <w:p w14:paraId="07656158" w14:textId="77777777" w:rsidR="001003F5" w:rsidRPr="004E336B" w:rsidRDefault="001003F5" w:rsidP="004E336B">
      <w:pPr>
        <w:spacing w:line="276" w:lineRule="auto"/>
        <w:ind w:left="851" w:right="822"/>
        <w:rPr>
          <w:i/>
          <w:szCs w:val="22"/>
        </w:rPr>
      </w:pPr>
    </w:p>
    <w:p w14:paraId="514DF771" w14:textId="40445D14" w:rsidR="00633FBD" w:rsidRPr="004E336B" w:rsidRDefault="00735B22" w:rsidP="004E336B">
      <w:pPr>
        <w:spacing w:line="276" w:lineRule="auto"/>
        <w:ind w:left="851" w:right="822"/>
        <w:rPr>
          <w:i/>
          <w:szCs w:val="22"/>
        </w:rPr>
      </w:pPr>
      <w:r w:rsidRPr="004E336B">
        <w:rPr>
          <w:i/>
          <w:szCs w:val="22"/>
        </w:rPr>
        <w:t>C. LIZETTA CHAVEZ SANTIAGO</w:t>
      </w:r>
      <w:r w:rsidR="00E43858" w:rsidRPr="004E336B">
        <w:rPr>
          <w:i/>
          <w:szCs w:val="22"/>
        </w:rPr>
        <w:t>”</w:t>
      </w:r>
    </w:p>
    <w:p w14:paraId="3DC3F600" w14:textId="77777777" w:rsidR="00602E1E" w:rsidRPr="004E336B" w:rsidRDefault="00602E1E" w:rsidP="004E336B">
      <w:pPr>
        <w:pBdr>
          <w:top w:val="nil"/>
          <w:left w:val="nil"/>
          <w:bottom w:val="nil"/>
          <w:right w:val="nil"/>
          <w:between w:val="nil"/>
        </w:pBdr>
        <w:ind w:right="-28"/>
        <w:rPr>
          <w:szCs w:val="22"/>
        </w:rPr>
      </w:pPr>
    </w:p>
    <w:p w14:paraId="40D430A1" w14:textId="452A90CB" w:rsidR="009510B8" w:rsidRPr="004E336B" w:rsidRDefault="009510B8" w:rsidP="004E336B">
      <w:pPr>
        <w:pBdr>
          <w:top w:val="nil"/>
          <w:left w:val="nil"/>
          <w:bottom w:val="nil"/>
          <w:right w:val="nil"/>
          <w:between w:val="nil"/>
        </w:pBdr>
        <w:ind w:right="-28"/>
        <w:rPr>
          <w:szCs w:val="22"/>
        </w:rPr>
      </w:pPr>
      <w:r w:rsidRPr="004E336B">
        <w:rPr>
          <w:szCs w:val="22"/>
        </w:rPr>
        <w:t xml:space="preserve">A la respuesta </w:t>
      </w:r>
      <w:r w:rsidRPr="004E336B">
        <w:rPr>
          <w:b/>
          <w:szCs w:val="22"/>
        </w:rPr>
        <w:t xml:space="preserve">EL SUJETO OBLIGADO </w:t>
      </w:r>
      <w:r w:rsidRPr="004E336B">
        <w:rPr>
          <w:szCs w:val="22"/>
        </w:rPr>
        <w:t xml:space="preserve">anexó el archivo digital denominado </w:t>
      </w:r>
      <w:r w:rsidRPr="004E336B">
        <w:rPr>
          <w:b/>
          <w:i/>
          <w:szCs w:val="22"/>
        </w:rPr>
        <w:t>“</w:t>
      </w:r>
      <w:r w:rsidR="00735B22" w:rsidRPr="004E336B">
        <w:rPr>
          <w:b/>
          <w:i/>
          <w:szCs w:val="22"/>
        </w:rPr>
        <w:t>RESPUESTA SAIMEX 242.zip</w:t>
      </w:r>
      <w:r w:rsidRPr="004E336B">
        <w:rPr>
          <w:b/>
          <w:i/>
          <w:szCs w:val="22"/>
        </w:rPr>
        <w:t xml:space="preserve">” </w:t>
      </w:r>
      <w:r w:rsidRPr="004E336B">
        <w:rPr>
          <w:szCs w:val="22"/>
        </w:rPr>
        <w:t xml:space="preserve">que contiene el oficio número </w:t>
      </w:r>
      <w:r w:rsidR="00735B22" w:rsidRPr="004E336B">
        <w:rPr>
          <w:szCs w:val="22"/>
        </w:rPr>
        <w:t>TLA/OM/0969</w:t>
      </w:r>
      <w:r w:rsidRPr="004E336B">
        <w:rPr>
          <w:szCs w:val="22"/>
        </w:rPr>
        <w:t xml:space="preserve">/2025, suscrito por </w:t>
      </w:r>
      <w:r w:rsidR="00240370" w:rsidRPr="004E336B">
        <w:rPr>
          <w:szCs w:val="22"/>
        </w:rPr>
        <w:t>la servidora pública habilitada de la Oficialía Mayor, quien indicó adjuntar la ficha curricular, Certificación de Competencias Laborales, constancias de autenticación de título electrónico y cédula profesional en versión pública aprobado por el Comité de Transparencia mediante acuerdo 08/CT/11-ORD/2025.</w:t>
      </w:r>
    </w:p>
    <w:p w14:paraId="0D01A5C7" w14:textId="77777777" w:rsidR="00240370" w:rsidRPr="004E336B" w:rsidRDefault="00240370" w:rsidP="004E336B">
      <w:pPr>
        <w:pBdr>
          <w:top w:val="nil"/>
          <w:left w:val="nil"/>
          <w:bottom w:val="nil"/>
          <w:right w:val="nil"/>
          <w:between w:val="nil"/>
        </w:pBdr>
        <w:ind w:right="-28"/>
        <w:rPr>
          <w:szCs w:val="22"/>
        </w:rPr>
      </w:pPr>
    </w:p>
    <w:p w14:paraId="1355A11E" w14:textId="77777777" w:rsidR="002B11D9" w:rsidRPr="004E336B" w:rsidRDefault="00E43858" w:rsidP="004E336B">
      <w:pPr>
        <w:pStyle w:val="Ttulo2"/>
        <w:jc w:val="left"/>
        <w:rPr>
          <w:szCs w:val="22"/>
        </w:rPr>
      </w:pPr>
      <w:bookmarkStart w:id="8" w:name="_Toc197537180"/>
      <w:r w:rsidRPr="004E336B">
        <w:rPr>
          <w:szCs w:val="22"/>
        </w:rPr>
        <w:lastRenderedPageBreak/>
        <w:t>DEL RECURSO DE REVISIÓN</w:t>
      </w:r>
      <w:bookmarkEnd w:id="8"/>
    </w:p>
    <w:p w14:paraId="030CC57B" w14:textId="77777777" w:rsidR="002B11D9" w:rsidRPr="004E336B" w:rsidRDefault="00E43858" w:rsidP="004E336B">
      <w:pPr>
        <w:pStyle w:val="Ttulo3"/>
        <w:rPr>
          <w:szCs w:val="22"/>
        </w:rPr>
      </w:pPr>
      <w:bookmarkStart w:id="9" w:name="_Toc197537181"/>
      <w:r w:rsidRPr="004E336B">
        <w:rPr>
          <w:szCs w:val="22"/>
        </w:rPr>
        <w:t>a) Interposición del Recurso de Revisión.</w:t>
      </w:r>
      <w:bookmarkEnd w:id="9"/>
    </w:p>
    <w:p w14:paraId="1C00BD81" w14:textId="384093E5" w:rsidR="002B11D9" w:rsidRPr="004E336B" w:rsidRDefault="00E43858" w:rsidP="004E336B">
      <w:pPr>
        <w:ind w:right="-28"/>
        <w:rPr>
          <w:szCs w:val="22"/>
        </w:rPr>
      </w:pPr>
      <w:r w:rsidRPr="004E336B">
        <w:rPr>
          <w:szCs w:val="22"/>
        </w:rPr>
        <w:t xml:space="preserve">El </w:t>
      </w:r>
      <w:r w:rsidR="00240370" w:rsidRPr="004E336B">
        <w:rPr>
          <w:b/>
          <w:szCs w:val="22"/>
        </w:rPr>
        <w:t xml:space="preserve">veinticuatro </w:t>
      </w:r>
      <w:r w:rsidR="00324E04" w:rsidRPr="004E336B">
        <w:rPr>
          <w:b/>
          <w:szCs w:val="22"/>
        </w:rPr>
        <w:t xml:space="preserve">de </w:t>
      </w:r>
      <w:r w:rsidR="009510B8" w:rsidRPr="004E336B">
        <w:rPr>
          <w:b/>
          <w:szCs w:val="22"/>
        </w:rPr>
        <w:t>marzo</w:t>
      </w:r>
      <w:r w:rsidRPr="004E336B">
        <w:rPr>
          <w:b/>
          <w:szCs w:val="22"/>
        </w:rPr>
        <w:t xml:space="preserve"> de dos mil </w:t>
      </w:r>
      <w:r w:rsidR="00732DB5" w:rsidRPr="004E336B">
        <w:rPr>
          <w:b/>
          <w:szCs w:val="22"/>
        </w:rPr>
        <w:t>veinticinco</w:t>
      </w:r>
      <w:r w:rsidRPr="004E336B">
        <w:rPr>
          <w:szCs w:val="22"/>
        </w:rPr>
        <w:t xml:space="preserve"> </w:t>
      </w:r>
      <w:r w:rsidRPr="004E336B">
        <w:rPr>
          <w:b/>
          <w:szCs w:val="22"/>
        </w:rPr>
        <w:t>LA PARTE RECURRENTE</w:t>
      </w:r>
      <w:r w:rsidRPr="004E336B">
        <w:rPr>
          <w:szCs w:val="22"/>
        </w:rPr>
        <w:t xml:space="preserve"> interpuso el recurso de revisión en contra de la respuesta emitida por el </w:t>
      </w:r>
      <w:r w:rsidRPr="004E336B">
        <w:rPr>
          <w:b/>
          <w:szCs w:val="22"/>
        </w:rPr>
        <w:t>SUJETO OBLIGADO</w:t>
      </w:r>
      <w:r w:rsidRPr="004E336B">
        <w:rPr>
          <w:szCs w:val="22"/>
        </w:rPr>
        <w:t xml:space="preserve">, mismo que fue registrado en </w:t>
      </w:r>
      <w:r w:rsidR="00680595" w:rsidRPr="004E336B">
        <w:rPr>
          <w:b/>
          <w:szCs w:val="22"/>
        </w:rPr>
        <w:t>EL SAIMEX</w:t>
      </w:r>
      <w:r w:rsidR="00680595" w:rsidRPr="004E336B">
        <w:rPr>
          <w:szCs w:val="22"/>
        </w:rPr>
        <w:t xml:space="preserve"> </w:t>
      </w:r>
      <w:r w:rsidRPr="004E336B">
        <w:rPr>
          <w:szCs w:val="22"/>
        </w:rPr>
        <w:t xml:space="preserve">con el número de expediente </w:t>
      </w:r>
      <w:r w:rsidR="00706BBF" w:rsidRPr="004E336B">
        <w:rPr>
          <w:b/>
          <w:szCs w:val="22"/>
        </w:rPr>
        <w:t>0</w:t>
      </w:r>
      <w:r w:rsidR="00240370" w:rsidRPr="004E336B">
        <w:rPr>
          <w:b/>
          <w:szCs w:val="22"/>
        </w:rPr>
        <w:t>3437</w:t>
      </w:r>
      <w:r w:rsidRPr="004E336B">
        <w:rPr>
          <w:b/>
          <w:szCs w:val="22"/>
        </w:rPr>
        <w:t>/INFOEM/IP/RR/202</w:t>
      </w:r>
      <w:r w:rsidR="00732DB5" w:rsidRPr="004E336B">
        <w:rPr>
          <w:b/>
          <w:szCs w:val="22"/>
        </w:rPr>
        <w:t>5</w:t>
      </w:r>
      <w:r w:rsidRPr="004E336B">
        <w:rPr>
          <w:szCs w:val="22"/>
        </w:rPr>
        <w:t xml:space="preserve"> y en el cual manifiesta lo siguiente:</w:t>
      </w:r>
    </w:p>
    <w:p w14:paraId="4BD314D7" w14:textId="77777777" w:rsidR="009123BE" w:rsidRPr="004E336B" w:rsidRDefault="009123BE" w:rsidP="004E336B">
      <w:pPr>
        <w:tabs>
          <w:tab w:val="left" w:pos="4667"/>
        </w:tabs>
        <w:ind w:right="539"/>
        <w:rPr>
          <w:szCs w:val="22"/>
        </w:rPr>
      </w:pPr>
    </w:p>
    <w:p w14:paraId="2F36828A" w14:textId="77777777" w:rsidR="001B5316" w:rsidRPr="004E336B" w:rsidRDefault="00E43858" w:rsidP="004E336B">
      <w:pPr>
        <w:ind w:right="-28"/>
        <w:rPr>
          <w:b/>
          <w:szCs w:val="22"/>
        </w:rPr>
      </w:pPr>
      <w:r w:rsidRPr="004E336B">
        <w:rPr>
          <w:b/>
          <w:szCs w:val="22"/>
        </w:rPr>
        <w:t>ACTO IMPUGNADO</w:t>
      </w:r>
      <w:r w:rsidR="001B5316" w:rsidRPr="004E336B">
        <w:rPr>
          <w:b/>
          <w:szCs w:val="22"/>
        </w:rPr>
        <w:t>:</w:t>
      </w:r>
    </w:p>
    <w:p w14:paraId="4132A8FB" w14:textId="3B6F3B3B" w:rsidR="002B11D9" w:rsidRPr="004E336B" w:rsidRDefault="002B11D9" w:rsidP="004E336B">
      <w:pPr>
        <w:tabs>
          <w:tab w:val="left" w:pos="4667"/>
        </w:tabs>
        <w:ind w:left="567" w:right="539" w:hanging="567"/>
        <w:rPr>
          <w:b/>
          <w:szCs w:val="22"/>
        </w:rPr>
      </w:pPr>
    </w:p>
    <w:p w14:paraId="4F8977AE" w14:textId="58F6976E" w:rsidR="002B11D9" w:rsidRPr="004E336B" w:rsidRDefault="00E43858" w:rsidP="004E336B">
      <w:pPr>
        <w:pStyle w:val="Puesto"/>
      </w:pPr>
      <w:bookmarkStart w:id="10" w:name="_Hlk188528269"/>
      <w:r w:rsidRPr="004E336B">
        <w:t>“</w:t>
      </w:r>
      <w:r w:rsidR="00240370" w:rsidRPr="004E336B">
        <w:t>RESPUESTA</w:t>
      </w:r>
      <w:r w:rsidRPr="004E336B">
        <w:t xml:space="preserve">” </w:t>
      </w:r>
      <w:r w:rsidR="00B95674" w:rsidRPr="004E336B">
        <w:t>(S</w:t>
      </w:r>
      <w:r w:rsidRPr="004E336B">
        <w:t>ic).</w:t>
      </w:r>
      <w:r w:rsidR="00B95674" w:rsidRPr="004E336B">
        <w:t xml:space="preserve"> </w:t>
      </w:r>
    </w:p>
    <w:p w14:paraId="67C12786" w14:textId="77777777" w:rsidR="00FD79D8" w:rsidRPr="004E336B" w:rsidRDefault="00FD79D8" w:rsidP="004E336B">
      <w:pPr>
        <w:tabs>
          <w:tab w:val="left" w:pos="4667"/>
        </w:tabs>
        <w:ind w:left="567" w:right="539"/>
        <w:rPr>
          <w:szCs w:val="22"/>
        </w:rPr>
      </w:pPr>
    </w:p>
    <w:p w14:paraId="755E6A05" w14:textId="6BBE8240" w:rsidR="001B5316" w:rsidRPr="004E336B" w:rsidRDefault="001B5316" w:rsidP="004E336B">
      <w:pPr>
        <w:ind w:right="-28"/>
        <w:rPr>
          <w:b/>
          <w:szCs w:val="22"/>
        </w:rPr>
      </w:pPr>
      <w:r w:rsidRPr="004E336B">
        <w:rPr>
          <w:b/>
          <w:szCs w:val="22"/>
        </w:rPr>
        <w:t>RAZONES O MOTIVOS DE INCONFORMIDAD;</w:t>
      </w:r>
    </w:p>
    <w:p w14:paraId="7808848D" w14:textId="77777777" w:rsidR="001B5316" w:rsidRPr="004E336B" w:rsidRDefault="001B5316" w:rsidP="004E336B">
      <w:pPr>
        <w:tabs>
          <w:tab w:val="left" w:pos="4667"/>
        </w:tabs>
        <w:ind w:left="567" w:right="539"/>
        <w:rPr>
          <w:szCs w:val="22"/>
        </w:rPr>
      </w:pPr>
    </w:p>
    <w:p w14:paraId="2132426C" w14:textId="39DEC61D" w:rsidR="001B5316" w:rsidRPr="004E336B" w:rsidRDefault="001B5316" w:rsidP="004E336B">
      <w:pPr>
        <w:pStyle w:val="Puesto"/>
        <w:spacing w:line="360" w:lineRule="auto"/>
      </w:pPr>
      <w:r w:rsidRPr="004E336B">
        <w:t>“</w:t>
      </w:r>
      <w:r w:rsidR="00240370" w:rsidRPr="004E336B">
        <w:t>FALTA INFORMACION Y NO CUMPLE CON LA LEY</w:t>
      </w:r>
      <w:r w:rsidR="00057B4D" w:rsidRPr="004E336B">
        <w:t>” (Sic).</w:t>
      </w:r>
    </w:p>
    <w:p w14:paraId="060C6657" w14:textId="1862342D" w:rsidR="001B5316" w:rsidRPr="004E336B" w:rsidRDefault="001B5316" w:rsidP="004E336B">
      <w:pPr>
        <w:tabs>
          <w:tab w:val="left" w:pos="4667"/>
        </w:tabs>
        <w:ind w:left="567" w:right="539"/>
        <w:rPr>
          <w:szCs w:val="22"/>
        </w:rPr>
      </w:pPr>
    </w:p>
    <w:p w14:paraId="1DE31879" w14:textId="77777777" w:rsidR="002B11D9" w:rsidRPr="004E336B" w:rsidRDefault="00E43858" w:rsidP="004E336B">
      <w:pPr>
        <w:pStyle w:val="Ttulo3"/>
        <w:rPr>
          <w:szCs w:val="22"/>
        </w:rPr>
      </w:pPr>
      <w:bookmarkStart w:id="11" w:name="_Toc197537182"/>
      <w:bookmarkEnd w:id="10"/>
      <w:r w:rsidRPr="004E336B">
        <w:rPr>
          <w:szCs w:val="22"/>
        </w:rPr>
        <w:t>b) Turno del Recurso de Revisión.</w:t>
      </w:r>
      <w:bookmarkEnd w:id="11"/>
    </w:p>
    <w:p w14:paraId="2C2E947A" w14:textId="0522878D" w:rsidR="002B11D9" w:rsidRPr="004E336B" w:rsidRDefault="00E43858" w:rsidP="004E336B">
      <w:pPr>
        <w:rPr>
          <w:szCs w:val="22"/>
        </w:rPr>
      </w:pPr>
      <w:r w:rsidRPr="004E336B">
        <w:rPr>
          <w:szCs w:val="22"/>
        </w:rPr>
        <w:t>Con fundamento en el artículo 185, fracción I de la Ley de Transparencia y Acceso a la Información Pública del Estado de México y Municipios, el</w:t>
      </w:r>
      <w:r w:rsidR="00263A58" w:rsidRPr="004E336B">
        <w:rPr>
          <w:b/>
          <w:szCs w:val="22"/>
        </w:rPr>
        <w:t xml:space="preserve"> </w:t>
      </w:r>
      <w:r w:rsidR="00240370" w:rsidRPr="004E336B">
        <w:rPr>
          <w:b/>
          <w:szCs w:val="22"/>
        </w:rPr>
        <w:t>veinticuatro</w:t>
      </w:r>
      <w:r w:rsidRPr="004E336B">
        <w:rPr>
          <w:b/>
          <w:szCs w:val="22"/>
        </w:rPr>
        <w:t xml:space="preserve"> de </w:t>
      </w:r>
      <w:r w:rsidR="009510B8" w:rsidRPr="004E336B">
        <w:rPr>
          <w:b/>
          <w:szCs w:val="22"/>
        </w:rPr>
        <w:t>marzo</w:t>
      </w:r>
      <w:r w:rsidRPr="004E336B">
        <w:rPr>
          <w:b/>
          <w:szCs w:val="22"/>
        </w:rPr>
        <w:t xml:space="preserve"> de dos mil </w:t>
      </w:r>
      <w:r w:rsidR="00732DB5" w:rsidRPr="004E336B">
        <w:rPr>
          <w:b/>
          <w:szCs w:val="22"/>
        </w:rPr>
        <w:t>veinticinco</w:t>
      </w:r>
      <w:r w:rsidRPr="004E336B">
        <w:rPr>
          <w:szCs w:val="22"/>
        </w:rPr>
        <w:t xml:space="preserve"> se turnó el recurso de revisión a través del SAIMEX a la </w:t>
      </w:r>
      <w:r w:rsidRPr="004E336B">
        <w:rPr>
          <w:b/>
          <w:szCs w:val="22"/>
        </w:rPr>
        <w:t>Comisionada Sharon Cristina Morales Martínez</w:t>
      </w:r>
      <w:r w:rsidRPr="004E336B">
        <w:rPr>
          <w:szCs w:val="22"/>
        </w:rPr>
        <w:t>, a efecto de decret</w:t>
      </w:r>
      <w:r w:rsidR="00B95674" w:rsidRPr="004E336B">
        <w:rPr>
          <w:szCs w:val="22"/>
        </w:rPr>
        <w:t>ar su admisión o desechamiento.</w:t>
      </w:r>
    </w:p>
    <w:p w14:paraId="1202E0D8" w14:textId="77777777" w:rsidR="002B11D9" w:rsidRPr="004E336B" w:rsidRDefault="002B11D9" w:rsidP="004E336B">
      <w:pPr>
        <w:rPr>
          <w:szCs w:val="22"/>
        </w:rPr>
      </w:pPr>
    </w:p>
    <w:p w14:paraId="13786DC0" w14:textId="77777777" w:rsidR="002B11D9" w:rsidRPr="004E336B" w:rsidRDefault="00E43858" w:rsidP="004E336B">
      <w:pPr>
        <w:pStyle w:val="Ttulo3"/>
        <w:rPr>
          <w:szCs w:val="22"/>
        </w:rPr>
      </w:pPr>
      <w:bookmarkStart w:id="12" w:name="_Toc197537183"/>
      <w:r w:rsidRPr="004E336B">
        <w:rPr>
          <w:szCs w:val="22"/>
        </w:rPr>
        <w:t>c) Admisión del Recurso de Revisión.</w:t>
      </w:r>
      <w:bookmarkEnd w:id="12"/>
    </w:p>
    <w:p w14:paraId="0E1729D5" w14:textId="1F5CD66B" w:rsidR="002B11D9" w:rsidRPr="004E336B" w:rsidRDefault="00E43858" w:rsidP="004E336B">
      <w:pPr>
        <w:rPr>
          <w:szCs w:val="22"/>
        </w:rPr>
      </w:pPr>
      <w:r w:rsidRPr="004E336B">
        <w:rPr>
          <w:szCs w:val="22"/>
        </w:rPr>
        <w:t xml:space="preserve">El </w:t>
      </w:r>
      <w:r w:rsidR="00240370" w:rsidRPr="004E336B">
        <w:rPr>
          <w:b/>
          <w:szCs w:val="22"/>
        </w:rPr>
        <w:t>veintisiete</w:t>
      </w:r>
      <w:r w:rsidR="00FD79D8" w:rsidRPr="004E336B">
        <w:rPr>
          <w:b/>
          <w:szCs w:val="22"/>
        </w:rPr>
        <w:t xml:space="preserve"> </w:t>
      </w:r>
      <w:r w:rsidRPr="004E336B">
        <w:rPr>
          <w:b/>
          <w:szCs w:val="22"/>
        </w:rPr>
        <w:t xml:space="preserve">de </w:t>
      </w:r>
      <w:r w:rsidR="009510B8" w:rsidRPr="004E336B">
        <w:rPr>
          <w:b/>
          <w:szCs w:val="22"/>
        </w:rPr>
        <w:t>marzo</w:t>
      </w:r>
      <w:r w:rsidRPr="004E336B">
        <w:rPr>
          <w:b/>
          <w:szCs w:val="22"/>
        </w:rPr>
        <w:t xml:space="preserve"> de dos mil </w:t>
      </w:r>
      <w:r w:rsidR="00732DB5" w:rsidRPr="004E336B">
        <w:rPr>
          <w:b/>
          <w:szCs w:val="22"/>
        </w:rPr>
        <w:t>veinticinco</w:t>
      </w:r>
      <w:r w:rsidRPr="004E336B">
        <w:rPr>
          <w:szCs w:val="22"/>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4E336B">
        <w:rPr>
          <w:szCs w:val="22"/>
        </w:rPr>
        <w:lastRenderedPageBreak/>
        <w:t>conforme a lo dispuesto por el artículo 185, fracción II de la Ley de Transparencia y Acceso a la Información Pública del Estado de México y Municipios.</w:t>
      </w:r>
    </w:p>
    <w:p w14:paraId="29AC8402" w14:textId="77777777" w:rsidR="002B11D9" w:rsidRPr="004E336B" w:rsidRDefault="002B11D9" w:rsidP="004E336B">
      <w:pPr>
        <w:rPr>
          <w:b/>
          <w:szCs w:val="22"/>
        </w:rPr>
      </w:pPr>
    </w:p>
    <w:p w14:paraId="3837FEF0" w14:textId="3C33C2CF" w:rsidR="003445FC" w:rsidRPr="004E336B" w:rsidRDefault="003445FC" w:rsidP="004E336B">
      <w:pPr>
        <w:pStyle w:val="Ttulo3"/>
        <w:spacing w:line="360" w:lineRule="auto"/>
      </w:pPr>
      <w:bookmarkStart w:id="13" w:name="_Toc191412510"/>
      <w:bookmarkStart w:id="14" w:name="_Toc197537184"/>
      <w:r w:rsidRPr="004E336B">
        <w:t>d) Manifestaciones de</w:t>
      </w:r>
      <w:r w:rsidR="00263A58" w:rsidRPr="004E336B">
        <w:rPr>
          <w:szCs w:val="22"/>
        </w:rPr>
        <w:t xml:space="preserve"> la Parte Recurrente</w:t>
      </w:r>
      <w:r w:rsidRPr="004E336B">
        <w:t>.</w:t>
      </w:r>
      <w:bookmarkEnd w:id="13"/>
      <w:bookmarkEnd w:id="14"/>
    </w:p>
    <w:p w14:paraId="3A25AF18" w14:textId="77777777" w:rsidR="00263A58" w:rsidRPr="004E336B" w:rsidRDefault="00263A58" w:rsidP="004E336B">
      <w:r w:rsidRPr="004E336B">
        <w:rPr>
          <w:b/>
        </w:rPr>
        <w:t xml:space="preserve">LA PARTE RECURRENTE </w:t>
      </w:r>
      <w:r w:rsidRPr="004E336B">
        <w:t>no realizó manifestación alguna dentro del término legalmente concedido para tal efecto, ni presentó pruebas o alegatos.</w:t>
      </w:r>
    </w:p>
    <w:p w14:paraId="61ECA6FB" w14:textId="77777777" w:rsidR="00F465D2" w:rsidRPr="004E336B" w:rsidRDefault="00F465D2" w:rsidP="004E336B">
      <w:pPr>
        <w:ind w:right="539"/>
        <w:rPr>
          <w:szCs w:val="22"/>
        </w:rPr>
      </w:pPr>
    </w:p>
    <w:p w14:paraId="0D5AC062" w14:textId="01E9A550" w:rsidR="002B11D9" w:rsidRPr="004E336B" w:rsidRDefault="00E43858" w:rsidP="004E336B">
      <w:pPr>
        <w:pStyle w:val="Ttulo3"/>
        <w:rPr>
          <w:szCs w:val="22"/>
        </w:rPr>
      </w:pPr>
      <w:bookmarkStart w:id="15" w:name="_Toc197537185"/>
      <w:r w:rsidRPr="004E336B">
        <w:rPr>
          <w:szCs w:val="22"/>
        </w:rPr>
        <w:t xml:space="preserve">e) </w:t>
      </w:r>
      <w:r w:rsidR="00283435" w:rsidRPr="004E336B">
        <w:rPr>
          <w:szCs w:val="22"/>
        </w:rPr>
        <w:t xml:space="preserve">Informe Justificado </w:t>
      </w:r>
      <w:r w:rsidRPr="004E336B">
        <w:rPr>
          <w:szCs w:val="22"/>
        </w:rPr>
        <w:t>de</w:t>
      </w:r>
      <w:r w:rsidR="00263A58" w:rsidRPr="004E336B">
        <w:rPr>
          <w:szCs w:val="22"/>
        </w:rPr>
        <w:t xml:space="preserve">l </w:t>
      </w:r>
      <w:r w:rsidR="00263A58" w:rsidRPr="004E336B">
        <w:t>Sujeto Obligado</w:t>
      </w:r>
      <w:r w:rsidRPr="004E336B">
        <w:rPr>
          <w:szCs w:val="22"/>
        </w:rPr>
        <w:t>.</w:t>
      </w:r>
      <w:bookmarkEnd w:id="15"/>
    </w:p>
    <w:p w14:paraId="45B9B11C" w14:textId="14034F45" w:rsidR="009510B8" w:rsidRPr="004E336B" w:rsidRDefault="009510B8" w:rsidP="004E336B">
      <w:bookmarkStart w:id="16" w:name="_heading=h.26in1rg" w:colFirst="0" w:colLast="0"/>
      <w:bookmarkEnd w:id="16"/>
      <w:r w:rsidRPr="004E336B">
        <w:t xml:space="preserve">De las constancias que obra en el expediente electrónico del </w:t>
      </w:r>
      <w:r w:rsidRPr="004E336B">
        <w:rPr>
          <w:b/>
        </w:rPr>
        <w:t>SAIMEX</w:t>
      </w:r>
      <w:r w:rsidRPr="004E336B">
        <w:t xml:space="preserve">, se advierte que </w:t>
      </w:r>
      <w:r w:rsidR="00240370" w:rsidRPr="004E336B">
        <w:t xml:space="preserve">el </w:t>
      </w:r>
      <w:r w:rsidR="00240370" w:rsidRPr="004E336B">
        <w:rPr>
          <w:b/>
        </w:rPr>
        <w:t xml:space="preserve">treinta y uno de marzo de dos mil veinticinco </w:t>
      </w:r>
      <w:r w:rsidRPr="004E336B">
        <w:rPr>
          <w:b/>
        </w:rPr>
        <w:t>EL SUJETO OBLIGADO</w:t>
      </w:r>
      <w:r w:rsidRPr="004E336B">
        <w:t xml:space="preserve"> </w:t>
      </w:r>
      <w:r w:rsidR="00240370" w:rsidRPr="004E336B">
        <w:t>remitió</w:t>
      </w:r>
      <w:r w:rsidRPr="004E336B">
        <w:t xml:space="preserve"> su informe justificado</w:t>
      </w:r>
      <w:r w:rsidR="00240370" w:rsidRPr="004E336B">
        <w:t>, mediante el cual a través del oficio número TLA/OM/1095/2025, la servidora pública habilitada de la Oficialía Mayor, ratificó su respuesta primigenia</w:t>
      </w:r>
      <w:r w:rsidRPr="004E336B">
        <w:t>.</w:t>
      </w:r>
    </w:p>
    <w:p w14:paraId="2DAFF840" w14:textId="77777777" w:rsidR="008F419A" w:rsidRPr="004E336B" w:rsidRDefault="008F419A" w:rsidP="004E336B"/>
    <w:p w14:paraId="05483F71" w14:textId="5F727CFB" w:rsidR="008F419A" w:rsidRPr="004E336B" w:rsidRDefault="008F419A" w:rsidP="004E336B">
      <w:r w:rsidRPr="004E336B">
        <w:t xml:space="preserve">Esta información fue puesta a la vista de </w:t>
      </w:r>
      <w:r w:rsidRPr="004E336B">
        <w:rPr>
          <w:b/>
        </w:rPr>
        <w:t xml:space="preserve">LA PARTE RECURRENTE </w:t>
      </w:r>
      <w:r w:rsidRPr="004E336B">
        <w:t xml:space="preserve">el </w:t>
      </w:r>
      <w:r w:rsidRPr="004E336B">
        <w:rPr>
          <w:b/>
        </w:rPr>
        <w:t>siete de mayo de dos mil veinticinco,</w:t>
      </w:r>
      <w:r w:rsidRPr="004E336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EEFF756" w14:textId="77777777" w:rsidR="002B11D9" w:rsidRPr="004E336B" w:rsidRDefault="002B11D9" w:rsidP="004E336B">
      <w:pPr>
        <w:rPr>
          <w:szCs w:val="22"/>
        </w:rPr>
      </w:pPr>
    </w:p>
    <w:p w14:paraId="36F09980" w14:textId="6C347413" w:rsidR="002B11D9" w:rsidRPr="004E336B" w:rsidRDefault="0038711B" w:rsidP="004E336B">
      <w:pPr>
        <w:pStyle w:val="Ttulo3"/>
        <w:rPr>
          <w:szCs w:val="22"/>
        </w:rPr>
      </w:pPr>
      <w:bookmarkStart w:id="17" w:name="_Toc197537186"/>
      <w:r w:rsidRPr="004E336B">
        <w:rPr>
          <w:szCs w:val="22"/>
        </w:rPr>
        <w:t>f</w:t>
      </w:r>
      <w:r w:rsidR="00E43858" w:rsidRPr="004E336B">
        <w:rPr>
          <w:szCs w:val="22"/>
        </w:rPr>
        <w:t>) Cierre de instrucción.</w:t>
      </w:r>
      <w:bookmarkEnd w:id="17"/>
    </w:p>
    <w:p w14:paraId="473D959F" w14:textId="133FC10B" w:rsidR="002B11D9" w:rsidRPr="004E336B" w:rsidRDefault="00E43858" w:rsidP="004E336B">
      <w:pPr>
        <w:rPr>
          <w:szCs w:val="22"/>
        </w:rPr>
      </w:pPr>
      <w:bookmarkStart w:id="18" w:name="_heading=h.35nkun2" w:colFirst="0" w:colLast="0"/>
      <w:bookmarkEnd w:id="18"/>
      <w:r w:rsidRPr="004E336B">
        <w:rPr>
          <w:szCs w:val="22"/>
        </w:rPr>
        <w:t xml:space="preserve">Al no existir diligencias pendientes por desahogar, el </w:t>
      </w:r>
      <w:r w:rsidR="00240370" w:rsidRPr="004E336B">
        <w:rPr>
          <w:b/>
          <w:szCs w:val="22"/>
        </w:rPr>
        <w:t>trece</w:t>
      </w:r>
      <w:r w:rsidR="00743588" w:rsidRPr="004E336B">
        <w:rPr>
          <w:b/>
          <w:szCs w:val="22"/>
        </w:rPr>
        <w:t xml:space="preserve"> </w:t>
      </w:r>
      <w:r w:rsidRPr="004E336B">
        <w:rPr>
          <w:b/>
          <w:szCs w:val="22"/>
        </w:rPr>
        <w:t xml:space="preserve">de </w:t>
      </w:r>
      <w:r w:rsidR="00240370" w:rsidRPr="004E336B">
        <w:rPr>
          <w:b/>
          <w:szCs w:val="22"/>
        </w:rPr>
        <w:t>mayo</w:t>
      </w:r>
      <w:r w:rsidR="00680595" w:rsidRPr="004E336B">
        <w:rPr>
          <w:b/>
          <w:szCs w:val="22"/>
        </w:rPr>
        <w:t xml:space="preserve"> d</w:t>
      </w:r>
      <w:r w:rsidRPr="004E336B">
        <w:rPr>
          <w:b/>
          <w:szCs w:val="22"/>
        </w:rPr>
        <w:t xml:space="preserve">e dos mil </w:t>
      </w:r>
      <w:r w:rsidR="00743588" w:rsidRPr="004E336B">
        <w:rPr>
          <w:b/>
          <w:szCs w:val="22"/>
        </w:rPr>
        <w:t>veinticinco</w:t>
      </w:r>
      <w:r w:rsidRPr="004E336B">
        <w:rPr>
          <w:szCs w:val="22"/>
        </w:rPr>
        <w:t xml:space="preserve"> la </w:t>
      </w:r>
      <w:r w:rsidRPr="004E336B">
        <w:rPr>
          <w:b/>
          <w:szCs w:val="22"/>
        </w:rPr>
        <w:t xml:space="preserve">Comisionada Sharon Cristina Morales Martínez </w:t>
      </w:r>
      <w:r w:rsidRPr="004E336B">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E336B">
        <w:rPr>
          <w:b/>
          <w:szCs w:val="22"/>
        </w:rPr>
        <w:t>SAIMEX</w:t>
      </w:r>
      <w:r w:rsidRPr="004E336B">
        <w:rPr>
          <w:szCs w:val="22"/>
        </w:rPr>
        <w:t>.</w:t>
      </w:r>
    </w:p>
    <w:p w14:paraId="20A1D19A" w14:textId="77777777" w:rsidR="002B11D9" w:rsidRPr="004E336B" w:rsidRDefault="002B11D9" w:rsidP="004E336B">
      <w:pPr>
        <w:rPr>
          <w:szCs w:val="22"/>
        </w:rPr>
      </w:pPr>
    </w:p>
    <w:p w14:paraId="7AF2B671" w14:textId="77777777" w:rsidR="002B11D9" w:rsidRPr="004E336B" w:rsidRDefault="00E43858" w:rsidP="004E336B">
      <w:pPr>
        <w:pStyle w:val="Ttulo1"/>
        <w:rPr>
          <w:szCs w:val="22"/>
        </w:rPr>
      </w:pPr>
      <w:bookmarkStart w:id="19" w:name="_Toc197537187"/>
      <w:r w:rsidRPr="004E336B">
        <w:rPr>
          <w:szCs w:val="22"/>
        </w:rPr>
        <w:t>CONSIDERANDOS</w:t>
      </w:r>
      <w:bookmarkEnd w:id="19"/>
    </w:p>
    <w:p w14:paraId="4C4E016A" w14:textId="77777777" w:rsidR="002B11D9" w:rsidRPr="004E336B" w:rsidRDefault="002B11D9" w:rsidP="004E336B">
      <w:pPr>
        <w:jc w:val="center"/>
        <w:rPr>
          <w:b/>
          <w:szCs w:val="22"/>
        </w:rPr>
      </w:pPr>
    </w:p>
    <w:p w14:paraId="67991CCB" w14:textId="77777777" w:rsidR="002B11D9" w:rsidRPr="004E336B" w:rsidRDefault="00E43858" w:rsidP="004E336B">
      <w:pPr>
        <w:pStyle w:val="Ttulo2"/>
        <w:rPr>
          <w:szCs w:val="22"/>
        </w:rPr>
      </w:pPr>
      <w:bookmarkStart w:id="20" w:name="_Toc197537188"/>
      <w:r w:rsidRPr="004E336B">
        <w:rPr>
          <w:szCs w:val="22"/>
        </w:rPr>
        <w:t>PRIMERO. Procedibilidad</w:t>
      </w:r>
      <w:bookmarkEnd w:id="20"/>
    </w:p>
    <w:p w14:paraId="77F2770D" w14:textId="77777777" w:rsidR="002B11D9" w:rsidRPr="004E336B" w:rsidRDefault="00E43858" w:rsidP="004E336B">
      <w:pPr>
        <w:pStyle w:val="Ttulo3"/>
        <w:rPr>
          <w:szCs w:val="22"/>
        </w:rPr>
      </w:pPr>
      <w:bookmarkStart w:id="21" w:name="_Toc197537189"/>
      <w:r w:rsidRPr="004E336B">
        <w:rPr>
          <w:szCs w:val="22"/>
        </w:rPr>
        <w:t>a) Competencia del Instituto.</w:t>
      </w:r>
      <w:bookmarkEnd w:id="21"/>
    </w:p>
    <w:p w14:paraId="2BCE2FBA" w14:textId="506672E8" w:rsidR="002B11D9" w:rsidRPr="004E336B" w:rsidRDefault="00E43858" w:rsidP="004E336B">
      <w:pPr>
        <w:rPr>
          <w:szCs w:val="22"/>
        </w:rPr>
      </w:pPr>
      <w:r w:rsidRPr="004E336B">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A170BB" w:rsidRPr="004E336B">
        <w:rPr>
          <w:rFonts w:cs="Tahoma"/>
          <w:bCs/>
          <w:szCs w:val="22"/>
        </w:rPr>
        <w:t xml:space="preserve">párrafos </w:t>
      </w:r>
      <w:r w:rsidR="00A170BB" w:rsidRPr="004E336B">
        <w:t>trigésimo séptimo, trigésimo octavo, trigésimo noveno</w:t>
      </w:r>
      <w:r w:rsidRPr="004E336B">
        <w:rPr>
          <w:szCs w:val="22"/>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09ABBE" w14:textId="77777777" w:rsidR="002B11D9" w:rsidRPr="004E336B" w:rsidRDefault="002B11D9" w:rsidP="004E336B">
      <w:pPr>
        <w:rPr>
          <w:szCs w:val="22"/>
        </w:rPr>
      </w:pPr>
    </w:p>
    <w:p w14:paraId="2E0E6234" w14:textId="77777777" w:rsidR="002B11D9" w:rsidRPr="004E336B" w:rsidRDefault="00E43858" w:rsidP="004E336B">
      <w:pPr>
        <w:pStyle w:val="Ttulo3"/>
        <w:rPr>
          <w:szCs w:val="22"/>
        </w:rPr>
      </w:pPr>
      <w:bookmarkStart w:id="22" w:name="_Toc197537190"/>
      <w:r w:rsidRPr="004E336B">
        <w:rPr>
          <w:szCs w:val="22"/>
        </w:rPr>
        <w:t>b) Legitimidad de la parte recurrente.</w:t>
      </w:r>
      <w:bookmarkEnd w:id="22"/>
    </w:p>
    <w:p w14:paraId="78DA37FC" w14:textId="77777777" w:rsidR="002B11D9" w:rsidRPr="004E336B" w:rsidRDefault="00E43858" w:rsidP="004E336B">
      <w:pPr>
        <w:rPr>
          <w:szCs w:val="22"/>
        </w:rPr>
      </w:pPr>
      <w:r w:rsidRPr="004E336B">
        <w:rPr>
          <w:szCs w:val="22"/>
        </w:rPr>
        <w:t>El recurso de revisión fue interpuesto por parte legítima, ya que se presentó por la misma persona que formuló la solicitud de acceso a la Información Pública,</w:t>
      </w:r>
      <w:r w:rsidRPr="004E336B">
        <w:rPr>
          <w:b/>
          <w:szCs w:val="22"/>
        </w:rPr>
        <w:t xml:space="preserve"> </w:t>
      </w:r>
      <w:r w:rsidRPr="004E336B">
        <w:rPr>
          <w:szCs w:val="22"/>
        </w:rPr>
        <w:t>debido a que los datos de acceso</w:t>
      </w:r>
      <w:r w:rsidRPr="004E336B">
        <w:rPr>
          <w:b/>
          <w:szCs w:val="22"/>
        </w:rPr>
        <w:t xml:space="preserve"> </w:t>
      </w:r>
      <w:r w:rsidRPr="004E336B">
        <w:rPr>
          <w:szCs w:val="22"/>
        </w:rPr>
        <w:t>SAIMEX son personales e irrepetibles.</w:t>
      </w:r>
    </w:p>
    <w:p w14:paraId="66A2A93E" w14:textId="77777777" w:rsidR="002B11D9" w:rsidRPr="004E336B" w:rsidRDefault="002B11D9" w:rsidP="004E336B">
      <w:pPr>
        <w:rPr>
          <w:szCs w:val="22"/>
        </w:rPr>
      </w:pPr>
    </w:p>
    <w:p w14:paraId="0943A28B" w14:textId="77777777" w:rsidR="002B11D9" w:rsidRPr="004E336B" w:rsidRDefault="00E43858" w:rsidP="004E336B">
      <w:pPr>
        <w:pStyle w:val="Ttulo3"/>
        <w:rPr>
          <w:szCs w:val="22"/>
        </w:rPr>
      </w:pPr>
      <w:bookmarkStart w:id="23" w:name="_Toc197537191"/>
      <w:r w:rsidRPr="004E336B">
        <w:rPr>
          <w:szCs w:val="22"/>
        </w:rPr>
        <w:t>c) Plazo para interponer el recurso.</w:t>
      </w:r>
      <w:bookmarkEnd w:id="23"/>
    </w:p>
    <w:p w14:paraId="02BF5B02" w14:textId="6E17E161" w:rsidR="002B11D9" w:rsidRPr="004E336B" w:rsidRDefault="00E43858" w:rsidP="004E336B">
      <w:pPr>
        <w:rPr>
          <w:szCs w:val="22"/>
        </w:rPr>
      </w:pPr>
      <w:bookmarkStart w:id="24" w:name="_heading=h.1y810tw" w:colFirst="0" w:colLast="0"/>
      <w:bookmarkEnd w:id="24"/>
      <w:r w:rsidRPr="004E336B">
        <w:rPr>
          <w:b/>
          <w:szCs w:val="22"/>
        </w:rPr>
        <w:t>EL SUJETO OBLIGADO</w:t>
      </w:r>
      <w:r w:rsidRPr="004E336B">
        <w:rPr>
          <w:szCs w:val="22"/>
        </w:rPr>
        <w:t xml:space="preserve"> notificó la respuesta a la solicitud de acceso a la Información Pública el </w:t>
      </w:r>
      <w:r w:rsidR="00240370" w:rsidRPr="004E336B">
        <w:rPr>
          <w:b/>
          <w:szCs w:val="22"/>
        </w:rPr>
        <w:t>veinticuatro</w:t>
      </w:r>
      <w:r w:rsidRPr="004E336B">
        <w:rPr>
          <w:b/>
          <w:szCs w:val="22"/>
        </w:rPr>
        <w:t xml:space="preserve"> de </w:t>
      </w:r>
      <w:r w:rsidR="00240370" w:rsidRPr="004E336B">
        <w:rPr>
          <w:b/>
          <w:szCs w:val="22"/>
        </w:rPr>
        <w:t>marzo</w:t>
      </w:r>
      <w:r w:rsidRPr="004E336B">
        <w:rPr>
          <w:b/>
          <w:szCs w:val="22"/>
        </w:rPr>
        <w:t xml:space="preserve"> de dos mil </w:t>
      </w:r>
      <w:r w:rsidR="000955A6" w:rsidRPr="004E336B">
        <w:rPr>
          <w:b/>
          <w:szCs w:val="22"/>
        </w:rPr>
        <w:t>veinticinco</w:t>
      </w:r>
      <w:r w:rsidRPr="004E336B">
        <w:rPr>
          <w:szCs w:val="22"/>
        </w:rPr>
        <w:t xml:space="preserve"> y el recurso que nos ocupa se interpuso el </w:t>
      </w:r>
      <w:r w:rsidR="00240370" w:rsidRPr="004E336B">
        <w:rPr>
          <w:b/>
          <w:szCs w:val="22"/>
        </w:rPr>
        <w:t>veinticuatro</w:t>
      </w:r>
      <w:r w:rsidRPr="004E336B">
        <w:rPr>
          <w:b/>
          <w:szCs w:val="22"/>
        </w:rPr>
        <w:t xml:space="preserve"> de </w:t>
      </w:r>
      <w:r w:rsidR="00C57E63" w:rsidRPr="004E336B">
        <w:rPr>
          <w:b/>
          <w:szCs w:val="22"/>
        </w:rPr>
        <w:t>marzo</w:t>
      </w:r>
      <w:r w:rsidRPr="004E336B">
        <w:rPr>
          <w:b/>
          <w:szCs w:val="22"/>
        </w:rPr>
        <w:t xml:space="preserve"> de dos mil </w:t>
      </w:r>
      <w:r w:rsidR="000955A6" w:rsidRPr="004E336B">
        <w:rPr>
          <w:b/>
          <w:szCs w:val="22"/>
        </w:rPr>
        <w:t>veinticinco</w:t>
      </w:r>
      <w:r w:rsidRPr="004E336B">
        <w:rPr>
          <w:szCs w:val="22"/>
        </w:rPr>
        <w:t xml:space="preserve"> por lo tanto, éste se encuentra dentro del </w:t>
      </w:r>
      <w:r w:rsidRPr="004E336B">
        <w:rPr>
          <w:szCs w:val="22"/>
        </w:rPr>
        <w:lastRenderedPageBreak/>
        <w:t xml:space="preserve">margen temporal previsto en el artículo 178 de la Ley de Transparencia y Acceso a la Información Pública del Estado de México y Municipios, el cual transcurrió del </w:t>
      </w:r>
      <w:r w:rsidR="00240370" w:rsidRPr="004E336B">
        <w:rPr>
          <w:b/>
          <w:szCs w:val="22"/>
        </w:rPr>
        <w:t>veinticinco</w:t>
      </w:r>
      <w:r w:rsidR="001C0893" w:rsidRPr="004E336B">
        <w:rPr>
          <w:b/>
          <w:szCs w:val="22"/>
        </w:rPr>
        <w:t xml:space="preserve"> </w:t>
      </w:r>
      <w:r w:rsidR="001B5316" w:rsidRPr="004E336B">
        <w:rPr>
          <w:b/>
          <w:szCs w:val="22"/>
        </w:rPr>
        <w:t xml:space="preserve">de </w:t>
      </w:r>
      <w:r w:rsidR="00240370" w:rsidRPr="004E336B">
        <w:rPr>
          <w:b/>
          <w:szCs w:val="22"/>
        </w:rPr>
        <w:t>marzo</w:t>
      </w:r>
      <w:r w:rsidR="001B5316" w:rsidRPr="004E336B">
        <w:rPr>
          <w:b/>
          <w:szCs w:val="22"/>
        </w:rPr>
        <w:t xml:space="preserve"> </w:t>
      </w:r>
      <w:r w:rsidR="00F465D2" w:rsidRPr="004E336B">
        <w:rPr>
          <w:b/>
          <w:szCs w:val="22"/>
        </w:rPr>
        <w:t xml:space="preserve">al </w:t>
      </w:r>
      <w:r w:rsidR="00240370" w:rsidRPr="004E336B">
        <w:rPr>
          <w:b/>
          <w:szCs w:val="22"/>
        </w:rPr>
        <w:t>veintiuno</w:t>
      </w:r>
      <w:r w:rsidR="00F465D2" w:rsidRPr="004E336B">
        <w:rPr>
          <w:b/>
          <w:szCs w:val="22"/>
        </w:rPr>
        <w:t xml:space="preserve"> de </w:t>
      </w:r>
      <w:r w:rsidR="00240370" w:rsidRPr="004E336B">
        <w:rPr>
          <w:b/>
          <w:szCs w:val="22"/>
        </w:rPr>
        <w:t>abril</w:t>
      </w:r>
      <w:r w:rsidR="00F465D2" w:rsidRPr="004E336B">
        <w:rPr>
          <w:b/>
          <w:szCs w:val="22"/>
        </w:rPr>
        <w:t xml:space="preserve"> </w:t>
      </w:r>
      <w:r w:rsidR="001C0893" w:rsidRPr="004E336B">
        <w:rPr>
          <w:b/>
          <w:szCs w:val="22"/>
        </w:rPr>
        <w:t>de d</w:t>
      </w:r>
      <w:r w:rsidRPr="004E336B">
        <w:rPr>
          <w:b/>
          <w:szCs w:val="22"/>
        </w:rPr>
        <w:t xml:space="preserve">os mil </w:t>
      </w:r>
      <w:r w:rsidR="00502F3C" w:rsidRPr="004E336B">
        <w:rPr>
          <w:b/>
          <w:szCs w:val="22"/>
        </w:rPr>
        <w:t>veinticinco</w:t>
      </w:r>
      <w:r w:rsidRPr="004E336B">
        <w:rPr>
          <w:szCs w:val="22"/>
        </w:rPr>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02130B29" w14:textId="77777777" w:rsidR="002B11D9" w:rsidRPr="004E336B" w:rsidRDefault="002B11D9" w:rsidP="004E336B">
      <w:pPr>
        <w:rPr>
          <w:szCs w:val="22"/>
        </w:rPr>
      </w:pPr>
    </w:p>
    <w:p w14:paraId="2E17F1A6" w14:textId="77777777" w:rsidR="00A170BB" w:rsidRPr="004E336B" w:rsidRDefault="00A170BB" w:rsidP="004E336B">
      <w:pPr>
        <w:rPr>
          <w:sz w:val="24"/>
          <w:szCs w:val="24"/>
        </w:rPr>
      </w:pPr>
      <w:r w:rsidRPr="004E336B">
        <w:rPr>
          <w:sz w:val="24"/>
          <w:szCs w:val="24"/>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4E336B">
        <w:rPr>
          <w:b/>
          <w:sz w:val="24"/>
          <w:szCs w:val="24"/>
        </w:rPr>
        <w:t>EL RECURRENTE</w:t>
      </w:r>
      <w:r w:rsidRPr="004E336B">
        <w:rPr>
          <w:sz w:val="24"/>
          <w:szCs w:val="24"/>
        </w:rPr>
        <w:t xml:space="preserve"> tenga conocimiento de la respuesta impugnada; sin embargo, no prohíbe que el Recurso de Revisión, se presente el mismo día en que aquélla fue notificada.</w:t>
      </w:r>
    </w:p>
    <w:p w14:paraId="679E2EB7" w14:textId="77777777" w:rsidR="00A170BB" w:rsidRPr="004E336B" w:rsidRDefault="00A170BB" w:rsidP="004E336B">
      <w:pPr>
        <w:rPr>
          <w:sz w:val="24"/>
          <w:szCs w:val="24"/>
        </w:rPr>
      </w:pPr>
    </w:p>
    <w:p w14:paraId="3A731246" w14:textId="77777777" w:rsidR="00A170BB" w:rsidRPr="004E336B" w:rsidRDefault="00A170BB" w:rsidP="004E336B">
      <w:pPr>
        <w:rPr>
          <w:sz w:val="24"/>
          <w:szCs w:val="24"/>
        </w:rPr>
      </w:pPr>
      <w:r w:rsidRPr="004E336B">
        <w:rPr>
          <w:sz w:val="24"/>
          <w:szCs w:val="24"/>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B90E191" w14:textId="77777777" w:rsidR="00A170BB" w:rsidRPr="004E336B" w:rsidRDefault="00A170BB" w:rsidP="004E336B">
      <w:pPr>
        <w:tabs>
          <w:tab w:val="left" w:pos="851"/>
        </w:tabs>
        <w:spacing w:line="240" w:lineRule="auto"/>
        <w:ind w:left="851" w:right="901"/>
        <w:rPr>
          <w:sz w:val="24"/>
          <w:szCs w:val="24"/>
        </w:rPr>
      </w:pPr>
    </w:p>
    <w:p w14:paraId="302A6539" w14:textId="77777777" w:rsidR="00A170BB" w:rsidRPr="004E336B" w:rsidRDefault="00A170BB" w:rsidP="004E336B">
      <w:pPr>
        <w:tabs>
          <w:tab w:val="left" w:pos="851"/>
        </w:tabs>
        <w:spacing w:line="240" w:lineRule="auto"/>
        <w:ind w:left="851" w:right="901"/>
        <w:rPr>
          <w:i/>
          <w:szCs w:val="22"/>
        </w:rPr>
      </w:pPr>
      <w:r w:rsidRPr="004E336B">
        <w:rPr>
          <w:b/>
          <w:i/>
          <w:szCs w:val="22"/>
        </w:rPr>
        <w:t xml:space="preserve">“RECURSO DE RECLAMACIÓN. SU INTERPOSICIÓN NO ES EXTEMPORÁNEA SI SE REALIZA ANTES DE QUE INICIE EL PLAZO PARA HACERLO. </w:t>
      </w:r>
      <w:r w:rsidRPr="004E336B">
        <w:rPr>
          <w:i/>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w:t>
      </w:r>
      <w:r w:rsidRPr="004E336B">
        <w:rPr>
          <w:i/>
          <w:szCs w:val="22"/>
        </w:rPr>
        <w:lastRenderedPageBreak/>
        <w:t>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57A04C3" w14:textId="77777777" w:rsidR="00A170BB" w:rsidRPr="004E336B" w:rsidRDefault="00A170BB" w:rsidP="004E336B">
      <w:pPr>
        <w:tabs>
          <w:tab w:val="left" w:pos="851"/>
        </w:tabs>
        <w:spacing w:line="240" w:lineRule="auto"/>
        <w:ind w:left="851" w:right="901"/>
        <w:rPr>
          <w:sz w:val="24"/>
          <w:szCs w:val="24"/>
        </w:rPr>
      </w:pPr>
    </w:p>
    <w:p w14:paraId="15158A81" w14:textId="77777777" w:rsidR="00A170BB" w:rsidRPr="004E336B" w:rsidRDefault="00A170BB" w:rsidP="004E336B">
      <w:pPr>
        <w:autoSpaceDE w:val="0"/>
        <w:autoSpaceDN w:val="0"/>
        <w:adjustRightInd w:val="0"/>
        <w:ind w:right="49"/>
        <w:rPr>
          <w:sz w:val="24"/>
          <w:szCs w:val="24"/>
        </w:rPr>
      </w:pPr>
      <w:r w:rsidRPr="004E336B">
        <w:rPr>
          <w:sz w:val="24"/>
          <w:szCs w:val="24"/>
        </w:rPr>
        <w:t>Por lo tanto, en aras de privilegiar el derecho de acceso a la información se entra al estudio del presente Recurso de Revisión, sin que la fecha en que se presentó afecte la resolución.</w:t>
      </w:r>
    </w:p>
    <w:p w14:paraId="088D418A" w14:textId="77777777" w:rsidR="00A170BB" w:rsidRPr="004E336B" w:rsidRDefault="00A170BB" w:rsidP="004E336B">
      <w:pPr>
        <w:rPr>
          <w:szCs w:val="22"/>
        </w:rPr>
      </w:pPr>
    </w:p>
    <w:p w14:paraId="2F9FD68D" w14:textId="77777777" w:rsidR="002B11D9" w:rsidRPr="004E336B" w:rsidRDefault="00E43858" w:rsidP="004E336B">
      <w:pPr>
        <w:pStyle w:val="Ttulo3"/>
        <w:rPr>
          <w:szCs w:val="22"/>
        </w:rPr>
      </w:pPr>
      <w:bookmarkStart w:id="25" w:name="_Toc197537192"/>
      <w:r w:rsidRPr="004E336B">
        <w:rPr>
          <w:szCs w:val="22"/>
        </w:rPr>
        <w:t>d) Causal de procedencia.</w:t>
      </w:r>
      <w:bookmarkEnd w:id="25"/>
    </w:p>
    <w:p w14:paraId="21F6A19B" w14:textId="53F5B558" w:rsidR="002B11D9" w:rsidRPr="004E336B" w:rsidRDefault="00E43858" w:rsidP="004E336B">
      <w:pPr>
        <w:rPr>
          <w:szCs w:val="22"/>
        </w:rPr>
      </w:pPr>
      <w:r w:rsidRPr="004E336B">
        <w:rPr>
          <w:szCs w:val="22"/>
        </w:rPr>
        <w:t>Resulta procedente la interposición del recurso de revisión, ya que se actualiza la causal de procedencia señalad</w:t>
      </w:r>
      <w:r w:rsidR="00263A58" w:rsidRPr="004E336B">
        <w:rPr>
          <w:szCs w:val="22"/>
        </w:rPr>
        <w:t>a en el artículo 179, fracción V</w:t>
      </w:r>
      <w:r w:rsidRPr="004E336B">
        <w:rPr>
          <w:szCs w:val="22"/>
        </w:rPr>
        <w:t xml:space="preserve"> de la Ley de Transparencia y Acceso a la Información Pública del Estado de México y Municipios.</w:t>
      </w:r>
    </w:p>
    <w:p w14:paraId="0DA286F6" w14:textId="77777777" w:rsidR="002B11D9" w:rsidRPr="004E336B" w:rsidRDefault="002B11D9" w:rsidP="004E336B">
      <w:pPr>
        <w:rPr>
          <w:szCs w:val="22"/>
        </w:rPr>
      </w:pPr>
    </w:p>
    <w:p w14:paraId="2F204211" w14:textId="77777777" w:rsidR="002B11D9" w:rsidRPr="004E336B" w:rsidRDefault="00E43858" w:rsidP="004E336B">
      <w:pPr>
        <w:pStyle w:val="Ttulo3"/>
        <w:rPr>
          <w:szCs w:val="22"/>
        </w:rPr>
      </w:pPr>
      <w:bookmarkStart w:id="26" w:name="_Toc197537193"/>
      <w:r w:rsidRPr="004E336B">
        <w:rPr>
          <w:szCs w:val="22"/>
        </w:rPr>
        <w:t>e) Requisitos formales para la interposición del recurso.</w:t>
      </w:r>
      <w:bookmarkEnd w:id="26"/>
    </w:p>
    <w:p w14:paraId="12FCF80C" w14:textId="77777777" w:rsidR="00240370" w:rsidRPr="004E336B" w:rsidRDefault="00240370" w:rsidP="004E336B">
      <w:r w:rsidRPr="004E336B">
        <w:rPr>
          <w:b/>
        </w:rPr>
        <w:t xml:space="preserve">LA PARTE RECURRENTE </w:t>
      </w:r>
      <w:r w:rsidRPr="004E336B">
        <w:t>acreditó todos y cada uno de los elementos formales exigidos por el artículo 180 de la misma normatividad.</w:t>
      </w:r>
    </w:p>
    <w:p w14:paraId="458725C4" w14:textId="77777777" w:rsidR="002B11D9" w:rsidRPr="004E336B" w:rsidRDefault="002B11D9" w:rsidP="004E336B">
      <w:pPr>
        <w:rPr>
          <w:szCs w:val="22"/>
        </w:rPr>
      </w:pPr>
    </w:p>
    <w:p w14:paraId="75622D31" w14:textId="77777777" w:rsidR="00A170BB" w:rsidRPr="004E336B" w:rsidRDefault="00A170BB" w:rsidP="004E336B">
      <w:pPr>
        <w:rPr>
          <w:rFonts w:cs="Arial"/>
          <w:lang w:val="es-ES"/>
        </w:rPr>
      </w:pPr>
      <w:r w:rsidRPr="004E336B">
        <w:rPr>
          <w:lang w:val="es-ES"/>
        </w:rPr>
        <w:t xml:space="preserve">Sin embargo, es importante mencionar que, de la revisión del expediente electrónico del </w:t>
      </w:r>
      <w:r w:rsidRPr="004E336B">
        <w:rPr>
          <w:b/>
          <w:bCs/>
          <w:lang w:val="es-ES"/>
        </w:rPr>
        <w:t>SAIMEX</w:t>
      </w:r>
      <w:r w:rsidRPr="004E336B">
        <w:rPr>
          <w:bCs/>
          <w:lang w:val="es-ES"/>
        </w:rPr>
        <w:t>,</w:t>
      </w:r>
      <w:r w:rsidRPr="004E336B">
        <w:rPr>
          <w:lang w:val="es-ES"/>
        </w:rPr>
        <w:t xml:space="preserve"> se observa que </w:t>
      </w:r>
      <w:r w:rsidRPr="004E336B">
        <w:rPr>
          <w:b/>
          <w:bCs/>
          <w:lang w:val="es-ES"/>
        </w:rPr>
        <w:t>LA PARTE RECURRENTE</w:t>
      </w:r>
      <w:r w:rsidRPr="004E336B">
        <w:rPr>
          <w:lang w:val="es-ES"/>
        </w:rPr>
        <w:t xml:space="preserve"> no proporcionó su nombre para ser identificado, lo que en estricto sentido provoca que </w:t>
      </w:r>
      <w:r w:rsidRPr="004E336B">
        <w:rPr>
          <w:rFonts w:cs="Arial"/>
          <w:lang w:val="es-ES"/>
        </w:rPr>
        <w:t>no</w:t>
      </w:r>
      <w:r w:rsidRPr="004E336B">
        <w:rPr>
          <w:lang w:val="es-ES"/>
        </w:rPr>
        <w:t xml:space="preserve"> se colmen los requisitos establecidos en el artículo 180 de la Ley de Transparencia; sin embargo, el artículo 15 de </w:t>
      </w:r>
      <w:r w:rsidRPr="004E336B">
        <w:rPr>
          <w:rFonts w:cs="Arial"/>
          <w:lang w:val="es-ES" w:eastAsia="es-MX"/>
        </w:rPr>
        <w:t xml:space="preserve">Ley de Transparencia y Acceso a la </w:t>
      </w:r>
      <w:r w:rsidRPr="004E336B">
        <w:rPr>
          <w:rFonts w:cs="Arial"/>
          <w:lang w:val="es-ES"/>
        </w:rPr>
        <w:t>Información</w:t>
      </w:r>
      <w:r w:rsidRPr="004E336B">
        <w:rPr>
          <w:rFonts w:cs="Arial"/>
          <w:lang w:val="es-ES" w:eastAsia="es-MX"/>
        </w:rPr>
        <w:t xml:space="preserve"> Pública del Estado de México y Municipios </w:t>
      </w:r>
      <w:r w:rsidRPr="004E336B">
        <w:rPr>
          <w:rFonts w:cs="Arial"/>
          <w:iCs/>
          <w:lang w:val="es-ES"/>
        </w:rPr>
        <w:t xml:space="preserve">prevé que </w:t>
      </w:r>
      <w:r w:rsidRPr="004E336B">
        <w:rPr>
          <w:lang w:val="es-ES"/>
        </w:rPr>
        <w:t xml:space="preserve">toda persona tendrá acceso a la información </w:t>
      </w:r>
      <w:r w:rsidRPr="004E336B">
        <w:rPr>
          <w:rFonts w:cs="Arial"/>
          <w:lang w:val="es-ES"/>
        </w:rPr>
        <w:t xml:space="preserve">sin necesidad de acreditar interés alguno o justificar su utilización, de lo que se infiere que </w:t>
      </w:r>
      <w:r w:rsidRPr="004E336B">
        <w:rPr>
          <w:rFonts w:cs="Arial"/>
          <w:b/>
          <w:u w:val="single"/>
          <w:lang w:val="es-ES"/>
        </w:rPr>
        <w:t xml:space="preserve">el nombre no es un requisito </w:t>
      </w:r>
      <w:r w:rsidRPr="004E336B">
        <w:rPr>
          <w:rFonts w:cs="Arial"/>
          <w:b/>
          <w:iCs/>
          <w:u w:val="single"/>
          <w:lang w:val="es-ES"/>
        </w:rPr>
        <w:t>indispensable</w:t>
      </w:r>
      <w:r w:rsidRPr="004E336B">
        <w:rPr>
          <w:rFonts w:cs="Arial"/>
          <w:lang w:val="es-ES"/>
        </w:rPr>
        <w:t xml:space="preserve"> para que las y los ciudadanos ejerzan el derecho de acceso a la información pública. </w:t>
      </w:r>
    </w:p>
    <w:p w14:paraId="526CAD1B" w14:textId="77777777" w:rsidR="00A170BB" w:rsidRPr="004E336B" w:rsidRDefault="00A170BB" w:rsidP="004E336B">
      <w:pPr>
        <w:rPr>
          <w:rFonts w:cs="Arial"/>
          <w:sz w:val="24"/>
          <w:szCs w:val="24"/>
          <w:lang w:val="es-ES"/>
        </w:rPr>
      </w:pPr>
    </w:p>
    <w:p w14:paraId="2E39CBD6" w14:textId="77777777" w:rsidR="00A170BB" w:rsidRPr="004E336B" w:rsidRDefault="00A170BB" w:rsidP="004E336B">
      <w:pPr>
        <w:rPr>
          <w:lang w:val="es-ES"/>
        </w:rPr>
      </w:pPr>
      <w:r w:rsidRPr="004E336B">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E336B">
        <w:rPr>
          <w:b/>
          <w:bCs/>
          <w:lang w:val="es-ES"/>
        </w:rPr>
        <w:t>LA PARTE RECURRENTE</w:t>
      </w:r>
      <w:r w:rsidRPr="004E336B">
        <w:rPr>
          <w:b/>
          <w:lang w:val="es-ES"/>
        </w:rPr>
        <w:t>;</w:t>
      </w:r>
      <w:r w:rsidRPr="004E336B">
        <w:rPr>
          <w:lang w:val="es-ES"/>
        </w:rPr>
        <w:t xml:space="preserve"> por lo que, en el presente caso, al haber sido presentado el recurso de revisión vía </w:t>
      </w:r>
      <w:r w:rsidRPr="004E336B">
        <w:rPr>
          <w:b/>
          <w:lang w:val="es-ES"/>
        </w:rPr>
        <w:t>SAIMEX</w:t>
      </w:r>
      <w:r w:rsidRPr="004E336B">
        <w:rPr>
          <w:lang w:val="es-ES"/>
        </w:rPr>
        <w:t>, dicho requisito resulta innecesario.</w:t>
      </w:r>
    </w:p>
    <w:p w14:paraId="766F2C49" w14:textId="77777777" w:rsidR="00A170BB" w:rsidRPr="004E336B" w:rsidRDefault="00A170BB" w:rsidP="004E336B">
      <w:pPr>
        <w:rPr>
          <w:szCs w:val="22"/>
        </w:rPr>
      </w:pPr>
    </w:p>
    <w:p w14:paraId="6CC0AE89" w14:textId="142E352E" w:rsidR="002B11D9" w:rsidRPr="004E336B" w:rsidRDefault="00E43858" w:rsidP="004E336B">
      <w:pPr>
        <w:pStyle w:val="Ttulo2"/>
        <w:rPr>
          <w:szCs w:val="22"/>
        </w:rPr>
      </w:pPr>
      <w:bookmarkStart w:id="27" w:name="_Toc197537194"/>
      <w:r w:rsidRPr="004E336B">
        <w:rPr>
          <w:szCs w:val="22"/>
        </w:rPr>
        <w:t xml:space="preserve">SEGUNDO. </w:t>
      </w:r>
      <w:r w:rsidR="005201C8" w:rsidRPr="004E336B">
        <w:rPr>
          <w:szCs w:val="22"/>
        </w:rPr>
        <w:t>Estudio de Fondo</w:t>
      </w:r>
      <w:r w:rsidRPr="004E336B">
        <w:rPr>
          <w:szCs w:val="22"/>
        </w:rPr>
        <w:t>.</w:t>
      </w:r>
      <w:bookmarkEnd w:id="27"/>
    </w:p>
    <w:p w14:paraId="36F4B1E9" w14:textId="77777777" w:rsidR="002B11D9" w:rsidRPr="004E336B" w:rsidRDefault="00E43858" w:rsidP="004E336B">
      <w:pPr>
        <w:pStyle w:val="Ttulo3"/>
        <w:rPr>
          <w:szCs w:val="22"/>
        </w:rPr>
      </w:pPr>
      <w:bookmarkStart w:id="28" w:name="_Toc197537195"/>
      <w:r w:rsidRPr="004E336B">
        <w:rPr>
          <w:szCs w:val="22"/>
        </w:rPr>
        <w:t>a) Mandato de transparencia y responsabilidad del Sujeto Obligado.</w:t>
      </w:r>
      <w:bookmarkEnd w:id="28"/>
    </w:p>
    <w:p w14:paraId="645A0019" w14:textId="77777777" w:rsidR="002B11D9" w:rsidRPr="004E336B" w:rsidRDefault="00E43858" w:rsidP="004E336B">
      <w:pPr>
        <w:rPr>
          <w:szCs w:val="22"/>
        </w:rPr>
      </w:pPr>
      <w:r w:rsidRPr="004E336B">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BC2B1B8" w14:textId="77777777" w:rsidR="002B11D9" w:rsidRPr="004E336B" w:rsidRDefault="002B11D9" w:rsidP="004E336B">
      <w:pPr>
        <w:rPr>
          <w:szCs w:val="22"/>
        </w:rPr>
      </w:pPr>
    </w:p>
    <w:p w14:paraId="2728DC9A" w14:textId="77777777" w:rsidR="002B11D9" w:rsidRPr="004E336B" w:rsidRDefault="00E43858" w:rsidP="004E336B">
      <w:pPr>
        <w:spacing w:line="240" w:lineRule="auto"/>
        <w:ind w:left="567" w:right="539"/>
        <w:rPr>
          <w:b/>
          <w:i/>
          <w:szCs w:val="22"/>
        </w:rPr>
      </w:pPr>
      <w:r w:rsidRPr="004E336B">
        <w:rPr>
          <w:b/>
          <w:i/>
          <w:szCs w:val="22"/>
        </w:rPr>
        <w:t>Constitución Política de los Estados Unidos Mexicanos</w:t>
      </w:r>
    </w:p>
    <w:p w14:paraId="65A3C40E" w14:textId="77777777" w:rsidR="002B11D9" w:rsidRPr="004E336B" w:rsidRDefault="00E43858" w:rsidP="004E336B">
      <w:pPr>
        <w:spacing w:line="240" w:lineRule="auto"/>
        <w:ind w:left="567" w:right="539"/>
        <w:rPr>
          <w:b/>
          <w:i/>
          <w:szCs w:val="22"/>
        </w:rPr>
      </w:pPr>
      <w:r w:rsidRPr="004E336B">
        <w:rPr>
          <w:b/>
          <w:i/>
          <w:szCs w:val="22"/>
        </w:rPr>
        <w:t>“Artículo 6.</w:t>
      </w:r>
    </w:p>
    <w:p w14:paraId="56A52B32" w14:textId="77777777" w:rsidR="002B11D9" w:rsidRPr="004E336B" w:rsidRDefault="00E43858" w:rsidP="004E336B">
      <w:pPr>
        <w:spacing w:line="240" w:lineRule="auto"/>
        <w:ind w:left="567" w:right="539"/>
        <w:rPr>
          <w:i/>
          <w:szCs w:val="22"/>
        </w:rPr>
      </w:pPr>
      <w:r w:rsidRPr="004E336B">
        <w:rPr>
          <w:i/>
          <w:szCs w:val="22"/>
        </w:rPr>
        <w:t>(…)</w:t>
      </w:r>
    </w:p>
    <w:p w14:paraId="1976FC67" w14:textId="77777777" w:rsidR="002B11D9" w:rsidRPr="004E336B" w:rsidRDefault="00E43858" w:rsidP="004E336B">
      <w:pPr>
        <w:spacing w:line="240" w:lineRule="auto"/>
        <w:ind w:left="567" w:right="539"/>
        <w:rPr>
          <w:i/>
          <w:szCs w:val="22"/>
        </w:rPr>
      </w:pPr>
      <w:r w:rsidRPr="004E336B">
        <w:rPr>
          <w:i/>
          <w:szCs w:val="22"/>
        </w:rPr>
        <w:t>Para efectos de lo dispuesto en el presente artículo se observará lo siguiente:</w:t>
      </w:r>
    </w:p>
    <w:p w14:paraId="04BDA9BA" w14:textId="77777777" w:rsidR="002B11D9" w:rsidRPr="004E336B" w:rsidRDefault="00E43858" w:rsidP="004E336B">
      <w:pPr>
        <w:spacing w:line="240" w:lineRule="auto"/>
        <w:ind w:left="567" w:right="539"/>
        <w:rPr>
          <w:b/>
          <w:i/>
          <w:szCs w:val="22"/>
        </w:rPr>
      </w:pPr>
      <w:r w:rsidRPr="004E336B">
        <w:rPr>
          <w:b/>
          <w:i/>
          <w:szCs w:val="22"/>
        </w:rPr>
        <w:t>A</w:t>
      </w:r>
      <w:r w:rsidRPr="004E336B">
        <w:rPr>
          <w:i/>
          <w:szCs w:val="22"/>
        </w:rPr>
        <w:t xml:space="preserve">. </w:t>
      </w:r>
      <w:r w:rsidRPr="004E336B">
        <w:rPr>
          <w:b/>
          <w:i/>
          <w:szCs w:val="22"/>
        </w:rPr>
        <w:t>Para el ejercicio del derecho de acceso a la información</w:t>
      </w:r>
      <w:r w:rsidRPr="004E336B">
        <w:rPr>
          <w:i/>
          <w:szCs w:val="22"/>
        </w:rPr>
        <w:t xml:space="preserve">, la Federación y </w:t>
      </w:r>
      <w:r w:rsidRPr="004E336B">
        <w:rPr>
          <w:b/>
          <w:i/>
          <w:szCs w:val="22"/>
        </w:rPr>
        <w:t>las entidades federativas, en el ámbito de sus respectivas competencias, se regirán por los siguientes principios y bases:</w:t>
      </w:r>
    </w:p>
    <w:p w14:paraId="7B2501C9" w14:textId="77777777" w:rsidR="002B11D9" w:rsidRPr="004E336B" w:rsidRDefault="00E43858" w:rsidP="004E336B">
      <w:pPr>
        <w:spacing w:line="240" w:lineRule="auto"/>
        <w:ind w:left="567" w:right="539"/>
        <w:rPr>
          <w:i/>
          <w:szCs w:val="22"/>
        </w:rPr>
      </w:pPr>
      <w:r w:rsidRPr="004E336B">
        <w:rPr>
          <w:b/>
          <w:i/>
          <w:szCs w:val="22"/>
        </w:rPr>
        <w:t xml:space="preserve">I. </w:t>
      </w:r>
      <w:r w:rsidRPr="004E336B">
        <w:rPr>
          <w:b/>
          <w:i/>
          <w:szCs w:val="22"/>
        </w:rPr>
        <w:tab/>
        <w:t>Toda la información en posesión de cualquier</w:t>
      </w:r>
      <w:r w:rsidRPr="004E336B">
        <w:rPr>
          <w:i/>
          <w:szCs w:val="22"/>
        </w:rPr>
        <w:t xml:space="preserve"> </w:t>
      </w:r>
      <w:r w:rsidRPr="004E336B">
        <w:rPr>
          <w:b/>
          <w:i/>
          <w:szCs w:val="22"/>
        </w:rPr>
        <w:t>autoridad</w:t>
      </w:r>
      <w:r w:rsidRPr="004E336B">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E336B">
        <w:rPr>
          <w:b/>
          <w:i/>
          <w:szCs w:val="22"/>
        </w:rPr>
        <w:t>municipal</w:t>
      </w:r>
      <w:r w:rsidRPr="004E336B">
        <w:rPr>
          <w:i/>
          <w:szCs w:val="22"/>
        </w:rPr>
        <w:t xml:space="preserve">, </w:t>
      </w:r>
      <w:r w:rsidRPr="004E336B">
        <w:rPr>
          <w:b/>
          <w:i/>
          <w:szCs w:val="22"/>
        </w:rPr>
        <w:t>es pública</w:t>
      </w:r>
      <w:r w:rsidRPr="004E336B">
        <w:rPr>
          <w:i/>
          <w:szCs w:val="22"/>
        </w:rPr>
        <w:t xml:space="preserve"> y sólo podrá ser reservada temporalmente por razones de interés público y seguridad nacional, en los términos que fijen las leyes. </w:t>
      </w:r>
      <w:r w:rsidRPr="004E336B">
        <w:rPr>
          <w:b/>
          <w:i/>
          <w:szCs w:val="22"/>
        </w:rPr>
        <w:t xml:space="preserve">En la interpretación de este derecho deberá prevalecer el principio de máxima publicidad. Los sujetos obligados deberán documentar todo acto que derive del </w:t>
      </w:r>
      <w:r w:rsidRPr="004E336B">
        <w:rPr>
          <w:b/>
          <w:i/>
          <w:szCs w:val="22"/>
        </w:rPr>
        <w:lastRenderedPageBreak/>
        <w:t>ejercicio de sus facultades, competencias o funciones</w:t>
      </w:r>
      <w:r w:rsidRPr="004E336B">
        <w:rPr>
          <w:i/>
          <w:szCs w:val="22"/>
        </w:rPr>
        <w:t>, la ley determinará los supuestos específicos bajo los cuales procederá la declaración de inexistencia de la información.”</w:t>
      </w:r>
    </w:p>
    <w:p w14:paraId="55C26538" w14:textId="77777777" w:rsidR="002B11D9" w:rsidRPr="004E336B" w:rsidRDefault="002B11D9" w:rsidP="004E336B">
      <w:pPr>
        <w:spacing w:line="240" w:lineRule="auto"/>
        <w:ind w:left="567" w:right="539"/>
        <w:rPr>
          <w:b/>
          <w:i/>
          <w:szCs w:val="22"/>
        </w:rPr>
      </w:pPr>
    </w:p>
    <w:p w14:paraId="1DB1F016" w14:textId="77777777" w:rsidR="002B11D9" w:rsidRPr="004E336B" w:rsidRDefault="00E43858" w:rsidP="004E336B">
      <w:pPr>
        <w:spacing w:line="240" w:lineRule="auto"/>
        <w:ind w:left="567" w:right="539"/>
        <w:rPr>
          <w:b/>
          <w:i/>
          <w:szCs w:val="22"/>
        </w:rPr>
      </w:pPr>
      <w:r w:rsidRPr="004E336B">
        <w:rPr>
          <w:b/>
          <w:i/>
          <w:szCs w:val="22"/>
        </w:rPr>
        <w:t>Constitución Política del Estado Libre y Soberano de México</w:t>
      </w:r>
    </w:p>
    <w:p w14:paraId="4E542E32" w14:textId="77777777" w:rsidR="002B11D9" w:rsidRPr="004E336B" w:rsidRDefault="00E43858" w:rsidP="004E336B">
      <w:pPr>
        <w:spacing w:line="240" w:lineRule="auto"/>
        <w:ind w:left="567" w:right="539"/>
        <w:rPr>
          <w:i/>
          <w:szCs w:val="22"/>
        </w:rPr>
      </w:pPr>
      <w:r w:rsidRPr="004E336B">
        <w:rPr>
          <w:b/>
          <w:i/>
          <w:szCs w:val="22"/>
        </w:rPr>
        <w:t>“Artículo 5</w:t>
      </w:r>
      <w:r w:rsidRPr="004E336B">
        <w:rPr>
          <w:i/>
          <w:szCs w:val="22"/>
        </w:rPr>
        <w:t xml:space="preserve">.- </w:t>
      </w:r>
    </w:p>
    <w:p w14:paraId="0E7D0278" w14:textId="77777777" w:rsidR="002B11D9" w:rsidRPr="004E336B" w:rsidRDefault="00E43858" w:rsidP="004E336B">
      <w:pPr>
        <w:spacing w:line="240" w:lineRule="auto"/>
        <w:ind w:left="567" w:right="539"/>
        <w:rPr>
          <w:i/>
          <w:szCs w:val="22"/>
        </w:rPr>
      </w:pPr>
      <w:r w:rsidRPr="004E336B">
        <w:rPr>
          <w:i/>
          <w:szCs w:val="22"/>
        </w:rPr>
        <w:t>(…)</w:t>
      </w:r>
    </w:p>
    <w:p w14:paraId="6CD461F3" w14:textId="77777777" w:rsidR="002B11D9" w:rsidRPr="004E336B" w:rsidRDefault="00E43858" w:rsidP="004E336B">
      <w:pPr>
        <w:spacing w:line="240" w:lineRule="auto"/>
        <w:ind w:left="567" w:right="539"/>
        <w:rPr>
          <w:i/>
          <w:szCs w:val="22"/>
        </w:rPr>
      </w:pPr>
      <w:r w:rsidRPr="004E336B">
        <w:rPr>
          <w:b/>
          <w:i/>
          <w:szCs w:val="22"/>
        </w:rPr>
        <w:t>El derecho a la información será garantizado por el Estado. La ley establecerá las previsiones que permitan asegurar la protección, el respeto y la difusión de este derecho</w:t>
      </w:r>
      <w:r w:rsidRPr="004E336B">
        <w:rPr>
          <w:i/>
          <w:szCs w:val="22"/>
        </w:rPr>
        <w:t>.</w:t>
      </w:r>
    </w:p>
    <w:p w14:paraId="2ABE9580" w14:textId="77777777" w:rsidR="002B11D9" w:rsidRPr="004E336B" w:rsidRDefault="00E43858" w:rsidP="004E336B">
      <w:pPr>
        <w:spacing w:line="240" w:lineRule="auto"/>
        <w:ind w:left="567" w:right="539"/>
        <w:rPr>
          <w:i/>
          <w:szCs w:val="22"/>
        </w:rPr>
      </w:pPr>
      <w:r w:rsidRPr="004E336B">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A0A77" w14:textId="77777777" w:rsidR="002B11D9" w:rsidRPr="004E336B" w:rsidRDefault="00E43858" w:rsidP="004E336B">
      <w:pPr>
        <w:spacing w:line="240" w:lineRule="auto"/>
        <w:ind w:left="567" w:right="539"/>
        <w:rPr>
          <w:i/>
          <w:szCs w:val="22"/>
        </w:rPr>
      </w:pPr>
      <w:r w:rsidRPr="004E336B">
        <w:rPr>
          <w:b/>
          <w:i/>
          <w:szCs w:val="22"/>
        </w:rPr>
        <w:t>Este derecho se regirá por los principios y bases siguientes</w:t>
      </w:r>
      <w:r w:rsidRPr="004E336B">
        <w:rPr>
          <w:i/>
          <w:szCs w:val="22"/>
        </w:rPr>
        <w:t>:</w:t>
      </w:r>
    </w:p>
    <w:p w14:paraId="20F07590" w14:textId="77777777" w:rsidR="002B11D9" w:rsidRPr="004E336B" w:rsidRDefault="00E43858" w:rsidP="004E336B">
      <w:pPr>
        <w:spacing w:line="240" w:lineRule="auto"/>
        <w:ind w:left="567" w:right="539"/>
        <w:rPr>
          <w:i/>
          <w:szCs w:val="22"/>
        </w:rPr>
      </w:pPr>
      <w:r w:rsidRPr="004E336B">
        <w:rPr>
          <w:b/>
          <w:i/>
          <w:szCs w:val="22"/>
        </w:rPr>
        <w:t>I. Toda la información en posesión de cualquier autoridad, entidad, órgano y organismos de los</w:t>
      </w:r>
      <w:r w:rsidRPr="004E336B">
        <w:rPr>
          <w:i/>
          <w:szCs w:val="22"/>
        </w:rPr>
        <w:t xml:space="preserve"> Poderes Ejecutivo, Legislativo y Judicial, órganos autónomos, partidos políticos, fideicomisos y fondos públicos estatales y </w:t>
      </w:r>
      <w:r w:rsidRPr="004E336B">
        <w:rPr>
          <w:b/>
          <w:i/>
          <w:szCs w:val="22"/>
        </w:rPr>
        <w:t>municipales</w:t>
      </w:r>
      <w:r w:rsidRPr="004E336B">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E336B">
        <w:rPr>
          <w:b/>
          <w:i/>
          <w:szCs w:val="22"/>
        </w:rPr>
        <w:t>es pública</w:t>
      </w:r>
      <w:r w:rsidRPr="004E336B">
        <w:rPr>
          <w:i/>
          <w:szCs w:val="22"/>
        </w:rPr>
        <w:t xml:space="preserve"> y sólo podrá ser reservada temporalmente por razones previstas en la Constitución Política de los Estados Unidos Mexicanos de interés público y seguridad, en los términos que fijen las leyes. </w:t>
      </w:r>
      <w:r w:rsidRPr="004E336B">
        <w:rPr>
          <w:b/>
          <w:i/>
          <w:szCs w:val="22"/>
        </w:rPr>
        <w:t>En la interpretación de este derecho deberá prevalecer el principio de máxima publicidad</w:t>
      </w:r>
      <w:r w:rsidRPr="004E336B">
        <w:rPr>
          <w:i/>
          <w:szCs w:val="22"/>
        </w:rPr>
        <w:t xml:space="preserve">. </w:t>
      </w:r>
      <w:r w:rsidRPr="004E336B">
        <w:rPr>
          <w:b/>
          <w:i/>
          <w:szCs w:val="22"/>
        </w:rPr>
        <w:t>Los sujetos obligados deberán documentar todo acto que derive del ejercicio de sus facultades, competencias o funciones</w:t>
      </w:r>
      <w:r w:rsidRPr="004E336B">
        <w:rPr>
          <w:i/>
          <w:szCs w:val="22"/>
        </w:rPr>
        <w:t>, la ley determinará los supuestos específicos bajo los cuales procederá la declaración de inexistencia de la información.”</w:t>
      </w:r>
    </w:p>
    <w:p w14:paraId="43DAD261" w14:textId="77777777" w:rsidR="002B11D9" w:rsidRPr="004E336B" w:rsidRDefault="002B11D9" w:rsidP="004E336B">
      <w:pPr>
        <w:rPr>
          <w:b/>
          <w:i/>
          <w:szCs w:val="22"/>
        </w:rPr>
      </w:pPr>
    </w:p>
    <w:p w14:paraId="3CC5AE80" w14:textId="77777777" w:rsidR="002B11D9" w:rsidRPr="004E336B" w:rsidRDefault="00E43858" w:rsidP="004E336B">
      <w:pPr>
        <w:rPr>
          <w:i/>
          <w:szCs w:val="22"/>
        </w:rPr>
      </w:pPr>
      <w:r w:rsidRPr="004E336B">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E336B">
        <w:rPr>
          <w:i/>
          <w:szCs w:val="22"/>
        </w:rPr>
        <w:t>por los principios de simplicidad, rapidez, gratuidad del procedimiento, auxilio y orientación a los particulares.</w:t>
      </w:r>
    </w:p>
    <w:p w14:paraId="06C4477C" w14:textId="77777777" w:rsidR="002B11D9" w:rsidRPr="004E336B" w:rsidRDefault="002B11D9" w:rsidP="004E336B">
      <w:pPr>
        <w:rPr>
          <w:i/>
          <w:szCs w:val="22"/>
        </w:rPr>
      </w:pPr>
    </w:p>
    <w:p w14:paraId="32F71180" w14:textId="77777777" w:rsidR="002B11D9" w:rsidRPr="004E336B" w:rsidRDefault="00E43858" w:rsidP="004E336B">
      <w:pPr>
        <w:rPr>
          <w:i/>
          <w:szCs w:val="22"/>
        </w:rPr>
      </w:pPr>
      <w:r w:rsidRPr="004E336B">
        <w:rPr>
          <w:szCs w:val="22"/>
        </w:rPr>
        <w:t xml:space="preserve">Por su parte, el artículo 4 de la Ley de Transparencia y Acceso a la Información Pública del Estado de México y Municipios refiere que toda la información generada, obtenida, adquirida, </w:t>
      </w:r>
      <w:r w:rsidRPr="004E336B">
        <w:rPr>
          <w:szCs w:val="22"/>
        </w:rPr>
        <w:lastRenderedPageBreak/>
        <w:t>transformada, administrada o en posesión de los sujetos obligados es pública y accesible de manera permanente a cualquier persona, privilegiando el principio de máxima publicidad.</w:t>
      </w:r>
    </w:p>
    <w:p w14:paraId="4B6730D8" w14:textId="77777777" w:rsidR="002B11D9" w:rsidRPr="004E336B" w:rsidRDefault="002B11D9" w:rsidP="004E336B">
      <w:pPr>
        <w:rPr>
          <w:szCs w:val="22"/>
        </w:rPr>
      </w:pPr>
    </w:p>
    <w:p w14:paraId="50C9A409" w14:textId="77777777" w:rsidR="002B11D9" w:rsidRPr="004E336B" w:rsidRDefault="00E43858" w:rsidP="004E336B">
      <w:pPr>
        <w:rPr>
          <w:szCs w:val="22"/>
        </w:rPr>
      </w:pPr>
      <w:r w:rsidRPr="004E336B">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2A6D7BE" w14:textId="77777777" w:rsidR="002B11D9" w:rsidRPr="004E336B" w:rsidRDefault="002B11D9" w:rsidP="004E336B">
      <w:pPr>
        <w:rPr>
          <w:szCs w:val="22"/>
        </w:rPr>
      </w:pPr>
    </w:p>
    <w:p w14:paraId="35AF7222" w14:textId="77777777" w:rsidR="002B11D9" w:rsidRPr="004E336B" w:rsidRDefault="00E43858" w:rsidP="004E336B">
      <w:pPr>
        <w:rPr>
          <w:szCs w:val="22"/>
        </w:rPr>
      </w:pPr>
      <w:r w:rsidRPr="004E336B">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BA6196" w14:textId="77777777" w:rsidR="002B11D9" w:rsidRPr="004E336B" w:rsidRDefault="002B11D9" w:rsidP="004E336B">
      <w:pPr>
        <w:rPr>
          <w:szCs w:val="22"/>
        </w:rPr>
      </w:pPr>
    </w:p>
    <w:p w14:paraId="573E8C29" w14:textId="77777777" w:rsidR="002B11D9" w:rsidRPr="004E336B" w:rsidRDefault="00E43858" w:rsidP="004E336B">
      <w:pPr>
        <w:rPr>
          <w:szCs w:val="22"/>
        </w:rPr>
      </w:pPr>
      <w:r w:rsidRPr="004E336B">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593E47A" w14:textId="77777777" w:rsidR="002B11D9" w:rsidRPr="004E336B" w:rsidRDefault="002B11D9" w:rsidP="004E336B">
      <w:pPr>
        <w:rPr>
          <w:szCs w:val="22"/>
        </w:rPr>
      </w:pPr>
    </w:p>
    <w:p w14:paraId="65B0DF28" w14:textId="77777777" w:rsidR="002B11D9" w:rsidRPr="004E336B" w:rsidRDefault="00E43858" w:rsidP="004E336B">
      <w:pPr>
        <w:rPr>
          <w:szCs w:val="22"/>
        </w:rPr>
      </w:pPr>
      <w:bookmarkStart w:id="29" w:name="_heading=h.2bn6wsx" w:colFirst="0" w:colLast="0"/>
      <w:bookmarkEnd w:id="29"/>
      <w:r w:rsidRPr="004E336B">
        <w:rPr>
          <w:szCs w:val="22"/>
        </w:rPr>
        <w:t xml:space="preserve">Con base en lo anterior, se considera que </w:t>
      </w:r>
      <w:r w:rsidRPr="004E336B">
        <w:rPr>
          <w:b/>
          <w:szCs w:val="22"/>
        </w:rPr>
        <w:t>EL</w:t>
      </w:r>
      <w:r w:rsidRPr="004E336B">
        <w:rPr>
          <w:szCs w:val="22"/>
        </w:rPr>
        <w:t xml:space="preserve"> </w:t>
      </w:r>
      <w:r w:rsidRPr="004E336B">
        <w:rPr>
          <w:b/>
          <w:szCs w:val="22"/>
        </w:rPr>
        <w:t>SUJETO OBLIGADO</w:t>
      </w:r>
      <w:r w:rsidRPr="004E336B">
        <w:rPr>
          <w:szCs w:val="22"/>
        </w:rPr>
        <w:t xml:space="preserve"> se encontraba compelido a atender la solicitud de acceso a la información realizada por </w:t>
      </w:r>
      <w:r w:rsidRPr="004E336B">
        <w:rPr>
          <w:b/>
          <w:szCs w:val="22"/>
        </w:rPr>
        <w:t>LA PARTE RECURRENTE</w:t>
      </w:r>
      <w:r w:rsidRPr="004E336B">
        <w:rPr>
          <w:szCs w:val="22"/>
        </w:rPr>
        <w:t>.</w:t>
      </w:r>
    </w:p>
    <w:p w14:paraId="4D6DDC45" w14:textId="77777777" w:rsidR="002B11D9" w:rsidRPr="004E336B" w:rsidRDefault="002B11D9" w:rsidP="004E336B">
      <w:pPr>
        <w:rPr>
          <w:szCs w:val="22"/>
        </w:rPr>
      </w:pPr>
    </w:p>
    <w:p w14:paraId="0AA81BA3" w14:textId="7A07553B" w:rsidR="002B11D9" w:rsidRPr="004E336B" w:rsidRDefault="00E43858" w:rsidP="004E336B">
      <w:pPr>
        <w:pStyle w:val="Ttulo3"/>
        <w:rPr>
          <w:szCs w:val="22"/>
        </w:rPr>
      </w:pPr>
      <w:bookmarkStart w:id="30" w:name="_Toc197537196"/>
      <w:r w:rsidRPr="004E336B">
        <w:rPr>
          <w:szCs w:val="22"/>
        </w:rPr>
        <w:t>b) Controversia a resolver</w:t>
      </w:r>
      <w:r w:rsidR="0043233B" w:rsidRPr="004E336B">
        <w:rPr>
          <w:szCs w:val="22"/>
        </w:rPr>
        <w:t>.</w:t>
      </w:r>
      <w:bookmarkEnd w:id="30"/>
    </w:p>
    <w:p w14:paraId="164B49CF" w14:textId="09C6A1B1" w:rsidR="00C57E63" w:rsidRPr="004E336B" w:rsidRDefault="00C57E63" w:rsidP="004E336B">
      <w:pPr>
        <w:rPr>
          <w:i/>
        </w:rPr>
      </w:pPr>
      <w:r w:rsidRPr="004E336B">
        <w:t xml:space="preserve">Con el objeto de ilustrar la controversia planteada, resulta conveniente precisar que, una vez realizado el estudio de las constancias que integran el expediente en que se actúa, se desprende que </w:t>
      </w:r>
      <w:r w:rsidRPr="004E336B">
        <w:rPr>
          <w:b/>
        </w:rPr>
        <w:t>LA PARTE RECURRENTE</w:t>
      </w:r>
      <w:r w:rsidRPr="004E336B">
        <w:t xml:space="preserve"> solicitó,</w:t>
      </w:r>
      <w:r w:rsidR="00447F06" w:rsidRPr="004E336B">
        <w:t xml:space="preserve"> del titular de la Contraloría del Ayuntamiento, los documentos donde conste lo </w:t>
      </w:r>
      <w:r w:rsidRPr="004E336B">
        <w:t>siguiente:</w:t>
      </w:r>
    </w:p>
    <w:p w14:paraId="2893A012" w14:textId="77777777" w:rsidR="00447F06" w:rsidRPr="004E336B" w:rsidRDefault="00447F06" w:rsidP="004E336B">
      <w:pPr>
        <w:tabs>
          <w:tab w:val="left" w:pos="4667"/>
          <w:tab w:val="left" w:pos="4962"/>
        </w:tabs>
        <w:ind w:right="567"/>
        <w:rPr>
          <w:szCs w:val="22"/>
        </w:rPr>
      </w:pPr>
    </w:p>
    <w:p w14:paraId="2506300E" w14:textId="7BFA1C23" w:rsidR="00447F06" w:rsidRPr="004E336B" w:rsidRDefault="00447F06" w:rsidP="004E336B">
      <w:pPr>
        <w:pStyle w:val="Prrafodelista"/>
        <w:numPr>
          <w:ilvl w:val="0"/>
          <w:numId w:val="10"/>
        </w:numPr>
        <w:tabs>
          <w:tab w:val="left" w:pos="4667"/>
          <w:tab w:val="left" w:pos="4962"/>
        </w:tabs>
        <w:ind w:right="567"/>
        <w:rPr>
          <w:szCs w:val="22"/>
        </w:rPr>
      </w:pPr>
      <w:r w:rsidRPr="004E336B">
        <w:rPr>
          <w:szCs w:val="22"/>
        </w:rPr>
        <w:t>Experiencia.</w:t>
      </w:r>
    </w:p>
    <w:p w14:paraId="5352A5AD" w14:textId="77777777" w:rsidR="00447F06" w:rsidRPr="004E336B" w:rsidRDefault="00447F06" w:rsidP="004E336B">
      <w:pPr>
        <w:pStyle w:val="Prrafodelista"/>
        <w:numPr>
          <w:ilvl w:val="0"/>
          <w:numId w:val="10"/>
        </w:numPr>
        <w:tabs>
          <w:tab w:val="left" w:pos="4667"/>
          <w:tab w:val="left" w:pos="4962"/>
        </w:tabs>
        <w:ind w:right="567"/>
        <w:rPr>
          <w:szCs w:val="22"/>
        </w:rPr>
      </w:pPr>
      <w:r w:rsidRPr="004E336B">
        <w:rPr>
          <w:szCs w:val="22"/>
        </w:rPr>
        <w:t>Certificación.</w:t>
      </w:r>
    </w:p>
    <w:p w14:paraId="294B7C07" w14:textId="77777777" w:rsidR="00447F06" w:rsidRPr="004E336B" w:rsidRDefault="00447F06" w:rsidP="004E336B">
      <w:pPr>
        <w:pStyle w:val="Prrafodelista"/>
        <w:numPr>
          <w:ilvl w:val="0"/>
          <w:numId w:val="10"/>
        </w:numPr>
        <w:tabs>
          <w:tab w:val="left" w:pos="4667"/>
          <w:tab w:val="left" w:pos="4962"/>
        </w:tabs>
        <w:ind w:right="567"/>
        <w:rPr>
          <w:szCs w:val="22"/>
        </w:rPr>
      </w:pPr>
      <w:r w:rsidRPr="004E336B">
        <w:rPr>
          <w:szCs w:val="22"/>
        </w:rPr>
        <w:t>Cédula profesional.</w:t>
      </w:r>
    </w:p>
    <w:p w14:paraId="499CC18B" w14:textId="67B2ED29" w:rsidR="00204541" w:rsidRPr="004E336B" w:rsidRDefault="00447F06" w:rsidP="004E336B">
      <w:pPr>
        <w:pStyle w:val="Prrafodelista"/>
        <w:numPr>
          <w:ilvl w:val="0"/>
          <w:numId w:val="10"/>
        </w:numPr>
        <w:tabs>
          <w:tab w:val="left" w:pos="4667"/>
          <w:tab w:val="left" w:pos="4962"/>
        </w:tabs>
        <w:ind w:right="567"/>
        <w:rPr>
          <w:szCs w:val="22"/>
        </w:rPr>
      </w:pPr>
      <w:r w:rsidRPr="004E336B">
        <w:rPr>
          <w:szCs w:val="22"/>
        </w:rPr>
        <w:t>Título profesional.</w:t>
      </w:r>
    </w:p>
    <w:p w14:paraId="59E599A6" w14:textId="77777777" w:rsidR="00447F06" w:rsidRPr="004E336B" w:rsidRDefault="00447F06" w:rsidP="004E336B">
      <w:pPr>
        <w:tabs>
          <w:tab w:val="left" w:pos="4667"/>
          <w:tab w:val="left" w:pos="4962"/>
        </w:tabs>
        <w:ind w:right="567"/>
        <w:rPr>
          <w:szCs w:val="22"/>
        </w:rPr>
      </w:pPr>
    </w:p>
    <w:p w14:paraId="5F776076" w14:textId="5971B4C8" w:rsidR="005C3D60" w:rsidRPr="004E336B" w:rsidRDefault="00D96DE4" w:rsidP="004E336B">
      <w:pPr>
        <w:pBdr>
          <w:top w:val="nil"/>
          <w:left w:val="nil"/>
          <w:bottom w:val="nil"/>
          <w:right w:val="nil"/>
          <w:between w:val="nil"/>
        </w:pBdr>
        <w:ind w:right="-28"/>
        <w:rPr>
          <w:b/>
          <w:szCs w:val="22"/>
        </w:rPr>
      </w:pPr>
      <w:r w:rsidRPr="004E336B">
        <w:rPr>
          <w:szCs w:val="22"/>
        </w:rPr>
        <w:t xml:space="preserve">En respuesta, </w:t>
      </w:r>
      <w:r w:rsidRPr="004E336B">
        <w:rPr>
          <w:b/>
          <w:szCs w:val="22"/>
        </w:rPr>
        <w:t>EL SUJETO OBLIGADO</w:t>
      </w:r>
      <w:r w:rsidR="007C157A" w:rsidRPr="004E336B">
        <w:rPr>
          <w:szCs w:val="22"/>
        </w:rPr>
        <w:t xml:space="preserve"> se pronunció por conducto de la Oficialía Mayor, quien remitió en versión pública la ficha curricular, la certificación de competencia laboral y las constancias de autenticación del título electrónico y cédula profesional del titular del Órgano Interno de Control Municipal.</w:t>
      </w:r>
    </w:p>
    <w:p w14:paraId="4925E25D" w14:textId="77777777" w:rsidR="005C3D60" w:rsidRPr="004E336B" w:rsidRDefault="005C3D60" w:rsidP="004E336B">
      <w:pPr>
        <w:pBdr>
          <w:top w:val="nil"/>
          <w:left w:val="nil"/>
          <w:bottom w:val="nil"/>
          <w:right w:val="nil"/>
          <w:between w:val="nil"/>
        </w:pBdr>
        <w:ind w:right="-28"/>
        <w:rPr>
          <w:szCs w:val="22"/>
        </w:rPr>
      </w:pPr>
    </w:p>
    <w:p w14:paraId="3A9BA8BF" w14:textId="022E4BD6" w:rsidR="002B11D9" w:rsidRPr="004E336B" w:rsidRDefault="00E43858" w:rsidP="004E336B">
      <w:pPr>
        <w:tabs>
          <w:tab w:val="left" w:pos="4962"/>
        </w:tabs>
        <w:rPr>
          <w:szCs w:val="22"/>
        </w:rPr>
      </w:pPr>
      <w:r w:rsidRPr="004E336B">
        <w:rPr>
          <w:szCs w:val="22"/>
        </w:rPr>
        <w:t xml:space="preserve">Ahora bien, en la interposición del presente recurso </w:t>
      </w:r>
      <w:r w:rsidRPr="004E336B">
        <w:rPr>
          <w:b/>
          <w:szCs w:val="22"/>
        </w:rPr>
        <w:t>LA PARTE RECURRENTE</w:t>
      </w:r>
      <w:r w:rsidRPr="004E336B">
        <w:rPr>
          <w:szCs w:val="22"/>
        </w:rPr>
        <w:t xml:space="preserve"> se inconformó </w:t>
      </w:r>
      <w:r w:rsidR="00036E41" w:rsidRPr="004E336B">
        <w:rPr>
          <w:szCs w:val="22"/>
        </w:rPr>
        <w:t xml:space="preserve">sobre la </w:t>
      </w:r>
      <w:r w:rsidR="00DD11B8" w:rsidRPr="004E336B">
        <w:rPr>
          <w:szCs w:val="22"/>
        </w:rPr>
        <w:t>entrega de información incompleta</w:t>
      </w:r>
      <w:r w:rsidR="003A592F" w:rsidRPr="004E336B">
        <w:rPr>
          <w:szCs w:val="22"/>
        </w:rPr>
        <w:t>.</w:t>
      </w:r>
    </w:p>
    <w:p w14:paraId="3213D847" w14:textId="77777777" w:rsidR="00F10C1B" w:rsidRPr="004E336B" w:rsidRDefault="00F10C1B" w:rsidP="004E336B">
      <w:pPr>
        <w:rPr>
          <w:szCs w:val="22"/>
        </w:rPr>
      </w:pPr>
    </w:p>
    <w:p w14:paraId="7E535975" w14:textId="10D76770" w:rsidR="000B4924" w:rsidRPr="004E336B" w:rsidRDefault="00D707EC" w:rsidP="004E336B">
      <w:pPr>
        <w:rPr>
          <w:szCs w:val="22"/>
        </w:rPr>
      </w:pPr>
      <w:r w:rsidRPr="004E336B">
        <w:rPr>
          <w:szCs w:val="22"/>
        </w:rPr>
        <w:t>Por otra parte, en el apartado de manifestaciones</w:t>
      </w:r>
      <w:r w:rsidR="003A592F" w:rsidRPr="004E336B">
        <w:rPr>
          <w:szCs w:val="22"/>
        </w:rPr>
        <w:t xml:space="preserve">, </w:t>
      </w:r>
      <w:r w:rsidR="00DD11B8" w:rsidRPr="004E336B">
        <w:rPr>
          <w:b/>
          <w:szCs w:val="22"/>
        </w:rPr>
        <w:t xml:space="preserve">EL SUJETO OBLIGADO </w:t>
      </w:r>
      <w:r w:rsidR="007C157A" w:rsidRPr="004E336B">
        <w:rPr>
          <w:szCs w:val="22"/>
        </w:rPr>
        <w:t xml:space="preserve">a través de su informe justificado ratificó la respuesta primigenia </w:t>
      </w:r>
      <w:r w:rsidR="00DD11B8" w:rsidRPr="004E336B">
        <w:rPr>
          <w:szCs w:val="22"/>
        </w:rPr>
        <w:t>y</w:t>
      </w:r>
      <w:r w:rsidR="00615A89" w:rsidRPr="004E336B">
        <w:rPr>
          <w:szCs w:val="22"/>
        </w:rPr>
        <w:t>,</w:t>
      </w:r>
      <w:r w:rsidR="00DD11B8" w:rsidRPr="004E336B">
        <w:rPr>
          <w:szCs w:val="22"/>
        </w:rPr>
        <w:t xml:space="preserve"> por su parte, el solicitante no realizó pronunciamiento alguno.</w:t>
      </w:r>
    </w:p>
    <w:p w14:paraId="348631A2" w14:textId="77777777" w:rsidR="004A4AA5" w:rsidRPr="004E336B" w:rsidRDefault="004A4AA5" w:rsidP="004E336B">
      <w:pPr>
        <w:rPr>
          <w:b/>
          <w:szCs w:val="22"/>
        </w:rPr>
      </w:pPr>
    </w:p>
    <w:p w14:paraId="7D151D0D" w14:textId="2D5CB7E2" w:rsidR="005F7177" w:rsidRPr="004E336B" w:rsidRDefault="00D707EC" w:rsidP="004E336B">
      <w:pPr>
        <w:tabs>
          <w:tab w:val="left" w:pos="4962"/>
        </w:tabs>
        <w:rPr>
          <w:bCs/>
          <w:szCs w:val="22"/>
        </w:rPr>
      </w:pPr>
      <w:r w:rsidRPr="004E336B">
        <w:rPr>
          <w:szCs w:val="22"/>
        </w:rPr>
        <w:t xml:space="preserve">En razón de lo anterior, el estudio se centrará en determinar </w:t>
      </w:r>
      <w:r w:rsidR="00E54A54" w:rsidRPr="004E336B">
        <w:rPr>
          <w:szCs w:val="22"/>
        </w:rPr>
        <w:t xml:space="preserve">si </w:t>
      </w:r>
      <w:r w:rsidR="005F7177" w:rsidRPr="004E336B">
        <w:rPr>
          <w:b/>
          <w:szCs w:val="22"/>
        </w:rPr>
        <w:t xml:space="preserve">EL SUJETO OBLIGADO </w:t>
      </w:r>
      <w:r w:rsidR="00F465D2" w:rsidRPr="004E336B">
        <w:rPr>
          <w:bCs/>
          <w:szCs w:val="22"/>
        </w:rPr>
        <w:t xml:space="preserve">entregó </w:t>
      </w:r>
      <w:r w:rsidR="00615A89" w:rsidRPr="004E336B">
        <w:rPr>
          <w:bCs/>
          <w:szCs w:val="22"/>
        </w:rPr>
        <w:t xml:space="preserve">completa </w:t>
      </w:r>
      <w:r w:rsidR="00F465D2" w:rsidRPr="004E336B">
        <w:rPr>
          <w:bCs/>
          <w:szCs w:val="22"/>
        </w:rPr>
        <w:t xml:space="preserve">la información requerida por </w:t>
      </w:r>
      <w:r w:rsidR="00210D17" w:rsidRPr="004E336B">
        <w:rPr>
          <w:b/>
          <w:bCs/>
          <w:szCs w:val="22"/>
        </w:rPr>
        <w:t>LA PARTE RECURRENTE</w:t>
      </w:r>
      <w:r w:rsidR="005F7177" w:rsidRPr="004E336B">
        <w:rPr>
          <w:bCs/>
          <w:szCs w:val="22"/>
        </w:rPr>
        <w:t>.</w:t>
      </w:r>
    </w:p>
    <w:p w14:paraId="6371A379" w14:textId="77777777" w:rsidR="00193492" w:rsidRPr="004E336B" w:rsidRDefault="00193492" w:rsidP="004E336B">
      <w:pPr>
        <w:rPr>
          <w:szCs w:val="22"/>
        </w:rPr>
      </w:pPr>
    </w:p>
    <w:p w14:paraId="19995242" w14:textId="77777777" w:rsidR="002B11D9" w:rsidRPr="004E336B" w:rsidRDefault="00E43858" w:rsidP="004E336B">
      <w:pPr>
        <w:pStyle w:val="Ttulo3"/>
        <w:tabs>
          <w:tab w:val="left" w:pos="6015"/>
        </w:tabs>
        <w:rPr>
          <w:szCs w:val="22"/>
        </w:rPr>
      </w:pPr>
      <w:bookmarkStart w:id="31" w:name="_Toc197537197"/>
      <w:r w:rsidRPr="004E336B">
        <w:rPr>
          <w:szCs w:val="22"/>
        </w:rPr>
        <w:t>c) Estudio de la controversia.</w:t>
      </w:r>
      <w:bookmarkEnd w:id="31"/>
    </w:p>
    <w:p w14:paraId="08833BBD" w14:textId="77777777" w:rsidR="00602ACA" w:rsidRPr="004E336B" w:rsidRDefault="00602ACA" w:rsidP="004E336B">
      <w:pPr>
        <w:ind w:right="-93"/>
        <w:rPr>
          <w:szCs w:val="22"/>
        </w:rPr>
      </w:pPr>
      <w:r w:rsidRPr="004E336B">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D976840" w14:textId="77777777" w:rsidR="00602ACA" w:rsidRPr="004E336B" w:rsidRDefault="00602ACA" w:rsidP="004E336B">
      <w:pPr>
        <w:ind w:right="-93"/>
        <w:rPr>
          <w:szCs w:val="22"/>
        </w:rPr>
      </w:pPr>
    </w:p>
    <w:p w14:paraId="248727A2" w14:textId="77777777" w:rsidR="00602ACA" w:rsidRPr="004E336B" w:rsidRDefault="00602ACA" w:rsidP="004E336B">
      <w:pPr>
        <w:pStyle w:val="Puesto"/>
        <w:ind w:firstLine="567"/>
        <w:rPr>
          <w:szCs w:val="22"/>
        </w:rPr>
      </w:pPr>
      <w:r w:rsidRPr="004E336B">
        <w:rPr>
          <w:b/>
          <w:szCs w:val="22"/>
        </w:rPr>
        <w:t>Artículo 18</w:t>
      </w:r>
      <w:r w:rsidRPr="004E336B">
        <w:rPr>
          <w:szCs w:val="22"/>
        </w:rPr>
        <w:t>. Los sujetos obligados deberán documentar todo acto que derive del ejercicio de sus facultades, competencias o funciones, considerando desde su origen la eventual publicidad y reutilización de la información que generen</w:t>
      </w:r>
    </w:p>
    <w:p w14:paraId="70083728" w14:textId="77777777" w:rsidR="00602ACA" w:rsidRPr="004E336B" w:rsidRDefault="00602ACA" w:rsidP="004E336B">
      <w:pPr>
        <w:ind w:right="-93"/>
        <w:rPr>
          <w:szCs w:val="22"/>
        </w:rPr>
      </w:pPr>
    </w:p>
    <w:p w14:paraId="0638FA69" w14:textId="77777777" w:rsidR="00602ACA" w:rsidRPr="004E336B" w:rsidRDefault="00602ACA" w:rsidP="004E336B">
      <w:pPr>
        <w:ind w:right="-93"/>
        <w:rPr>
          <w:szCs w:val="22"/>
        </w:rPr>
      </w:pPr>
      <w:r w:rsidRPr="004E336B">
        <w:rPr>
          <w:szCs w:val="22"/>
        </w:rPr>
        <w:t xml:space="preserve">Lo anterior toma relevancia, pues según Jarquín, Soledad (2019), en el “Diccionario de Transparencia y Acceso a la Información Pública” (p. 126 y 127), todos los </w:t>
      </w:r>
      <w:r w:rsidRPr="004E336B">
        <w:rPr>
          <w:b/>
          <w:szCs w:val="22"/>
        </w:rPr>
        <w:t>SUJETOS OBLIGADOS</w:t>
      </w:r>
      <w:r w:rsidRPr="004E336B">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2EB51CE" w14:textId="77777777" w:rsidR="00602ACA" w:rsidRPr="004E336B" w:rsidRDefault="00602ACA" w:rsidP="004E336B">
      <w:pPr>
        <w:ind w:right="-93"/>
        <w:rPr>
          <w:szCs w:val="22"/>
        </w:rPr>
      </w:pPr>
    </w:p>
    <w:p w14:paraId="4600B17C" w14:textId="277C43C6" w:rsidR="002D32B2" w:rsidRPr="004E336B" w:rsidRDefault="00602ACA" w:rsidP="004E336B">
      <w:pPr>
        <w:widowControl w:val="0"/>
        <w:rPr>
          <w:szCs w:val="22"/>
        </w:rPr>
      </w:pPr>
      <w:r w:rsidRPr="004E336B">
        <w:rPr>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r w:rsidR="00240BB6" w:rsidRPr="004E336B">
        <w:rPr>
          <w:szCs w:val="22"/>
        </w:rPr>
        <w:t xml:space="preserve">. </w:t>
      </w:r>
    </w:p>
    <w:p w14:paraId="2287CBD4" w14:textId="77777777" w:rsidR="000850A9" w:rsidRPr="004E336B" w:rsidRDefault="000850A9" w:rsidP="004E336B">
      <w:pPr>
        <w:widowControl w:val="0"/>
        <w:rPr>
          <w:szCs w:val="22"/>
        </w:rPr>
      </w:pPr>
    </w:p>
    <w:p w14:paraId="398EF03F" w14:textId="695F6730" w:rsidR="00AE70ED" w:rsidRPr="004E336B" w:rsidRDefault="00AE70ED" w:rsidP="004E336B">
      <w:pPr>
        <w:widowControl w:val="0"/>
      </w:pPr>
      <w:r w:rsidRPr="004E336B">
        <w:t xml:space="preserve">Así las cosas, es importante señala que para dar atención al requerimiento del particular, se pronunció la servidora pública habilitada que se estima competente, dada la propia y especial </w:t>
      </w:r>
      <w:r w:rsidRPr="004E336B">
        <w:lastRenderedPageBreak/>
        <w:t>naturaleza de las constancias señaladas en la solicitud de acceso a la información y de conformidad con lo previsto en el artículo 251 del Reglamento Interior de la Administración Pública Municipal de Tlalnepantla de Baz, México, como a continuación se observa:</w:t>
      </w:r>
    </w:p>
    <w:p w14:paraId="1B85B7DD" w14:textId="77777777" w:rsidR="005A65F3" w:rsidRPr="004E336B" w:rsidRDefault="005A65F3" w:rsidP="004E336B"/>
    <w:p w14:paraId="121AD2FE" w14:textId="22B7618D" w:rsidR="00AE70ED" w:rsidRPr="004E336B" w:rsidRDefault="00AE70ED" w:rsidP="004E336B">
      <w:pPr>
        <w:pStyle w:val="Puesto"/>
      </w:pPr>
      <w:r w:rsidRPr="004E336B">
        <w:t>“</w:t>
      </w:r>
      <w:r w:rsidRPr="004E336B">
        <w:rPr>
          <w:b/>
        </w:rPr>
        <w:t>ARTÍCULO 251</w:t>
      </w:r>
      <w:r w:rsidRPr="004E336B">
        <w:t>. Para el despacho de los asuntos de su competencia, la Oficialía Mayor, tendrá las siguientes facultades y obligaciones:</w:t>
      </w:r>
    </w:p>
    <w:p w14:paraId="0C068E7B" w14:textId="0C41D845" w:rsidR="00AE70ED" w:rsidRPr="004E336B" w:rsidRDefault="00AE70ED" w:rsidP="004E336B">
      <w:pPr>
        <w:pStyle w:val="Puesto"/>
      </w:pPr>
      <w:r w:rsidRPr="004E336B">
        <w:t>(…)</w:t>
      </w:r>
    </w:p>
    <w:p w14:paraId="551280AB" w14:textId="77777777" w:rsidR="00AE70ED" w:rsidRPr="004E336B" w:rsidRDefault="00AE70ED" w:rsidP="004E336B">
      <w:pPr>
        <w:pStyle w:val="Puesto"/>
      </w:pPr>
      <w:r w:rsidRPr="004E336B">
        <w:rPr>
          <w:b/>
        </w:rPr>
        <w:t>VIII</w:t>
      </w:r>
      <w:r w:rsidRPr="004E336B">
        <w:t xml:space="preserve">. Controlar que el personal que las dependencias requieran sea debidamente seleccionado y contratado, cuando así lo establezcan las descripciones y especificaciones de los puestos, atendiendo a la normatividad aplicable; </w:t>
      </w:r>
    </w:p>
    <w:p w14:paraId="239253BF" w14:textId="613C0DAB" w:rsidR="00AE70ED" w:rsidRPr="004E336B" w:rsidRDefault="00AE70ED" w:rsidP="004E336B">
      <w:pPr>
        <w:pStyle w:val="Puesto"/>
      </w:pPr>
      <w:r w:rsidRPr="004E336B">
        <w:t>(…)</w:t>
      </w:r>
    </w:p>
    <w:p w14:paraId="3C157036" w14:textId="746E89EA" w:rsidR="00AE70ED" w:rsidRPr="004E336B" w:rsidRDefault="00AE70ED" w:rsidP="004E336B">
      <w:pPr>
        <w:pStyle w:val="Puesto"/>
      </w:pPr>
      <w:r w:rsidRPr="004E336B">
        <w:rPr>
          <w:b/>
        </w:rPr>
        <w:t>IX</w:t>
      </w:r>
      <w:r w:rsidRPr="004E336B">
        <w:t xml:space="preserve">. </w:t>
      </w:r>
      <w:r w:rsidRPr="004E336B">
        <w:rPr>
          <w:b/>
        </w:rPr>
        <w:t>Vigilar la integración de los expedientes del personal</w:t>
      </w:r>
      <w:r w:rsidRPr="004E336B">
        <w:t>, así como la expedición de las credenciales de identificación laboral;”</w:t>
      </w:r>
    </w:p>
    <w:p w14:paraId="1D7E8DC1" w14:textId="77777777" w:rsidR="00AE70ED" w:rsidRPr="004E336B" w:rsidRDefault="00AE70ED" w:rsidP="004E336B"/>
    <w:p w14:paraId="355E81BD" w14:textId="77777777" w:rsidR="004E39E6" w:rsidRPr="004E336B" w:rsidRDefault="005A65F3" w:rsidP="004E336B">
      <w:r w:rsidRPr="004E336B">
        <w:t xml:space="preserve">Avanzando en estudio, </w:t>
      </w:r>
      <w:r w:rsidR="00AE70ED" w:rsidRPr="004E336B">
        <w:t xml:space="preserve">es importante precisar que, de conformidad con lo previsto en el artículo 113 de la Ley Orgánica Municipal del Estado de México, para ser Contralor Municipal, se requiere cumplir con los requisitos que se exigen para ser Tesorero Municipal, </w:t>
      </w:r>
    </w:p>
    <w:p w14:paraId="0101C5B1" w14:textId="77777777" w:rsidR="004E39E6" w:rsidRPr="004E336B" w:rsidRDefault="004E39E6" w:rsidP="004E336B"/>
    <w:p w14:paraId="704AEF99" w14:textId="1EF50E0B" w:rsidR="00AE70ED" w:rsidRPr="004E336B" w:rsidRDefault="004E39E6" w:rsidP="004E336B">
      <w:r w:rsidRPr="004E336B">
        <w:t xml:space="preserve">Así, se debe apuntar que, si bien </w:t>
      </w:r>
      <w:r w:rsidRPr="004E336B">
        <w:rPr>
          <w:b/>
        </w:rPr>
        <w:t xml:space="preserve">EL SUJETO OBLIGADO </w:t>
      </w:r>
      <w:r w:rsidRPr="004E336B">
        <w:t>asumió contar con la totalidad d</w:t>
      </w:r>
      <w:r w:rsidR="00945565" w:rsidRPr="004E336B">
        <w:t xml:space="preserve">e las documentales solicitadas; no obstante lo anterior, </w:t>
      </w:r>
      <w:r w:rsidRPr="004E336B">
        <w:t>este Instituto estima prudente abordar punto por punto el requerimiento realizado por el particular, con el fin de determinar si las constancias fueron proporcionadas de manera completa y conforme a derecho.</w:t>
      </w:r>
    </w:p>
    <w:p w14:paraId="37536B70" w14:textId="7858E723" w:rsidR="004D495C" w:rsidRPr="004E336B" w:rsidRDefault="004D495C" w:rsidP="004E336B">
      <w:pPr>
        <w:rPr>
          <w:rFonts w:eastAsia="Calibri"/>
          <w:szCs w:val="22"/>
          <w:lang w:eastAsia="es-ES_tradnl"/>
        </w:rPr>
      </w:pPr>
    </w:p>
    <w:p w14:paraId="3DD7A1BC" w14:textId="28A12585" w:rsidR="00B72607" w:rsidRPr="004E336B" w:rsidRDefault="00B72607" w:rsidP="004E336B">
      <w:pPr>
        <w:pStyle w:val="Prrafodelista"/>
        <w:numPr>
          <w:ilvl w:val="0"/>
          <w:numId w:val="2"/>
        </w:numPr>
        <w:rPr>
          <w:rFonts w:eastAsia="Calibri"/>
          <w:b/>
          <w:szCs w:val="22"/>
          <w:lang w:eastAsia="es-ES_tradnl"/>
        </w:rPr>
      </w:pPr>
      <w:r w:rsidRPr="004E336B">
        <w:rPr>
          <w:rFonts w:eastAsia="Calibri"/>
          <w:b/>
          <w:szCs w:val="22"/>
          <w:lang w:eastAsia="es-ES_tradnl"/>
        </w:rPr>
        <w:t>Experiencia/Currículum.</w:t>
      </w:r>
    </w:p>
    <w:p w14:paraId="14647D5F" w14:textId="77777777" w:rsidR="00B72607" w:rsidRPr="004E336B" w:rsidRDefault="00B72607" w:rsidP="004E336B"/>
    <w:p w14:paraId="6E2A5158" w14:textId="77777777" w:rsidR="00B72607" w:rsidRPr="004E336B" w:rsidRDefault="00B72607" w:rsidP="004E336B">
      <w:r w:rsidRPr="004E336B">
        <w:t>La naturaleza de este punto del requerimiento se refiere a las características, requisitos, cualidades o aptitudes que deberá tener el aspirante a desempeñar un puesto, en este caso, el del docente en cierta categoría, información que bien puede constar en el currículum vitae, ello en atención a que, el concepto “</w:t>
      </w:r>
      <w:r w:rsidRPr="004E336B">
        <w:rPr>
          <w:b/>
          <w:i/>
        </w:rPr>
        <w:t>curriculum</w:t>
      </w:r>
      <w:r w:rsidRPr="004E336B">
        <w:t xml:space="preserve">” corresponde a una locución latina cuyo </w:t>
      </w:r>
      <w:r w:rsidRPr="004E336B">
        <w:lastRenderedPageBreak/>
        <w:t xml:space="preserve">significado es </w:t>
      </w:r>
      <w:r w:rsidRPr="004E336B">
        <w:rPr>
          <w:i/>
        </w:rPr>
        <w:t xml:space="preserve">“carrera de vida”, se usa como locución nominal masculina para designar la relación de los datos personales, formación académica, actividad laboral y méritos de una persona.” </w:t>
      </w:r>
      <w:r w:rsidRPr="004E336B">
        <w:t>(Sic).</w:t>
      </w:r>
    </w:p>
    <w:p w14:paraId="687F80C5" w14:textId="77777777" w:rsidR="00B72607" w:rsidRPr="004E336B" w:rsidRDefault="00B72607" w:rsidP="004E336B">
      <w:pPr>
        <w:rPr>
          <w:i/>
        </w:rPr>
      </w:pPr>
    </w:p>
    <w:p w14:paraId="7E7C03AB" w14:textId="77777777" w:rsidR="00B72607" w:rsidRPr="004E336B" w:rsidRDefault="00B72607" w:rsidP="004E336B">
      <w:r w:rsidRPr="004E336B">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76A5ABDB" w14:textId="77777777" w:rsidR="00B72607" w:rsidRPr="004E336B" w:rsidRDefault="00B72607" w:rsidP="004E336B"/>
    <w:p w14:paraId="4CBEF0C3" w14:textId="77777777" w:rsidR="00B72607" w:rsidRPr="004E336B" w:rsidRDefault="00B72607" w:rsidP="004E336B">
      <w:r w:rsidRPr="004E336B">
        <w:t xml:space="preserve">Por su lado, la Real Academia Española lo define como a continuación se cita: </w:t>
      </w:r>
      <w:r w:rsidRPr="004E336B">
        <w:rPr>
          <w:i/>
        </w:rPr>
        <w:t xml:space="preserve">“Relación de los títulos, honores, cargos, trabajos realizados, datos biográficos, </w:t>
      </w:r>
      <w:proofErr w:type="spellStart"/>
      <w:r w:rsidRPr="004E336B">
        <w:rPr>
          <w:i/>
        </w:rPr>
        <w:t>etc</w:t>
      </w:r>
      <w:proofErr w:type="spellEnd"/>
      <w:r w:rsidRPr="004E336B">
        <w:rPr>
          <w:i/>
        </w:rPr>
        <w:t>, que califican a una persona” (Sic)</w:t>
      </w:r>
    </w:p>
    <w:p w14:paraId="54273A96" w14:textId="77777777" w:rsidR="00B72607" w:rsidRPr="004E336B" w:rsidRDefault="00B72607" w:rsidP="004E336B"/>
    <w:p w14:paraId="7FFF6CD9" w14:textId="77777777" w:rsidR="00B72607" w:rsidRPr="004E336B" w:rsidRDefault="00B72607" w:rsidP="004E336B">
      <w:r w:rsidRPr="004E336B">
        <w:t xml:space="preserve">Desde esta perspectiva, a través del currículum vite </w:t>
      </w:r>
      <w:r w:rsidRPr="004E336B">
        <w:rPr>
          <w:b/>
          <w:u w:val="single"/>
        </w:rPr>
        <w:t>la persona solicitante puede advertir los estudios realizados o bien el nivel académico</w:t>
      </w:r>
      <w:r w:rsidRPr="004E336B">
        <w:t xml:space="preserve">, así como la experiencia laboral de los servidores públicos que se encuentran adscritos al </w:t>
      </w:r>
      <w:r w:rsidRPr="004E336B">
        <w:rPr>
          <w:b/>
        </w:rPr>
        <w:t>SUJETO OBLIGADO</w:t>
      </w:r>
      <w:r w:rsidRPr="004E336B">
        <w:t>,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04FFB14E" w14:textId="77777777" w:rsidR="00B72607" w:rsidRPr="004E336B" w:rsidRDefault="00B72607" w:rsidP="004E336B"/>
    <w:p w14:paraId="6041A32C" w14:textId="77777777" w:rsidR="00B72607" w:rsidRPr="004E336B" w:rsidRDefault="00B72607" w:rsidP="004E336B">
      <w:pPr>
        <w:spacing w:line="276" w:lineRule="auto"/>
        <w:ind w:left="567" w:right="612"/>
        <w:rPr>
          <w:i/>
        </w:rPr>
      </w:pPr>
      <w:r w:rsidRPr="004E336B">
        <w:rPr>
          <w:i/>
        </w:rPr>
        <w:t>“</w:t>
      </w:r>
      <w:r w:rsidRPr="004E336B">
        <w:rPr>
          <w:b/>
          <w:i/>
        </w:rPr>
        <w:t>Curriculum Vitae de servidores públicos.</w:t>
      </w:r>
      <w:r w:rsidRPr="004E336B">
        <w:rPr>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w:t>
      </w:r>
      <w:r w:rsidRPr="004E336B">
        <w:rPr>
          <w:i/>
        </w:rPr>
        <w:lastRenderedPageBreak/>
        <w:t>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511DC4C5" w14:textId="77777777" w:rsidR="00B72607" w:rsidRPr="004E336B" w:rsidRDefault="00B72607" w:rsidP="004E336B">
      <w:pPr>
        <w:spacing w:line="276" w:lineRule="auto"/>
        <w:rPr>
          <w:i/>
        </w:rPr>
      </w:pPr>
    </w:p>
    <w:p w14:paraId="7E12A815" w14:textId="77777777" w:rsidR="00B72607" w:rsidRPr="004E336B" w:rsidRDefault="00B72607" w:rsidP="004E336B">
      <w:r w:rsidRPr="004E336B">
        <w:t xml:space="preserve">Así, se advierte que si bien en el currículum vitae se describe información de una persona relacionada con su formación académica, </w:t>
      </w:r>
      <w:r w:rsidRPr="004E336B">
        <w:rPr>
          <w:b/>
        </w:rPr>
        <w:t>trayectoria profesional</w:t>
      </w:r>
      <w:r w:rsidRPr="004E336B">
        <w:t xml:space="preserve">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14:paraId="2CC72AC3" w14:textId="77777777" w:rsidR="00B72607" w:rsidRPr="004E336B" w:rsidRDefault="00B72607" w:rsidP="004E336B"/>
    <w:p w14:paraId="115CC603" w14:textId="3CB79456" w:rsidR="00B72607" w:rsidRPr="004E336B" w:rsidRDefault="00B72607" w:rsidP="004E336B">
      <w:r w:rsidRPr="004E336B">
        <w:t>Al respecto, se debe traer a colación lo previsto en el artículo 92, fracción XXI de la Ley de Transparencia local, normatividad que prevé como una obligación de transparencia común, la publicidad de  información curricular desde el nivel de jefe de departamento o equivalente, hasta el titular de los sujetos obligados.</w:t>
      </w:r>
    </w:p>
    <w:p w14:paraId="2F251D09" w14:textId="77777777" w:rsidR="00B72607" w:rsidRPr="004E336B" w:rsidRDefault="00B72607" w:rsidP="004E336B">
      <w:pPr>
        <w:rPr>
          <w:rFonts w:eastAsia="Calibri"/>
          <w:szCs w:val="22"/>
          <w:lang w:eastAsia="es-ES_tradnl"/>
        </w:rPr>
      </w:pPr>
    </w:p>
    <w:p w14:paraId="3DA87D2B" w14:textId="180D7117" w:rsidR="00C155A3" w:rsidRPr="004E336B" w:rsidRDefault="00BF681A" w:rsidP="004E336B">
      <w:pPr>
        <w:pStyle w:val="Prrafodelista"/>
        <w:numPr>
          <w:ilvl w:val="0"/>
          <w:numId w:val="2"/>
        </w:numPr>
        <w:ind w:left="284" w:hanging="284"/>
        <w:rPr>
          <w:rFonts w:eastAsia="Calibri"/>
          <w:b/>
          <w:szCs w:val="22"/>
          <w:lang w:eastAsia="es-ES_tradnl"/>
        </w:rPr>
      </w:pPr>
      <w:r w:rsidRPr="004E336B">
        <w:rPr>
          <w:rFonts w:eastAsia="Calibri"/>
          <w:b/>
          <w:szCs w:val="22"/>
          <w:lang w:eastAsia="es-ES_tradnl"/>
        </w:rPr>
        <w:t>Certificación.</w:t>
      </w:r>
    </w:p>
    <w:p w14:paraId="0A250E43" w14:textId="77777777" w:rsidR="004E39E6" w:rsidRPr="004E336B" w:rsidRDefault="004E39E6" w:rsidP="004E336B">
      <w:pPr>
        <w:rPr>
          <w:rFonts w:eastAsia="Calibri"/>
          <w:b/>
          <w:szCs w:val="22"/>
          <w:lang w:eastAsia="es-ES_tradnl"/>
        </w:rPr>
      </w:pPr>
    </w:p>
    <w:p w14:paraId="6C306A64" w14:textId="7B242F4D" w:rsidR="00EE5AC3" w:rsidRPr="004E336B" w:rsidRDefault="00D2348B" w:rsidP="004E336B">
      <w:r w:rsidRPr="004E336B">
        <w:rPr>
          <w:szCs w:val="24"/>
          <w:lang w:eastAsia="es-MX"/>
        </w:rPr>
        <w:lastRenderedPageBreak/>
        <w:t>El</w:t>
      </w:r>
      <w:r w:rsidR="000F4391" w:rsidRPr="004E336B">
        <w:rPr>
          <w:szCs w:val="24"/>
          <w:lang w:eastAsia="es-MX"/>
        </w:rPr>
        <w:t xml:space="preserve"> artículo</w:t>
      </w:r>
      <w:r w:rsidRPr="004E336B">
        <w:rPr>
          <w:szCs w:val="24"/>
          <w:lang w:eastAsia="es-MX"/>
        </w:rPr>
        <w:t xml:space="preserve"> 113 de la </w:t>
      </w:r>
      <w:r w:rsidRPr="004E336B">
        <w:rPr>
          <w:bCs/>
          <w:szCs w:val="24"/>
          <w:lang w:eastAsia="es-MX"/>
        </w:rPr>
        <w:t xml:space="preserve">Ley Orgánica Municipal del Estado de México, establece que </w:t>
      </w:r>
      <w:r w:rsidRPr="004E336B">
        <w:t xml:space="preserve">para ser Contralor, se requiere cumplir con los requisitos que se exigen para ser tesorero municipal. Por otra parte, el artículo </w:t>
      </w:r>
      <w:r w:rsidR="000F4391" w:rsidRPr="004E336B">
        <w:rPr>
          <w:szCs w:val="24"/>
          <w:lang w:eastAsia="es-MX"/>
        </w:rPr>
        <w:t xml:space="preserve">32, fracción IV </w:t>
      </w:r>
      <w:r w:rsidR="00EE5AC3" w:rsidRPr="004E336B">
        <w:rPr>
          <w:szCs w:val="24"/>
          <w:lang w:eastAsia="es-MX"/>
        </w:rPr>
        <w:t xml:space="preserve">de la </w:t>
      </w:r>
      <w:r w:rsidRPr="004E336B">
        <w:rPr>
          <w:bCs/>
          <w:szCs w:val="24"/>
          <w:lang w:eastAsia="es-MX"/>
        </w:rPr>
        <w:t>misma normatividad prevé que</w:t>
      </w:r>
      <w:r w:rsidR="00EE5AC3" w:rsidRPr="004E336B">
        <w:rPr>
          <w:szCs w:val="24"/>
          <w:lang w:eastAsia="es-MX"/>
        </w:rPr>
        <w:t xml:space="preserve">, para ocupar </w:t>
      </w:r>
      <w:r w:rsidR="0014348D" w:rsidRPr="004E336B">
        <w:rPr>
          <w:szCs w:val="24"/>
          <w:lang w:eastAsia="es-MX"/>
        </w:rPr>
        <w:t>el cargo</w:t>
      </w:r>
      <w:r w:rsidR="00EE5AC3" w:rsidRPr="004E336B">
        <w:rPr>
          <w:szCs w:val="24"/>
          <w:lang w:eastAsia="es-MX"/>
        </w:rPr>
        <w:t xml:space="preserve"> de</w:t>
      </w:r>
      <w:r w:rsidR="00EE5AC3" w:rsidRPr="004E336B">
        <w:rPr>
          <w:bCs/>
          <w:szCs w:val="24"/>
          <w:lang w:eastAsia="es-MX"/>
        </w:rPr>
        <w:t xml:space="preserve"> Tesorero</w:t>
      </w:r>
      <w:r w:rsidR="00EE5AC3" w:rsidRPr="004E336B">
        <w:rPr>
          <w:szCs w:val="24"/>
          <w:lang w:eastAsia="es-MX"/>
        </w:rPr>
        <w:t xml:space="preserve"> se establecen requisitos específicos de elegibilidad, entre los cuales se incluye el de </w:t>
      </w:r>
      <w:r w:rsidR="00EE5AC3" w:rsidRPr="004E336B">
        <w:rPr>
          <w:bCs/>
          <w:szCs w:val="24"/>
          <w:lang w:eastAsia="es-MX"/>
        </w:rPr>
        <w:t>contar con una certificación de competencia laboral en la materia del</w:t>
      </w:r>
      <w:r w:rsidR="00EE5AC3" w:rsidRPr="004E336B">
        <w:rPr>
          <w:b/>
          <w:bCs/>
          <w:szCs w:val="24"/>
          <w:lang w:eastAsia="es-MX"/>
        </w:rPr>
        <w:t xml:space="preserve"> </w:t>
      </w:r>
      <w:r w:rsidR="00EE5AC3" w:rsidRPr="004E336B">
        <w:t>cargo que se desempeñará, expedida por una institución con reconocimiento de validez oficial.</w:t>
      </w:r>
    </w:p>
    <w:p w14:paraId="3733CA48" w14:textId="77777777" w:rsidR="0014348D" w:rsidRPr="004E336B" w:rsidRDefault="0014348D" w:rsidP="004E336B"/>
    <w:p w14:paraId="186E8115" w14:textId="77777777" w:rsidR="00EE5AC3" w:rsidRPr="004E336B" w:rsidRDefault="00EE5AC3" w:rsidP="004E336B">
      <w:r w:rsidRPr="004E336B">
        <w:t>Dicho requisito no es opcional, sino de carácter obligatorio, y debe ser cumplido por las personas</w:t>
      </w:r>
      <w:r w:rsidRPr="004E336B">
        <w:rPr>
          <w:szCs w:val="24"/>
          <w:lang w:eastAsia="es-MX"/>
        </w:rPr>
        <w:t xml:space="preserve"> designadas dentro de un </w:t>
      </w:r>
      <w:r w:rsidRPr="004E336B">
        <w:rPr>
          <w:bCs/>
          <w:szCs w:val="24"/>
          <w:lang w:eastAsia="es-MX"/>
        </w:rPr>
        <w:t>plazo improrrogable de seis meses contados a partir del inicio de sus funciones</w:t>
      </w:r>
      <w:r w:rsidRPr="004E336B">
        <w:rPr>
          <w:szCs w:val="24"/>
          <w:lang w:eastAsia="es-MX"/>
        </w:rPr>
        <w:t xml:space="preserve">. Esta disposición tiene como finalidad garantizar que quienes ejerzan funciones públicas especializadas, cuenten con las habilidades y conocimientos técnicos suficientes para una adecuada toma de decisiones, ejecución de políticas públicas, y </w:t>
      </w:r>
      <w:r w:rsidRPr="004E336B">
        <w:t>administración de recursos, en observancia del principio de profesionalización del servicio público.</w:t>
      </w:r>
    </w:p>
    <w:p w14:paraId="4FFF9E22" w14:textId="77777777" w:rsidR="002805CE" w:rsidRPr="004E336B" w:rsidRDefault="002805CE" w:rsidP="004E336B">
      <w:pPr>
        <w:rPr>
          <w:rFonts w:eastAsia="Calibri"/>
          <w:b/>
          <w:szCs w:val="22"/>
          <w:lang w:eastAsia="es-ES_tradnl"/>
        </w:rPr>
      </w:pPr>
    </w:p>
    <w:p w14:paraId="0BF93740" w14:textId="5B22D10E" w:rsidR="00EE5AC3" w:rsidRPr="004E336B" w:rsidRDefault="004D467C" w:rsidP="004E336B">
      <w:pPr>
        <w:pStyle w:val="Prrafodelista"/>
        <w:numPr>
          <w:ilvl w:val="0"/>
          <w:numId w:val="2"/>
        </w:numPr>
        <w:rPr>
          <w:rFonts w:eastAsia="Calibri"/>
          <w:szCs w:val="22"/>
          <w:lang w:eastAsia="es-ES_tradnl"/>
        </w:rPr>
      </w:pPr>
      <w:r w:rsidRPr="004E336B">
        <w:rPr>
          <w:rFonts w:eastAsia="Calibri"/>
          <w:b/>
          <w:szCs w:val="22"/>
          <w:lang w:eastAsia="es-ES_tradnl"/>
        </w:rPr>
        <w:t>Título y cédula profesional.</w:t>
      </w:r>
    </w:p>
    <w:p w14:paraId="0134AE65" w14:textId="77777777" w:rsidR="0014348D" w:rsidRPr="004E336B" w:rsidRDefault="0014348D" w:rsidP="004E336B">
      <w:pPr>
        <w:rPr>
          <w:rFonts w:eastAsia="Calibri"/>
          <w:szCs w:val="22"/>
          <w:lang w:eastAsia="es-ES_tradnl"/>
        </w:rPr>
      </w:pPr>
    </w:p>
    <w:p w14:paraId="6245A76D" w14:textId="572E8800" w:rsidR="00EE5AC3" w:rsidRPr="004E336B" w:rsidRDefault="00EE5AC3" w:rsidP="004E336B">
      <w:r w:rsidRPr="004E336B">
        <w:rPr>
          <w:bCs/>
          <w:szCs w:val="24"/>
          <w:lang w:eastAsia="es-MX"/>
        </w:rPr>
        <w:t>Al igual que el punto anterior, el artículo 32</w:t>
      </w:r>
      <w:r w:rsidR="002805CE" w:rsidRPr="004E336B">
        <w:rPr>
          <w:szCs w:val="24"/>
          <w:lang w:eastAsia="es-MX"/>
        </w:rPr>
        <w:t xml:space="preserve">, fracción III </w:t>
      </w:r>
      <w:r w:rsidRPr="004E336B">
        <w:rPr>
          <w:szCs w:val="24"/>
          <w:lang w:eastAsia="es-MX"/>
        </w:rPr>
        <w:t xml:space="preserve">de la </w:t>
      </w:r>
      <w:r w:rsidRPr="004E336B">
        <w:rPr>
          <w:bCs/>
          <w:szCs w:val="24"/>
          <w:lang w:eastAsia="es-MX"/>
        </w:rPr>
        <w:t>Ley Orgánica Municipal del Estado de México</w:t>
      </w:r>
      <w:r w:rsidRPr="004E336B">
        <w:rPr>
          <w:szCs w:val="24"/>
          <w:lang w:eastAsia="es-MX"/>
        </w:rPr>
        <w:t xml:space="preserve">, para ocupar </w:t>
      </w:r>
      <w:r w:rsidR="0014348D" w:rsidRPr="004E336B">
        <w:rPr>
          <w:szCs w:val="24"/>
          <w:lang w:eastAsia="es-MX"/>
        </w:rPr>
        <w:t xml:space="preserve">el cargo de </w:t>
      </w:r>
      <w:r w:rsidR="0014348D" w:rsidRPr="004E336B">
        <w:rPr>
          <w:bCs/>
          <w:szCs w:val="24"/>
          <w:lang w:eastAsia="es-MX"/>
        </w:rPr>
        <w:t>Tesorero Municipal</w:t>
      </w:r>
      <w:r w:rsidRPr="004E336B">
        <w:rPr>
          <w:szCs w:val="24"/>
          <w:lang w:eastAsia="es-MX"/>
        </w:rPr>
        <w:t xml:space="preserve">, es requisito indispensable </w:t>
      </w:r>
      <w:r w:rsidRPr="004E336B">
        <w:rPr>
          <w:bCs/>
          <w:szCs w:val="24"/>
          <w:lang w:eastAsia="es-MX"/>
        </w:rPr>
        <w:t xml:space="preserve">contar </w:t>
      </w:r>
      <w:r w:rsidRPr="004E336B">
        <w:t>con título profesional</w:t>
      </w:r>
      <w:r w:rsidR="004D467C" w:rsidRPr="004E336B">
        <w:t>.</w:t>
      </w:r>
    </w:p>
    <w:p w14:paraId="68A96B0D" w14:textId="77777777" w:rsidR="0014348D" w:rsidRPr="004E336B" w:rsidRDefault="0014348D" w:rsidP="004E336B"/>
    <w:p w14:paraId="2534F484" w14:textId="77777777" w:rsidR="00EE5AC3" w:rsidRPr="004E336B" w:rsidRDefault="00EE5AC3" w:rsidP="004E336B">
      <w:pPr>
        <w:rPr>
          <w:b/>
          <w:bCs/>
          <w:szCs w:val="24"/>
          <w:lang w:eastAsia="es-MX"/>
        </w:rPr>
      </w:pPr>
      <w:r w:rsidRPr="004E336B">
        <w:t>Esta disposición</w:t>
      </w:r>
      <w:r w:rsidRPr="004E336B">
        <w:rPr>
          <w:szCs w:val="24"/>
          <w:lang w:eastAsia="es-MX"/>
        </w:rPr>
        <w:t xml:space="preserve"> normativa tiene por objeto asegurar que las personas que ocupen cargos públicos con funciones técnicas, administrativas o de conducción estratégica cuenten con el </w:t>
      </w:r>
      <w:r w:rsidRPr="004E336B">
        <w:rPr>
          <w:bCs/>
          <w:szCs w:val="24"/>
          <w:lang w:eastAsia="es-MX"/>
        </w:rPr>
        <w:t>perfil profesional adecuado</w:t>
      </w:r>
      <w:r w:rsidRPr="004E336B">
        <w:rPr>
          <w:szCs w:val="24"/>
          <w:lang w:eastAsia="es-MX"/>
        </w:rPr>
        <w:t xml:space="preserve">, acorde con la responsabilidad del cargo. El </w:t>
      </w:r>
      <w:r w:rsidRPr="004E336B">
        <w:rPr>
          <w:bCs/>
          <w:szCs w:val="24"/>
          <w:lang w:eastAsia="es-MX"/>
        </w:rPr>
        <w:t>título profesional</w:t>
      </w:r>
      <w:r w:rsidRPr="004E336B">
        <w:rPr>
          <w:szCs w:val="24"/>
          <w:lang w:eastAsia="es-MX"/>
        </w:rPr>
        <w:t xml:space="preserve"> actúa como un mecanismo de </w:t>
      </w:r>
      <w:r w:rsidRPr="004E336B">
        <w:rPr>
          <w:bCs/>
          <w:szCs w:val="24"/>
          <w:lang w:eastAsia="es-MX"/>
        </w:rPr>
        <w:t>acreditación formal de conocimientos</w:t>
      </w:r>
      <w:r w:rsidRPr="004E336B">
        <w:rPr>
          <w:szCs w:val="24"/>
          <w:lang w:eastAsia="es-MX"/>
        </w:rPr>
        <w:t xml:space="preserve">, indispensable para </w:t>
      </w:r>
      <w:r w:rsidRPr="004E336B">
        <w:rPr>
          <w:bCs/>
          <w:szCs w:val="24"/>
          <w:lang w:eastAsia="es-MX"/>
        </w:rPr>
        <w:lastRenderedPageBreak/>
        <w:t>garantizar un ejercicio público basado en la legalidad, competencia técnica y profesionalización del servicio público.</w:t>
      </w:r>
    </w:p>
    <w:p w14:paraId="2B69F169" w14:textId="77777777" w:rsidR="0014348D" w:rsidRPr="004E336B" w:rsidRDefault="0014348D" w:rsidP="004E336B">
      <w:pPr>
        <w:rPr>
          <w:bCs/>
          <w:szCs w:val="24"/>
          <w:lang w:eastAsia="es-MX"/>
        </w:rPr>
      </w:pPr>
    </w:p>
    <w:p w14:paraId="7B951F5A" w14:textId="77777777" w:rsidR="00EE5AC3" w:rsidRPr="004E336B" w:rsidRDefault="00EE5AC3" w:rsidP="004E336B">
      <w:r w:rsidRPr="004E336B">
        <w:rPr>
          <w:bCs/>
          <w:szCs w:val="24"/>
          <w:lang w:eastAsia="es-MX"/>
        </w:rPr>
        <w:t>Además, la exigencia de título profesional no es discrecional ni sujeta a interpretación laxa, ya que</w:t>
      </w:r>
      <w:r w:rsidRPr="004E336B">
        <w:rPr>
          <w:szCs w:val="24"/>
          <w:lang w:eastAsia="es-MX"/>
        </w:rPr>
        <w:t xml:space="preserve"> constituye un </w:t>
      </w:r>
      <w:r w:rsidRPr="004E336B">
        <w:rPr>
          <w:bCs/>
          <w:szCs w:val="24"/>
          <w:lang w:eastAsia="es-MX"/>
        </w:rPr>
        <w:t>requisito de elegibilidad</w:t>
      </w:r>
      <w:r w:rsidRPr="004E336B">
        <w:rPr>
          <w:szCs w:val="24"/>
          <w:lang w:eastAsia="es-MX"/>
        </w:rPr>
        <w:t xml:space="preserve"> que debe ser satisfecho </w:t>
      </w:r>
      <w:r w:rsidRPr="004E336B">
        <w:rPr>
          <w:bCs/>
          <w:szCs w:val="24"/>
          <w:lang w:eastAsia="es-MX"/>
        </w:rPr>
        <w:t>previamente a la designación o toma de posesión del cargo</w:t>
      </w:r>
      <w:r w:rsidRPr="004E336B">
        <w:rPr>
          <w:szCs w:val="24"/>
          <w:lang w:eastAsia="es-MX"/>
        </w:rPr>
        <w:t xml:space="preserve">, o alternativamente, mediante la acreditación de experiencia mínima de un año, lo cual debe constar por escrito y de manera justificada en el </w:t>
      </w:r>
      <w:r w:rsidRPr="004E336B">
        <w:t>expediente de nombramiento correspondiente.</w:t>
      </w:r>
    </w:p>
    <w:p w14:paraId="7041BD06" w14:textId="77777777" w:rsidR="0047296F" w:rsidRPr="004E336B" w:rsidRDefault="0047296F" w:rsidP="004E336B"/>
    <w:p w14:paraId="601AE8FC" w14:textId="5337713D" w:rsidR="00EE5AC3" w:rsidRPr="004E336B" w:rsidRDefault="00EE5AC3" w:rsidP="004E336B">
      <w:pPr>
        <w:rPr>
          <w:szCs w:val="24"/>
          <w:lang w:eastAsia="es-MX"/>
        </w:rPr>
      </w:pPr>
      <w:r w:rsidRPr="004E336B">
        <w:t>L</w:t>
      </w:r>
      <w:r w:rsidRPr="004E336B">
        <w:rPr>
          <w:szCs w:val="24"/>
          <w:lang w:eastAsia="es-MX"/>
        </w:rPr>
        <w:t xml:space="preserve">a omisión en la verificación o exigencia de este requisito puede dar lugar a </w:t>
      </w:r>
      <w:r w:rsidRPr="004E336B">
        <w:rPr>
          <w:bCs/>
          <w:szCs w:val="24"/>
          <w:lang w:eastAsia="es-MX"/>
        </w:rPr>
        <w:t>nulidad del nombramiento</w:t>
      </w:r>
      <w:r w:rsidRPr="004E336B">
        <w:rPr>
          <w:szCs w:val="24"/>
          <w:lang w:eastAsia="es-MX"/>
        </w:rPr>
        <w:t>, responsabilidad administrativa para quien lo propuso y para quien lo autorizó, y eventualmente para la persona designada si hubiese aceptado el cargo sin cumplir con lo dispuesto por la ley. Tal circunstancia no solo quebranta el principio de legalidad, sino que también puede poner en riesgo la gestión eficiente de los recursos públicos y la validez de los actos administrativos suscritos por personas que no cumplan con el perfil normativo requerido.</w:t>
      </w:r>
    </w:p>
    <w:p w14:paraId="0046A3D6" w14:textId="77777777" w:rsidR="00750E4D" w:rsidRPr="004E336B" w:rsidRDefault="00750E4D" w:rsidP="004E336B">
      <w:pPr>
        <w:rPr>
          <w:rStyle w:val="Textoennegrita"/>
        </w:rPr>
      </w:pPr>
    </w:p>
    <w:p w14:paraId="050DC7AE" w14:textId="0F997044" w:rsidR="004D467C" w:rsidRPr="004E336B" w:rsidRDefault="004D467C" w:rsidP="004E336B">
      <w:pPr>
        <w:rPr>
          <w:rStyle w:val="Textoennegrita"/>
          <w:b w:val="0"/>
        </w:rPr>
      </w:pPr>
      <w:r w:rsidRPr="004E336B">
        <w:rPr>
          <w:rStyle w:val="Textoennegrita"/>
          <w:b w:val="0"/>
        </w:rPr>
        <w:t>Por otra parte la cédula profesional es un documento oficial emitido por el gobierno mexicano, específicamente por la Dirección General de Profesiones de la Secretaría de Educación Pública (SEP), que acredita que una persona ha concluido satisfactoriamente sus estudios de nivel técnico, técnico superior universitario, licenciatura, especialidad, maestría o doctorado, y que está legalmente autorizada para ejercer una profesión reglamentada en México.</w:t>
      </w:r>
    </w:p>
    <w:p w14:paraId="0C749AA0" w14:textId="77777777" w:rsidR="004D467C" w:rsidRPr="004E336B" w:rsidRDefault="004D467C" w:rsidP="004E336B">
      <w:pPr>
        <w:rPr>
          <w:rStyle w:val="Textoennegrita"/>
          <w:b w:val="0"/>
        </w:rPr>
      </w:pPr>
    </w:p>
    <w:p w14:paraId="705CAF42" w14:textId="2D3A4507" w:rsidR="004D467C" w:rsidRPr="004E336B" w:rsidRDefault="004D467C" w:rsidP="004E336B">
      <w:pPr>
        <w:rPr>
          <w:rStyle w:val="Textoennegrita"/>
          <w:b w:val="0"/>
        </w:rPr>
      </w:pPr>
      <w:r w:rsidRPr="004E336B">
        <w:rPr>
          <w:rStyle w:val="Textoennegrita"/>
          <w:b w:val="0"/>
        </w:rPr>
        <w:t xml:space="preserve">Al respecto la normatividad en cita, no prevé como requisito para ostentar el cargo de Contralor o Tesorero Municipal </w:t>
      </w:r>
      <w:r w:rsidR="00902A34" w:rsidRPr="004E336B">
        <w:rPr>
          <w:rStyle w:val="Textoennegrita"/>
          <w:b w:val="0"/>
        </w:rPr>
        <w:t>se deba presentar ante el gobierno municipal la cédula profesional como documento probatorio.</w:t>
      </w:r>
    </w:p>
    <w:p w14:paraId="72536E23" w14:textId="77777777" w:rsidR="0022162F" w:rsidRPr="004E336B" w:rsidRDefault="0022162F" w:rsidP="004E336B"/>
    <w:p w14:paraId="531356D2" w14:textId="4AC810F4" w:rsidR="008F419A" w:rsidRPr="004E336B" w:rsidRDefault="00902A34" w:rsidP="004E336B">
      <w:r w:rsidRPr="004E336B">
        <w:t xml:space="preserve">Llegados a este punto, este Instituto en uso de sus atribuciones analizó las constancias que fueron proporcionadas en respuesta por </w:t>
      </w:r>
      <w:r w:rsidRPr="004E336B">
        <w:rPr>
          <w:b/>
        </w:rPr>
        <w:t xml:space="preserve">EL SUJETO OBLIGADO, </w:t>
      </w:r>
      <w:r w:rsidRPr="004E336B">
        <w:t xml:space="preserve">se tiene que el requerimiento realizado por el particular fue debidamente colmado, pues dentro del expediente electrónico del </w:t>
      </w:r>
      <w:r w:rsidRPr="004E336B">
        <w:rPr>
          <w:b/>
        </w:rPr>
        <w:t>SAIMEX</w:t>
      </w:r>
      <w:r w:rsidRPr="004E336B">
        <w:t xml:space="preserve"> obra </w:t>
      </w:r>
      <w:r w:rsidR="008F419A" w:rsidRPr="004E336B">
        <w:t xml:space="preserve">en una correcta versión pública, </w:t>
      </w:r>
      <w:r w:rsidRPr="004E336B">
        <w:t xml:space="preserve">la ficha curricular (documento con el cual se acredita la experiencia), </w:t>
      </w:r>
      <w:r w:rsidR="008F419A" w:rsidRPr="004E336B">
        <w:t>el certificado de competencia laboral expedido para la ejecución de las atribuciones de la contraloría municipal, así como el título y cédula profesional, lo anterior acompañado del correspondiente acuerdo mediante el cual el Comité de Transparencia del Ayuntamiento de Tlalnepantla de Baz aprobó la clasificación de los datos personales encontrados en las documentales remitidas por la servidora pública habilitada competente.</w:t>
      </w:r>
    </w:p>
    <w:p w14:paraId="2C71CE7D" w14:textId="77777777" w:rsidR="00902A34" w:rsidRPr="004E336B" w:rsidRDefault="00902A34" w:rsidP="004E336B"/>
    <w:p w14:paraId="7C4DC3F1" w14:textId="1523FF63" w:rsidR="008F419A" w:rsidRPr="004E336B" w:rsidRDefault="008F419A" w:rsidP="004E336B">
      <w:pPr>
        <w:rPr>
          <w:b/>
        </w:rPr>
      </w:pPr>
      <w:r w:rsidRPr="004E336B">
        <w:t xml:space="preserve">Así las cosas, se coligue que, el agravio planteado por el recurrente carece de motivación, pues la información requerida, fue proporcionada de manera completa y en apego a derecho por </w:t>
      </w:r>
      <w:r w:rsidRPr="004E336B">
        <w:rPr>
          <w:b/>
        </w:rPr>
        <w:t>EL SUJETO OBLIGADO.</w:t>
      </w:r>
    </w:p>
    <w:p w14:paraId="4E62FC9F" w14:textId="77777777" w:rsidR="008F419A" w:rsidRPr="004E336B" w:rsidRDefault="008F419A" w:rsidP="004E336B"/>
    <w:p w14:paraId="0E207E8D" w14:textId="77777777" w:rsidR="0014348D" w:rsidRPr="004E336B" w:rsidRDefault="0014348D" w:rsidP="004E336B">
      <w:pPr>
        <w:pStyle w:val="Ttulo3"/>
        <w:spacing w:line="360" w:lineRule="auto"/>
      </w:pPr>
      <w:bookmarkStart w:id="32" w:name="_Toc196859278"/>
      <w:bookmarkStart w:id="33" w:name="_Toc197537198"/>
      <w:r w:rsidRPr="004E336B">
        <w:t>d) Conclusión.</w:t>
      </w:r>
      <w:bookmarkEnd w:id="32"/>
      <w:bookmarkEnd w:id="33"/>
    </w:p>
    <w:p w14:paraId="0FA390BC" w14:textId="77777777" w:rsidR="0014348D" w:rsidRPr="004E336B" w:rsidRDefault="0014348D" w:rsidP="004E336B">
      <w:pPr>
        <w:widowControl w:val="0"/>
        <w:pBdr>
          <w:top w:val="nil"/>
          <w:left w:val="nil"/>
          <w:bottom w:val="nil"/>
          <w:right w:val="nil"/>
          <w:between w:val="nil"/>
        </w:pBdr>
        <w:rPr>
          <w:rFonts w:eastAsia="Palatino Linotype" w:cs="Palatino Linotype"/>
          <w:szCs w:val="22"/>
        </w:rPr>
      </w:pPr>
      <w:r w:rsidRPr="004E336B">
        <w:rPr>
          <w:rFonts w:eastAsia="Palatino Linotype" w:cs="Palatino Linotype"/>
          <w:szCs w:val="22"/>
        </w:rPr>
        <w:t xml:space="preserve">En razón de lo anteriormente expuesto, éste Instituto estima que las razones o motivos de inconformidad hechos valer por </w:t>
      </w:r>
      <w:r w:rsidRPr="004E336B">
        <w:rPr>
          <w:rFonts w:eastAsia="Palatino Linotype" w:cs="Palatino Linotype"/>
          <w:b/>
          <w:szCs w:val="22"/>
        </w:rPr>
        <w:t>LA PARTE RECURRENTE</w:t>
      </w:r>
      <w:r w:rsidRPr="004E336B">
        <w:rPr>
          <w:rFonts w:eastAsia="Palatino Linotype" w:cs="Palatino Linotype"/>
          <w:szCs w:val="22"/>
        </w:rPr>
        <w:t xml:space="preserve"> devienen </w:t>
      </w:r>
      <w:r w:rsidRPr="004E336B">
        <w:rPr>
          <w:rFonts w:eastAsia="Palatino Linotype" w:cs="Palatino Linotype"/>
          <w:b/>
          <w:szCs w:val="22"/>
        </w:rPr>
        <w:t>infundadas</w:t>
      </w:r>
      <w:r w:rsidRPr="004E336B">
        <w:rPr>
          <w:rFonts w:eastAsia="Palatino Linotype" w:cs="Palatino Linotype"/>
          <w:szCs w:val="22"/>
        </w:rPr>
        <w:t xml:space="preserve">; motivo por el cual, este Órgano Garante determina </w:t>
      </w:r>
      <w:r w:rsidRPr="004E336B">
        <w:rPr>
          <w:rFonts w:eastAsia="Palatino Linotype" w:cs="Palatino Linotype"/>
          <w:b/>
          <w:szCs w:val="22"/>
        </w:rPr>
        <w:t>CONFIRMAR</w:t>
      </w:r>
      <w:r w:rsidRPr="004E336B">
        <w:rPr>
          <w:rFonts w:eastAsia="Palatino Linotype" w:cs="Palatino Linotype"/>
          <w:szCs w:val="22"/>
        </w:rPr>
        <w:t xml:space="preserve"> el presente Recurso de Revisión, en términos del artículo 137, fracción II, de la Ley de Protección de Datos Personales en Posesión de Sujetos Obligados del Estado de México y Municipios.</w:t>
      </w:r>
    </w:p>
    <w:p w14:paraId="10F447E7" w14:textId="77777777" w:rsidR="0014348D" w:rsidRPr="004E336B" w:rsidRDefault="0014348D" w:rsidP="004E336B">
      <w:pPr>
        <w:ind w:right="-93"/>
      </w:pPr>
    </w:p>
    <w:p w14:paraId="067726F6" w14:textId="5D8DDD61" w:rsidR="0014348D" w:rsidRDefault="0014348D" w:rsidP="004E336B">
      <w:pPr>
        <w:ind w:right="-93"/>
      </w:pPr>
      <w:r w:rsidRPr="004E336B">
        <w:t xml:space="preserve">Así, con fundamento en lo establecido en los artículos 5, </w:t>
      </w:r>
      <w:r w:rsidR="00A170BB" w:rsidRPr="004E336B">
        <w:rPr>
          <w:rFonts w:cs="Tahoma"/>
          <w:bCs/>
          <w:szCs w:val="22"/>
        </w:rPr>
        <w:t xml:space="preserve">párrafos </w:t>
      </w:r>
      <w:r w:rsidR="00A170BB" w:rsidRPr="004E336B">
        <w:t>trigésimo séptimo, trigésimo octavo, trigésimo noveno</w:t>
      </w:r>
      <w:r w:rsidRPr="004E336B">
        <w:t xml:space="preserve">, fracciones III, V y VIII, de la Constitución Política del Estado Libre y Soberano de México; y en los artículos 2, fracción IV, 9, 29, 36, fracciones I y II, 176, 178, 179, </w:t>
      </w:r>
      <w:r w:rsidRPr="004E336B">
        <w:lastRenderedPageBreak/>
        <w:t>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238DB711" w14:textId="77777777" w:rsidR="004E336B" w:rsidRPr="004E336B" w:rsidRDefault="004E336B" w:rsidP="004E336B">
      <w:pPr>
        <w:ind w:right="-93"/>
      </w:pPr>
    </w:p>
    <w:p w14:paraId="241E6E21" w14:textId="77777777" w:rsidR="0014348D" w:rsidRPr="004E336B" w:rsidRDefault="0014348D" w:rsidP="004E336B">
      <w:pPr>
        <w:pStyle w:val="Ttulo1"/>
      </w:pPr>
      <w:bookmarkStart w:id="34" w:name="_heading=h.49x2ik5" w:colFirst="0" w:colLast="0"/>
      <w:bookmarkStart w:id="35" w:name="_Toc196859279"/>
      <w:bookmarkStart w:id="36" w:name="_Toc197537199"/>
      <w:bookmarkEnd w:id="34"/>
      <w:r w:rsidRPr="004E336B">
        <w:t>RESUELVE</w:t>
      </w:r>
      <w:bookmarkEnd w:id="35"/>
      <w:bookmarkEnd w:id="36"/>
    </w:p>
    <w:p w14:paraId="3E73BBC2" w14:textId="77777777" w:rsidR="0014348D" w:rsidRPr="004E336B" w:rsidRDefault="0014348D" w:rsidP="004E336B">
      <w:pPr>
        <w:ind w:right="113"/>
        <w:rPr>
          <w:b/>
        </w:rPr>
      </w:pPr>
    </w:p>
    <w:p w14:paraId="78F6DE29" w14:textId="5CF382A4" w:rsidR="0014348D" w:rsidRPr="004E336B" w:rsidRDefault="0014348D" w:rsidP="004E336B">
      <w:pPr>
        <w:widowControl w:val="0"/>
      </w:pPr>
      <w:r w:rsidRPr="004E336B">
        <w:rPr>
          <w:b/>
        </w:rPr>
        <w:t>PRIMERO.</w:t>
      </w:r>
      <w:r w:rsidRPr="004E336B">
        <w:t xml:space="preserve"> Se </w:t>
      </w:r>
      <w:r w:rsidRPr="004E336B">
        <w:rPr>
          <w:b/>
        </w:rPr>
        <w:t>CONFIRMA</w:t>
      </w:r>
      <w:r w:rsidRPr="004E336B">
        <w:t xml:space="preserve"> la respuesta entregada por el </w:t>
      </w:r>
      <w:r w:rsidRPr="004E336B">
        <w:rPr>
          <w:b/>
        </w:rPr>
        <w:t>SUJETO OBLIGADO</w:t>
      </w:r>
      <w:r w:rsidRPr="004E336B">
        <w:t xml:space="preserve"> en la solicitud de acceso a datos personales </w:t>
      </w:r>
      <w:r w:rsidRPr="004E336B">
        <w:rPr>
          <w:b/>
        </w:rPr>
        <w:t>00242/TLALNEPA/IP/2025</w:t>
      </w:r>
      <w:r w:rsidRPr="004E336B">
        <w:t xml:space="preserve">, por resultar </w:t>
      </w:r>
      <w:r w:rsidRPr="004E336B">
        <w:rPr>
          <w:b/>
        </w:rPr>
        <w:t>INFUNDADAS</w:t>
      </w:r>
      <w:r w:rsidRPr="004E336B">
        <w:t xml:space="preserve"> las razones o motivos de inconformidad hechos valer por </w:t>
      </w:r>
      <w:r w:rsidRPr="004E336B">
        <w:rPr>
          <w:b/>
        </w:rPr>
        <w:t>LA PARTE RECURRENTE</w:t>
      </w:r>
      <w:r w:rsidRPr="004E336B">
        <w:t xml:space="preserve"> en el Recurso de Revisión </w:t>
      </w:r>
      <w:r w:rsidRPr="004E336B">
        <w:rPr>
          <w:b/>
        </w:rPr>
        <w:t>0</w:t>
      </w:r>
      <w:r w:rsidR="0047296F" w:rsidRPr="004E336B">
        <w:rPr>
          <w:b/>
        </w:rPr>
        <w:t>3437</w:t>
      </w:r>
      <w:r w:rsidRPr="004E336B">
        <w:rPr>
          <w:b/>
        </w:rPr>
        <w:t xml:space="preserve">/INFOEM/IP/RR/2025 </w:t>
      </w:r>
      <w:r w:rsidRPr="004E336B">
        <w:t xml:space="preserve">en términos del considerando </w:t>
      </w:r>
      <w:r w:rsidRPr="004E336B">
        <w:rPr>
          <w:b/>
        </w:rPr>
        <w:t>SEGUNDO</w:t>
      </w:r>
      <w:r w:rsidRPr="004E336B">
        <w:t xml:space="preserve"> de la presente Resolución.</w:t>
      </w:r>
    </w:p>
    <w:p w14:paraId="31B5BF2F" w14:textId="77777777" w:rsidR="0014348D" w:rsidRPr="004E336B" w:rsidRDefault="0014348D" w:rsidP="004E336B">
      <w:pPr>
        <w:widowControl w:val="0"/>
        <w:tabs>
          <w:tab w:val="left" w:pos="1701"/>
        </w:tabs>
      </w:pPr>
    </w:p>
    <w:p w14:paraId="24744452" w14:textId="77777777" w:rsidR="0014348D" w:rsidRPr="004E336B" w:rsidRDefault="0014348D" w:rsidP="004E336B">
      <w:pPr>
        <w:ind w:right="-93"/>
        <w:rPr>
          <w:szCs w:val="22"/>
        </w:rPr>
      </w:pPr>
      <w:r w:rsidRPr="004E336B">
        <w:rPr>
          <w:b/>
          <w:szCs w:val="22"/>
        </w:rPr>
        <w:t>SEGUNDO.</w:t>
      </w:r>
      <w:r w:rsidRPr="004E336B">
        <w:rPr>
          <w:szCs w:val="22"/>
        </w:rPr>
        <w:t xml:space="preserve"> Notifíquese la presente resolución mediante Sistema de Acceso a la Información Mexiquense al Titular de la Unidad de Transparencia del </w:t>
      </w:r>
      <w:r w:rsidRPr="004E336B">
        <w:rPr>
          <w:b/>
          <w:szCs w:val="22"/>
        </w:rPr>
        <w:t>SUJETO OBLIGADO</w:t>
      </w:r>
      <w:r w:rsidRPr="004E336B">
        <w:rPr>
          <w:szCs w:val="22"/>
        </w:rPr>
        <w:t>, para su conocimiento.</w:t>
      </w:r>
    </w:p>
    <w:p w14:paraId="1B6DB3E4" w14:textId="77777777" w:rsidR="0014348D" w:rsidRPr="004E336B" w:rsidRDefault="0014348D" w:rsidP="004E336B">
      <w:pPr>
        <w:ind w:right="-93"/>
        <w:rPr>
          <w:szCs w:val="22"/>
        </w:rPr>
      </w:pPr>
    </w:p>
    <w:p w14:paraId="5A9AEAD9" w14:textId="77777777" w:rsidR="0014348D" w:rsidRPr="004E336B" w:rsidRDefault="0014348D" w:rsidP="004E336B">
      <w:pPr>
        <w:rPr>
          <w:szCs w:val="22"/>
        </w:rPr>
      </w:pPr>
      <w:r w:rsidRPr="004E336B">
        <w:rPr>
          <w:b/>
          <w:szCs w:val="22"/>
        </w:rPr>
        <w:t>TERCERO.</w:t>
      </w:r>
      <w:r w:rsidRPr="004E336B">
        <w:rPr>
          <w:szCs w:val="22"/>
        </w:rPr>
        <w:t xml:space="preserve"> Notifíquese a </w:t>
      </w:r>
      <w:r w:rsidRPr="004E336B">
        <w:rPr>
          <w:b/>
          <w:szCs w:val="22"/>
        </w:rPr>
        <w:t>LA PARTE RECURRENTE</w:t>
      </w:r>
      <w:r w:rsidRPr="004E336B">
        <w:rPr>
          <w:szCs w:val="22"/>
        </w:rPr>
        <w:t xml:space="preserve"> la presente resolución vía Sistema de Acceso a la Información Mexiquense (SAIMEX).</w:t>
      </w:r>
    </w:p>
    <w:p w14:paraId="04306971" w14:textId="77777777" w:rsidR="0014348D" w:rsidRPr="004E336B" w:rsidRDefault="0014348D" w:rsidP="004E336B">
      <w:pPr>
        <w:rPr>
          <w:szCs w:val="22"/>
        </w:rPr>
      </w:pPr>
    </w:p>
    <w:p w14:paraId="5049C906" w14:textId="77777777" w:rsidR="0014348D" w:rsidRPr="004E336B" w:rsidRDefault="0014348D" w:rsidP="004E336B">
      <w:pPr>
        <w:rPr>
          <w:szCs w:val="22"/>
        </w:rPr>
      </w:pPr>
      <w:r w:rsidRPr="004E336B">
        <w:rPr>
          <w:b/>
          <w:szCs w:val="22"/>
        </w:rPr>
        <w:t>CUARTO</w:t>
      </w:r>
      <w:r w:rsidRPr="004E336B">
        <w:rPr>
          <w:szCs w:val="22"/>
        </w:rPr>
        <w:t xml:space="preserve">. Hágase del conocimiento a </w:t>
      </w:r>
      <w:r w:rsidRPr="004E336B">
        <w:rPr>
          <w:b/>
          <w:szCs w:val="22"/>
        </w:rPr>
        <w:t>LA PARTE RECURRENTE</w:t>
      </w:r>
      <w:r w:rsidRPr="004E336B">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3A265" w14:textId="77777777" w:rsidR="002B11D9" w:rsidRPr="004E336B" w:rsidRDefault="002B11D9" w:rsidP="004E336B">
      <w:pPr>
        <w:ind w:right="-93"/>
        <w:rPr>
          <w:szCs w:val="22"/>
        </w:rPr>
      </w:pPr>
    </w:p>
    <w:p w14:paraId="03B8F610" w14:textId="007A2BCC" w:rsidR="00BB6009" w:rsidRPr="004E336B" w:rsidRDefault="00BB6009" w:rsidP="004E336B">
      <w:r w:rsidRPr="004E336B">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8F419A" w:rsidRPr="004E336B">
        <w:t>SÉPTIMA</w:t>
      </w:r>
      <w:r w:rsidRPr="004E336B">
        <w:t xml:space="preserve"> SESIÓN ORDINARIA, CELEBRADA EL </w:t>
      </w:r>
      <w:r w:rsidR="008F419A" w:rsidRPr="004E336B">
        <w:t>CATORCE</w:t>
      </w:r>
      <w:r w:rsidRPr="004E336B">
        <w:t xml:space="preserve"> DE MAYO DE DOS MIL VEINTICINCO ANTE EL SECRETARIO TÉCNICO DEL PLENO, ALEXIS TAPIA RAMÍREZ.</w:t>
      </w:r>
    </w:p>
    <w:p w14:paraId="62A0A0F7" w14:textId="45679296" w:rsidR="003E1A98" w:rsidRPr="004E336B" w:rsidRDefault="003E1A98" w:rsidP="004E336B">
      <w:pPr>
        <w:ind w:right="-93"/>
        <w:rPr>
          <w:rFonts w:eastAsia="Palatino Linotype" w:cs="Palatino Linotype"/>
          <w:sz w:val="20"/>
        </w:rPr>
      </w:pPr>
      <w:r w:rsidRPr="004E336B">
        <w:rPr>
          <w:rFonts w:eastAsia="Palatino Linotype" w:cs="Palatino Linotype"/>
          <w:sz w:val="20"/>
        </w:rPr>
        <w:t>SCMM/AGZ/DEMF/DLM</w:t>
      </w:r>
    </w:p>
    <w:p w14:paraId="5332E5A4" w14:textId="77777777" w:rsidR="003E1A98" w:rsidRPr="004E336B" w:rsidRDefault="003E1A98" w:rsidP="004E336B"/>
    <w:p w14:paraId="07A5EE70" w14:textId="77777777" w:rsidR="00BB6009" w:rsidRPr="004E336B" w:rsidRDefault="00BB6009" w:rsidP="004E336B">
      <w:pPr>
        <w:ind w:right="-93"/>
        <w:rPr>
          <w:szCs w:val="22"/>
        </w:rPr>
      </w:pPr>
    </w:p>
    <w:p w14:paraId="7D79E151" w14:textId="77777777" w:rsidR="002B11D9" w:rsidRPr="004E336B" w:rsidRDefault="002B11D9" w:rsidP="004E336B">
      <w:pPr>
        <w:ind w:right="-93"/>
        <w:rPr>
          <w:szCs w:val="22"/>
        </w:rPr>
      </w:pPr>
    </w:p>
    <w:p w14:paraId="47C5DE74" w14:textId="77777777" w:rsidR="002B11D9" w:rsidRPr="004E336B" w:rsidRDefault="002B11D9" w:rsidP="004E336B">
      <w:pPr>
        <w:ind w:right="-93"/>
        <w:rPr>
          <w:szCs w:val="22"/>
        </w:rPr>
      </w:pPr>
    </w:p>
    <w:p w14:paraId="0CF3F610" w14:textId="77777777" w:rsidR="002B11D9" w:rsidRPr="004E336B" w:rsidRDefault="002B11D9" w:rsidP="004E336B">
      <w:pPr>
        <w:ind w:right="-93"/>
        <w:rPr>
          <w:szCs w:val="22"/>
        </w:rPr>
      </w:pPr>
    </w:p>
    <w:p w14:paraId="06338933" w14:textId="77777777" w:rsidR="002B11D9" w:rsidRPr="004E336B" w:rsidRDefault="002B11D9" w:rsidP="004E336B">
      <w:pPr>
        <w:ind w:right="-93"/>
        <w:rPr>
          <w:szCs w:val="22"/>
        </w:rPr>
      </w:pPr>
    </w:p>
    <w:p w14:paraId="022324A6" w14:textId="77777777" w:rsidR="002B11D9" w:rsidRPr="004E336B" w:rsidRDefault="002B11D9" w:rsidP="004E336B">
      <w:pPr>
        <w:ind w:right="-93"/>
        <w:rPr>
          <w:szCs w:val="22"/>
        </w:rPr>
      </w:pPr>
    </w:p>
    <w:p w14:paraId="1941B3D9" w14:textId="77777777" w:rsidR="002B11D9" w:rsidRPr="004E336B" w:rsidRDefault="002B11D9" w:rsidP="004E336B">
      <w:pPr>
        <w:ind w:right="-93"/>
        <w:rPr>
          <w:szCs w:val="22"/>
        </w:rPr>
      </w:pPr>
    </w:p>
    <w:p w14:paraId="089D4083" w14:textId="77777777" w:rsidR="002B11D9" w:rsidRPr="004E336B" w:rsidRDefault="002B11D9" w:rsidP="004E336B">
      <w:pPr>
        <w:ind w:right="-93"/>
        <w:rPr>
          <w:szCs w:val="22"/>
        </w:rPr>
      </w:pPr>
    </w:p>
    <w:p w14:paraId="13C0A04F" w14:textId="77777777" w:rsidR="002B11D9" w:rsidRPr="004E336B" w:rsidRDefault="002B11D9" w:rsidP="004E336B">
      <w:pPr>
        <w:tabs>
          <w:tab w:val="center" w:pos="4568"/>
        </w:tabs>
        <w:ind w:right="-93"/>
        <w:rPr>
          <w:szCs w:val="22"/>
        </w:rPr>
      </w:pPr>
    </w:p>
    <w:p w14:paraId="5FD2AB72" w14:textId="77777777" w:rsidR="002B11D9" w:rsidRPr="004E336B" w:rsidRDefault="002B11D9" w:rsidP="004E336B">
      <w:pPr>
        <w:tabs>
          <w:tab w:val="center" w:pos="4568"/>
        </w:tabs>
        <w:ind w:right="-93"/>
        <w:rPr>
          <w:szCs w:val="22"/>
        </w:rPr>
      </w:pPr>
    </w:p>
    <w:p w14:paraId="30082FD2" w14:textId="77777777" w:rsidR="002B11D9" w:rsidRPr="004E336B" w:rsidRDefault="002B11D9" w:rsidP="004E336B">
      <w:pPr>
        <w:tabs>
          <w:tab w:val="center" w:pos="4568"/>
        </w:tabs>
        <w:ind w:right="-93"/>
        <w:rPr>
          <w:szCs w:val="22"/>
        </w:rPr>
      </w:pPr>
    </w:p>
    <w:p w14:paraId="451F6B59" w14:textId="77777777" w:rsidR="002B11D9" w:rsidRPr="004E336B" w:rsidRDefault="002B11D9" w:rsidP="004E336B">
      <w:pPr>
        <w:tabs>
          <w:tab w:val="center" w:pos="4568"/>
        </w:tabs>
        <w:ind w:right="-93"/>
        <w:rPr>
          <w:szCs w:val="22"/>
        </w:rPr>
      </w:pPr>
    </w:p>
    <w:p w14:paraId="616609ED" w14:textId="77777777" w:rsidR="002B11D9" w:rsidRPr="004E336B" w:rsidRDefault="002B11D9" w:rsidP="004E336B">
      <w:pPr>
        <w:tabs>
          <w:tab w:val="center" w:pos="4568"/>
        </w:tabs>
        <w:ind w:right="-93"/>
        <w:rPr>
          <w:szCs w:val="22"/>
        </w:rPr>
      </w:pPr>
    </w:p>
    <w:p w14:paraId="2297A5B6" w14:textId="77777777" w:rsidR="002B11D9" w:rsidRPr="004E336B" w:rsidRDefault="002B11D9" w:rsidP="004E336B">
      <w:pPr>
        <w:tabs>
          <w:tab w:val="center" w:pos="4568"/>
        </w:tabs>
        <w:ind w:right="-93"/>
        <w:rPr>
          <w:szCs w:val="22"/>
        </w:rPr>
      </w:pPr>
    </w:p>
    <w:p w14:paraId="2EBCFE13" w14:textId="77777777" w:rsidR="002B11D9" w:rsidRPr="004E336B" w:rsidRDefault="002B11D9" w:rsidP="004E336B">
      <w:pPr>
        <w:tabs>
          <w:tab w:val="center" w:pos="4568"/>
        </w:tabs>
        <w:ind w:right="-93"/>
        <w:rPr>
          <w:szCs w:val="22"/>
        </w:rPr>
      </w:pPr>
    </w:p>
    <w:p w14:paraId="236BF945" w14:textId="77777777" w:rsidR="002B11D9" w:rsidRPr="004E336B" w:rsidRDefault="002B11D9" w:rsidP="004E336B">
      <w:pPr>
        <w:tabs>
          <w:tab w:val="center" w:pos="4568"/>
        </w:tabs>
        <w:ind w:right="-93"/>
        <w:rPr>
          <w:szCs w:val="22"/>
        </w:rPr>
      </w:pPr>
    </w:p>
    <w:p w14:paraId="004681CB" w14:textId="77777777" w:rsidR="002B11D9" w:rsidRPr="004E336B" w:rsidRDefault="002B11D9" w:rsidP="004E336B">
      <w:pPr>
        <w:tabs>
          <w:tab w:val="center" w:pos="4568"/>
        </w:tabs>
        <w:ind w:right="-93"/>
        <w:rPr>
          <w:szCs w:val="22"/>
        </w:rPr>
      </w:pPr>
    </w:p>
    <w:p w14:paraId="2BEE054A" w14:textId="77777777" w:rsidR="002B11D9" w:rsidRPr="004E336B" w:rsidRDefault="002B11D9" w:rsidP="004E336B">
      <w:pPr>
        <w:tabs>
          <w:tab w:val="center" w:pos="4568"/>
        </w:tabs>
        <w:ind w:right="-93"/>
        <w:rPr>
          <w:szCs w:val="22"/>
        </w:rPr>
      </w:pPr>
    </w:p>
    <w:p w14:paraId="654DB8BB" w14:textId="77777777" w:rsidR="002B11D9" w:rsidRPr="004E336B" w:rsidRDefault="002B11D9" w:rsidP="004E336B">
      <w:pPr>
        <w:tabs>
          <w:tab w:val="center" w:pos="4568"/>
        </w:tabs>
        <w:ind w:right="-93"/>
        <w:rPr>
          <w:szCs w:val="22"/>
        </w:rPr>
      </w:pPr>
    </w:p>
    <w:p w14:paraId="71B4C5C8" w14:textId="77777777" w:rsidR="002B11D9" w:rsidRPr="004E336B" w:rsidRDefault="002B11D9" w:rsidP="004E336B">
      <w:pPr>
        <w:tabs>
          <w:tab w:val="center" w:pos="4568"/>
        </w:tabs>
        <w:ind w:right="-93"/>
        <w:rPr>
          <w:szCs w:val="22"/>
        </w:rPr>
      </w:pPr>
    </w:p>
    <w:p w14:paraId="3F14806B" w14:textId="77777777" w:rsidR="002B11D9" w:rsidRPr="004E336B" w:rsidRDefault="002B11D9" w:rsidP="004E336B">
      <w:pPr>
        <w:tabs>
          <w:tab w:val="center" w:pos="4568"/>
        </w:tabs>
        <w:ind w:right="-93"/>
        <w:rPr>
          <w:szCs w:val="22"/>
        </w:rPr>
      </w:pPr>
    </w:p>
    <w:p w14:paraId="108F5EF8" w14:textId="77777777" w:rsidR="002B11D9" w:rsidRPr="004E336B" w:rsidRDefault="002B11D9" w:rsidP="004E336B">
      <w:pPr>
        <w:tabs>
          <w:tab w:val="center" w:pos="4568"/>
        </w:tabs>
        <w:ind w:right="-93"/>
        <w:rPr>
          <w:szCs w:val="22"/>
        </w:rPr>
      </w:pPr>
    </w:p>
    <w:p w14:paraId="673AF841" w14:textId="77777777" w:rsidR="002B11D9" w:rsidRPr="004E336B" w:rsidRDefault="002B11D9" w:rsidP="004E336B">
      <w:pPr>
        <w:tabs>
          <w:tab w:val="center" w:pos="4568"/>
        </w:tabs>
        <w:ind w:right="-93"/>
        <w:rPr>
          <w:szCs w:val="22"/>
        </w:rPr>
      </w:pPr>
    </w:p>
    <w:p w14:paraId="5C52BD3D" w14:textId="77777777" w:rsidR="002B11D9" w:rsidRPr="004E336B" w:rsidRDefault="002B11D9" w:rsidP="004E336B">
      <w:pPr>
        <w:tabs>
          <w:tab w:val="center" w:pos="4568"/>
        </w:tabs>
        <w:ind w:right="-93"/>
        <w:rPr>
          <w:szCs w:val="22"/>
        </w:rPr>
      </w:pPr>
    </w:p>
    <w:p w14:paraId="6D32AF04" w14:textId="77777777" w:rsidR="002B11D9" w:rsidRPr="004E336B" w:rsidRDefault="002B11D9" w:rsidP="004E336B">
      <w:pPr>
        <w:rPr>
          <w:szCs w:val="22"/>
        </w:rPr>
      </w:pPr>
    </w:p>
    <w:sectPr w:rsidR="002B11D9" w:rsidRPr="004E336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15A88" w14:textId="77777777" w:rsidR="00B9720F" w:rsidRDefault="00B9720F">
      <w:pPr>
        <w:spacing w:line="240" w:lineRule="auto"/>
      </w:pPr>
      <w:r>
        <w:separator/>
      </w:r>
    </w:p>
  </w:endnote>
  <w:endnote w:type="continuationSeparator" w:id="0">
    <w:p w14:paraId="257D07B3" w14:textId="77777777" w:rsidR="00B9720F" w:rsidRDefault="00B97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FC25" w14:textId="77777777" w:rsidR="00902A34" w:rsidRDefault="00902A34">
    <w:pPr>
      <w:tabs>
        <w:tab w:val="center" w:pos="4550"/>
        <w:tab w:val="left" w:pos="5818"/>
      </w:tabs>
      <w:ind w:right="260"/>
      <w:jc w:val="right"/>
      <w:rPr>
        <w:color w:val="071320"/>
        <w:sz w:val="24"/>
        <w:szCs w:val="24"/>
      </w:rPr>
    </w:pPr>
  </w:p>
  <w:p w14:paraId="6956D721" w14:textId="77777777" w:rsidR="00902A34" w:rsidRDefault="00902A34">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1145" w14:textId="77777777" w:rsidR="00902A34" w:rsidRDefault="00902A3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D2DC9">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D2DC9">
      <w:rPr>
        <w:noProof/>
        <w:color w:val="0A1D30"/>
        <w:sz w:val="24"/>
        <w:szCs w:val="24"/>
      </w:rPr>
      <w:t>22</w:t>
    </w:r>
    <w:r>
      <w:rPr>
        <w:color w:val="0A1D30"/>
        <w:sz w:val="24"/>
        <w:szCs w:val="24"/>
      </w:rPr>
      <w:fldChar w:fldCharType="end"/>
    </w:r>
  </w:p>
  <w:p w14:paraId="6E3F5C8E" w14:textId="77777777" w:rsidR="00902A34" w:rsidRDefault="00902A34">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83C2" w14:textId="77777777" w:rsidR="00B9720F" w:rsidRDefault="00B9720F">
      <w:pPr>
        <w:spacing w:line="240" w:lineRule="auto"/>
      </w:pPr>
      <w:r>
        <w:separator/>
      </w:r>
    </w:p>
  </w:footnote>
  <w:footnote w:type="continuationSeparator" w:id="0">
    <w:p w14:paraId="609B5133" w14:textId="77777777" w:rsidR="00B9720F" w:rsidRDefault="00B9720F">
      <w:pPr>
        <w:spacing w:line="240" w:lineRule="auto"/>
      </w:pPr>
      <w:r>
        <w:continuationSeparator/>
      </w:r>
    </w:p>
  </w:footnote>
  <w:footnote w:id="1">
    <w:p w14:paraId="6FDCA9AC" w14:textId="5A40A263" w:rsidR="001003F5" w:rsidRPr="001003F5" w:rsidRDefault="001003F5" w:rsidP="001003F5">
      <w:pPr>
        <w:pStyle w:val="Textonotapie"/>
        <w:jc w:val="both"/>
        <w:rPr>
          <w:rFonts w:ascii="Palatino Linotype" w:eastAsia="Batang" w:hAnsi="Palatino Linotype" w:cs="Tahoma"/>
          <w:i/>
          <w:sz w:val="16"/>
          <w:szCs w:val="22"/>
          <w:lang w:val="es-ES"/>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 xml:space="preserve">dos </w:t>
      </w:r>
      <w:r w:rsidRPr="002C158B">
        <w:rPr>
          <w:rFonts w:ascii="Palatino Linotype" w:eastAsia="Batang" w:hAnsi="Palatino Linotype" w:cs="Tahoma"/>
          <w:i/>
          <w:sz w:val="16"/>
          <w:szCs w:val="22"/>
          <w:lang w:val="es-ES"/>
        </w:rPr>
        <w:t xml:space="preserve">del mismo mes y año, a través de dicho portal, también lo es, que fue inhábil, de conformidad con </w:t>
      </w:r>
      <w:r>
        <w:rPr>
          <w:rFonts w:ascii="Palatino Linotype" w:eastAsia="Batang" w:hAnsi="Palatino Linotype" w:cs="Tahoma"/>
          <w:i/>
          <w:sz w:val="16"/>
          <w:szCs w:val="22"/>
          <w:lang w:val="es-ES"/>
        </w:rPr>
        <w:t xml:space="preserve">el </w:t>
      </w:r>
      <w:r w:rsidRPr="00B65681">
        <w:rPr>
          <w:rFonts w:ascii="Palatino Linotype" w:eastAsia="Batang" w:hAnsi="Palatino Linotype" w:cs="Tahoma"/>
          <w:i/>
          <w:sz w:val="16"/>
          <w:szCs w:val="22"/>
          <w:lang w:val="es-ES"/>
        </w:rPr>
        <w:t>Calendario Oficial en Materia de Transparencia, Acceso a la Información Pública y Protección de Datos Personales del Estado de México y Municipios, as</w:t>
      </w:r>
      <w:r>
        <w:rPr>
          <w:rFonts w:ascii="Palatino Linotype" w:eastAsia="Batang" w:hAnsi="Palatino Linotype" w:cs="Tahoma"/>
          <w:i/>
          <w:sz w:val="16"/>
          <w:szCs w:val="22"/>
          <w:lang w:val="es-ES"/>
        </w:rPr>
        <w:t>í como de labores del Instituto</w:t>
      </w:r>
      <w:r w:rsidRPr="002C158B">
        <w:rPr>
          <w:rFonts w:ascii="Palatino Linotype" w:eastAsia="Batang" w:hAnsi="Palatino Linotype" w:cs="Tahoma"/>
          <w:i/>
          <w:sz w:val="16"/>
          <w:szCs w:val="22"/>
          <w:lang w:val="es-ES"/>
        </w:rPr>
        <w:t>, por lo que, se tu</w:t>
      </w:r>
      <w:r>
        <w:rPr>
          <w:rFonts w:ascii="Palatino Linotype" w:eastAsia="Batang" w:hAnsi="Palatino Linotype" w:cs="Tahoma"/>
          <w:i/>
          <w:sz w:val="16"/>
          <w:szCs w:val="22"/>
          <w:lang w:val="es-ES"/>
        </w:rPr>
        <w:t xml:space="preserve">vo </w:t>
      </w:r>
      <w:r w:rsidRPr="002C158B">
        <w:rPr>
          <w:rFonts w:ascii="Palatino Linotype" w:eastAsia="Batang" w:hAnsi="Palatino Linotype" w:cs="Tahoma"/>
          <w:i/>
          <w:sz w:val="16"/>
          <w:szCs w:val="22"/>
          <w:lang w:val="es-ES"/>
        </w:rPr>
        <w:t>por recibido, el día hábil subsecuente</w:t>
      </w:r>
      <w:r>
        <w:rPr>
          <w:rFonts w:ascii="Palatino Linotype" w:eastAsia="Batang" w:hAnsi="Palatino Linotype" w:cs="Tahoma"/>
          <w:i/>
          <w:sz w:val="16"/>
          <w:szCs w:val="22"/>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EF45" w14:textId="77777777" w:rsidR="00902A34" w:rsidRDefault="00902A34">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02A34" w14:paraId="0D9B3EDA" w14:textId="77777777">
      <w:trPr>
        <w:trHeight w:val="144"/>
        <w:jc w:val="right"/>
      </w:trPr>
      <w:tc>
        <w:tcPr>
          <w:tcW w:w="2727" w:type="dxa"/>
        </w:tcPr>
        <w:p w14:paraId="27E11930" w14:textId="77777777" w:rsidR="00902A34" w:rsidRDefault="00902A34">
          <w:pPr>
            <w:tabs>
              <w:tab w:val="right" w:pos="8838"/>
            </w:tabs>
            <w:ind w:left="-74" w:right="-105"/>
            <w:rPr>
              <w:b/>
            </w:rPr>
          </w:pPr>
          <w:r>
            <w:rPr>
              <w:b/>
            </w:rPr>
            <w:t>Recurso de Revisión:</w:t>
          </w:r>
        </w:p>
      </w:tc>
      <w:tc>
        <w:tcPr>
          <w:tcW w:w="3402" w:type="dxa"/>
        </w:tcPr>
        <w:p w14:paraId="0190084E" w14:textId="531B1DA8" w:rsidR="00902A34" w:rsidRPr="00E43858" w:rsidRDefault="00902A34" w:rsidP="002C2212">
          <w:pPr>
            <w:tabs>
              <w:tab w:val="right" w:pos="8838"/>
            </w:tabs>
            <w:ind w:left="-74" w:right="-105"/>
          </w:pPr>
          <w:r>
            <w:t>03437</w:t>
          </w:r>
          <w:r w:rsidRPr="00E43858">
            <w:t>/INFOEM/IP/RR/202</w:t>
          </w:r>
          <w:r>
            <w:t>5</w:t>
          </w:r>
          <w:r w:rsidRPr="00E43858">
            <w:t xml:space="preserve"> </w:t>
          </w:r>
        </w:p>
      </w:tc>
    </w:tr>
    <w:tr w:rsidR="00902A34" w14:paraId="71073FBB" w14:textId="77777777">
      <w:trPr>
        <w:trHeight w:val="283"/>
        <w:jc w:val="right"/>
      </w:trPr>
      <w:tc>
        <w:tcPr>
          <w:tcW w:w="2727" w:type="dxa"/>
        </w:tcPr>
        <w:p w14:paraId="17C6F29D" w14:textId="77777777" w:rsidR="00902A34" w:rsidRDefault="00902A34">
          <w:pPr>
            <w:tabs>
              <w:tab w:val="right" w:pos="8838"/>
            </w:tabs>
            <w:ind w:left="-74" w:right="-105"/>
            <w:rPr>
              <w:b/>
            </w:rPr>
          </w:pPr>
          <w:r>
            <w:rPr>
              <w:b/>
            </w:rPr>
            <w:t>Sujeto Obligado:</w:t>
          </w:r>
        </w:p>
      </w:tc>
      <w:tc>
        <w:tcPr>
          <w:tcW w:w="3402" w:type="dxa"/>
        </w:tcPr>
        <w:p w14:paraId="46561F9A" w14:textId="4310C756" w:rsidR="00902A34" w:rsidRPr="00737DE3" w:rsidRDefault="00902A34">
          <w:pPr>
            <w:tabs>
              <w:tab w:val="left" w:pos="2834"/>
              <w:tab w:val="right" w:pos="8838"/>
            </w:tabs>
            <w:ind w:left="-108" w:right="-105"/>
            <w:rPr>
              <w:highlight w:val="yellow"/>
            </w:rPr>
          </w:pPr>
          <w:r w:rsidRPr="00735B22">
            <w:t>Ayuntamiento de Tlalnepantla de Baz</w:t>
          </w:r>
        </w:p>
      </w:tc>
    </w:tr>
    <w:tr w:rsidR="00902A34" w14:paraId="5434ECEC" w14:textId="77777777">
      <w:trPr>
        <w:trHeight w:val="283"/>
        <w:jc w:val="right"/>
      </w:trPr>
      <w:tc>
        <w:tcPr>
          <w:tcW w:w="2727" w:type="dxa"/>
        </w:tcPr>
        <w:p w14:paraId="3E24D6EE" w14:textId="77777777" w:rsidR="00902A34" w:rsidRDefault="00902A34">
          <w:pPr>
            <w:tabs>
              <w:tab w:val="right" w:pos="8838"/>
            </w:tabs>
            <w:ind w:left="-74" w:right="-105"/>
            <w:rPr>
              <w:b/>
            </w:rPr>
          </w:pPr>
          <w:r>
            <w:rPr>
              <w:b/>
            </w:rPr>
            <w:t>Comisionada Ponente:</w:t>
          </w:r>
        </w:p>
      </w:tc>
      <w:tc>
        <w:tcPr>
          <w:tcW w:w="3402" w:type="dxa"/>
        </w:tcPr>
        <w:p w14:paraId="265634D1" w14:textId="77777777" w:rsidR="00902A34" w:rsidRDefault="00902A34">
          <w:pPr>
            <w:tabs>
              <w:tab w:val="right" w:pos="8838"/>
            </w:tabs>
            <w:ind w:left="-108" w:right="-105"/>
          </w:pPr>
          <w:r>
            <w:t>Sharon Cristina Morales Martínez</w:t>
          </w:r>
        </w:p>
      </w:tc>
    </w:tr>
  </w:tbl>
  <w:p w14:paraId="0D720004" w14:textId="77777777" w:rsidR="00902A34" w:rsidRDefault="00902A34">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9A1AD7C" wp14:editId="1A892C77">
          <wp:simplePos x="0" y="0"/>
          <wp:positionH relativeFrom="margin">
            <wp:posOffset>-995043</wp:posOffset>
          </wp:positionH>
          <wp:positionV relativeFrom="margin">
            <wp:posOffset>-1782444</wp:posOffset>
          </wp:positionV>
          <wp:extent cx="8426450" cy="109728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CA90" w14:textId="77777777" w:rsidR="00902A34" w:rsidRDefault="00902A34">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902A34" w14:paraId="07D4DC48" w14:textId="77777777">
      <w:trPr>
        <w:trHeight w:val="1435"/>
      </w:trPr>
      <w:tc>
        <w:tcPr>
          <w:tcW w:w="283" w:type="dxa"/>
          <w:shd w:val="clear" w:color="auto" w:fill="auto"/>
        </w:tcPr>
        <w:p w14:paraId="10AEDB3E" w14:textId="77777777" w:rsidR="00902A34" w:rsidRDefault="00902A34">
          <w:pPr>
            <w:tabs>
              <w:tab w:val="right" w:pos="4273"/>
            </w:tabs>
            <w:rPr>
              <w:rFonts w:ascii="Garamond" w:eastAsia="Garamond" w:hAnsi="Garamond" w:cs="Garamond"/>
            </w:rPr>
          </w:pPr>
        </w:p>
      </w:tc>
      <w:tc>
        <w:tcPr>
          <w:tcW w:w="6379" w:type="dxa"/>
          <w:shd w:val="clear" w:color="auto" w:fill="auto"/>
        </w:tcPr>
        <w:p w14:paraId="1F1DA6B4" w14:textId="77777777" w:rsidR="00902A34" w:rsidRDefault="00902A34">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02A34" w14:paraId="6CAFFB43" w14:textId="77777777">
            <w:trPr>
              <w:trHeight w:val="144"/>
            </w:trPr>
            <w:tc>
              <w:tcPr>
                <w:tcW w:w="2790" w:type="dxa"/>
              </w:tcPr>
              <w:p w14:paraId="4F90FE50" w14:textId="77777777" w:rsidR="00902A34" w:rsidRDefault="00902A34">
                <w:pPr>
                  <w:tabs>
                    <w:tab w:val="right" w:pos="8838"/>
                  </w:tabs>
                  <w:ind w:left="-74" w:right="-105"/>
                  <w:rPr>
                    <w:b/>
                  </w:rPr>
                </w:pPr>
                <w:bookmarkStart w:id="0" w:name="_heading=h.147n2zr" w:colFirst="0" w:colLast="0"/>
                <w:bookmarkEnd w:id="0"/>
                <w:r>
                  <w:rPr>
                    <w:b/>
                  </w:rPr>
                  <w:t>Recurso de Revisión:</w:t>
                </w:r>
              </w:p>
            </w:tc>
            <w:tc>
              <w:tcPr>
                <w:tcW w:w="3345" w:type="dxa"/>
              </w:tcPr>
              <w:p w14:paraId="08792260" w14:textId="235B6009" w:rsidR="00902A34" w:rsidRPr="00E43858" w:rsidRDefault="00902A34" w:rsidP="009610CD">
                <w:pPr>
                  <w:tabs>
                    <w:tab w:val="right" w:pos="8838"/>
                  </w:tabs>
                  <w:ind w:left="-74" w:right="-105"/>
                </w:pPr>
                <w:r>
                  <w:t>03437/INFOEM/IP/RR/2025</w:t>
                </w:r>
                <w:r w:rsidRPr="00E43858">
                  <w:t xml:space="preserve"> </w:t>
                </w:r>
              </w:p>
            </w:tc>
            <w:tc>
              <w:tcPr>
                <w:tcW w:w="3405" w:type="dxa"/>
              </w:tcPr>
              <w:p w14:paraId="2A287227" w14:textId="77777777" w:rsidR="00902A34" w:rsidRDefault="00902A34">
                <w:pPr>
                  <w:tabs>
                    <w:tab w:val="right" w:pos="8838"/>
                  </w:tabs>
                  <w:ind w:left="-74" w:right="-105"/>
                </w:pPr>
              </w:p>
            </w:tc>
          </w:tr>
          <w:tr w:rsidR="00902A34" w14:paraId="0656BFF9" w14:textId="77777777">
            <w:trPr>
              <w:trHeight w:val="144"/>
            </w:trPr>
            <w:tc>
              <w:tcPr>
                <w:tcW w:w="2790" w:type="dxa"/>
              </w:tcPr>
              <w:p w14:paraId="364722EA" w14:textId="77777777" w:rsidR="00902A34" w:rsidRDefault="00902A34">
                <w:pPr>
                  <w:tabs>
                    <w:tab w:val="right" w:pos="8838"/>
                  </w:tabs>
                  <w:ind w:left="-74" w:right="-105"/>
                  <w:rPr>
                    <w:b/>
                  </w:rPr>
                </w:pPr>
                <w:bookmarkStart w:id="1" w:name="_heading=h.3o7alnk" w:colFirst="0" w:colLast="0"/>
                <w:bookmarkEnd w:id="1"/>
                <w:r>
                  <w:rPr>
                    <w:b/>
                  </w:rPr>
                  <w:t>Recurrente:</w:t>
                </w:r>
              </w:p>
            </w:tc>
            <w:tc>
              <w:tcPr>
                <w:tcW w:w="3345" w:type="dxa"/>
              </w:tcPr>
              <w:p w14:paraId="6213424C" w14:textId="1A08D276" w:rsidR="00902A34" w:rsidRDefault="000D2DC9" w:rsidP="002C2212">
                <w:pPr>
                  <w:tabs>
                    <w:tab w:val="left" w:pos="3122"/>
                    <w:tab w:val="right" w:pos="8838"/>
                  </w:tabs>
                  <w:ind w:left="-105" w:right="-105"/>
                </w:pPr>
                <w:r>
                  <w:t>XXX</w:t>
                </w:r>
              </w:p>
            </w:tc>
            <w:tc>
              <w:tcPr>
                <w:tcW w:w="3405" w:type="dxa"/>
              </w:tcPr>
              <w:p w14:paraId="17E34EE7" w14:textId="77777777" w:rsidR="00902A34" w:rsidRDefault="00902A34">
                <w:pPr>
                  <w:tabs>
                    <w:tab w:val="left" w:pos="3122"/>
                    <w:tab w:val="right" w:pos="8838"/>
                  </w:tabs>
                  <w:ind w:left="-105" w:right="-105"/>
                </w:pPr>
              </w:p>
            </w:tc>
          </w:tr>
          <w:tr w:rsidR="00902A34" w14:paraId="3FA08C30" w14:textId="77777777">
            <w:trPr>
              <w:trHeight w:val="283"/>
            </w:trPr>
            <w:tc>
              <w:tcPr>
                <w:tcW w:w="2790" w:type="dxa"/>
              </w:tcPr>
              <w:p w14:paraId="490F74F2" w14:textId="77777777" w:rsidR="00902A34" w:rsidRDefault="00902A34">
                <w:pPr>
                  <w:tabs>
                    <w:tab w:val="right" w:pos="8838"/>
                  </w:tabs>
                  <w:ind w:left="-74" w:right="-105"/>
                  <w:rPr>
                    <w:b/>
                  </w:rPr>
                </w:pPr>
                <w:r>
                  <w:rPr>
                    <w:b/>
                  </w:rPr>
                  <w:t>Sujeto Obligado:</w:t>
                </w:r>
              </w:p>
            </w:tc>
            <w:tc>
              <w:tcPr>
                <w:tcW w:w="3345" w:type="dxa"/>
              </w:tcPr>
              <w:p w14:paraId="7106384F" w14:textId="0B05477D" w:rsidR="00902A34" w:rsidRPr="00737DE3" w:rsidRDefault="00902A34">
                <w:pPr>
                  <w:tabs>
                    <w:tab w:val="left" w:pos="2834"/>
                    <w:tab w:val="right" w:pos="8838"/>
                  </w:tabs>
                  <w:ind w:left="-108" w:right="-105"/>
                  <w:rPr>
                    <w:highlight w:val="yellow"/>
                  </w:rPr>
                </w:pPr>
                <w:r w:rsidRPr="00735B22">
                  <w:t>Ayuntamiento de Tlalnepantla de Baz</w:t>
                </w:r>
              </w:p>
            </w:tc>
            <w:tc>
              <w:tcPr>
                <w:tcW w:w="3405" w:type="dxa"/>
              </w:tcPr>
              <w:p w14:paraId="16AB2B15" w14:textId="77777777" w:rsidR="00902A34" w:rsidRDefault="00902A34">
                <w:pPr>
                  <w:tabs>
                    <w:tab w:val="left" w:pos="2834"/>
                    <w:tab w:val="right" w:pos="8838"/>
                  </w:tabs>
                  <w:ind w:left="-108" w:right="-105"/>
                </w:pPr>
              </w:p>
            </w:tc>
          </w:tr>
          <w:tr w:rsidR="00902A34" w14:paraId="2BEAB0A2" w14:textId="77777777">
            <w:trPr>
              <w:trHeight w:val="283"/>
            </w:trPr>
            <w:tc>
              <w:tcPr>
                <w:tcW w:w="2790" w:type="dxa"/>
              </w:tcPr>
              <w:p w14:paraId="0D2ED2D3" w14:textId="77777777" w:rsidR="00902A34" w:rsidRDefault="00902A34">
                <w:pPr>
                  <w:tabs>
                    <w:tab w:val="right" w:pos="8838"/>
                  </w:tabs>
                  <w:ind w:left="-74" w:right="-105"/>
                  <w:rPr>
                    <w:b/>
                  </w:rPr>
                </w:pPr>
                <w:r>
                  <w:rPr>
                    <w:b/>
                  </w:rPr>
                  <w:t>Comisionada Ponente:</w:t>
                </w:r>
              </w:p>
            </w:tc>
            <w:tc>
              <w:tcPr>
                <w:tcW w:w="3345" w:type="dxa"/>
              </w:tcPr>
              <w:p w14:paraId="585AA3C5" w14:textId="77777777" w:rsidR="00902A34" w:rsidRDefault="00902A34">
                <w:pPr>
                  <w:tabs>
                    <w:tab w:val="right" w:pos="8838"/>
                  </w:tabs>
                  <w:ind w:left="-108" w:right="-105"/>
                </w:pPr>
                <w:r>
                  <w:t>Sharon Cristina Morales Martínez</w:t>
                </w:r>
              </w:p>
            </w:tc>
            <w:tc>
              <w:tcPr>
                <w:tcW w:w="3405" w:type="dxa"/>
              </w:tcPr>
              <w:p w14:paraId="2849A278" w14:textId="77777777" w:rsidR="00902A34" w:rsidRDefault="00902A34">
                <w:pPr>
                  <w:tabs>
                    <w:tab w:val="right" w:pos="8838"/>
                  </w:tabs>
                  <w:ind w:left="-108" w:right="-105"/>
                </w:pPr>
              </w:p>
            </w:tc>
          </w:tr>
        </w:tbl>
        <w:p w14:paraId="658704ED" w14:textId="77777777" w:rsidR="00902A34" w:rsidRDefault="00902A34">
          <w:pPr>
            <w:tabs>
              <w:tab w:val="right" w:pos="8838"/>
            </w:tabs>
            <w:ind w:left="-28"/>
            <w:rPr>
              <w:rFonts w:ascii="Arial" w:eastAsia="Arial" w:hAnsi="Arial" w:cs="Arial"/>
              <w:b/>
            </w:rPr>
          </w:pPr>
        </w:p>
      </w:tc>
    </w:tr>
  </w:tbl>
  <w:p w14:paraId="0C136404" w14:textId="77777777" w:rsidR="00902A34" w:rsidRDefault="00B9720F">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1B7B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6F6"/>
    <w:multiLevelType w:val="multilevel"/>
    <w:tmpl w:val="A93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4ED"/>
    <w:multiLevelType w:val="multilevel"/>
    <w:tmpl w:val="FAA2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F1621"/>
    <w:multiLevelType w:val="hybridMultilevel"/>
    <w:tmpl w:val="50AC6D00"/>
    <w:lvl w:ilvl="0" w:tplc="E6026D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7635256"/>
    <w:multiLevelType w:val="hybridMultilevel"/>
    <w:tmpl w:val="FC6C45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B94A90"/>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BF2933"/>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472D7F"/>
    <w:multiLevelType w:val="hybridMultilevel"/>
    <w:tmpl w:val="C81A19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8B24FB"/>
    <w:multiLevelType w:val="hybridMultilevel"/>
    <w:tmpl w:val="FC422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ED6539"/>
    <w:multiLevelType w:val="hybridMultilevel"/>
    <w:tmpl w:val="1BF04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621C68"/>
    <w:multiLevelType w:val="hybridMultilevel"/>
    <w:tmpl w:val="DD06E2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4"/>
  </w:num>
  <w:num w:numId="6">
    <w:abstractNumId w:val="2"/>
  </w:num>
  <w:num w:numId="7">
    <w:abstractNumId w:val="1"/>
  </w:num>
  <w:num w:numId="8">
    <w:abstractNumId w:val="9"/>
  </w:num>
  <w:num w:numId="9">
    <w:abstractNumId w:val="3"/>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D9"/>
    <w:rsid w:val="000007C1"/>
    <w:rsid w:val="000021B4"/>
    <w:rsid w:val="000122E9"/>
    <w:rsid w:val="00012BCD"/>
    <w:rsid w:val="0001436B"/>
    <w:rsid w:val="00016B51"/>
    <w:rsid w:val="00024352"/>
    <w:rsid w:val="00034C5C"/>
    <w:rsid w:val="00036E41"/>
    <w:rsid w:val="000470DF"/>
    <w:rsid w:val="00050E16"/>
    <w:rsid w:val="00051331"/>
    <w:rsid w:val="0005205B"/>
    <w:rsid w:val="00057B4D"/>
    <w:rsid w:val="00060361"/>
    <w:rsid w:val="0006761C"/>
    <w:rsid w:val="000828E0"/>
    <w:rsid w:val="000828F4"/>
    <w:rsid w:val="00084868"/>
    <w:rsid w:val="000850A9"/>
    <w:rsid w:val="0008720D"/>
    <w:rsid w:val="00090FAC"/>
    <w:rsid w:val="00092573"/>
    <w:rsid w:val="000955A6"/>
    <w:rsid w:val="000B4924"/>
    <w:rsid w:val="000B7111"/>
    <w:rsid w:val="000B7D6E"/>
    <w:rsid w:val="000C02E8"/>
    <w:rsid w:val="000C270A"/>
    <w:rsid w:val="000D2848"/>
    <w:rsid w:val="000D2DC9"/>
    <w:rsid w:val="000D33B0"/>
    <w:rsid w:val="000D5826"/>
    <w:rsid w:val="000D600D"/>
    <w:rsid w:val="000D7B24"/>
    <w:rsid w:val="000E3DF1"/>
    <w:rsid w:val="000E42CA"/>
    <w:rsid w:val="000E5873"/>
    <w:rsid w:val="000E5967"/>
    <w:rsid w:val="000F4391"/>
    <w:rsid w:val="000F553A"/>
    <w:rsid w:val="0010000B"/>
    <w:rsid w:val="001003F5"/>
    <w:rsid w:val="001126E3"/>
    <w:rsid w:val="00114C81"/>
    <w:rsid w:val="00131BE1"/>
    <w:rsid w:val="00134FA1"/>
    <w:rsid w:val="00135023"/>
    <w:rsid w:val="00142D32"/>
    <w:rsid w:val="0014348D"/>
    <w:rsid w:val="00155E4A"/>
    <w:rsid w:val="001602F6"/>
    <w:rsid w:val="0016145D"/>
    <w:rsid w:val="001621AE"/>
    <w:rsid w:val="00167E06"/>
    <w:rsid w:val="0017354D"/>
    <w:rsid w:val="0018254F"/>
    <w:rsid w:val="00191CF7"/>
    <w:rsid w:val="00193492"/>
    <w:rsid w:val="001A6D05"/>
    <w:rsid w:val="001B5316"/>
    <w:rsid w:val="001B7238"/>
    <w:rsid w:val="001C0893"/>
    <w:rsid w:val="001C12D6"/>
    <w:rsid w:val="001C1369"/>
    <w:rsid w:val="001C428F"/>
    <w:rsid w:val="001C660F"/>
    <w:rsid w:val="001C7554"/>
    <w:rsid w:val="001C77EC"/>
    <w:rsid w:val="001D3D68"/>
    <w:rsid w:val="001E3743"/>
    <w:rsid w:val="001F3976"/>
    <w:rsid w:val="001F4F40"/>
    <w:rsid w:val="00204541"/>
    <w:rsid w:val="00210D17"/>
    <w:rsid w:val="00217A55"/>
    <w:rsid w:val="002205B7"/>
    <w:rsid w:val="0022162F"/>
    <w:rsid w:val="002334C5"/>
    <w:rsid w:val="002363EB"/>
    <w:rsid w:val="002366E5"/>
    <w:rsid w:val="00240370"/>
    <w:rsid w:val="00240BB6"/>
    <w:rsid w:val="00247497"/>
    <w:rsid w:val="00251076"/>
    <w:rsid w:val="00263450"/>
    <w:rsid w:val="00263A58"/>
    <w:rsid w:val="002710A8"/>
    <w:rsid w:val="002805CE"/>
    <w:rsid w:val="0028146A"/>
    <w:rsid w:val="00283435"/>
    <w:rsid w:val="00283837"/>
    <w:rsid w:val="00290706"/>
    <w:rsid w:val="00290F13"/>
    <w:rsid w:val="002A28CE"/>
    <w:rsid w:val="002A3FDC"/>
    <w:rsid w:val="002A72FE"/>
    <w:rsid w:val="002B11D9"/>
    <w:rsid w:val="002B24B6"/>
    <w:rsid w:val="002B599D"/>
    <w:rsid w:val="002C2212"/>
    <w:rsid w:val="002C26FC"/>
    <w:rsid w:val="002D1F4F"/>
    <w:rsid w:val="002D32B2"/>
    <w:rsid w:val="00315AC6"/>
    <w:rsid w:val="00317E05"/>
    <w:rsid w:val="00322DE3"/>
    <w:rsid w:val="003248B8"/>
    <w:rsid w:val="00324E04"/>
    <w:rsid w:val="00325427"/>
    <w:rsid w:val="003263B2"/>
    <w:rsid w:val="0032654E"/>
    <w:rsid w:val="00326E22"/>
    <w:rsid w:val="0032750C"/>
    <w:rsid w:val="003278EC"/>
    <w:rsid w:val="0033679A"/>
    <w:rsid w:val="00342D78"/>
    <w:rsid w:val="003445FC"/>
    <w:rsid w:val="00365E5D"/>
    <w:rsid w:val="003670BA"/>
    <w:rsid w:val="00382FEF"/>
    <w:rsid w:val="00386B09"/>
    <w:rsid w:val="0038711B"/>
    <w:rsid w:val="00387BDF"/>
    <w:rsid w:val="00396EBA"/>
    <w:rsid w:val="003A592F"/>
    <w:rsid w:val="003D41EA"/>
    <w:rsid w:val="003D47ED"/>
    <w:rsid w:val="003E1A98"/>
    <w:rsid w:val="003E4487"/>
    <w:rsid w:val="003F521F"/>
    <w:rsid w:val="00400B8C"/>
    <w:rsid w:val="00407396"/>
    <w:rsid w:val="00421000"/>
    <w:rsid w:val="00421C6E"/>
    <w:rsid w:val="0043233B"/>
    <w:rsid w:val="00432402"/>
    <w:rsid w:val="00437BFC"/>
    <w:rsid w:val="0044614C"/>
    <w:rsid w:val="004477A5"/>
    <w:rsid w:val="00447F06"/>
    <w:rsid w:val="00453556"/>
    <w:rsid w:val="00466868"/>
    <w:rsid w:val="0047296F"/>
    <w:rsid w:val="004757B0"/>
    <w:rsid w:val="00476551"/>
    <w:rsid w:val="0047718C"/>
    <w:rsid w:val="00483D29"/>
    <w:rsid w:val="00492EA4"/>
    <w:rsid w:val="00497546"/>
    <w:rsid w:val="004A011D"/>
    <w:rsid w:val="004A1070"/>
    <w:rsid w:val="004A3433"/>
    <w:rsid w:val="004A4AA5"/>
    <w:rsid w:val="004D4360"/>
    <w:rsid w:val="004D467C"/>
    <w:rsid w:val="004D495C"/>
    <w:rsid w:val="004E336B"/>
    <w:rsid w:val="004E39E6"/>
    <w:rsid w:val="004E4285"/>
    <w:rsid w:val="004E7127"/>
    <w:rsid w:val="004E73AE"/>
    <w:rsid w:val="004F40D0"/>
    <w:rsid w:val="004F59D6"/>
    <w:rsid w:val="00502F3C"/>
    <w:rsid w:val="00506730"/>
    <w:rsid w:val="005201C8"/>
    <w:rsid w:val="005202C2"/>
    <w:rsid w:val="00520C66"/>
    <w:rsid w:val="00522537"/>
    <w:rsid w:val="005315C2"/>
    <w:rsid w:val="00561404"/>
    <w:rsid w:val="00563E87"/>
    <w:rsid w:val="00572C31"/>
    <w:rsid w:val="00583B5F"/>
    <w:rsid w:val="0059020D"/>
    <w:rsid w:val="0059157F"/>
    <w:rsid w:val="00594E59"/>
    <w:rsid w:val="005968FA"/>
    <w:rsid w:val="005A1DCB"/>
    <w:rsid w:val="005A65F3"/>
    <w:rsid w:val="005A7A29"/>
    <w:rsid w:val="005C3D60"/>
    <w:rsid w:val="005D1356"/>
    <w:rsid w:val="005E604E"/>
    <w:rsid w:val="005F3606"/>
    <w:rsid w:val="005F6CC7"/>
    <w:rsid w:val="005F7177"/>
    <w:rsid w:val="0060153D"/>
    <w:rsid w:val="006027DF"/>
    <w:rsid w:val="00602ACA"/>
    <w:rsid w:val="00602E1E"/>
    <w:rsid w:val="0060676F"/>
    <w:rsid w:val="00615A89"/>
    <w:rsid w:val="00633FBD"/>
    <w:rsid w:val="006426A9"/>
    <w:rsid w:val="00645DD1"/>
    <w:rsid w:val="00663FB3"/>
    <w:rsid w:val="00670C38"/>
    <w:rsid w:val="00671367"/>
    <w:rsid w:val="00680595"/>
    <w:rsid w:val="00686164"/>
    <w:rsid w:val="00692AAF"/>
    <w:rsid w:val="006A5807"/>
    <w:rsid w:val="006C74F3"/>
    <w:rsid w:val="006D0732"/>
    <w:rsid w:val="006D169C"/>
    <w:rsid w:val="006D46B2"/>
    <w:rsid w:val="006F2AC9"/>
    <w:rsid w:val="00706BBF"/>
    <w:rsid w:val="00712E23"/>
    <w:rsid w:val="00716C11"/>
    <w:rsid w:val="007176B5"/>
    <w:rsid w:val="00727552"/>
    <w:rsid w:val="00732DB5"/>
    <w:rsid w:val="00735B22"/>
    <w:rsid w:val="00737DE3"/>
    <w:rsid w:val="00743588"/>
    <w:rsid w:val="00746B65"/>
    <w:rsid w:val="00750E4D"/>
    <w:rsid w:val="00751776"/>
    <w:rsid w:val="0075295D"/>
    <w:rsid w:val="0075459A"/>
    <w:rsid w:val="0076015C"/>
    <w:rsid w:val="00775026"/>
    <w:rsid w:val="007804E5"/>
    <w:rsid w:val="007860D6"/>
    <w:rsid w:val="0078667E"/>
    <w:rsid w:val="007B2DF6"/>
    <w:rsid w:val="007C157A"/>
    <w:rsid w:val="007E00DB"/>
    <w:rsid w:val="007F2745"/>
    <w:rsid w:val="0080475F"/>
    <w:rsid w:val="008063A5"/>
    <w:rsid w:val="00812D8B"/>
    <w:rsid w:val="00815E38"/>
    <w:rsid w:val="008225E9"/>
    <w:rsid w:val="00875119"/>
    <w:rsid w:val="00895DB5"/>
    <w:rsid w:val="008B28AB"/>
    <w:rsid w:val="008C4CBE"/>
    <w:rsid w:val="008D4EC4"/>
    <w:rsid w:val="008E0413"/>
    <w:rsid w:val="008E0821"/>
    <w:rsid w:val="008E3214"/>
    <w:rsid w:val="008E427F"/>
    <w:rsid w:val="008F419A"/>
    <w:rsid w:val="008F496E"/>
    <w:rsid w:val="00900821"/>
    <w:rsid w:val="00902A34"/>
    <w:rsid w:val="009047DE"/>
    <w:rsid w:val="00904CC0"/>
    <w:rsid w:val="00911794"/>
    <w:rsid w:val="009123BE"/>
    <w:rsid w:val="00914245"/>
    <w:rsid w:val="009224ED"/>
    <w:rsid w:val="00944F7E"/>
    <w:rsid w:val="00945355"/>
    <w:rsid w:val="00945565"/>
    <w:rsid w:val="009459E1"/>
    <w:rsid w:val="00946782"/>
    <w:rsid w:val="009476C1"/>
    <w:rsid w:val="009510B8"/>
    <w:rsid w:val="009539DF"/>
    <w:rsid w:val="009610CD"/>
    <w:rsid w:val="00964083"/>
    <w:rsid w:val="009773B7"/>
    <w:rsid w:val="009921EE"/>
    <w:rsid w:val="00996FCF"/>
    <w:rsid w:val="009A1903"/>
    <w:rsid w:val="009B4DA5"/>
    <w:rsid w:val="009C6FFB"/>
    <w:rsid w:val="009D25F7"/>
    <w:rsid w:val="009D656C"/>
    <w:rsid w:val="009E18B2"/>
    <w:rsid w:val="009E5A62"/>
    <w:rsid w:val="00A11BCA"/>
    <w:rsid w:val="00A134D3"/>
    <w:rsid w:val="00A170BB"/>
    <w:rsid w:val="00A174AD"/>
    <w:rsid w:val="00A2512A"/>
    <w:rsid w:val="00A31783"/>
    <w:rsid w:val="00A379DD"/>
    <w:rsid w:val="00A40AE4"/>
    <w:rsid w:val="00A4389C"/>
    <w:rsid w:val="00A44643"/>
    <w:rsid w:val="00A50B3F"/>
    <w:rsid w:val="00A7186C"/>
    <w:rsid w:val="00A77AB3"/>
    <w:rsid w:val="00A84F9D"/>
    <w:rsid w:val="00A91718"/>
    <w:rsid w:val="00A9674B"/>
    <w:rsid w:val="00AC6B4A"/>
    <w:rsid w:val="00AD3127"/>
    <w:rsid w:val="00AD3AAB"/>
    <w:rsid w:val="00AD418B"/>
    <w:rsid w:val="00AE70ED"/>
    <w:rsid w:val="00B05724"/>
    <w:rsid w:val="00B1246E"/>
    <w:rsid w:val="00B2633D"/>
    <w:rsid w:val="00B33781"/>
    <w:rsid w:val="00B35406"/>
    <w:rsid w:val="00B42E7B"/>
    <w:rsid w:val="00B47A84"/>
    <w:rsid w:val="00B55678"/>
    <w:rsid w:val="00B637B4"/>
    <w:rsid w:val="00B72607"/>
    <w:rsid w:val="00B73983"/>
    <w:rsid w:val="00B95674"/>
    <w:rsid w:val="00B96B00"/>
    <w:rsid w:val="00B9720F"/>
    <w:rsid w:val="00BA6B9F"/>
    <w:rsid w:val="00BB6009"/>
    <w:rsid w:val="00BC1D2B"/>
    <w:rsid w:val="00BC1E0C"/>
    <w:rsid w:val="00BC25A8"/>
    <w:rsid w:val="00BD06D1"/>
    <w:rsid w:val="00BD2B5E"/>
    <w:rsid w:val="00BD6B68"/>
    <w:rsid w:val="00BD70AD"/>
    <w:rsid w:val="00BE605E"/>
    <w:rsid w:val="00BF681A"/>
    <w:rsid w:val="00BF779F"/>
    <w:rsid w:val="00C11483"/>
    <w:rsid w:val="00C155A3"/>
    <w:rsid w:val="00C15ABB"/>
    <w:rsid w:val="00C32CB5"/>
    <w:rsid w:val="00C57E63"/>
    <w:rsid w:val="00C65269"/>
    <w:rsid w:val="00C66335"/>
    <w:rsid w:val="00C739BF"/>
    <w:rsid w:val="00C90DF4"/>
    <w:rsid w:val="00CA33C7"/>
    <w:rsid w:val="00CB091A"/>
    <w:rsid w:val="00CB4E1B"/>
    <w:rsid w:val="00CC6C3B"/>
    <w:rsid w:val="00CE6A7F"/>
    <w:rsid w:val="00CF0519"/>
    <w:rsid w:val="00CF6D5B"/>
    <w:rsid w:val="00D03F32"/>
    <w:rsid w:val="00D04833"/>
    <w:rsid w:val="00D0620A"/>
    <w:rsid w:val="00D12525"/>
    <w:rsid w:val="00D2348B"/>
    <w:rsid w:val="00D2797F"/>
    <w:rsid w:val="00D34440"/>
    <w:rsid w:val="00D35494"/>
    <w:rsid w:val="00D45240"/>
    <w:rsid w:val="00D47FDB"/>
    <w:rsid w:val="00D707EC"/>
    <w:rsid w:val="00D72F5D"/>
    <w:rsid w:val="00D76749"/>
    <w:rsid w:val="00D858BC"/>
    <w:rsid w:val="00D870AB"/>
    <w:rsid w:val="00D92D40"/>
    <w:rsid w:val="00D93A0D"/>
    <w:rsid w:val="00D96A09"/>
    <w:rsid w:val="00D96DE4"/>
    <w:rsid w:val="00DA1852"/>
    <w:rsid w:val="00DA57F8"/>
    <w:rsid w:val="00DA71D0"/>
    <w:rsid w:val="00DB156A"/>
    <w:rsid w:val="00DB3F92"/>
    <w:rsid w:val="00DC4D39"/>
    <w:rsid w:val="00DC66A5"/>
    <w:rsid w:val="00DD11B8"/>
    <w:rsid w:val="00DE4BA1"/>
    <w:rsid w:val="00E105B0"/>
    <w:rsid w:val="00E13E0D"/>
    <w:rsid w:val="00E27DD5"/>
    <w:rsid w:val="00E424B0"/>
    <w:rsid w:val="00E43858"/>
    <w:rsid w:val="00E44EBA"/>
    <w:rsid w:val="00E46E50"/>
    <w:rsid w:val="00E50421"/>
    <w:rsid w:val="00E51E50"/>
    <w:rsid w:val="00E54A54"/>
    <w:rsid w:val="00E54FFD"/>
    <w:rsid w:val="00E6089A"/>
    <w:rsid w:val="00E61AC3"/>
    <w:rsid w:val="00E61C36"/>
    <w:rsid w:val="00E667E4"/>
    <w:rsid w:val="00E71D62"/>
    <w:rsid w:val="00EA0D99"/>
    <w:rsid w:val="00EA2905"/>
    <w:rsid w:val="00EB0438"/>
    <w:rsid w:val="00EC13AD"/>
    <w:rsid w:val="00EC3D52"/>
    <w:rsid w:val="00ED0C1D"/>
    <w:rsid w:val="00ED4973"/>
    <w:rsid w:val="00EE5AC3"/>
    <w:rsid w:val="00EF2D8D"/>
    <w:rsid w:val="00EF53D2"/>
    <w:rsid w:val="00EF7B58"/>
    <w:rsid w:val="00F01BEA"/>
    <w:rsid w:val="00F023FC"/>
    <w:rsid w:val="00F067ED"/>
    <w:rsid w:val="00F10C1B"/>
    <w:rsid w:val="00F1249A"/>
    <w:rsid w:val="00F16E3A"/>
    <w:rsid w:val="00F36219"/>
    <w:rsid w:val="00F371B1"/>
    <w:rsid w:val="00F465D2"/>
    <w:rsid w:val="00F64803"/>
    <w:rsid w:val="00F82DB2"/>
    <w:rsid w:val="00F86BF3"/>
    <w:rsid w:val="00F9232D"/>
    <w:rsid w:val="00F9328E"/>
    <w:rsid w:val="00F94C2B"/>
    <w:rsid w:val="00F97DF9"/>
    <w:rsid w:val="00FA569C"/>
    <w:rsid w:val="00FA6B94"/>
    <w:rsid w:val="00FB5184"/>
    <w:rsid w:val="00FC04D1"/>
    <w:rsid w:val="00FC12F3"/>
    <w:rsid w:val="00FD0059"/>
    <w:rsid w:val="00FD79D8"/>
    <w:rsid w:val="00FF3389"/>
    <w:rsid w:val="00FF5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7498A9"/>
  <w15:docId w15:val="{8A06B529-6FD3-4970-971B-FA39AC0F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199510768">
      <w:bodyDiv w:val="1"/>
      <w:marLeft w:val="0"/>
      <w:marRight w:val="0"/>
      <w:marTop w:val="0"/>
      <w:marBottom w:val="0"/>
      <w:divBdr>
        <w:top w:val="none" w:sz="0" w:space="0" w:color="auto"/>
        <w:left w:val="none" w:sz="0" w:space="0" w:color="auto"/>
        <w:bottom w:val="none" w:sz="0" w:space="0" w:color="auto"/>
        <w:right w:val="none" w:sz="0" w:space="0" w:color="auto"/>
      </w:divBdr>
    </w:div>
    <w:div w:id="319622790">
      <w:bodyDiv w:val="1"/>
      <w:marLeft w:val="0"/>
      <w:marRight w:val="0"/>
      <w:marTop w:val="0"/>
      <w:marBottom w:val="0"/>
      <w:divBdr>
        <w:top w:val="none" w:sz="0" w:space="0" w:color="auto"/>
        <w:left w:val="none" w:sz="0" w:space="0" w:color="auto"/>
        <w:bottom w:val="none" w:sz="0" w:space="0" w:color="auto"/>
        <w:right w:val="none" w:sz="0" w:space="0" w:color="auto"/>
      </w:divBdr>
    </w:div>
    <w:div w:id="406459649">
      <w:bodyDiv w:val="1"/>
      <w:marLeft w:val="0"/>
      <w:marRight w:val="0"/>
      <w:marTop w:val="0"/>
      <w:marBottom w:val="0"/>
      <w:divBdr>
        <w:top w:val="none" w:sz="0" w:space="0" w:color="auto"/>
        <w:left w:val="none" w:sz="0" w:space="0" w:color="auto"/>
        <w:bottom w:val="none" w:sz="0" w:space="0" w:color="auto"/>
        <w:right w:val="none" w:sz="0" w:space="0" w:color="auto"/>
      </w:divBdr>
    </w:div>
    <w:div w:id="439227740">
      <w:bodyDiv w:val="1"/>
      <w:marLeft w:val="0"/>
      <w:marRight w:val="0"/>
      <w:marTop w:val="0"/>
      <w:marBottom w:val="0"/>
      <w:divBdr>
        <w:top w:val="none" w:sz="0" w:space="0" w:color="auto"/>
        <w:left w:val="none" w:sz="0" w:space="0" w:color="auto"/>
        <w:bottom w:val="none" w:sz="0" w:space="0" w:color="auto"/>
        <w:right w:val="none" w:sz="0" w:space="0" w:color="auto"/>
      </w:divBdr>
    </w:div>
    <w:div w:id="619604418">
      <w:bodyDiv w:val="1"/>
      <w:marLeft w:val="0"/>
      <w:marRight w:val="0"/>
      <w:marTop w:val="0"/>
      <w:marBottom w:val="0"/>
      <w:divBdr>
        <w:top w:val="none" w:sz="0" w:space="0" w:color="auto"/>
        <w:left w:val="none" w:sz="0" w:space="0" w:color="auto"/>
        <w:bottom w:val="none" w:sz="0" w:space="0" w:color="auto"/>
        <w:right w:val="none" w:sz="0" w:space="0" w:color="auto"/>
      </w:divBdr>
    </w:div>
    <w:div w:id="768501968">
      <w:bodyDiv w:val="1"/>
      <w:marLeft w:val="0"/>
      <w:marRight w:val="0"/>
      <w:marTop w:val="0"/>
      <w:marBottom w:val="0"/>
      <w:divBdr>
        <w:top w:val="none" w:sz="0" w:space="0" w:color="auto"/>
        <w:left w:val="none" w:sz="0" w:space="0" w:color="auto"/>
        <w:bottom w:val="none" w:sz="0" w:space="0" w:color="auto"/>
        <w:right w:val="none" w:sz="0" w:space="0" w:color="auto"/>
      </w:divBdr>
    </w:div>
    <w:div w:id="852305405">
      <w:bodyDiv w:val="1"/>
      <w:marLeft w:val="0"/>
      <w:marRight w:val="0"/>
      <w:marTop w:val="0"/>
      <w:marBottom w:val="0"/>
      <w:divBdr>
        <w:top w:val="none" w:sz="0" w:space="0" w:color="auto"/>
        <w:left w:val="none" w:sz="0" w:space="0" w:color="auto"/>
        <w:bottom w:val="none" w:sz="0" w:space="0" w:color="auto"/>
        <w:right w:val="none" w:sz="0" w:space="0" w:color="auto"/>
      </w:divBdr>
    </w:div>
    <w:div w:id="1015888329">
      <w:bodyDiv w:val="1"/>
      <w:marLeft w:val="0"/>
      <w:marRight w:val="0"/>
      <w:marTop w:val="0"/>
      <w:marBottom w:val="0"/>
      <w:divBdr>
        <w:top w:val="none" w:sz="0" w:space="0" w:color="auto"/>
        <w:left w:val="none" w:sz="0" w:space="0" w:color="auto"/>
        <w:bottom w:val="none" w:sz="0" w:space="0" w:color="auto"/>
        <w:right w:val="none" w:sz="0" w:space="0" w:color="auto"/>
      </w:divBdr>
    </w:div>
    <w:div w:id="1064597743">
      <w:bodyDiv w:val="1"/>
      <w:marLeft w:val="0"/>
      <w:marRight w:val="0"/>
      <w:marTop w:val="0"/>
      <w:marBottom w:val="0"/>
      <w:divBdr>
        <w:top w:val="none" w:sz="0" w:space="0" w:color="auto"/>
        <w:left w:val="none" w:sz="0" w:space="0" w:color="auto"/>
        <w:bottom w:val="none" w:sz="0" w:space="0" w:color="auto"/>
        <w:right w:val="none" w:sz="0" w:space="0" w:color="auto"/>
      </w:divBdr>
    </w:div>
    <w:div w:id="1071852579">
      <w:bodyDiv w:val="1"/>
      <w:marLeft w:val="0"/>
      <w:marRight w:val="0"/>
      <w:marTop w:val="0"/>
      <w:marBottom w:val="0"/>
      <w:divBdr>
        <w:top w:val="none" w:sz="0" w:space="0" w:color="auto"/>
        <w:left w:val="none" w:sz="0" w:space="0" w:color="auto"/>
        <w:bottom w:val="none" w:sz="0" w:space="0" w:color="auto"/>
        <w:right w:val="none" w:sz="0" w:space="0" w:color="auto"/>
      </w:divBdr>
    </w:div>
    <w:div w:id="1124276960">
      <w:bodyDiv w:val="1"/>
      <w:marLeft w:val="0"/>
      <w:marRight w:val="0"/>
      <w:marTop w:val="0"/>
      <w:marBottom w:val="0"/>
      <w:divBdr>
        <w:top w:val="none" w:sz="0" w:space="0" w:color="auto"/>
        <w:left w:val="none" w:sz="0" w:space="0" w:color="auto"/>
        <w:bottom w:val="none" w:sz="0" w:space="0" w:color="auto"/>
        <w:right w:val="none" w:sz="0" w:space="0" w:color="auto"/>
      </w:divBdr>
    </w:div>
    <w:div w:id="1128475832">
      <w:bodyDiv w:val="1"/>
      <w:marLeft w:val="0"/>
      <w:marRight w:val="0"/>
      <w:marTop w:val="0"/>
      <w:marBottom w:val="0"/>
      <w:divBdr>
        <w:top w:val="none" w:sz="0" w:space="0" w:color="auto"/>
        <w:left w:val="none" w:sz="0" w:space="0" w:color="auto"/>
        <w:bottom w:val="none" w:sz="0" w:space="0" w:color="auto"/>
        <w:right w:val="none" w:sz="0" w:space="0" w:color="auto"/>
      </w:divBdr>
    </w:div>
    <w:div w:id="1258556359">
      <w:bodyDiv w:val="1"/>
      <w:marLeft w:val="0"/>
      <w:marRight w:val="0"/>
      <w:marTop w:val="0"/>
      <w:marBottom w:val="0"/>
      <w:divBdr>
        <w:top w:val="none" w:sz="0" w:space="0" w:color="auto"/>
        <w:left w:val="none" w:sz="0" w:space="0" w:color="auto"/>
        <w:bottom w:val="none" w:sz="0" w:space="0" w:color="auto"/>
        <w:right w:val="none" w:sz="0" w:space="0" w:color="auto"/>
      </w:divBdr>
    </w:div>
    <w:div w:id="1273978694">
      <w:bodyDiv w:val="1"/>
      <w:marLeft w:val="0"/>
      <w:marRight w:val="0"/>
      <w:marTop w:val="0"/>
      <w:marBottom w:val="0"/>
      <w:divBdr>
        <w:top w:val="none" w:sz="0" w:space="0" w:color="auto"/>
        <w:left w:val="none" w:sz="0" w:space="0" w:color="auto"/>
        <w:bottom w:val="none" w:sz="0" w:space="0" w:color="auto"/>
        <w:right w:val="none" w:sz="0" w:space="0" w:color="auto"/>
      </w:divBdr>
    </w:div>
    <w:div w:id="1285311043">
      <w:bodyDiv w:val="1"/>
      <w:marLeft w:val="0"/>
      <w:marRight w:val="0"/>
      <w:marTop w:val="0"/>
      <w:marBottom w:val="0"/>
      <w:divBdr>
        <w:top w:val="none" w:sz="0" w:space="0" w:color="auto"/>
        <w:left w:val="none" w:sz="0" w:space="0" w:color="auto"/>
        <w:bottom w:val="none" w:sz="0" w:space="0" w:color="auto"/>
        <w:right w:val="none" w:sz="0" w:space="0" w:color="auto"/>
      </w:divBdr>
    </w:div>
    <w:div w:id="1401293831">
      <w:bodyDiv w:val="1"/>
      <w:marLeft w:val="0"/>
      <w:marRight w:val="0"/>
      <w:marTop w:val="0"/>
      <w:marBottom w:val="0"/>
      <w:divBdr>
        <w:top w:val="none" w:sz="0" w:space="0" w:color="auto"/>
        <w:left w:val="none" w:sz="0" w:space="0" w:color="auto"/>
        <w:bottom w:val="none" w:sz="0" w:space="0" w:color="auto"/>
        <w:right w:val="none" w:sz="0" w:space="0" w:color="auto"/>
      </w:divBdr>
    </w:div>
    <w:div w:id="1424916217">
      <w:bodyDiv w:val="1"/>
      <w:marLeft w:val="0"/>
      <w:marRight w:val="0"/>
      <w:marTop w:val="0"/>
      <w:marBottom w:val="0"/>
      <w:divBdr>
        <w:top w:val="none" w:sz="0" w:space="0" w:color="auto"/>
        <w:left w:val="none" w:sz="0" w:space="0" w:color="auto"/>
        <w:bottom w:val="none" w:sz="0" w:space="0" w:color="auto"/>
        <w:right w:val="none" w:sz="0" w:space="0" w:color="auto"/>
      </w:divBdr>
    </w:div>
    <w:div w:id="1495491153">
      <w:bodyDiv w:val="1"/>
      <w:marLeft w:val="0"/>
      <w:marRight w:val="0"/>
      <w:marTop w:val="0"/>
      <w:marBottom w:val="0"/>
      <w:divBdr>
        <w:top w:val="none" w:sz="0" w:space="0" w:color="auto"/>
        <w:left w:val="none" w:sz="0" w:space="0" w:color="auto"/>
        <w:bottom w:val="none" w:sz="0" w:space="0" w:color="auto"/>
        <w:right w:val="none" w:sz="0" w:space="0" w:color="auto"/>
      </w:divBdr>
    </w:div>
    <w:div w:id="1893692861">
      <w:bodyDiv w:val="1"/>
      <w:marLeft w:val="0"/>
      <w:marRight w:val="0"/>
      <w:marTop w:val="0"/>
      <w:marBottom w:val="0"/>
      <w:divBdr>
        <w:top w:val="none" w:sz="0" w:space="0" w:color="auto"/>
        <w:left w:val="none" w:sz="0" w:space="0" w:color="auto"/>
        <w:bottom w:val="none" w:sz="0" w:space="0" w:color="auto"/>
        <w:right w:val="none" w:sz="0" w:space="0" w:color="auto"/>
      </w:divBdr>
    </w:div>
    <w:div w:id="1894610782">
      <w:bodyDiv w:val="1"/>
      <w:marLeft w:val="0"/>
      <w:marRight w:val="0"/>
      <w:marTop w:val="0"/>
      <w:marBottom w:val="0"/>
      <w:divBdr>
        <w:top w:val="none" w:sz="0" w:space="0" w:color="auto"/>
        <w:left w:val="none" w:sz="0" w:space="0" w:color="auto"/>
        <w:bottom w:val="none" w:sz="0" w:space="0" w:color="auto"/>
        <w:right w:val="none" w:sz="0" w:space="0" w:color="auto"/>
      </w:divBdr>
    </w:div>
    <w:div w:id="200030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mVfl7Bw/ZeHNAn8gMk68Xz8V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OAByITFqanZ4ZmJUTFU0TC1BR0dfZzBmTFRJYm5qWU8wcmpP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FA7C38-D5E2-49D7-8EC3-2EFDE1EB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5367</Words>
  <Characters>29522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INFOEM381</cp:lastModifiedBy>
  <cp:revision>6</cp:revision>
  <cp:lastPrinted>2025-05-18T01:04:00Z</cp:lastPrinted>
  <dcterms:created xsi:type="dcterms:W3CDTF">2025-05-08T00:39:00Z</dcterms:created>
  <dcterms:modified xsi:type="dcterms:W3CDTF">2025-06-04T23:44:00Z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