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BBC7A" w14:textId="69FEB122" w:rsidR="006C1524" w:rsidRPr="0037314A" w:rsidRDefault="006C1524" w:rsidP="006C1524">
      <w:pPr>
        <w:spacing w:before="240" w:line="360" w:lineRule="auto"/>
        <w:jc w:val="both"/>
        <w:rPr>
          <w:rFonts w:ascii="Palatino Linotype" w:eastAsia="Times New Roman" w:hAnsi="Palatino Linotype" w:cs="Arial"/>
          <w:color w:val="000000"/>
          <w:sz w:val="24"/>
          <w:szCs w:val="24"/>
          <w:lang w:eastAsia="es-MX"/>
        </w:rPr>
      </w:pPr>
      <w:r w:rsidRPr="0037314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02C5C">
        <w:rPr>
          <w:rFonts w:ascii="Palatino Linotype" w:eastAsia="Times New Roman" w:hAnsi="Palatino Linotype" w:cs="Arial"/>
          <w:color w:val="000000"/>
          <w:sz w:val="24"/>
          <w:szCs w:val="24"/>
          <w:lang w:eastAsia="es-MX"/>
        </w:rPr>
        <w:t>veintiséis</w:t>
      </w:r>
      <w:r w:rsidR="009D61E3">
        <w:rPr>
          <w:rFonts w:ascii="Palatino Linotype" w:eastAsia="Times New Roman" w:hAnsi="Palatino Linotype" w:cs="Arial"/>
          <w:color w:val="000000"/>
          <w:sz w:val="24"/>
          <w:szCs w:val="24"/>
          <w:lang w:eastAsia="es-MX"/>
        </w:rPr>
        <w:t xml:space="preserve"> de marzo de dos mil veinticinco. </w:t>
      </w:r>
      <w:r>
        <w:rPr>
          <w:rFonts w:ascii="Palatino Linotype" w:eastAsia="Times New Roman" w:hAnsi="Palatino Linotype" w:cs="Arial"/>
          <w:color w:val="000000"/>
          <w:sz w:val="24"/>
          <w:szCs w:val="24"/>
          <w:lang w:eastAsia="es-MX"/>
        </w:rPr>
        <w:t xml:space="preserve">     </w:t>
      </w:r>
      <w:r w:rsidRPr="0037314A">
        <w:rPr>
          <w:rFonts w:ascii="Palatino Linotype" w:eastAsia="Times New Roman" w:hAnsi="Palatino Linotype" w:cs="Arial"/>
          <w:color w:val="000000"/>
          <w:sz w:val="24"/>
          <w:szCs w:val="24"/>
          <w:lang w:eastAsia="es-MX"/>
        </w:rPr>
        <w:t xml:space="preserve">          </w:t>
      </w:r>
    </w:p>
    <w:p w14:paraId="16223B6B" w14:textId="6D2D5BA4" w:rsidR="006C1524" w:rsidRPr="008826F9" w:rsidRDefault="006C1524" w:rsidP="006C1524">
      <w:pPr>
        <w:tabs>
          <w:tab w:val="left" w:pos="1701"/>
        </w:tabs>
        <w:spacing w:before="240" w:line="360" w:lineRule="auto"/>
        <w:jc w:val="both"/>
        <w:rPr>
          <w:rFonts w:ascii="Palatino Linotype" w:hAnsi="Palatino Linotype" w:cs="Arial"/>
          <w:sz w:val="24"/>
          <w:lang w:eastAsia="es-MX"/>
        </w:rPr>
      </w:pPr>
      <w:r w:rsidRPr="0037314A">
        <w:rPr>
          <w:rFonts w:ascii="Palatino Linotype" w:hAnsi="Palatino Linotype" w:cs="Arial"/>
          <w:b/>
          <w:sz w:val="24"/>
        </w:rPr>
        <w:t>VISTO</w:t>
      </w:r>
      <w:r w:rsidRPr="0037314A">
        <w:rPr>
          <w:rFonts w:ascii="Palatino Linotype" w:hAnsi="Palatino Linotype" w:cs="Arial"/>
          <w:sz w:val="24"/>
        </w:rPr>
        <w:t xml:space="preserve"> el expediente electrónico formado con motivo del recurso de revisión número </w:t>
      </w:r>
      <w:r w:rsidR="009D61E3">
        <w:rPr>
          <w:rFonts w:ascii="Palatino Linotype" w:hAnsi="Palatino Linotype" w:cs="Arial"/>
          <w:b/>
          <w:bCs/>
          <w:sz w:val="24"/>
          <w:lang w:eastAsia="es-MX"/>
        </w:rPr>
        <w:t>02190</w:t>
      </w:r>
      <w:r>
        <w:rPr>
          <w:rFonts w:ascii="Palatino Linotype" w:hAnsi="Palatino Linotype" w:cs="Arial"/>
          <w:b/>
          <w:bCs/>
          <w:sz w:val="24"/>
          <w:lang w:eastAsia="es-MX"/>
        </w:rPr>
        <w:t>/</w:t>
      </w:r>
      <w:r w:rsidR="008826F9">
        <w:rPr>
          <w:rFonts w:ascii="Palatino Linotype" w:hAnsi="Palatino Linotype" w:cs="Arial"/>
          <w:b/>
          <w:bCs/>
          <w:sz w:val="24"/>
          <w:lang w:eastAsia="es-MX"/>
        </w:rPr>
        <w:t xml:space="preserve">INFOEM/IP/RR/2025, </w:t>
      </w:r>
      <w:r w:rsidR="008826F9">
        <w:rPr>
          <w:rFonts w:ascii="Palatino Linotype" w:hAnsi="Palatino Linotype" w:cs="Arial"/>
          <w:sz w:val="24"/>
          <w:lang w:eastAsia="es-MX"/>
        </w:rPr>
        <w:t xml:space="preserve">interpuesto por </w:t>
      </w:r>
      <w:r w:rsidR="009D61E3">
        <w:rPr>
          <w:rFonts w:ascii="Palatino Linotype" w:hAnsi="Palatino Linotype" w:cs="Arial"/>
          <w:sz w:val="24"/>
          <w:lang w:eastAsia="es-MX"/>
        </w:rPr>
        <w:t xml:space="preserve">el </w:t>
      </w:r>
      <w:r w:rsidR="009D61E3">
        <w:rPr>
          <w:rFonts w:ascii="Palatino Linotype" w:hAnsi="Palatino Linotype" w:cs="Arial"/>
          <w:b/>
          <w:bCs/>
          <w:sz w:val="24"/>
          <w:lang w:eastAsia="es-MX"/>
        </w:rPr>
        <w:t xml:space="preserve">C. </w:t>
      </w:r>
      <w:r w:rsidR="00E0458C">
        <w:rPr>
          <w:rFonts w:ascii="Palatino Linotype" w:hAnsi="Palatino Linotype" w:cs="Arial"/>
          <w:b/>
          <w:bCs/>
          <w:sz w:val="24"/>
          <w:lang w:eastAsia="es-MX"/>
        </w:rPr>
        <w:t>XXXXXX</w:t>
      </w:r>
      <w:bookmarkStart w:id="0" w:name="_GoBack"/>
      <w:bookmarkEnd w:id="0"/>
      <w:r w:rsidR="009D61E3">
        <w:rPr>
          <w:rFonts w:ascii="Palatino Linotype" w:hAnsi="Palatino Linotype" w:cs="Arial"/>
          <w:b/>
          <w:bCs/>
          <w:sz w:val="24"/>
          <w:lang w:eastAsia="es-MX"/>
        </w:rPr>
        <w:t xml:space="preserve">, </w:t>
      </w:r>
      <w:r w:rsidR="009D61E3">
        <w:rPr>
          <w:rFonts w:ascii="Palatino Linotype" w:hAnsi="Palatino Linotype" w:cs="Arial"/>
          <w:sz w:val="24"/>
          <w:lang w:eastAsia="es-MX"/>
        </w:rPr>
        <w:t xml:space="preserve">en lo sucesivo </w:t>
      </w:r>
      <w:r w:rsidR="009D61E3">
        <w:rPr>
          <w:rFonts w:ascii="Palatino Linotype" w:hAnsi="Palatino Linotype" w:cs="Arial"/>
          <w:b/>
          <w:bCs/>
          <w:sz w:val="24"/>
          <w:lang w:eastAsia="es-MX"/>
        </w:rPr>
        <w:t xml:space="preserve">El Recurrente, </w:t>
      </w:r>
      <w:r w:rsidR="009D61E3">
        <w:rPr>
          <w:rFonts w:ascii="Palatino Linotype" w:hAnsi="Palatino Linotype" w:cs="Arial"/>
          <w:sz w:val="24"/>
          <w:lang w:eastAsia="es-MX"/>
        </w:rPr>
        <w:t xml:space="preserve">en contra de la respuesta del </w:t>
      </w:r>
      <w:r w:rsidR="009D61E3">
        <w:rPr>
          <w:rFonts w:ascii="Palatino Linotype" w:hAnsi="Palatino Linotype" w:cs="Arial"/>
          <w:b/>
          <w:bCs/>
          <w:sz w:val="24"/>
          <w:lang w:eastAsia="es-MX"/>
        </w:rPr>
        <w:t xml:space="preserve">Ayuntamiento de Tenancingo, </w:t>
      </w:r>
      <w:r w:rsidR="009D61E3">
        <w:rPr>
          <w:rFonts w:ascii="Palatino Linotype" w:hAnsi="Palatino Linotype" w:cs="Arial"/>
          <w:sz w:val="24"/>
          <w:lang w:eastAsia="es-MX"/>
        </w:rPr>
        <w:t xml:space="preserve">en lo subsecuente </w:t>
      </w:r>
      <w:r w:rsidR="009D61E3">
        <w:rPr>
          <w:rFonts w:ascii="Palatino Linotype" w:hAnsi="Palatino Linotype" w:cs="Arial"/>
          <w:b/>
          <w:bCs/>
          <w:sz w:val="24"/>
          <w:lang w:eastAsia="es-MX"/>
        </w:rPr>
        <w:t xml:space="preserve">El Sujeto Obligado, </w:t>
      </w:r>
      <w:r w:rsidR="008826F9">
        <w:rPr>
          <w:rFonts w:ascii="Palatino Linotype" w:hAnsi="Palatino Linotype" w:cs="Arial"/>
          <w:sz w:val="24"/>
          <w:lang w:eastAsia="es-MX"/>
        </w:rPr>
        <w:t xml:space="preserve">se procede a dictar la presente resolución. </w:t>
      </w:r>
    </w:p>
    <w:p w14:paraId="21707FCE" w14:textId="77777777" w:rsidR="008826F9" w:rsidRDefault="008826F9" w:rsidP="006C1524">
      <w:pPr>
        <w:spacing w:before="240" w:after="240" w:line="360" w:lineRule="auto"/>
        <w:jc w:val="center"/>
        <w:rPr>
          <w:rFonts w:ascii="Palatino Linotype" w:hAnsi="Palatino Linotype"/>
          <w:b/>
          <w:sz w:val="28"/>
        </w:rPr>
      </w:pPr>
    </w:p>
    <w:p w14:paraId="34429AAC" w14:textId="35BCA772" w:rsidR="006C1524" w:rsidRPr="0037314A" w:rsidRDefault="006C1524" w:rsidP="006C1524">
      <w:pPr>
        <w:spacing w:before="240" w:after="240" w:line="360" w:lineRule="auto"/>
        <w:jc w:val="center"/>
        <w:rPr>
          <w:rFonts w:ascii="Palatino Linotype" w:hAnsi="Palatino Linotype"/>
          <w:b/>
          <w:sz w:val="28"/>
        </w:rPr>
      </w:pPr>
      <w:r w:rsidRPr="0037314A">
        <w:rPr>
          <w:rFonts w:ascii="Palatino Linotype" w:hAnsi="Palatino Linotype"/>
          <w:b/>
          <w:sz w:val="28"/>
        </w:rPr>
        <w:t>A N T E C E D E N T E S   D E L   A S U N T O</w:t>
      </w:r>
    </w:p>
    <w:p w14:paraId="7A347DB7" w14:textId="77777777" w:rsidR="006C1524" w:rsidRPr="0037314A" w:rsidRDefault="006C1524" w:rsidP="006C1524">
      <w:pPr>
        <w:spacing w:before="240" w:after="240" w:line="360" w:lineRule="auto"/>
        <w:jc w:val="both"/>
        <w:rPr>
          <w:rFonts w:ascii="Palatino Linotype" w:hAnsi="Palatino Linotype"/>
        </w:rPr>
      </w:pPr>
      <w:r w:rsidRPr="0037314A">
        <w:rPr>
          <w:rFonts w:ascii="Palatino Linotype" w:hAnsi="Palatino Linotype" w:cs="Arial"/>
          <w:b/>
          <w:sz w:val="28"/>
        </w:rPr>
        <w:t>PRIMERO.</w:t>
      </w:r>
      <w:r w:rsidRPr="0037314A">
        <w:rPr>
          <w:rFonts w:ascii="Palatino Linotype" w:hAnsi="Palatino Linotype" w:cs="Arial"/>
        </w:rPr>
        <w:t xml:space="preserve"> </w:t>
      </w:r>
      <w:r w:rsidRPr="0037314A">
        <w:rPr>
          <w:rFonts w:ascii="Palatino Linotype" w:hAnsi="Palatino Linotype"/>
          <w:b/>
          <w:sz w:val="28"/>
          <w:szCs w:val="28"/>
        </w:rPr>
        <w:t>De la Solicitud de Información.</w:t>
      </w:r>
    </w:p>
    <w:p w14:paraId="0613296F" w14:textId="38C0439D" w:rsidR="009D61E3" w:rsidRDefault="006C1524" w:rsidP="006C1524">
      <w:pPr>
        <w:spacing w:before="240" w:line="360" w:lineRule="auto"/>
        <w:jc w:val="both"/>
        <w:rPr>
          <w:rFonts w:ascii="Palatino Linotype" w:hAnsi="Palatino Linotype" w:cs="Arial"/>
          <w:sz w:val="24"/>
        </w:rPr>
      </w:pPr>
      <w:r w:rsidRPr="0037314A">
        <w:rPr>
          <w:rFonts w:ascii="Palatino Linotype" w:hAnsi="Palatino Linotype" w:cs="Arial"/>
          <w:sz w:val="24"/>
        </w:rPr>
        <w:t xml:space="preserve">Con fecha </w:t>
      </w:r>
      <w:r w:rsidR="009D61E3">
        <w:rPr>
          <w:rFonts w:ascii="Palatino Linotype" w:hAnsi="Palatino Linotype" w:cs="Arial"/>
          <w:b/>
          <w:bCs/>
          <w:sz w:val="24"/>
        </w:rPr>
        <w:t xml:space="preserve">seis de febrero de dos mil veinticinco, El Recurrente, </w:t>
      </w:r>
      <w:r w:rsidR="008826F9" w:rsidRPr="0037314A">
        <w:rPr>
          <w:rFonts w:ascii="Palatino Linotype" w:hAnsi="Palatino Linotype" w:cs="Arial"/>
          <w:sz w:val="24"/>
        </w:rPr>
        <w:t>presentó a través del Sistema de Acceso a la Información Mexiquense (</w:t>
      </w:r>
      <w:r w:rsidR="008826F9" w:rsidRPr="0037314A">
        <w:rPr>
          <w:rFonts w:ascii="Palatino Linotype" w:hAnsi="Palatino Linotype" w:cs="Arial"/>
          <w:b/>
          <w:sz w:val="24"/>
        </w:rPr>
        <w:t>SAIMEX)</w:t>
      </w:r>
      <w:r w:rsidR="008826F9" w:rsidRPr="0037314A">
        <w:rPr>
          <w:rFonts w:ascii="Palatino Linotype" w:hAnsi="Palatino Linotype" w:cs="Arial"/>
          <w:sz w:val="24"/>
        </w:rPr>
        <w:t xml:space="preserve"> ante </w:t>
      </w:r>
      <w:r w:rsidR="008826F9" w:rsidRPr="0037314A">
        <w:rPr>
          <w:rFonts w:ascii="Palatino Linotype" w:hAnsi="Palatino Linotype" w:cs="Arial"/>
          <w:b/>
          <w:sz w:val="24"/>
        </w:rPr>
        <w:t>El Sujeto Obligado</w:t>
      </w:r>
      <w:r w:rsidR="008826F9" w:rsidRPr="0037314A">
        <w:rPr>
          <w:rFonts w:ascii="Palatino Linotype" w:hAnsi="Palatino Linotype" w:cs="Arial"/>
          <w:sz w:val="24"/>
        </w:rPr>
        <w:t>, solicitud de acceso a la información pública, registrada bajo el número de expediente</w:t>
      </w:r>
      <w:r w:rsidR="008826F9">
        <w:rPr>
          <w:rFonts w:ascii="Palatino Linotype" w:hAnsi="Palatino Linotype" w:cs="Arial"/>
          <w:sz w:val="24"/>
        </w:rPr>
        <w:t xml:space="preserve"> </w:t>
      </w:r>
      <w:r w:rsidR="009D61E3">
        <w:rPr>
          <w:rFonts w:ascii="Palatino Linotype" w:hAnsi="Palatino Linotype" w:cs="Arial"/>
          <w:b/>
          <w:bCs/>
          <w:sz w:val="24"/>
        </w:rPr>
        <w:t xml:space="preserve">00203/TENANCIN/IP/2025, </w:t>
      </w:r>
      <w:r w:rsidR="009D61E3">
        <w:rPr>
          <w:rFonts w:ascii="Palatino Linotype" w:hAnsi="Palatino Linotype" w:cs="Arial"/>
          <w:sz w:val="24"/>
        </w:rPr>
        <w:t>mediante la cual solicitó información en el tenor siguiente:</w:t>
      </w:r>
    </w:p>
    <w:p w14:paraId="5AADB28B" w14:textId="2B7DB8AD" w:rsidR="009D61E3" w:rsidRPr="009D61E3" w:rsidRDefault="009D61E3" w:rsidP="009D61E3">
      <w:pPr>
        <w:pStyle w:val="Citas"/>
        <w:rPr>
          <w:b/>
          <w:bCs/>
        </w:rPr>
      </w:pPr>
      <w:r>
        <w:t>“</w:t>
      </w:r>
      <w:r w:rsidRPr="009D61E3">
        <w:t xml:space="preserve">Solicito que el ayuntamiento de Tenancingo, en términos de la Ley de la materia, </w:t>
      </w:r>
      <w:proofErr w:type="gramStart"/>
      <w:r w:rsidRPr="009D61E3">
        <w:t>de</w:t>
      </w:r>
      <w:proofErr w:type="gramEnd"/>
      <w:r w:rsidRPr="009D61E3">
        <w:t xml:space="preserve"> la Ley General de Contabilidad Gubernamental y del Manual único de Contabilidad Gubernamental, remita los registros contables relativos al fondo fijo de caja de la presidencia, aprobado mediante el acuerdo número A037/SO-03/OD-11/25G4V1, en la tercero sesión ordinaria de ese ayuntamiento, el quince de enero de dos mil veinticinc</w:t>
      </w:r>
      <w:r>
        <w:t xml:space="preserve">o” </w:t>
      </w:r>
      <w:r>
        <w:rPr>
          <w:b/>
          <w:bCs/>
        </w:rPr>
        <w:t>(Sic)</w:t>
      </w:r>
    </w:p>
    <w:p w14:paraId="4DC49687" w14:textId="38B7447C" w:rsidR="008826F9" w:rsidRPr="008826F9" w:rsidRDefault="008826F9" w:rsidP="006C1524">
      <w:pPr>
        <w:spacing w:before="240" w:line="360" w:lineRule="auto"/>
        <w:jc w:val="both"/>
        <w:rPr>
          <w:rFonts w:ascii="Palatino Linotype" w:hAnsi="Palatino Linotype" w:cs="Arial"/>
          <w:bCs/>
          <w:sz w:val="24"/>
          <w:szCs w:val="24"/>
        </w:rPr>
      </w:pPr>
      <w:r w:rsidRPr="008826F9">
        <w:rPr>
          <w:rFonts w:ascii="Palatino Linotype" w:hAnsi="Palatino Linotype" w:cs="Arial"/>
          <w:b/>
          <w:sz w:val="24"/>
          <w:szCs w:val="24"/>
        </w:rPr>
        <w:lastRenderedPageBreak/>
        <w:t xml:space="preserve">Modalidad de entrega: </w:t>
      </w:r>
      <w:r w:rsidRPr="008826F9">
        <w:rPr>
          <w:rFonts w:ascii="Palatino Linotype" w:hAnsi="Palatino Linotype" w:cs="Arial"/>
          <w:bCs/>
          <w:sz w:val="24"/>
          <w:szCs w:val="24"/>
        </w:rPr>
        <w:t xml:space="preserve">A través del SAIMEX. </w:t>
      </w:r>
    </w:p>
    <w:p w14:paraId="75C1B38A" w14:textId="77777777" w:rsidR="009D61E3" w:rsidRDefault="009D61E3" w:rsidP="006C1524">
      <w:pPr>
        <w:spacing w:before="240" w:line="360" w:lineRule="auto"/>
        <w:jc w:val="both"/>
        <w:rPr>
          <w:rFonts w:ascii="Palatino Linotype" w:hAnsi="Palatino Linotype" w:cs="Arial"/>
          <w:b/>
          <w:sz w:val="28"/>
        </w:rPr>
      </w:pPr>
    </w:p>
    <w:p w14:paraId="3EF6A755" w14:textId="11228E81" w:rsidR="006C1524" w:rsidRPr="0037314A" w:rsidRDefault="006C1524" w:rsidP="006C1524">
      <w:pPr>
        <w:spacing w:before="240" w:line="360" w:lineRule="auto"/>
        <w:jc w:val="both"/>
        <w:rPr>
          <w:rFonts w:ascii="Palatino Linotype" w:hAnsi="Palatino Linotype" w:cs="Arial"/>
          <w:b/>
          <w:sz w:val="28"/>
        </w:rPr>
      </w:pPr>
      <w:r>
        <w:rPr>
          <w:rFonts w:ascii="Palatino Linotype" w:hAnsi="Palatino Linotype" w:cs="Arial"/>
          <w:b/>
          <w:sz w:val="28"/>
        </w:rPr>
        <w:t>SEGUNDO</w:t>
      </w:r>
      <w:r w:rsidRPr="0037314A">
        <w:rPr>
          <w:rFonts w:ascii="Palatino Linotype" w:hAnsi="Palatino Linotype" w:cs="Arial"/>
          <w:b/>
          <w:sz w:val="28"/>
        </w:rPr>
        <w:t xml:space="preserve">. </w:t>
      </w:r>
      <w:r w:rsidRPr="0037314A">
        <w:rPr>
          <w:rFonts w:ascii="Palatino Linotype" w:hAnsi="Palatino Linotype" w:cs="Arial"/>
          <w:b/>
          <w:sz w:val="28"/>
          <w:szCs w:val="20"/>
        </w:rPr>
        <w:t>De la respuesta del Sujeto Obligado.</w:t>
      </w:r>
    </w:p>
    <w:p w14:paraId="7A802950" w14:textId="4D424DF5" w:rsidR="009D61E3" w:rsidRDefault="006C1524" w:rsidP="006C1524">
      <w:pPr>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En el expediente electrónico </w:t>
      </w:r>
      <w:r w:rsidRPr="0037314A">
        <w:rPr>
          <w:rFonts w:ascii="Palatino Linotype" w:hAnsi="Palatino Linotype" w:cs="Arial"/>
          <w:b/>
          <w:sz w:val="24"/>
          <w:szCs w:val="24"/>
        </w:rPr>
        <w:t>SAIMEX</w:t>
      </w:r>
      <w:r w:rsidRPr="0037314A">
        <w:rPr>
          <w:rFonts w:ascii="Palatino Linotype" w:hAnsi="Palatino Linotype" w:cs="Arial"/>
          <w:sz w:val="24"/>
          <w:szCs w:val="24"/>
        </w:rPr>
        <w:t xml:space="preserve">, se aprecia que el </w:t>
      </w:r>
      <w:r w:rsidR="009D61E3">
        <w:rPr>
          <w:rFonts w:ascii="Palatino Linotype" w:hAnsi="Palatino Linotype" w:cs="Arial"/>
          <w:b/>
          <w:bCs/>
          <w:sz w:val="24"/>
          <w:szCs w:val="24"/>
        </w:rPr>
        <w:t xml:space="preserve">veintisiete de febrero de dos mil veinticinco, El Sujeto Obligado </w:t>
      </w:r>
      <w:r w:rsidR="009D61E3">
        <w:rPr>
          <w:rFonts w:ascii="Palatino Linotype" w:hAnsi="Palatino Linotype" w:cs="Arial"/>
          <w:sz w:val="24"/>
          <w:szCs w:val="24"/>
        </w:rPr>
        <w:t xml:space="preserve">dio respuesta a la solicitud de información </w:t>
      </w:r>
      <w:r w:rsidR="009D61E3">
        <w:rPr>
          <w:rFonts w:ascii="Palatino Linotype" w:hAnsi="Palatino Linotype" w:cs="Arial"/>
          <w:b/>
          <w:bCs/>
          <w:sz w:val="24"/>
          <w:szCs w:val="24"/>
        </w:rPr>
        <w:t xml:space="preserve">00203/TENANCIN/IP/2025, </w:t>
      </w:r>
      <w:r w:rsidR="009D61E3">
        <w:rPr>
          <w:rFonts w:ascii="Palatino Linotype" w:hAnsi="Palatino Linotype" w:cs="Arial"/>
          <w:sz w:val="24"/>
          <w:szCs w:val="24"/>
        </w:rPr>
        <w:t>resultando de nuestro interés lo siguiente:</w:t>
      </w:r>
    </w:p>
    <w:p w14:paraId="66D1F100" w14:textId="13C13110" w:rsidR="009D61E3" w:rsidRPr="009D61E3" w:rsidRDefault="009D61E3" w:rsidP="009D61E3">
      <w:pPr>
        <w:pStyle w:val="Citas"/>
        <w:rPr>
          <w:b/>
          <w:bCs/>
        </w:rPr>
      </w:pPr>
      <w:r>
        <w:t>“</w:t>
      </w:r>
      <w:r w:rsidRPr="009D61E3">
        <w:t xml:space="preserve">C. SOLICITANTE DE INFORMACIÓN. PRESENTE. En atención a su solicitud de información recibida a través del Sistema de Acceso a la Información Mexiquense (SAIMEX), identificada con el número 00203/TENANCIN/IP/2025; en la cual solicita información relacionada con lo siguiente: “Solicito que el ayuntamiento de Tenancingo, en términos de la Ley de la materia, de la Ley General de Contabilidad Gubernamental y del Manual único de Contabilidad Gubernamental, remita los registros contables relativos al fondo fijo de caja de la presidencia, aprobado mediante el acuerdo número A037/SO-03/OD-11/25G4V1, en la tercero sesión ordinaria de ese ayuntamiento, el quince de enero de dos mil veinticinco” (sic).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w:t>
      </w:r>
      <w:r w:rsidRPr="009D61E3">
        <w:lastRenderedPageBreak/>
        <w:t>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adjunto al presente se servirá encontrar el oficio de respuesta que emite el Tesorero del Ayuntamiento de Tenancingo, Estado de México. Sin otro particular, reciba un cordial saludo</w:t>
      </w:r>
      <w:r>
        <w:t xml:space="preserve">” </w:t>
      </w:r>
      <w:r>
        <w:rPr>
          <w:b/>
          <w:bCs/>
        </w:rPr>
        <w:t>(Sic)</w:t>
      </w:r>
    </w:p>
    <w:p w14:paraId="26DB0307" w14:textId="6456432F" w:rsidR="006C1524" w:rsidRPr="0037314A" w:rsidRDefault="006C1524" w:rsidP="006C1524">
      <w:pPr>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De forma complementaria, </w:t>
      </w:r>
      <w:r w:rsidRPr="0037314A">
        <w:rPr>
          <w:rFonts w:ascii="Palatino Linotype" w:hAnsi="Palatino Linotype" w:cs="Arial"/>
          <w:b/>
          <w:bCs/>
          <w:sz w:val="24"/>
          <w:szCs w:val="24"/>
        </w:rPr>
        <w:t xml:space="preserve">El Sujeto Obligado </w:t>
      </w:r>
      <w:r w:rsidRPr="0037314A">
        <w:rPr>
          <w:rFonts w:ascii="Palatino Linotype" w:hAnsi="Palatino Linotype" w:cs="Arial"/>
          <w:sz w:val="24"/>
          <w:szCs w:val="24"/>
        </w:rPr>
        <w:t xml:space="preserve">adjuntó </w:t>
      </w:r>
      <w:r w:rsidR="009D61E3">
        <w:rPr>
          <w:rFonts w:ascii="Palatino Linotype" w:hAnsi="Palatino Linotype" w:cs="Arial"/>
          <w:sz w:val="24"/>
          <w:szCs w:val="24"/>
        </w:rPr>
        <w:t xml:space="preserve">el documento electrónico </w:t>
      </w:r>
      <w:r w:rsidR="009D61E3">
        <w:rPr>
          <w:rFonts w:ascii="Palatino Linotype" w:hAnsi="Palatino Linotype" w:cs="Arial"/>
          <w:b/>
          <w:bCs/>
          <w:sz w:val="24"/>
          <w:szCs w:val="24"/>
        </w:rPr>
        <w:t xml:space="preserve">“Contestación 00203 Tesorería (1).pdf”, </w:t>
      </w:r>
      <w:r w:rsidR="008826F9">
        <w:rPr>
          <w:rFonts w:ascii="Palatino Linotype" w:hAnsi="Palatino Linotype" w:cs="Arial"/>
          <w:sz w:val="24"/>
          <w:szCs w:val="24"/>
        </w:rPr>
        <w:t>c</w:t>
      </w:r>
      <w:r>
        <w:rPr>
          <w:rFonts w:ascii="Palatino Linotype" w:hAnsi="Palatino Linotype" w:cs="Arial"/>
          <w:sz w:val="24"/>
          <w:szCs w:val="24"/>
        </w:rPr>
        <w:t xml:space="preserve">uyo contenido se tiene por </w:t>
      </w:r>
      <w:r w:rsidRPr="0037314A">
        <w:rPr>
          <w:rFonts w:ascii="Palatino Linotype" w:hAnsi="Palatino Linotype" w:cs="Arial"/>
          <w:sz w:val="24"/>
          <w:szCs w:val="24"/>
        </w:rPr>
        <w:t xml:space="preserve">reproducido como si a la letra se insertase en virtud de que será materia de análisis en el considerando respectivo. </w:t>
      </w:r>
    </w:p>
    <w:p w14:paraId="73E1B672" w14:textId="77777777" w:rsidR="001B1111" w:rsidRDefault="001B1111" w:rsidP="006C1524">
      <w:pPr>
        <w:spacing w:before="240" w:line="360" w:lineRule="auto"/>
        <w:jc w:val="both"/>
        <w:rPr>
          <w:rFonts w:ascii="Palatino Linotype" w:hAnsi="Palatino Linotype" w:cs="Arial"/>
          <w:b/>
          <w:sz w:val="28"/>
        </w:rPr>
      </w:pPr>
    </w:p>
    <w:p w14:paraId="6CF7671C" w14:textId="2E46F996" w:rsidR="006C1524" w:rsidRPr="0037314A" w:rsidRDefault="006C1524" w:rsidP="006C1524">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Pr="0037314A">
        <w:rPr>
          <w:rFonts w:ascii="Palatino Linotype" w:hAnsi="Palatino Linotype" w:cs="Arial"/>
          <w:b/>
          <w:sz w:val="28"/>
        </w:rPr>
        <w:t xml:space="preserve">. </w:t>
      </w:r>
      <w:r w:rsidRPr="0037314A">
        <w:rPr>
          <w:rFonts w:ascii="Palatino Linotype" w:hAnsi="Palatino Linotype"/>
          <w:b/>
          <w:sz w:val="28"/>
        </w:rPr>
        <w:t>Del recurso de revisión.</w:t>
      </w:r>
    </w:p>
    <w:p w14:paraId="5A0E8AB2" w14:textId="6879574F" w:rsidR="009D61E3" w:rsidRPr="009D61E3" w:rsidRDefault="006C1524" w:rsidP="006C1524">
      <w:pPr>
        <w:spacing w:before="240" w:line="360" w:lineRule="auto"/>
        <w:jc w:val="both"/>
        <w:rPr>
          <w:rFonts w:ascii="Palatino Linotype" w:hAnsi="Palatino Linotype" w:cs="Arial"/>
          <w:bCs/>
          <w:sz w:val="24"/>
          <w:szCs w:val="24"/>
        </w:rPr>
      </w:pPr>
      <w:r w:rsidRPr="0037314A">
        <w:rPr>
          <w:rFonts w:ascii="Palatino Linotype" w:hAnsi="Palatino Linotype" w:cs="Arial"/>
          <w:sz w:val="24"/>
          <w:szCs w:val="24"/>
        </w:rPr>
        <w:t xml:space="preserve">Inconforme con la respuesta notificada por </w:t>
      </w:r>
      <w:r w:rsidRPr="0037314A">
        <w:rPr>
          <w:rFonts w:ascii="Palatino Linotype" w:hAnsi="Palatino Linotype" w:cs="Arial"/>
          <w:b/>
          <w:sz w:val="24"/>
          <w:szCs w:val="24"/>
        </w:rPr>
        <w:t xml:space="preserve">El Sujeto Obligado, El Recurrente </w:t>
      </w:r>
      <w:r w:rsidRPr="0037314A">
        <w:rPr>
          <w:rFonts w:ascii="Palatino Linotype" w:hAnsi="Palatino Linotype" w:cs="Arial"/>
          <w:bCs/>
          <w:sz w:val="24"/>
          <w:szCs w:val="24"/>
        </w:rPr>
        <w:t xml:space="preserve">interpuso el recurso de revisión, en fecha </w:t>
      </w:r>
      <w:r w:rsidR="009D61E3">
        <w:rPr>
          <w:rFonts w:ascii="Palatino Linotype" w:hAnsi="Palatino Linotype" w:cs="Arial"/>
          <w:b/>
          <w:sz w:val="24"/>
          <w:szCs w:val="24"/>
        </w:rPr>
        <w:t xml:space="preserve">veintisiete de febrero de dos mil veinticinco, </w:t>
      </w:r>
      <w:r w:rsidR="009D61E3">
        <w:rPr>
          <w:rFonts w:ascii="Palatino Linotype" w:hAnsi="Palatino Linotype" w:cs="Arial"/>
          <w:bCs/>
          <w:sz w:val="24"/>
          <w:szCs w:val="24"/>
        </w:rPr>
        <w:t xml:space="preserve">el cual fue registrado en el sistema electrónico con el expediente </w:t>
      </w:r>
      <w:r w:rsidR="009D61E3">
        <w:rPr>
          <w:rFonts w:ascii="Palatino Linotype" w:hAnsi="Palatino Linotype" w:cs="Arial"/>
          <w:b/>
          <w:sz w:val="24"/>
          <w:szCs w:val="24"/>
        </w:rPr>
        <w:t xml:space="preserve">02190/INFOEM/IP/RR/2025, </w:t>
      </w:r>
      <w:r w:rsidR="009D61E3">
        <w:rPr>
          <w:rFonts w:ascii="Palatino Linotype" w:hAnsi="Palatino Linotype" w:cs="Arial"/>
          <w:bCs/>
          <w:sz w:val="24"/>
          <w:szCs w:val="24"/>
        </w:rPr>
        <w:t xml:space="preserve">en el cual arguye las siguientes manifestaciones: </w:t>
      </w:r>
    </w:p>
    <w:p w14:paraId="0BBDE173" w14:textId="77777777" w:rsidR="006C1524" w:rsidRPr="0037314A" w:rsidRDefault="006C1524" w:rsidP="006C1524">
      <w:pPr>
        <w:spacing w:before="240" w:line="360" w:lineRule="auto"/>
        <w:jc w:val="both"/>
        <w:rPr>
          <w:rFonts w:ascii="Palatino Linotype" w:hAnsi="Palatino Linotype" w:cs="Arial"/>
          <w:b/>
          <w:sz w:val="24"/>
        </w:rPr>
      </w:pPr>
      <w:r w:rsidRPr="0037314A">
        <w:rPr>
          <w:rFonts w:ascii="Palatino Linotype" w:hAnsi="Palatino Linotype" w:cs="Arial"/>
          <w:b/>
          <w:sz w:val="24"/>
        </w:rPr>
        <w:t>Acto Impugnado:</w:t>
      </w:r>
    </w:p>
    <w:p w14:paraId="0E7EBE2A" w14:textId="4797D1E2" w:rsidR="006C1524" w:rsidRPr="0037314A" w:rsidRDefault="006C1524" w:rsidP="006C1524">
      <w:pPr>
        <w:pStyle w:val="Citas"/>
        <w:rPr>
          <w:b/>
          <w:bCs/>
          <w:sz w:val="24"/>
        </w:rPr>
      </w:pPr>
      <w:r w:rsidRPr="00D83758">
        <w:t>“</w:t>
      </w:r>
      <w:r w:rsidR="009D61E3" w:rsidRPr="009D61E3">
        <w:t>La respuesta a la solicitud de información identificada con el número 00203/TENANCIN/IP/2025</w:t>
      </w:r>
      <w:r w:rsidRPr="00D83758">
        <w:t>”</w:t>
      </w:r>
      <w:r w:rsidRPr="0037314A">
        <w:t xml:space="preserve"> </w:t>
      </w:r>
      <w:r w:rsidRPr="0037314A">
        <w:rPr>
          <w:b/>
          <w:bCs/>
        </w:rPr>
        <w:t>(Sic)</w:t>
      </w:r>
    </w:p>
    <w:p w14:paraId="2F520C61" w14:textId="77777777" w:rsidR="006C1524" w:rsidRPr="0037314A" w:rsidRDefault="006C1524" w:rsidP="006C1524">
      <w:pPr>
        <w:spacing w:before="240" w:line="360" w:lineRule="auto"/>
        <w:jc w:val="both"/>
        <w:rPr>
          <w:rFonts w:ascii="Palatino Linotype" w:hAnsi="Palatino Linotype" w:cs="Arial"/>
          <w:sz w:val="24"/>
        </w:rPr>
      </w:pPr>
      <w:r w:rsidRPr="0037314A">
        <w:rPr>
          <w:rFonts w:ascii="Palatino Linotype" w:hAnsi="Palatino Linotype" w:cs="Arial"/>
          <w:b/>
          <w:sz w:val="24"/>
        </w:rPr>
        <w:t>Razones o Motivos de Inconformidad</w:t>
      </w:r>
      <w:r w:rsidRPr="0037314A">
        <w:rPr>
          <w:rFonts w:ascii="Palatino Linotype" w:hAnsi="Palatino Linotype" w:cs="Arial"/>
          <w:sz w:val="24"/>
        </w:rPr>
        <w:t xml:space="preserve">: </w:t>
      </w:r>
    </w:p>
    <w:p w14:paraId="79B1A4C6" w14:textId="60364A41" w:rsidR="006C1524" w:rsidRPr="0037314A" w:rsidRDefault="006C1524" w:rsidP="006C1524">
      <w:pPr>
        <w:pStyle w:val="Citas"/>
        <w:rPr>
          <w:b/>
          <w:bCs/>
        </w:rPr>
      </w:pPr>
      <w:r w:rsidRPr="00D83758">
        <w:t>“</w:t>
      </w:r>
      <w:r w:rsidR="009D61E3" w:rsidRPr="009D61E3">
        <w:t>De la respuesta otorgada es evidente que el sujeto obligado no proporciona la información solicitada, pues si bien refiere que a la fecha no hay registro de erogaciones al fondo fijo de caja; los registros contables no se refieren exclusivamente a erogaciones, puesto que la contabilidad gubernamental define a los registros contables como todas aquellas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 específicamente por lo que se refiere al fondo fijo de caja, las documentales que avalen la solicitud y autorización del fondo (mismo que debe contener el monto solicitado y autorizado); liberación del monto, el recibo del fondo fijo de caja, creación de cuentas, cheques, pólizas, etc.; es decir, todos los registros relacionados con ese fondo</w:t>
      </w:r>
      <w:r w:rsidRPr="00D83758">
        <w:t>”</w:t>
      </w:r>
      <w:r w:rsidRPr="0037314A">
        <w:t xml:space="preserve"> </w:t>
      </w:r>
      <w:r w:rsidRPr="0037314A">
        <w:rPr>
          <w:b/>
          <w:bCs/>
        </w:rPr>
        <w:t>(Sic)</w:t>
      </w:r>
    </w:p>
    <w:p w14:paraId="2F0B4155" w14:textId="71EC4A6D" w:rsidR="006C1524" w:rsidRPr="009D61E3" w:rsidRDefault="009D61E3" w:rsidP="006C1524">
      <w:pPr>
        <w:pStyle w:val="Citas"/>
        <w:ind w:left="0"/>
        <w:rPr>
          <w:bCs/>
          <w:i w:val="0"/>
          <w:iCs/>
          <w:sz w:val="24"/>
          <w:szCs w:val="24"/>
        </w:rPr>
      </w:pPr>
      <w:r>
        <w:rPr>
          <w:bCs/>
          <w:i w:val="0"/>
          <w:iCs/>
          <w:sz w:val="24"/>
          <w:szCs w:val="24"/>
        </w:rPr>
        <w:lastRenderedPageBreak/>
        <w:t xml:space="preserve">Adjuntando el documento electrónico </w:t>
      </w:r>
      <w:r>
        <w:rPr>
          <w:b/>
          <w:i w:val="0"/>
          <w:iCs/>
          <w:sz w:val="24"/>
          <w:szCs w:val="24"/>
        </w:rPr>
        <w:t xml:space="preserve">“Contestación 00203 Tesorería (1) (1).pdf”, </w:t>
      </w:r>
      <w:r>
        <w:rPr>
          <w:bCs/>
          <w:i w:val="0"/>
          <w:iCs/>
          <w:sz w:val="24"/>
          <w:szCs w:val="24"/>
        </w:rPr>
        <w:t xml:space="preserve">correspondiente a la respuesta primigenia. </w:t>
      </w:r>
    </w:p>
    <w:p w14:paraId="67E4C476" w14:textId="77777777" w:rsidR="009D61E3" w:rsidRDefault="009D61E3" w:rsidP="006C1524">
      <w:pPr>
        <w:spacing w:before="240" w:line="360" w:lineRule="auto"/>
        <w:jc w:val="both"/>
        <w:rPr>
          <w:rFonts w:ascii="Palatino Linotype" w:hAnsi="Palatino Linotype" w:cs="Arial"/>
          <w:b/>
          <w:sz w:val="28"/>
        </w:rPr>
      </w:pPr>
    </w:p>
    <w:p w14:paraId="5DD62807" w14:textId="10F025BF" w:rsidR="006C1524" w:rsidRPr="0037314A" w:rsidRDefault="006C1524" w:rsidP="006C1524">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37314A">
        <w:rPr>
          <w:rFonts w:ascii="Palatino Linotype" w:hAnsi="Palatino Linotype" w:cs="Arial"/>
          <w:b/>
          <w:sz w:val="24"/>
          <w:szCs w:val="24"/>
        </w:rPr>
        <w:t xml:space="preserve">. </w:t>
      </w:r>
      <w:r w:rsidRPr="0037314A">
        <w:rPr>
          <w:rFonts w:ascii="Palatino Linotype" w:hAnsi="Palatino Linotype" w:cs="Arial"/>
          <w:b/>
          <w:sz w:val="28"/>
          <w:szCs w:val="28"/>
        </w:rPr>
        <w:t>Del turno del recurso de revisión.</w:t>
      </w:r>
    </w:p>
    <w:p w14:paraId="7BCA7FB0" w14:textId="4FB134C1" w:rsidR="006C1524" w:rsidRPr="0037314A" w:rsidRDefault="006C1524" w:rsidP="006C1524">
      <w:pPr>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Medio de impugnación que le fue turnado al Comisionado </w:t>
      </w:r>
      <w:r w:rsidRPr="0037314A">
        <w:rPr>
          <w:rFonts w:ascii="Palatino Linotype" w:hAnsi="Palatino Linotype" w:cs="Arial"/>
          <w:b/>
          <w:sz w:val="24"/>
          <w:szCs w:val="24"/>
        </w:rPr>
        <w:t>José Martínez Vilchis</w:t>
      </w:r>
      <w:r w:rsidRPr="0037314A">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9D61E3">
        <w:rPr>
          <w:rFonts w:ascii="Palatino Linotype" w:hAnsi="Palatino Linotype" w:cs="Arial"/>
          <w:b/>
          <w:bCs/>
          <w:sz w:val="24"/>
          <w:szCs w:val="24"/>
        </w:rPr>
        <w:t>cinco de marzo</w:t>
      </w:r>
      <w:r>
        <w:rPr>
          <w:rFonts w:ascii="Palatino Linotype" w:hAnsi="Palatino Linotype" w:cs="Arial"/>
          <w:b/>
          <w:bCs/>
          <w:sz w:val="24"/>
          <w:szCs w:val="24"/>
        </w:rPr>
        <w:t xml:space="preserve"> del presente, </w:t>
      </w:r>
      <w:r w:rsidRPr="0037314A">
        <w:rPr>
          <w:rFonts w:ascii="Palatino Linotype" w:hAnsi="Palatino Linotype" w:cs="Arial"/>
          <w:sz w:val="24"/>
          <w:szCs w:val="24"/>
        </w:rPr>
        <w:t>determinándose en él, un plazo de siete días para que las partes manifestaran lo que a su derecho corresponda en términos del numeral ya citado.</w:t>
      </w:r>
    </w:p>
    <w:p w14:paraId="22917967" w14:textId="77777777" w:rsidR="006C1524" w:rsidRPr="0037314A" w:rsidRDefault="006C1524" w:rsidP="006C1524">
      <w:pPr>
        <w:spacing w:before="240" w:line="360" w:lineRule="auto"/>
        <w:jc w:val="both"/>
        <w:rPr>
          <w:rFonts w:ascii="Palatino Linotype" w:hAnsi="Palatino Linotype" w:cs="Arial"/>
          <w:sz w:val="24"/>
          <w:szCs w:val="24"/>
        </w:rPr>
      </w:pPr>
    </w:p>
    <w:p w14:paraId="41EB1EA3" w14:textId="77777777" w:rsidR="006C1524" w:rsidRPr="0037314A" w:rsidRDefault="006C1524" w:rsidP="006C1524">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37314A">
        <w:rPr>
          <w:rFonts w:ascii="Palatino Linotype" w:hAnsi="Palatino Linotype" w:cs="Arial"/>
          <w:b/>
          <w:sz w:val="24"/>
          <w:szCs w:val="24"/>
        </w:rPr>
        <w:t xml:space="preserve">. </w:t>
      </w:r>
      <w:r w:rsidRPr="0037314A">
        <w:rPr>
          <w:rFonts w:ascii="Palatino Linotype" w:hAnsi="Palatino Linotype" w:cs="Arial"/>
          <w:b/>
          <w:sz w:val="28"/>
          <w:szCs w:val="28"/>
        </w:rPr>
        <w:t>De la etapa de instrucción.</w:t>
      </w:r>
    </w:p>
    <w:p w14:paraId="59C453A8" w14:textId="18B0884B" w:rsidR="008826F9" w:rsidRPr="008B4036" w:rsidRDefault="006C1524" w:rsidP="006C1524">
      <w:pPr>
        <w:spacing w:before="240" w:line="360" w:lineRule="auto"/>
        <w:jc w:val="both"/>
        <w:rPr>
          <w:rFonts w:ascii="Palatino Linotype" w:hAnsi="Palatino Linotype" w:cs="Arial"/>
          <w:b/>
          <w:sz w:val="24"/>
          <w:szCs w:val="24"/>
        </w:rPr>
      </w:pPr>
      <w:r w:rsidRPr="0037314A">
        <w:rPr>
          <w:rFonts w:ascii="Palatino Linotype" w:hAnsi="Palatino Linotype" w:cs="Arial"/>
          <w:sz w:val="24"/>
          <w:szCs w:val="24"/>
        </w:rPr>
        <w:t xml:space="preserve">Así, una vez transcurrido el </w:t>
      </w:r>
      <w:r w:rsidRPr="00D33C86">
        <w:rPr>
          <w:rFonts w:ascii="Palatino Linotype" w:hAnsi="Palatino Linotype" w:cs="Arial"/>
          <w:sz w:val="24"/>
          <w:szCs w:val="24"/>
        </w:rPr>
        <w:t xml:space="preserve">término legal referido, se advierte que </w:t>
      </w:r>
      <w:r w:rsidRPr="00D33C86">
        <w:rPr>
          <w:rFonts w:ascii="Palatino Linotype" w:hAnsi="Palatino Linotype" w:cs="Arial"/>
          <w:b/>
          <w:sz w:val="24"/>
          <w:szCs w:val="24"/>
        </w:rPr>
        <w:t xml:space="preserve">El Sujeto Obligado </w:t>
      </w:r>
      <w:r w:rsidR="008B4036">
        <w:rPr>
          <w:rFonts w:ascii="Palatino Linotype" w:hAnsi="Palatino Linotype" w:cs="Arial"/>
          <w:bCs/>
          <w:sz w:val="24"/>
          <w:szCs w:val="24"/>
        </w:rPr>
        <w:t xml:space="preserve">rindió su informe justificado en fecha </w:t>
      </w:r>
      <w:r w:rsidR="008B4036">
        <w:rPr>
          <w:rFonts w:ascii="Palatino Linotype" w:hAnsi="Palatino Linotype" w:cs="Arial"/>
          <w:b/>
          <w:sz w:val="24"/>
          <w:szCs w:val="24"/>
        </w:rPr>
        <w:t xml:space="preserve">catorce de marzo, </w:t>
      </w:r>
      <w:r w:rsidR="008B4036">
        <w:rPr>
          <w:rFonts w:ascii="Palatino Linotype" w:hAnsi="Palatino Linotype" w:cs="Arial"/>
          <w:bCs/>
          <w:sz w:val="24"/>
          <w:szCs w:val="24"/>
        </w:rPr>
        <w:t xml:space="preserve">mismo que fue puesto a la vista el </w:t>
      </w:r>
      <w:r w:rsidR="008B4036">
        <w:rPr>
          <w:rFonts w:ascii="Palatino Linotype" w:hAnsi="Palatino Linotype" w:cs="Arial"/>
          <w:b/>
          <w:sz w:val="24"/>
          <w:szCs w:val="24"/>
        </w:rPr>
        <w:t xml:space="preserve">dieciocho de marzo, ambos de dos mil veinticinco. </w:t>
      </w:r>
    </w:p>
    <w:p w14:paraId="39AA9AD6" w14:textId="33257379" w:rsidR="006C1524" w:rsidRDefault="006C1524" w:rsidP="006C1524">
      <w:pPr>
        <w:spacing w:before="240" w:line="360" w:lineRule="auto"/>
        <w:jc w:val="both"/>
        <w:rPr>
          <w:rFonts w:ascii="Palatino Linotype" w:hAnsi="Palatino Linotype" w:cs="Arial"/>
          <w:sz w:val="24"/>
          <w:szCs w:val="24"/>
        </w:rPr>
      </w:pPr>
      <w:r w:rsidRPr="0037314A">
        <w:rPr>
          <w:rFonts w:ascii="Palatino Linotype" w:hAnsi="Palatino Linotype" w:cs="Arial"/>
          <w:bCs/>
          <w:sz w:val="24"/>
          <w:szCs w:val="24"/>
        </w:rPr>
        <w:t xml:space="preserve">Por lo cual </w:t>
      </w:r>
      <w:r w:rsidRPr="007653A0">
        <w:rPr>
          <w:rFonts w:ascii="Palatino Linotype" w:hAnsi="Palatino Linotype" w:cs="Arial"/>
          <w:bCs/>
          <w:sz w:val="24"/>
          <w:szCs w:val="24"/>
        </w:rPr>
        <w:t xml:space="preserve">se decretó el cierre de instrucción con fecha </w:t>
      </w:r>
      <w:r w:rsidR="008B4036">
        <w:rPr>
          <w:rFonts w:ascii="Palatino Linotype" w:hAnsi="Palatino Linotype" w:cs="Arial"/>
          <w:b/>
          <w:sz w:val="24"/>
          <w:szCs w:val="24"/>
        </w:rPr>
        <w:t>veinticuatro</w:t>
      </w:r>
      <w:r w:rsidR="009D61E3">
        <w:rPr>
          <w:rFonts w:ascii="Palatino Linotype" w:hAnsi="Palatino Linotype" w:cs="Arial"/>
          <w:b/>
          <w:sz w:val="24"/>
          <w:szCs w:val="24"/>
        </w:rPr>
        <w:t xml:space="preserve"> de marzo</w:t>
      </w:r>
      <w:r>
        <w:rPr>
          <w:rFonts w:ascii="Palatino Linotype" w:hAnsi="Palatino Linotype" w:cs="Arial"/>
          <w:b/>
          <w:sz w:val="24"/>
          <w:szCs w:val="24"/>
        </w:rPr>
        <w:t xml:space="preserve"> del año en curso, </w:t>
      </w:r>
      <w:r w:rsidRPr="007653A0">
        <w:rPr>
          <w:rFonts w:ascii="Palatino Linotype" w:hAnsi="Palatino Linotype" w:cs="Arial"/>
          <w:bCs/>
          <w:sz w:val="24"/>
          <w:szCs w:val="24"/>
        </w:rPr>
        <w:t>en</w:t>
      </w:r>
      <w:r w:rsidRPr="007653A0">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Default="00A452EB" w:rsidP="00870B18">
      <w:pPr>
        <w:spacing w:before="240" w:line="360" w:lineRule="auto"/>
        <w:jc w:val="center"/>
        <w:rPr>
          <w:rFonts w:ascii="Palatino Linotype" w:hAnsi="Palatino Linotype" w:cs="Arial"/>
          <w:b/>
          <w:sz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1FF8B4A4" w14:textId="1223C6AF" w:rsidR="0040360C" w:rsidRPr="00F6461C" w:rsidRDefault="0040360C" w:rsidP="0040360C">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C84570">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6CB5C554" w14:textId="77777777" w:rsidR="0040360C" w:rsidRDefault="0040360C"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FF67365"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010DF4F" w14:textId="77777777" w:rsidR="008D7E56" w:rsidRDefault="008D7E56" w:rsidP="00E50179">
      <w:pPr>
        <w:spacing w:after="0" w:line="360" w:lineRule="auto"/>
        <w:jc w:val="both"/>
        <w:rPr>
          <w:rFonts w:ascii="Palatino Linotype" w:hAnsi="Palatino Linotype" w:cs="Arial"/>
          <w:b/>
          <w:sz w:val="28"/>
        </w:rPr>
      </w:pPr>
    </w:p>
    <w:p w14:paraId="7CC2363F" w14:textId="77777777" w:rsidR="008B4036" w:rsidRPr="00171027" w:rsidRDefault="008B4036" w:rsidP="008B4036">
      <w:pPr>
        <w:spacing w:line="360" w:lineRule="auto"/>
        <w:jc w:val="both"/>
        <w:rPr>
          <w:rFonts w:ascii="Palatino Linotype" w:hAnsi="Palatino Linotype"/>
          <w:b/>
          <w:sz w:val="28"/>
          <w:szCs w:val="28"/>
        </w:rPr>
      </w:pPr>
      <w:r>
        <w:rPr>
          <w:rFonts w:ascii="Palatino Linotype" w:hAnsi="Palatino Linotype"/>
          <w:b/>
          <w:sz w:val="28"/>
          <w:szCs w:val="28"/>
        </w:rPr>
        <w:t>TERCERO</w:t>
      </w:r>
      <w:r w:rsidRPr="00171027">
        <w:rPr>
          <w:rFonts w:ascii="Palatino Linotype" w:hAnsi="Palatino Linotype"/>
          <w:b/>
          <w:sz w:val="28"/>
          <w:szCs w:val="28"/>
        </w:rPr>
        <w:t>. Del estudio de las causas de improcedencia y sobreseimiento.</w:t>
      </w:r>
    </w:p>
    <w:p w14:paraId="41A819E1" w14:textId="77777777" w:rsidR="008B4036" w:rsidRPr="00EF0560" w:rsidRDefault="008B4036" w:rsidP="008B4036">
      <w:pPr>
        <w:spacing w:line="360" w:lineRule="auto"/>
        <w:jc w:val="both"/>
        <w:rPr>
          <w:rFonts w:ascii="Palatino Linotype" w:hAnsi="Palatino Linotype"/>
          <w:sz w:val="24"/>
          <w:szCs w:val="24"/>
        </w:rPr>
      </w:pPr>
      <w:r w:rsidRPr="00EF0560">
        <w:rPr>
          <w:rFonts w:ascii="Palatino Linotype" w:hAnsi="Palatino Linotype"/>
          <w:sz w:val="24"/>
          <w:szCs w:val="24"/>
        </w:rPr>
        <w:t>Es importante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8F5A47A" w14:textId="77777777" w:rsidR="008B4036" w:rsidRDefault="008B4036" w:rsidP="008B4036">
      <w:pPr>
        <w:spacing w:line="360" w:lineRule="auto"/>
        <w:jc w:val="both"/>
        <w:rPr>
          <w:rFonts w:ascii="Palatino Linotype" w:hAnsi="Palatino Linotype"/>
          <w:sz w:val="24"/>
          <w:szCs w:val="24"/>
        </w:rPr>
      </w:pPr>
      <w:r w:rsidRPr="00EF0560">
        <w:rPr>
          <w:rFonts w:ascii="Palatino Linotype" w:hAnsi="Palatino Linotype"/>
          <w:sz w:val="24"/>
          <w:szCs w:val="24"/>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dado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r>
        <w:rPr>
          <w:rFonts w:ascii="Palatino Linotype" w:hAnsi="Palatino Linotype"/>
          <w:sz w:val="24"/>
          <w:szCs w:val="24"/>
        </w:rPr>
        <w:t xml:space="preserve"> </w:t>
      </w:r>
    </w:p>
    <w:p w14:paraId="32B3D10F" w14:textId="77777777" w:rsidR="008B4036" w:rsidRPr="00EF0560" w:rsidRDefault="008B4036" w:rsidP="008B4036">
      <w:pPr>
        <w:spacing w:line="360" w:lineRule="auto"/>
        <w:jc w:val="both"/>
        <w:rPr>
          <w:rFonts w:ascii="Palatino Linotype" w:eastAsia="Times New Roman" w:hAnsi="Palatino Linotype" w:cs="Arial"/>
          <w:sz w:val="24"/>
          <w:szCs w:val="24"/>
          <w:lang w:val="es-ES" w:eastAsia="es-ES"/>
        </w:rPr>
      </w:pPr>
      <w:r w:rsidRPr="00EF0560">
        <w:rPr>
          <w:rFonts w:ascii="Palatino Linotype" w:eastAsia="Times New Roman" w:hAnsi="Palatino Linotype" w:cs="Arial"/>
          <w:sz w:val="24"/>
          <w:szCs w:val="24"/>
          <w:lang w:val="es-ES" w:eastAsia="es-ES"/>
        </w:rPr>
        <w:lastRenderedPageBreak/>
        <w:t>Estudio de causales de improcedencia que no son incompatibles con el derecho de acceso a la justicia, ya que éste no se coarta por regular causas de improcedencia y sobreseimiento con tales fines</w:t>
      </w:r>
      <w:r w:rsidRPr="00EF0560">
        <w:rPr>
          <w:rFonts w:ascii="Palatino Linotype" w:eastAsia="Times New Roman" w:hAnsi="Palatino Linotype" w:cs="Arial"/>
          <w:sz w:val="24"/>
          <w:szCs w:val="24"/>
          <w:vertAlign w:val="superscript"/>
          <w:lang w:val="es-ES" w:eastAsia="es-ES"/>
        </w:rPr>
        <w:footnoteReference w:id="1"/>
      </w:r>
      <w:r w:rsidRPr="00EF0560">
        <w:rPr>
          <w:rFonts w:ascii="Palatino Linotype" w:eastAsia="Times New Roman" w:hAnsi="Palatino Linotype" w:cs="Arial"/>
          <w:sz w:val="24"/>
          <w:szCs w:val="24"/>
          <w:lang w:val="es-ES" w:eastAsia="es-ES"/>
        </w:rPr>
        <w:t>.</w:t>
      </w:r>
    </w:p>
    <w:p w14:paraId="37680624" w14:textId="77777777" w:rsidR="008B4036" w:rsidRPr="00EF0560" w:rsidRDefault="008B4036" w:rsidP="008B4036">
      <w:pPr>
        <w:spacing w:line="360" w:lineRule="auto"/>
        <w:jc w:val="both"/>
        <w:rPr>
          <w:rFonts w:ascii="Palatino Linotype" w:hAnsi="Palatino Linotype"/>
          <w:sz w:val="24"/>
          <w:szCs w:val="24"/>
        </w:rPr>
      </w:pPr>
      <w:r w:rsidRPr="00EF0560">
        <w:rPr>
          <w:rFonts w:ascii="Palatino Linotype" w:hAnsi="Palatino Linotype"/>
          <w:sz w:val="24"/>
          <w:szCs w:val="24"/>
        </w:rPr>
        <w:t xml:space="preserve">En primer término es necesario hacer alusión a la solicitud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EF0560">
        <w:rPr>
          <w:rFonts w:ascii="Palatino Linotype" w:hAnsi="Palatino Linotype"/>
          <w:sz w:val="24"/>
          <w:szCs w:val="24"/>
        </w:rPr>
        <w:lastRenderedPageBreak/>
        <w:t>se le dé a las solicitudes de información, ya que el sujeto obligado puede considerar una circunstancia en particular diversa a la que la particular objetivamente requiere.</w:t>
      </w:r>
    </w:p>
    <w:p w14:paraId="2CC056D1" w14:textId="77777777" w:rsidR="008B4036" w:rsidRPr="00EF0560" w:rsidRDefault="008B4036" w:rsidP="008B4036">
      <w:pPr>
        <w:spacing w:line="360" w:lineRule="auto"/>
        <w:jc w:val="both"/>
        <w:rPr>
          <w:rFonts w:ascii="Palatino Linotype" w:hAnsi="Palatino Linotype"/>
          <w:sz w:val="24"/>
          <w:szCs w:val="24"/>
        </w:rPr>
      </w:pPr>
      <w:r w:rsidRPr="00EF0560">
        <w:rPr>
          <w:rFonts w:ascii="Palatino Linotype" w:hAnsi="Palatino Linotype"/>
          <w:sz w:val="24"/>
          <w:szCs w:val="24"/>
        </w:rPr>
        <w:t xml:space="preserve">Ya que el planteamiento del problema es de toral importancia, a efecto de determinar la intención o voluntad </w:t>
      </w:r>
      <w:r>
        <w:rPr>
          <w:rFonts w:ascii="Palatino Linotype" w:hAnsi="Palatino Linotype"/>
          <w:sz w:val="24"/>
          <w:szCs w:val="24"/>
        </w:rPr>
        <w:t>del</w:t>
      </w:r>
      <w:r w:rsidRPr="00EF0560">
        <w:rPr>
          <w:rFonts w:ascii="Palatino Linotype" w:hAnsi="Palatino Linotype"/>
          <w:sz w:val="24"/>
          <w:szCs w:val="24"/>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69CF4B31" w14:textId="77777777" w:rsidR="008B4036" w:rsidRPr="00EF0560" w:rsidRDefault="008B4036" w:rsidP="008B4036">
      <w:pPr>
        <w:spacing w:line="360" w:lineRule="auto"/>
        <w:jc w:val="both"/>
        <w:rPr>
          <w:rFonts w:ascii="Palatino Linotype" w:hAnsi="Palatino Linotype"/>
          <w:sz w:val="24"/>
          <w:szCs w:val="24"/>
        </w:rPr>
      </w:pPr>
      <w:r w:rsidRPr="00EF0560">
        <w:rPr>
          <w:rFonts w:ascii="Palatino Linotype" w:hAnsi="Palatino Linotype"/>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0848AA4" w14:textId="77777777" w:rsidR="008B4036" w:rsidRPr="00EF0560" w:rsidRDefault="008B4036" w:rsidP="008B4036">
      <w:pPr>
        <w:spacing w:line="360" w:lineRule="auto"/>
        <w:jc w:val="both"/>
        <w:rPr>
          <w:rFonts w:ascii="Palatino Linotype" w:hAnsi="Palatino Linotype"/>
          <w:sz w:val="24"/>
          <w:szCs w:val="24"/>
        </w:rPr>
      </w:pPr>
      <w:r w:rsidRPr="00EF0560">
        <w:rPr>
          <w:rFonts w:ascii="Palatino Linotype" w:hAnsi="Palatino Linotype"/>
          <w:sz w:val="24"/>
          <w:szCs w:val="24"/>
        </w:rPr>
        <w:t>Cabe resaltar que la Ley de Transparencia estatal en su artículo 192 contempla la figura jurídica del sobreseimiento, y específicamente en su hipótesis inmersa en la fracción IV, la cual establece que se sobreseerá el asunto cuando una vez admitido el recurso de revisión, aparezca alguna causal de improcedencia en los términos de la presente Ley.</w:t>
      </w:r>
    </w:p>
    <w:p w14:paraId="07C78861" w14:textId="77777777" w:rsidR="008B4036" w:rsidRPr="00EF0560" w:rsidRDefault="008B4036" w:rsidP="008B4036">
      <w:pPr>
        <w:spacing w:line="360" w:lineRule="auto"/>
        <w:jc w:val="both"/>
        <w:rPr>
          <w:rFonts w:ascii="Palatino Linotype" w:hAnsi="Palatino Linotype"/>
          <w:sz w:val="24"/>
          <w:szCs w:val="24"/>
        </w:rPr>
      </w:pPr>
      <w:r w:rsidRPr="00EF0560">
        <w:rPr>
          <w:rFonts w:ascii="Palatino Linotype" w:hAnsi="Palatino Linotype"/>
          <w:sz w:val="24"/>
          <w:szCs w:val="24"/>
        </w:rPr>
        <w:t xml:space="preserve">En ese contexto, para el efecto de verificar que el presente recurso de revisión se ha actualizado la hipótesis referida, es necesario realizar un estudio a las actuaciones que </w:t>
      </w:r>
      <w:r w:rsidRPr="00EF0560">
        <w:rPr>
          <w:rFonts w:ascii="Palatino Linotype" w:hAnsi="Palatino Linotype"/>
          <w:sz w:val="24"/>
          <w:szCs w:val="24"/>
        </w:rPr>
        <w:lastRenderedPageBreak/>
        <w:t>obran en el expediente electrónico a fin de determinar si en el caso en concreto se actualiza el supuesto procesal que establece la fracción IV del artículo 192 de la Ley de Transparencia local y se presentó alguna causal de improcedencia prevista en el artículo 191 de la misma Ley.</w:t>
      </w:r>
    </w:p>
    <w:p w14:paraId="23D95290" w14:textId="0B2EE82B" w:rsidR="00D674E4" w:rsidRPr="00D33C86" w:rsidRDefault="000C7274" w:rsidP="00210D86">
      <w:pPr>
        <w:autoSpaceDE w:val="0"/>
        <w:autoSpaceDN w:val="0"/>
        <w:adjustRightInd w:val="0"/>
        <w:spacing w:before="240" w:line="360" w:lineRule="auto"/>
        <w:jc w:val="both"/>
        <w:rPr>
          <w:rFonts w:ascii="Palatino Linotype" w:hAnsi="Palatino Linotype" w:cs="Arial"/>
          <w:sz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D33C86">
        <w:rPr>
          <w:rFonts w:ascii="Palatino Linotype" w:hAnsi="Palatino Linotype" w:cs="Arial"/>
          <w:sz w:val="24"/>
          <w:szCs w:val="24"/>
        </w:rPr>
        <w:t xml:space="preserve">a la solicitud de información </w:t>
      </w:r>
      <w:r w:rsidR="00813B72">
        <w:rPr>
          <w:rFonts w:ascii="Palatino Linotype" w:hAnsi="Palatino Linotype" w:cs="Arial"/>
          <w:b/>
          <w:bCs/>
          <w:sz w:val="24"/>
          <w:szCs w:val="24"/>
        </w:rPr>
        <w:t>00203/TENANCIN/IP/2025</w:t>
      </w:r>
      <w:r w:rsidR="00D33C86">
        <w:rPr>
          <w:rFonts w:ascii="Palatino Linotype" w:hAnsi="Palatino Linotype" w:cs="Arial"/>
          <w:b/>
          <w:bCs/>
          <w:sz w:val="24"/>
          <w:szCs w:val="24"/>
        </w:rPr>
        <w:t xml:space="preserve">, </w:t>
      </w:r>
      <w:r w:rsidR="00D33C86">
        <w:rPr>
          <w:rFonts w:ascii="Palatino Linotype" w:hAnsi="Palatino Linotype" w:cs="Arial"/>
          <w:sz w:val="24"/>
          <w:szCs w:val="24"/>
        </w:rPr>
        <w:t xml:space="preserve">se desprenden las siguientes consideraciones: </w:t>
      </w:r>
    </w:p>
    <w:p w14:paraId="2A1AFD5B" w14:textId="77777777" w:rsidR="00D674E4" w:rsidRPr="006C0923" w:rsidRDefault="00D674E4" w:rsidP="00E0458C">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C0923">
        <w:rPr>
          <w:rFonts w:ascii="Palatino Linotype" w:hAnsi="Palatino Linotype" w:cs="Arial"/>
          <w:b/>
          <w:bCs/>
          <w:lang w:val="es-MX"/>
        </w:rPr>
        <w:t xml:space="preserve">Sujetos Obligados. </w:t>
      </w:r>
    </w:p>
    <w:p w14:paraId="19C6AA77" w14:textId="7EE8D75A" w:rsidR="00D33C86" w:rsidRPr="00813B72" w:rsidRDefault="00D674E4" w:rsidP="00E0458C">
      <w:pPr>
        <w:pStyle w:val="Prrafodelista"/>
        <w:numPr>
          <w:ilvl w:val="0"/>
          <w:numId w:val="2"/>
        </w:numPr>
        <w:autoSpaceDE w:val="0"/>
        <w:autoSpaceDN w:val="0"/>
        <w:adjustRightInd w:val="0"/>
        <w:spacing w:before="240" w:line="360" w:lineRule="auto"/>
        <w:jc w:val="both"/>
        <w:rPr>
          <w:rFonts w:ascii="Palatino Linotype" w:hAnsi="Palatino Linotype"/>
          <w:color w:val="000000"/>
          <w:lang w:val="es-MX"/>
        </w:rPr>
      </w:pPr>
      <w:r w:rsidRPr="006C0923">
        <w:rPr>
          <w:rFonts w:ascii="Palatino Linotype" w:hAnsi="Palatino Linotype" w:cs="Arial"/>
          <w:lang w:val="es-MX"/>
        </w:rPr>
        <w:t xml:space="preserve">Que, de una interpretación literal a la solicitud de información, se advierte que </w:t>
      </w:r>
      <w:r w:rsidR="008850A8">
        <w:rPr>
          <w:rFonts w:ascii="Palatino Linotype" w:hAnsi="Palatino Linotype" w:cs="Arial"/>
          <w:lang w:val="es-MX"/>
        </w:rPr>
        <w:t>fue formulado</w:t>
      </w:r>
      <w:r w:rsidRPr="006C0923">
        <w:rPr>
          <w:rFonts w:ascii="Palatino Linotype" w:hAnsi="Palatino Linotype" w:cs="Arial"/>
          <w:lang w:val="es-MX"/>
        </w:rPr>
        <w:t xml:space="preserve"> </w:t>
      </w:r>
      <w:r w:rsidR="00D33C86">
        <w:rPr>
          <w:rFonts w:ascii="Palatino Linotype" w:hAnsi="Palatino Linotype" w:cs="Arial"/>
          <w:b/>
          <w:bCs/>
          <w:lang w:val="es-MX"/>
        </w:rPr>
        <w:t xml:space="preserve">1 -un- </w:t>
      </w:r>
      <w:r w:rsidR="00D33C86">
        <w:rPr>
          <w:rFonts w:ascii="Palatino Linotype" w:hAnsi="Palatino Linotype" w:cs="Arial"/>
          <w:lang w:val="es-MX"/>
        </w:rPr>
        <w:t xml:space="preserve">requerimiento, respecto del cual </w:t>
      </w:r>
      <w:r w:rsidR="00813B72">
        <w:rPr>
          <w:rFonts w:ascii="Palatino Linotype" w:hAnsi="Palatino Linotype" w:cs="Arial"/>
          <w:lang w:val="es-MX"/>
        </w:rPr>
        <w:t xml:space="preserve">fue señalado como parámetro de inicio de búsqueda de la información: </w:t>
      </w:r>
      <w:r w:rsidR="00813B72">
        <w:rPr>
          <w:rFonts w:ascii="Palatino Linotype" w:hAnsi="Palatino Linotype" w:cs="Arial"/>
          <w:i/>
          <w:iCs/>
          <w:lang w:val="es-MX"/>
        </w:rPr>
        <w:t xml:space="preserve">“el quince de enero de dos mil veinticinco”. </w:t>
      </w:r>
      <w:r w:rsidR="00813B72">
        <w:rPr>
          <w:rFonts w:ascii="Palatino Linotype" w:hAnsi="Palatino Linotype" w:cs="Arial"/>
          <w:lang w:val="es-MX"/>
        </w:rPr>
        <w:t xml:space="preserve">En contraste, no fue señalado un parámetro de conclusión para búsqueda de la información, debiendo de ser fijado al seis de febrero de dos mil veinticinco, al corresponder a la fecha en que se ejerció la prerrogativa constitucional. Luego entonces, el elemento temporal debe de comprender del quince de enero al seis de febrero del presente. </w:t>
      </w:r>
    </w:p>
    <w:p w14:paraId="0C8F2368" w14:textId="5AD2F357" w:rsidR="00813B72" w:rsidRPr="003A665D" w:rsidRDefault="00813B72" w:rsidP="00E0458C">
      <w:pPr>
        <w:pStyle w:val="Prrafodelista"/>
        <w:numPr>
          <w:ilvl w:val="0"/>
          <w:numId w:val="2"/>
        </w:numPr>
        <w:autoSpaceDE w:val="0"/>
        <w:autoSpaceDN w:val="0"/>
        <w:adjustRightInd w:val="0"/>
        <w:spacing w:before="240" w:line="360" w:lineRule="auto"/>
        <w:jc w:val="both"/>
        <w:rPr>
          <w:rFonts w:ascii="Palatino Linotype" w:hAnsi="Palatino Linotype"/>
        </w:rPr>
      </w:pPr>
      <w:r w:rsidRPr="003A665D">
        <w:rPr>
          <w:rFonts w:ascii="Palatino Linotype" w:hAnsi="Palatino Linotype" w:cs="Arial"/>
          <w:lang w:val="es-MX"/>
        </w:rPr>
        <w:t xml:space="preserve">Por otra parte, </w:t>
      </w:r>
      <w:r>
        <w:rPr>
          <w:rFonts w:ascii="Palatino Linotype" w:hAnsi="Palatino Linotype" w:cs="Arial"/>
          <w:lang w:val="es-MX"/>
        </w:rPr>
        <w:t>con relación a los requerimientos</w:t>
      </w:r>
      <w:r>
        <w:rPr>
          <w:rFonts w:ascii="Palatino Linotype" w:hAnsi="Palatino Linotype" w:cs="Arial"/>
          <w:b/>
          <w:bCs/>
          <w:lang w:val="es-MX"/>
        </w:rPr>
        <w:t xml:space="preserve"> </w:t>
      </w:r>
      <w:r w:rsidRPr="003A665D">
        <w:rPr>
          <w:rFonts w:ascii="Palatino Linotype" w:hAnsi="Palatino Linotype" w:cs="Arial"/>
        </w:rPr>
        <w:t xml:space="preserve">resulta oportuno destacar que cuando los particulares no identifican de forma precisa el documento requerido, bastará con que </w:t>
      </w:r>
      <w:r w:rsidRPr="003A665D">
        <w:rPr>
          <w:rFonts w:ascii="Palatino Linotype" w:hAnsi="Palatino Linotype"/>
        </w:rPr>
        <w:t xml:space="preserve">se remita cualquiera que refleje la información requerida. Al respecto, cobra relevancia el criterio emitido por el Órgano </w:t>
      </w:r>
      <w:r w:rsidRPr="003A665D">
        <w:rPr>
          <w:rFonts w:ascii="Palatino Linotype" w:hAnsi="Palatino Linotype"/>
        </w:rPr>
        <w:lastRenderedPageBreak/>
        <w:t xml:space="preserve">Garante Nacional con número </w:t>
      </w:r>
      <w:r w:rsidRPr="003A665D">
        <w:rPr>
          <w:rFonts w:ascii="Palatino Linotype" w:hAnsi="Palatino Linotype"/>
          <w:b/>
          <w:bCs/>
        </w:rPr>
        <w:t xml:space="preserve">16/17 </w:t>
      </w:r>
      <w:r w:rsidRPr="003A665D">
        <w:rPr>
          <w:rFonts w:ascii="Palatino Linotype" w:hAnsi="Palatino Linotype"/>
        </w:rPr>
        <w:t>cuyo rubro y texto disponen a la literalidad lo siguiente:</w:t>
      </w:r>
    </w:p>
    <w:p w14:paraId="6A4DF4A4" w14:textId="77777777" w:rsidR="00813B72" w:rsidRPr="00AB5B4A" w:rsidRDefault="00813B72" w:rsidP="00813B72">
      <w:pPr>
        <w:pStyle w:val="Citas"/>
        <w:jc w:val="center"/>
        <w:rPr>
          <w:b/>
          <w:bCs/>
          <w:sz w:val="24"/>
          <w:szCs w:val="24"/>
        </w:rPr>
      </w:pPr>
      <w:r w:rsidRPr="00AB5B4A">
        <w:rPr>
          <w:b/>
          <w:bCs/>
          <w:sz w:val="24"/>
          <w:szCs w:val="24"/>
        </w:rPr>
        <w:t>“EXPRESIÓN DOCUMENTAL.</w:t>
      </w:r>
    </w:p>
    <w:p w14:paraId="4BAF29B2" w14:textId="77777777" w:rsidR="00813B72" w:rsidRPr="00AB5B4A" w:rsidRDefault="00813B72" w:rsidP="00813B72">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9DF5DA5" w14:textId="77777777" w:rsidR="00813B72" w:rsidRPr="00AB5B4A" w:rsidRDefault="00813B72" w:rsidP="00813B72">
      <w:pPr>
        <w:pStyle w:val="Citas"/>
        <w:rPr>
          <w:b/>
        </w:rPr>
      </w:pPr>
      <w:r w:rsidRPr="00AB5B4A">
        <w:rPr>
          <w:b/>
        </w:rPr>
        <w:t>Precedentes:</w:t>
      </w:r>
    </w:p>
    <w:p w14:paraId="29183D76" w14:textId="77777777" w:rsidR="00813B72" w:rsidRPr="00AB5B4A" w:rsidRDefault="00813B72" w:rsidP="00E0458C">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21FAAC63" w14:textId="77777777" w:rsidR="00813B72" w:rsidRPr="00AB5B4A" w:rsidRDefault="00813B72" w:rsidP="00E0458C">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8B4279C" w14:textId="77777777" w:rsidR="00813B72" w:rsidRPr="00AB5B4A" w:rsidRDefault="00813B72" w:rsidP="00E0458C">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5868B15D" w14:textId="77777777" w:rsidR="00813B72" w:rsidRPr="00D33C86" w:rsidRDefault="00813B72" w:rsidP="00813B72">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09598D9B" w14:textId="77777777" w:rsidR="00C716A0" w:rsidRPr="0051062B" w:rsidRDefault="00C716A0" w:rsidP="00C716A0">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B9A389E" w14:textId="77777777" w:rsidR="00C716A0" w:rsidRPr="0051062B" w:rsidRDefault="00C716A0" w:rsidP="00C716A0">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67ADFE9" w14:textId="77777777" w:rsidR="00C716A0" w:rsidRPr="0051062B" w:rsidRDefault="00C716A0" w:rsidP="00C716A0">
      <w:pPr>
        <w:pStyle w:val="Citas"/>
        <w:rPr>
          <w:b/>
        </w:rPr>
      </w:pPr>
      <w:r w:rsidRPr="0051062B">
        <w:rPr>
          <w:b/>
        </w:rPr>
        <w:t xml:space="preserve">Artículo 181. … </w:t>
      </w:r>
    </w:p>
    <w:p w14:paraId="62ECD7AB" w14:textId="77777777" w:rsidR="00C716A0" w:rsidRDefault="00C716A0" w:rsidP="00C716A0">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7D3F48D" w14:textId="77777777" w:rsidR="00C716A0" w:rsidRDefault="00C716A0" w:rsidP="00C716A0">
      <w:pPr>
        <w:spacing w:before="240" w:line="360" w:lineRule="auto"/>
        <w:jc w:val="both"/>
        <w:rPr>
          <w:rFonts w:ascii="Palatino Linotype" w:hAnsi="Palatino Linotype"/>
        </w:rPr>
      </w:pPr>
    </w:p>
    <w:p w14:paraId="0B0CBE94" w14:textId="77777777" w:rsidR="00C716A0" w:rsidRDefault="00C716A0" w:rsidP="00C716A0">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5E4EA4FA" w14:textId="5EB78C1B" w:rsidR="00C716A0" w:rsidRPr="005C781B" w:rsidRDefault="00813B72" w:rsidP="00E0458C">
      <w:pPr>
        <w:pStyle w:val="Prrafodelista"/>
        <w:numPr>
          <w:ilvl w:val="0"/>
          <w:numId w:val="5"/>
        </w:numPr>
        <w:spacing w:before="240" w:line="360" w:lineRule="auto"/>
        <w:jc w:val="both"/>
        <w:rPr>
          <w:rFonts w:ascii="Palatino Linotype" w:hAnsi="Palatino Linotype"/>
        </w:rPr>
      </w:pPr>
      <w:r w:rsidRPr="005C781B">
        <w:rPr>
          <w:rFonts w:ascii="Palatino Linotype" w:hAnsi="Palatino Linotype"/>
        </w:rPr>
        <w:t xml:space="preserve">El o los documentos donde consten los registros contables relativos al fondo fijo de la caja de presidencia, </w:t>
      </w:r>
      <w:r w:rsidR="005C781B" w:rsidRPr="005C781B">
        <w:rPr>
          <w:rFonts w:ascii="Palatino Linotype" w:hAnsi="Palatino Linotype"/>
        </w:rPr>
        <w:t xml:space="preserve">aprobado mediante acuerdo </w:t>
      </w:r>
      <w:r w:rsidR="005C781B" w:rsidRPr="005C781B">
        <w:rPr>
          <w:rFonts w:ascii="Palatino Linotype" w:hAnsi="Palatino Linotype"/>
          <w:lang w:val="es-MX"/>
        </w:rPr>
        <w:t xml:space="preserve">A037/SO-03/OD-11/25G4V1 en la tercera sesión ordinaria del Ayuntamiento, </w:t>
      </w:r>
      <w:r w:rsidRPr="005C781B">
        <w:rPr>
          <w:rFonts w:ascii="Palatino Linotype" w:hAnsi="Palatino Linotype"/>
        </w:rPr>
        <w:t xml:space="preserve">del periodo comprendido del quince de enero al </w:t>
      </w:r>
      <w:r w:rsidR="005C781B" w:rsidRPr="005C781B">
        <w:rPr>
          <w:rFonts w:ascii="Palatino Linotype" w:hAnsi="Palatino Linotype"/>
        </w:rPr>
        <w:t xml:space="preserve">seis de febrero de dos mil veinticinco, </w:t>
      </w:r>
    </w:p>
    <w:p w14:paraId="759F948D" w14:textId="77777777" w:rsidR="008850A8" w:rsidRDefault="008850A8" w:rsidP="00C716A0">
      <w:pPr>
        <w:spacing w:after="0" w:line="360" w:lineRule="auto"/>
        <w:jc w:val="both"/>
        <w:rPr>
          <w:rFonts w:ascii="Palatino Linotype" w:hAnsi="Palatino Linotype" w:cs="Arial"/>
          <w:sz w:val="24"/>
          <w:szCs w:val="24"/>
        </w:rPr>
      </w:pPr>
      <w:bookmarkStart w:id="1" w:name="_Hlk152065703"/>
    </w:p>
    <w:p w14:paraId="17E79B24" w14:textId="4973AC23" w:rsidR="00C716A0" w:rsidRDefault="00C716A0" w:rsidP="00C716A0">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B378407" w14:textId="77777777" w:rsidR="00C716A0" w:rsidRPr="009535E0" w:rsidRDefault="00C716A0" w:rsidP="00C716A0">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BD0D31E" w14:textId="77777777" w:rsidR="00C716A0" w:rsidRPr="009535E0" w:rsidRDefault="00C716A0" w:rsidP="00C716A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53FDFD1" w14:textId="77777777" w:rsidR="00C716A0" w:rsidRPr="00C231A5" w:rsidRDefault="00C716A0" w:rsidP="00C716A0">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5E7A3E6C" w14:textId="77777777" w:rsidR="00C716A0" w:rsidRPr="009535E0" w:rsidRDefault="00C716A0" w:rsidP="00C716A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B9ABD9" w14:textId="77777777" w:rsidR="00C716A0" w:rsidRDefault="00C716A0" w:rsidP="00C716A0">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8026BE9" w14:textId="77777777" w:rsidR="00C716A0" w:rsidRDefault="00C716A0" w:rsidP="00C716A0">
      <w:pPr>
        <w:pStyle w:val="INFOEM"/>
        <w:rPr>
          <w:b/>
        </w:rPr>
      </w:pPr>
      <w:r>
        <w:t xml:space="preserve"> (…)” </w:t>
      </w:r>
      <w:r>
        <w:rPr>
          <w:b/>
        </w:rPr>
        <w:t xml:space="preserve">[Sic] </w:t>
      </w:r>
    </w:p>
    <w:p w14:paraId="5965E9E2" w14:textId="4286C0AC" w:rsidR="00C716A0" w:rsidRDefault="00C716A0" w:rsidP="00C716A0">
      <w:pPr>
        <w:pStyle w:val="CitasINFOEM"/>
        <w:ind w:left="0"/>
        <w:rPr>
          <w:i w:val="0"/>
          <w:iCs/>
          <w:sz w:val="24"/>
        </w:rPr>
      </w:pPr>
    </w:p>
    <w:p w14:paraId="2EB2C2DB" w14:textId="0782BF32" w:rsidR="00C716A0" w:rsidRDefault="008B4036" w:rsidP="00C716A0">
      <w:pPr>
        <w:pStyle w:val="CitasINFOEM"/>
        <w:ind w:left="0"/>
        <w:rPr>
          <w:i w:val="0"/>
          <w:iCs/>
          <w:sz w:val="24"/>
        </w:rPr>
      </w:pPr>
      <w:r>
        <w:rPr>
          <w:i w:val="0"/>
          <w:iCs/>
          <w:noProof/>
          <w:sz w:val="24"/>
          <w:lang w:eastAsia="es-MX"/>
        </w:rPr>
        <mc:AlternateContent>
          <mc:Choice Requires="wps">
            <w:drawing>
              <wp:anchor distT="0" distB="0" distL="114300" distR="114300" simplePos="0" relativeHeight="251683840" behindDoc="0" locked="0" layoutInCell="1" allowOverlap="1" wp14:anchorId="3DEDA31A" wp14:editId="0BDB02CF">
                <wp:simplePos x="0" y="0"/>
                <wp:positionH relativeFrom="column">
                  <wp:posOffset>-19685</wp:posOffset>
                </wp:positionH>
                <wp:positionV relativeFrom="paragraph">
                  <wp:posOffset>455295</wp:posOffset>
                </wp:positionV>
                <wp:extent cx="5988050" cy="1054100"/>
                <wp:effectExtent l="0" t="0" r="31750" b="31750"/>
                <wp:wrapNone/>
                <wp:docPr id="1751956326" name="Conector recto 3"/>
                <wp:cNvGraphicFramePr/>
                <a:graphic xmlns:a="http://schemas.openxmlformats.org/drawingml/2006/main">
                  <a:graphicData uri="http://schemas.microsoft.com/office/word/2010/wordprocessingShape">
                    <wps:wsp>
                      <wps:cNvCnPr/>
                      <wps:spPr>
                        <a:xfrm>
                          <a:off x="0" y="0"/>
                          <a:ext cx="5988050" cy="1054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5F9D09" id="Conector recto 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55pt,35.85pt" to="469.95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" strokecolor="#5b9bd5 [3204]" strokeweight=".5pt">
                <v:stroke joinstyle="miter"/>
              </v:line>
            </w:pict>
          </mc:Fallback>
        </mc:AlternateContent>
      </w:r>
      <w:r w:rsidR="005C781B">
        <w:rPr>
          <w:i w:val="0"/>
          <w:iCs/>
          <w:sz w:val="24"/>
        </w:rPr>
        <w:t xml:space="preserve">Sirven de sustento las siguientes imágenes ilustrativas: </w:t>
      </w:r>
    </w:p>
    <w:p w14:paraId="7B1B51DC" w14:textId="2257D4EA" w:rsidR="00C716A0" w:rsidRDefault="00C716A0" w:rsidP="00C716A0">
      <w:pPr>
        <w:pStyle w:val="CitasINFOEM"/>
        <w:ind w:left="0"/>
        <w:rPr>
          <w:i w:val="0"/>
          <w:iCs/>
          <w:sz w:val="24"/>
        </w:rPr>
      </w:pPr>
    </w:p>
    <w:p w14:paraId="0649FE93" w14:textId="0AB3A837" w:rsidR="00D33C86" w:rsidRDefault="005C781B" w:rsidP="004F7AEE">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77696" behindDoc="0" locked="0" layoutInCell="1" allowOverlap="1" wp14:anchorId="4553CF59" wp14:editId="2F3B8885">
            <wp:simplePos x="0" y="0"/>
            <wp:positionH relativeFrom="page">
              <wp:align>center</wp:align>
            </wp:positionH>
            <wp:positionV relativeFrom="paragraph">
              <wp:posOffset>3731895</wp:posOffset>
            </wp:positionV>
            <wp:extent cx="5756275" cy="3463290"/>
            <wp:effectExtent l="19050" t="19050" r="15875" b="22860"/>
            <wp:wrapThrough wrapText="bothSides">
              <wp:wrapPolygon edited="0">
                <wp:start x="-71" y="-119"/>
                <wp:lineTo x="-71" y="21624"/>
                <wp:lineTo x="21588" y="21624"/>
                <wp:lineTo x="21588" y="-119"/>
                <wp:lineTo x="-71" y="-119"/>
              </wp:wrapPolygon>
            </wp:wrapThrough>
            <wp:docPr id="501186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3463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lang w:eastAsia="es-MX"/>
        </w:rPr>
        <w:drawing>
          <wp:anchor distT="0" distB="0" distL="114300" distR="114300" simplePos="0" relativeHeight="251678720" behindDoc="0" locked="0" layoutInCell="1" allowOverlap="1" wp14:anchorId="796A5D0D" wp14:editId="55F0BCCF">
            <wp:simplePos x="0" y="0"/>
            <wp:positionH relativeFrom="page">
              <wp:align>center</wp:align>
            </wp:positionH>
            <wp:positionV relativeFrom="paragraph">
              <wp:posOffset>19050</wp:posOffset>
            </wp:positionV>
            <wp:extent cx="5753100" cy="3470910"/>
            <wp:effectExtent l="19050" t="19050" r="19050" b="15240"/>
            <wp:wrapThrough wrapText="bothSides">
              <wp:wrapPolygon edited="0">
                <wp:start x="-72" y="-119"/>
                <wp:lineTo x="-72" y="21576"/>
                <wp:lineTo x="21600" y="21576"/>
                <wp:lineTo x="21600" y="-119"/>
                <wp:lineTo x="-72" y="-119"/>
              </wp:wrapPolygon>
            </wp:wrapThrough>
            <wp:docPr id="2599072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470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603699" w14:textId="4400D0FB" w:rsidR="00D33C86" w:rsidRDefault="00D33C86" w:rsidP="00D33C86">
      <w:pPr>
        <w:spacing w:before="240" w:line="360" w:lineRule="auto"/>
        <w:jc w:val="both"/>
        <w:rPr>
          <w:rFonts w:ascii="Palatino Linotype" w:hAnsi="Palatino Linotype"/>
          <w:sz w:val="24"/>
          <w:szCs w:val="24"/>
        </w:rPr>
      </w:pPr>
      <w:r w:rsidRPr="00B86B44">
        <w:rPr>
          <w:rFonts w:ascii="Palatino Linotype" w:hAnsi="Palatino Linotype"/>
          <w:sz w:val="24"/>
          <w:szCs w:val="24"/>
        </w:rPr>
        <w:lastRenderedPageBreak/>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sz w:val="24"/>
          <w:szCs w:val="24"/>
        </w:rPr>
        <w:t xml:space="preserve">Tesorería del Ayuntamiento. </w:t>
      </w:r>
    </w:p>
    <w:p w14:paraId="20E8A4A0" w14:textId="428F15EF" w:rsidR="005C781B" w:rsidRDefault="004F7AEE" w:rsidP="004F7AEE">
      <w:pPr>
        <w:pStyle w:val="Sinespaciado"/>
        <w:spacing w:line="360" w:lineRule="auto"/>
        <w:jc w:val="both"/>
        <w:rPr>
          <w:rFonts w:ascii="Palatino Linotype" w:hAnsi="Palatino Linotype" w:cs="Arial"/>
        </w:rPr>
      </w:pPr>
      <w:r>
        <w:rPr>
          <w:rFonts w:ascii="Palatino Linotype" w:hAnsi="Palatino Linotype" w:cs="Arial"/>
        </w:rPr>
        <w:t xml:space="preserve">En este sentido, resulta oportuno traer a colación el artículo 95 de la Ley Orgánica Municipal del Estado de México; así como los numerales </w:t>
      </w:r>
      <w:r w:rsidR="00DD060E">
        <w:rPr>
          <w:rFonts w:ascii="Palatino Linotype" w:hAnsi="Palatino Linotype" w:cs="Arial"/>
        </w:rPr>
        <w:t xml:space="preserve">18 y 19 del Bando Municipal de Tenancingo, porciones normativas que disponen a la literalidad lo siguiente: </w:t>
      </w:r>
    </w:p>
    <w:p w14:paraId="170B2AFD" w14:textId="7DBDE7BF" w:rsidR="004F7AEE" w:rsidRPr="00541A81" w:rsidRDefault="004F7AEE" w:rsidP="004F7AEE">
      <w:pPr>
        <w:pStyle w:val="Citas"/>
        <w:jc w:val="center"/>
        <w:rPr>
          <w:b/>
          <w:i w:val="0"/>
          <w:iCs/>
        </w:rPr>
      </w:pPr>
      <w:r w:rsidRPr="00541A81">
        <w:rPr>
          <w:b/>
          <w:i w:val="0"/>
          <w:iCs/>
        </w:rPr>
        <w:t>LEY ORGÁNICA MUNICIPAL DEL ESTADO DE MÉXICO</w:t>
      </w:r>
    </w:p>
    <w:p w14:paraId="227CE5FB" w14:textId="77777777" w:rsidR="004F7AEE" w:rsidRDefault="004F7AEE" w:rsidP="004F7AEE">
      <w:pPr>
        <w:pStyle w:val="Citas"/>
      </w:pPr>
      <w:r>
        <w:t>“Artículo 95.- Son atribuciones del tesorero municipal:</w:t>
      </w:r>
    </w:p>
    <w:p w14:paraId="2C8F9F42" w14:textId="77777777" w:rsidR="004F7AEE" w:rsidRDefault="004F7AEE" w:rsidP="004F7AEE">
      <w:pPr>
        <w:pStyle w:val="Citas"/>
      </w:pPr>
      <w:r>
        <w:t>I. Administrar la hacienda pública municipal, de conformidad con las disposiciones legales aplicables;</w:t>
      </w:r>
    </w:p>
    <w:p w14:paraId="1CDD6EFC" w14:textId="77777777" w:rsidR="004F7AEE" w:rsidRDefault="004F7AEE" w:rsidP="004F7AEE">
      <w:pPr>
        <w:pStyle w:val="Citas"/>
      </w:pPr>
      <w:r>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75F78260" w14:textId="77777777" w:rsidR="004F7AEE" w:rsidRDefault="004F7AEE" w:rsidP="004F7AEE">
      <w:pPr>
        <w:pStyle w:val="Citas"/>
      </w:pPr>
      <w:r>
        <w:t>(…)</w:t>
      </w:r>
    </w:p>
    <w:p w14:paraId="33518BFF" w14:textId="77777777" w:rsidR="004F7AEE" w:rsidRDefault="004F7AEE" w:rsidP="004F7AEE">
      <w:pPr>
        <w:pStyle w:val="Citas"/>
      </w:pPr>
      <w:r>
        <w:t>IV. Llevar los registros contables, financieros y administrativos de los ingresos, egresos, e inventarios;</w:t>
      </w:r>
    </w:p>
    <w:p w14:paraId="5A74777F" w14:textId="77777777" w:rsidR="004F7AEE" w:rsidRPr="002B5479" w:rsidRDefault="004F7AEE" w:rsidP="004F7AEE">
      <w:pPr>
        <w:pStyle w:val="Citas"/>
        <w:rPr>
          <w:b/>
        </w:rPr>
      </w:pPr>
      <w:r>
        <w:t xml:space="preserve">(…)” </w:t>
      </w:r>
      <w:r>
        <w:rPr>
          <w:b/>
        </w:rPr>
        <w:t>(Sic)</w:t>
      </w:r>
    </w:p>
    <w:p w14:paraId="3EB33F14" w14:textId="77777777" w:rsidR="00B87E1D" w:rsidRDefault="00B87E1D" w:rsidP="004F7AEE">
      <w:pPr>
        <w:pStyle w:val="Citas"/>
        <w:jc w:val="center"/>
        <w:rPr>
          <w:b/>
          <w:bCs/>
          <w:i w:val="0"/>
          <w:iCs/>
          <w:sz w:val="24"/>
          <w:szCs w:val="24"/>
        </w:rPr>
      </w:pPr>
    </w:p>
    <w:p w14:paraId="4D2119FC" w14:textId="2CE290DD" w:rsidR="00C716A0" w:rsidRPr="004F7AEE" w:rsidRDefault="004F7AEE" w:rsidP="004F7AEE">
      <w:pPr>
        <w:pStyle w:val="Citas"/>
        <w:jc w:val="center"/>
        <w:rPr>
          <w:b/>
          <w:bCs/>
          <w:i w:val="0"/>
          <w:iCs/>
          <w:sz w:val="24"/>
          <w:szCs w:val="24"/>
        </w:rPr>
      </w:pPr>
      <w:r w:rsidRPr="004F7AEE">
        <w:rPr>
          <w:b/>
          <w:bCs/>
          <w:i w:val="0"/>
          <w:iCs/>
          <w:sz w:val="24"/>
          <w:szCs w:val="24"/>
        </w:rPr>
        <w:lastRenderedPageBreak/>
        <w:t xml:space="preserve">BANDO MUNICIPAL DE </w:t>
      </w:r>
      <w:r w:rsidR="00DD060E">
        <w:rPr>
          <w:b/>
          <w:bCs/>
          <w:i w:val="0"/>
          <w:iCs/>
          <w:sz w:val="24"/>
          <w:szCs w:val="24"/>
        </w:rPr>
        <w:t>TENANCINGO 2024</w:t>
      </w:r>
    </w:p>
    <w:p w14:paraId="5E7D3198" w14:textId="5D4039AD" w:rsidR="00C716A0" w:rsidRDefault="00DD060E" w:rsidP="00DD060E">
      <w:pPr>
        <w:pStyle w:val="CitasINFOEM"/>
      </w:pPr>
      <w:r>
        <w:t>“Artículo 18. El gobierno del municipio de Tenancingo, está depositado en un cuerpo colegiado y deliberante que se denomina Ayuntamiento, integrado por un Presidente Municipal, un Síndico, cuatro regidores electos por el principio de mayoría relativa, y tres por el principio de representación proporcional, con las facultades y obligaciones que las leyes les otorgan, de conformidad con la Constitución Política de los Estados Unidos Mexicanos, la Constitución Política del Estado Libre y Soberano de México, la Ley Orgánica Municipal del Estado de México, y demás disposiciones legales aplicables.</w:t>
      </w:r>
    </w:p>
    <w:p w14:paraId="3BE94AC6" w14:textId="45A6CD6B" w:rsidR="00DD060E" w:rsidRPr="00DD060E" w:rsidRDefault="00DD060E" w:rsidP="00DD060E">
      <w:pPr>
        <w:pStyle w:val="CitasINFOEM"/>
      </w:pPr>
      <w:r w:rsidRPr="00DD060E">
        <w:t>Artículo 19. La estructura de la administración pública municipal centralizada estará subordinada al Presidente Municipal, siendo esta la siguiente:</w:t>
      </w:r>
    </w:p>
    <w:p w14:paraId="5AD87E00" w14:textId="77777777" w:rsidR="00DD060E" w:rsidRPr="00DD060E" w:rsidRDefault="00DD060E" w:rsidP="00DD060E">
      <w:pPr>
        <w:pStyle w:val="CitasINFOEM"/>
      </w:pPr>
      <w:r w:rsidRPr="00DD060E">
        <w:t>3. Tesorería Municipal:</w:t>
      </w:r>
    </w:p>
    <w:p w14:paraId="08D52C06" w14:textId="3E66A6E2" w:rsidR="00DD060E" w:rsidRPr="00DD060E" w:rsidRDefault="00DD060E" w:rsidP="00DD060E">
      <w:pPr>
        <w:pStyle w:val="CitasINFOEM"/>
      </w:pPr>
      <w:r w:rsidRPr="00DD060E">
        <w:t>3.1. Coordinación de Ingresos;</w:t>
      </w:r>
    </w:p>
    <w:p w14:paraId="711FA0EB" w14:textId="77777777" w:rsidR="00DD060E" w:rsidRPr="00DD060E" w:rsidRDefault="00DD060E" w:rsidP="00DD060E">
      <w:pPr>
        <w:pStyle w:val="CitasINFOEM"/>
      </w:pPr>
      <w:r w:rsidRPr="00DD060E">
        <w:t>3.2. Coordinación de Contabilidad y Cuenta Pública;</w:t>
      </w:r>
    </w:p>
    <w:p w14:paraId="656D407E" w14:textId="77777777" w:rsidR="00DD060E" w:rsidRPr="00DD060E" w:rsidRDefault="00DD060E" w:rsidP="00DD060E">
      <w:pPr>
        <w:pStyle w:val="CitasINFOEM"/>
      </w:pPr>
      <w:r w:rsidRPr="00DD060E">
        <w:t>3.3. Coordinación de Catastro e Impuesto Predial;</w:t>
      </w:r>
    </w:p>
    <w:p w14:paraId="2B501BFC" w14:textId="77777777" w:rsidR="00DD060E" w:rsidRPr="00DD060E" w:rsidRDefault="00DD060E" w:rsidP="00DD060E">
      <w:pPr>
        <w:pStyle w:val="CitasINFOEM"/>
      </w:pPr>
      <w:r w:rsidRPr="00DD060E">
        <w:t>3.4. Coordinación de Egresos; y</w:t>
      </w:r>
    </w:p>
    <w:p w14:paraId="0AADA969" w14:textId="05910CF9" w:rsidR="00DD060E" w:rsidRDefault="00DD060E" w:rsidP="00DD060E">
      <w:pPr>
        <w:pStyle w:val="CitasINFOEM"/>
        <w:rPr>
          <w:b/>
          <w:bCs/>
        </w:rPr>
      </w:pPr>
      <w:r w:rsidRPr="00DD060E">
        <w:t>3.5. Unidad de Informática, Planeación, Programación y Evaluación</w:t>
      </w:r>
      <w:r>
        <w:t xml:space="preserve">” </w:t>
      </w:r>
      <w:r>
        <w:rPr>
          <w:b/>
          <w:bCs/>
        </w:rPr>
        <w:t>(Sic)</w:t>
      </w:r>
    </w:p>
    <w:p w14:paraId="5230099F" w14:textId="77777777" w:rsidR="00DD060E" w:rsidRPr="00DD060E" w:rsidRDefault="00DD060E" w:rsidP="00DD060E">
      <w:pPr>
        <w:pStyle w:val="CitasINFOEM"/>
        <w:rPr>
          <w:b/>
          <w:bCs/>
        </w:rPr>
      </w:pPr>
    </w:p>
    <w:p w14:paraId="75C731B0" w14:textId="0A3152F6" w:rsidR="004F7AEE" w:rsidRDefault="004F7AEE" w:rsidP="004F7AEE">
      <w:pPr>
        <w:spacing w:after="240" w:line="360" w:lineRule="auto"/>
        <w:jc w:val="both"/>
        <w:rPr>
          <w:rFonts w:ascii="Palatino Linotype" w:hAnsi="Palatino Linotype"/>
          <w:sz w:val="24"/>
          <w:szCs w:val="24"/>
        </w:rPr>
      </w:pPr>
      <w:r w:rsidRPr="009A7912">
        <w:rPr>
          <w:rFonts w:ascii="Palatino Linotype" w:hAnsi="Palatino Linotype" w:cs="Arial"/>
          <w:sz w:val="24"/>
          <w:szCs w:val="24"/>
        </w:rPr>
        <w:t xml:space="preserve">Bajo este contexto, a toda luz se desprende que la tesorería municipal </w:t>
      </w:r>
      <w:r w:rsidR="00B87E1D">
        <w:rPr>
          <w:rFonts w:ascii="Palatino Linotype" w:hAnsi="Palatino Linotype" w:cs="Arial"/>
          <w:sz w:val="24"/>
          <w:szCs w:val="24"/>
        </w:rPr>
        <w:t xml:space="preserve">se encarga de: </w:t>
      </w:r>
    </w:p>
    <w:p w14:paraId="75CA1CE1" w14:textId="77777777" w:rsidR="004F7AEE" w:rsidRDefault="004F7AEE" w:rsidP="00E0458C">
      <w:pPr>
        <w:pStyle w:val="Prrafodelista"/>
        <w:numPr>
          <w:ilvl w:val="0"/>
          <w:numId w:val="6"/>
        </w:numPr>
        <w:spacing w:after="240" w:line="360" w:lineRule="auto"/>
        <w:jc w:val="both"/>
        <w:rPr>
          <w:rFonts w:ascii="Palatino Linotype" w:hAnsi="Palatino Linotype"/>
        </w:rPr>
      </w:pPr>
      <w:r>
        <w:rPr>
          <w:rFonts w:ascii="Palatino Linotype" w:hAnsi="Palatino Linotype"/>
        </w:rPr>
        <w:t>Recaudar de los impuestos y demás contribuciones de los particulares</w:t>
      </w:r>
    </w:p>
    <w:p w14:paraId="65C2CBF6" w14:textId="77777777" w:rsidR="004F7AEE" w:rsidRDefault="004F7AEE" w:rsidP="00E0458C">
      <w:pPr>
        <w:pStyle w:val="Prrafodelista"/>
        <w:numPr>
          <w:ilvl w:val="0"/>
          <w:numId w:val="6"/>
        </w:numPr>
        <w:spacing w:after="240" w:line="360" w:lineRule="auto"/>
        <w:jc w:val="both"/>
        <w:rPr>
          <w:rFonts w:ascii="Palatino Linotype" w:hAnsi="Palatino Linotype"/>
        </w:rPr>
      </w:pPr>
      <w:r>
        <w:rPr>
          <w:rFonts w:ascii="Palatino Linotype" w:hAnsi="Palatino Linotype"/>
        </w:rPr>
        <w:lastRenderedPageBreak/>
        <w:t>Administrar registros contables, financieros y administrativos de los ingresos y egresos del municipio.</w:t>
      </w:r>
    </w:p>
    <w:p w14:paraId="7D178FAE" w14:textId="77777777" w:rsidR="004F7AEE" w:rsidRDefault="004F7AEE" w:rsidP="00E0458C">
      <w:pPr>
        <w:pStyle w:val="Prrafodelista"/>
        <w:numPr>
          <w:ilvl w:val="0"/>
          <w:numId w:val="6"/>
        </w:numPr>
        <w:spacing w:after="240" w:line="360" w:lineRule="auto"/>
        <w:jc w:val="both"/>
        <w:rPr>
          <w:rFonts w:ascii="Palatino Linotype" w:hAnsi="Palatino Linotype"/>
        </w:rPr>
      </w:pPr>
      <w:r>
        <w:rPr>
          <w:rFonts w:ascii="Palatino Linotype" w:hAnsi="Palatino Linotype"/>
        </w:rPr>
        <w:t xml:space="preserve">Elaborar el anteproyecto del presupuesto de egresos. </w:t>
      </w:r>
    </w:p>
    <w:p w14:paraId="0BEFF4F5" w14:textId="77777777" w:rsidR="004F7AEE" w:rsidRDefault="004F7AEE" w:rsidP="00E0458C">
      <w:pPr>
        <w:pStyle w:val="Prrafodelista"/>
        <w:numPr>
          <w:ilvl w:val="0"/>
          <w:numId w:val="6"/>
        </w:numPr>
        <w:spacing w:after="240" w:line="360" w:lineRule="auto"/>
        <w:jc w:val="both"/>
        <w:rPr>
          <w:rFonts w:ascii="Palatino Linotype" w:hAnsi="Palatino Linotype"/>
        </w:rPr>
      </w:pPr>
      <w:r w:rsidRPr="004F7AEE">
        <w:rPr>
          <w:rFonts w:ascii="Palatino Linotype" w:hAnsi="Palatino Linotype"/>
        </w:rPr>
        <w:t xml:space="preserve">Controlar, coordinar y supervisar las funciones de catastro municipal. </w:t>
      </w:r>
    </w:p>
    <w:p w14:paraId="698E33AF" w14:textId="129D129C" w:rsidR="004F7AEE" w:rsidRPr="00DD060E" w:rsidRDefault="004F7AEE" w:rsidP="00E0458C">
      <w:pPr>
        <w:pStyle w:val="Prrafodelista"/>
        <w:numPr>
          <w:ilvl w:val="0"/>
          <w:numId w:val="6"/>
        </w:numPr>
        <w:spacing w:after="240" w:line="360" w:lineRule="auto"/>
        <w:jc w:val="both"/>
        <w:rPr>
          <w:rFonts w:ascii="Palatino Linotype" w:hAnsi="Palatino Linotype"/>
        </w:rPr>
      </w:pPr>
      <w:r w:rsidRPr="00DD060E">
        <w:rPr>
          <w:rFonts w:ascii="Palatino Linotype" w:hAnsi="Palatino Linotype"/>
        </w:rPr>
        <w:t xml:space="preserve">Contestar pliegos de observaciones y expedir copias de los documentos a su resguardo, ambos respecto de la documentación presentada ante el Órgano Superior de Fiscalización del Estado de México. </w:t>
      </w:r>
    </w:p>
    <w:p w14:paraId="6FE8A9E4" w14:textId="77777777" w:rsidR="00C716A0" w:rsidRPr="004F7AEE" w:rsidRDefault="00C716A0" w:rsidP="004F7AEE">
      <w:pPr>
        <w:pStyle w:val="CitasINFOEM"/>
        <w:ind w:left="0"/>
        <w:rPr>
          <w:b/>
          <w:bCs/>
          <w:lang w:val="es-ES"/>
        </w:rPr>
      </w:pPr>
    </w:p>
    <w:p w14:paraId="0D18FB3B" w14:textId="3D5E203B" w:rsidR="00DD060E" w:rsidRDefault="00DD060E" w:rsidP="004F7AEE">
      <w:pPr>
        <w:tabs>
          <w:tab w:val="right" w:leader="dot" w:pos="8505"/>
        </w:tabs>
        <w:spacing w:before="240" w:after="240" w:line="360" w:lineRule="auto"/>
        <w:jc w:val="both"/>
        <w:rPr>
          <w:rFonts w:ascii="Palatino Linotype" w:hAnsi="Palatino Linotype"/>
          <w:sz w:val="24"/>
          <w:szCs w:val="24"/>
        </w:rPr>
      </w:pPr>
      <w:r>
        <w:rPr>
          <w:rFonts w:ascii="Palatino Linotype" w:hAnsi="Palatino Linotype"/>
          <w:sz w:val="24"/>
          <w:szCs w:val="24"/>
        </w:rPr>
        <w:t xml:space="preserve">A mayor abundamiento, con relación al fondo fijo debe de entenderse como una cantidad de dinero que se asigna para cubrir gastos menores, específicos y recurrentes. Generalmente utilizado en adquisiciones, servicios o pagos que son necesarios para la operación de la unidad administrativa. </w:t>
      </w:r>
    </w:p>
    <w:p w14:paraId="33B4FF69" w14:textId="695DA0AF" w:rsidR="00DD060E" w:rsidRDefault="00DD060E" w:rsidP="004F7AEE">
      <w:pPr>
        <w:tabs>
          <w:tab w:val="right" w:leader="dot" w:pos="8505"/>
        </w:tabs>
        <w:spacing w:before="240" w:after="240" w:line="360" w:lineRule="auto"/>
        <w:jc w:val="both"/>
        <w:rPr>
          <w:rFonts w:ascii="Palatino Linotype" w:hAnsi="Palatino Linotype"/>
          <w:sz w:val="24"/>
          <w:szCs w:val="24"/>
        </w:rPr>
      </w:pPr>
      <w:r>
        <w:rPr>
          <w:rFonts w:ascii="Palatino Linotype" w:hAnsi="Palatino Linotype"/>
          <w:sz w:val="24"/>
          <w:szCs w:val="24"/>
        </w:rPr>
        <w:t>En función de lo planteado, algunas de las características del fondo fijo versan en:</w:t>
      </w:r>
    </w:p>
    <w:p w14:paraId="04469BAF" w14:textId="27261F6A" w:rsidR="00DD060E" w:rsidRDefault="00DD060E" w:rsidP="00E0458C">
      <w:pPr>
        <w:pStyle w:val="Prrafodelista"/>
        <w:numPr>
          <w:ilvl w:val="0"/>
          <w:numId w:val="7"/>
        </w:numPr>
        <w:tabs>
          <w:tab w:val="right" w:leader="dot" w:pos="8505"/>
        </w:tabs>
        <w:spacing w:before="240" w:after="240" w:line="360" w:lineRule="auto"/>
        <w:jc w:val="both"/>
        <w:rPr>
          <w:rFonts w:ascii="Palatino Linotype" w:hAnsi="Palatino Linotype"/>
        </w:rPr>
      </w:pPr>
      <w:r>
        <w:rPr>
          <w:rFonts w:ascii="Palatino Linotype" w:hAnsi="Palatino Linotype"/>
        </w:rPr>
        <w:t xml:space="preserve">Se asigna a una unidad o área en específico. </w:t>
      </w:r>
    </w:p>
    <w:p w14:paraId="29B8A097" w14:textId="41DD7E61" w:rsidR="00DD060E" w:rsidRDefault="00664A07" w:rsidP="00E0458C">
      <w:pPr>
        <w:pStyle w:val="Prrafodelista"/>
        <w:numPr>
          <w:ilvl w:val="0"/>
          <w:numId w:val="7"/>
        </w:numPr>
        <w:tabs>
          <w:tab w:val="right" w:leader="dot" w:pos="8505"/>
        </w:tabs>
        <w:spacing w:before="240" w:after="240" w:line="360" w:lineRule="auto"/>
        <w:jc w:val="both"/>
        <w:rPr>
          <w:rFonts w:ascii="Palatino Linotype" w:hAnsi="Palatino Linotype"/>
        </w:rPr>
      </w:pPr>
      <w:r>
        <w:rPr>
          <w:rFonts w:ascii="Palatino Linotype" w:hAnsi="Palatino Linotype"/>
        </w:rPr>
        <w:t>Se administra generalmente</w:t>
      </w:r>
      <w:r w:rsidR="00DD060E">
        <w:rPr>
          <w:rFonts w:ascii="Palatino Linotype" w:hAnsi="Palatino Linotype"/>
        </w:rPr>
        <w:t xml:space="preserve"> por un servidor público de mando medio o superior.</w:t>
      </w:r>
    </w:p>
    <w:p w14:paraId="34D53F63" w14:textId="3ACAC0AF" w:rsidR="00DD060E" w:rsidRDefault="00DD060E" w:rsidP="00E0458C">
      <w:pPr>
        <w:pStyle w:val="Prrafodelista"/>
        <w:numPr>
          <w:ilvl w:val="0"/>
          <w:numId w:val="7"/>
        </w:numPr>
        <w:tabs>
          <w:tab w:val="right" w:leader="dot" w:pos="8505"/>
        </w:tabs>
        <w:spacing w:before="240" w:after="240" w:line="360" w:lineRule="auto"/>
        <w:jc w:val="both"/>
        <w:rPr>
          <w:rFonts w:ascii="Palatino Linotype" w:hAnsi="Palatino Linotype"/>
        </w:rPr>
      </w:pPr>
      <w:r>
        <w:rPr>
          <w:rFonts w:ascii="Palatino Linotype" w:hAnsi="Palatino Linotype"/>
        </w:rPr>
        <w:t>Se reponen periódicamente los fondos gastados o erogados</w:t>
      </w:r>
    </w:p>
    <w:p w14:paraId="5FB7E82B" w14:textId="023242BD" w:rsidR="00DD060E" w:rsidRDefault="00DD060E" w:rsidP="00E0458C">
      <w:pPr>
        <w:pStyle w:val="Prrafodelista"/>
        <w:numPr>
          <w:ilvl w:val="0"/>
          <w:numId w:val="7"/>
        </w:numPr>
        <w:tabs>
          <w:tab w:val="right" w:leader="dot" w:pos="8505"/>
        </w:tabs>
        <w:spacing w:before="240" w:after="240" w:line="360" w:lineRule="auto"/>
        <w:jc w:val="both"/>
        <w:rPr>
          <w:rFonts w:ascii="Palatino Linotype" w:hAnsi="Palatino Linotype"/>
        </w:rPr>
      </w:pPr>
      <w:r>
        <w:rPr>
          <w:rFonts w:ascii="Palatino Linotype" w:hAnsi="Palatino Linotype"/>
        </w:rPr>
        <w:t xml:space="preserve">Se rinden cuentas periódicamente. </w:t>
      </w:r>
    </w:p>
    <w:p w14:paraId="5B1D02DE" w14:textId="6BADDE73" w:rsidR="00DD060E" w:rsidRDefault="00DD060E" w:rsidP="00E0458C">
      <w:pPr>
        <w:pStyle w:val="Prrafodelista"/>
        <w:numPr>
          <w:ilvl w:val="0"/>
          <w:numId w:val="7"/>
        </w:numPr>
        <w:tabs>
          <w:tab w:val="right" w:leader="dot" w:pos="8505"/>
        </w:tabs>
        <w:spacing w:before="240" w:after="240" w:line="360" w:lineRule="auto"/>
        <w:jc w:val="both"/>
        <w:rPr>
          <w:rFonts w:ascii="Palatino Linotype" w:hAnsi="Palatino Linotype"/>
        </w:rPr>
      </w:pPr>
      <w:r>
        <w:rPr>
          <w:rFonts w:ascii="Palatino Linotype" w:hAnsi="Palatino Linotype"/>
        </w:rPr>
        <w:t xml:space="preserve">Se pueden verificar e inspeccionar los fondos. </w:t>
      </w:r>
    </w:p>
    <w:p w14:paraId="5DB46BEE" w14:textId="56B926E8" w:rsidR="00DD060E" w:rsidRPr="00DD060E" w:rsidRDefault="00DD060E" w:rsidP="00E0458C">
      <w:pPr>
        <w:pStyle w:val="Prrafodelista"/>
        <w:numPr>
          <w:ilvl w:val="0"/>
          <w:numId w:val="7"/>
        </w:numPr>
        <w:tabs>
          <w:tab w:val="right" w:leader="dot" w:pos="8505"/>
        </w:tabs>
        <w:spacing w:before="240" w:after="240" w:line="360" w:lineRule="auto"/>
        <w:jc w:val="both"/>
        <w:rPr>
          <w:rFonts w:ascii="Palatino Linotype" w:hAnsi="Palatino Linotype"/>
        </w:rPr>
      </w:pPr>
      <w:r>
        <w:rPr>
          <w:rFonts w:ascii="Palatino Linotype" w:hAnsi="Palatino Linotype"/>
        </w:rPr>
        <w:lastRenderedPageBreak/>
        <w:t xml:space="preserve">Se utiliza para financiar los gastos menores que por su importancia, urgencia y volumen, así lo requieran. </w:t>
      </w:r>
    </w:p>
    <w:p w14:paraId="2F97CEED" w14:textId="107A8F50" w:rsidR="00DD060E" w:rsidRDefault="00DD060E" w:rsidP="004F7AEE">
      <w:pPr>
        <w:tabs>
          <w:tab w:val="right" w:leader="dot" w:pos="8505"/>
        </w:tabs>
        <w:spacing w:before="240" w:after="240" w:line="360" w:lineRule="auto"/>
        <w:jc w:val="both"/>
        <w:rPr>
          <w:rFonts w:ascii="Palatino Linotype" w:hAnsi="Palatino Linotype"/>
          <w:sz w:val="24"/>
        </w:rPr>
      </w:pPr>
    </w:p>
    <w:p w14:paraId="2323148D" w14:textId="13810498" w:rsidR="00DD060E" w:rsidRDefault="00DD060E" w:rsidP="004F7AEE">
      <w:pPr>
        <w:tabs>
          <w:tab w:val="right" w:leader="dot" w:pos="8505"/>
        </w:tabs>
        <w:spacing w:before="240" w:after="240" w:line="360" w:lineRule="auto"/>
        <w:jc w:val="both"/>
        <w:rPr>
          <w:rFonts w:ascii="Palatino Linotype" w:hAnsi="Palatino Linotype"/>
          <w:sz w:val="24"/>
        </w:rPr>
      </w:pPr>
      <w:r>
        <w:rPr>
          <w:rFonts w:ascii="Palatino Linotype" w:hAnsi="Palatino Linotype"/>
          <w:sz w:val="24"/>
        </w:rPr>
        <w:t xml:space="preserve">Por otra parte, es necesario señalar que </w:t>
      </w:r>
      <w:r w:rsidR="003D331F">
        <w:rPr>
          <w:rFonts w:ascii="Palatino Linotype" w:hAnsi="Palatino Linotype"/>
          <w:sz w:val="24"/>
        </w:rPr>
        <w:t>la administración de los fondos fijos en el ámbito de gobierno municipal se rige</w:t>
      </w:r>
      <w:r>
        <w:rPr>
          <w:rFonts w:ascii="Palatino Linotype" w:hAnsi="Palatino Linotype"/>
          <w:sz w:val="24"/>
        </w:rPr>
        <w:t xml:space="preserve"> por el Manual Único de Contabilidad Gubernamental para las Dependencias y Entidades Públicas del Gobierno y Municipios 2024</w:t>
      </w:r>
      <w:r w:rsidR="003D331F">
        <w:rPr>
          <w:rFonts w:ascii="Palatino Linotype" w:hAnsi="Palatino Linotype"/>
          <w:sz w:val="24"/>
        </w:rPr>
        <w:t>, resultando de nuestro particular interés el apartado 9.3 Municipios y sus Organismos Descentralizados, sirve de sustento la siguiente imagen ilustrativa:</w:t>
      </w:r>
    </w:p>
    <w:p w14:paraId="1B731CDD" w14:textId="64316E5A" w:rsidR="003D331F" w:rsidRDefault="003D331F" w:rsidP="004F7AEE">
      <w:pPr>
        <w:tabs>
          <w:tab w:val="right" w:leader="dot" w:pos="8505"/>
        </w:tabs>
        <w:spacing w:before="240" w:after="240" w:line="360" w:lineRule="auto"/>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79744" behindDoc="0" locked="0" layoutInCell="1" allowOverlap="1" wp14:anchorId="57636DBA" wp14:editId="12259A04">
                <wp:simplePos x="0" y="0"/>
                <wp:positionH relativeFrom="column">
                  <wp:posOffset>-97155</wp:posOffset>
                </wp:positionH>
                <wp:positionV relativeFrom="paragraph">
                  <wp:posOffset>22860</wp:posOffset>
                </wp:positionV>
                <wp:extent cx="5791200" cy="4671060"/>
                <wp:effectExtent l="0" t="0" r="19050" b="34290"/>
                <wp:wrapNone/>
                <wp:docPr id="599328646" name="Conector recto 8"/>
                <wp:cNvGraphicFramePr/>
                <a:graphic xmlns:a="http://schemas.openxmlformats.org/drawingml/2006/main">
                  <a:graphicData uri="http://schemas.microsoft.com/office/word/2010/wordprocessingShape">
                    <wps:wsp>
                      <wps:cNvCnPr/>
                      <wps:spPr>
                        <a:xfrm>
                          <a:off x="0" y="0"/>
                          <a:ext cx="5791200" cy="4671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D59A65" id="Conector recto 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65pt,1.8pt" to="448.35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" strokecolor="#5b9bd5 [3204]" strokeweight=".5pt">
                <v:stroke joinstyle="miter"/>
              </v:line>
            </w:pict>
          </mc:Fallback>
        </mc:AlternateContent>
      </w:r>
    </w:p>
    <w:p w14:paraId="3934A1B9" w14:textId="77777777" w:rsidR="003D331F" w:rsidRDefault="003D331F" w:rsidP="004F7AEE">
      <w:pPr>
        <w:tabs>
          <w:tab w:val="right" w:leader="dot" w:pos="8505"/>
        </w:tabs>
        <w:spacing w:before="240" w:after="240" w:line="360" w:lineRule="auto"/>
        <w:jc w:val="both"/>
        <w:rPr>
          <w:rFonts w:ascii="Palatino Linotype" w:hAnsi="Palatino Linotype"/>
          <w:sz w:val="24"/>
        </w:rPr>
      </w:pPr>
    </w:p>
    <w:p w14:paraId="60AE2679" w14:textId="77777777" w:rsidR="003D331F" w:rsidRDefault="003D331F" w:rsidP="004F7AEE">
      <w:pPr>
        <w:tabs>
          <w:tab w:val="right" w:leader="dot" w:pos="8505"/>
        </w:tabs>
        <w:spacing w:before="240" w:after="240" w:line="360" w:lineRule="auto"/>
        <w:jc w:val="both"/>
        <w:rPr>
          <w:rFonts w:ascii="Palatino Linotype" w:hAnsi="Palatino Linotype"/>
          <w:sz w:val="24"/>
        </w:rPr>
      </w:pPr>
    </w:p>
    <w:p w14:paraId="6524B582" w14:textId="77777777" w:rsidR="003D331F" w:rsidRDefault="003D331F" w:rsidP="004F7AEE">
      <w:pPr>
        <w:tabs>
          <w:tab w:val="right" w:leader="dot" w:pos="8505"/>
        </w:tabs>
        <w:spacing w:before="240" w:after="240" w:line="360" w:lineRule="auto"/>
        <w:jc w:val="both"/>
        <w:rPr>
          <w:rFonts w:ascii="Palatino Linotype" w:hAnsi="Palatino Linotype"/>
          <w:sz w:val="24"/>
        </w:rPr>
      </w:pPr>
    </w:p>
    <w:p w14:paraId="56853ACC" w14:textId="77777777" w:rsidR="003D331F" w:rsidRDefault="003D331F" w:rsidP="004F7AEE">
      <w:pPr>
        <w:tabs>
          <w:tab w:val="right" w:leader="dot" w:pos="8505"/>
        </w:tabs>
        <w:spacing w:before="240" w:after="240" w:line="360" w:lineRule="auto"/>
        <w:jc w:val="both"/>
        <w:rPr>
          <w:rFonts w:ascii="Palatino Linotype" w:hAnsi="Palatino Linotype"/>
          <w:sz w:val="24"/>
        </w:rPr>
      </w:pPr>
    </w:p>
    <w:p w14:paraId="7C0387EC" w14:textId="77777777" w:rsidR="003D331F" w:rsidRDefault="003D331F" w:rsidP="004F7AEE">
      <w:pPr>
        <w:tabs>
          <w:tab w:val="right" w:leader="dot" w:pos="8505"/>
        </w:tabs>
        <w:spacing w:before="240" w:after="240" w:line="360" w:lineRule="auto"/>
        <w:jc w:val="both"/>
        <w:rPr>
          <w:rFonts w:ascii="Palatino Linotype" w:hAnsi="Palatino Linotype"/>
          <w:sz w:val="24"/>
        </w:rPr>
      </w:pPr>
    </w:p>
    <w:p w14:paraId="58E454D5" w14:textId="77777777" w:rsidR="003D331F" w:rsidRDefault="003D331F" w:rsidP="004F7AEE">
      <w:pPr>
        <w:tabs>
          <w:tab w:val="right" w:leader="dot" w:pos="8505"/>
        </w:tabs>
        <w:spacing w:before="240" w:after="240" w:line="360" w:lineRule="auto"/>
        <w:jc w:val="both"/>
        <w:rPr>
          <w:rFonts w:ascii="Palatino Linotype" w:hAnsi="Palatino Linotype"/>
          <w:sz w:val="24"/>
        </w:rPr>
      </w:pPr>
    </w:p>
    <w:p w14:paraId="297ED3E8" w14:textId="77777777" w:rsidR="003D331F" w:rsidRDefault="003D331F" w:rsidP="004F7AEE">
      <w:pPr>
        <w:tabs>
          <w:tab w:val="right" w:leader="dot" w:pos="8505"/>
        </w:tabs>
        <w:spacing w:before="240" w:after="240" w:line="360" w:lineRule="auto"/>
        <w:jc w:val="both"/>
        <w:rPr>
          <w:rFonts w:ascii="Palatino Linotype" w:hAnsi="Palatino Linotype"/>
          <w:sz w:val="24"/>
        </w:rPr>
      </w:pPr>
    </w:p>
    <w:p w14:paraId="2AE2A4D9" w14:textId="77777777" w:rsidR="003D331F" w:rsidRDefault="003D331F" w:rsidP="004F7AEE">
      <w:pPr>
        <w:tabs>
          <w:tab w:val="right" w:leader="dot" w:pos="8505"/>
        </w:tabs>
        <w:spacing w:before="240" w:after="240" w:line="360" w:lineRule="auto"/>
        <w:jc w:val="both"/>
        <w:rPr>
          <w:rFonts w:ascii="Palatino Linotype" w:hAnsi="Palatino Linotype"/>
          <w:sz w:val="24"/>
        </w:rPr>
      </w:pPr>
    </w:p>
    <w:p w14:paraId="0F384935" w14:textId="77777777" w:rsidR="003D331F" w:rsidRDefault="003D331F" w:rsidP="004F7AEE">
      <w:pPr>
        <w:tabs>
          <w:tab w:val="right" w:leader="dot" w:pos="8505"/>
        </w:tabs>
        <w:spacing w:before="240" w:after="240" w:line="360" w:lineRule="auto"/>
        <w:jc w:val="both"/>
        <w:rPr>
          <w:rFonts w:ascii="Palatino Linotype" w:hAnsi="Palatino Linotype"/>
          <w:sz w:val="24"/>
        </w:rPr>
      </w:pPr>
    </w:p>
    <w:p w14:paraId="7B898BEB" w14:textId="7D7F5DFC" w:rsidR="003D331F" w:rsidRDefault="001B1111" w:rsidP="004F7AEE">
      <w:pPr>
        <w:tabs>
          <w:tab w:val="right" w:leader="dot" w:pos="8505"/>
        </w:tabs>
        <w:spacing w:before="240" w:after="240" w:line="360" w:lineRule="auto"/>
        <w:jc w:val="both"/>
        <w:rPr>
          <w:rFonts w:ascii="Palatino Linotype" w:hAnsi="Palatino Linotype"/>
          <w:sz w:val="24"/>
        </w:rPr>
      </w:pPr>
      <w:r w:rsidRPr="003D331F">
        <w:rPr>
          <w:rFonts w:ascii="Palatino Linotype" w:hAnsi="Palatino Linotype"/>
          <w:noProof/>
          <w:sz w:val="24"/>
          <w:lang w:eastAsia="es-MX"/>
        </w:rPr>
        <w:lastRenderedPageBreak/>
        <w:drawing>
          <wp:anchor distT="0" distB="0" distL="114300" distR="114300" simplePos="0" relativeHeight="251680768" behindDoc="0" locked="0" layoutInCell="1" allowOverlap="1" wp14:anchorId="0CACB9B3" wp14:editId="11643282">
            <wp:simplePos x="0" y="0"/>
            <wp:positionH relativeFrom="page">
              <wp:align>center</wp:align>
            </wp:positionH>
            <wp:positionV relativeFrom="paragraph">
              <wp:posOffset>19050</wp:posOffset>
            </wp:positionV>
            <wp:extent cx="5760720" cy="7440930"/>
            <wp:effectExtent l="19050" t="19050" r="11430" b="26670"/>
            <wp:wrapThrough wrapText="bothSides">
              <wp:wrapPolygon edited="0">
                <wp:start x="-71" y="-55"/>
                <wp:lineTo x="-71" y="21622"/>
                <wp:lineTo x="21571" y="21622"/>
                <wp:lineTo x="21571" y="-55"/>
                <wp:lineTo x="-71" y="-55"/>
              </wp:wrapPolygon>
            </wp:wrapThrough>
            <wp:docPr id="143703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3467"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7440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0C9D3A" w14:textId="77777777" w:rsidR="001B1111" w:rsidRDefault="001B1111" w:rsidP="001B1111">
      <w:pPr>
        <w:spacing w:line="360" w:lineRule="auto"/>
        <w:jc w:val="both"/>
        <w:rPr>
          <w:rFonts w:ascii="Palatino Linotype" w:hAnsi="Palatino Linotype" w:cs="Arial"/>
          <w:sz w:val="24"/>
          <w:szCs w:val="24"/>
        </w:rPr>
      </w:pPr>
      <w:r>
        <w:rPr>
          <w:rFonts w:ascii="Palatino Linotype" w:hAnsi="Palatino Linotype"/>
          <w:sz w:val="24"/>
          <w:szCs w:val="24"/>
        </w:rPr>
        <w:lastRenderedPageBreak/>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DF87FFA" w14:textId="77777777" w:rsidR="001B1111" w:rsidRDefault="001B1111" w:rsidP="001B1111">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15285B7" w14:textId="77777777" w:rsidR="001B1111" w:rsidRDefault="001B1111" w:rsidP="001B1111">
      <w:pPr>
        <w:pStyle w:val="Citas"/>
      </w:pPr>
      <w:r>
        <w:t xml:space="preserve">Artículo 19. Se presume que la información debe existir si se refiere a las facultades, competencias y funciones que los ordenamientos jurídicos aplicables otorgan a los sujetos obligados. </w:t>
      </w:r>
    </w:p>
    <w:p w14:paraId="05E0ACE7" w14:textId="77777777" w:rsidR="001B1111" w:rsidRDefault="001B1111" w:rsidP="001B1111">
      <w:pPr>
        <w:pStyle w:val="Citas"/>
      </w:pPr>
      <w:r>
        <w:t xml:space="preserve">En los casos en que ciertas facultades, competencias o funciones no se hayan ejercido, se debe motivar la respuesta en función de las causas que motiven tal circunstancia. </w:t>
      </w:r>
    </w:p>
    <w:p w14:paraId="1755D14B" w14:textId="77777777" w:rsidR="001B1111" w:rsidRPr="00407C65" w:rsidRDefault="001B1111" w:rsidP="001B1111">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0CEE1997" w14:textId="77777777" w:rsidR="001B1111" w:rsidRDefault="001B1111" w:rsidP="006C0AFD">
      <w:pPr>
        <w:spacing w:after="240" w:line="360" w:lineRule="auto"/>
        <w:jc w:val="both"/>
        <w:rPr>
          <w:rFonts w:ascii="Palatino Linotype" w:hAnsi="Palatino Linotype" w:cs="Arial"/>
          <w:color w:val="000000"/>
          <w:sz w:val="24"/>
          <w:lang w:val="es-ES_tradnl"/>
        </w:rPr>
      </w:pPr>
    </w:p>
    <w:p w14:paraId="7FB44499" w14:textId="3F96880C" w:rsidR="006E3094" w:rsidRDefault="006C0AFD" w:rsidP="006C0AFD">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segundo, </w:t>
      </w:r>
      <w:r w:rsidRPr="00114DCB">
        <w:rPr>
          <w:rFonts w:ascii="Palatino Linotype" w:hAnsi="Palatino Linotype" w:cs="Arial"/>
          <w:b/>
          <w:color w:val="000000"/>
          <w:sz w:val="24"/>
          <w:lang w:val="es-ES_tradnl"/>
        </w:rPr>
        <w:t xml:space="preserve">El Sujeto Obligado </w:t>
      </w:r>
      <w:r w:rsidRPr="00AD7848">
        <w:rPr>
          <w:rFonts w:ascii="Palatino Linotype" w:hAnsi="Palatino Linotype" w:cs="Arial"/>
          <w:color w:val="000000"/>
          <w:sz w:val="24"/>
          <w:lang w:val="es-ES_tradnl"/>
        </w:rPr>
        <w:t xml:space="preserve">en fecha </w:t>
      </w:r>
      <w:r w:rsidR="006E3094">
        <w:rPr>
          <w:rFonts w:ascii="Palatino Linotype" w:hAnsi="Palatino Linotype" w:cs="Arial"/>
          <w:b/>
          <w:bCs/>
          <w:color w:val="000000"/>
          <w:sz w:val="24"/>
          <w:lang w:val="es-ES_tradnl"/>
        </w:rPr>
        <w:t xml:space="preserve">veintisiete de febrero de dos mil veinticinco, </w:t>
      </w:r>
      <w:r w:rsidR="006E3094">
        <w:rPr>
          <w:rFonts w:ascii="Palatino Linotype" w:hAnsi="Palatino Linotype" w:cs="Arial"/>
          <w:color w:val="000000"/>
          <w:sz w:val="24"/>
          <w:lang w:val="es-ES_tradnl"/>
        </w:rPr>
        <w:t xml:space="preserve">rindió su respuesta </w:t>
      </w:r>
      <w:r w:rsidR="006E3094">
        <w:rPr>
          <w:rFonts w:ascii="Palatino Linotype" w:hAnsi="Palatino Linotype" w:cs="Arial"/>
          <w:color w:val="000000"/>
          <w:sz w:val="24"/>
          <w:lang w:val="es-ES_tradnl"/>
        </w:rPr>
        <w:lastRenderedPageBreak/>
        <w:t>a la solicitud de información formulada por el particular, adjuntando para tal efecto lo siguiente:</w:t>
      </w:r>
    </w:p>
    <w:p w14:paraId="0BD3CCBE" w14:textId="7FC41128" w:rsidR="006E3094" w:rsidRPr="001B1111" w:rsidRDefault="006E3094" w:rsidP="00E0458C">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“Contestación 00203 Tesorería (1).pdf”: </w:t>
      </w:r>
      <w:r w:rsidR="001B1111">
        <w:rPr>
          <w:rFonts w:ascii="Palatino Linotype" w:hAnsi="Palatino Linotype" w:cs="Arial"/>
          <w:color w:val="000000"/>
          <w:lang w:val="es-ES_tradnl"/>
        </w:rPr>
        <w:t xml:space="preserve">Oficio número </w:t>
      </w:r>
      <w:r w:rsidR="001B1111">
        <w:rPr>
          <w:rFonts w:ascii="Palatino Linotype" w:hAnsi="Palatino Linotype" w:cs="Arial"/>
          <w:b/>
          <w:bCs/>
          <w:color w:val="000000"/>
          <w:lang w:val="es-ES_tradnl"/>
        </w:rPr>
        <w:t xml:space="preserve">MTM058/TM082/2025 </w:t>
      </w:r>
      <w:r w:rsidR="001B1111">
        <w:rPr>
          <w:rFonts w:ascii="Palatino Linotype" w:hAnsi="Palatino Linotype" w:cs="Arial"/>
          <w:color w:val="000000"/>
          <w:lang w:val="es-ES_tradnl"/>
        </w:rPr>
        <w:t>signado por el tesorero municipal, dirigido a la coordinadora de transparencia, de fecha diez de febrero de dos mil veinticinco, resulta de nuestro interés el siguiente extracto:</w:t>
      </w:r>
    </w:p>
    <w:p w14:paraId="019DEFEE" w14:textId="65FFAE86" w:rsidR="001B1111" w:rsidRPr="001B1111" w:rsidRDefault="001B1111" w:rsidP="001B1111">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 informo a usted que al día de la fecha no hay registro alguno de erogaciones realizadas, relativas al fondo fijo de la caja de Presidencia” </w:t>
      </w:r>
      <w:r>
        <w:rPr>
          <w:rFonts w:ascii="Palatino Linotype" w:hAnsi="Palatino Linotype" w:cs="Arial"/>
          <w:b/>
          <w:bCs/>
          <w:i/>
          <w:iCs/>
          <w:color w:val="000000"/>
          <w:lang w:val="es-ES_tradnl"/>
        </w:rPr>
        <w:t>(Sic)</w:t>
      </w:r>
    </w:p>
    <w:p w14:paraId="43AFA2E4" w14:textId="77777777" w:rsidR="001B1111" w:rsidRDefault="001B1111" w:rsidP="004210A8">
      <w:pPr>
        <w:spacing w:line="360" w:lineRule="auto"/>
        <w:jc w:val="both"/>
        <w:rPr>
          <w:rFonts w:ascii="Palatino Linotype" w:hAnsi="Palatino Linotype" w:cs="Arial"/>
          <w:color w:val="000000"/>
          <w:sz w:val="24"/>
          <w:szCs w:val="24"/>
          <w:lang w:val="es-ES_tradnl"/>
        </w:rPr>
      </w:pPr>
    </w:p>
    <w:p w14:paraId="16F7F9D2" w14:textId="2868486F" w:rsidR="004210A8" w:rsidRPr="002F7973" w:rsidRDefault="004210A8" w:rsidP="004210A8">
      <w:pPr>
        <w:spacing w:line="360" w:lineRule="auto"/>
        <w:jc w:val="both"/>
        <w:rPr>
          <w:rFonts w:ascii="Palatino Linotype" w:hAnsi="Palatino Linotype" w:cs="Arial"/>
          <w:color w:val="000000"/>
          <w:sz w:val="24"/>
          <w:szCs w:val="24"/>
          <w:lang w:val="es-ES_tradnl"/>
        </w:rPr>
      </w:pPr>
      <w:r w:rsidRPr="002F7973">
        <w:rPr>
          <w:rFonts w:ascii="Palatino Linotype" w:hAnsi="Palatino Linotype" w:cs="Arial"/>
          <w:color w:val="000000"/>
          <w:sz w:val="24"/>
          <w:szCs w:val="24"/>
          <w:lang w:val="es-ES_tradnl"/>
        </w:rPr>
        <w:t xml:space="preserve">Con relación a la problemática expuesta, es conveniente acotar que </w:t>
      </w:r>
      <w:r w:rsidRPr="002F7973">
        <w:rPr>
          <w:rFonts w:ascii="Palatino Linotype" w:hAnsi="Palatino Linotype" w:cs="Arial"/>
          <w:b/>
          <w:bCs/>
          <w:color w:val="000000"/>
          <w:sz w:val="24"/>
          <w:szCs w:val="24"/>
          <w:lang w:val="es-ES_tradnl"/>
        </w:rPr>
        <w:t xml:space="preserve">El Sujeto Obligado </w:t>
      </w:r>
      <w:r w:rsidRPr="002F7973">
        <w:rPr>
          <w:rFonts w:ascii="Palatino Linotype" w:hAnsi="Palatino Linotype" w:cs="Arial"/>
          <w:color w:val="000000"/>
          <w:sz w:val="24"/>
          <w:szCs w:val="24"/>
          <w:lang w:val="es-ES_tradnl"/>
        </w:rPr>
        <w:t>observó el numeral 162 de la Ley de Transparencia y Acceso a la Información del Estado de México y Municipios, cuyo contenido dispone a la literalidad lo siguiente:</w:t>
      </w:r>
    </w:p>
    <w:p w14:paraId="42379FF1" w14:textId="77777777" w:rsidR="004210A8" w:rsidRDefault="004210A8" w:rsidP="004210A8">
      <w:pPr>
        <w:pStyle w:val="Citas"/>
        <w:rPr>
          <w:b/>
          <w:bCs/>
        </w:rPr>
      </w:pPr>
      <w:r>
        <w:t>“</w:t>
      </w:r>
      <w:r w:rsidRPr="004229BD">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4E15394C" w14:textId="77777777" w:rsidR="001B1111" w:rsidRDefault="001B1111" w:rsidP="001B1111">
      <w:pPr>
        <w:autoSpaceDE w:val="0"/>
        <w:autoSpaceDN w:val="0"/>
        <w:adjustRightInd w:val="0"/>
        <w:spacing w:before="240" w:line="360" w:lineRule="auto"/>
        <w:jc w:val="both"/>
        <w:rPr>
          <w:rFonts w:ascii="Palatino Linotype" w:hAnsi="Palatino Linotype"/>
          <w:iCs/>
          <w:sz w:val="24"/>
          <w:szCs w:val="24"/>
        </w:rPr>
      </w:pPr>
    </w:p>
    <w:p w14:paraId="7155302E" w14:textId="2558788B" w:rsidR="001B1111" w:rsidRPr="005778AD" w:rsidRDefault="004210A8" w:rsidP="001B1111">
      <w:pPr>
        <w:autoSpaceDE w:val="0"/>
        <w:autoSpaceDN w:val="0"/>
        <w:adjustRightInd w:val="0"/>
        <w:spacing w:before="240" w:line="360" w:lineRule="auto"/>
        <w:jc w:val="both"/>
        <w:rPr>
          <w:rFonts w:ascii="Arial" w:hAnsi="Arial" w:cs="Arial"/>
          <w:color w:val="222222"/>
          <w:sz w:val="24"/>
          <w:szCs w:val="24"/>
          <w:lang w:eastAsia="es-MX"/>
        </w:rPr>
      </w:pPr>
      <w:r w:rsidRPr="00BE0F7E">
        <w:rPr>
          <w:rFonts w:ascii="Palatino Linotype" w:hAnsi="Palatino Linotype"/>
          <w:iCs/>
          <w:sz w:val="24"/>
          <w:szCs w:val="24"/>
        </w:rPr>
        <w:t xml:space="preserve">Ahora bien, respecto del pronunciamiento del </w:t>
      </w:r>
      <w:r w:rsidRPr="00BE0F7E">
        <w:rPr>
          <w:rFonts w:ascii="Palatino Linotype" w:hAnsi="Palatino Linotype"/>
          <w:b/>
          <w:bCs/>
          <w:iCs/>
          <w:sz w:val="24"/>
          <w:szCs w:val="24"/>
        </w:rPr>
        <w:t xml:space="preserve">Sujeto Obligado </w:t>
      </w:r>
      <w:r w:rsidRPr="00BE0F7E">
        <w:rPr>
          <w:rFonts w:ascii="Palatino Linotype" w:hAnsi="Palatino Linotype"/>
          <w:iCs/>
          <w:sz w:val="24"/>
          <w:szCs w:val="24"/>
        </w:rPr>
        <w:t xml:space="preserve">relativo a </w:t>
      </w:r>
      <w:r w:rsidR="001B1111">
        <w:rPr>
          <w:rFonts w:ascii="Palatino Linotype" w:hAnsi="Palatino Linotype"/>
          <w:iCs/>
          <w:sz w:val="24"/>
          <w:szCs w:val="24"/>
        </w:rPr>
        <w:t xml:space="preserve">que no se han registrado erogaciones en el fondo fijo de presidencia, resulta óbice señalar que </w:t>
      </w:r>
      <w:r w:rsidR="001B1111" w:rsidRPr="005778AD">
        <w:rPr>
          <w:rFonts w:ascii="Palatino Linotype" w:hAnsi="Palatino Linotype"/>
          <w:sz w:val="24"/>
          <w:szCs w:val="24"/>
        </w:rPr>
        <w:t xml:space="preserve">el Pleno del Órgano Garante local ha sostenido que, </w:t>
      </w:r>
      <w:r w:rsidR="001B1111" w:rsidRPr="005778AD">
        <w:rPr>
          <w:rFonts w:ascii="Palatino Linotype" w:hAnsi="Palatino Linotype" w:cs="Arial"/>
          <w:sz w:val="24"/>
          <w:szCs w:val="24"/>
        </w:rPr>
        <w:t xml:space="preserve">ante la presencia de un hecho negativo, resultaría innecesaria una declaratoria de inexistencia en términos de 19, 169 </w:t>
      </w:r>
      <w:r w:rsidR="001B1111" w:rsidRPr="005778AD">
        <w:rPr>
          <w:rFonts w:ascii="Palatino Linotype" w:hAnsi="Palatino Linotype" w:cs="Arial"/>
          <w:sz w:val="24"/>
          <w:szCs w:val="24"/>
        </w:rPr>
        <w:lastRenderedPageBreak/>
        <w:t>y 170 de la Ley de Transparencia y Acceso a la Información Pública del Estado de México y Municipios, y ante un hecho negativo resulta aplicable la siguiente tesis</w:t>
      </w:r>
      <w:r w:rsidR="001B1111" w:rsidRPr="005778AD">
        <w:rPr>
          <w:rFonts w:ascii="Palatino Linotype" w:hAnsi="Palatino Linotype" w:cs="Arial"/>
          <w:color w:val="222222"/>
          <w:sz w:val="24"/>
          <w:szCs w:val="24"/>
        </w:rPr>
        <w:t>:</w:t>
      </w:r>
    </w:p>
    <w:p w14:paraId="6C265775" w14:textId="77777777" w:rsidR="001B1111" w:rsidRPr="005778AD" w:rsidRDefault="001B1111" w:rsidP="001B1111">
      <w:pPr>
        <w:pStyle w:val="Prrafodelista"/>
        <w:spacing w:before="240" w:line="360" w:lineRule="auto"/>
        <w:ind w:left="720" w:right="851"/>
        <w:jc w:val="both"/>
        <w:rPr>
          <w:rFonts w:ascii="Arial" w:hAnsi="Arial" w:cs="Arial"/>
          <w:color w:val="222222"/>
        </w:rPr>
      </w:pPr>
      <w:r w:rsidRPr="005778AD">
        <w:rPr>
          <w:rFonts w:ascii="Palatino Linotype" w:hAnsi="Palatino Linotype" w:cs="Arial"/>
          <w:color w:val="222222"/>
        </w:rPr>
        <w:t> </w:t>
      </w:r>
      <w:r w:rsidRPr="005778AD">
        <w:rPr>
          <w:rFonts w:ascii="Palatino Linotype" w:hAnsi="Palatino Linotype" w:cs="Arial"/>
          <w:b/>
          <w:bCs/>
          <w:i/>
          <w:iCs/>
          <w:color w:val="222222"/>
        </w:rPr>
        <w:t>“HECHOS NEGATIVOS, NO SON SUSCEPTIBLES DE DEMOSTRACION.</w:t>
      </w:r>
    </w:p>
    <w:p w14:paraId="15F6225C" w14:textId="77777777" w:rsidR="001B1111" w:rsidRPr="005778AD" w:rsidRDefault="001B1111" w:rsidP="001B1111">
      <w:pPr>
        <w:pStyle w:val="Prrafodelista"/>
        <w:spacing w:before="240" w:line="360" w:lineRule="auto"/>
        <w:ind w:left="720" w:right="851"/>
        <w:jc w:val="both"/>
        <w:rPr>
          <w:rFonts w:ascii="Palatino Linotype" w:hAnsi="Palatino Linotype" w:cs="Arial"/>
          <w:i/>
          <w:iCs/>
          <w:color w:val="222222"/>
        </w:rPr>
      </w:pPr>
      <w:r w:rsidRPr="005778AD">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5778AD">
        <w:rPr>
          <w:rFonts w:ascii="Palatino Linotype" w:hAnsi="Palatino Linotype" w:cs="Arial"/>
          <w:b/>
          <w:i/>
          <w:iCs/>
          <w:color w:val="222222"/>
        </w:rPr>
        <w:t>[Sic]</w:t>
      </w:r>
    </w:p>
    <w:p w14:paraId="21986BB6" w14:textId="1E90EAD5" w:rsidR="001B1111" w:rsidRDefault="001B1111" w:rsidP="004210A8">
      <w:pPr>
        <w:spacing w:after="240" w:line="360" w:lineRule="auto"/>
        <w:jc w:val="both"/>
        <w:rPr>
          <w:rFonts w:ascii="Palatino Linotype" w:hAnsi="Palatino Linotype"/>
          <w:iCs/>
          <w:sz w:val="24"/>
          <w:szCs w:val="24"/>
        </w:rPr>
      </w:pPr>
    </w:p>
    <w:p w14:paraId="44FD8BF9" w14:textId="77777777" w:rsidR="001B1111" w:rsidRPr="00664A07" w:rsidRDefault="001B1111" w:rsidP="001B1111">
      <w:pPr>
        <w:spacing w:after="240" w:line="360" w:lineRule="auto"/>
        <w:jc w:val="both"/>
        <w:rPr>
          <w:rFonts w:ascii="Palatino Linotype" w:hAnsi="Palatino Linotype"/>
          <w:b/>
          <w:bCs/>
          <w:sz w:val="24"/>
          <w:u w:val="single"/>
        </w:rPr>
      </w:pPr>
      <w:r w:rsidRPr="00664A07">
        <w:rPr>
          <w:rFonts w:ascii="Palatino Linotype" w:hAnsi="Palatino Linotype"/>
          <w:b/>
          <w:bCs/>
          <w:iCs/>
          <w:sz w:val="24"/>
          <w:szCs w:val="24"/>
          <w:u w:val="single"/>
        </w:rPr>
        <w:t xml:space="preserve">En función de lo planteado, </w:t>
      </w:r>
      <w:r w:rsidRPr="00664A07">
        <w:rPr>
          <w:rFonts w:ascii="Palatino Linotype" w:hAnsi="Palatino Linotype"/>
          <w:b/>
          <w:bCs/>
          <w:sz w:val="24"/>
          <w:u w:val="single"/>
        </w:rPr>
        <w:t xml:space="preserve">debe arribarse a la premisa de que los Municipios, son susceptibles de realizar diversas actividades entorno al fondo fijo, tales como ingresos a caja, depósitos en banco, ingresos en el banco, expedición de cheques, creación del fondo fijo, gastos menores, entre otros. </w:t>
      </w:r>
    </w:p>
    <w:p w14:paraId="56B21B6D" w14:textId="575AFABC" w:rsidR="001B1111" w:rsidRDefault="001B1111" w:rsidP="001B1111">
      <w:pPr>
        <w:spacing w:after="240" w:line="360" w:lineRule="auto"/>
        <w:jc w:val="both"/>
        <w:rPr>
          <w:rFonts w:ascii="Palatino Linotype" w:hAnsi="Palatino Linotype"/>
          <w:sz w:val="24"/>
        </w:rPr>
      </w:pPr>
      <w:r>
        <w:rPr>
          <w:rFonts w:ascii="Palatino Linotype" w:hAnsi="Palatino Linotype"/>
          <w:sz w:val="24"/>
        </w:rPr>
        <w:t xml:space="preserve">Siendo las cosas así, resulta claro que </w:t>
      </w:r>
      <w:r>
        <w:rPr>
          <w:rFonts w:ascii="Palatino Linotype" w:hAnsi="Palatino Linotype"/>
          <w:b/>
          <w:bCs/>
          <w:sz w:val="24"/>
        </w:rPr>
        <w:t xml:space="preserve">El Sujeto Obligado </w:t>
      </w:r>
      <w:r>
        <w:rPr>
          <w:rFonts w:ascii="Palatino Linotype" w:hAnsi="Palatino Linotype"/>
          <w:sz w:val="24"/>
        </w:rPr>
        <w:t xml:space="preserve">se limitó a aclarar que no tiene erogaciones en el fondo fijo de presidencia, es decir, </w:t>
      </w:r>
      <w:r w:rsidR="008B4036">
        <w:rPr>
          <w:rFonts w:ascii="Palatino Linotype" w:hAnsi="Palatino Linotype"/>
          <w:sz w:val="24"/>
        </w:rPr>
        <w:t xml:space="preserve">la respuesta primigenia es susceptible de colmar en términos parciales el derecho de acceso a la información pública.  </w:t>
      </w:r>
      <w:r>
        <w:rPr>
          <w:rFonts w:ascii="Palatino Linotype" w:hAnsi="Palatino Linotype"/>
          <w:sz w:val="24"/>
        </w:rPr>
        <w:t xml:space="preserve"> </w:t>
      </w:r>
    </w:p>
    <w:p w14:paraId="7B1CD370" w14:textId="630886CB" w:rsidR="00BE0F7E" w:rsidRDefault="004416EB" w:rsidP="004416EB">
      <w:pPr>
        <w:spacing w:line="360" w:lineRule="auto"/>
        <w:jc w:val="both"/>
        <w:rPr>
          <w:rFonts w:ascii="Palatino Linotype" w:hAnsi="Palatino Linotype" w:cs="Arial"/>
          <w:bCs/>
          <w:sz w:val="24"/>
          <w:szCs w:val="24"/>
        </w:rPr>
      </w:pPr>
      <w:r w:rsidRPr="006A31E8">
        <w:rPr>
          <w:rFonts w:ascii="Palatino Linotype" w:hAnsi="Palatino Linotype" w:cs="Arial"/>
          <w:bCs/>
          <w:sz w:val="24"/>
          <w:szCs w:val="24"/>
        </w:rPr>
        <w:t xml:space="preserve">Es así como, </w:t>
      </w:r>
      <w:r w:rsidR="001B1111">
        <w:rPr>
          <w:rFonts w:ascii="Palatino Linotype" w:hAnsi="Palatino Linotype" w:cs="Arial"/>
          <w:bCs/>
          <w:sz w:val="24"/>
          <w:szCs w:val="24"/>
        </w:rPr>
        <w:t>derivado de la respuesta emitida</w:t>
      </w:r>
      <w:r w:rsidRPr="006A31E8">
        <w:rPr>
          <w:rFonts w:ascii="Palatino Linotype" w:hAnsi="Palatino Linotype" w:cs="Arial"/>
          <w:bCs/>
          <w:sz w:val="24"/>
          <w:szCs w:val="24"/>
        </w:rPr>
        <w:t xml:space="preserve"> por </w:t>
      </w:r>
      <w:r w:rsidRPr="006A31E8">
        <w:rPr>
          <w:rFonts w:ascii="Palatino Linotype" w:hAnsi="Palatino Linotype" w:cs="Arial"/>
          <w:b/>
          <w:bCs/>
          <w:sz w:val="24"/>
          <w:szCs w:val="24"/>
        </w:rPr>
        <w:t>El Sujeto Obligado</w:t>
      </w:r>
      <w:r w:rsidRPr="006A31E8">
        <w:rPr>
          <w:rFonts w:ascii="Palatino Linotype" w:hAnsi="Palatino Linotype" w:cs="Arial"/>
          <w:bCs/>
          <w:sz w:val="24"/>
          <w:szCs w:val="24"/>
        </w:rPr>
        <w:t xml:space="preserve">, </w:t>
      </w:r>
      <w:r>
        <w:rPr>
          <w:rFonts w:ascii="Palatino Linotype" w:hAnsi="Palatino Linotype" w:cs="Arial"/>
          <w:b/>
          <w:bCs/>
          <w:sz w:val="24"/>
          <w:szCs w:val="24"/>
        </w:rPr>
        <w:t>El</w:t>
      </w:r>
      <w:r w:rsidRPr="006A31E8">
        <w:rPr>
          <w:rFonts w:ascii="Palatino Linotype" w:hAnsi="Palatino Linotype" w:cs="Arial"/>
          <w:b/>
          <w:bCs/>
          <w:sz w:val="24"/>
          <w:szCs w:val="24"/>
        </w:rPr>
        <w:t xml:space="preserve"> Recurrente</w:t>
      </w:r>
      <w:r w:rsidRPr="006A31E8">
        <w:rPr>
          <w:rFonts w:ascii="Palatino Linotype" w:hAnsi="Palatino Linotype" w:cs="Arial"/>
          <w:bCs/>
          <w:sz w:val="24"/>
          <w:szCs w:val="24"/>
        </w:rPr>
        <w:t xml:space="preserve">, interpuso </w:t>
      </w:r>
      <w:r w:rsidR="00BE0F7E">
        <w:rPr>
          <w:rFonts w:ascii="Palatino Linotype" w:hAnsi="Palatino Linotype" w:cs="Arial"/>
          <w:bCs/>
          <w:sz w:val="24"/>
          <w:szCs w:val="24"/>
        </w:rPr>
        <w:t>el presente recurso de revisión, señalando sustancialmente como sus razones o motivos de inconformidad, lo siguiente:</w:t>
      </w:r>
    </w:p>
    <w:p w14:paraId="727D8ED8" w14:textId="77777777" w:rsidR="001B1111" w:rsidRPr="0037314A" w:rsidRDefault="001B1111" w:rsidP="001B1111">
      <w:pPr>
        <w:spacing w:before="240" w:line="360" w:lineRule="auto"/>
        <w:jc w:val="both"/>
        <w:rPr>
          <w:rFonts w:ascii="Palatino Linotype" w:hAnsi="Palatino Linotype" w:cs="Arial"/>
          <w:b/>
          <w:sz w:val="24"/>
        </w:rPr>
      </w:pPr>
      <w:r w:rsidRPr="0037314A">
        <w:rPr>
          <w:rFonts w:ascii="Palatino Linotype" w:hAnsi="Palatino Linotype" w:cs="Arial"/>
          <w:b/>
          <w:sz w:val="24"/>
        </w:rPr>
        <w:t>Acto Impugnado:</w:t>
      </w:r>
    </w:p>
    <w:p w14:paraId="55DDF27F" w14:textId="77777777" w:rsidR="001B1111" w:rsidRPr="0037314A" w:rsidRDefault="001B1111" w:rsidP="001B1111">
      <w:pPr>
        <w:pStyle w:val="Citas"/>
        <w:rPr>
          <w:b/>
          <w:bCs/>
          <w:sz w:val="24"/>
        </w:rPr>
      </w:pPr>
      <w:r w:rsidRPr="00D83758">
        <w:lastRenderedPageBreak/>
        <w:t>“</w:t>
      </w:r>
      <w:r w:rsidRPr="009D61E3">
        <w:t>La respuesta a la solicitud de información identificada con el número 00203/TENANCIN/IP/2025</w:t>
      </w:r>
      <w:r w:rsidRPr="00D83758">
        <w:t>”</w:t>
      </w:r>
      <w:r w:rsidRPr="0037314A">
        <w:t xml:space="preserve"> </w:t>
      </w:r>
      <w:r w:rsidRPr="0037314A">
        <w:rPr>
          <w:b/>
          <w:bCs/>
        </w:rPr>
        <w:t>(Sic)</w:t>
      </w:r>
    </w:p>
    <w:p w14:paraId="3EACE00F" w14:textId="77777777" w:rsidR="001B1111" w:rsidRPr="0037314A" w:rsidRDefault="001B1111" w:rsidP="001B1111">
      <w:pPr>
        <w:spacing w:before="240" w:line="360" w:lineRule="auto"/>
        <w:jc w:val="both"/>
        <w:rPr>
          <w:rFonts w:ascii="Palatino Linotype" w:hAnsi="Palatino Linotype" w:cs="Arial"/>
          <w:sz w:val="24"/>
        </w:rPr>
      </w:pPr>
      <w:r w:rsidRPr="0037314A">
        <w:rPr>
          <w:rFonts w:ascii="Palatino Linotype" w:hAnsi="Palatino Linotype" w:cs="Arial"/>
          <w:b/>
          <w:sz w:val="24"/>
        </w:rPr>
        <w:t>Razones o Motivos de Inconformidad</w:t>
      </w:r>
      <w:r w:rsidRPr="0037314A">
        <w:rPr>
          <w:rFonts w:ascii="Palatino Linotype" w:hAnsi="Palatino Linotype" w:cs="Arial"/>
          <w:sz w:val="24"/>
        </w:rPr>
        <w:t xml:space="preserve">: </w:t>
      </w:r>
    </w:p>
    <w:p w14:paraId="091C64D6" w14:textId="77777777" w:rsidR="001B1111" w:rsidRPr="0037314A" w:rsidRDefault="001B1111" w:rsidP="001B1111">
      <w:pPr>
        <w:pStyle w:val="Citas"/>
        <w:rPr>
          <w:b/>
          <w:bCs/>
        </w:rPr>
      </w:pPr>
      <w:r w:rsidRPr="00D83758">
        <w:t>“</w:t>
      </w:r>
      <w:r w:rsidRPr="009D61E3">
        <w:t>De la respuesta otorgada es evidente que el sujeto obligado no proporciona la información solicitada, pues si bien refiere que a la fecha no hay registro de erogaciones al fondo fijo de caja; los registros contables no se refieren exclusivamente a erogaciones, puesto que la contabilidad gubernamental define a los registros contables como todas aquellas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 específicamente por lo que se refiere al fondo fijo de caja, las documentales que avalen la solicitud y autorización del fondo (mismo que debe contener el monto solicitado y autorizado); liberación del monto, el recibo del fondo fijo de caja, creación de cuentas, cheques, pólizas, etc.; es decir, todos los registros relacionados con ese fondo</w:t>
      </w:r>
      <w:r w:rsidRPr="00D83758">
        <w:t>”</w:t>
      </w:r>
      <w:r w:rsidRPr="0037314A">
        <w:t xml:space="preserve"> </w:t>
      </w:r>
      <w:r w:rsidRPr="0037314A">
        <w:rPr>
          <w:b/>
          <w:bCs/>
        </w:rPr>
        <w:t>(Sic)</w:t>
      </w:r>
    </w:p>
    <w:p w14:paraId="215520DD" w14:textId="77777777" w:rsidR="001B1111" w:rsidRDefault="001B1111" w:rsidP="0091510B">
      <w:pPr>
        <w:pStyle w:val="Citas"/>
        <w:ind w:left="0" w:right="0"/>
        <w:rPr>
          <w:bCs/>
          <w:i w:val="0"/>
          <w:iCs/>
          <w:sz w:val="24"/>
          <w:szCs w:val="24"/>
        </w:rPr>
      </w:pPr>
      <w:r>
        <w:rPr>
          <w:bCs/>
          <w:i w:val="0"/>
          <w:iCs/>
          <w:sz w:val="24"/>
          <w:szCs w:val="24"/>
        </w:rPr>
        <w:t xml:space="preserve">Adjuntando el documento electrónico </w:t>
      </w:r>
      <w:r>
        <w:rPr>
          <w:b/>
          <w:i w:val="0"/>
          <w:iCs/>
          <w:sz w:val="24"/>
          <w:szCs w:val="24"/>
        </w:rPr>
        <w:t xml:space="preserve">“Contestación 00203 Tesorería (1) (1).pdf”, </w:t>
      </w:r>
      <w:r>
        <w:rPr>
          <w:bCs/>
          <w:i w:val="0"/>
          <w:iCs/>
          <w:sz w:val="24"/>
          <w:szCs w:val="24"/>
        </w:rPr>
        <w:t xml:space="preserve">correspondiente a la respuesta primigenia. </w:t>
      </w:r>
    </w:p>
    <w:p w14:paraId="2CFA53A8" w14:textId="77777777" w:rsidR="0091510B" w:rsidRPr="00604859" w:rsidRDefault="0091510B" w:rsidP="0091510B">
      <w:pPr>
        <w:pStyle w:val="Citas"/>
        <w:ind w:left="0" w:right="-18"/>
        <w:rPr>
          <w:sz w:val="24"/>
          <w:szCs w:val="24"/>
        </w:rPr>
      </w:pPr>
      <w:bookmarkStart w:id="2" w:name="_Hlk136535106"/>
      <w:r w:rsidRPr="0007583C">
        <w:rPr>
          <w:i w:val="0"/>
          <w:iCs/>
          <w:sz w:val="24"/>
          <w:szCs w:val="24"/>
        </w:rPr>
        <w:t xml:space="preserve">De ahí que deba arribarse a la premisa de que </w:t>
      </w:r>
      <w:r>
        <w:rPr>
          <w:i w:val="0"/>
          <w:iCs/>
          <w:sz w:val="24"/>
          <w:szCs w:val="24"/>
        </w:rPr>
        <w:t xml:space="preserve">el particular da por consentido el punto </w:t>
      </w:r>
      <w:r>
        <w:rPr>
          <w:b/>
          <w:bCs/>
          <w:i w:val="0"/>
          <w:iCs/>
          <w:sz w:val="24"/>
          <w:szCs w:val="24"/>
        </w:rPr>
        <w:t xml:space="preserve">1 -uno-, </w:t>
      </w:r>
      <w:r w:rsidRPr="00C73DAB">
        <w:rPr>
          <w:b/>
          <w:bCs/>
          <w:i w:val="0"/>
          <w:iCs/>
          <w:sz w:val="24"/>
          <w:szCs w:val="24"/>
          <w:u w:val="single"/>
        </w:rPr>
        <w:t xml:space="preserve">únicamente por cuanto hace </w:t>
      </w:r>
      <w:bookmarkEnd w:id="2"/>
      <w:r>
        <w:rPr>
          <w:b/>
          <w:bCs/>
          <w:i w:val="0"/>
          <w:iCs/>
          <w:sz w:val="24"/>
          <w:szCs w:val="24"/>
          <w:u w:val="single"/>
        </w:rPr>
        <w:t xml:space="preserve">a las erogaciones del fondo fijo de presidencia. </w:t>
      </w:r>
      <w:r w:rsidRPr="007C5D04">
        <w:rPr>
          <w:i w:val="0"/>
          <w:iCs/>
          <w:sz w:val="24"/>
          <w:szCs w:val="24"/>
        </w:rPr>
        <w:t>Bajo estas líneas argumentativas, la parte de la solicitud sobre la que no se expresó inconformidad</w:t>
      </w:r>
      <w:r w:rsidRPr="007C5D04">
        <w:rPr>
          <w:i w:val="0"/>
          <w:iCs/>
        </w:rPr>
        <w:t xml:space="preserve"> </w:t>
      </w:r>
      <w:r w:rsidRPr="007C5D04">
        <w:rPr>
          <w:i w:val="0"/>
          <w:iCs/>
          <w:sz w:val="24"/>
          <w:szCs w:val="24"/>
          <w:lang w:eastAsia="es-MX"/>
        </w:rPr>
        <w:t xml:space="preserve">debe declararse consentida por el hoy </w:t>
      </w:r>
      <w:r w:rsidRPr="007C5D04">
        <w:rPr>
          <w:b/>
          <w:i w:val="0"/>
          <w:iCs/>
          <w:sz w:val="24"/>
          <w:szCs w:val="24"/>
          <w:lang w:eastAsia="es-MX"/>
        </w:rPr>
        <w:t xml:space="preserve">Recurrente, </w:t>
      </w:r>
      <w:r w:rsidRPr="007C5D04">
        <w:rPr>
          <w:i w:val="0"/>
          <w:iCs/>
          <w:sz w:val="24"/>
          <w:szCs w:val="24"/>
          <w:lang w:eastAsia="es-MX"/>
        </w:rPr>
        <w:t xml:space="preserve">ya que no pueden </w:t>
      </w:r>
      <w:r w:rsidRPr="007C5D04">
        <w:rPr>
          <w:i w:val="0"/>
          <w:iCs/>
          <w:sz w:val="24"/>
          <w:szCs w:val="24"/>
          <w:lang w:eastAsia="es-MX"/>
        </w:rPr>
        <w:lastRenderedPageBreak/>
        <w:t xml:space="preserve">producirse efectos jurídicos tendentes a revocar, confirmar o modificar la parte de la respuesta con relación a la parte de la solicitud que no fue motivo de disenso ya que se infiere un consentimiento del </w:t>
      </w:r>
      <w:r w:rsidRPr="007C5D04">
        <w:rPr>
          <w:b/>
          <w:i w:val="0"/>
          <w:iCs/>
          <w:sz w:val="24"/>
          <w:szCs w:val="24"/>
          <w:lang w:eastAsia="es-MX"/>
        </w:rPr>
        <w:t>Recurrente</w:t>
      </w:r>
      <w:r w:rsidRPr="007C5D04">
        <w:rPr>
          <w:i w:val="0"/>
          <w:iCs/>
          <w:sz w:val="24"/>
          <w:szCs w:val="24"/>
          <w:lang w:eastAsia="es-MX"/>
        </w:rPr>
        <w:t xml:space="preserve"> ante la falta de impugnación eficaz. </w:t>
      </w:r>
      <w:r w:rsidRPr="007C5D04">
        <w:rPr>
          <w:i w:val="0"/>
          <w:iCs/>
          <w:sz w:val="24"/>
          <w:szCs w:val="24"/>
        </w:rPr>
        <w:t>Sirve de sustento a lo anterior, por analogía, la tesis jurisprudencial, que a la letra dice:</w:t>
      </w:r>
      <w:r w:rsidRPr="00604859">
        <w:rPr>
          <w:sz w:val="24"/>
          <w:szCs w:val="24"/>
        </w:rPr>
        <w:t xml:space="preserve"> </w:t>
      </w:r>
    </w:p>
    <w:p w14:paraId="1A683092" w14:textId="77777777" w:rsidR="0091510B" w:rsidRPr="001300D8" w:rsidRDefault="0091510B" w:rsidP="0091510B">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2A1C1108" w14:textId="77777777" w:rsidR="0091510B" w:rsidRPr="001300D8" w:rsidRDefault="0091510B" w:rsidP="0091510B">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11C61808" w14:textId="77777777" w:rsidR="0091510B" w:rsidRPr="001300D8" w:rsidRDefault="0091510B" w:rsidP="0091510B">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7794A041" w14:textId="77777777" w:rsidR="0091510B" w:rsidRPr="001300D8" w:rsidRDefault="0091510B" w:rsidP="0091510B">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1BD4C40B" w14:textId="77777777" w:rsidR="0091510B" w:rsidRPr="001300D8" w:rsidRDefault="0091510B" w:rsidP="0091510B">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4C719929" w14:textId="77777777" w:rsidR="0091510B" w:rsidRPr="001300D8" w:rsidRDefault="0091510B" w:rsidP="0091510B">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3D0D9874" w14:textId="77777777" w:rsidR="0091510B" w:rsidRPr="001300D8" w:rsidRDefault="0091510B" w:rsidP="0091510B">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4D9E7CD2" w14:textId="77777777" w:rsidR="0091510B" w:rsidRPr="001300D8" w:rsidRDefault="0091510B" w:rsidP="0091510B">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54276698" w14:textId="77777777" w:rsidR="0091510B" w:rsidRPr="001300D8" w:rsidRDefault="0091510B" w:rsidP="0091510B">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0697BB0D" w14:textId="77777777" w:rsidR="0091510B" w:rsidRPr="001300D8" w:rsidRDefault="0091510B" w:rsidP="0091510B">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5EF8F6F" w14:textId="77777777" w:rsidR="0091510B" w:rsidRPr="001300D8" w:rsidRDefault="0091510B" w:rsidP="0091510B">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lastRenderedPageBreak/>
        <w:t>TERCER TRIBUNAL COLEGIADO EN MATERIA CIVIL DEL SEXTO CIRCUITO.</w:t>
      </w:r>
    </w:p>
    <w:p w14:paraId="525E4128" w14:textId="77777777" w:rsidR="0091510B" w:rsidRPr="001300D8" w:rsidRDefault="0091510B" w:rsidP="0091510B">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04F67F57" w14:textId="77777777" w:rsidR="0091510B" w:rsidRPr="001300D8" w:rsidRDefault="0091510B" w:rsidP="0091510B">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7F7FDDFB" w14:textId="77777777" w:rsidR="0091510B" w:rsidRPr="001300D8" w:rsidRDefault="0091510B" w:rsidP="0091510B">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6773DAEB" w14:textId="77777777" w:rsidR="0091510B" w:rsidRPr="001300D8" w:rsidRDefault="0091510B" w:rsidP="0091510B">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62A26992" w14:textId="77777777" w:rsidR="0091510B" w:rsidRDefault="0091510B" w:rsidP="0091510B">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0BB8FE14" w14:textId="77777777" w:rsidR="0091510B" w:rsidRDefault="0091510B" w:rsidP="0091510B">
      <w:pPr>
        <w:spacing w:after="0" w:line="360" w:lineRule="auto"/>
        <w:jc w:val="both"/>
        <w:rPr>
          <w:rFonts w:ascii="Palatino Linotype" w:hAnsi="Palatino Linotype" w:cs="Arial"/>
          <w:noProof/>
          <w:color w:val="000000"/>
          <w:sz w:val="24"/>
          <w:lang w:eastAsia="es-MX"/>
        </w:rPr>
      </w:pPr>
    </w:p>
    <w:p w14:paraId="52F7F84A" w14:textId="77777777" w:rsidR="0091510B" w:rsidRDefault="0091510B" w:rsidP="0091510B">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DFD237A" w14:textId="77777777" w:rsidR="0091510B" w:rsidRDefault="0091510B" w:rsidP="0091510B">
      <w:pPr>
        <w:pStyle w:val="Citas"/>
        <w:rPr>
          <w:b/>
        </w:rPr>
      </w:pPr>
      <w:r>
        <w:rPr>
          <w:b/>
        </w:rPr>
        <w:lastRenderedPageBreak/>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346A4B6" w14:textId="77777777" w:rsidR="0091510B" w:rsidRPr="0071419E" w:rsidRDefault="0091510B" w:rsidP="0091510B">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0829A619" w14:textId="77777777" w:rsidR="0091510B" w:rsidRPr="00D83913" w:rsidRDefault="0091510B" w:rsidP="0091510B">
      <w:pPr>
        <w:pStyle w:val="Citas"/>
        <w:rPr>
          <w:b/>
          <w:bCs/>
        </w:rPr>
      </w:pPr>
      <w:r w:rsidRPr="00D83913">
        <w:rPr>
          <w:b/>
          <w:bCs/>
        </w:rPr>
        <w:t>Resoluciones</w:t>
      </w:r>
      <w:r>
        <w:rPr>
          <w:b/>
          <w:bCs/>
        </w:rPr>
        <w:t>:</w:t>
      </w:r>
    </w:p>
    <w:p w14:paraId="40D5C79A" w14:textId="77777777" w:rsidR="0091510B" w:rsidRPr="00D83913" w:rsidRDefault="0091510B" w:rsidP="0091510B">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64573376" w14:textId="77777777" w:rsidR="0091510B" w:rsidRPr="009754D6" w:rsidRDefault="00E0458C" w:rsidP="0091510B">
      <w:pPr>
        <w:pStyle w:val="Citas"/>
        <w:rPr>
          <w:sz w:val="20"/>
        </w:rPr>
      </w:pPr>
      <w:hyperlink r:id="rId11" w:history="1">
        <w:r w:rsidR="0091510B" w:rsidRPr="009754D6">
          <w:rPr>
            <w:rStyle w:val="Hipervnculo"/>
          </w:rPr>
          <w:t>http://consultas.ifai.org.mx/descargar.php?r=./pdf/resoluciones/2018/&amp;a=RRA%204548.pdf</w:t>
        </w:r>
      </w:hyperlink>
    </w:p>
    <w:p w14:paraId="005E31E1" w14:textId="77777777" w:rsidR="0091510B" w:rsidRPr="009754D6" w:rsidRDefault="0091510B" w:rsidP="0091510B">
      <w:pPr>
        <w:pStyle w:val="Citas"/>
        <w:rPr>
          <w:b/>
        </w:rPr>
      </w:pPr>
      <w:r w:rsidRPr="009754D6">
        <w:rPr>
          <w:b/>
        </w:rPr>
        <w:t xml:space="preserve">RRA 5097/18. </w:t>
      </w:r>
      <w:r w:rsidRPr="009754D6">
        <w:t>Secretaría de Hacienda y Crédito Público. 05 de septiembre de 2018. Por unanimidad. Comisionado Ponente Joel Salas Suárez.</w:t>
      </w:r>
    </w:p>
    <w:p w14:paraId="38AC2974" w14:textId="77777777" w:rsidR="0091510B" w:rsidRPr="009754D6" w:rsidRDefault="00E0458C" w:rsidP="0091510B">
      <w:pPr>
        <w:pStyle w:val="Citas"/>
        <w:rPr>
          <w:sz w:val="20"/>
        </w:rPr>
      </w:pPr>
      <w:hyperlink r:id="rId12" w:history="1">
        <w:r w:rsidR="0091510B" w:rsidRPr="009754D6">
          <w:rPr>
            <w:rStyle w:val="Hipervnculo"/>
          </w:rPr>
          <w:t>http://consultas.ifai.org.mx/descargar.php?r=./pdf/resoluciones/2018/&amp;a=RRA%205097.pdf</w:t>
        </w:r>
      </w:hyperlink>
    </w:p>
    <w:p w14:paraId="3FBF2122" w14:textId="77777777" w:rsidR="0091510B" w:rsidRPr="009754D6" w:rsidRDefault="0091510B" w:rsidP="0091510B">
      <w:pPr>
        <w:pStyle w:val="Citas"/>
        <w:rPr>
          <w:b/>
        </w:rPr>
      </w:pPr>
      <w:r w:rsidRPr="009754D6">
        <w:rPr>
          <w:b/>
        </w:rPr>
        <w:t xml:space="preserve">RRA 14270/19. </w:t>
      </w:r>
      <w:r w:rsidRPr="009754D6">
        <w:t>Registro Agrario Nacional. 22 de enero de 2020. Por unanimidad. Comisionado Ponente Francisco Javier Acuña Llamas.</w:t>
      </w:r>
    </w:p>
    <w:p w14:paraId="2266DCFC" w14:textId="77777777" w:rsidR="0091510B" w:rsidRPr="009754D6" w:rsidRDefault="00E0458C" w:rsidP="0091510B">
      <w:pPr>
        <w:pStyle w:val="Citas"/>
        <w:rPr>
          <w:rStyle w:val="Hipervnculo"/>
          <w:b/>
          <w:bCs/>
          <w:color w:val="auto"/>
          <w:sz w:val="24"/>
          <w:szCs w:val="24"/>
          <w:u w:val="none"/>
          <w:lang w:val="en-US"/>
        </w:rPr>
      </w:pPr>
      <w:hyperlink r:id="rId13" w:history="1">
        <w:r w:rsidR="0091510B" w:rsidRPr="009754D6">
          <w:rPr>
            <w:rStyle w:val="Hipervnculo"/>
            <w:lang w:val="en-US"/>
          </w:rPr>
          <w:t>http://consultas.ifai.org.mx/descargar.php?r=./pdf/resoluciones/2019/&amp;a=RRA%2014270.pdf</w:t>
        </w:r>
      </w:hyperlink>
      <w:r w:rsidR="0091510B" w:rsidRPr="009754D6">
        <w:rPr>
          <w:rStyle w:val="Hipervnculo"/>
          <w:sz w:val="20"/>
          <w:lang w:val="en-US"/>
        </w:rPr>
        <w:t xml:space="preserve">” </w:t>
      </w:r>
      <w:r w:rsidR="0091510B" w:rsidRPr="009754D6">
        <w:rPr>
          <w:rStyle w:val="Hipervnculo"/>
          <w:i w:val="0"/>
          <w:iCs/>
          <w:sz w:val="24"/>
          <w:szCs w:val="24"/>
          <w:u w:val="none"/>
          <w:lang w:val="en-US"/>
        </w:rPr>
        <w:t xml:space="preserve"> </w:t>
      </w:r>
      <w:r w:rsidR="0091510B" w:rsidRPr="009754D6">
        <w:rPr>
          <w:rStyle w:val="Hipervnculo"/>
          <w:b/>
          <w:bCs/>
          <w:color w:val="auto"/>
          <w:sz w:val="24"/>
          <w:szCs w:val="24"/>
          <w:u w:val="none"/>
          <w:lang w:val="en-US"/>
        </w:rPr>
        <w:t xml:space="preserve">[Sic] </w:t>
      </w:r>
    </w:p>
    <w:p w14:paraId="4052303E" w14:textId="5F387BE6" w:rsidR="0091510B" w:rsidRPr="0091510B" w:rsidRDefault="0091510B" w:rsidP="0091510B">
      <w:pPr>
        <w:pStyle w:val="Citas"/>
        <w:ind w:left="0" w:right="0"/>
        <w:rPr>
          <w:i w:val="0"/>
          <w:iCs/>
          <w:sz w:val="24"/>
          <w:szCs w:val="24"/>
          <w:lang w:val="en-US"/>
        </w:rPr>
      </w:pPr>
    </w:p>
    <w:p w14:paraId="65B8DD86" w14:textId="75AFE7BD" w:rsidR="00BA1B53" w:rsidRPr="0037314A" w:rsidRDefault="00BA1B53" w:rsidP="00BA1B53">
      <w:pPr>
        <w:pStyle w:val="infoemcitas"/>
        <w:tabs>
          <w:tab w:val="left" w:pos="7655"/>
        </w:tabs>
        <w:ind w:left="0" w:right="0"/>
        <w:rPr>
          <w:rFonts w:cs="Arial"/>
          <w:i w:val="0"/>
          <w:color w:val="000000"/>
          <w:sz w:val="24"/>
          <w:lang w:eastAsia="es-MX"/>
        </w:rPr>
      </w:pPr>
      <w:r w:rsidRPr="0037314A">
        <w:rPr>
          <w:i w:val="0"/>
          <w:sz w:val="24"/>
          <w:szCs w:val="24"/>
        </w:rPr>
        <w:lastRenderedPageBreak/>
        <w:t xml:space="preserve">Así las cosas, hasta aquí lo expuesto, resulta inconcuso que los motivos de inconformidad esgrimidos por el particular encuadran dentro del artículo 179, </w:t>
      </w:r>
      <w:r>
        <w:rPr>
          <w:i w:val="0"/>
          <w:sz w:val="24"/>
          <w:szCs w:val="24"/>
        </w:rPr>
        <w:t xml:space="preserve">fracciones I y </w:t>
      </w:r>
      <w:r w:rsidR="0091510B">
        <w:rPr>
          <w:i w:val="0"/>
          <w:sz w:val="24"/>
          <w:szCs w:val="24"/>
        </w:rPr>
        <w:t>V</w:t>
      </w:r>
      <w:r w:rsidRPr="0037314A">
        <w:rPr>
          <w:i w:val="0"/>
          <w:sz w:val="24"/>
          <w:szCs w:val="24"/>
        </w:rPr>
        <w:t xml:space="preserve"> de la </w:t>
      </w:r>
      <w:r w:rsidRPr="0037314A">
        <w:rPr>
          <w:rFonts w:cs="Arial"/>
          <w:i w:val="0"/>
          <w:color w:val="000000"/>
          <w:sz w:val="24"/>
          <w:lang w:eastAsia="es-MX"/>
        </w:rPr>
        <w:t xml:space="preserve">Ley de Transparencia y Acceso a la Información Pública del Estado de México y Municipios, cuyo contenido literal es el siguiente: </w:t>
      </w:r>
    </w:p>
    <w:p w14:paraId="0017422A" w14:textId="77777777" w:rsidR="00BA1B53" w:rsidRPr="0037314A" w:rsidRDefault="00BA1B53" w:rsidP="00BA1B53">
      <w:pPr>
        <w:pStyle w:val="Citas"/>
      </w:pPr>
      <w:r w:rsidRPr="0037314A">
        <w:t xml:space="preserve"> “Artículo 179. El recurso de revisión es un medio de protección que la Ley otorga a los particulares, para hacer valer su derecho de acceso a la información pública, y procederá en contra de las siguientes causas:</w:t>
      </w:r>
    </w:p>
    <w:p w14:paraId="1751E8A0" w14:textId="77777777" w:rsidR="00BA1B53" w:rsidRDefault="00BA1B53" w:rsidP="00BA1B53">
      <w:pPr>
        <w:pStyle w:val="Citas"/>
      </w:pPr>
      <w:r w:rsidRPr="0037314A">
        <w:t>I. La negativa a la información solicitada;</w:t>
      </w:r>
    </w:p>
    <w:p w14:paraId="3C5611C7" w14:textId="1C72BAA2" w:rsidR="00BA1B53" w:rsidRDefault="00BA1B53" w:rsidP="00BA1B53">
      <w:pPr>
        <w:pStyle w:val="Citas"/>
      </w:pPr>
      <w:r>
        <w:t>(…)</w:t>
      </w:r>
    </w:p>
    <w:p w14:paraId="482934BA" w14:textId="619D7386" w:rsidR="0091510B" w:rsidRDefault="0091510B" w:rsidP="00BA1B53">
      <w:pPr>
        <w:pStyle w:val="Citas"/>
      </w:pPr>
      <w:r w:rsidRPr="0091510B">
        <w:t>V. La entrega de información incompleta;</w:t>
      </w:r>
    </w:p>
    <w:p w14:paraId="0DBFC9A4" w14:textId="634BFEFC" w:rsidR="0091510B" w:rsidRPr="0091510B" w:rsidRDefault="0091510B" w:rsidP="00BA1B53">
      <w:pPr>
        <w:pStyle w:val="Citas"/>
        <w:rPr>
          <w:b/>
          <w:bCs/>
        </w:rPr>
      </w:pPr>
      <w:r>
        <w:t xml:space="preserve">(…)” </w:t>
      </w:r>
      <w:r>
        <w:rPr>
          <w:b/>
          <w:bCs/>
        </w:rPr>
        <w:t>(Sic)</w:t>
      </w:r>
    </w:p>
    <w:p w14:paraId="69BBD3CA" w14:textId="77777777" w:rsidR="00BA1B53" w:rsidRDefault="00BA1B53" w:rsidP="004416EB">
      <w:pPr>
        <w:spacing w:line="360" w:lineRule="auto"/>
        <w:jc w:val="both"/>
        <w:rPr>
          <w:rFonts w:ascii="Palatino Linotype" w:hAnsi="Palatino Linotype"/>
          <w:b/>
          <w:i/>
          <w:sz w:val="24"/>
          <w:szCs w:val="24"/>
        </w:rPr>
      </w:pPr>
    </w:p>
    <w:p w14:paraId="09BEB9DC" w14:textId="73634972" w:rsidR="0091510B" w:rsidRDefault="004416EB" w:rsidP="004416EB">
      <w:pPr>
        <w:spacing w:line="360" w:lineRule="auto"/>
        <w:jc w:val="both"/>
        <w:rPr>
          <w:rFonts w:ascii="Palatino Linotype" w:hAnsi="Palatino Linotype"/>
          <w:bCs/>
          <w:sz w:val="24"/>
          <w:szCs w:val="24"/>
        </w:rPr>
      </w:pPr>
      <w:r w:rsidRPr="006A31E8">
        <w:rPr>
          <w:rFonts w:ascii="Palatino Linotype" w:hAnsi="Palatino Linotype"/>
          <w:sz w:val="24"/>
          <w:szCs w:val="24"/>
          <w:lang w:val="es-ES_tradnl"/>
        </w:rPr>
        <w:t xml:space="preserve">Asimismo, en la etapa de manifestaciones </w:t>
      </w:r>
      <w:r w:rsidRPr="006A31E8">
        <w:rPr>
          <w:rFonts w:ascii="Palatino Linotype" w:hAnsi="Palatino Linotype"/>
          <w:sz w:val="24"/>
          <w:szCs w:val="24"/>
        </w:rPr>
        <w:t xml:space="preserve">se advierte que el </w:t>
      </w:r>
      <w:r w:rsidRPr="006A31E8">
        <w:rPr>
          <w:rFonts w:ascii="Palatino Linotype" w:hAnsi="Palatino Linotype"/>
          <w:b/>
          <w:sz w:val="24"/>
          <w:szCs w:val="24"/>
        </w:rPr>
        <w:t xml:space="preserve">Sujeto </w:t>
      </w:r>
      <w:r>
        <w:rPr>
          <w:rFonts w:ascii="Palatino Linotype" w:hAnsi="Palatino Linotype"/>
          <w:b/>
          <w:sz w:val="24"/>
          <w:szCs w:val="24"/>
        </w:rPr>
        <w:t xml:space="preserve">Obligado </w:t>
      </w:r>
      <w:r w:rsidR="008B4036">
        <w:rPr>
          <w:rFonts w:ascii="Palatino Linotype" w:hAnsi="Palatino Linotype"/>
          <w:bCs/>
          <w:sz w:val="24"/>
          <w:szCs w:val="24"/>
        </w:rPr>
        <w:t>rindió su informe justificado en los siguientes términos:</w:t>
      </w:r>
    </w:p>
    <w:p w14:paraId="46185307" w14:textId="1FB7EA16" w:rsidR="008B4036" w:rsidRPr="008B4036" w:rsidRDefault="008B4036" w:rsidP="00E0458C">
      <w:pPr>
        <w:pStyle w:val="Prrafodelista"/>
        <w:numPr>
          <w:ilvl w:val="0"/>
          <w:numId w:val="9"/>
        </w:numPr>
        <w:spacing w:line="360" w:lineRule="auto"/>
        <w:jc w:val="both"/>
        <w:rPr>
          <w:rFonts w:ascii="Palatino Linotype" w:hAnsi="Palatino Linotype"/>
          <w:b/>
        </w:rPr>
      </w:pPr>
      <w:r>
        <w:rPr>
          <w:rFonts w:ascii="Palatino Linotype" w:hAnsi="Palatino Linotype"/>
          <w:b/>
        </w:rPr>
        <w:t xml:space="preserve">“Contestación RR 02190 INFOEM 2025 Tesorería.pdf”: </w:t>
      </w:r>
      <w:r>
        <w:rPr>
          <w:rFonts w:ascii="Palatino Linotype" w:hAnsi="Palatino Linotype"/>
          <w:bCs/>
        </w:rPr>
        <w:t>Compila lo siguiente:</w:t>
      </w:r>
    </w:p>
    <w:p w14:paraId="16867809" w14:textId="74FF36E8" w:rsidR="008B4036" w:rsidRDefault="008B4036" w:rsidP="00E0458C">
      <w:pPr>
        <w:pStyle w:val="Prrafodelista"/>
        <w:numPr>
          <w:ilvl w:val="0"/>
          <w:numId w:val="10"/>
        </w:numPr>
        <w:spacing w:line="360" w:lineRule="auto"/>
        <w:jc w:val="both"/>
        <w:rPr>
          <w:rFonts w:ascii="Palatino Linotype" w:hAnsi="Palatino Linotype"/>
          <w:b/>
        </w:rPr>
      </w:pPr>
      <w:r>
        <w:rPr>
          <w:rFonts w:ascii="Palatino Linotype" w:hAnsi="Palatino Linotype"/>
          <w:bCs/>
        </w:rPr>
        <w:t xml:space="preserve">Oficio número </w:t>
      </w:r>
      <w:r>
        <w:rPr>
          <w:rFonts w:ascii="Palatino Linotype" w:hAnsi="Palatino Linotype"/>
          <w:b/>
        </w:rPr>
        <w:t xml:space="preserve">MTM058/TM118/2025 </w:t>
      </w:r>
      <w:r>
        <w:rPr>
          <w:rFonts w:ascii="Palatino Linotype" w:hAnsi="Palatino Linotype"/>
          <w:bCs/>
        </w:rPr>
        <w:t xml:space="preserve">signado por el tesorero municipal, dirigido a la coordinadora de transparencia, de fecha once de marzo de dos mil veinticinco, refiere adjuntar documentos vinculados con la aprobación del fondo fijo mediante el acuerdo </w:t>
      </w:r>
      <w:r>
        <w:rPr>
          <w:rFonts w:ascii="Palatino Linotype" w:hAnsi="Palatino Linotype"/>
          <w:b/>
        </w:rPr>
        <w:t>A037/</w:t>
      </w:r>
      <w:r w:rsidR="00431852">
        <w:rPr>
          <w:rFonts w:ascii="Palatino Linotype" w:hAnsi="Palatino Linotype"/>
          <w:b/>
        </w:rPr>
        <w:t>SO03/OD/11/25G4V1.</w:t>
      </w:r>
    </w:p>
    <w:p w14:paraId="6093E39B" w14:textId="77777777" w:rsidR="00431852" w:rsidRDefault="00431852" w:rsidP="00431852">
      <w:pPr>
        <w:pStyle w:val="Prrafodelista"/>
        <w:spacing w:line="360" w:lineRule="auto"/>
        <w:ind w:left="1080"/>
        <w:jc w:val="both"/>
        <w:rPr>
          <w:rFonts w:ascii="Palatino Linotype" w:hAnsi="Palatino Linotype"/>
          <w:b/>
        </w:rPr>
      </w:pPr>
    </w:p>
    <w:p w14:paraId="24ED9411" w14:textId="3DF84326" w:rsidR="00431852" w:rsidRPr="00431852" w:rsidRDefault="00431852" w:rsidP="00E0458C">
      <w:pPr>
        <w:pStyle w:val="Prrafodelista"/>
        <w:numPr>
          <w:ilvl w:val="0"/>
          <w:numId w:val="10"/>
        </w:numPr>
        <w:spacing w:line="360" w:lineRule="auto"/>
        <w:jc w:val="both"/>
        <w:rPr>
          <w:rFonts w:ascii="Palatino Linotype" w:hAnsi="Palatino Linotype"/>
          <w:b/>
        </w:rPr>
      </w:pPr>
      <w:r>
        <w:rPr>
          <w:rFonts w:ascii="Palatino Linotype" w:hAnsi="Palatino Linotype"/>
          <w:bCs/>
        </w:rPr>
        <w:lastRenderedPageBreak/>
        <w:t xml:space="preserve">Oficio número </w:t>
      </w:r>
      <w:r>
        <w:rPr>
          <w:rFonts w:ascii="Palatino Linotype" w:hAnsi="Palatino Linotype"/>
          <w:b/>
        </w:rPr>
        <w:t xml:space="preserve">PMT/058/0025/2025 </w:t>
      </w:r>
      <w:r>
        <w:rPr>
          <w:rFonts w:ascii="Palatino Linotype" w:hAnsi="Palatino Linotype"/>
          <w:bCs/>
        </w:rPr>
        <w:t>signado por la presidenta municipal, dirigido al tesorero municipal, de fecha veintidós de enero de dos mil veinticinco, en términos generales resulta de nuestro interés el siguiente extracto:</w:t>
      </w:r>
    </w:p>
    <w:p w14:paraId="7AAA649B" w14:textId="77777777" w:rsidR="00431852" w:rsidRPr="00431852" w:rsidRDefault="00431852" w:rsidP="00431852">
      <w:pPr>
        <w:pStyle w:val="Prrafodelista"/>
        <w:rPr>
          <w:rFonts w:ascii="Palatino Linotype" w:hAnsi="Palatino Linotype"/>
          <w:b/>
        </w:rPr>
      </w:pPr>
    </w:p>
    <w:p w14:paraId="48FBB061" w14:textId="2D9E21D1" w:rsidR="00431852" w:rsidRDefault="00431852" w:rsidP="00431852">
      <w:pPr>
        <w:pStyle w:val="Prrafodelista"/>
        <w:spacing w:line="360" w:lineRule="auto"/>
        <w:ind w:left="1080"/>
        <w:jc w:val="both"/>
        <w:rPr>
          <w:rFonts w:ascii="Palatino Linotype" w:hAnsi="Palatino Linotype"/>
          <w:b/>
          <w:i/>
          <w:iCs/>
        </w:rPr>
      </w:pPr>
      <w:r>
        <w:rPr>
          <w:rFonts w:ascii="Palatino Linotype" w:hAnsi="Palatino Linotype"/>
          <w:bCs/>
          <w:i/>
          <w:iCs/>
        </w:rPr>
        <w:t xml:space="preserve">“(…) me permito solicitarle expedir cheque nominativo a favor del Licenciado Héctor Alberto </w:t>
      </w:r>
      <w:proofErr w:type="spellStart"/>
      <w:r>
        <w:rPr>
          <w:rFonts w:ascii="Palatino Linotype" w:hAnsi="Palatino Linotype"/>
          <w:bCs/>
          <w:i/>
          <w:iCs/>
        </w:rPr>
        <w:t>Chaveron</w:t>
      </w:r>
      <w:proofErr w:type="spellEnd"/>
      <w:r>
        <w:rPr>
          <w:rFonts w:ascii="Palatino Linotype" w:hAnsi="Palatino Linotype"/>
          <w:bCs/>
          <w:i/>
          <w:iCs/>
        </w:rPr>
        <w:t xml:space="preserve"> </w:t>
      </w:r>
      <w:proofErr w:type="spellStart"/>
      <w:r>
        <w:rPr>
          <w:rFonts w:ascii="Palatino Linotype" w:hAnsi="Palatino Linotype"/>
          <w:bCs/>
          <w:i/>
          <w:iCs/>
        </w:rPr>
        <w:t>Rolon</w:t>
      </w:r>
      <w:proofErr w:type="spellEnd"/>
      <w:r>
        <w:rPr>
          <w:rFonts w:ascii="Palatino Linotype" w:hAnsi="Palatino Linotype"/>
          <w:bCs/>
          <w:i/>
          <w:iCs/>
        </w:rPr>
        <w:t xml:space="preserve">, por la cantidad de $20,00.00 (veinte mil pesos m.n. 00/100), quien será el responsable del ejercicio y comprobación del mismo” </w:t>
      </w:r>
      <w:r>
        <w:rPr>
          <w:rFonts w:ascii="Palatino Linotype" w:hAnsi="Palatino Linotype"/>
          <w:b/>
          <w:i/>
          <w:iCs/>
        </w:rPr>
        <w:t xml:space="preserve">(Sic) </w:t>
      </w:r>
    </w:p>
    <w:p w14:paraId="3733B7D7" w14:textId="77777777" w:rsidR="00431852" w:rsidRPr="00431852" w:rsidRDefault="00431852" w:rsidP="00431852">
      <w:pPr>
        <w:pStyle w:val="Prrafodelista"/>
        <w:spacing w:line="360" w:lineRule="auto"/>
        <w:ind w:left="1080"/>
        <w:jc w:val="both"/>
        <w:rPr>
          <w:rFonts w:ascii="Palatino Linotype" w:hAnsi="Palatino Linotype"/>
          <w:b/>
          <w:i/>
          <w:iCs/>
        </w:rPr>
      </w:pPr>
    </w:p>
    <w:p w14:paraId="488BA431" w14:textId="77777777" w:rsidR="00431852" w:rsidRPr="00431852" w:rsidRDefault="00431852" w:rsidP="00431852">
      <w:pPr>
        <w:pStyle w:val="Prrafodelista"/>
        <w:rPr>
          <w:rFonts w:ascii="Palatino Linotype" w:hAnsi="Palatino Linotype"/>
          <w:b/>
        </w:rPr>
      </w:pPr>
    </w:p>
    <w:p w14:paraId="1C8C2C49" w14:textId="2C4FC460" w:rsidR="00431852" w:rsidRPr="00431852" w:rsidRDefault="00431852" w:rsidP="00E0458C">
      <w:pPr>
        <w:pStyle w:val="Prrafodelista"/>
        <w:numPr>
          <w:ilvl w:val="0"/>
          <w:numId w:val="10"/>
        </w:numPr>
        <w:spacing w:line="360" w:lineRule="auto"/>
        <w:jc w:val="both"/>
        <w:rPr>
          <w:rFonts w:ascii="Palatino Linotype" w:hAnsi="Palatino Linotype"/>
          <w:b/>
        </w:rPr>
      </w:pPr>
      <w:r>
        <w:rPr>
          <w:rFonts w:ascii="Palatino Linotype" w:hAnsi="Palatino Linotype"/>
          <w:bCs/>
        </w:rPr>
        <w:t>Certificación de la tercera sesión ordinaria de cabildo, de fecha quince de enero de dos mil veinticinco, resulta de nuestro interés el siguiente extracto:</w:t>
      </w:r>
    </w:p>
    <w:p w14:paraId="0C86CCD7" w14:textId="26905F53" w:rsidR="00431852" w:rsidRDefault="00431852" w:rsidP="00431852">
      <w:pPr>
        <w:pStyle w:val="Prrafodelista"/>
        <w:spacing w:line="360" w:lineRule="auto"/>
        <w:ind w:left="1080"/>
        <w:jc w:val="both"/>
        <w:rPr>
          <w:rFonts w:ascii="Palatino Linotype" w:hAnsi="Palatino Linotype"/>
          <w:bCs/>
          <w:i/>
          <w:iCs/>
        </w:rPr>
      </w:pPr>
      <w:r>
        <w:rPr>
          <w:rFonts w:ascii="Palatino Linotype" w:hAnsi="Palatino Linotype"/>
          <w:bCs/>
          <w:i/>
          <w:iCs/>
        </w:rPr>
        <w:t>“ACUERDOS</w:t>
      </w:r>
    </w:p>
    <w:p w14:paraId="71712C8E" w14:textId="04A5C676" w:rsidR="00431852" w:rsidRDefault="00431852" w:rsidP="00431852">
      <w:pPr>
        <w:pStyle w:val="Prrafodelista"/>
        <w:spacing w:line="360" w:lineRule="auto"/>
        <w:ind w:left="1080"/>
        <w:jc w:val="both"/>
        <w:rPr>
          <w:rFonts w:ascii="Palatino Linotype" w:hAnsi="Palatino Linotype"/>
          <w:b/>
          <w:i/>
          <w:iCs/>
        </w:rPr>
      </w:pPr>
      <w:r>
        <w:rPr>
          <w:rFonts w:ascii="Palatino Linotype" w:hAnsi="Palatino Linotype"/>
          <w:bCs/>
          <w:i/>
          <w:iCs/>
        </w:rPr>
        <w:t xml:space="preserve">ÚNICO.- LOS INTEGRANTES DEL AYUNTAMIENTO, APRUEBAN POR MAYORÍA DE VOTOS LA ASIGNACIÓN DE LOS RECURSOS DESTINADOS AL FONDO FIJO DE LA PRESIDENCIA MUNICIPAL, TESORERÍA MUNICIPAL Y DIRECCIÓN DE ADMINISTRACIÓN DE TENANCINGO, ESTADO DE MÉXICO” </w:t>
      </w:r>
      <w:r>
        <w:rPr>
          <w:rFonts w:ascii="Palatino Linotype" w:hAnsi="Palatino Linotype"/>
          <w:b/>
          <w:i/>
          <w:iCs/>
        </w:rPr>
        <w:t>(Sic)</w:t>
      </w:r>
    </w:p>
    <w:p w14:paraId="069084D2" w14:textId="77777777" w:rsidR="00431852" w:rsidRDefault="00431852" w:rsidP="00431852">
      <w:pPr>
        <w:pStyle w:val="Prrafodelista"/>
        <w:spacing w:line="360" w:lineRule="auto"/>
        <w:ind w:left="1080"/>
        <w:jc w:val="both"/>
        <w:rPr>
          <w:rFonts w:ascii="Palatino Linotype" w:hAnsi="Palatino Linotype"/>
          <w:b/>
          <w:i/>
          <w:iCs/>
        </w:rPr>
      </w:pPr>
    </w:p>
    <w:p w14:paraId="6464A689" w14:textId="07F9823E" w:rsidR="00431852" w:rsidRPr="00431852" w:rsidRDefault="00431852" w:rsidP="00E0458C">
      <w:pPr>
        <w:pStyle w:val="Prrafodelista"/>
        <w:numPr>
          <w:ilvl w:val="0"/>
          <w:numId w:val="10"/>
        </w:numPr>
        <w:spacing w:line="360" w:lineRule="auto"/>
        <w:jc w:val="both"/>
        <w:rPr>
          <w:rFonts w:ascii="Palatino Linotype" w:hAnsi="Palatino Linotype"/>
          <w:b/>
        </w:rPr>
      </w:pPr>
      <w:r>
        <w:rPr>
          <w:rFonts w:ascii="Palatino Linotype" w:hAnsi="Palatino Linotype"/>
          <w:bCs/>
        </w:rPr>
        <w:t xml:space="preserve">Cheque expedido a favor del C. Héctor Alberto Chavero Rolón, por la cantidad de $20,000.00 (veinte mil pesos 00/100 M.N.). refleja nombre, fecha y firma de recibido. </w:t>
      </w:r>
    </w:p>
    <w:p w14:paraId="2BE9E650" w14:textId="77777777" w:rsidR="00431852" w:rsidRPr="00431852" w:rsidRDefault="00431852" w:rsidP="00431852">
      <w:pPr>
        <w:pStyle w:val="Prrafodelista"/>
        <w:spacing w:line="360" w:lineRule="auto"/>
        <w:ind w:left="1080"/>
        <w:jc w:val="both"/>
        <w:rPr>
          <w:rFonts w:ascii="Palatino Linotype" w:hAnsi="Palatino Linotype"/>
          <w:b/>
        </w:rPr>
      </w:pPr>
    </w:p>
    <w:p w14:paraId="41AD86AB" w14:textId="3D0BD1D0" w:rsidR="00431852" w:rsidRPr="008B4036" w:rsidRDefault="008255E5" w:rsidP="00E0458C">
      <w:pPr>
        <w:pStyle w:val="Prrafodelista"/>
        <w:numPr>
          <w:ilvl w:val="0"/>
          <w:numId w:val="10"/>
        </w:numPr>
        <w:spacing w:line="360" w:lineRule="auto"/>
        <w:jc w:val="both"/>
        <w:rPr>
          <w:rFonts w:ascii="Palatino Linotype" w:hAnsi="Palatino Linotype"/>
          <w:b/>
        </w:rPr>
      </w:pPr>
      <w:r>
        <w:rPr>
          <w:rFonts w:ascii="Palatino Linotype" w:hAnsi="Palatino Linotype"/>
          <w:bCs/>
        </w:rPr>
        <w:t xml:space="preserve">Póliza de cheque con motivo de la creación de fondo fijo a favor del C. Héctor Alberto Chavero Rolón, autorizado en la tercera sesión ordinaria de </w:t>
      </w:r>
      <w:r>
        <w:rPr>
          <w:rFonts w:ascii="Palatino Linotype" w:hAnsi="Palatino Linotype"/>
          <w:bCs/>
        </w:rPr>
        <w:lastRenderedPageBreak/>
        <w:t xml:space="preserve">cabildo, de fecha quince de enero de dos mil veinticinco, con el punto número </w:t>
      </w:r>
      <w:r>
        <w:rPr>
          <w:rFonts w:ascii="Palatino Linotype" w:hAnsi="Palatino Linotype"/>
          <w:b/>
        </w:rPr>
        <w:t xml:space="preserve">11 -once- </w:t>
      </w:r>
      <w:r>
        <w:rPr>
          <w:rFonts w:ascii="Palatino Linotype" w:hAnsi="Palatino Linotype"/>
          <w:bCs/>
        </w:rPr>
        <w:t xml:space="preserve">del orden del día. </w:t>
      </w:r>
    </w:p>
    <w:p w14:paraId="6C7B0573" w14:textId="77777777" w:rsidR="008B4036" w:rsidRDefault="008B4036" w:rsidP="004416EB">
      <w:pPr>
        <w:spacing w:line="360" w:lineRule="auto"/>
        <w:jc w:val="both"/>
        <w:rPr>
          <w:rFonts w:ascii="Palatino Linotype" w:hAnsi="Palatino Linotype"/>
          <w:bCs/>
          <w:sz w:val="24"/>
          <w:szCs w:val="24"/>
        </w:rPr>
      </w:pPr>
    </w:p>
    <w:p w14:paraId="64ACD4A5" w14:textId="2C5706D8" w:rsidR="0091510B" w:rsidRDefault="00BA1B53" w:rsidP="008255E5">
      <w:pPr>
        <w:spacing w:line="360" w:lineRule="auto"/>
        <w:jc w:val="both"/>
        <w:rPr>
          <w:rFonts w:ascii="Palatino Linotype" w:hAnsi="Palatino Linotype"/>
          <w:bCs/>
          <w:iCs/>
          <w:sz w:val="24"/>
          <w:szCs w:val="24"/>
        </w:rPr>
      </w:pPr>
      <w:r>
        <w:rPr>
          <w:rFonts w:ascii="Palatino Linotype" w:hAnsi="Palatino Linotype"/>
          <w:bCs/>
          <w:iCs/>
          <w:sz w:val="24"/>
          <w:szCs w:val="24"/>
        </w:rPr>
        <w:t>En las generalizaciones anteriores</w:t>
      </w:r>
      <w:r w:rsidR="004416EB">
        <w:rPr>
          <w:rFonts w:ascii="Palatino Linotype" w:hAnsi="Palatino Linotype"/>
          <w:bCs/>
          <w:iCs/>
          <w:sz w:val="24"/>
          <w:szCs w:val="24"/>
        </w:rPr>
        <w:t xml:space="preserve">, a efecto de dirimir la controversia planteada, resulta </w:t>
      </w:r>
      <w:r w:rsidR="008255E5">
        <w:rPr>
          <w:rFonts w:ascii="Palatino Linotype" w:hAnsi="Palatino Linotype"/>
          <w:bCs/>
          <w:iCs/>
          <w:sz w:val="24"/>
          <w:szCs w:val="24"/>
        </w:rPr>
        <w:t xml:space="preserve">oportuno denotar que mediante informe justificado, </w:t>
      </w:r>
      <w:r w:rsidR="008255E5">
        <w:rPr>
          <w:rFonts w:ascii="Palatino Linotype" w:hAnsi="Palatino Linotype"/>
          <w:b/>
          <w:iCs/>
          <w:sz w:val="24"/>
          <w:szCs w:val="24"/>
        </w:rPr>
        <w:t xml:space="preserve">El Sujeto Obligado </w:t>
      </w:r>
      <w:r w:rsidR="008255E5">
        <w:rPr>
          <w:rFonts w:ascii="Palatino Linotype" w:hAnsi="Palatino Linotype"/>
          <w:bCs/>
          <w:iCs/>
          <w:sz w:val="24"/>
          <w:szCs w:val="24"/>
        </w:rPr>
        <w:t xml:space="preserve">atendió los motivos de inconformidad expuestos por el particular, al remitir diversos soportes documentales vinculados con el multicitado fondo fijo de caja de presidencia, tales como oficio relativo a la expedición de cheque nominativo, certificación de la tercera sesión ordinaria de cabildo 2025, cheque nominativo, así como póliza de cheque. </w:t>
      </w:r>
    </w:p>
    <w:p w14:paraId="600F8FA2" w14:textId="77777777" w:rsidR="008255E5" w:rsidRPr="00396AFC" w:rsidRDefault="008255E5" w:rsidP="008255E5">
      <w:pPr>
        <w:spacing w:line="360" w:lineRule="auto"/>
        <w:jc w:val="both"/>
        <w:rPr>
          <w:rFonts w:ascii="Palatino Linotype" w:hAnsi="Palatino Linotype" w:cs="Arial"/>
          <w:sz w:val="24"/>
          <w:szCs w:val="24"/>
        </w:rPr>
      </w:pPr>
      <w:r w:rsidRPr="00396AFC">
        <w:rPr>
          <w:rFonts w:ascii="Palatino Linotype" w:hAnsi="Palatino Linotype"/>
          <w:sz w:val="24"/>
          <w:szCs w:val="24"/>
        </w:rPr>
        <w:t xml:space="preserve">Una vez precisado lo anterior, </w:t>
      </w:r>
      <w:r w:rsidRPr="00396AFC">
        <w:rPr>
          <w:rFonts w:ascii="Palatino Linotype" w:hAnsi="Palatino Linotype" w:cs="Arial"/>
          <w:sz w:val="24"/>
          <w:szCs w:val="24"/>
        </w:rPr>
        <w:t>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500636C2" w14:textId="77777777" w:rsidR="008255E5" w:rsidRPr="00396AFC" w:rsidRDefault="008255E5" w:rsidP="008255E5">
      <w:pPr>
        <w:spacing w:line="360" w:lineRule="auto"/>
        <w:ind w:left="851" w:right="851"/>
        <w:jc w:val="both"/>
        <w:rPr>
          <w:rFonts w:ascii="Palatino Linotype" w:hAnsi="Palatino Linotype" w:cs="Arial"/>
          <w:b/>
          <w:i/>
        </w:rPr>
      </w:pPr>
      <w:r w:rsidRPr="00396AFC">
        <w:rPr>
          <w:rFonts w:ascii="Palatino Linotype" w:hAnsi="Palatino Linotype" w:cs="Arial"/>
          <w:b/>
          <w:i/>
        </w:rPr>
        <w:t>“SOBRESEIMIENTO EN EL JUICIO DE AMPARO DIRECTO. IMPIDE EL ESTUDIO DE LAS VIOLACIONES PROCESALES PLANTEADAS EN LOS CONCEPTOS DE VIOLACIÓN.</w:t>
      </w:r>
    </w:p>
    <w:p w14:paraId="196F8273" w14:textId="77777777" w:rsidR="008255E5" w:rsidRPr="00396AFC" w:rsidRDefault="008255E5" w:rsidP="008255E5">
      <w:pPr>
        <w:spacing w:line="360" w:lineRule="auto"/>
        <w:ind w:left="851" w:right="851"/>
        <w:jc w:val="both"/>
        <w:rPr>
          <w:rFonts w:ascii="Palatino Linotype" w:hAnsi="Palatino Linotype"/>
          <w:i/>
          <w:color w:val="000000"/>
        </w:rPr>
      </w:pPr>
      <w:r w:rsidRPr="00396AFC">
        <w:rPr>
          <w:rFonts w:ascii="Palatino Linotype" w:hAnsi="Palatino Linotype" w:cs="Arial"/>
          <w:b/>
          <w:i/>
          <w:u w:val="single"/>
        </w:rPr>
        <w:t>El sobreseimiento</w:t>
      </w:r>
      <w:r w:rsidRPr="00396AFC">
        <w:rPr>
          <w:rFonts w:ascii="Palatino Linotype" w:hAnsi="Palatino Linotype" w:cs="Arial"/>
          <w:b/>
          <w:i/>
        </w:rPr>
        <w:t xml:space="preserve"> </w:t>
      </w:r>
      <w:r w:rsidRPr="00396AFC">
        <w:rPr>
          <w:rFonts w:ascii="Palatino Linotype" w:hAnsi="Palatino Linotype" w:cs="Arial"/>
          <w:i/>
        </w:rPr>
        <w:t xml:space="preserve">en el juicio de amparo directo </w:t>
      </w:r>
      <w:r w:rsidRPr="00396AFC">
        <w:rPr>
          <w:rFonts w:ascii="Palatino Linotype" w:hAnsi="Palatino Linotype" w:cs="Arial"/>
          <w:b/>
          <w:i/>
          <w:u w:val="single"/>
        </w:rPr>
        <w:t>provoca la terminación de la controversia planteada</w:t>
      </w:r>
      <w:r w:rsidRPr="00396AFC">
        <w:rPr>
          <w:rFonts w:ascii="Palatino Linotype" w:hAnsi="Palatino Linotype" w:cs="Arial"/>
          <w:b/>
          <w:i/>
        </w:rPr>
        <w:t xml:space="preserve"> </w:t>
      </w:r>
      <w:r w:rsidRPr="00396AFC">
        <w:rPr>
          <w:rFonts w:ascii="Palatino Linotype" w:hAnsi="Palatino Linotype" w:cs="Arial"/>
          <w:i/>
        </w:rPr>
        <w:t>por el quejoso en la demanda de amparo</w:t>
      </w:r>
      <w:r w:rsidRPr="00396AFC">
        <w:rPr>
          <w:rFonts w:ascii="Calibri" w:hAnsi="Calibri"/>
          <w:color w:val="000000"/>
          <w:sz w:val="26"/>
          <w:szCs w:val="26"/>
        </w:rPr>
        <w:t xml:space="preserve"> </w:t>
      </w:r>
      <w:r w:rsidRPr="00396AFC">
        <w:rPr>
          <w:rFonts w:ascii="Palatino Linotype" w:hAnsi="Palatino Linotype"/>
          <w:i/>
          <w:color w:val="000000"/>
        </w:rPr>
        <w:t xml:space="preserve">provoca la terminación de la controversia planteada por el quejoso en la demanda de </w:t>
      </w:r>
      <w:r w:rsidRPr="00396AFC">
        <w:rPr>
          <w:rFonts w:ascii="Palatino Linotype" w:hAnsi="Palatino Linotype"/>
          <w:b/>
          <w:i/>
          <w:color w:val="000000"/>
        </w:rPr>
        <w:t>amparo</w:t>
      </w:r>
      <w:r w:rsidRPr="00396AFC">
        <w:rPr>
          <w:rFonts w:ascii="Palatino Linotype" w:hAnsi="Palatino Linotype"/>
          <w:i/>
          <w:color w:val="000000"/>
        </w:rPr>
        <w:t>, sin hacer un pronunciamiento de fondo sobre la legalidad o ilegalidad de la sentencia reclamada. Por consiguiente, si al sobreseerse en el</w:t>
      </w:r>
      <w:r w:rsidRPr="00396AFC">
        <w:rPr>
          <w:rFonts w:ascii="Palatino Linotype" w:hAnsi="Palatino Linotype"/>
          <w:b/>
          <w:i/>
          <w:color w:val="000000"/>
        </w:rPr>
        <w:t xml:space="preserve"> juicio </w:t>
      </w:r>
      <w:r w:rsidRPr="00396AFC">
        <w:rPr>
          <w:rFonts w:ascii="Palatino Linotype" w:hAnsi="Palatino Linotype"/>
          <w:i/>
          <w:color w:val="000000"/>
        </w:rPr>
        <w:t xml:space="preserve">de </w:t>
      </w:r>
      <w:r w:rsidRPr="00396AFC">
        <w:rPr>
          <w:rFonts w:ascii="Palatino Linotype" w:hAnsi="Palatino Linotype"/>
          <w:b/>
          <w:i/>
          <w:color w:val="000000"/>
        </w:rPr>
        <w:t>amparo</w:t>
      </w:r>
      <w:r w:rsidRPr="00396AFC">
        <w:rPr>
          <w:rFonts w:ascii="Palatino Linotype" w:hAnsi="Palatino Linotype"/>
          <w:i/>
          <w:color w:val="000000"/>
        </w:rPr>
        <w:t xml:space="preserve"> no se pueden estudiar los planteamientos que se hacen valer en contra del fallo reclamado, tampoco se deben analizar las</w:t>
      </w:r>
      <w:r w:rsidRPr="00396AFC">
        <w:rPr>
          <w:rFonts w:ascii="Palatino Linotype" w:hAnsi="Palatino Linotype"/>
          <w:b/>
          <w:i/>
          <w:color w:val="000000"/>
        </w:rPr>
        <w:t xml:space="preserve"> violaciones procesales</w:t>
      </w:r>
      <w:r w:rsidRPr="00396AFC">
        <w:rPr>
          <w:rFonts w:ascii="Palatino Linotype" w:hAnsi="Palatino Linotype"/>
          <w:i/>
          <w:color w:val="000000"/>
        </w:rPr>
        <w:t xml:space="preserve"> propuestas en los </w:t>
      </w:r>
      <w:r w:rsidRPr="00396AFC">
        <w:rPr>
          <w:rFonts w:ascii="Palatino Linotype" w:hAnsi="Palatino Linotype"/>
          <w:b/>
          <w:i/>
          <w:color w:val="000000"/>
        </w:rPr>
        <w:t xml:space="preserve">conceptos </w:t>
      </w:r>
      <w:r w:rsidRPr="00396AFC">
        <w:rPr>
          <w:rFonts w:ascii="Palatino Linotype" w:hAnsi="Palatino Linotype"/>
          <w:i/>
          <w:color w:val="000000"/>
        </w:rPr>
        <w:t xml:space="preserve">de </w:t>
      </w:r>
      <w:r w:rsidRPr="00396AFC">
        <w:rPr>
          <w:rFonts w:ascii="Palatino Linotype" w:hAnsi="Palatino Linotype"/>
          <w:b/>
          <w:i/>
          <w:color w:val="000000"/>
        </w:rPr>
        <w:lastRenderedPageBreak/>
        <w:t>violación</w:t>
      </w:r>
      <w:r w:rsidRPr="00396AFC">
        <w:rPr>
          <w:rFonts w:ascii="Palatino Linotype" w:hAnsi="Palatino Linotype"/>
          <w:i/>
          <w:color w:val="000000"/>
        </w:rPr>
        <w:t xml:space="preserve">, dado que, la principal consecuencia del </w:t>
      </w:r>
      <w:r w:rsidRPr="00396AFC">
        <w:rPr>
          <w:rFonts w:ascii="Palatino Linotype" w:hAnsi="Palatino Linotype"/>
          <w:b/>
          <w:i/>
          <w:color w:val="000000"/>
        </w:rPr>
        <w:t>sobreseimiento</w:t>
      </w:r>
      <w:r w:rsidRPr="00396AFC">
        <w:rPr>
          <w:rFonts w:ascii="Palatino Linotype" w:hAnsi="Palatino Linotype"/>
          <w:i/>
          <w:color w:val="000000"/>
        </w:rPr>
        <w:t xml:space="preserve"> es poner fin al </w:t>
      </w:r>
      <w:r w:rsidRPr="00396AFC">
        <w:rPr>
          <w:rFonts w:ascii="Palatino Linotype" w:hAnsi="Palatino Linotype"/>
          <w:b/>
          <w:i/>
          <w:color w:val="000000"/>
        </w:rPr>
        <w:t xml:space="preserve">juicio </w:t>
      </w:r>
      <w:r w:rsidRPr="00396AFC">
        <w:rPr>
          <w:rFonts w:ascii="Palatino Linotype" w:hAnsi="Palatino Linotype"/>
          <w:i/>
          <w:color w:val="000000"/>
        </w:rPr>
        <w:t xml:space="preserve">de </w:t>
      </w:r>
      <w:r w:rsidRPr="00396AFC">
        <w:rPr>
          <w:rFonts w:ascii="Palatino Linotype" w:hAnsi="Palatino Linotype"/>
          <w:b/>
          <w:i/>
          <w:color w:val="000000"/>
        </w:rPr>
        <w:t xml:space="preserve">amparo </w:t>
      </w:r>
      <w:r w:rsidRPr="00396AFC">
        <w:rPr>
          <w:rFonts w:ascii="Palatino Linotype" w:hAnsi="Palatino Linotype"/>
          <w:i/>
          <w:color w:val="000000"/>
        </w:rPr>
        <w:t>sin resolver la controversia en sus méritos.  </w:t>
      </w:r>
    </w:p>
    <w:p w14:paraId="65EC44AD" w14:textId="77777777" w:rsidR="008255E5" w:rsidRPr="00396AFC" w:rsidRDefault="008255E5" w:rsidP="008255E5">
      <w:pPr>
        <w:spacing w:line="360" w:lineRule="auto"/>
        <w:ind w:left="851" w:right="851"/>
        <w:jc w:val="both"/>
        <w:rPr>
          <w:rFonts w:ascii="Palatino Linotype" w:hAnsi="Palatino Linotype" w:cs="Arial"/>
          <w:b/>
          <w:i/>
        </w:rPr>
      </w:pPr>
      <w:r w:rsidRPr="00396AFC">
        <w:rPr>
          <w:rFonts w:ascii="Palatino Linotype" w:hAnsi="Palatino Linotype" w:cs="Arial"/>
          <w:b/>
          <w:i/>
        </w:rPr>
        <w:t>SÉPTIMO TRIBUNAL COLEGIADO EN MATERIA CIVIL DEL PRIMER CIRCUITO.</w:t>
      </w:r>
    </w:p>
    <w:p w14:paraId="341384F4" w14:textId="77777777" w:rsidR="008255E5" w:rsidRPr="00396AFC" w:rsidRDefault="008255E5" w:rsidP="008255E5">
      <w:pPr>
        <w:spacing w:line="360" w:lineRule="auto"/>
        <w:ind w:left="851" w:right="851"/>
        <w:jc w:val="both"/>
        <w:rPr>
          <w:rFonts w:ascii="Palatino Linotype" w:hAnsi="Palatino Linotype" w:cs="Arial"/>
          <w:i/>
        </w:rPr>
      </w:pPr>
      <w:r w:rsidRPr="00396AFC">
        <w:rPr>
          <w:rFonts w:ascii="Palatino Linotype" w:hAnsi="Palatino Linotype" w:cs="Arial"/>
          <w:i/>
        </w:rPr>
        <w:t>Amparo directo 699/2008. Mariana Leticia González Steele. 13 de noviembre de 2008. Unanimidad de votos. Ponente: Sara Judith Montalvo Trejo. Secretario: Arnulfo Mateos García.”</w:t>
      </w:r>
      <w:r w:rsidRPr="00396AFC">
        <w:rPr>
          <w:rFonts w:ascii="Palatino Linotype" w:eastAsia="Times New Roman" w:hAnsi="Palatino Linotype" w:cs="Times New Roman"/>
          <w:b/>
          <w:i/>
          <w:lang w:val="es-ES_tradnl" w:eastAsia="es-ES"/>
        </w:rPr>
        <w:t xml:space="preserve"> [Sic]</w:t>
      </w:r>
    </w:p>
    <w:p w14:paraId="6BE051E4" w14:textId="77777777" w:rsidR="008255E5" w:rsidRPr="00396AFC" w:rsidRDefault="008255E5" w:rsidP="008255E5">
      <w:pPr>
        <w:ind w:right="141"/>
        <w:jc w:val="both"/>
        <w:rPr>
          <w:rFonts w:ascii="Palatino Linotype" w:hAnsi="Palatino Linotype" w:cs="Arial"/>
        </w:rPr>
      </w:pPr>
    </w:p>
    <w:p w14:paraId="17B27C16" w14:textId="77777777" w:rsidR="008255E5" w:rsidRPr="001F0DB0" w:rsidRDefault="008255E5" w:rsidP="008255E5">
      <w:pPr>
        <w:spacing w:line="360" w:lineRule="auto"/>
        <w:jc w:val="both"/>
        <w:rPr>
          <w:rFonts w:ascii="Palatino Linotype" w:hAnsi="Palatino Linotype" w:cs="Arial"/>
          <w:sz w:val="24"/>
          <w:szCs w:val="24"/>
        </w:rPr>
      </w:pPr>
      <w:r w:rsidRPr="00396AFC">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396AFC">
        <w:rPr>
          <w:rFonts w:ascii="Palatino Linotype" w:hAnsi="Palatino Linotype" w:cs="Arial"/>
          <w:b/>
          <w:sz w:val="24"/>
          <w:szCs w:val="24"/>
        </w:rPr>
        <w:t xml:space="preserve">artículo 192 </w:t>
      </w:r>
      <w:r w:rsidRPr="00396AFC">
        <w:rPr>
          <w:rFonts w:ascii="Palatino Linotype" w:hAnsi="Palatino Linotype" w:cs="Arial"/>
          <w:sz w:val="24"/>
          <w:szCs w:val="24"/>
        </w:rPr>
        <w:t xml:space="preserve">de la </w:t>
      </w:r>
      <w:r w:rsidRPr="00396AFC">
        <w:rPr>
          <w:rFonts w:ascii="Palatino Linotype" w:hAnsi="Palatino Linotype" w:cs="Arial"/>
          <w:b/>
          <w:sz w:val="24"/>
          <w:szCs w:val="24"/>
        </w:rPr>
        <w:t xml:space="preserve">Ley de Transparencia y Acceso a la Información Pública del Estado de México y Municipios, </w:t>
      </w:r>
      <w:r w:rsidRPr="00396AFC">
        <w:rPr>
          <w:rFonts w:ascii="Palatino Linotype" w:hAnsi="Palatino Linotype" w:cs="Arial"/>
          <w:sz w:val="24"/>
          <w:szCs w:val="24"/>
        </w:rPr>
        <w:t>nos encontramos ante un sobreseimiento definitivo toda vez que pone fin al procedimiento sin entrar al estudio de fondo del mismo.</w:t>
      </w:r>
      <w:r w:rsidRPr="001F0DB0">
        <w:rPr>
          <w:rFonts w:ascii="Palatino Linotype" w:hAnsi="Palatino Linotype" w:cs="Arial"/>
          <w:sz w:val="24"/>
          <w:szCs w:val="24"/>
        </w:rPr>
        <w:t xml:space="preserve"> </w:t>
      </w:r>
    </w:p>
    <w:p w14:paraId="615A4402" w14:textId="77777777" w:rsidR="008255E5" w:rsidRDefault="008255E5" w:rsidP="008255E5">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lang w:val="es-ES"/>
        </w:rPr>
        <w:t>Ahora bien, por</w:t>
      </w:r>
      <w:r w:rsidRPr="000613C9">
        <w:rPr>
          <w:rFonts w:ascii="Palatino Linotype" w:hAnsi="Palatino Linotype" w:cs="Arial"/>
          <w:sz w:val="24"/>
          <w:szCs w:val="24"/>
        </w:rPr>
        <w:t xml:space="preserve">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0613C9">
        <w:rPr>
          <w:rFonts w:ascii="Palatino Linotype" w:hAnsi="Palatino Linotype" w:cs="Arial"/>
          <w:b/>
          <w:sz w:val="24"/>
          <w:szCs w:val="24"/>
        </w:rPr>
        <w:t xml:space="preserve"> Recurrente </w:t>
      </w:r>
      <w:r w:rsidRPr="000613C9">
        <w:rPr>
          <w:rFonts w:ascii="Palatino Linotype" w:hAnsi="Palatino Linotype" w:cs="Arial"/>
          <w:sz w:val="24"/>
          <w:szCs w:val="24"/>
        </w:rPr>
        <w:t xml:space="preserve">o que el </w:t>
      </w:r>
      <w:r w:rsidRPr="000613C9">
        <w:rPr>
          <w:rFonts w:ascii="Palatino Linotype" w:hAnsi="Palatino Linotype" w:cs="Arial"/>
          <w:b/>
          <w:sz w:val="24"/>
          <w:szCs w:val="24"/>
        </w:rPr>
        <w:t>Sujeto Obligado</w:t>
      </w:r>
      <w:r>
        <w:rPr>
          <w:rFonts w:ascii="Palatino Linotype" w:hAnsi="Palatino Linotype" w:cs="Arial"/>
          <w:b/>
          <w:sz w:val="24"/>
          <w:szCs w:val="24"/>
        </w:rPr>
        <w:t xml:space="preserve">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5EEFFC22" w14:textId="77777777" w:rsidR="008255E5" w:rsidRDefault="008255E5" w:rsidP="008255E5">
      <w:pPr>
        <w:spacing w:line="360" w:lineRule="auto"/>
        <w:jc w:val="both"/>
        <w:rPr>
          <w:rFonts w:ascii="Palatino Linotype" w:hAnsi="Palatino Linotype" w:cs="Arial"/>
          <w:b/>
          <w:sz w:val="24"/>
          <w:szCs w:val="24"/>
        </w:rPr>
      </w:pPr>
      <w:r>
        <w:rPr>
          <w:rFonts w:ascii="Palatino Linotype" w:hAnsi="Palatino Linotype" w:cs="Arial"/>
          <w:sz w:val="24"/>
          <w:szCs w:val="24"/>
        </w:rPr>
        <w:lastRenderedPageBreak/>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37A88469" w14:textId="77777777" w:rsidR="008255E5" w:rsidRDefault="008255E5" w:rsidP="00E0458C">
      <w:pPr>
        <w:pStyle w:val="Prrafodelista"/>
        <w:numPr>
          <w:ilvl w:val="0"/>
          <w:numId w:val="3"/>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56EC84BD" w14:textId="77777777" w:rsidR="008255E5" w:rsidRDefault="008255E5" w:rsidP="008255E5">
      <w:pPr>
        <w:pStyle w:val="Prrafodelista"/>
        <w:spacing w:line="360" w:lineRule="auto"/>
        <w:ind w:left="720" w:right="851"/>
        <w:jc w:val="both"/>
        <w:rPr>
          <w:rFonts w:ascii="Palatino Linotype" w:hAnsi="Palatino Linotype" w:cs="Arial"/>
          <w:b/>
        </w:rPr>
      </w:pPr>
    </w:p>
    <w:p w14:paraId="4AAD2345" w14:textId="77777777" w:rsidR="008255E5" w:rsidRDefault="008255E5" w:rsidP="008255E5">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6F2EFB62" w14:textId="77777777" w:rsidR="008255E5" w:rsidRDefault="008255E5" w:rsidP="008255E5">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786EDF53" w14:textId="77777777" w:rsidR="008255E5" w:rsidRDefault="008255E5" w:rsidP="008255E5">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lastRenderedPageBreak/>
        <w:t xml:space="preserve">planteada, debido a que la afectación en su esfera de derechos fue restituida por la propia autoridad que emitió el acto de impugnación. </w:t>
      </w:r>
    </w:p>
    <w:p w14:paraId="507A75C0" w14:textId="77777777" w:rsidR="008255E5" w:rsidRDefault="008255E5" w:rsidP="008255E5">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050437AC" w14:textId="17BEA1F9" w:rsidR="008255E5" w:rsidRDefault="008255E5" w:rsidP="008255E5">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sidR="00965B97">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02190/INFOEM/IP/RR/2025</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0DD86AB3" w14:textId="77777777" w:rsidR="008255E5" w:rsidRDefault="008255E5" w:rsidP="008255E5">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6125C9FD" w14:textId="77777777" w:rsidR="008255E5" w:rsidRDefault="008255E5" w:rsidP="008255E5">
      <w:pPr>
        <w:spacing w:line="360" w:lineRule="auto"/>
        <w:jc w:val="both"/>
        <w:rPr>
          <w:rFonts w:ascii="Palatino Linotype" w:hAnsi="Palatino Linotype"/>
          <w:bCs/>
          <w:iCs/>
          <w:sz w:val="24"/>
          <w:szCs w:val="24"/>
        </w:rPr>
      </w:pPr>
    </w:p>
    <w:p w14:paraId="38699791" w14:textId="77777777" w:rsidR="008255E5" w:rsidRPr="00895C52" w:rsidRDefault="008255E5" w:rsidP="008255E5">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45E8713D" w14:textId="77777777" w:rsidR="008255E5" w:rsidRPr="00895C52" w:rsidRDefault="008255E5" w:rsidP="008255E5">
      <w:pPr>
        <w:spacing w:after="0" w:line="360" w:lineRule="auto"/>
        <w:jc w:val="center"/>
        <w:rPr>
          <w:rFonts w:ascii="Palatino Linotype" w:eastAsia="Times New Roman" w:hAnsi="Palatino Linotype" w:cs="Times New Roman"/>
          <w:bCs/>
          <w:spacing w:val="60"/>
          <w:sz w:val="24"/>
          <w:szCs w:val="24"/>
          <w:lang w:val="es-ES_tradnl" w:eastAsia="es-ES"/>
        </w:rPr>
      </w:pPr>
    </w:p>
    <w:p w14:paraId="014D09A8" w14:textId="542D2C8C" w:rsidR="008255E5" w:rsidRDefault="008255E5" w:rsidP="008255E5">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02190/INFOEM/IP/RR/2025</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TERCERO</w:t>
      </w:r>
      <w:r w:rsidRPr="00C40C29">
        <w:rPr>
          <w:rFonts w:ascii="Palatino Linotype" w:eastAsiaTheme="minorEastAsia" w:hAnsi="Palatino Linotype" w:cs="Arial"/>
          <w:sz w:val="24"/>
          <w:szCs w:val="24"/>
          <w:lang w:val="es-ES_tradnl" w:eastAsia="es-ES"/>
        </w:rPr>
        <w:t xml:space="preserve"> de la presente resolución.</w:t>
      </w:r>
    </w:p>
    <w:p w14:paraId="307DBDD8" w14:textId="77777777" w:rsidR="008255E5" w:rsidRDefault="008255E5" w:rsidP="008255E5">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lastRenderedPageBreak/>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62E8DA72" w14:textId="77777777" w:rsidR="008255E5" w:rsidRDefault="008255E5" w:rsidP="008255E5">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4335F9AC" w14:textId="77777777" w:rsidR="008255E5" w:rsidRDefault="008255E5" w:rsidP="008255E5">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1A113333" w14:textId="57F85886" w:rsidR="008255E5" w:rsidRDefault="008255E5" w:rsidP="008255E5">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sidR="00965B97">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396E5FB7" w14:textId="77777777" w:rsidR="008255E5" w:rsidRPr="008255E5" w:rsidRDefault="008255E5" w:rsidP="008255E5">
      <w:pPr>
        <w:spacing w:line="360" w:lineRule="auto"/>
        <w:jc w:val="both"/>
        <w:rPr>
          <w:rFonts w:ascii="Palatino Linotype" w:hAnsi="Palatino Linotype"/>
          <w:bCs/>
          <w:iCs/>
          <w:sz w:val="24"/>
          <w:szCs w:val="24"/>
          <w:lang w:val="es-ES"/>
        </w:rPr>
      </w:pPr>
    </w:p>
    <w:bookmarkEnd w:id="1"/>
    <w:p w14:paraId="5BE4FAB0" w14:textId="0F2DF335" w:rsidR="0091510B" w:rsidRPr="00627D99" w:rsidRDefault="0091510B" w:rsidP="0091510B">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w:t>
      </w:r>
      <w:r>
        <w:rPr>
          <w:rFonts w:ascii="Palatino Linotype" w:hAnsi="Palatino Linotype" w:cs="Arial"/>
        </w:rPr>
        <w:t xml:space="preserve">, </w:t>
      </w:r>
      <w:r w:rsidRPr="00266B85">
        <w:rPr>
          <w:rFonts w:ascii="Palatino Linotype" w:hAnsi="Palatino Linotype" w:cs="Arial"/>
        </w:rPr>
        <w:t>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Pr>
          <w:rFonts w:ascii="Palatino Linotype" w:hAnsi="Palatino Linotype" w:cs="Arial"/>
        </w:rPr>
        <w:t xml:space="preserve">DÉCIMA </w:t>
      </w:r>
      <w:r w:rsidR="00802C5C">
        <w:rPr>
          <w:rFonts w:ascii="Palatino Linotype" w:hAnsi="Palatino Linotype" w:cs="Arial"/>
        </w:rPr>
        <w:t xml:space="preserve">PRIMERA </w:t>
      </w:r>
      <w:r>
        <w:rPr>
          <w:rFonts w:ascii="Palatino Linotype" w:hAnsi="Palatino Linotype" w:cs="Arial"/>
        </w:rPr>
        <w:t xml:space="preserve">SESIÓN ORDINARIA CELEBRADA EL </w:t>
      </w:r>
      <w:r w:rsidR="00802C5C">
        <w:rPr>
          <w:rFonts w:ascii="Palatino Linotype" w:hAnsi="Palatino Linotype" w:cs="Arial"/>
        </w:rPr>
        <w:t xml:space="preserve">VEINTISÉIS </w:t>
      </w:r>
      <w:r>
        <w:rPr>
          <w:rFonts w:ascii="Palatino Linotype" w:hAnsi="Palatino Linotype" w:cs="Arial"/>
        </w:rPr>
        <w:t xml:space="preserve">DE MARZO DE DOS MIL VEINTICINCO, ANTE EL SECRETARIO </w:t>
      </w:r>
      <w:r w:rsidRPr="00627D99">
        <w:rPr>
          <w:rFonts w:ascii="Palatino Linotype" w:hAnsi="Palatino Linotype" w:cs="Arial"/>
          <w:sz w:val="23"/>
          <w:szCs w:val="23"/>
        </w:rPr>
        <w:t xml:space="preserve">TÉCNICO DEL PLENO, ALEXIS TAPIA RAMÍREZ. </w:t>
      </w:r>
    </w:p>
    <w:p w14:paraId="7263DA32" w14:textId="5F179624" w:rsidR="003E3072" w:rsidRDefault="0091510B" w:rsidP="0091510B">
      <w:pPr>
        <w:spacing w:before="240" w:line="360" w:lineRule="auto"/>
        <w:jc w:val="both"/>
        <w:rPr>
          <w:rFonts w:ascii="Palatino Linotype" w:hAnsi="Palatino Linotype"/>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64A2ED6" w14:textId="77777777" w:rsidR="00E86CD6" w:rsidRDefault="00E86CD6" w:rsidP="00B436EA">
      <w:pPr>
        <w:spacing w:before="240" w:line="360" w:lineRule="auto"/>
        <w:jc w:val="both"/>
        <w:rPr>
          <w:rFonts w:ascii="Palatino Linotype" w:hAnsi="Palatino Linotype"/>
          <w:sz w:val="24"/>
          <w:szCs w:val="24"/>
        </w:rPr>
      </w:pPr>
    </w:p>
    <w:p w14:paraId="26DBF8BB" w14:textId="77777777" w:rsidR="00E86CD6" w:rsidRDefault="00E86CD6" w:rsidP="00B436EA">
      <w:pPr>
        <w:spacing w:before="240" w:line="360" w:lineRule="auto"/>
        <w:jc w:val="both"/>
        <w:rPr>
          <w:rFonts w:ascii="Palatino Linotype" w:hAnsi="Palatino Linotype"/>
          <w:sz w:val="24"/>
          <w:szCs w:val="24"/>
        </w:rPr>
      </w:pPr>
    </w:p>
    <w:p w14:paraId="79AC26F4" w14:textId="77777777" w:rsidR="00E86CD6" w:rsidRDefault="00E86CD6"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C6D43" w14:textId="77777777" w:rsidR="00A12025" w:rsidRDefault="00A12025" w:rsidP="006168E4">
      <w:pPr>
        <w:spacing w:after="0" w:line="240" w:lineRule="auto"/>
      </w:pPr>
      <w:r>
        <w:separator/>
      </w:r>
    </w:p>
  </w:endnote>
  <w:endnote w:type="continuationSeparator" w:id="0">
    <w:p w14:paraId="528A60AD" w14:textId="77777777" w:rsidR="00A12025" w:rsidRDefault="00A1202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458C">
      <w:rPr>
        <w:rFonts w:ascii="Palatino Linotype" w:hAnsi="Palatino Linotype"/>
        <w:bCs/>
        <w:noProof/>
        <w:sz w:val="20"/>
      </w:rPr>
      <w:t>13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0458C">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458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0458C">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E7E59" w14:textId="77777777" w:rsidR="00A12025" w:rsidRDefault="00A12025" w:rsidP="006168E4">
      <w:pPr>
        <w:spacing w:after="0" w:line="240" w:lineRule="auto"/>
      </w:pPr>
      <w:r>
        <w:separator/>
      </w:r>
    </w:p>
  </w:footnote>
  <w:footnote w:type="continuationSeparator" w:id="0">
    <w:p w14:paraId="60E572C3" w14:textId="77777777" w:rsidR="00A12025" w:rsidRDefault="00A12025" w:rsidP="006168E4">
      <w:pPr>
        <w:spacing w:after="0" w:line="240" w:lineRule="auto"/>
      </w:pPr>
      <w:r>
        <w:continuationSeparator/>
      </w:r>
    </w:p>
  </w:footnote>
  <w:footnote w:id="1">
    <w:p w14:paraId="0CC799B4" w14:textId="77777777" w:rsidR="008B4036" w:rsidRPr="00EF0560" w:rsidRDefault="008B4036" w:rsidP="008B4036">
      <w:pPr>
        <w:spacing w:line="240" w:lineRule="auto"/>
        <w:jc w:val="both"/>
        <w:rPr>
          <w:rFonts w:ascii="Palatino Linotype" w:eastAsia="Times New Roman" w:hAnsi="Palatino Linotype"/>
          <w:b/>
          <w:bCs/>
          <w:i/>
          <w:sz w:val="18"/>
          <w:szCs w:val="18"/>
        </w:rPr>
      </w:pPr>
      <w:r w:rsidRPr="008544CF">
        <w:rPr>
          <w:rStyle w:val="Refdenotaalpie"/>
          <w:sz w:val="18"/>
          <w:szCs w:val="18"/>
        </w:rPr>
        <w:footnoteRef/>
      </w:r>
      <w:r w:rsidRPr="008544CF">
        <w:rPr>
          <w:sz w:val="18"/>
          <w:szCs w:val="18"/>
        </w:rPr>
        <w:t xml:space="preserve"> </w:t>
      </w:r>
      <w:r w:rsidRPr="00EF0560">
        <w:rPr>
          <w:rFonts w:ascii="Palatino Linotype" w:hAnsi="Palatino Linotype"/>
          <w:b/>
          <w:bCs/>
          <w:i/>
          <w:sz w:val="18"/>
          <w:szCs w:val="18"/>
        </w:rPr>
        <w:t>IMPROCEDENCIA Y SOBRESEIMIENTO EN EL JUICIO DE AMPARO. LAS CAUSAS PREVISTAS EN LOS ARTÍCULOS 73 Y 74 DE LA LEY DE LA MATERIA, RESPECTIVAMENTE, NO SON INCOMPATIBLES CON EL ARTÍCULO 25.1 DE LA CONVENCIÓN AMERICANA SOBRE DERECHOS HUMANOS.</w:t>
      </w:r>
    </w:p>
    <w:p w14:paraId="60604529" w14:textId="77777777" w:rsidR="008B4036" w:rsidRPr="008544CF" w:rsidRDefault="008B4036" w:rsidP="008B4036">
      <w:pPr>
        <w:spacing w:line="240" w:lineRule="auto"/>
        <w:jc w:val="both"/>
        <w:rPr>
          <w:i/>
          <w:sz w:val="18"/>
          <w:szCs w:val="18"/>
        </w:rPr>
      </w:pPr>
      <w:r w:rsidRPr="00EF0560">
        <w:rPr>
          <w:rFonts w:ascii="Palatino Linotype" w:hAnsi="Palatino Linotype"/>
          <w:i/>
          <w:sz w:val="18"/>
          <w:szCs w:val="18"/>
        </w:rPr>
        <w:t>Del examen de compatibilidad de los artículos</w:t>
      </w:r>
      <w:r w:rsidRPr="00EF0560">
        <w:rPr>
          <w:rStyle w:val="apple-converted-space"/>
          <w:rFonts w:ascii="Palatino Linotype" w:hAnsi="Palatino Linotype"/>
          <w:i/>
          <w:sz w:val="18"/>
          <w:szCs w:val="18"/>
        </w:rPr>
        <w:t xml:space="preserve"> </w:t>
      </w:r>
      <w:hyperlink r:id="rId1" w:history="1">
        <w:r w:rsidRPr="00EF0560">
          <w:rPr>
            <w:rStyle w:val="Hipervnculo"/>
            <w:rFonts w:ascii="Palatino Linotype" w:hAnsi="Palatino Linotype"/>
            <w:i/>
            <w:sz w:val="18"/>
            <w:szCs w:val="18"/>
          </w:rPr>
          <w:t>73 y 74 de la Ley de Amparo</w:t>
        </w:r>
      </w:hyperlink>
      <w:r w:rsidRPr="00EF0560">
        <w:rPr>
          <w:rStyle w:val="apple-converted-space"/>
          <w:rFonts w:ascii="Palatino Linotype" w:hAnsi="Palatino Linotype"/>
          <w:i/>
          <w:sz w:val="18"/>
          <w:szCs w:val="18"/>
        </w:rPr>
        <w:t xml:space="preserve"> </w:t>
      </w:r>
      <w:r w:rsidRPr="00EF0560">
        <w:rPr>
          <w:rFonts w:ascii="Palatino Linotype" w:hAnsi="Palatino Linotype"/>
          <w:i/>
          <w:sz w:val="18"/>
          <w:szCs w:val="18"/>
        </w:rPr>
        <w:t>con el artículo</w:t>
      </w:r>
      <w:r w:rsidRPr="00EF0560">
        <w:rPr>
          <w:rStyle w:val="apple-converted-space"/>
          <w:rFonts w:ascii="Palatino Linotype" w:hAnsi="Palatino Linotype"/>
          <w:i/>
          <w:sz w:val="18"/>
          <w:szCs w:val="18"/>
        </w:rPr>
        <w:t xml:space="preserve"> </w:t>
      </w:r>
      <w:hyperlink r:id="rId2" w:history="1">
        <w:r w:rsidRPr="00EF0560">
          <w:rPr>
            <w:rStyle w:val="Hipervnculo"/>
            <w:rFonts w:ascii="Palatino Linotype" w:hAnsi="Palatino Linotype"/>
            <w:i/>
            <w:sz w:val="18"/>
            <w:szCs w:val="18"/>
          </w:rPr>
          <w:t>25.1 de la Convención Americana sobre Derechos Humanos</w:t>
        </w:r>
      </w:hyperlink>
      <w:r w:rsidRPr="00EF0560">
        <w:rPr>
          <w:rStyle w:val="apple-converted-space"/>
          <w:rFonts w:ascii="Palatino Linotype" w:hAnsi="Palatino Linotype"/>
          <w:i/>
          <w:sz w:val="18"/>
          <w:szCs w:val="18"/>
        </w:rPr>
        <w:t xml:space="preserve"> </w:t>
      </w:r>
      <w:r w:rsidRPr="00EF0560">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F0560">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6912C81"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D61E3">
            <w:rPr>
              <w:rFonts w:ascii="Palatino Linotype" w:hAnsi="Palatino Linotype" w:cs="Arial"/>
              <w:bCs/>
              <w:sz w:val="24"/>
              <w:lang w:eastAsia="es-MX"/>
            </w:rPr>
            <w:t>2190</w:t>
          </w:r>
          <w:r w:rsidR="00C70B4A">
            <w:rPr>
              <w:rFonts w:ascii="Palatino Linotype" w:hAnsi="Palatino Linotype" w:cs="Arial"/>
              <w:bCs/>
              <w:sz w:val="24"/>
              <w:lang w:eastAsia="es-MX"/>
            </w:rPr>
            <w:t>/INFOEM/IP/RR/202</w:t>
          </w:r>
          <w:r w:rsidR="006C1524">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4DE9D274" w:rsidR="00C70B4A" w:rsidRPr="00F06FED" w:rsidRDefault="00D4470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9D61E3">
            <w:rPr>
              <w:rFonts w:ascii="Palatino Linotype" w:hAnsi="Palatino Linotype" w:cs="Arial"/>
              <w:szCs w:val="20"/>
            </w:rPr>
            <w:t>Tenancingo</w:t>
          </w:r>
          <w:r>
            <w:rPr>
              <w:rFonts w:ascii="Palatino Linotype" w:hAnsi="Palatino Linotype" w:cs="Arial"/>
              <w:szCs w:val="20"/>
            </w:rPr>
            <w:t xml:space="preserve"> </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2B8DB29"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D61E3">
            <w:rPr>
              <w:rFonts w:ascii="Palatino Linotype" w:hAnsi="Palatino Linotype" w:cs="Arial"/>
              <w:bCs/>
              <w:sz w:val="24"/>
              <w:lang w:eastAsia="es-MX"/>
            </w:rPr>
            <w:t>2190</w:t>
          </w:r>
          <w:r w:rsidR="00C70B4A">
            <w:rPr>
              <w:rFonts w:ascii="Palatino Linotype" w:hAnsi="Palatino Linotype" w:cs="Arial"/>
              <w:bCs/>
              <w:sz w:val="24"/>
              <w:lang w:eastAsia="es-MX"/>
            </w:rPr>
            <w:t>/INFOEM/IP/RR/202</w:t>
          </w:r>
          <w:r w:rsidR="006C1524">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06D7E12" w:rsidR="00C70B4A" w:rsidRPr="00F06FED" w:rsidRDefault="00E0458C" w:rsidP="00870B18">
          <w:pPr>
            <w:spacing w:after="120" w:line="256" w:lineRule="auto"/>
            <w:ind w:left="637" w:right="214"/>
            <w:jc w:val="both"/>
            <w:rPr>
              <w:rFonts w:ascii="Palatino Linotype" w:hAnsi="Palatino Linotype" w:cs="Arial"/>
            </w:rPr>
          </w:pPr>
          <w:r>
            <w:rPr>
              <w:rFonts w:ascii="Palatino Linotype" w:hAnsi="Palatino Linotype" w:cs="Arial"/>
            </w:rPr>
            <w:t>XXXXXXXX</w:t>
          </w:r>
          <w:r w:rsidR="009D61E3">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DBF2EBD" w:rsidR="00C70B4A" w:rsidRDefault="00D44708"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D61E3">
            <w:rPr>
              <w:rFonts w:ascii="Palatino Linotype" w:hAnsi="Palatino Linotype" w:cs="Arial"/>
              <w:szCs w:val="20"/>
            </w:rPr>
            <w:t>Tenancingo</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21116"/>
    <w:multiLevelType w:val="hybridMultilevel"/>
    <w:tmpl w:val="381851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61B02DF"/>
    <w:multiLevelType w:val="hybridMultilevel"/>
    <w:tmpl w:val="140C66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EF702B"/>
    <w:multiLevelType w:val="hybridMultilevel"/>
    <w:tmpl w:val="03ECDE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D535E"/>
    <w:multiLevelType w:val="hybridMultilevel"/>
    <w:tmpl w:val="A86EF9E2"/>
    <w:lvl w:ilvl="0" w:tplc="CE2AB8B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FE015E"/>
    <w:multiLevelType w:val="hybridMultilevel"/>
    <w:tmpl w:val="33302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3109C4"/>
    <w:multiLevelType w:val="hybridMultilevel"/>
    <w:tmpl w:val="B8948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7"/>
  </w:num>
  <w:num w:numId="7">
    <w:abstractNumId w:val="9"/>
  </w:num>
  <w:num w:numId="8">
    <w:abstractNumId w:val="2"/>
  </w:num>
  <w:num w:numId="9">
    <w:abstractNumId w:val="0"/>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4544"/>
    <w:rsid w:val="000363A2"/>
    <w:rsid w:val="0004199A"/>
    <w:rsid w:val="00045379"/>
    <w:rsid w:val="000461DF"/>
    <w:rsid w:val="00046AD8"/>
    <w:rsid w:val="00046D98"/>
    <w:rsid w:val="0005490F"/>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988"/>
    <w:rsid w:val="000848D6"/>
    <w:rsid w:val="0008582E"/>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4B51"/>
    <w:rsid w:val="000B6FE9"/>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6FF6"/>
    <w:rsid w:val="000D7A3D"/>
    <w:rsid w:val="000D7B04"/>
    <w:rsid w:val="000E0557"/>
    <w:rsid w:val="000E05FE"/>
    <w:rsid w:val="000E0655"/>
    <w:rsid w:val="000E0A71"/>
    <w:rsid w:val="000E686B"/>
    <w:rsid w:val="000F110B"/>
    <w:rsid w:val="000F3EDB"/>
    <w:rsid w:val="000F3EE7"/>
    <w:rsid w:val="000F68B1"/>
    <w:rsid w:val="000F6F19"/>
    <w:rsid w:val="000F7AC2"/>
    <w:rsid w:val="00100E19"/>
    <w:rsid w:val="00102B4F"/>
    <w:rsid w:val="00102D69"/>
    <w:rsid w:val="00110EDB"/>
    <w:rsid w:val="00111DCD"/>
    <w:rsid w:val="001129EB"/>
    <w:rsid w:val="0011365C"/>
    <w:rsid w:val="00114CF9"/>
    <w:rsid w:val="0011564C"/>
    <w:rsid w:val="001167AA"/>
    <w:rsid w:val="00117157"/>
    <w:rsid w:val="001176E7"/>
    <w:rsid w:val="00123898"/>
    <w:rsid w:val="00124855"/>
    <w:rsid w:val="00124EC6"/>
    <w:rsid w:val="001254F5"/>
    <w:rsid w:val="001336D3"/>
    <w:rsid w:val="00133C5A"/>
    <w:rsid w:val="001364AA"/>
    <w:rsid w:val="00136FAD"/>
    <w:rsid w:val="00140579"/>
    <w:rsid w:val="00143D5F"/>
    <w:rsid w:val="00144B4A"/>
    <w:rsid w:val="00146F0A"/>
    <w:rsid w:val="00146FFD"/>
    <w:rsid w:val="00147B36"/>
    <w:rsid w:val="00150196"/>
    <w:rsid w:val="00150A4C"/>
    <w:rsid w:val="00150D1D"/>
    <w:rsid w:val="00152124"/>
    <w:rsid w:val="00152C2B"/>
    <w:rsid w:val="00153323"/>
    <w:rsid w:val="001542FC"/>
    <w:rsid w:val="00154C5F"/>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8782B"/>
    <w:rsid w:val="00190579"/>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1111"/>
    <w:rsid w:val="001B1519"/>
    <w:rsid w:val="001B1BC8"/>
    <w:rsid w:val="001B1F55"/>
    <w:rsid w:val="001B7B88"/>
    <w:rsid w:val="001C0BAD"/>
    <w:rsid w:val="001C0DA5"/>
    <w:rsid w:val="001C1E07"/>
    <w:rsid w:val="001C7319"/>
    <w:rsid w:val="001C7D87"/>
    <w:rsid w:val="001D299A"/>
    <w:rsid w:val="001D3E87"/>
    <w:rsid w:val="001D5F16"/>
    <w:rsid w:val="001D6FAB"/>
    <w:rsid w:val="001E0EC8"/>
    <w:rsid w:val="001E108D"/>
    <w:rsid w:val="001E1D18"/>
    <w:rsid w:val="001E2C0F"/>
    <w:rsid w:val="001E668A"/>
    <w:rsid w:val="001E6A63"/>
    <w:rsid w:val="001E7204"/>
    <w:rsid w:val="001F0A4F"/>
    <w:rsid w:val="001F2A14"/>
    <w:rsid w:val="001F3F0E"/>
    <w:rsid w:val="001F4ADC"/>
    <w:rsid w:val="001F4D04"/>
    <w:rsid w:val="001F51DC"/>
    <w:rsid w:val="001F5597"/>
    <w:rsid w:val="001F71ED"/>
    <w:rsid w:val="0020194E"/>
    <w:rsid w:val="00203D3A"/>
    <w:rsid w:val="00203FF3"/>
    <w:rsid w:val="002044B4"/>
    <w:rsid w:val="00204CE8"/>
    <w:rsid w:val="00206500"/>
    <w:rsid w:val="00207086"/>
    <w:rsid w:val="00210B06"/>
    <w:rsid w:val="00210D86"/>
    <w:rsid w:val="00211D60"/>
    <w:rsid w:val="0021501E"/>
    <w:rsid w:val="0021546A"/>
    <w:rsid w:val="0021572A"/>
    <w:rsid w:val="002203CC"/>
    <w:rsid w:val="002205C0"/>
    <w:rsid w:val="0022494A"/>
    <w:rsid w:val="00225507"/>
    <w:rsid w:val="00232223"/>
    <w:rsid w:val="0023373D"/>
    <w:rsid w:val="0023394A"/>
    <w:rsid w:val="00233D7E"/>
    <w:rsid w:val="00233EF7"/>
    <w:rsid w:val="0023423C"/>
    <w:rsid w:val="00237F4F"/>
    <w:rsid w:val="0024112D"/>
    <w:rsid w:val="002428BA"/>
    <w:rsid w:val="00244177"/>
    <w:rsid w:val="0024749D"/>
    <w:rsid w:val="002537F1"/>
    <w:rsid w:val="00254477"/>
    <w:rsid w:val="00257337"/>
    <w:rsid w:val="002577FE"/>
    <w:rsid w:val="0025780C"/>
    <w:rsid w:val="002609D8"/>
    <w:rsid w:val="00262BB2"/>
    <w:rsid w:val="00262CBE"/>
    <w:rsid w:val="002642D3"/>
    <w:rsid w:val="002646EF"/>
    <w:rsid w:val="00266AE6"/>
    <w:rsid w:val="00267C18"/>
    <w:rsid w:val="0027225D"/>
    <w:rsid w:val="00273D0E"/>
    <w:rsid w:val="002764D6"/>
    <w:rsid w:val="00280B8B"/>
    <w:rsid w:val="00282235"/>
    <w:rsid w:val="0029026C"/>
    <w:rsid w:val="00292350"/>
    <w:rsid w:val="00292DA1"/>
    <w:rsid w:val="00292DC0"/>
    <w:rsid w:val="00293C29"/>
    <w:rsid w:val="00294345"/>
    <w:rsid w:val="00297EF9"/>
    <w:rsid w:val="002A0E16"/>
    <w:rsid w:val="002A2034"/>
    <w:rsid w:val="002A24F4"/>
    <w:rsid w:val="002A38BF"/>
    <w:rsid w:val="002A429A"/>
    <w:rsid w:val="002A597E"/>
    <w:rsid w:val="002A7069"/>
    <w:rsid w:val="002A76AC"/>
    <w:rsid w:val="002A79A4"/>
    <w:rsid w:val="002B0FB9"/>
    <w:rsid w:val="002B2BF8"/>
    <w:rsid w:val="002B3D67"/>
    <w:rsid w:val="002B4382"/>
    <w:rsid w:val="002B5DBD"/>
    <w:rsid w:val="002B72F9"/>
    <w:rsid w:val="002B7D92"/>
    <w:rsid w:val="002C498D"/>
    <w:rsid w:val="002C4FE1"/>
    <w:rsid w:val="002C6DA4"/>
    <w:rsid w:val="002C72D2"/>
    <w:rsid w:val="002D1B28"/>
    <w:rsid w:val="002D2F00"/>
    <w:rsid w:val="002D79E2"/>
    <w:rsid w:val="002D7A5D"/>
    <w:rsid w:val="002E0A4A"/>
    <w:rsid w:val="002E0BC4"/>
    <w:rsid w:val="002E21B4"/>
    <w:rsid w:val="002E2D7B"/>
    <w:rsid w:val="002E5E6A"/>
    <w:rsid w:val="002E6FBB"/>
    <w:rsid w:val="002F0FBF"/>
    <w:rsid w:val="002F22FA"/>
    <w:rsid w:val="002F37BE"/>
    <w:rsid w:val="002F41CA"/>
    <w:rsid w:val="002F4C6A"/>
    <w:rsid w:val="002F527C"/>
    <w:rsid w:val="002F70F6"/>
    <w:rsid w:val="002F7973"/>
    <w:rsid w:val="00300D0B"/>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189B"/>
    <w:rsid w:val="0033580E"/>
    <w:rsid w:val="00337F09"/>
    <w:rsid w:val="00343D1E"/>
    <w:rsid w:val="0035054D"/>
    <w:rsid w:val="00353779"/>
    <w:rsid w:val="00354258"/>
    <w:rsid w:val="00355593"/>
    <w:rsid w:val="00357548"/>
    <w:rsid w:val="00357E0E"/>
    <w:rsid w:val="003601B2"/>
    <w:rsid w:val="00360249"/>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96AFC"/>
    <w:rsid w:val="003A1A3B"/>
    <w:rsid w:val="003A2246"/>
    <w:rsid w:val="003A2658"/>
    <w:rsid w:val="003A4CF6"/>
    <w:rsid w:val="003A61F9"/>
    <w:rsid w:val="003A6975"/>
    <w:rsid w:val="003B0793"/>
    <w:rsid w:val="003B0D66"/>
    <w:rsid w:val="003B11BA"/>
    <w:rsid w:val="003B1208"/>
    <w:rsid w:val="003B1E88"/>
    <w:rsid w:val="003B5E96"/>
    <w:rsid w:val="003B6792"/>
    <w:rsid w:val="003C0DF8"/>
    <w:rsid w:val="003C394C"/>
    <w:rsid w:val="003C3F7B"/>
    <w:rsid w:val="003C5243"/>
    <w:rsid w:val="003C53ED"/>
    <w:rsid w:val="003D0B7E"/>
    <w:rsid w:val="003D331F"/>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360C"/>
    <w:rsid w:val="0040673A"/>
    <w:rsid w:val="004069EB"/>
    <w:rsid w:val="00410ACB"/>
    <w:rsid w:val="00411E6F"/>
    <w:rsid w:val="00412600"/>
    <w:rsid w:val="004150FE"/>
    <w:rsid w:val="00415E43"/>
    <w:rsid w:val="00415FC1"/>
    <w:rsid w:val="004207A7"/>
    <w:rsid w:val="004210A8"/>
    <w:rsid w:val="00421D09"/>
    <w:rsid w:val="00422ED2"/>
    <w:rsid w:val="00423213"/>
    <w:rsid w:val="0042416D"/>
    <w:rsid w:val="00424487"/>
    <w:rsid w:val="00424EA1"/>
    <w:rsid w:val="00431852"/>
    <w:rsid w:val="00435290"/>
    <w:rsid w:val="00436802"/>
    <w:rsid w:val="00437E68"/>
    <w:rsid w:val="004416EB"/>
    <w:rsid w:val="0044242D"/>
    <w:rsid w:val="00442E45"/>
    <w:rsid w:val="00443AD4"/>
    <w:rsid w:val="0044438E"/>
    <w:rsid w:val="00445C0F"/>
    <w:rsid w:val="00446A26"/>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7337"/>
    <w:rsid w:val="00467C17"/>
    <w:rsid w:val="00471D57"/>
    <w:rsid w:val="004730D9"/>
    <w:rsid w:val="00475345"/>
    <w:rsid w:val="00475C23"/>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975F9"/>
    <w:rsid w:val="004A0517"/>
    <w:rsid w:val="004A114B"/>
    <w:rsid w:val="004A2363"/>
    <w:rsid w:val="004A290F"/>
    <w:rsid w:val="004A55D8"/>
    <w:rsid w:val="004A5FFD"/>
    <w:rsid w:val="004A6A62"/>
    <w:rsid w:val="004A7CE2"/>
    <w:rsid w:val="004B031A"/>
    <w:rsid w:val="004B1236"/>
    <w:rsid w:val="004B1ACE"/>
    <w:rsid w:val="004B234F"/>
    <w:rsid w:val="004B34F6"/>
    <w:rsid w:val="004B353F"/>
    <w:rsid w:val="004B59BB"/>
    <w:rsid w:val="004B5CCC"/>
    <w:rsid w:val="004C117E"/>
    <w:rsid w:val="004C2845"/>
    <w:rsid w:val="004C3081"/>
    <w:rsid w:val="004C3B6D"/>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4F7AEE"/>
    <w:rsid w:val="005001FE"/>
    <w:rsid w:val="00502010"/>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867D2"/>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2E14"/>
    <w:rsid w:val="005C329A"/>
    <w:rsid w:val="005C57BA"/>
    <w:rsid w:val="005C5860"/>
    <w:rsid w:val="005C6982"/>
    <w:rsid w:val="005C6B74"/>
    <w:rsid w:val="005C781B"/>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0B24"/>
    <w:rsid w:val="005F1744"/>
    <w:rsid w:val="005F2047"/>
    <w:rsid w:val="005F2C76"/>
    <w:rsid w:val="005F57F0"/>
    <w:rsid w:val="00601010"/>
    <w:rsid w:val="006028C9"/>
    <w:rsid w:val="00602940"/>
    <w:rsid w:val="0060676C"/>
    <w:rsid w:val="00606B79"/>
    <w:rsid w:val="00606FC5"/>
    <w:rsid w:val="0060721D"/>
    <w:rsid w:val="0061042F"/>
    <w:rsid w:val="00614EE0"/>
    <w:rsid w:val="006168E4"/>
    <w:rsid w:val="00621F47"/>
    <w:rsid w:val="00622359"/>
    <w:rsid w:val="0062421A"/>
    <w:rsid w:val="0062497C"/>
    <w:rsid w:val="00625200"/>
    <w:rsid w:val="006255AA"/>
    <w:rsid w:val="00630846"/>
    <w:rsid w:val="00631806"/>
    <w:rsid w:val="00636FD7"/>
    <w:rsid w:val="00637512"/>
    <w:rsid w:val="00640EE4"/>
    <w:rsid w:val="006448CE"/>
    <w:rsid w:val="006456FA"/>
    <w:rsid w:val="006466F5"/>
    <w:rsid w:val="00646C24"/>
    <w:rsid w:val="00652BC5"/>
    <w:rsid w:val="00654F5E"/>
    <w:rsid w:val="00656060"/>
    <w:rsid w:val="00661753"/>
    <w:rsid w:val="0066216F"/>
    <w:rsid w:val="00663A16"/>
    <w:rsid w:val="00663C3F"/>
    <w:rsid w:val="00664A07"/>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0AFD"/>
    <w:rsid w:val="006C1157"/>
    <w:rsid w:val="006C1237"/>
    <w:rsid w:val="006C1524"/>
    <w:rsid w:val="006C17FD"/>
    <w:rsid w:val="006C1884"/>
    <w:rsid w:val="006C28CA"/>
    <w:rsid w:val="006C350D"/>
    <w:rsid w:val="006C5E56"/>
    <w:rsid w:val="006C66E4"/>
    <w:rsid w:val="006D23FC"/>
    <w:rsid w:val="006D643D"/>
    <w:rsid w:val="006E063C"/>
    <w:rsid w:val="006E0EA3"/>
    <w:rsid w:val="006E2A11"/>
    <w:rsid w:val="006E3094"/>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3FE4"/>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30EC"/>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1E94"/>
    <w:rsid w:val="00802C56"/>
    <w:rsid w:val="00802C5C"/>
    <w:rsid w:val="008053CE"/>
    <w:rsid w:val="008056BC"/>
    <w:rsid w:val="00806EE9"/>
    <w:rsid w:val="00807750"/>
    <w:rsid w:val="00807E35"/>
    <w:rsid w:val="00811205"/>
    <w:rsid w:val="0081126B"/>
    <w:rsid w:val="00812C48"/>
    <w:rsid w:val="00813B72"/>
    <w:rsid w:val="00814097"/>
    <w:rsid w:val="008146F9"/>
    <w:rsid w:val="00814727"/>
    <w:rsid w:val="00814D7C"/>
    <w:rsid w:val="00821413"/>
    <w:rsid w:val="008218CD"/>
    <w:rsid w:val="00821AEB"/>
    <w:rsid w:val="00821E26"/>
    <w:rsid w:val="00824DCD"/>
    <w:rsid w:val="008255E5"/>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26F9"/>
    <w:rsid w:val="00884054"/>
    <w:rsid w:val="008850A8"/>
    <w:rsid w:val="008863CF"/>
    <w:rsid w:val="00890B7A"/>
    <w:rsid w:val="00890C62"/>
    <w:rsid w:val="0089173B"/>
    <w:rsid w:val="008939E8"/>
    <w:rsid w:val="0089437B"/>
    <w:rsid w:val="008945F5"/>
    <w:rsid w:val="00895089"/>
    <w:rsid w:val="008951ED"/>
    <w:rsid w:val="0089761E"/>
    <w:rsid w:val="008977EE"/>
    <w:rsid w:val="008A0693"/>
    <w:rsid w:val="008A25E6"/>
    <w:rsid w:val="008A50A9"/>
    <w:rsid w:val="008A57B4"/>
    <w:rsid w:val="008A5928"/>
    <w:rsid w:val="008A75BE"/>
    <w:rsid w:val="008B0D6E"/>
    <w:rsid w:val="008B1AD9"/>
    <w:rsid w:val="008B1D2E"/>
    <w:rsid w:val="008B1FD5"/>
    <w:rsid w:val="008B4036"/>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7453"/>
    <w:rsid w:val="008D7E56"/>
    <w:rsid w:val="008E012F"/>
    <w:rsid w:val="008E1A3F"/>
    <w:rsid w:val="008E2A0E"/>
    <w:rsid w:val="008E6375"/>
    <w:rsid w:val="008E6B54"/>
    <w:rsid w:val="008F010F"/>
    <w:rsid w:val="008F17A1"/>
    <w:rsid w:val="008F2158"/>
    <w:rsid w:val="008F3272"/>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CA"/>
    <w:rsid w:val="009104D1"/>
    <w:rsid w:val="00911863"/>
    <w:rsid w:val="00913133"/>
    <w:rsid w:val="0091317A"/>
    <w:rsid w:val="009131C3"/>
    <w:rsid w:val="0091475B"/>
    <w:rsid w:val="00914DC8"/>
    <w:rsid w:val="0091510B"/>
    <w:rsid w:val="00915C1B"/>
    <w:rsid w:val="00915DB9"/>
    <w:rsid w:val="0092120C"/>
    <w:rsid w:val="00921AC3"/>
    <w:rsid w:val="00921D0C"/>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55DC"/>
    <w:rsid w:val="009611E0"/>
    <w:rsid w:val="00961302"/>
    <w:rsid w:val="00962383"/>
    <w:rsid w:val="00963120"/>
    <w:rsid w:val="009645F8"/>
    <w:rsid w:val="0096478F"/>
    <w:rsid w:val="00964AB9"/>
    <w:rsid w:val="00965B97"/>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411C"/>
    <w:rsid w:val="009855E2"/>
    <w:rsid w:val="00987C03"/>
    <w:rsid w:val="00990E3D"/>
    <w:rsid w:val="00992977"/>
    <w:rsid w:val="00992B07"/>
    <w:rsid w:val="0099557F"/>
    <w:rsid w:val="009A148F"/>
    <w:rsid w:val="009A3511"/>
    <w:rsid w:val="009A686F"/>
    <w:rsid w:val="009A7912"/>
    <w:rsid w:val="009B0094"/>
    <w:rsid w:val="009B2777"/>
    <w:rsid w:val="009B28E9"/>
    <w:rsid w:val="009B33A8"/>
    <w:rsid w:val="009B3487"/>
    <w:rsid w:val="009B35E4"/>
    <w:rsid w:val="009B390A"/>
    <w:rsid w:val="009B42AE"/>
    <w:rsid w:val="009B7C61"/>
    <w:rsid w:val="009C22B1"/>
    <w:rsid w:val="009C3793"/>
    <w:rsid w:val="009C552E"/>
    <w:rsid w:val="009C62BD"/>
    <w:rsid w:val="009C68AC"/>
    <w:rsid w:val="009D26AD"/>
    <w:rsid w:val="009D341C"/>
    <w:rsid w:val="009D349B"/>
    <w:rsid w:val="009D3C55"/>
    <w:rsid w:val="009D45BD"/>
    <w:rsid w:val="009D5261"/>
    <w:rsid w:val="009D61E3"/>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C0"/>
    <w:rsid w:val="00A036BE"/>
    <w:rsid w:val="00A0575E"/>
    <w:rsid w:val="00A068CE"/>
    <w:rsid w:val="00A06A16"/>
    <w:rsid w:val="00A10F77"/>
    <w:rsid w:val="00A12025"/>
    <w:rsid w:val="00A12205"/>
    <w:rsid w:val="00A139AF"/>
    <w:rsid w:val="00A17BE7"/>
    <w:rsid w:val="00A20113"/>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428"/>
    <w:rsid w:val="00AD3604"/>
    <w:rsid w:val="00AD3AA2"/>
    <w:rsid w:val="00AD43B8"/>
    <w:rsid w:val="00AD4B1A"/>
    <w:rsid w:val="00AD5295"/>
    <w:rsid w:val="00AE008F"/>
    <w:rsid w:val="00AE4896"/>
    <w:rsid w:val="00AF0161"/>
    <w:rsid w:val="00AF2A1F"/>
    <w:rsid w:val="00AF2D9B"/>
    <w:rsid w:val="00AF352C"/>
    <w:rsid w:val="00B00628"/>
    <w:rsid w:val="00B011F5"/>
    <w:rsid w:val="00B0749B"/>
    <w:rsid w:val="00B10050"/>
    <w:rsid w:val="00B10A1E"/>
    <w:rsid w:val="00B11866"/>
    <w:rsid w:val="00B11E08"/>
    <w:rsid w:val="00B11F85"/>
    <w:rsid w:val="00B12FF9"/>
    <w:rsid w:val="00B14039"/>
    <w:rsid w:val="00B149FA"/>
    <w:rsid w:val="00B177F4"/>
    <w:rsid w:val="00B22242"/>
    <w:rsid w:val="00B2232C"/>
    <w:rsid w:val="00B2330D"/>
    <w:rsid w:val="00B23384"/>
    <w:rsid w:val="00B25008"/>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280E"/>
    <w:rsid w:val="00B7282C"/>
    <w:rsid w:val="00B73FE9"/>
    <w:rsid w:val="00B7701B"/>
    <w:rsid w:val="00B87D50"/>
    <w:rsid w:val="00B87E1D"/>
    <w:rsid w:val="00B91BCB"/>
    <w:rsid w:val="00B9223B"/>
    <w:rsid w:val="00B94AAC"/>
    <w:rsid w:val="00B94AE7"/>
    <w:rsid w:val="00B953BD"/>
    <w:rsid w:val="00B95905"/>
    <w:rsid w:val="00B95E96"/>
    <w:rsid w:val="00B97286"/>
    <w:rsid w:val="00B97421"/>
    <w:rsid w:val="00BA1B53"/>
    <w:rsid w:val="00BA2A94"/>
    <w:rsid w:val="00BA4D1F"/>
    <w:rsid w:val="00BA5339"/>
    <w:rsid w:val="00BA6226"/>
    <w:rsid w:val="00BA7AD1"/>
    <w:rsid w:val="00BB0F3F"/>
    <w:rsid w:val="00BB1091"/>
    <w:rsid w:val="00BB2250"/>
    <w:rsid w:val="00BB3132"/>
    <w:rsid w:val="00BB5448"/>
    <w:rsid w:val="00BB68CA"/>
    <w:rsid w:val="00BB721B"/>
    <w:rsid w:val="00BC0FDD"/>
    <w:rsid w:val="00BC130D"/>
    <w:rsid w:val="00BC22E0"/>
    <w:rsid w:val="00BC2A46"/>
    <w:rsid w:val="00BC3FA4"/>
    <w:rsid w:val="00BC5BA0"/>
    <w:rsid w:val="00BD004A"/>
    <w:rsid w:val="00BD352C"/>
    <w:rsid w:val="00BD3723"/>
    <w:rsid w:val="00BD5023"/>
    <w:rsid w:val="00BD5133"/>
    <w:rsid w:val="00BD58AB"/>
    <w:rsid w:val="00BD71CB"/>
    <w:rsid w:val="00BE0F7E"/>
    <w:rsid w:val="00BE28ED"/>
    <w:rsid w:val="00BE2E30"/>
    <w:rsid w:val="00BE3339"/>
    <w:rsid w:val="00BF1D3A"/>
    <w:rsid w:val="00C008B2"/>
    <w:rsid w:val="00C01059"/>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4CA5"/>
    <w:rsid w:val="00C25084"/>
    <w:rsid w:val="00C274BE"/>
    <w:rsid w:val="00C274C6"/>
    <w:rsid w:val="00C27A37"/>
    <w:rsid w:val="00C310B6"/>
    <w:rsid w:val="00C321D9"/>
    <w:rsid w:val="00C3330D"/>
    <w:rsid w:val="00C34654"/>
    <w:rsid w:val="00C347FE"/>
    <w:rsid w:val="00C357BE"/>
    <w:rsid w:val="00C4006D"/>
    <w:rsid w:val="00C419E1"/>
    <w:rsid w:val="00C4530E"/>
    <w:rsid w:val="00C45C21"/>
    <w:rsid w:val="00C503EB"/>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6A0"/>
    <w:rsid w:val="00C71CD1"/>
    <w:rsid w:val="00C73143"/>
    <w:rsid w:val="00C7338F"/>
    <w:rsid w:val="00C7710B"/>
    <w:rsid w:val="00C77685"/>
    <w:rsid w:val="00C77815"/>
    <w:rsid w:val="00C77977"/>
    <w:rsid w:val="00C77ABA"/>
    <w:rsid w:val="00C8085F"/>
    <w:rsid w:val="00C81AD4"/>
    <w:rsid w:val="00C821B6"/>
    <w:rsid w:val="00C83AF5"/>
    <w:rsid w:val="00C84570"/>
    <w:rsid w:val="00C8471E"/>
    <w:rsid w:val="00C850CE"/>
    <w:rsid w:val="00C85378"/>
    <w:rsid w:val="00C90BE5"/>
    <w:rsid w:val="00C91B10"/>
    <w:rsid w:val="00C925E0"/>
    <w:rsid w:val="00C9271F"/>
    <w:rsid w:val="00C9297C"/>
    <w:rsid w:val="00C932F8"/>
    <w:rsid w:val="00C950C0"/>
    <w:rsid w:val="00C950D9"/>
    <w:rsid w:val="00C95A92"/>
    <w:rsid w:val="00C976C0"/>
    <w:rsid w:val="00CA2A0B"/>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2F2F"/>
    <w:rsid w:val="00CD365B"/>
    <w:rsid w:val="00CD4BFA"/>
    <w:rsid w:val="00CD4E49"/>
    <w:rsid w:val="00CE0E72"/>
    <w:rsid w:val="00CE2ADF"/>
    <w:rsid w:val="00CE367D"/>
    <w:rsid w:val="00CE3B78"/>
    <w:rsid w:val="00CE4289"/>
    <w:rsid w:val="00CE4560"/>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66B"/>
    <w:rsid w:val="00D17789"/>
    <w:rsid w:val="00D20265"/>
    <w:rsid w:val="00D21472"/>
    <w:rsid w:val="00D21565"/>
    <w:rsid w:val="00D2277C"/>
    <w:rsid w:val="00D22F7D"/>
    <w:rsid w:val="00D257C6"/>
    <w:rsid w:val="00D25BEE"/>
    <w:rsid w:val="00D27079"/>
    <w:rsid w:val="00D2737E"/>
    <w:rsid w:val="00D274A9"/>
    <w:rsid w:val="00D302CF"/>
    <w:rsid w:val="00D31397"/>
    <w:rsid w:val="00D31EFF"/>
    <w:rsid w:val="00D32644"/>
    <w:rsid w:val="00D33619"/>
    <w:rsid w:val="00D33C86"/>
    <w:rsid w:val="00D36C02"/>
    <w:rsid w:val="00D400F4"/>
    <w:rsid w:val="00D43CF1"/>
    <w:rsid w:val="00D44708"/>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674E4"/>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A0DF2"/>
    <w:rsid w:val="00DA1152"/>
    <w:rsid w:val="00DA3D5F"/>
    <w:rsid w:val="00DA41D7"/>
    <w:rsid w:val="00DA494B"/>
    <w:rsid w:val="00DA4A90"/>
    <w:rsid w:val="00DA58E1"/>
    <w:rsid w:val="00DA5B72"/>
    <w:rsid w:val="00DB0265"/>
    <w:rsid w:val="00DB0CE0"/>
    <w:rsid w:val="00DB4EE4"/>
    <w:rsid w:val="00DB5C0A"/>
    <w:rsid w:val="00DC0220"/>
    <w:rsid w:val="00DC0A85"/>
    <w:rsid w:val="00DC6B33"/>
    <w:rsid w:val="00DC6FF8"/>
    <w:rsid w:val="00DD01FC"/>
    <w:rsid w:val="00DD060E"/>
    <w:rsid w:val="00DD13E2"/>
    <w:rsid w:val="00DD435C"/>
    <w:rsid w:val="00DE2103"/>
    <w:rsid w:val="00DE47A1"/>
    <w:rsid w:val="00DE7DCC"/>
    <w:rsid w:val="00DF003C"/>
    <w:rsid w:val="00DF0E8B"/>
    <w:rsid w:val="00DF0F8A"/>
    <w:rsid w:val="00DF137F"/>
    <w:rsid w:val="00DF2DF1"/>
    <w:rsid w:val="00DF4501"/>
    <w:rsid w:val="00DF5C75"/>
    <w:rsid w:val="00DF65E5"/>
    <w:rsid w:val="00DF6971"/>
    <w:rsid w:val="00DF78AE"/>
    <w:rsid w:val="00E00E78"/>
    <w:rsid w:val="00E0458C"/>
    <w:rsid w:val="00E0759A"/>
    <w:rsid w:val="00E076C1"/>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173D"/>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5A17"/>
    <w:rsid w:val="00E86CD6"/>
    <w:rsid w:val="00E86FA6"/>
    <w:rsid w:val="00E91117"/>
    <w:rsid w:val="00E91409"/>
    <w:rsid w:val="00E91D17"/>
    <w:rsid w:val="00E91EED"/>
    <w:rsid w:val="00E936FF"/>
    <w:rsid w:val="00E939C8"/>
    <w:rsid w:val="00E93A33"/>
    <w:rsid w:val="00E93B6B"/>
    <w:rsid w:val="00E94308"/>
    <w:rsid w:val="00E9465C"/>
    <w:rsid w:val="00E96C74"/>
    <w:rsid w:val="00EA17AF"/>
    <w:rsid w:val="00EA1F89"/>
    <w:rsid w:val="00EA2512"/>
    <w:rsid w:val="00EA5177"/>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D7401"/>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07D"/>
    <w:rsid w:val="00EF1553"/>
    <w:rsid w:val="00EF1925"/>
    <w:rsid w:val="00EF1FAF"/>
    <w:rsid w:val="00EF2489"/>
    <w:rsid w:val="00EF39E7"/>
    <w:rsid w:val="00EF4EF0"/>
    <w:rsid w:val="00EF697A"/>
    <w:rsid w:val="00F003D2"/>
    <w:rsid w:val="00F0128E"/>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3EE1"/>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1EE5"/>
    <w:rsid w:val="00F726F2"/>
    <w:rsid w:val="00F727B0"/>
    <w:rsid w:val="00F72A12"/>
    <w:rsid w:val="00F76A74"/>
    <w:rsid w:val="00F81124"/>
    <w:rsid w:val="00F816C6"/>
    <w:rsid w:val="00F817C5"/>
    <w:rsid w:val="00F841CB"/>
    <w:rsid w:val="00F84FF3"/>
    <w:rsid w:val="00F853E8"/>
    <w:rsid w:val="00F858D5"/>
    <w:rsid w:val="00F909A9"/>
    <w:rsid w:val="00F919F5"/>
    <w:rsid w:val="00F91AEE"/>
    <w:rsid w:val="00F979AF"/>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36DA"/>
    <w:rsid w:val="00FF421A"/>
    <w:rsid w:val="00FF465F"/>
    <w:rsid w:val="00FF7211"/>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9/&amp;a=RRA%2014270.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8/&amp;a=RRA%205097.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454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88202-1357-4D59-984A-3DD084703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34</Pages>
  <Words>6391</Words>
  <Characters>35155</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13</cp:revision>
  <cp:lastPrinted>2019-11-07T00:56:00Z</cp:lastPrinted>
  <dcterms:created xsi:type="dcterms:W3CDTF">2025-03-12T17:09:00Z</dcterms:created>
  <dcterms:modified xsi:type="dcterms:W3CDTF">2025-04-02T21:29:00Z</dcterms:modified>
</cp:coreProperties>
</file>