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D1018F" w:rsidRDefault="00FD20C4" w:rsidP="00D1018F">
          <w:pPr>
            <w:pStyle w:val="TtulodeTDC"/>
            <w:rPr>
              <w:color w:val="auto"/>
              <w:sz w:val="22"/>
              <w:szCs w:val="22"/>
            </w:rPr>
          </w:pPr>
          <w:r w:rsidRPr="00D1018F">
            <w:rPr>
              <w:color w:val="auto"/>
              <w:sz w:val="22"/>
              <w:szCs w:val="22"/>
              <w:lang w:val="es-ES"/>
            </w:rPr>
            <w:t>Contenido</w:t>
          </w:r>
        </w:p>
        <w:p w14:paraId="142F2CC4" w14:textId="709FB41D" w:rsidR="00D1018F" w:rsidRPr="00D1018F" w:rsidRDefault="00FD20C4" w:rsidP="00D1018F">
          <w:pPr>
            <w:pStyle w:val="TDC1"/>
            <w:tabs>
              <w:tab w:val="right" w:leader="dot" w:pos="9034"/>
            </w:tabs>
            <w:rPr>
              <w:rFonts w:asciiTheme="minorHAnsi" w:eastAsiaTheme="minorEastAsia" w:hAnsiTheme="minorHAnsi" w:cstheme="minorBidi"/>
              <w:noProof/>
            </w:rPr>
          </w:pPr>
          <w:r w:rsidRPr="00D1018F">
            <w:rPr>
              <w:b/>
              <w:bCs/>
              <w:lang w:val="es-ES"/>
            </w:rPr>
            <w:fldChar w:fldCharType="begin"/>
          </w:r>
          <w:r w:rsidRPr="00D1018F">
            <w:rPr>
              <w:b/>
              <w:bCs/>
              <w:lang w:val="es-ES"/>
            </w:rPr>
            <w:instrText xml:space="preserve"> TOC \o "1-3" \h \z \u </w:instrText>
          </w:r>
          <w:r w:rsidRPr="00D1018F">
            <w:rPr>
              <w:b/>
              <w:bCs/>
              <w:lang w:val="es-ES"/>
            </w:rPr>
            <w:fldChar w:fldCharType="separate"/>
          </w:r>
          <w:hyperlink w:anchor="_Toc202418132" w:history="1">
            <w:r w:rsidR="00D1018F" w:rsidRPr="00D1018F">
              <w:rPr>
                <w:rStyle w:val="Hipervnculo"/>
                <w:noProof/>
                <w:color w:val="auto"/>
              </w:rPr>
              <w:t>ANTECEDENTES</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_Toc202418132 \h </w:instrText>
            </w:r>
            <w:r w:rsidR="00D1018F" w:rsidRPr="00D1018F">
              <w:rPr>
                <w:noProof/>
                <w:webHidden/>
              </w:rPr>
            </w:r>
            <w:r w:rsidR="00D1018F" w:rsidRPr="00D1018F">
              <w:rPr>
                <w:noProof/>
                <w:webHidden/>
              </w:rPr>
              <w:fldChar w:fldCharType="separate"/>
            </w:r>
            <w:r w:rsidR="00484ACD">
              <w:rPr>
                <w:noProof/>
                <w:webHidden/>
              </w:rPr>
              <w:t>1</w:t>
            </w:r>
            <w:r w:rsidR="00D1018F" w:rsidRPr="00D1018F">
              <w:rPr>
                <w:noProof/>
                <w:webHidden/>
              </w:rPr>
              <w:fldChar w:fldCharType="end"/>
            </w:r>
          </w:hyperlink>
        </w:p>
        <w:p w14:paraId="70D507EF" w14:textId="094B657C" w:rsidR="00D1018F" w:rsidRPr="00D1018F" w:rsidRDefault="007F2CB9" w:rsidP="00D1018F">
          <w:pPr>
            <w:pStyle w:val="TDC2"/>
            <w:tabs>
              <w:tab w:val="right" w:leader="dot" w:pos="9034"/>
            </w:tabs>
            <w:rPr>
              <w:rFonts w:asciiTheme="minorHAnsi" w:eastAsiaTheme="minorEastAsia" w:hAnsiTheme="minorHAnsi" w:cstheme="minorBidi"/>
              <w:noProof/>
            </w:rPr>
          </w:pPr>
          <w:hyperlink w:anchor="_Toc202418133" w:history="1">
            <w:r w:rsidR="00D1018F" w:rsidRPr="00D1018F">
              <w:rPr>
                <w:rStyle w:val="Hipervnculo"/>
                <w:noProof/>
                <w:color w:val="auto"/>
              </w:rPr>
              <w:t>DE LA SOLICITUD DE INFORMACIÓN</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_Toc202418133 \h </w:instrText>
            </w:r>
            <w:r w:rsidR="00D1018F" w:rsidRPr="00D1018F">
              <w:rPr>
                <w:noProof/>
                <w:webHidden/>
              </w:rPr>
            </w:r>
            <w:r w:rsidR="00D1018F" w:rsidRPr="00D1018F">
              <w:rPr>
                <w:noProof/>
                <w:webHidden/>
              </w:rPr>
              <w:fldChar w:fldCharType="separate"/>
            </w:r>
            <w:r w:rsidR="00484ACD">
              <w:rPr>
                <w:noProof/>
                <w:webHidden/>
              </w:rPr>
              <w:t>1</w:t>
            </w:r>
            <w:r w:rsidR="00D1018F" w:rsidRPr="00D1018F">
              <w:rPr>
                <w:noProof/>
                <w:webHidden/>
              </w:rPr>
              <w:fldChar w:fldCharType="end"/>
            </w:r>
          </w:hyperlink>
        </w:p>
        <w:p w14:paraId="379E4686" w14:textId="0EAE81F2"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34" w:history="1">
            <w:r w:rsidR="00D1018F" w:rsidRPr="00D1018F">
              <w:rPr>
                <w:rStyle w:val="Hipervnculo"/>
                <w:noProof/>
                <w:color w:val="auto"/>
              </w:rPr>
              <w:t>a) Solicitud de información</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_Toc202418134 \h </w:instrText>
            </w:r>
            <w:r w:rsidR="00D1018F" w:rsidRPr="00D1018F">
              <w:rPr>
                <w:noProof/>
                <w:webHidden/>
              </w:rPr>
            </w:r>
            <w:r w:rsidR="00D1018F" w:rsidRPr="00D1018F">
              <w:rPr>
                <w:noProof/>
                <w:webHidden/>
              </w:rPr>
              <w:fldChar w:fldCharType="separate"/>
            </w:r>
            <w:r w:rsidR="00484ACD">
              <w:rPr>
                <w:noProof/>
                <w:webHidden/>
              </w:rPr>
              <w:t>1</w:t>
            </w:r>
            <w:r w:rsidR="00D1018F" w:rsidRPr="00D1018F">
              <w:rPr>
                <w:noProof/>
                <w:webHidden/>
              </w:rPr>
              <w:fldChar w:fldCharType="end"/>
            </w:r>
          </w:hyperlink>
        </w:p>
        <w:p w14:paraId="4E044F55" w14:textId="20341B4F"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35" w:history="1">
            <w:r w:rsidR="00D1018F" w:rsidRPr="00D1018F">
              <w:rPr>
                <w:rStyle w:val="Hipervnculo"/>
                <w:noProof/>
                <w:color w:val="auto"/>
              </w:rPr>
              <w:t>b) Turno de la solicitud de información</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_Toc202418135 \h </w:instrText>
            </w:r>
            <w:r w:rsidR="00D1018F" w:rsidRPr="00D1018F">
              <w:rPr>
                <w:noProof/>
                <w:webHidden/>
              </w:rPr>
            </w:r>
            <w:r w:rsidR="00D1018F" w:rsidRPr="00D1018F">
              <w:rPr>
                <w:noProof/>
                <w:webHidden/>
              </w:rPr>
              <w:fldChar w:fldCharType="separate"/>
            </w:r>
            <w:r w:rsidR="00484ACD">
              <w:rPr>
                <w:noProof/>
                <w:webHidden/>
              </w:rPr>
              <w:t>1</w:t>
            </w:r>
            <w:r w:rsidR="00D1018F" w:rsidRPr="00D1018F">
              <w:rPr>
                <w:noProof/>
                <w:webHidden/>
              </w:rPr>
              <w:fldChar w:fldCharType="end"/>
            </w:r>
          </w:hyperlink>
        </w:p>
        <w:p w14:paraId="166442C1" w14:textId="5522914D"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36" w:history="1">
            <w:r w:rsidR="00D1018F" w:rsidRPr="00D1018F">
              <w:rPr>
                <w:rStyle w:val="Hipervnculo"/>
                <w:noProof/>
                <w:color w:val="auto"/>
              </w:rPr>
              <w:t>c) Prórroga</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_Toc202418136 \h </w:instrText>
            </w:r>
            <w:r w:rsidR="00D1018F" w:rsidRPr="00D1018F">
              <w:rPr>
                <w:noProof/>
                <w:webHidden/>
              </w:rPr>
            </w:r>
            <w:r w:rsidR="00D1018F" w:rsidRPr="00D1018F">
              <w:rPr>
                <w:noProof/>
                <w:webHidden/>
              </w:rPr>
              <w:fldChar w:fldCharType="separate"/>
            </w:r>
            <w:r w:rsidR="00484ACD">
              <w:rPr>
                <w:noProof/>
                <w:webHidden/>
              </w:rPr>
              <w:t>2</w:t>
            </w:r>
            <w:r w:rsidR="00D1018F" w:rsidRPr="00D1018F">
              <w:rPr>
                <w:noProof/>
                <w:webHidden/>
              </w:rPr>
              <w:fldChar w:fldCharType="end"/>
            </w:r>
          </w:hyperlink>
        </w:p>
        <w:p w14:paraId="1F61958C" w14:textId="3691F516"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37" w:history="1">
            <w:r w:rsidR="00D1018F" w:rsidRPr="00D1018F">
              <w:rPr>
                <w:rStyle w:val="Hipervnculo"/>
                <w:noProof/>
                <w:color w:val="auto"/>
              </w:rPr>
              <w:t>d) Respuesta del Sujeto Obligado</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_Toc202418137 \h </w:instrText>
            </w:r>
            <w:r w:rsidR="00D1018F" w:rsidRPr="00D1018F">
              <w:rPr>
                <w:noProof/>
                <w:webHidden/>
              </w:rPr>
            </w:r>
            <w:r w:rsidR="00D1018F" w:rsidRPr="00D1018F">
              <w:rPr>
                <w:noProof/>
                <w:webHidden/>
              </w:rPr>
              <w:fldChar w:fldCharType="separate"/>
            </w:r>
            <w:r w:rsidR="00484ACD">
              <w:rPr>
                <w:noProof/>
                <w:webHidden/>
              </w:rPr>
              <w:t>3</w:t>
            </w:r>
            <w:r w:rsidR="00D1018F" w:rsidRPr="00D1018F">
              <w:rPr>
                <w:noProof/>
                <w:webHidden/>
              </w:rPr>
              <w:fldChar w:fldCharType="end"/>
            </w:r>
          </w:hyperlink>
        </w:p>
        <w:p w14:paraId="7DB2CE82" w14:textId="3A9E5C99" w:rsidR="00D1018F" w:rsidRPr="00D1018F" w:rsidRDefault="007F2CB9" w:rsidP="00D1018F">
          <w:pPr>
            <w:pStyle w:val="TDC2"/>
            <w:tabs>
              <w:tab w:val="right" w:leader="dot" w:pos="9034"/>
            </w:tabs>
            <w:rPr>
              <w:rFonts w:asciiTheme="minorHAnsi" w:eastAsiaTheme="minorEastAsia" w:hAnsiTheme="minorHAnsi" w:cstheme="minorBidi"/>
              <w:noProof/>
            </w:rPr>
          </w:pPr>
          <w:hyperlink w:anchor="_Toc202418138" w:history="1">
            <w:r w:rsidR="00D1018F" w:rsidRPr="00D1018F">
              <w:rPr>
                <w:rStyle w:val="Hipervnculo"/>
                <w:noProof/>
                <w:color w:val="auto"/>
              </w:rPr>
              <w:t>DEL RECURSO DE REVISIÓN</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_Toc202418138 \h </w:instrText>
            </w:r>
            <w:r w:rsidR="00D1018F" w:rsidRPr="00D1018F">
              <w:rPr>
                <w:noProof/>
                <w:webHidden/>
              </w:rPr>
            </w:r>
            <w:r w:rsidR="00D1018F" w:rsidRPr="00D1018F">
              <w:rPr>
                <w:noProof/>
                <w:webHidden/>
              </w:rPr>
              <w:fldChar w:fldCharType="separate"/>
            </w:r>
            <w:r w:rsidR="00484ACD">
              <w:rPr>
                <w:noProof/>
                <w:webHidden/>
              </w:rPr>
              <w:t>4</w:t>
            </w:r>
            <w:r w:rsidR="00D1018F" w:rsidRPr="00D1018F">
              <w:rPr>
                <w:noProof/>
                <w:webHidden/>
              </w:rPr>
              <w:fldChar w:fldCharType="end"/>
            </w:r>
          </w:hyperlink>
        </w:p>
        <w:p w14:paraId="4FA94956" w14:textId="3B3A07CC"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39" w:history="1">
            <w:r w:rsidR="00D1018F" w:rsidRPr="00D1018F">
              <w:rPr>
                <w:rStyle w:val="Hipervnculo"/>
                <w:noProof/>
                <w:color w:val="auto"/>
              </w:rPr>
              <w:t>a) Interposición del Recurso de Revisión</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_Toc202418139 \h </w:instrText>
            </w:r>
            <w:r w:rsidR="00D1018F" w:rsidRPr="00D1018F">
              <w:rPr>
                <w:noProof/>
                <w:webHidden/>
              </w:rPr>
            </w:r>
            <w:r w:rsidR="00D1018F" w:rsidRPr="00D1018F">
              <w:rPr>
                <w:noProof/>
                <w:webHidden/>
              </w:rPr>
              <w:fldChar w:fldCharType="separate"/>
            </w:r>
            <w:r w:rsidR="00484ACD">
              <w:rPr>
                <w:noProof/>
                <w:webHidden/>
              </w:rPr>
              <w:t>4</w:t>
            </w:r>
            <w:r w:rsidR="00D1018F" w:rsidRPr="00D1018F">
              <w:rPr>
                <w:noProof/>
                <w:webHidden/>
              </w:rPr>
              <w:fldChar w:fldCharType="end"/>
            </w:r>
          </w:hyperlink>
        </w:p>
        <w:p w14:paraId="2C6F48AD" w14:textId="19CE7B3E"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40" w:history="1">
            <w:r w:rsidR="00D1018F" w:rsidRPr="00D1018F">
              <w:rPr>
                <w:rStyle w:val="Hipervnculo"/>
                <w:noProof/>
                <w:color w:val="auto"/>
              </w:rPr>
              <w:t>b) Turno del Recurso de Revisión</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_Toc202418140 \h </w:instrText>
            </w:r>
            <w:r w:rsidR="00D1018F" w:rsidRPr="00D1018F">
              <w:rPr>
                <w:noProof/>
                <w:webHidden/>
              </w:rPr>
            </w:r>
            <w:r w:rsidR="00D1018F" w:rsidRPr="00D1018F">
              <w:rPr>
                <w:noProof/>
                <w:webHidden/>
              </w:rPr>
              <w:fldChar w:fldCharType="separate"/>
            </w:r>
            <w:r w:rsidR="00484ACD">
              <w:rPr>
                <w:noProof/>
                <w:webHidden/>
              </w:rPr>
              <w:t>5</w:t>
            </w:r>
            <w:r w:rsidR="00D1018F" w:rsidRPr="00D1018F">
              <w:rPr>
                <w:noProof/>
                <w:webHidden/>
              </w:rPr>
              <w:fldChar w:fldCharType="end"/>
            </w:r>
          </w:hyperlink>
        </w:p>
        <w:p w14:paraId="4443E5EC" w14:textId="434232F4"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41" w:history="1">
            <w:r w:rsidR="00D1018F" w:rsidRPr="00D1018F">
              <w:rPr>
                <w:rStyle w:val="Hipervnculo"/>
                <w:noProof/>
                <w:color w:val="auto"/>
              </w:rPr>
              <w:t>c) Admisión del Recurso de Revisión</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_Toc202418141 \h </w:instrText>
            </w:r>
            <w:r w:rsidR="00D1018F" w:rsidRPr="00D1018F">
              <w:rPr>
                <w:noProof/>
                <w:webHidden/>
              </w:rPr>
            </w:r>
            <w:r w:rsidR="00D1018F" w:rsidRPr="00D1018F">
              <w:rPr>
                <w:noProof/>
                <w:webHidden/>
              </w:rPr>
              <w:fldChar w:fldCharType="separate"/>
            </w:r>
            <w:r w:rsidR="00484ACD">
              <w:rPr>
                <w:noProof/>
                <w:webHidden/>
              </w:rPr>
              <w:t>5</w:t>
            </w:r>
            <w:r w:rsidR="00D1018F" w:rsidRPr="00D1018F">
              <w:rPr>
                <w:noProof/>
                <w:webHidden/>
              </w:rPr>
              <w:fldChar w:fldCharType="end"/>
            </w:r>
          </w:hyperlink>
        </w:p>
        <w:p w14:paraId="7BD856BD" w14:textId="3DA36498"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42" w:history="1">
            <w:r w:rsidR="00D1018F" w:rsidRPr="00D1018F">
              <w:rPr>
                <w:rStyle w:val="Hipervnculo"/>
                <w:noProof/>
                <w:color w:val="auto"/>
              </w:rPr>
              <w:t>d) Informe Justificado del Sujeto Obligado</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_Toc202418142 \h </w:instrText>
            </w:r>
            <w:r w:rsidR="00D1018F" w:rsidRPr="00D1018F">
              <w:rPr>
                <w:noProof/>
                <w:webHidden/>
              </w:rPr>
            </w:r>
            <w:r w:rsidR="00D1018F" w:rsidRPr="00D1018F">
              <w:rPr>
                <w:noProof/>
                <w:webHidden/>
              </w:rPr>
              <w:fldChar w:fldCharType="separate"/>
            </w:r>
            <w:r w:rsidR="00484ACD">
              <w:rPr>
                <w:noProof/>
                <w:webHidden/>
              </w:rPr>
              <w:t>5</w:t>
            </w:r>
            <w:r w:rsidR="00D1018F" w:rsidRPr="00D1018F">
              <w:rPr>
                <w:noProof/>
                <w:webHidden/>
              </w:rPr>
              <w:fldChar w:fldCharType="end"/>
            </w:r>
          </w:hyperlink>
        </w:p>
        <w:p w14:paraId="35847FDB" w14:textId="545F99CD"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43" w:history="1">
            <w:r w:rsidR="00D1018F" w:rsidRPr="00D1018F">
              <w:rPr>
                <w:rStyle w:val="Hipervnculo"/>
                <w:noProof/>
                <w:color w:val="auto"/>
              </w:rPr>
              <w:t>e) Manifestaciones de la Parte Recurrente</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_Toc202418143 \h </w:instrText>
            </w:r>
            <w:r w:rsidR="00D1018F" w:rsidRPr="00D1018F">
              <w:rPr>
                <w:noProof/>
                <w:webHidden/>
              </w:rPr>
            </w:r>
            <w:r w:rsidR="00D1018F" w:rsidRPr="00D1018F">
              <w:rPr>
                <w:noProof/>
                <w:webHidden/>
              </w:rPr>
              <w:fldChar w:fldCharType="separate"/>
            </w:r>
            <w:r w:rsidR="00484ACD">
              <w:rPr>
                <w:noProof/>
                <w:webHidden/>
              </w:rPr>
              <w:t>6</w:t>
            </w:r>
            <w:r w:rsidR="00D1018F" w:rsidRPr="00D1018F">
              <w:rPr>
                <w:noProof/>
                <w:webHidden/>
              </w:rPr>
              <w:fldChar w:fldCharType="end"/>
            </w:r>
          </w:hyperlink>
        </w:p>
        <w:p w14:paraId="3729BD51" w14:textId="2EDB7A4D"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44" w:history="1">
            <w:r w:rsidR="00D1018F" w:rsidRPr="00D1018F">
              <w:rPr>
                <w:rStyle w:val="Hipervnculo"/>
                <w:noProof/>
                <w:color w:val="auto"/>
              </w:rPr>
              <w:t>f) Cierre de instrucción</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_Toc202418144 \h </w:instrText>
            </w:r>
            <w:r w:rsidR="00D1018F" w:rsidRPr="00D1018F">
              <w:rPr>
                <w:noProof/>
                <w:webHidden/>
              </w:rPr>
            </w:r>
            <w:r w:rsidR="00D1018F" w:rsidRPr="00D1018F">
              <w:rPr>
                <w:noProof/>
                <w:webHidden/>
              </w:rPr>
              <w:fldChar w:fldCharType="separate"/>
            </w:r>
            <w:r w:rsidR="00484ACD">
              <w:rPr>
                <w:noProof/>
                <w:webHidden/>
              </w:rPr>
              <w:t>6</w:t>
            </w:r>
            <w:r w:rsidR="00D1018F" w:rsidRPr="00D1018F">
              <w:rPr>
                <w:noProof/>
                <w:webHidden/>
              </w:rPr>
              <w:fldChar w:fldCharType="end"/>
            </w:r>
          </w:hyperlink>
        </w:p>
        <w:p w14:paraId="57508E36" w14:textId="1172AA56"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45" w:history="1">
            <w:r w:rsidR="00D1018F" w:rsidRPr="00D1018F">
              <w:rPr>
                <w:rStyle w:val="Hipervnculo"/>
                <w:noProof/>
                <w:color w:val="auto"/>
              </w:rPr>
              <w:t>g) Ampliación de Plazo para Resolver</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_Toc202418145 \h </w:instrText>
            </w:r>
            <w:r w:rsidR="00D1018F" w:rsidRPr="00D1018F">
              <w:rPr>
                <w:noProof/>
                <w:webHidden/>
              </w:rPr>
            </w:r>
            <w:r w:rsidR="00D1018F" w:rsidRPr="00D1018F">
              <w:rPr>
                <w:noProof/>
                <w:webHidden/>
              </w:rPr>
              <w:fldChar w:fldCharType="separate"/>
            </w:r>
            <w:r w:rsidR="00484ACD">
              <w:rPr>
                <w:noProof/>
                <w:webHidden/>
              </w:rPr>
              <w:t>6</w:t>
            </w:r>
            <w:r w:rsidR="00D1018F" w:rsidRPr="00D1018F">
              <w:rPr>
                <w:noProof/>
                <w:webHidden/>
              </w:rPr>
              <w:fldChar w:fldCharType="end"/>
            </w:r>
          </w:hyperlink>
        </w:p>
        <w:p w14:paraId="486C99E3" w14:textId="37BB1F6C" w:rsidR="00D1018F" w:rsidRPr="00D1018F" w:rsidRDefault="007F2CB9" w:rsidP="00D1018F">
          <w:pPr>
            <w:pStyle w:val="TDC1"/>
            <w:tabs>
              <w:tab w:val="right" w:leader="dot" w:pos="9034"/>
            </w:tabs>
            <w:rPr>
              <w:rFonts w:asciiTheme="minorHAnsi" w:eastAsiaTheme="minorEastAsia" w:hAnsiTheme="minorHAnsi" w:cstheme="minorBidi"/>
              <w:noProof/>
            </w:rPr>
          </w:pPr>
          <w:hyperlink w:anchor="_Toc202418146" w:history="1">
            <w:r w:rsidR="00D1018F" w:rsidRPr="00D1018F">
              <w:rPr>
                <w:rStyle w:val="Hipervnculo"/>
                <w:noProof/>
                <w:color w:val="auto"/>
              </w:rPr>
              <w:t>CONSIDERANDOS</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_Toc202418146 \h </w:instrText>
            </w:r>
            <w:r w:rsidR="00D1018F" w:rsidRPr="00D1018F">
              <w:rPr>
                <w:noProof/>
                <w:webHidden/>
              </w:rPr>
            </w:r>
            <w:r w:rsidR="00D1018F" w:rsidRPr="00D1018F">
              <w:rPr>
                <w:noProof/>
                <w:webHidden/>
              </w:rPr>
              <w:fldChar w:fldCharType="separate"/>
            </w:r>
            <w:r w:rsidR="00484ACD">
              <w:rPr>
                <w:noProof/>
                <w:webHidden/>
              </w:rPr>
              <w:t>7</w:t>
            </w:r>
            <w:r w:rsidR="00D1018F" w:rsidRPr="00D1018F">
              <w:rPr>
                <w:noProof/>
                <w:webHidden/>
              </w:rPr>
              <w:fldChar w:fldCharType="end"/>
            </w:r>
          </w:hyperlink>
        </w:p>
        <w:p w14:paraId="0958855E" w14:textId="0F2F371B" w:rsidR="00D1018F" w:rsidRPr="00D1018F" w:rsidRDefault="007F2CB9" w:rsidP="00D1018F">
          <w:pPr>
            <w:pStyle w:val="TDC2"/>
            <w:tabs>
              <w:tab w:val="right" w:leader="dot" w:pos="9034"/>
            </w:tabs>
            <w:rPr>
              <w:rFonts w:asciiTheme="minorHAnsi" w:eastAsiaTheme="minorEastAsia" w:hAnsiTheme="minorHAnsi" w:cstheme="minorBidi"/>
              <w:noProof/>
            </w:rPr>
          </w:pPr>
          <w:hyperlink w:anchor="_Toc202418147" w:history="1">
            <w:r w:rsidR="00D1018F" w:rsidRPr="00D1018F">
              <w:rPr>
                <w:rStyle w:val="Hipervnculo"/>
                <w:noProof/>
                <w:color w:val="auto"/>
              </w:rPr>
              <w:t>PRIMERO. Procedibilidad</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_Toc202418147 \h </w:instrText>
            </w:r>
            <w:r w:rsidR="00D1018F" w:rsidRPr="00D1018F">
              <w:rPr>
                <w:noProof/>
                <w:webHidden/>
              </w:rPr>
            </w:r>
            <w:r w:rsidR="00D1018F" w:rsidRPr="00D1018F">
              <w:rPr>
                <w:noProof/>
                <w:webHidden/>
              </w:rPr>
              <w:fldChar w:fldCharType="separate"/>
            </w:r>
            <w:r w:rsidR="00484ACD">
              <w:rPr>
                <w:noProof/>
                <w:webHidden/>
              </w:rPr>
              <w:t>7</w:t>
            </w:r>
            <w:r w:rsidR="00D1018F" w:rsidRPr="00D1018F">
              <w:rPr>
                <w:noProof/>
                <w:webHidden/>
              </w:rPr>
              <w:fldChar w:fldCharType="end"/>
            </w:r>
          </w:hyperlink>
        </w:p>
        <w:p w14:paraId="240109D8" w14:textId="5ACAFFA0"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48" w:history="1">
            <w:r w:rsidR="00D1018F" w:rsidRPr="00D1018F">
              <w:rPr>
                <w:rStyle w:val="Hipervnculo"/>
                <w:noProof/>
                <w:color w:val="auto"/>
              </w:rPr>
              <w:t>a) Competencia del Instituto</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_Toc202418148 \h </w:instrText>
            </w:r>
            <w:r w:rsidR="00D1018F" w:rsidRPr="00D1018F">
              <w:rPr>
                <w:noProof/>
                <w:webHidden/>
              </w:rPr>
            </w:r>
            <w:r w:rsidR="00D1018F" w:rsidRPr="00D1018F">
              <w:rPr>
                <w:noProof/>
                <w:webHidden/>
              </w:rPr>
              <w:fldChar w:fldCharType="separate"/>
            </w:r>
            <w:r w:rsidR="00484ACD">
              <w:rPr>
                <w:noProof/>
                <w:webHidden/>
              </w:rPr>
              <w:t>7</w:t>
            </w:r>
            <w:r w:rsidR="00D1018F" w:rsidRPr="00D1018F">
              <w:rPr>
                <w:noProof/>
                <w:webHidden/>
              </w:rPr>
              <w:fldChar w:fldCharType="end"/>
            </w:r>
          </w:hyperlink>
        </w:p>
        <w:p w14:paraId="56E35AC4" w14:textId="34D0A2BB"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49" w:history="1">
            <w:r w:rsidR="00D1018F" w:rsidRPr="00D1018F">
              <w:rPr>
                <w:rStyle w:val="Hipervnculo"/>
                <w:noProof/>
                <w:color w:val="auto"/>
              </w:rPr>
              <w:t>b) Legitimidad de la parte recurrente</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_Toc202418149 \h </w:instrText>
            </w:r>
            <w:r w:rsidR="00D1018F" w:rsidRPr="00D1018F">
              <w:rPr>
                <w:noProof/>
                <w:webHidden/>
              </w:rPr>
            </w:r>
            <w:r w:rsidR="00D1018F" w:rsidRPr="00D1018F">
              <w:rPr>
                <w:noProof/>
                <w:webHidden/>
              </w:rPr>
              <w:fldChar w:fldCharType="separate"/>
            </w:r>
            <w:r w:rsidR="00484ACD">
              <w:rPr>
                <w:noProof/>
                <w:webHidden/>
              </w:rPr>
              <w:t>7</w:t>
            </w:r>
            <w:r w:rsidR="00D1018F" w:rsidRPr="00D1018F">
              <w:rPr>
                <w:noProof/>
                <w:webHidden/>
              </w:rPr>
              <w:fldChar w:fldCharType="end"/>
            </w:r>
          </w:hyperlink>
        </w:p>
        <w:p w14:paraId="6B1DECFD" w14:textId="034D0CCB"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50" w:history="1">
            <w:r w:rsidR="00D1018F" w:rsidRPr="00D1018F">
              <w:rPr>
                <w:rStyle w:val="Hipervnculo"/>
                <w:noProof/>
                <w:color w:val="auto"/>
              </w:rPr>
              <w:t>c) Plazo para interponer el recurso</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_Toc202418150 \h </w:instrText>
            </w:r>
            <w:r w:rsidR="00D1018F" w:rsidRPr="00D1018F">
              <w:rPr>
                <w:noProof/>
                <w:webHidden/>
              </w:rPr>
            </w:r>
            <w:r w:rsidR="00D1018F" w:rsidRPr="00D1018F">
              <w:rPr>
                <w:noProof/>
                <w:webHidden/>
              </w:rPr>
              <w:fldChar w:fldCharType="separate"/>
            </w:r>
            <w:r w:rsidR="00484ACD">
              <w:rPr>
                <w:noProof/>
                <w:webHidden/>
              </w:rPr>
              <w:t>7</w:t>
            </w:r>
            <w:r w:rsidR="00D1018F" w:rsidRPr="00D1018F">
              <w:rPr>
                <w:noProof/>
                <w:webHidden/>
              </w:rPr>
              <w:fldChar w:fldCharType="end"/>
            </w:r>
          </w:hyperlink>
        </w:p>
        <w:p w14:paraId="7619934D" w14:textId="733B4197"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51" w:history="1">
            <w:r w:rsidR="00D1018F" w:rsidRPr="00D1018F">
              <w:rPr>
                <w:rStyle w:val="Hipervnculo"/>
                <w:noProof/>
                <w:color w:val="auto"/>
              </w:rPr>
              <w:t>d) Causal de Procedencia</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_Toc202418151 \h </w:instrText>
            </w:r>
            <w:r w:rsidR="00D1018F" w:rsidRPr="00D1018F">
              <w:rPr>
                <w:noProof/>
                <w:webHidden/>
              </w:rPr>
            </w:r>
            <w:r w:rsidR="00D1018F" w:rsidRPr="00D1018F">
              <w:rPr>
                <w:noProof/>
                <w:webHidden/>
              </w:rPr>
              <w:fldChar w:fldCharType="separate"/>
            </w:r>
            <w:r w:rsidR="00484ACD">
              <w:rPr>
                <w:noProof/>
                <w:webHidden/>
              </w:rPr>
              <w:t>9</w:t>
            </w:r>
            <w:r w:rsidR="00D1018F" w:rsidRPr="00D1018F">
              <w:rPr>
                <w:noProof/>
                <w:webHidden/>
              </w:rPr>
              <w:fldChar w:fldCharType="end"/>
            </w:r>
          </w:hyperlink>
        </w:p>
        <w:p w14:paraId="4E34F8AB" w14:textId="3462E885"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52" w:history="1">
            <w:r w:rsidR="00D1018F" w:rsidRPr="00D1018F">
              <w:rPr>
                <w:rStyle w:val="Hipervnculo"/>
                <w:noProof/>
                <w:color w:val="auto"/>
              </w:rPr>
              <w:t>e) Requisitos formales para la interposición del recurso</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_Toc202418152 \h </w:instrText>
            </w:r>
            <w:r w:rsidR="00D1018F" w:rsidRPr="00D1018F">
              <w:rPr>
                <w:noProof/>
                <w:webHidden/>
              </w:rPr>
            </w:r>
            <w:r w:rsidR="00D1018F" w:rsidRPr="00D1018F">
              <w:rPr>
                <w:noProof/>
                <w:webHidden/>
              </w:rPr>
              <w:fldChar w:fldCharType="separate"/>
            </w:r>
            <w:r w:rsidR="00484ACD">
              <w:rPr>
                <w:noProof/>
                <w:webHidden/>
              </w:rPr>
              <w:t>9</w:t>
            </w:r>
            <w:r w:rsidR="00D1018F" w:rsidRPr="00D1018F">
              <w:rPr>
                <w:noProof/>
                <w:webHidden/>
              </w:rPr>
              <w:fldChar w:fldCharType="end"/>
            </w:r>
          </w:hyperlink>
        </w:p>
        <w:p w14:paraId="61349029" w14:textId="7726C6E0" w:rsidR="00D1018F" w:rsidRPr="00D1018F" w:rsidRDefault="007F2CB9" w:rsidP="00D1018F">
          <w:pPr>
            <w:pStyle w:val="TDC2"/>
            <w:tabs>
              <w:tab w:val="right" w:leader="dot" w:pos="9034"/>
            </w:tabs>
            <w:rPr>
              <w:rFonts w:asciiTheme="minorHAnsi" w:eastAsiaTheme="minorEastAsia" w:hAnsiTheme="minorHAnsi" w:cstheme="minorBidi"/>
              <w:noProof/>
            </w:rPr>
          </w:pPr>
          <w:hyperlink w:anchor="_Toc202418153" w:history="1">
            <w:r w:rsidR="00D1018F" w:rsidRPr="00D1018F">
              <w:rPr>
                <w:rStyle w:val="Hipervnculo"/>
                <w:noProof/>
                <w:color w:val="auto"/>
              </w:rPr>
              <w:t>SEGUNDO. Estudio de Fondo</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_Toc202418153 \h </w:instrText>
            </w:r>
            <w:r w:rsidR="00D1018F" w:rsidRPr="00D1018F">
              <w:rPr>
                <w:noProof/>
                <w:webHidden/>
              </w:rPr>
            </w:r>
            <w:r w:rsidR="00D1018F" w:rsidRPr="00D1018F">
              <w:rPr>
                <w:noProof/>
                <w:webHidden/>
              </w:rPr>
              <w:fldChar w:fldCharType="separate"/>
            </w:r>
            <w:r w:rsidR="00484ACD">
              <w:rPr>
                <w:noProof/>
                <w:webHidden/>
              </w:rPr>
              <w:t>10</w:t>
            </w:r>
            <w:r w:rsidR="00D1018F" w:rsidRPr="00D1018F">
              <w:rPr>
                <w:noProof/>
                <w:webHidden/>
              </w:rPr>
              <w:fldChar w:fldCharType="end"/>
            </w:r>
          </w:hyperlink>
        </w:p>
        <w:p w14:paraId="388B5F25" w14:textId="23ED5E35"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54" w:history="1">
            <w:r w:rsidR="00D1018F" w:rsidRPr="00D1018F">
              <w:rPr>
                <w:rStyle w:val="Hipervnculo"/>
                <w:noProof/>
                <w:color w:val="auto"/>
              </w:rPr>
              <w:t>a) Mandato de transparencia y responsabilidad del Sujeto Obligado</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_Toc202418154 \h </w:instrText>
            </w:r>
            <w:r w:rsidR="00D1018F" w:rsidRPr="00D1018F">
              <w:rPr>
                <w:noProof/>
                <w:webHidden/>
              </w:rPr>
            </w:r>
            <w:r w:rsidR="00D1018F" w:rsidRPr="00D1018F">
              <w:rPr>
                <w:noProof/>
                <w:webHidden/>
              </w:rPr>
              <w:fldChar w:fldCharType="separate"/>
            </w:r>
            <w:r w:rsidR="00484ACD">
              <w:rPr>
                <w:noProof/>
                <w:webHidden/>
              </w:rPr>
              <w:t>10</w:t>
            </w:r>
            <w:r w:rsidR="00D1018F" w:rsidRPr="00D1018F">
              <w:rPr>
                <w:noProof/>
                <w:webHidden/>
              </w:rPr>
              <w:fldChar w:fldCharType="end"/>
            </w:r>
          </w:hyperlink>
        </w:p>
        <w:p w14:paraId="55CDD7A5" w14:textId="26964433"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55" w:history="1">
            <w:r w:rsidR="00D1018F" w:rsidRPr="00D1018F">
              <w:rPr>
                <w:rStyle w:val="Hipervnculo"/>
                <w:noProof/>
                <w:color w:val="auto"/>
              </w:rPr>
              <w:t>b) Controversia a resolver</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_Toc202418155 \h </w:instrText>
            </w:r>
            <w:r w:rsidR="00D1018F" w:rsidRPr="00D1018F">
              <w:rPr>
                <w:noProof/>
                <w:webHidden/>
              </w:rPr>
            </w:r>
            <w:r w:rsidR="00D1018F" w:rsidRPr="00D1018F">
              <w:rPr>
                <w:noProof/>
                <w:webHidden/>
              </w:rPr>
              <w:fldChar w:fldCharType="separate"/>
            </w:r>
            <w:r w:rsidR="00484ACD">
              <w:rPr>
                <w:noProof/>
                <w:webHidden/>
              </w:rPr>
              <w:t>12</w:t>
            </w:r>
            <w:r w:rsidR="00D1018F" w:rsidRPr="00D1018F">
              <w:rPr>
                <w:noProof/>
                <w:webHidden/>
              </w:rPr>
              <w:fldChar w:fldCharType="end"/>
            </w:r>
          </w:hyperlink>
        </w:p>
        <w:p w14:paraId="54D6C08A" w14:textId="251853D2"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56" w:history="1">
            <w:r w:rsidR="00D1018F" w:rsidRPr="00D1018F">
              <w:rPr>
                <w:rStyle w:val="Hipervnculo"/>
                <w:noProof/>
                <w:color w:val="auto"/>
              </w:rPr>
              <w:t>c) Estudio de la controversia</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_Toc202418156 \h </w:instrText>
            </w:r>
            <w:r w:rsidR="00D1018F" w:rsidRPr="00D1018F">
              <w:rPr>
                <w:noProof/>
                <w:webHidden/>
              </w:rPr>
            </w:r>
            <w:r w:rsidR="00D1018F" w:rsidRPr="00D1018F">
              <w:rPr>
                <w:noProof/>
                <w:webHidden/>
              </w:rPr>
              <w:fldChar w:fldCharType="separate"/>
            </w:r>
            <w:r w:rsidR="00484ACD">
              <w:rPr>
                <w:noProof/>
                <w:webHidden/>
              </w:rPr>
              <w:t>13</w:t>
            </w:r>
            <w:r w:rsidR="00D1018F" w:rsidRPr="00D1018F">
              <w:rPr>
                <w:noProof/>
                <w:webHidden/>
              </w:rPr>
              <w:fldChar w:fldCharType="end"/>
            </w:r>
          </w:hyperlink>
        </w:p>
        <w:p w14:paraId="4DA541AD" w14:textId="08ECE598" w:rsidR="00D1018F" w:rsidRPr="00D1018F" w:rsidRDefault="007F2CB9" w:rsidP="00D1018F">
          <w:pPr>
            <w:pStyle w:val="TDC3"/>
            <w:tabs>
              <w:tab w:val="right" w:leader="dot" w:pos="9034"/>
            </w:tabs>
            <w:rPr>
              <w:rFonts w:asciiTheme="minorHAnsi" w:eastAsiaTheme="minorEastAsia" w:hAnsiTheme="minorHAnsi" w:cstheme="minorBidi"/>
              <w:noProof/>
            </w:rPr>
          </w:pPr>
          <w:hyperlink w:anchor="_Toc202418157" w:history="1">
            <w:r w:rsidR="00D1018F" w:rsidRPr="00D1018F">
              <w:rPr>
                <w:rStyle w:val="Hipervnculo"/>
                <w:noProof/>
                <w:color w:val="auto"/>
              </w:rPr>
              <w:t>d) Conclusión</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_Toc202418157 \h </w:instrText>
            </w:r>
            <w:r w:rsidR="00D1018F" w:rsidRPr="00D1018F">
              <w:rPr>
                <w:noProof/>
                <w:webHidden/>
              </w:rPr>
            </w:r>
            <w:r w:rsidR="00D1018F" w:rsidRPr="00D1018F">
              <w:rPr>
                <w:noProof/>
                <w:webHidden/>
              </w:rPr>
              <w:fldChar w:fldCharType="separate"/>
            </w:r>
            <w:r w:rsidR="00484ACD">
              <w:rPr>
                <w:noProof/>
                <w:webHidden/>
              </w:rPr>
              <w:t>24</w:t>
            </w:r>
            <w:r w:rsidR="00D1018F" w:rsidRPr="00D1018F">
              <w:rPr>
                <w:noProof/>
                <w:webHidden/>
              </w:rPr>
              <w:fldChar w:fldCharType="end"/>
            </w:r>
          </w:hyperlink>
        </w:p>
        <w:p w14:paraId="57D577FE" w14:textId="4D8BFC06" w:rsidR="00D1018F" w:rsidRPr="00D1018F" w:rsidRDefault="007F2CB9" w:rsidP="00D1018F">
          <w:pPr>
            <w:pStyle w:val="TDC1"/>
            <w:tabs>
              <w:tab w:val="right" w:leader="dot" w:pos="9034"/>
            </w:tabs>
            <w:rPr>
              <w:rFonts w:asciiTheme="minorHAnsi" w:eastAsiaTheme="minorEastAsia" w:hAnsiTheme="minorHAnsi" w:cstheme="minorBidi"/>
              <w:noProof/>
            </w:rPr>
          </w:pPr>
          <w:hyperlink w:anchor="_Toc202418158" w:history="1">
            <w:r w:rsidR="00D1018F" w:rsidRPr="00D1018F">
              <w:rPr>
                <w:rStyle w:val="Hipervnculo"/>
                <w:noProof/>
                <w:color w:val="auto"/>
              </w:rPr>
              <w:t>RESUELVE</w:t>
            </w:r>
            <w:r w:rsidR="00D1018F" w:rsidRPr="00D1018F">
              <w:rPr>
                <w:noProof/>
                <w:webHidden/>
              </w:rPr>
              <w:tab/>
            </w:r>
            <w:r w:rsidR="00D1018F" w:rsidRPr="00D1018F">
              <w:rPr>
                <w:noProof/>
                <w:webHidden/>
              </w:rPr>
              <w:fldChar w:fldCharType="begin"/>
            </w:r>
            <w:r w:rsidR="00D1018F" w:rsidRPr="00D1018F">
              <w:rPr>
                <w:noProof/>
                <w:webHidden/>
              </w:rPr>
              <w:instrText xml:space="preserve"> PAGEREF _Toc202418158 \h </w:instrText>
            </w:r>
            <w:r w:rsidR="00D1018F" w:rsidRPr="00D1018F">
              <w:rPr>
                <w:noProof/>
                <w:webHidden/>
              </w:rPr>
            </w:r>
            <w:r w:rsidR="00D1018F" w:rsidRPr="00D1018F">
              <w:rPr>
                <w:noProof/>
                <w:webHidden/>
              </w:rPr>
              <w:fldChar w:fldCharType="separate"/>
            </w:r>
            <w:r w:rsidR="00484ACD">
              <w:rPr>
                <w:noProof/>
                <w:webHidden/>
              </w:rPr>
              <w:t>24</w:t>
            </w:r>
            <w:r w:rsidR="00D1018F" w:rsidRPr="00D1018F">
              <w:rPr>
                <w:noProof/>
                <w:webHidden/>
              </w:rPr>
              <w:fldChar w:fldCharType="end"/>
            </w:r>
          </w:hyperlink>
        </w:p>
        <w:p w14:paraId="4932888C" w14:textId="10F7F999" w:rsidR="00FD20C4" w:rsidRPr="00D1018F" w:rsidRDefault="00FD20C4" w:rsidP="00D1018F">
          <w:r w:rsidRPr="00D1018F">
            <w:rPr>
              <w:b/>
              <w:bCs/>
              <w:lang w:val="es-ES"/>
            </w:rPr>
            <w:fldChar w:fldCharType="end"/>
          </w:r>
        </w:p>
      </w:sdtContent>
    </w:sdt>
    <w:p w14:paraId="32AD31E9" w14:textId="77777777" w:rsidR="00FD6BCA" w:rsidRPr="00D1018F" w:rsidRDefault="00FD6BCA" w:rsidP="00D1018F">
      <w:pPr>
        <w:pBdr>
          <w:top w:val="nil"/>
          <w:left w:val="nil"/>
          <w:bottom w:val="nil"/>
          <w:right w:val="nil"/>
          <w:between w:val="nil"/>
        </w:pBdr>
        <w:tabs>
          <w:tab w:val="right" w:pos="9034"/>
        </w:tabs>
        <w:spacing w:after="100"/>
        <w:rPr>
          <w:b/>
        </w:rPr>
        <w:sectPr w:rsidR="00FD6BCA" w:rsidRPr="00D1018F">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3761C457" w:rsidR="00FD6BCA" w:rsidRPr="00D1018F" w:rsidRDefault="00C05457" w:rsidP="00D1018F">
      <w:pPr>
        <w:rPr>
          <w:b/>
        </w:rPr>
      </w:pPr>
      <w:r w:rsidRPr="00D1018F">
        <w:lastRenderedPageBreak/>
        <w:t>Resolución del Pleno del Instituto de Transparencia, Acceso a la Información Pública y Protección de Datos Personales del Estado de México y Municipios, con domicilio en Metepec, Estado de México, de</w:t>
      </w:r>
      <w:r w:rsidR="00D1018F">
        <w:t>l</w:t>
      </w:r>
      <w:r w:rsidRPr="00D1018F">
        <w:t xml:space="preserve"> </w:t>
      </w:r>
      <w:r w:rsidR="00FE180F" w:rsidRPr="00D1018F">
        <w:rPr>
          <w:b/>
        </w:rPr>
        <w:t>dos de julio</w:t>
      </w:r>
      <w:r w:rsidRPr="00D1018F">
        <w:rPr>
          <w:b/>
        </w:rPr>
        <w:t xml:space="preserve"> de dos mil veinticinco.</w:t>
      </w:r>
    </w:p>
    <w:p w14:paraId="469ACC29" w14:textId="77777777" w:rsidR="00FD6BCA" w:rsidRPr="00D1018F" w:rsidRDefault="00FD6BCA" w:rsidP="00D1018F"/>
    <w:p w14:paraId="3B9725E6" w14:textId="55AB4E6E" w:rsidR="00FD6BCA" w:rsidRPr="00D1018F" w:rsidRDefault="00C05457" w:rsidP="00D1018F">
      <w:r w:rsidRPr="00D1018F">
        <w:rPr>
          <w:b/>
        </w:rPr>
        <w:t xml:space="preserve">VISTO </w:t>
      </w:r>
      <w:r w:rsidRPr="00D1018F">
        <w:t xml:space="preserve">el expediente formado con motivo del Recurso de Revisión </w:t>
      </w:r>
      <w:r w:rsidR="00FE180F" w:rsidRPr="00D1018F">
        <w:rPr>
          <w:b/>
        </w:rPr>
        <w:t>05197/INFOEM/IP/RR/2025</w:t>
      </w:r>
      <w:r w:rsidRPr="00D1018F">
        <w:rPr>
          <w:b/>
        </w:rPr>
        <w:t xml:space="preserve"> </w:t>
      </w:r>
      <w:r w:rsidRPr="00D1018F">
        <w:t xml:space="preserve">interpuesto por </w:t>
      </w:r>
      <w:r w:rsidR="000D3543">
        <w:rPr>
          <w:b/>
        </w:rPr>
        <w:t>XXX XXXXXXX</w:t>
      </w:r>
      <w:r w:rsidRPr="00D1018F">
        <w:t xml:space="preserve">, a quien en lo subsecuente se le denominará </w:t>
      </w:r>
      <w:r w:rsidRPr="00D1018F">
        <w:rPr>
          <w:b/>
        </w:rPr>
        <w:t>LA PARTE RECURRENTE</w:t>
      </w:r>
      <w:r w:rsidRPr="00D1018F">
        <w:t xml:space="preserve">, en contra de la respuesta emitida por </w:t>
      </w:r>
      <w:r w:rsidR="00A04C49" w:rsidRPr="00D1018F">
        <w:t>el</w:t>
      </w:r>
      <w:r w:rsidRPr="00D1018F">
        <w:t xml:space="preserve"> </w:t>
      </w:r>
      <w:r w:rsidR="00A04C49" w:rsidRPr="00D1018F">
        <w:rPr>
          <w:b/>
        </w:rPr>
        <w:t>Instituto Electoral del Estado de México</w:t>
      </w:r>
      <w:r w:rsidRPr="00D1018F">
        <w:t xml:space="preserve">, en adelante </w:t>
      </w:r>
      <w:r w:rsidRPr="00D1018F">
        <w:rPr>
          <w:b/>
        </w:rPr>
        <w:t>EL SUJETO OBLIGADO</w:t>
      </w:r>
      <w:r w:rsidRPr="00D1018F">
        <w:t>, se emite la presente Resolución con base en los Antecedentes y Considerandos que se exponen a continuación:</w:t>
      </w:r>
    </w:p>
    <w:p w14:paraId="3095BCB3" w14:textId="77777777" w:rsidR="00FD6BCA" w:rsidRPr="00D1018F" w:rsidRDefault="00FD6BCA" w:rsidP="00D1018F"/>
    <w:p w14:paraId="7B74F830" w14:textId="77777777" w:rsidR="00FD6BCA" w:rsidRPr="00D1018F" w:rsidRDefault="00C05457" w:rsidP="00D1018F">
      <w:pPr>
        <w:pStyle w:val="Ttulo1"/>
      </w:pPr>
      <w:bookmarkStart w:id="2" w:name="_Toc202418132"/>
      <w:r w:rsidRPr="00D1018F">
        <w:t>ANTECEDENTES</w:t>
      </w:r>
      <w:bookmarkEnd w:id="2"/>
    </w:p>
    <w:p w14:paraId="51624F7C" w14:textId="77777777" w:rsidR="00FD6BCA" w:rsidRPr="00D1018F" w:rsidRDefault="00FD6BCA" w:rsidP="00D1018F"/>
    <w:p w14:paraId="4390203D" w14:textId="77777777" w:rsidR="00FD6BCA" w:rsidRPr="00D1018F" w:rsidRDefault="00C05457" w:rsidP="00D1018F">
      <w:pPr>
        <w:pStyle w:val="Ttulo2"/>
      </w:pPr>
      <w:bookmarkStart w:id="3" w:name="_Toc202418133"/>
      <w:r w:rsidRPr="00D1018F">
        <w:t>DE LA SOLICITUD DE INFORMACIÓN</w:t>
      </w:r>
      <w:bookmarkEnd w:id="3"/>
    </w:p>
    <w:p w14:paraId="0B3195FC" w14:textId="77777777" w:rsidR="00FD6BCA" w:rsidRPr="00D1018F" w:rsidRDefault="00C05457" w:rsidP="00D1018F">
      <w:pPr>
        <w:pStyle w:val="Ttulo3"/>
      </w:pPr>
      <w:bookmarkStart w:id="4" w:name="_Toc202418134"/>
      <w:r w:rsidRPr="00D1018F">
        <w:t>a) Solicitud de información</w:t>
      </w:r>
      <w:bookmarkEnd w:id="4"/>
    </w:p>
    <w:p w14:paraId="0853A583" w14:textId="4F0CD0C5" w:rsidR="00FD6BCA" w:rsidRPr="00D1018F" w:rsidRDefault="00C05457" w:rsidP="00D1018F">
      <w:r w:rsidRPr="00D1018F">
        <w:t xml:space="preserve">El </w:t>
      </w:r>
      <w:r w:rsidR="00DB4A86" w:rsidRPr="00D1018F">
        <w:rPr>
          <w:b/>
          <w:bCs/>
        </w:rPr>
        <w:t>veintisiete de marzo</w:t>
      </w:r>
      <w:r w:rsidRPr="00D1018F">
        <w:rPr>
          <w:b/>
        </w:rPr>
        <w:t xml:space="preserve"> de dos mil veinticinco,</w:t>
      </w:r>
      <w:r w:rsidRPr="00D1018F">
        <w:t xml:space="preserve"> </w:t>
      </w:r>
      <w:r w:rsidRPr="00D1018F">
        <w:rPr>
          <w:b/>
        </w:rPr>
        <w:t>LA PARTE RECURRENTE</w:t>
      </w:r>
      <w:r w:rsidRPr="00D1018F">
        <w:t xml:space="preserve"> presentó una solicitud de acceso a la información pública ante el </w:t>
      </w:r>
      <w:r w:rsidRPr="00D1018F">
        <w:rPr>
          <w:b/>
        </w:rPr>
        <w:t>SUJETO OBLIGADO</w:t>
      </w:r>
      <w:r w:rsidRPr="00D1018F">
        <w:t>, a través del Sistema de Acceso a la Información Mexiquense (</w:t>
      </w:r>
      <w:r w:rsidRPr="00D1018F">
        <w:rPr>
          <w:b/>
        </w:rPr>
        <w:t>SAIMEX</w:t>
      </w:r>
      <w:r w:rsidRPr="00D1018F">
        <w:t>). Dicha solicitud quedó registrada con el número de folio</w:t>
      </w:r>
      <w:r w:rsidRPr="00D1018F">
        <w:rPr>
          <w:b/>
        </w:rPr>
        <w:t xml:space="preserve"> </w:t>
      </w:r>
      <w:r w:rsidR="00FE180F" w:rsidRPr="00D1018F">
        <w:rPr>
          <w:b/>
        </w:rPr>
        <w:t>00337/IEEM/IP/2025</w:t>
      </w:r>
      <w:r w:rsidR="004268EA" w:rsidRPr="00D1018F">
        <w:rPr>
          <w:b/>
        </w:rPr>
        <w:t xml:space="preserve"> </w:t>
      </w:r>
      <w:r w:rsidRPr="00D1018F">
        <w:t>y en ella se requirió la siguiente información:</w:t>
      </w:r>
    </w:p>
    <w:p w14:paraId="0C015894" w14:textId="77777777" w:rsidR="00FD6BCA" w:rsidRPr="00D1018F" w:rsidRDefault="00FD6BCA" w:rsidP="00D1018F">
      <w:pPr>
        <w:pStyle w:val="Puesto"/>
        <w:ind w:firstLine="0"/>
        <w:rPr>
          <w:color w:val="auto"/>
        </w:rPr>
      </w:pPr>
    </w:p>
    <w:p w14:paraId="2AAFCBE8" w14:textId="7D0CCBFB" w:rsidR="00FD6BCA" w:rsidRPr="00D1018F" w:rsidRDefault="00C05457" w:rsidP="00D1018F">
      <w:pPr>
        <w:pStyle w:val="Puesto"/>
        <w:ind w:firstLine="0"/>
        <w:rPr>
          <w:color w:val="auto"/>
        </w:rPr>
      </w:pPr>
      <w:bookmarkStart w:id="5" w:name="_qsh70q" w:colFirst="0" w:colLast="0"/>
      <w:bookmarkEnd w:id="5"/>
      <w:r w:rsidRPr="00D1018F">
        <w:rPr>
          <w:color w:val="auto"/>
        </w:rPr>
        <w:t>“</w:t>
      </w:r>
      <w:r w:rsidR="00DB4A86" w:rsidRPr="00D1018F">
        <w:rPr>
          <w:color w:val="auto"/>
        </w:rPr>
        <w:t>Solicito las renuncias de los vocales y coordinadores del secretariado al momento.</w:t>
      </w:r>
      <w:r w:rsidRPr="00D1018F">
        <w:rPr>
          <w:color w:val="auto"/>
        </w:rPr>
        <w:t>” Sic</w:t>
      </w:r>
    </w:p>
    <w:p w14:paraId="352E4837" w14:textId="77777777" w:rsidR="00FD6BCA" w:rsidRPr="00D1018F" w:rsidRDefault="00FD6BCA" w:rsidP="00D1018F">
      <w:pPr>
        <w:pStyle w:val="Puesto"/>
        <w:ind w:firstLine="0"/>
        <w:rPr>
          <w:color w:val="auto"/>
        </w:rPr>
      </w:pPr>
    </w:p>
    <w:p w14:paraId="4B954404" w14:textId="77777777" w:rsidR="00FD6BCA" w:rsidRPr="00D1018F" w:rsidRDefault="00C05457" w:rsidP="00D1018F">
      <w:pPr>
        <w:tabs>
          <w:tab w:val="left" w:pos="4667"/>
        </w:tabs>
        <w:ind w:right="567"/>
        <w:rPr>
          <w:i/>
        </w:rPr>
      </w:pPr>
      <w:r w:rsidRPr="00D1018F">
        <w:rPr>
          <w:b/>
        </w:rPr>
        <w:t>Modalidad de entrega</w:t>
      </w:r>
      <w:r w:rsidRPr="00D1018F">
        <w:t>: a</w:t>
      </w:r>
      <w:r w:rsidRPr="00D1018F">
        <w:rPr>
          <w:i/>
        </w:rPr>
        <w:t xml:space="preserve"> través del </w:t>
      </w:r>
      <w:r w:rsidRPr="00D1018F">
        <w:rPr>
          <w:b/>
          <w:i/>
        </w:rPr>
        <w:t>SAIMEX</w:t>
      </w:r>
      <w:r w:rsidRPr="00D1018F">
        <w:rPr>
          <w:i/>
        </w:rPr>
        <w:t>.</w:t>
      </w:r>
    </w:p>
    <w:p w14:paraId="385F25B8" w14:textId="77777777" w:rsidR="00FD6BCA" w:rsidRPr="00D1018F" w:rsidRDefault="00FD6BCA" w:rsidP="00D1018F">
      <w:pPr>
        <w:tabs>
          <w:tab w:val="left" w:pos="4667"/>
        </w:tabs>
        <w:ind w:right="567"/>
        <w:rPr>
          <w:i/>
        </w:rPr>
      </w:pPr>
    </w:p>
    <w:p w14:paraId="3536DCA2" w14:textId="77777777" w:rsidR="00FD6BCA" w:rsidRPr="00D1018F" w:rsidRDefault="00C05457" w:rsidP="00D1018F">
      <w:pPr>
        <w:pStyle w:val="Ttulo3"/>
      </w:pPr>
      <w:bookmarkStart w:id="6" w:name="_3as4poj" w:colFirst="0" w:colLast="0"/>
      <w:bookmarkStart w:id="7" w:name="_Toc202418135"/>
      <w:bookmarkEnd w:id="6"/>
      <w:r w:rsidRPr="00D1018F">
        <w:t>b) Turno de la solicitud de información</w:t>
      </w:r>
      <w:bookmarkEnd w:id="7"/>
    </w:p>
    <w:p w14:paraId="14BB160F" w14:textId="1970B287" w:rsidR="00FD6BCA" w:rsidRPr="00D1018F" w:rsidRDefault="00C05457" w:rsidP="00D1018F">
      <w:r w:rsidRPr="00D1018F">
        <w:t xml:space="preserve">En cumplimiento al artículo 162 de la Ley de Transparencia y Acceso a la Información Pública del Estado de México y Municipios, el </w:t>
      </w:r>
      <w:r w:rsidR="00DB4A86" w:rsidRPr="00D1018F">
        <w:rPr>
          <w:b/>
        </w:rPr>
        <w:t>treinta y uno de marzo</w:t>
      </w:r>
      <w:r w:rsidRPr="00D1018F">
        <w:rPr>
          <w:b/>
        </w:rPr>
        <w:t xml:space="preserve"> de dos mil veinticinco</w:t>
      </w:r>
      <w:r w:rsidRPr="00D1018F">
        <w:t xml:space="preserve">, el </w:t>
      </w:r>
      <w:r w:rsidRPr="00D1018F">
        <w:lastRenderedPageBreak/>
        <w:t xml:space="preserve">Titular de la Unidad de Transparencia del </w:t>
      </w:r>
      <w:r w:rsidRPr="00D1018F">
        <w:rPr>
          <w:b/>
        </w:rPr>
        <w:t>SUJETO OBLIGADO</w:t>
      </w:r>
      <w:r w:rsidRPr="00D1018F">
        <w:t xml:space="preserve"> turnó la solicitud de información al servidor público habilitado que estimó pertinente.</w:t>
      </w:r>
    </w:p>
    <w:p w14:paraId="13CC7894" w14:textId="77777777" w:rsidR="008A2B56" w:rsidRPr="00D1018F" w:rsidRDefault="008A2B56" w:rsidP="00D1018F"/>
    <w:p w14:paraId="263A7A4B" w14:textId="4EBA553D" w:rsidR="008A2B56" w:rsidRPr="00D1018F" w:rsidRDefault="008A2B56" w:rsidP="00D1018F">
      <w:pPr>
        <w:pStyle w:val="Ttulo3"/>
        <w:spacing w:line="360" w:lineRule="auto"/>
      </w:pPr>
      <w:bookmarkStart w:id="8" w:name="_Toc171517735"/>
      <w:bookmarkStart w:id="9" w:name="_Toc177600332"/>
      <w:bookmarkStart w:id="10" w:name="_Toc202418136"/>
      <w:r w:rsidRPr="00D1018F">
        <w:t>c) Prórroga</w:t>
      </w:r>
      <w:bookmarkEnd w:id="8"/>
      <w:bookmarkEnd w:id="9"/>
      <w:bookmarkEnd w:id="10"/>
    </w:p>
    <w:p w14:paraId="2C724F63" w14:textId="554FBE7F" w:rsidR="008A2B56" w:rsidRPr="00D1018F" w:rsidRDefault="008A2B56" w:rsidP="00D1018F">
      <w:r w:rsidRPr="00D1018F">
        <w:t xml:space="preserve">De las constancias que obran en el SAIMEX, se advierte que el </w:t>
      </w:r>
      <w:r w:rsidR="006352A4" w:rsidRPr="00D1018F">
        <w:rPr>
          <w:b/>
        </w:rPr>
        <w:t>veintitrés de abril de dos mil veinticinco</w:t>
      </w:r>
      <w:r w:rsidRPr="00D1018F">
        <w:t xml:space="preserve">, </w:t>
      </w:r>
      <w:r w:rsidRPr="00D1018F">
        <w:rPr>
          <w:b/>
        </w:rPr>
        <w:t>EL SUJETO OBLIGADO</w:t>
      </w:r>
      <w:r w:rsidRPr="00D1018F">
        <w:t xml:space="preserve"> notificó una prórroga de siete días para dar respuesta a la solicitud de información planteada por </w:t>
      </w:r>
      <w:r w:rsidRPr="00D1018F">
        <w:rPr>
          <w:b/>
        </w:rPr>
        <w:t>LA PARTE RECURRENTE</w:t>
      </w:r>
      <w:r w:rsidRPr="00D1018F">
        <w:t>, en los siguientes términos:</w:t>
      </w:r>
    </w:p>
    <w:p w14:paraId="472942D7" w14:textId="77777777" w:rsidR="006352A4" w:rsidRPr="00D1018F" w:rsidRDefault="006352A4" w:rsidP="00D1018F">
      <w:pPr>
        <w:pStyle w:val="Puesto"/>
        <w:ind w:firstLine="0"/>
        <w:rPr>
          <w:color w:val="auto"/>
        </w:rPr>
      </w:pPr>
    </w:p>
    <w:p w14:paraId="3E376197" w14:textId="77777777" w:rsidR="006352A4" w:rsidRPr="00D1018F" w:rsidRDefault="008A2B56" w:rsidP="00D1018F">
      <w:pPr>
        <w:pStyle w:val="Puesto"/>
        <w:ind w:firstLine="0"/>
        <w:rPr>
          <w:color w:val="auto"/>
        </w:rPr>
      </w:pPr>
      <w:r w:rsidRPr="00D1018F">
        <w:rPr>
          <w:color w:val="auto"/>
        </w:rPr>
        <w:t>“</w:t>
      </w:r>
      <w:r w:rsidR="006352A4" w:rsidRPr="00D1018F">
        <w:rPr>
          <w:color w:val="auto"/>
        </w:rPr>
        <w:t>Folio de la solicitud: 00337/IEEM/IP/2025</w:t>
      </w:r>
    </w:p>
    <w:p w14:paraId="3E1E159F" w14:textId="77777777" w:rsidR="006352A4" w:rsidRPr="00D1018F" w:rsidRDefault="006352A4" w:rsidP="00D1018F">
      <w:pPr>
        <w:pStyle w:val="Puesto"/>
        <w:ind w:firstLine="0"/>
        <w:rPr>
          <w:color w:val="auto"/>
        </w:rPr>
      </w:pPr>
    </w:p>
    <w:p w14:paraId="6DA7B140" w14:textId="77777777" w:rsidR="006352A4" w:rsidRPr="00D1018F" w:rsidRDefault="006352A4" w:rsidP="00D1018F">
      <w:pPr>
        <w:pStyle w:val="Puesto"/>
        <w:ind w:firstLine="0"/>
        <w:rPr>
          <w:color w:val="auto"/>
        </w:rPr>
      </w:pPr>
      <w:r w:rsidRPr="00D1018F">
        <w:rPr>
          <w:color w:val="auto"/>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547C475" w14:textId="77777777" w:rsidR="006352A4" w:rsidRPr="00D1018F" w:rsidRDefault="006352A4" w:rsidP="00D1018F">
      <w:pPr>
        <w:pStyle w:val="Puesto"/>
        <w:ind w:firstLine="0"/>
        <w:rPr>
          <w:color w:val="auto"/>
        </w:rPr>
      </w:pPr>
      <w:r w:rsidRPr="00D1018F">
        <w:rPr>
          <w:color w:val="auto"/>
        </w:rPr>
        <w:t>Con fundamento en lo establecido en el artículo 163, segundo párrafo de la Ley de Transparencia y Acceso a la Información Pública del Estado de México y Municipios, se autoriza la ampliación de plazo para otorgar respuesta a la solicitud de información, de conformidad con el acuerdo aprobado por el Comité de Transparencia que se adjunta.</w:t>
      </w:r>
    </w:p>
    <w:p w14:paraId="0E6405B5" w14:textId="77777777" w:rsidR="006352A4" w:rsidRPr="00D1018F" w:rsidRDefault="006352A4" w:rsidP="00D1018F">
      <w:pPr>
        <w:pStyle w:val="Puesto"/>
        <w:ind w:firstLine="0"/>
        <w:rPr>
          <w:color w:val="auto"/>
        </w:rPr>
      </w:pPr>
    </w:p>
    <w:p w14:paraId="3D489F09" w14:textId="77777777" w:rsidR="006352A4" w:rsidRPr="00D1018F" w:rsidRDefault="006352A4" w:rsidP="00D1018F">
      <w:pPr>
        <w:pStyle w:val="Puesto"/>
        <w:ind w:firstLine="0"/>
        <w:rPr>
          <w:color w:val="auto"/>
        </w:rPr>
      </w:pPr>
      <w:r w:rsidRPr="00D1018F">
        <w:rPr>
          <w:color w:val="auto"/>
        </w:rPr>
        <w:t>MAESTRA LILIBETH ÁLVAREZ RODRÍGUEZ</w:t>
      </w:r>
    </w:p>
    <w:p w14:paraId="78D7869A" w14:textId="2609F0A4" w:rsidR="008A2B56" w:rsidRPr="00D1018F" w:rsidRDefault="006352A4" w:rsidP="00D1018F">
      <w:pPr>
        <w:pStyle w:val="Puesto"/>
        <w:ind w:firstLine="0"/>
        <w:rPr>
          <w:color w:val="auto"/>
        </w:rPr>
      </w:pPr>
      <w:r w:rsidRPr="00D1018F">
        <w:rPr>
          <w:color w:val="auto"/>
        </w:rPr>
        <w:t>Responsable de la Unidad de Transparencia</w:t>
      </w:r>
      <w:r w:rsidR="008A2B56" w:rsidRPr="00D1018F">
        <w:rPr>
          <w:color w:val="auto"/>
        </w:rPr>
        <w:t>”</w:t>
      </w:r>
    </w:p>
    <w:p w14:paraId="7F53BD59" w14:textId="77777777" w:rsidR="008A2B56" w:rsidRPr="00D1018F" w:rsidRDefault="008A2B56" w:rsidP="00D1018F">
      <w:pPr>
        <w:pStyle w:val="Puesto"/>
        <w:ind w:firstLine="0"/>
        <w:rPr>
          <w:color w:val="auto"/>
        </w:rPr>
      </w:pPr>
    </w:p>
    <w:p w14:paraId="4A9405D4" w14:textId="15DF215F" w:rsidR="008A2B56" w:rsidRPr="00D1018F" w:rsidRDefault="006352A4" w:rsidP="00D1018F">
      <w:r w:rsidRPr="00D1018F">
        <w:t xml:space="preserve">Advirtiendo que </w:t>
      </w:r>
      <w:r w:rsidR="008A2B56" w:rsidRPr="00D1018F">
        <w:rPr>
          <w:b/>
        </w:rPr>
        <w:t>EL SUJETO OBLIGADO</w:t>
      </w:r>
      <w:r w:rsidR="008A2B56" w:rsidRPr="00D1018F">
        <w:t xml:space="preserve"> acompañó a la solicitud de prórroga el </w:t>
      </w:r>
      <w:r w:rsidRPr="00D1018F">
        <w:t xml:space="preserve">archivo denominado </w:t>
      </w:r>
      <w:r w:rsidRPr="00D1018F">
        <w:rPr>
          <w:b/>
          <w:bCs/>
          <w:i/>
          <w:iCs/>
        </w:rPr>
        <w:t xml:space="preserve">Acuerdo IEEM-CT-78-2025.pdf </w:t>
      </w:r>
      <w:r w:rsidRPr="00D1018F">
        <w:t xml:space="preserve">que contiene el </w:t>
      </w:r>
      <w:r w:rsidR="008A2B56" w:rsidRPr="00D1018F">
        <w:t xml:space="preserve">acuerdo mediante el cual el Comité de Transparencia aprobó la ampliación de plazo para dar respuesta a </w:t>
      </w:r>
      <w:r w:rsidRPr="00D1018F">
        <w:t xml:space="preserve">diversas solicitudes de información, entre ellas la presente </w:t>
      </w:r>
      <w:r w:rsidR="008A2B56" w:rsidRPr="00D1018F">
        <w:t>solicitud de información</w:t>
      </w:r>
      <w:r w:rsidRPr="00D1018F">
        <w:t>, en términos de lo establecido en los artículos 49, fracción II y 163, segundo párrafo, de la Ley de Transparencia y Acceso a la Información Pública del Estado de México y Municipios</w:t>
      </w:r>
      <w:r w:rsidR="00B2589F" w:rsidRPr="00D1018F">
        <w:t>.</w:t>
      </w:r>
    </w:p>
    <w:p w14:paraId="2BB071A8" w14:textId="77777777" w:rsidR="008A2B56" w:rsidRPr="00D1018F" w:rsidRDefault="008A2B56" w:rsidP="00D1018F"/>
    <w:p w14:paraId="7A80E52D" w14:textId="431478F3" w:rsidR="00FD6BCA" w:rsidRPr="00D1018F" w:rsidRDefault="00FF0C9D" w:rsidP="00D1018F">
      <w:pPr>
        <w:pStyle w:val="Ttulo3"/>
        <w:spacing w:line="360" w:lineRule="auto"/>
      </w:pPr>
      <w:bookmarkStart w:id="11" w:name="_1pxezwc" w:colFirst="0" w:colLast="0"/>
      <w:bookmarkStart w:id="12" w:name="_Toc202418137"/>
      <w:bookmarkEnd w:id="11"/>
      <w:r w:rsidRPr="00D1018F">
        <w:lastRenderedPageBreak/>
        <w:t>d</w:t>
      </w:r>
      <w:r w:rsidR="00C05457" w:rsidRPr="00D1018F">
        <w:t>) Respuesta del Sujeto Obligado</w:t>
      </w:r>
      <w:bookmarkEnd w:id="12"/>
    </w:p>
    <w:p w14:paraId="3DE4EC67" w14:textId="74533AAC" w:rsidR="00FD6BCA" w:rsidRPr="00D1018F" w:rsidRDefault="00C05457" w:rsidP="00D1018F">
      <w:pPr>
        <w:pBdr>
          <w:top w:val="nil"/>
          <w:left w:val="nil"/>
          <w:bottom w:val="nil"/>
          <w:right w:val="nil"/>
          <w:between w:val="nil"/>
        </w:pBdr>
      </w:pPr>
      <w:r w:rsidRPr="00D1018F">
        <w:t xml:space="preserve">El </w:t>
      </w:r>
      <w:r w:rsidR="00DB4A86" w:rsidRPr="00D1018F">
        <w:rPr>
          <w:b/>
        </w:rPr>
        <w:t>siete de mayo</w:t>
      </w:r>
      <w:r w:rsidRPr="00D1018F">
        <w:rPr>
          <w:b/>
        </w:rPr>
        <w:t xml:space="preserve"> de dos mil veinticinco, </w:t>
      </w:r>
      <w:r w:rsidRPr="00D1018F">
        <w:t>l</w:t>
      </w:r>
      <w:r w:rsidR="00A04C49" w:rsidRPr="00D1018F">
        <w:t>a</w:t>
      </w:r>
      <w:r w:rsidRPr="00D1018F">
        <w:t xml:space="preserve"> Titular de la Unidad de Transparencia del </w:t>
      </w:r>
      <w:r w:rsidRPr="00D1018F">
        <w:rPr>
          <w:b/>
        </w:rPr>
        <w:t>SUJETO OBLIGADO</w:t>
      </w:r>
      <w:r w:rsidRPr="00D1018F">
        <w:t xml:space="preserve"> notificó a través del </w:t>
      </w:r>
      <w:r w:rsidRPr="00D1018F">
        <w:rPr>
          <w:b/>
        </w:rPr>
        <w:t>SAIMEX</w:t>
      </w:r>
      <w:r w:rsidRPr="00D1018F">
        <w:t xml:space="preserve"> la siguiente respuesta:</w:t>
      </w:r>
    </w:p>
    <w:p w14:paraId="124E0B67" w14:textId="77777777" w:rsidR="00FD6BCA" w:rsidRPr="00D1018F" w:rsidRDefault="00FD6BCA" w:rsidP="00D1018F">
      <w:pPr>
        <w:pStyle w:val="Puesto"/>
        <w:ind w:left="0" w:firstLine="0"/>
        <w:rPr>
          <w:color w:val="auto"/>
        </w:rPr>
      </w:pPr>
    </w:p>
    <w:p w14:paraId="578F9433" w14:textId="77777777" w:rsidR="00DB4A86" w:rsidRPr="00D1018F" w:rsidRDefault="00207C16" w:rsidP="00D1018F">
      <w:pPr>
        <w:pStyle w:val="Puesto"/>
        <w:ind w:firstLine="0"/>
        <w:rPr>
          <w:color w:val="auto"/>
        </w:rPr>
      </w:pPr>
      <w:r w:rsidRPr="00D1018F">
        <w:rPr>
          <w:color w:val="auto"/>
        </w:rPr>
        <w:t>“</w:t>
      </w:r>
      <w:r w:rsidR="00DB4A86" w:rsidRPr="00D1018F">
        <w:rPr>
          <w:color w:val="auto"/>
        </w:rPr>
        <w:t>Folio de la solicitud: 00337/IEEM/IP/2025</w:t>
      </w:r>
    </w:p>
    <w:p w14:paraId="17AC3F45" w14:textId="77777777" w:rsidR="00DB4A86" w:rsidRPr="00D1018F" w:rsidRDefault="00DB4A86" w:rsidP="00D1018F">
      <w:pPr>
        <w:pStyle w:val="Puesto"/>
        <w:ind w:firstLine="0"/>
        <w:rPr>
          <w:color w:val="auto"/>
        </w:rPr>
      </w:pPr>
    </w:p>
    <w:p w14:paraId="3A3546F0" w14:textId="77777777" w:rsidR="00DB4A86" w:rsidRPr="00D1018F" w:rsidRDefault="00DB4A86" w:rsidP="00D1018F">
      <w:pPr>
        <w:pStyle w:val="Puesto"/>
        <w:ind w:firstLine="0"/>
        <w:rPr>
          <w:color w:val="auto"/>
        </w:rPr>
      </w:pPr>
      <w:r w:rsidRPr="00D1018F">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EF39EF" w14:textId="77777777" w:rsidR="00DB4A86" w:rsidRPr="00D1018F" w:rsidRDefault="00DB4A86" w:rsidP="00D1018F">
      <w:pPr>
        <w:pStyle w:val="Puesto"/>
        <w:ind w:firstLine="0"/>
        <w:rPr>
          <w:color w:val="auto"/>
        </w:rPr>
      </w:pPr>
      <w:r w:rsidRPr="00D1018F">
        <w:rPr>
          <w:color w:val="auto"/>
        </w:rPr>
        <w:t>Se adjunta respuesta a su solicitud de información.</w:t>
      </w:r>
    </w:p>
    <w:p w14:paraId="211B6F64" w14:textId="77777777" w:rsidR="00DB4A86" w:rsidRPr="00D1018F" w:rsidRDefault="00DB4A86" w:rsidP="00D1018F">
      <w:pPr>
        <w:pStyle w:val="Puesto"/>
        <w:ind w:firstLine="0"/>
        <w:rPr>
          <w:color w:val="auto"/>
        </w:rPr>
      </w:pPr>
    </w:p>
    <w:p w14:paraId="7C8E4A01" w14:textId="77777777" w:rsidR="00DB4A86" w:rsidRPr="00D1018F" w:rsidRDefault="00DB4A86" w:rsidP="00D1018F">
      <w:pPr>
        <w:pStyle w:val="Puesto"/>
        <w:ind w:firstLine="0"/>
        <w:rPr>
          <w:color w:val="auto"/>
        </w:rPr>
      </w:pPr>
      <w:r w:rsidRPr="00D1018F">
        <w:rPr>
          <w:color w:val="auto"/>
        </w:rPr>
        <w:t>ATENTAMENTE</w:t>
      </w:r>
    </w:p>
    <w:p w14:paraId="653F5E5A" w14:textId="79BA13CD" w:rsidR="00FD6BCA" w:rsidRPr="00D1018F" w:rsidRDefault="00DB4A86" w:rsidP="00D1018F">
      <w:pPr>
        <w:pStyle w:val="Puesto"/>
        <w:ind w:firstLine="0"/>
        <w:rPr>
          <w:color w:val="auto"/>
        </w:rPr>
      </w:pPr>
      <w:r w:rsidRPr="00D1018F">
        <w:rPr>
          <w:color w:val="auto"/>
        </w:rPr>
        <w:t>MAESTRA LILIBETH ÁLVAREZ RODRÍGUEZ</w:t>
      </w:r>
      <w:r w:rsidR="00C05457" w:rsidRPr="00D1018F">
        <w:rPr>
          <w:color w:val="auto"/>
        </w:rPr>
        <w:t>” Sic.</w:t>
      </w:r>
    </w:p>
    <w:p w14:paraId="4B1394E3" w14:textId="77777777" w:rsidR="00FD6BCA" w:rsidRPr="00D1018F" w:rsidRDefault="00FD6BCA" w:rsidP="00D1018F">
      <w:pPr>
        <w:ind w:right="-28"/>
      </w:pPr>
    </w:p>
    <w:p w14:paraId="49439B69" w14:textId="67964C02" w:rsidR="00FD6BCA" w:rsidRPr="00D1018F" w:rsidRDefault="00C05457" w:rsidP="00D1018F">
      <w:pPr>
        <w:ind w:right="-28"/>
      </w:pPr>
      <w:r w:rsidRPr="00D1018F">
        <w:t xml:space="preserve">Asimismo, </w:t>
      </w:r>
      <w:r w:rsidRPr="00D1018F">
        <w:rPr>
          <w:b/>
        </w:rPr>
        <w:t xml:space="preserve">EL SUJETO OBLIGADO </w:t>
      </w:r>
      <w:r w:rsidR="00A04C49" w:rsidRPr="00D1018F">
        <w:t>adjuntó a su respuesta los</w:t>
      </w:r>
      <w:r w:rsidRPr="00D1018F">
        <w:t xml:space="preserve"> archivo</w:t>
      </w:r>
      <w:r w:rsidR="00A04C49" w:rsidRPr="00D1018F">
        <w:t>s</w:t>
      </w:r>
      <w:r w:rsidRPr="00D1018F">
        <w:t xml:space="preserve"> electrónico</w:t>
      </w:r>
      <w:r w:rsidR="00A04C49" w:rsidRPr="00D1018F">
        <w:t>s</w:t>
      </w:r>
      <w:r w:rsidRPr="00D1018F">
        <w:t xml:space="preserve"> que se describe</w:t>
      </w:r>
      <w:r w:rsidR="00A04C49" w:rsidRPr="00D1018F">
        <w:t>n</w:t>
      </w:r>
      <w:r w:rsidRPr="00D1018F">
        <w:t>:</w:t>
      </w:r>
    </w:p>
    <w:p w14:paraId="5AB13DD7" w14:textId="77777777" w:rsidR="00DB4A86" w:rsidRPr="00D1018F" w:rsidRDefault="00DB4A86" w:rsidP="00D1018F">
      <w:pPr>
        <w:ind w:right="-28"/>
      </w:pPr>
    </w:p>
    <w:p w14:paraId="6E78BB25" w14:textId="53AC579A" w:rsidR="00DB4A86" w:rsidRPr="00D1018F" w:rsidRDefault="00DB4A86" w:rsidP="00D1018F">
      <w:pPr>
        <w:numPr>
          <w:ilvl w:val="0"/>
          <w:numId w:val="40"/>
        </w:numPr>
        <w:ind w:right="-28"/>
        <w:rPr>
          <w:i/>
        </w:rPr>
      </w:pPr>
      <w:r w:rsidRPr="00D1018F">
        <w:rPr>
          <w:b/>
          <w:bCs/>
          <w:i/>
        </w:rPr>
        <w:t>IEEM-DA-2720-2025.docx VF.docx</w:t>
      </w:r>
      <w:r w:rsidR="003B00B7" w:rsidRPr="00D1018F">
        <w:rPr>
          <w:i/>
        </w:rPr>
        <w:t xml:space="preserve"> e </w:t>
      </w:r>
      <w:r w:rsidR="003B00B7" w:rsidRPr="00D1018F">
        <w:rPr>
          <w:b/>
          <w:bCs/>
          <w:i/>
        </w:rPr>
        <w:t>IEEM-DA-2720-2025.pdf</w:t>
      </w:r>
      <w:r w:rsidR="00C87BE8" w:rsidRPr="00D1018F">
        <w:rPr>
          <w:i/>
        </w:rPr>
        <w:t xml:space="preserve">- </w:t>
      </w:r>
      <w:r w:rsidR="00C87BE8" w:rsidRPr="00D1018F">
        <w:t>Se contiene el oficio número IEEM/DA/2720/2025 de fecha 30 de abril de 2025, dirigido a la Titular de la Unidad de Transparencia y suscrito por el Director de Administración, en el que le informa de manera medular:</w:t>
      </w:r>
    </w:p>
    <w:p w14:paraId="5A267AC2" w14:textId="77777777" w:rsidR="00DB4A86" w:rsidRPr="00D1018F" w:rsidRDefault="00DB4A86" w:rsidP="00D1018F">
      <w:pPr>
        <w:ind w:right="-28"/>
        <w:rPr>
          <w:i/>
        </w:rPr>
      </w:pPr>
    </w:p>
    <w:p w14:paraId="7DB1297A" w14:textId="7351FD52" w:rsidR="00C87BE8" w:rsidRPr="00D1018F" w:rsidRDefault="003B00B7" w:rsidP="00D1018F">
      <w:pPr>
        <w:pStyle w:val="Puesto"/>
        <w:ind w:firstLine="0"/>
        <w:rPr>
          <w:color w:val="auto"/>
        </w:rPr>
      </w:pPr>
      <w:r w:rsidRPr="00D1018F">
        <w:rPr>
          <w:color w:val="auto"/>
        </w:rPr>
        <w:t>“</w:t>
      </w:r>
      <w:r w:rsidR="00C87BE8" w:rsidRPr="00D1018F">
        <w:rPr>
          <w:color w:val="auto"/>
        </w:rPr>
        <w:t>Como resultado de una búsqueda razonable, exhaustiva y minuciosa realizada en los archivos de la Subdirección de Recursos Humanos y Servicios Generales, adscrita a esta Dirección, mediante la tarjeta SRH/DRH/T/89/2025, la Titular de la Subdirección remitió archivo que contiene las renuncias que a la fecha de la solicitud se tienen del personal referido, documentales que se envían a través del SAIMEX en su versión pública</w:t>
      </w:r>
      <w:r w:rsidRPr="00D1018F">
        <w:rPr>
          <w:color w:val="auto"/>
        </w:rPr>
        <w:t>…” Sic</w:t>
      </w:r>
    </w:p>
    <w:p w14:paraId="22B0A2A5" w14:textId="77777777" w:rsidR="003B00B7" w:rsidRPr="00D1018F" w:rsidRDefault="003B00B7" w:rsidP="00D1018F"/>
    <w:p w14:paraId="28B06BA9" w14:textId="53BAC405" w:rsidR="00DB4A86" w:rsidRPr="00D1018F" w:rsidRDefault="00DB4A86" w:rsidP="00D1018F">
      <w:pPr>
        <w:numPr>
          <w:ilvl w:val="0"/>
          <w:numId w:val="40"/>
        </w:numPr>
        <w:ind w:right="-28"/>
        <w:rPr>
          <w:i/>
        </w:rPr>
      </w:pPr>
      <w:r w:rsidRPr="00D1018F">
        <w:rPr>
          <w:i/>
        </w:rPr>
        <w:t>Acuerdo IEEM-CT-82-2025.pdf</w:t>
      </w:r>
      <w:r w:rsidR="00C87BE8" w:rsidRPr="00D1018F">
        <w:rPr>
          <w:i/>
        </w:rPr>
        <w:t xml:space="preserve">.- </w:t>
      </w:r>
      <w:r w:rsidR="003B00B7" w:rsidRPr="00D1018F">
        <w:rPr>
          <w:iCs/>
        </w:rPr>
        <w:t xml:space="preserve">Se contiene el acuerdo número IEEM/CT/82/2025 de clasificación de información confidencial para otorgar respuesta a la solicitud de </w:t>
      </w:r>
      <w:r w:rsidR="003B00B7" w:rsidRPr="00D1018F">
        <w:rPr>
          <w:iCs/>
        </w:rPr>
        <w:lastRenderedPageBreak/>
        <w:t>mérito, en la que se acordó clasificar los datos referentes entre otros los motivos vinculados con la causa de la renuncia.</w:t>
      </w:r>
    </w:p>
    <w:p w14:paraId="6AF3A074" w14:textId="77777777" w:rsidR="00DB4A86" w:rsidRPr="00D1018F" w:rsidRDefault="00DB4A86" w:rsidP="00D1018F">
      <w:pPr>
        <w:ind w:right="-28"/>
        <w:rPr>
          <w:i/>
        </w:rPr>
      </w:pPr>
    </w:p>
    <w:p w14:paraId="131EF78E" w14:textId="3D25FB45" w:rsidR="00DB4A86" w:rsidRPr="00D1018F" w:rsidRDefault="00DB4A86" w:rsidP="00D1018F">
      <w:pPr>
        <w:numPr>
          <w:ilvl w:val="0"/>
          <w:numId w:val="40"/>
        </w:numPr>
        <w:ind w:right="-28"/>
        <w:rPr>
          <w:i/>
        </w:rPr>
      </w:pPr>
      <w:r w:rsidRPr="00D1018F">
        <w:rPr>
          <w:i/>
        </w:rPr>
        <w:t>A.pdf</w:t>
      </w:r>
      <w:r w:rsidR="00C87BE8" w:rsidRPr="00D1018F">
        <w:rPr>
          <w:i/>
        </w:rPr>
        <w:t xml:space="preserve">.- </w:t>
      </w:r>
      <w:r w:rsidR="003B00B7" w:rsidRPr="00D1018F">
        <w:rPr>
          <w:iCs/>
        </w:rPr>
        <w:t>Se contienen cinco renuncias en versión pública.</w:t>
      </w:r>
    </w:p>
    <w:p w14:paraId="2037629D" w14:textId="77777777" w:rsidR="00DB4A86" w:rsidRPr="00D1018F" w:rsidRDefault="00DB4A86" w:rsidP="00D1018F">
      <w:pPr>
        <w:ind w:right="-28"/>
        <w:rPr>
          <w:i/>
        </w:rPr>
      </w:pPr>
    </w:p>
    <w:p w14:paraId="6AD358BD" w14:textId="12BF27F2" w:rsidR="00A04C49" w:rsidRPr="00D1018F" w:rsidRDefault="00DB4A86" w:rsidP="00D1018F">
      <w:pPr>
        <w:numPr>
          <w:ilvl w:val="0"/>
          <w:numId w:val="40"/>
        </w:numPr>
        <w:ind w:right="-28"/>
        <w:rPr>
          <w:i/>
        </w:rPr>
      </w:pPr>
      <w:r w:rsidRPr="00D1018F">
        <w:rPr>
          <w:i/>
        </w:rPr>
        <w:t>OFICIO RESPUESTA 337-2025 UT.pdf</w:t>
      </w:r>
      <w:r w:rsidR="00C87BE8" w:rsidRPr="00D1018F">
        <w:rPr>
          <w:i/>
        </w:rPr>
        <w:t xml:space="preserve">.- </w:t>
      </w:r>
      <w:r w:rsidR="003B00B7" w:rsidRPr="00D1018F">
        <w:rPr>
          <w:iCs/>
        </w:rPr>
        <w:t>Oficio número IEEM/UT/1253/2025 de fecha 06 de mayo de 2025, dirigido al solicitante y suscrito por la Titular de la Unidad de Transparencia en la que le indicó que remite respuesta a su solicitud de información realizada por la Servidora Pública Habilitada.</w:t>
      </w:r>
    </w:p>
    <w:p w14:paraId="5DDD547C" w14:textId="77777777" w:rsidR="00C87BE8" w:rsidRPr="00D1018F" w:rsidRDefault="00C87BE8" w:rsidP="00D1018F">
      <w:pPr>
        <w:ind w:right="-28"/>
        <w:rPr>
          <w:i/>
        </w:rPr>
      </w:pPr>
    </w:p>
    <w:p w14:paraId="66F06AF4" w14:textId="77777777" w:rsidR="00FD6BCA" w:rsidRPr="00D1018F" w:rsidRDefault="00C05457" w:rsidP="00D1018F">
      <w:pPr>
        <w:pStyle w:val="Ttulo2"/>
        <w:jc w:val="left"/>
      </w:pPr>
      <w:bookmarkStart w:id="13" w:name="_Toc202418138"/>
      <w:r w:rsidRPr="00D1018F">
        <w:t>DEL RECURSO DE REVISIÓN</w:t>
      </w:r>
      <w:bookmarkEnd w:id="13"/>
    </w:p>
    <w:p w14:paraId="3043F1F3" w14:textId="77777777" w:rsidR="00FD6BCA" w:rsidRPr="00D1018F" w:rsidRDefault="00C05457" w:rsidP="00D1018F">
      <w:pPr>
        <w:pStyle w:val="Ttulo3"/>
      </w:pPr>
      <w:bookmarkStart w:id="14" w:name="_Toc202418139"/>
      <w:r w:rsidRPr="00D1018F">
        <w:t>a) Interposición del Recurso de Revisión</w:t>
      </w:r>
      <w:bookmarkEnd w:id="14"/>
    </w:p>
    <w:p w14:paraId="39A5D2EA" w14:textId="1B72735B" w:rsidR="00FD6BCA" w:rsidRPr="00D1018F" w:rsidRDefault="00C05457" w:rsidP="00D1018F">
      <w:pPr>
        <w:ind w:right="-28"/>
      </w:pPr>
      <w:r w:rsidRPr="00D1018F">
        <w:t>El</w:t>
      </w:r>
      <w:r w:rsidRPr="00D1018F">
        <w:rPr>
          <w:b/>
        </w:rPr>
        <w:t xml:space="preserve"> </w:t>
      </w:r>
      <w:r w:rsidR="00DB4A86" w:rsidRPr="00D1018F">
        <w:rPr>
          <w:b/>
        </w:rPr>
        <w:t>siete de mayo</w:t>
      </w:r>
      <w:r w:rsidRPr="00D1018F">
        <w:rPr>
          <w:b/>
        </w:rPr>
        <w:t xml:space="preserve"> de dos mil veinticinco,</w:t>
      </w:r>
      <w:r w:rsidRPr="00D1018F">
        <w:t xml:space="preserve"> </w:t>
      </w:r>
      <w:r w:rsidRPr="00D1018F">
        <w:rPr>
          <w:b/>
        </w:rPr>
        <w:t>LA PARTE RECURRENTE</w:t>
      </w:r>
      <w:r w:rsidRPr="00D1018F">
        <w:t xml:space="preserve"> interpuso el recurso de revisión en contra de la respuesta emitida por el </w:t>
      </w:r>
      <w:r w:rsidRPr="00D1018F">
        <w:rPr>
          <w:b/>
        </w:rPr>
        <w:t>SUJETO OBLIGADO</w:t>
      </w:r>
      <w:r w:rsidRPr="00D1018F">
        <w:t xml:space="preserve">, mismo que fue registrado en el </w:t>
      </w:r>
      <w:r w:rsidRPr="00D1018F">
        <w:rPr>
          <w:b/>
        </w:rPr>
        <w:t>SAIMEX</w:t>
      </w:r>
      <w:r w:rsidRPr="00D1018F">
        <w:t xml:space="preserve"> con el número de expediente </w:t>
      </w:r>
      <w:r w:rsidR="00FE180F" w:rsidRPr="00D1018F">
        <w:rPr>
          <w:b/>
        </w:rPr>
        <w:t>05197/INFOEM/IP/RR/2025</w:t>
      </w:r>
      <w:r w:rsidRPr="00D1018F">
        <w:t>, y en el cual manifestó lo siguiente:</w:t>
      </w:r>
    </w:p>
    <w:p w14:paraId="29993A78" w14:textId="77777777" w:rsidR="00FD6BCA" w:rsidRPr="00D1018F" w:rsidRDefault="00FD6BCA" w:rsidP="00D1018F">
      <w:pPr>
        <w:tabs>
          <w:tab w:val="left" w:pos="4667"/>
        </w:tabs>
        <w:ind w:right="539"/>
      </w:pPr>
    </w:p>
    <w:p w14:paraId="7664D0CD" w14:textId="77777777" w:rsidR="00FD6BCA" w:rsidRPr="00D1018F" w:rsidRDefault="00C05457" w:rsidP="00D1018F">
      <w:pPr>
        <w:tabs>
          <w:tab w:val="left" w:pos="4667"/>
        </w:tabs>
        <w:ind w:left="567" w:right="539"/>
        <w:rPr>
          <w:b/>
        </w:rPr>
      </w:pPr>
      <w:r w:rsidRPr="00D1018F">
        <w:rPr>
          <w:b/>
        </w:rPr>
        <w:t>ACTO IMPUGNADO</w:t>
      </w:r>
    </w:p>
    <w:p w14:paraId="2C09E877" w14:textId="77777777" w:rsidR="00815757" w:rsidRPr="00D1018F" w:rsidRDefault="00815757" w:rsidP="00D1018F">
      <w:pPr>
        <w:tabs>
          <w:tab w:val="left" w:pos="4667"/>
        </w:tabs>
        <w:ind w:left="567" w:right="539"/>
        <w:rPr>
          <w:b/>
        </w:rPr>
      </w:pPr>
    </w:p>
    <w:p w14:paraId="1B32557B" w14:textId="0D626F21" w:rsidR="00E03C5C" w:rsidRPr="00D1018F" w:rsidRDefault="00DB4A86" w:rsidP="00D1018F">
      <w:pPr>
        <w:pStyle w:val="Puesto"/>
        <w:ind w:firstLine="0"/>
        <w:rPr>
          <w:color w:val="auto"/>
        </w:rPr>
      </w:pPr>
      <w:r w:rsidRPr="00D1018F">
        <w:rPr>
          <w:color w:val="auto"/>
        </w:rPr>
        <w:t>Se clasifican los motivos de las renuncias.</w:t>
      </w:r>
    </w:p>
    <w:p w14:paraId="0C8432F4" w14:textId="77777777" w:rsidR="00DB4A86" w:rsidRPr="00D1018F" w:rsidRDefault="00DB4A86" w:rsidP="00D1018F">
      <w:pPr>
        <w:tabs>
          <w:tab w:val="left" w:pos="4667"/>
        </w:tabs>
        <w:ind w:left="567" w:right="539"/>
        <w:rPr>
          <w:b/>
        </w:rPr>
      </w:pPr>
    </w:p>
    <w:p w14:paraId="0B6ADB89" w14:textId="77777777" w:rsidR="00FD6BCA" w:rsidRPr="00D1018F" w:rsidRDefault="00C05457" w:rsidP="00D1018F">
      <w:pPr>
        <w:tabs>
          <w:tab w:val="left" w:pos="4667"/>
        </w:tabs>
        <w:ind w:left="567" w:right="539"/>
        <w:rPr>
          <w:b/>
        </w:rPr>
      </w:pPr>
      <w:r w:rsidRPr="00D1018F">
        <w:rPr>
          <w:b/>
        </w:rPr>
        <w:t>RAZONES O MOTIVOS DE LA INCONFORMIDAD</w:t>
      </w:r>
      <w:r w:rsidRPr="00D1018F">
        <w:rPr>
          <w:b/>
        </w:rPr>
        <w:tab/>
      </w:r>
    </w:p>
    <w:p w14:paraId="324848CD" w14:textId="77777777" w:rsidR="00815757" w:rsidRPr="00D1018F" w:rsidRDefault="00815757" w:rsidP="00D1018F">
      <w:pPr>
        <w:tabs>
          <w:tab w:val="left" w:pos="4667"/>
        </w:tabs>
        <w:ind w:left="567" w:right="539"/>
        <w:rPr>
          <w:b/>
        </w:rPr>
      </w:pPr>
    </w:p>
    <w:p w14:paraId="268ACD06" w14:textId="51022161" w:rsidR="00FD6BCA" w:rsidRPr="00D1018F" w:rsidRDefault="00DB4A86" w:rsidP="00D1018F">
      <w:pPr>
        <w:pStyle w:val="Puesto"/>
        <w:ind w:firstLine="0"/>
        <w:rPr>
          <w:color w:val="auto"/>
        </w:rPr>
      </w:pPr>
      <w:r w:rsidRPr="00D1018F">
        <w:rPr>
          <w:color w:val="auto"/>
        </w:rPr>
        <w:t xml:space="preserve">Se clasifica la información, contrario a lo expresado por el IEEM, se considera que conocer los motivos que orillan a las personas a presentar una renuncia, sí abonan a la transparencia y a la rendición de cuentas, en específico, en las renuncias de mujeres y, en este particular, el caso de </w:t>
      </w:r>
      <w:bookmarkStart w:id="15" w:name="_GoBack"/>
      <w:r w:rsidR="000D3543">
        <w:rPr>
          <w:color w:val="auto"/>
        </w:rPr>
        <w:t>XXXXXX XXXXXXXXX XXXXXXX</w:t>
      </w:r>
      <w:bookmarkEnd w:id="15"/>
      <w:r w:rsidRPr="00D1018F">
        <w:rPr>
          <w:color w:val="auto"/>
        </w:rPr>
        <w:t xml:space="preserve">, Vocal de Organización </w:t>
      </w:r>
      <w:r w:rsidRPr="00D1018F">
        <w:rPr>
          <w:color w:val="auto"/>
        </w:rPr>
        <w:lastRenderedPageBreak/>
        <w:t>de la Junta Judicial No. 11 de Tejupilco podría ser una muestra del porqué las mujeres renuncian, particularmente, cuando hay vulneración de sus derechos humanos.</w:t>
      </w:r>
    </w:p>
    <w:p w14:paraId="5CD78DC6" w14:textId="77777777" w:rsidR="004268EA" w:rsidRPr="00D1018F" w:rsidRDefault="004268EA" w:rsidP="00D1018F"/>
    <w:p w14:paraId="35E82371" w14:textId="77777777" w:rsidR="00FD6BCA" w:rsidRPr="00D1018F" w:rsidRDefault="00C05457" w:rsidP="00D1018F">
      <w:pPr>
        <w:pStyle w:val="Ttulo3"/>
      </w:pPr>
      <w:bookmarkStart w:id="16" w:name="_Toc202418140"/>
      <w:r w:rsidRPr="00D1018F">
        <w:t>b) Turno del Recurso de Revisión</w:t>
      </w:r>
      <w:bookmarkEnd w:id="16"/>
    </w:p>
    <w:p w14:paraId="25A46BBC" w14:textId="19A19513" w:rsidR="00FD6BCA" w:rsidRPr="00D1018F" w:rsidRDefault="00C05457" w:rsidP="00D1018F">
      <w:r w:rsidRPr="00D1018F">
        <w:t>Con fundamento en el artículo 185, fracción I de la Ley de Transparencia y Acceso a la Información Pública del Estado de México y Municipios, el</w:t>
      </w:r>
      <w:r w:rsidRPr="00D1018F">
        <w:rPr>
          <w:b/>
        </w:rPr>
        <w:t xml:space="preserve"> </w:t>
      </w:r>
      <w:r w:rsidR="00DB4A86" w:rsidRPr="00D1018F">
        <w:rPr>
          <w:b/>
        </w:rPr>
        <w:t>siete de mayo</w:t>
      </w:r>
      <w:r w:rsidRPr="00D1018F">
        <w:rPr>
          <w:b/>
        </w:rPr>
        <w:t xml:space="preserve"> de dos mil veinticinco,</w:t>
      </w:r>
      <w:r w:rsidRPr="00D1018F">
        <w:t xml:space="preserve"> se turnó el recurso de revisión a través del SAIMEX a la </w:t>
      </w:r>
      <w:r w:rsidRPr="00D1018F">
        <w:rPr>
          <w:b/>
        </w:rPr>
        <w:t>Comisionada Sharon Cristina Morales Martínez</w:t>
      </w:r>
      <w:r w:rsidRPr="00D1018F">
        <w:t xml:space="preserve">, a efecto de decretar su admisión o </w:t>
      </w:r>
      <w:proofErr w:type="spellStart"/>
      <w:r w:rsidRPr="00D1018F">
        <w:t>desechamiento</w:t>
      </w:r>
      <w:proofErr w:type="spellEnd"/>
      <w:r w:rsidRPr="00D1018F">
        <w:t xml:space="preserve">. </w:t>
      </w:r>
    </w:p>
    <w:p w14:paraId="2FC5E24A" w14:textId="77777777" w:rsidR="00FD6BCA" w:rsidRPr="00D1018F" w:rsidRDefault="00FD6BCA" w:rsidP="00D1018F"/>
    <w:p w14:paraId="5587064D" w14:textId="77777777" w:rsidR="00FD6BCA" w:rsidRPr="00D1018F" w:rsidRDefault="00C05457" w:rsidP="00D1018F">
      <w:pPr>
        <w:pStyle w:val="Ttulo3"/>
      </w:pPr>
      <w:bookmarkStart w:id="17" w:name="_Toc202418141"/>
      <w:r w:rsidRPr="00D1018F">
        <w:t>c) Admisión del Recurso de Revisión</w:t>
      </w:r>
      <w:bookmarkEnd w:id="17"/>
    </w:p>
    <w:p w14:paraId="38099483" w14:textId="4B818DA9" w:rsidR="00FD6BCA" w:rsidRPr="00D1018F" w:rsidRDefault="00C05457" w:rsidP="00D1018F">
      <w:r w:rsidRPr="00D1018F">
        <w:t xml:space="preserve">El </w:t>
      </w:r>
      <w:r w:rsidR="00DB4A86" w:rsidRPr="00D1018F">
        <w:rPr>
          <w:b/>
        </w:rPr>
        <w:t>doce de mayo</w:t>
      </w:r>
      <w:r w:rsidRPr="00D1018F">
        <w:rPr>
          <w:b/>
        </w:rPr>
        <w:t xml:space="preserve"> de dos mil veinticinco,</w:t>
      </w:r>
      <w:r w:rsidRPr="00D1018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D1018F" w:rsidRDefault="00FD6BCA" w:rsidP="00D1018F"/>
    <w:p w14:paraId="42157D40" w14:textId="77777777" w:rsidR="00FD6BCA" w:rsidRPr="00D1018F" w:rsidRDefault="00C05457" w:rsidP="00D1018F">
      <w:pPr>
        <w:pStyle w:val="Ttulo3"/>
      </w:pPr>
      <w:bookmarkStart w:id="18" w:name="_Toc202418142"/>
      <w:r w:rsidRPr="00D1018F">
        <w:t>d) Informe Justificado del Sujeto Obligado</w:t>
      </w:r>
      <w:bookmarkEnd w:id="18"/>
    </w:p>
    <w:p w14:paraId="56280B3D" w14:textId="086B99DC" w:rsidR="00E03C5C" w:rsidRPr="00D1018F" w:rsidRDefault="00E03C5C" w:rsidP="00D1018F">
      <w:r w:rsidRPr="00D1018F">
        <w:t xml:space="preserve">El </w:t>
      </w:r>
      <w:r w:rsidR="00DB4A86" w:rsidRPr="00D1018F">
        <w:rPr>
          <w:b/>
        </w:rPr>
        <w:t>trece de mayo</w:t>
      </w:r>
      <w:r w:rsidRPr="00D1018F">
        <w:rPr>
          <w:b/>
        </w:rPr>
        <w:t xml:space="preserve"> de dos mil veinticinco EL SUJETO OBLIGADO</w:t>
      </w:r>
      <w:r w:rsidRPr="00D1018F">
        <w:t xml:space="preserve"> rindió su informe justificado a través del </w:t>
      </w:r>
      <w:r w:rsidRPr="00D1018F">
        <w:rPr>
          <w:b/>
        </w:rPr>
        <w:t>SAIMEX</w:t>
      </w:r>
      <w:r w:rsidRPr="00D1018F">
        <w:t>, que contienen lo siguiente:</w:t>
      </w:r>
    </w:p>
    <w:p w14:paraId="4B56CA49" w14:textId="05095925" w:rsidR="00D86ECA" w:rsidRPr="00D1018F" w:rsidRDefault="00D86ECA" w:rsidP="00D1018F"/>
    <w:p w14:paraId="6D9E0C06" w14:textId="3CA2E963" w:rsidR="00861321" w:rsidRPr="00D1018F" w:rsidRDefault="00DB4A86" w:rsidP="00D1018F">
      <w:pPr>
        <w:pStyle w:val="Prrafodelista"/>
        <w:numPr>
          <w:ilvl w:val="0"/>
          <w:numId w:val="37"/>
        </w:numPr>
      </w:pPr>
      <w:r w:rsidRPr="00D1018F">
        <w:rPr>
          <w:b/>
          <w:i/>
        </w:rPr>
        <w:t>INFORME JUSTIFICADO RR 5197-2025 UT.docx</w:t>
      </w:r>
      <w:r w:rsidR="006E303D" w:rsidRPr="00D1018F">
        <w:rPr>
          <w:b/>
          <w:i/>
        </w:rPr>
        <w:t xml:space="preserve"> </w:t>
      </w:r>
      <w:r w:rsidR="006E303D" w:rsidRPr="00D1018F">
        <w:rPr>
          <w:bCs/>
          <w:i/>
        </w:rPr>
        <w:t xml:space="preserve">e </w:t>
      </w:r>
      <w:r w:rsidR="006E303D" w:rsidRPr="00D1018F">
        <w:rPr>
          <w:b/>
          <w:i/>
        </w:rPr>
        <w:t>INFORME JUSTIFICADO RR 5197-2025 UT.pdf</w:t>
      </w:r>
      <w:r w:rsidR="00861321" w:rsidRPr="00D1018F">
        <w:rPr>
          <w:b/>
          <w:i/>
        </w:rPr>
        <w:t xml:space="preserve">.- .- </w:t>
      </w:r>
      <w:r w:rsidR="00861321" w:rsidRPr="00D1018F">
        <w:t xml:space="preserve">Se contiene el informe justificado rendido por la Titular de la Unidad de Transparencia, dirigido a la Comisionada Ponente, </w:t>
      </w:r>
      <w:r w:rsidR="003F31E6" w:rsidRPr="00D1018F">
        <w:t xml:space="preserve">por medio del cual presenta en tiempo y forma el presente Informe Justificado del recurso de revisión </w:t>
      </w:r>
      <w:r w:rsidR="00FE180F" w:rsidRPr="00D1018F">
        <w:t>05197/INFOEM/IP/RR/2025</w:t>
      </w:r>
      <w:r w:rsidR="003F31E6" w:rsidRPr="00D1018F">
        <w:t xml:space="preserve">, interpuesto en contra de la respuesta a la solicitud de </w:t>
      </w:r>
      <w:r w:rsidR="003F31E6" w:rsidRPr="00D1018F">
        <w:lastRenderedPageBreak/>
        <w:t xml:space="preserve">acceso a la información pública </w:t>
      </w:r>
      <w:r w:rsidR="00FE180F" w:rsidRPr="00D1018F">
        <w:t>00337/IEEM/IP/2025</w:t>
      </w:r>
      <w:r w:rsidR="003F31E6" w:rsidRPr="00D1018F">
        <w:t xml:space="preserve">, </w:t>
      </w:r>
      <w:r w:rsidR="006E303D" w:rsidRPr="00D1018F">
        <w:t>ratificando su respuesta primigenia</w:t>
      </w:r>
    </w:p>
    <w:p w14:paraId="56B7897F" w14:textId="77777777" w:rsidR="006E303D" w:rsidRPr="00D1018F" w:rsidRDefault="006E303D" w:rsidP="00D1018F">
      <w:pPr>
        <w:pStyle w:val="Prrafodelista"/>
      </w:pPr>
    </w:p>
    <w:p w14:paraId="057DF252" w14:textId="0415951F" w:rsidR="00E03C5C" w:rsidRPr="00D1018F" w:rsidRDefault="00E03C5C" w:rsidP="00D1018F">
      <w:r w:rsidRPr="00D1018F">
        <w:t xml:space="preserve">Esta información fue puesta a la vista de </w:t>
      </w:r>
      <w:r w:rsidRPr="00D1018F">
        <w:rPr>
          <w:b/>
        </w:rPr>
        <w:t xml:space="preserve">LA PARTE RECURRENTE </w:t>
      </w:r>
      <w:r w:rsidRPr="00D1018F">
        <w:t xml:space="preserve">el </w:t>
      </w:r>
      <w:r w:rsidR="00DB4A86" w:rsidRPr="00D1018F">
        <w:rPr>
          <w:b/>
          <w:bCs/>
        </w:rPr>
        <w:t>nueve de junio</w:t>
      </w:r>
      <w:r w:rsidRPr="00D1018F">
        <w:rPr>
          <w:b/>
          <w:bCs/>
        </w:rPr>
        <w:t xml:space="preserve"> de dos mil veinticinco,</w:t>
      </w:r>
      <w:r w:rsidRPr="00D1018F">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6005A9D4" w14:textId="77777777" w:rsidR="00207C16" w:rsidRPr="00D1018F" w:rsidRDefault="00207C16" w:rsidP="00D1018F"/>
    <w:p w14:paraId="34B10D5F" w14:textId="77777777" w:rsidR="00FD6BCA" w:rsidRPr="00D1018F" w:rsidRDefault="00C05457" w:rsidP="00D1018F">
      <w:pPr>
        <w:pStyle w:val="Ttulo3"/>
      </w:pPr>
      <w:bookmarkStart w:id="19" w:name="_Toc202418143"/>
      <w:r w:rsidRPr="00D1018F">
        <w:t>e) Manifestaciones de la Parte Recurrente</w:t>
      </w:r>
      <w:bookmarkEnd w:id="19"/>
    </w:p>
    <w:p w14:paraId="075AC5D7" w14:textId="77777777" w:rsidR="00FD6BCA" w:rsidRPr="00D1018F" w:rsidRDefault="00C05457" w:rsidP="00D1018F">
      <w:r w:rsidRPr="00D1018F">
        <w:rPr>
          <w:b/>
        </w:rPr>
        <w:t xml:space="preserve">LA PARTE RECURRENTE </w:t>
      </w:r>
      <w:r w:rsidRPr="00D1018F">
        <w:t>no realizó manifestación alguna dentro del término legalmente concedido para tal efecto, ni presentó pruebas o alegatos.</w:t>
      </w:r>
    </w:p>
    <w:p w14:paraId="406471CB" w14:textId="77777777" w:rsidR="00FD6BCA" w:rsidRPr="00D1018F" w:rsidRDefault="00FD6BCA" w:rsidP="00D1018F">
      <w:pPr>
        <w:pStyle w:val="Puesto"/>
        <w:ind w:firstLine="567"/>
        <w:jc w:val="right"/>
        <w:rPr>
          <w:color w:val="auto"/>
        </w:rPr>
      </w:pPr>
    </w:p>
    <w:p w14:paraId="686E446C" w14:textId="77777777" w:rsidR="00FD6BCA" w:rsidRPr="00D1018F" w:rsidRDefault="00C05457" w:rsidP="00D1018F">
      <w:pPr>
        <w:pStyle w:val="Ttulo3"/>
      </w:pPr>
      <w:bookmarkStart w:id="20" w:name="_Toc202418144"/>
      <w:r w:rsidRPr="00D1018F">
        <w:t>f) Cierre de instrucción</w:t>
      </w:r>
      <w:bookmarkEnd w:id="20"/>
    </w:p>
    <w:p w14:paraId="6943CE9B" w14:textId="20505EEB" w:rsidR="00FD6BCA" w:rsidRPr="00D1018F" w:rsidRDefault="00C05457" w:rsidP="00D1018F">
      <w:r w:rsidRPr="00D1018F">
        <w:t xml:space="preserve">Al no existir diligencias pendientes por desahogar, el </w:t>
      </w:r>
      <w:r w:rsidR="00DB4A86" w:rsidRPr="00D1018F">
        <w:rPr>
          <w:b/>
        </w:rPr>
        <w:t>veinticuatro de junio</w:t>
      </w:r>
      <w:r w:rsidRPr="00D1018F">
        <w:rPr>
          <w:b/>
        </w:rPr>
        <w:t xml:space="preserve"> de dos mil veinticinco,</w:t>
      </w:r>
      <w:r w:rsidRPr="00D1018F">
        <w:t xml:space="preserve"> la </w:t>
      </w:r>
      <w:r w:rsidRPr="00D1018F">
        <w:rPr>
          <w:b/>
        </w:rPr>
        <w:t xml:space="preserve">Comisionada Sharon Cristina Morales Martínez </w:t>
      </w:r>
      <w:r w:rsidRPr="00D1018F">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24B24C6E" w14:textId="77777777" w:rsidR="007A2300" w:rsidRPr="00D1018F" w:rsidRDefault="007A2300" w:rsidP="00D1018F"/>
    <w:p w14:paraId="4B1A21A2" w14:textId="22DF8EFB" w:rsidR="007A2300" w:rsidRPr="00D1018F" w:rsidRDefault="007A2300" w:rsidP="00D1018F">
      <w:pPr>
        <w:pStyle w:val="Ttulo3"/>
      </w:pPr>
      <w:bookmarkStart w:id="21" w:name="_Toc201223092"/>
      <w:bookmarkStart w:id="22" w:name="_Toc202418145"/>
      <w:r w:rsidRPr="00D1018F">
        <w:t>g) Ampliación de Plazo para Resolver</w:t>
      </w:r>
      <w:bookmarkEnd w:id="21"/>
      <w:bookmarkEnd w:id="22"/>
      <w:r w:rsidRPr="00D1018F">
        <w:t xml:space="preserve"> </w:t>
      </w:r>
    </w:p>
    <w:p w14:paraId="44892CD3" w14:textId="2C70196C" w:rsidR="007A2300" w:rsidRPr="00D1018F" w:rsidRDefault="007A2300" w:rsidP="00D1018F">
      <w:r w:rsidRPr="00D1018F">
        <w:t xml:space="preserve">El </w:t>
      </w:r>
      <w:r w:rsidR="006E4CCD" w:rsidRPr="00D1018F">
        <w:rPr>
          <w:b/>
        </w:rPr>
        <w:t>veinticinco</w:t>
      </w:r>
      <w:r w:rsidRPr="00D1018F">
        <w:rPr>
          <w:b/>
        </w:rPr>
        <w:t xml:space="preserve"> de junio de dos mil veinticinco</w:t>
      </w:r>
      <w:r w:rsidRPr="00D1018F">
        <w:t>, se notificó el acuerdo de ampliación de plazo para resolver el presente Recurso de Revisión, previsto en el artículo 181, tercer párrafo de la Ley de Transparencia y Acceso a la Información Pública del Estado de México y Municipios.</w:t>
      </w:r>
    </w:p>
    <w:p w14:paraId="72E4B5AA" w14:textId="77777777" w:rsidR="007A2300" w:rsidRPr="00D1018F" w:rsidRDefault="007A2300" w:rsidP="00D1018F"/>
    <w:p w14:paraId="6959F54F" w14:textId="77777777" w:rsidR="00FD6BCA" w:rsidRPr="00D1018F" w:rsidRDefault="00FD6BCA" w:rsidP="00D1018F"/>
    <w:p w14:paraId="3B24D235" w14:textId="77777777" w:rsidR="00FD6BCA" w:rsidRPr="00D1018F" w:rsidRDefault="00C05457" w:rsidP="00D1018F">
      <w:pPr>
        <w:pStyle w:val="Ttulo1"/>
      </w:pPr>
      <w:bookmarkStart w:id="23" w:name="_Toc202418146"/>
      <w:r w:rsidRPr="00D1018F">
        <w:t>CONSIDERANDOS</w:t>
      </w:r>
      <w:bookmarkEnd w:id="23"/>
    </w:p>
    <w:p w14:paraId="0EA1146C" w14:textId="77777777" w:rsidR="00FD6BCA" w:rsidRPr="00D1018F" w:rsidRDefault="00FD6BCA" w:rsidP="00D1018F">
      <w:pPr>
        <w:jc w:val="center"/>
        <w:rPr>
          <w:b/>
        </w:rPr>
      </w:pPr>
    </w:p>
    <w:p w14:paraId="54992C8E" w14:textId="77777777" w:rsidR="00FD6BCA" w:rsidRPr="00D1018F" w:rsidRDefault="00C05457" w:rsidP="00D1018F">
      <w:pPr>
        <w:pStyle w:val="Ttulo2"/>
      </w:pPr>
      <w:bookmarkStart w:id="24" w:name="_Toc202418147"/>
      <w:r w:rsidRPr="00D1018F">
        <w:t xml:space="preserve">PRIMERO. </w:t>
      </w:r>
      <w:proofErr w:type="spellStart"/>
      <w:r w:rsidRPr="00D1018F">
        <w:t>Procedibilidad</w:t>
      </w:r>
      <w:bookmarkEnd w:id="24"/>
      <w:proofErr w:type="spellEnd"/>
    </w:p>
    <w:p w14:paraId="134F1BB4" w14:textId="77777777" w:rsidR="00FD6BCA" w:rsidRPr="00D1018F" w:rsidRDefault="00C05457" w:rsidP="00D1018F">
      <w:pPr>
        <w:pStyle w:val="Ttulo3"/>
      </w:pPr>
      <w:bookmarkStart w:id="25" w:name="_Toc202418148"/>
      <w:r w:rsidRPr="00D1018F">
        <w:t>a) Competencia del Instituto</w:t>
      </w:r>
      <w:bookmarkEnd w:id="25"/>
    </w:p>
    <w:p w14:paraId="5CE6933E" w14:textId="072A0507" w:rsidR="00FD6BCA" w:rsidRPr="00D1018F" w:rsidRDefault="00C05457" w:rsidP="00D1018F">
      <w:r w:rsidRPr="00D1018F">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D1018F">
        <w:t>séptimo</w:t>
      </w:r>
      <w:r w:rsidRPr="00D1018F">
        <w:t xml:space="preserve">, trigésimo </w:t>
      </w:r>
      <w:r w:rsidR="00014F69" w:rsidRPr="00D1018F">
        <w:t>octavo y trigésimo noveno</w:t>
      </w:r>
      <w:r w:rsidRPr="00D1018F">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D1018F" w:rsidRDefault="00FD6BCA" w:rsidP="00D1018F"/>
    <w:p w14:paraId="16B1C211" w14:textId="77777777" w:rsidR="00FD6BCA" w:rsidRPr="00D1018F" w:rsidRDefault="00C05457" w:rsidP="00D1018F">
      <w:pPr>
        <w:pStyle w:val="Ttulo3"/>
      </w:pPr>
      <w:bookmarkStart w:id="26" w:name="_Toc202418149"/>
      <w:r w:rsidRPr="00D1018F">
        <w:t>b) Legitimidad de la parte recurrente</w:t>
      </w:r>
      <w:bookmarkEnd w:id="26"/>
    </w:p>
    <w:p w14:paraId="3C6ED633" w14:textId="77777777" w:rsidR="00FD6BCA" w:rsidRPr="00D1018F" w:rsidRDefault="00C05457" w:rsidP="00D1018F">
      <w:r w:rsidRPr="00D1018F">
        <w:t>El recurso de revisión fue interpuesto por parte legítima, ya que se presentó por la misma persona que formuló la solicitud de acceso a la Información Pública,</w:t>
      </w:r>
      <w:r w:rsidRPr="00D1018F">
        <w:rPr>
          <w:b/>
        </w:rPr>
        <w:t xml:space="preserve"> </w:t>
      </w:r>
      <w:r w:rsidRPr="00D1018F">
        <w:t>debido a que los datos de acceso</w:t>
      </w:r>
      <w:r w:rsidRPr="00D1018F">
        <w:rPr>
          <w:b/>
        </w:rPr>
        <w:t xml:space="preserve"> SAIMEX</w:t>
      </w:r>
      <w:r w:rsidRPr="00D1018F">
        <w:t xml:space="preserve"> son personales e irrepetibles.</w:t>
      </w:r>
    </w:p>
    <w:p w14:paraId="031C3C12" w14:textId="77777777" w:rsidR="00FD6BCA" w:rsidRPr="00D1018F" w:rsidRDefault="00FD6BCA" w:rsidP="00D1018F">
      <w:bookmarkStart w:id="27" w:name="_Hlk201760605"/>
    </w:p>
    <w:p w14:paraId="6D393456" w14:textId="77777777" w:rsidR="00FD6BCA" w:rsidRPr="00D1018F" w:rsidRDefault="00C05457" w:rsidP="00D1018F">
      <w:pPr>
        <w:pStyle w:val="Ttulo3"/>
      </w:pPr>
      <w:bookmarkStart w:id="28" w:name="_Toc202418150"/>
      <w:r w:rsidRPr="00D1018F">
        <w:t>c) Plazo para interponer el recurso</w:t>
      </w:r>
      <w:bookmarkEnd w:id="28"/>
    </w:p>
    <w:p w14:paraId="4699B11E" w14:textId="693FE732" w:rsidR="00FD6BCA" w:rsidRPr="00D1018F" w:rsidRDefault="00C05457" w:rsidP="00D1018F">
      <w:r w:rsidRPr="00D1018F">
        <w:rPr>
          <w:b/>
        </w:rPr>
        <w:t>EL SUJETO OBLIGADO</w:t>
      </w:r>
      <w:r w:rsidRPr="00D1018F">
        <w:t xml:space="preserve"> notificó la respuesta a la solicitud de acceso a la Información Pública el</w:t>
      </w:r>
      <w:r w:rsidR="00584AAE" w:rsidRPr="00D1018F">
        <w:t xml:space="preserve"> </w:t>
      </w:r>
      <w:r w:rsidR="006E303D" w:rsidRPr="00D1018F">
        <w:rPr>
          <w:b/>
        </w:rPr>
        <w:t>siete de mayo</w:t>
      </w:r>
      <w:r w:rsidRPr="00D1018F">
        <w:rPr>
          <w:b/>
        </w:rPr>
        <w:t xml:space="preserve"> de dos mil veinticinco,</w:t>
      </w:r>
      <w:r w:rsidRPr="00D1018F">
        <w:t xml:space="preserve"> y el recurso que nos ocupa se tuvo por presentado el </w:t>
      </w:r>
      <w:r w:rsidR="006E303D" w:rsidRPr="00D1018F">
        <w:rPr>
          <w:b/>
        </w:rPr>
        <w:t>siete de mayo</w:t>
      </w:r>
      <w:r w:rsidRPr="00D1018F">
        <w:rPr>
          <w:b/>
        </w:rPr>
        <w:t xml:space="preserve"> de dos mil veinticinco</w:t>
      </w:r>
      <w:r w:rsidRPr="00D1018F">
        <w:t xml:space="preserve">; por lo tanto, éste se encuentra dentro del margen </w:t>
      </w:r>
      <w:r w:rsidRPr="00D1018F">
        <w:lastRenderedPageBreak/>
        <w:t>temporal previsto en el artículo 178 de la Ley de Transparencia y Acceso a la Información Pública del Estado de México y Municipios.</w:t>
      </w:r>
    </w:p>
    <w:p w14:paraId="69CC6441" w14:textId="77777777" w:rsidR="001F6A5F" w:rsidRPr="00D1018F" w:rsidRDefault="001F6A5F" w:rsidP="00D1018F"/>
    <w:p w14:paraId="02C5B0C1" w14:textId="77777777" w:rsidR="001F6A5F" w:rsidRPr="00D1018F" w:rsidRDefault="001F6A5F" w:rsidP="00D1018F">
      <w:r w:rsidRPr="00D1018F">
        <w:t xml:space="preserve">En ese tenor, se advierte que </w:t>
      </w:r>
      <w:r w:rsidRPr="00D1018F">
        <w:rPr>
          <w:b/>
        </w:rPr>
        <w:t>LA PARTE RECURRENTE</w:t>
      </w:r>
      <w:r w:rsidRPr="00D1018F">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w:t>
      </w:r>
      <w:r w:rsidRPr="00D1018F">
        <w:rPr>
          <w:b/>
        </w:rPr>
        <w:t>LA PARTE RECURRENTE</w:t>
      </w:r>
      <w:r w:rsidRPr="00D1018F">
        <w:t xml:space="preserve">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751A8459" w14:textId="77777777" w:rsidR="001F6A5F" w:rsidRPr="00D1018F" w:rsidRDefault="001F6A5F" w:rsidP="00D1018F"/>
    <w:p w14:paraId="155438EE" w14:textId="77777777" w:rsidR="001F6A5F" w:rsidRPr="00D1018F" w:rsidRDefault="001F6A5F" w:rsidP="00D1018F">
      <w:r w:rsidRPr="00D1018F">
        <w:t>En apoyo a lo anterior, resulta aplicable por analogía la Jurisprudencia número 1a</w:t>
      </w:r>
      <w:proofErr w:type="gramStart"/>
      <w:r w:rsidRPr="00D1018F">
        <w:t>./</w:t>
      </w:r>
      <w:proofErr w:type="gramEnd"/>
      <w:r w:rsidRPr="00D1018F">
        <w:t>J. 41/2015 (10a.), Décima Época, sustentada por la Primera Sala de la Suprema Corte de Justicia de la Nación, visible en la página 569, libro 19, tomo I, del Semanario Judicial de la Federación y su de la Gaceta de junio de 2015, cuyo rubro y texto esgrimen:</w:t>
      </w:r>
    </w:p>
    <w:p w14:paraId="5B18D0E9" w14:textId="77777777" w:rsidR="001F6A5F" w:rsidRPr="00D1018F" w:rsidRDefault="001F6A5F" w:rsidP="00D1018F"/>
    <w:p w14:paraId="62135B4D" w14:textId="77777777" w:rsidR="001F6A5F" w:rsidRPr="00D1018F" w:rsidRDefault="001F6A5F" w:rsidP="00D1018F">
      <w:pPr>
        <w:pStyle w:val="Puesto"/>
        <w:ind w:firstLine="0"/>
        <w:rPr>
          <w:color w:val="auto"/>
        </w:rPr>
      </w:pPr>
      <w:r w:rsidRPr="00D1018F">
        <w:rPr>
          <w:color w:val="auto"/>
        </w:rPr>
        <w:t>“</w:t>
      </w:r>
      <w:r w:rsidRPr="00D1018F">
        <w:rPr>
          <w:b/>
          <w:color w:val="auto"/>
        </w:rPr>
        <w:t>RECURSO DE RECLAMACIÓN. SU INTERPOSICIÓN NO ES EXTEMPORÁNEA SI SE REALIZA ANTES DE QUE INICIE EL PLAZO PARA HACERLO.</w:t>
      </w:r>
      <w:r w:rsidRPr="00D1018F">
        <w:rPr>
          <w:color w:val="auto"/>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BA27EF4" w14:textId="0E3571B7" w:rsidR="001F6A5F" w:rsidRPr="00D1018F" w:rsidRDefault="001F6A5F" w:rsidP="00D1018F">
      <w:pPr>
        <w:spacing w:line="240" w:lineRule="auto"/>
        <w:ind w:left="851" w:right="822"/>
        <w:rPr>
          <w:i/>
        </w:rPr>
      </w:pPr>
      <w:r w:rsidRPr="00D1018F">
        <w:rPr>
          <w:i/>
        </w:rPr>
        <w:lastRenderedPageBreak/>
        <w:t>Recurso de reclamación 953/2013. 9 de abril de 2014. Cinco votos de los Ministros Arturo Zaldívar Lelo de Larrea, José Ramón Cossío Díaz, Alfredo Gutiérrez Ortiz.</w:t>
      </w:r>
    </w:p>
    <w:bookmarkEnd w:id="27"/>
    <w:p w14:paraId="5CC4E142" w14:textId="77777777" w:rsidR="00014F69" w:rsidRPr="00D1018F" w:rsidRDefault="00014F69" w:rsidP="00D1018F"/>
    <w:p w14:paraId="7A5A8442" w14:textId="77777777" w:rsidR="00FD6BCA" w:rsidRPr="00D1018F" w:rsidRDefault="00C05457" w:rsidP="00D1018F">
      <w:pPr>
        <w:pStyle w:val="Ttulo3"/>
      </w:pPr>
      <w:bookmarkStart w:id="29" w:name="_Toc202418151"/>
      <w:r w:rsidRPr="00D1018F">
        <w:t>d) Causal de Procedencia</w:t>
      </w:r>
      <w:bookmarkEnd w:id="29"/>
    </w:p>
    <w:p w14:paraId="7D90D0D5" w14:textId="42548B23" w:rsidR="00FD6BCA" w:rsidRPr="00D1018F" w:rsidRDefault="00C05457" w:rsidP="00D1018F">
      <w:r w:rsidRPr="00D1018F">
        <w:t xml:space="preserve">Resulta procedente la interposición del recurso de revisión, ya que se actualiza la causal de procedencia señalada en el artículo 179, fracción </w:t>
      </w:r>
      <w:r w:rsidR="00CD616E" w:rsidRPr="00D1018F">
        <w:t>II</w:t>
      </w:r>
      <w:r w:rsidRPr="00D1018F">
        <w:t xml:space="preserve"> de la Ley de Transparencia y Acceso a la Información Pública del Estado de México y Municipios.</w:t>
      </w:r>
    </w:p>
    <w:p w14:paraId="37A87B22" w14:textId="77777777" w:rsidR="00FD6BCA" w:rsidRPr="00D1018F" w:rsidRDefault="00FD6BCA" w:rsidP="00D1018F"/>
    <w:p w14:paraId="558895A7" w14:textId="77777777" w:rsidR="00FD6BCA" w:rsidRPr="00D1018F" w:rsidRDefault="00C05457" w:rsidP="00D1018F">
      <w:pPr>
        <w:pStyle w:val="Ttulo3"/>
      </w:pPr>
      <w:bookmarkStart w:id="30" w:name="_Toc202418152"/>
      <w:r w:rsidRPr="00D1018F">
        <w:t>e) Requisitos formales para la interposición del recurso</w:t>
      </w:r>
      <w:bookmarkEnd w:id="30"/>
    </w:p>
    <w:p w14:paraId="73E1FA63" w14:textId="77777777" w:rsidR="00FD6BCA" w:rsidRPr="00D1018F" w:rsidRDefault="00C05457" w:rsidP="00D1018F">
      <w:r w:rsidRPr="00D1018F">
        <w:t xml:space="preserve">Es importante mencionar que, de la revisión del expediente electrónico del </w:t>
      </w:r>
      <w:r w:rsidRPr="00D1018F">
        <w:rPr>
          <w:b/>
        </w:rPr>
        <w:t>SAIMEX</w:t>
      </w:r>
      <w:r w:rsidRPr="00D1018F">
        <w:t xml:space="preserve">, se observa que </w:t>
      </w:r>
      <w:r w:rsidRPr="00D1018F">
        <w:rPr>
          <w:b/>
        </w:rPr>
        <w:t>LA PARTE RECURRENTE</w:t>
      </w:r>
      <w:r w:rsidRPr="00D1018F">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D1018F">
        <w:rPr>
          <w:b/>
          <w:u w:val="single"/>
        </w:rPr>
        <w:t>el nombre no es un requisito indispensable</w:t>
      </w:r>
      <w:r w:rsidRPr="00D1018F">
        <w:t xml:space="preserve"> para que las y los ciudadanos ejerzan el derecho de acceso a la información pública. </w:t>
      </w:r>
    </w:p>
    <w:p w14:paraId="3F4F962F" w14:textId="77777777" w:rsidR="00FD6BCA" w:rsidRPr="00D1018F" w:rsidRDefault="00FD6BCA" w:rsidP="00D1018F"/>
    <w:p w14:paraId="6B416A67" w14:textId="77777777" w:rsidR="00FD6BCA" w:rsidRPr="00D1018F" w:rsidRDefault="00C05457" w:rsidP="00D1018F">
      <w:r w:rsidRPr="00D1018F">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D1018F">
        <w:rPr>
          <w:b/>
        </w:rPr>
        <w:t>LA PARTE RECURRENTE</w:t>
      </w:r>
      <w:r w:rsidRPr="00D1018F">
        <w:t xml:space="preserve">; por lo que, en el presente caso, al haber sido presentado el recurso de revisión vía </w:t>
      </w:r>
      <w:r w:rsidRPr="00D1018F">
        <w:rPr>
          <w:b/>
        </w:rPr>
        <w:t>SAIMEX</w:t>
      </w:r>
      <w:r w:rsidRPr="00D1018F">
        <w:t>, dicho requisito resulta innecesario.</w:t>
      </w:r>
    </w:p>
    <w:p w14:paraId="479BEFBF" w14:textId="77777777" w:rsidR="00FD6BCA" w:rsidRPr="00D1018F" w:rsidRDefault="00FD6BCA" w:rsidP="00D1018F"/>
    <w:p w14:paraId="444955D1" w14:textId="77777777" w:rsidR="00FD6BCA" w:rsidRPr="00D1018F" w:rsidRDefault="00C05457" w:rsidP="00D1018F">
      <w:pPr>
        <w:pStyle w:val="Ttulo2"/>
      </w:pPr>
      <w:bookmarkStart w:id="31" w:name="_Toc202418153"/>
      <w:r w:rsidRPr="00D1018F">
        <w:lastRenderedPageBreak/>
        <w:t>SEGUNDO. Estudio de Fondo</w:t>
      </w:r>
      <w:bookmarkEnd w:id="31"/>
    </w:p>
    <w:p w14:paraId="4C6E0E30" w14:textId="77777777" w:rsidR="00FD6BCA" w:rsidRPr="00D1018F" w:rsidRDefault="00C05457" w:rsidP="00D1018F">
      <w:pPr>
        <w:pStyle w:val="Ttulo3"/>
      </w:pPr>
      <w:bookmarkStart w:id="32" w:name="_Toc202418154"/>
      <w:r w:rsidRPr="00D1018F">
        <w:t>a) Mandato de transparencia y responsabilidad del Sujeto Obligado</w:t>
      </w:r>
      <w:bookmarkEnd w:id="32"/>
    </w:p>
    <w:p w14:paraId="35232A6B" w14:textId="77777777" w:rsidR="00FD6BCA" w:rsidRPr="00D1018F" w:rsidRDefault="00C05457" w:rsidP="00D1018F">
      <w:r w:rsidRPr="00D1018F">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D1018F" w:rsidRDefault="00FD6BCA" w:rsidP="00D1018F"/>
    <w:p w14:paraId="42828F48" w14:textId="77777777" w:rsidR="00FD6BCA" w:rsidRPr="00D1018F" w:rsidRDefault="00C05457" w:rsidP="00D1018F">
      <w:pPr>
        <w:spacing w:line="240" w:lineRule="auto"/>
        <w:ind w:left="567" w:right="539"/>
        <w:rPr>
          <w:b/>
          <w:i/>
        </w:rPr>
      </w:pPr>
      <w:r w:rsidRPr="00D1018F">
        <w:rPr>
          <w:b/>
          <w:i/>
        </w:rPr>
        <w:t>Constitución Política de los Estados Unidos Mexicanos</w:t>
      </w:r>
    </w:p>
    <w:p w14:paraId="25BF92BA" w14:textId="77777777" w:rsidR="00FD6BCA" w:rsidRPr="00D1018F" w:rsidRDefault="00C05457" w:rsidP="00D1018F">
      <w:pPr>
        <w:spacing w:line="240" w:lineRule="auto"/>
        <w:ind w:left="567" w:right="539"/>
        <w:rPr>
          <w:b/>
          <w:i/>
        </w:rPr>
      </w:pPr>
      <w:r w:rsidRPr="00D1018F">
        <w:rPr>
          <w:b/>
          <w:i/>
        </w:rPr>
        <w:t>“Artículo 6.</w:t>
      </w:r>
    </w:p>
    <w:p w14:paraId="416CADAE" w14:textId="77777777" w:rsidR="00FD6BCA" w:rsidRPr="00D1018F" w:rsidRDefault="00C05457" w:rsidP="00D1018F">
      <w:pPr>
        <w:spacing w:line="240" w:lineRule="auto"/>
        <w:ind w:left="567" w:right="539"/>
        <w:rPr>
          <w:i/>
        </w:rPr>
      </w:pPr>
      <w:r w:rsidRPr="00D1018F">
        <w:rPr>
          <w:i/>
        </w:rPr>
        <w:t>(…)</w:t>
      </w:r>
    </w:p>
    <w:p w14:paraId="014FCA53" w14:textId="77777777" w:rsidR="00FD6BCA" w:rsidRPr="00D1018F" w:rsidRDefault="00C05457" w:rsidP="00D1018F">
      <w:pPr>
        <w:spacing w:line="240" w:lineRule="auto"/>
        <w:ind w:left="567" w:right="539"/>
        <w:rPr>
          <w:i/>
        </w:rPr>
      </w:pPr>
      <w:r w:rsidRPr="00D1018F">
        <w:rPr>
          <w:i/>
        </w:rPr>
        <w:t>Para efectos de lo dispuesto en el presente artículo se observará lo siguiente:</w:t>
      </w:r>
    </w:p>
    <w:p w14:paraId="6D118B05" w14:textId="77777777" w:rsidR="00FD6BCA" w:rsidRPr="00D1018F" w:rsidRDefault="00C05457" w:rsidP="00D1018F">
      <w:pPr>
        <w:spacing w:line="240" w:lineRule="auto"/>
        <w:ind w:left="567" w:right="539"/>
        <w:rPr>
          <w:b/>
          <w:i/>
        </w:rPr>
      </w:pPr>
      <w:r w:rsidRPr="00D1018F">
        <w:rPr>
          <w:b/>
          <w:i/>
        </w:rPr>
        <w:t>A</w:t>
      </w:r>
      <w:r w:rsidRPr="00D1018F">
        <w:rPr>
          <w:i/>
        </w:rPr>
        <w:t xml:space="preserve">. </w:t>
      </w:r>
      <w:r w:rsidRPr="00D1018F">
        <w:rPr>
          <w:b/>
          <w:i/>
        </w:rPr>
        <w:t>Para el ejercicio del derecho de acceso a la información</w:t>
      </w:r>
      <w:r w:rsidRPr="00D1018F">
        <w:rPr>
          <w:i/>
        </w:rPr>
        <w:t xml:space="preserve">, la Federación y </w:t>
      </w:r>
      <w:r w:rsidRPr="00D1018F">
        <w:rPr>
          <w:b/>
          <w:i/>
        </w:rPr>
        <w:t>las entidades federativas, en el ámbito de sus respectivas competencias, se regirán por los siguientes principios y bases:</w:t>
      </w:r>
    </w:p>
    <w:p w14:paraId="550F39D9" w14:textId="77777777" w:rsidR="00FD6BCA" w:rsidRPr="00D1018F" w:rsidRDefault="00C05457" w:rsidP="00D1018F">
      <w:pPr>
        <w:spacing w:line="240" w:lineRule="auto"/>
        <w:ind w:left="567" w:right="539"/>
        <w:rPr>
          <w:i/>
        </w:rPr>
      </w:pPr>
      <w:r w:rsidRPr="00D1018F">
        <w:rPr>
          <w:b/>
          <w:i/>
        </w:rPr>
        <w:t xml:space="preserve">I. </w:t>
      </w:r>
      <w:r w:rsidRPr="00D1018F">
        <w:rPr>
          <w:b/>
          <w:i/>
        </w:rPr>
        <w:tab/>
        <w:t>Toda la información en posesión de cualquier</w:t>
      </w:r>
      <w:r w:rsidRPr="00D1018F">
        <w:rPr>
          <w:i/>
        </w:rPr>
        <w:t xml:space="preserve"> </w:t>
      </w:r>
      <w:r w:rsidRPr="00D1018F">
        <w:rPr>
          <w:b/>
          <w:i/>
        </w:rPr>
        <w:t>autoridad</w:t>
      </w:r>
      <w:r w:rsidRPr="00D1018F">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1018F">
        <w:rPr>
          <w:b/>
          <w:i/>
        </w:rPr>
        <w:t>municipal</w:t>
      </w:r>
      <w:r w:rsidRPr="00D1018F">
        <w:rPr>
          <w:i/>
        </w:rPr>
        <w:t xml:space="preserve">, </w:t>
      </w:r>
      <w:r w:rsidRPr="00D1018F">
        <w:rPr>
          <w:b/>
          <w:i/>
        </w:rPr>
        <w:t>es pública</w:t>
      </w:r>
      <w:r w:rsidRPr="00D1018F">
        <w:rPr>
          <w:i/>
        </w:rPr>
        <w:t xml:space="preserve"> y sólo podrá ser reservada temporalmente por razones de interés público y seguridad nacional, en los términos que fijen las leyes. </w:t>
      </w:r>
      <w:r w:rsidRPr="00D1018F">
        <w:rPr>
          <w:b/>
          <w:i/>
        </w:rPr>
        <w:t>En la interpretación de este derecho deberá prevalecer el principio de máxima publicidad. Los sujetos obligados deberán documentar todo acto que derive del ejercicio de sus facultades, competencias o funciones</w:t>
      </w:r>
      <w:r w:rsidRPr="00D1018F">
        <w:rPr>
          <w:i/>
        </w:rPr>
        <w:t>, la ley determinará los supuestos específicos bajo los cuales procederá la declaración de inexistencia de la información.”</w:t>
      </w:r>
    </w:p>
    <w:p w14:paraId="442B28F3" w14:textId="77777777" w:rsidR="00FD6BCA" w:rsidRPr="00D1018F" w:rsidRDefault="00FD6BCA" w:rsidP="00D1018F">
      <w:pPr>
        <w:spacing w:line="240" w:lineRule="auto"/>
        <w:ind w:left="567" w:right="539"/>
        <w:rPr>
          <w:b/>
          <w:i/>
        </w:rPr>
      </w:pPr>
    </w:p>
    <w:p w14:paraId="46CEDA6D" w14:textId="77777777" w:rsidR="00FD6BCA" w:rsidRPr="00D1018F" w:rsidRDefault="00C05457" w:rsidP="00D1018F">
      <w:pPr>
        <w:spacing w:line="240" w:lineRule="auto"/>
        <w:ind w:left="567" w:right="539"/>
        <w:rPr>
          <w:b/>
          <w:i/>
        </w:rPr>
      </w:pPr>
      <w:r w:rsidRPr="00D1018F">
        <w:rPr>
          <w:b/>
          <w:i/>
        </w:rPr>
        <w:t>Constitución Política del Estado Libre y Soberano de México</w:t>
      </w:r>
    </w:p>
    <w:p w14:paraId="089E73DF" w14:textId="77777777" w:rsidR="00FD6BCA" w:rsidRPr="00D1018F" w:rsidRDefault="00C05457" w:rsidP="00D1018F">
      <w:pPr>
        <w:spacing w:line="240" w:lineRule="auto"/>
        <w:ind w:left="567" w:right="539"/>
        <w:rPr>
          <w:i/>
        </w:rPr>
      </w:pPr>
      <w:r w:rsidRPr="00D1018F">
        <w:rPr>
          <w:b/>
          <w:i/>
        </w:rPr>
        <w:t>“Artículo 5</w:t>
      </w:r>
      <w:r w:rsidRPr="00D1018F">
        <w:rPr>
          <w:i/>
        </w:rPr>
        <w:t xml:space="preserve">.- </w:t>
      </w:r>
    </w:p>
    <w:p w14:paraId="41CFF78C" w14:textId="77777777" w:rsidR="00FD6BCA" w:rsidRPr="00D1018F" w:rsidRDefault="00C05457" w:rsidP="00D1018F">
      <w:pPr>
        <w:spacing w:line="240" w:lineRule="auto"/>
        <w:ind w:left="567" w:right="539"/>
        <w:rPr>
          <w:i/>
        </w:rPr>
      </w:pPr>
      <w:r w:rsidRPr="00D1018F">
        <w:rPr>
          <w:i/>
        </w:rPr>
        <w:t>(…)</w:t>
      </w:r>
    </w:p>
    <w:p w14:paraId="62587EEA" w14:textId="77777777" w:rsidR="00FD6BCA" w:rsidRPr="00D1018F" w:rsidRDefault="00C05457" w:rsidP="00D1018F">
      <w:pPr>
        <w:spacing w:line="240" w:lineRule="auto"/>
        <w:ind w:left="567" w:right="539"/>
        <w:rPr>
          <w:i/>
        </w:rPr>
      </w:pPr>
      <w:r w:rsidRPr="00D1018F">
        <w:rPr>
          <w:b/>
          <w:i/>
        </w:rPr>
        <w:t>El derecho a la información será garantizado por el Estado. La ley establecerá las previsiones que permitan asegurar la protección, el respeto y la difusión de este derecho</w:t>
      </w:r>
      <w:r w:rsidRPr="00D1018F">
        <w:rPr>
          <w:i/>
        </w:rPr>
        <w:t>.</w:t>
      </w:r>
    </w:p>
    <w:p w14:paraId="7809B4AA" w14:textId="77777777" w:rsidR="00FD6BCA" w:rsidRPr="00D1018F" w:rsidRDefault="00C05457" w:rsidP="00D1018F">
      <w:pPr>
        <w:spacing w:line="240" w:lineRule="auto"/>
        <w:ind w:left="567" w:right="539"/>
        <w:rPr>
          <w:i/>
        </w:rPr>
      </w:pPr>
      <w:r w:rsidRPr="00D1018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D1018F" w:rsidRDefault="00C05457" w:rsidP="00D1018F">
      <w:pPr>
        <w:spacing w:line="240" w:lineRule="auto"/>
        <w:ind w:left="567" w:right="539"/>
        <w:rPr>
          <w:i/>
        </w:rPr>
      </w:pPr>
      <w:r w:rsidRPr="00D1018F">
        <w:rPr>
          <w:b/>
          <w:i/>
        </w:rPr>
        <w:t>Este derecho se regirá por los principios y bases siguientes</w:t>
      </w:r>
      <w:r w:rsidRPr="00D1018F">
        <w:rPr>
          <w:i/>
        </w:rPr>
        <w:t>:</w:t>
      </w:r>
    </w:p>
    <w:p w14:paraId="63EEB4C0" w14:textId="77777777" w:rsidR="00FD6BCA" w:rsidRPr="00D1018F" w:rsidRDefault="00C05457" w:rsidP="00D1018F">
      <w:pPr>
        <w:spacing w:line="240" w:lineRule="auto"/>
        <w:ind w:left="567" w:right="539"/>
        <w:rPr>
          <w:i/>
        </w:rPr>
      </w:pPr>
      <w:r w:rsidRPr="00D1018F">
        <w:rPr>
          <w:b/>
          <w:i/>
        </w:rPr>
        <w:lastRenderedPageBreak/>
        <w:t>I. Toda la información en posesión de cualquier autoridad, entidad, órgano y organismos de los</w:t>
      </w:r>
      <w:r w:rsidRPr="00D1018F">
        <w:rPr>
          <w:i/>
        </w:rPr>
        <w:t xml:space="preserve"> Poderes Ejecutivo, Legislativo y Judicial, órganos autónomos, partidos políticos, fideicomisos y fondos públicos estatales y </w:t>
      </w:r>
      <w:r w:rsidRPr="00D1018F">
        <w:rPr>
          <w:b/>
          <w:i/>
        </w:rPr>
        <w:t>municipales</w:t>
      </w:r>
      <w:r w:rsidRPr="00D1018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1018F">
        <w:rPr>
          <w:b/>
          <w:i/>
        </w:rPr>
        <w:t>es pública</w:t>
      </w:r>
      <w:r w:rsidRPr="00D1018F">
        <w:rPr>
          <w:i/>
        </w:rPr>
        <w:t xml:space="preserve"> y sólo podrá ser reservada temporalmente por razones previstas en la Constitución Política de los Estados Unidos Mexicanos de interés público y seguridad, en los términos que fijen las leyes. </w:t>
      </w:r>
      <w:r w:rsidRPr="00D1018F">
        <w:rPr>
          <w:b/>
          <w:i/>
        </w:rPr>
        <w:t>En la interpretación de este derecho deberá prevalecer el principio de máxima publicidad</w:t>
      </w:r>
      <w:r w:rsidRPr="00D1018F">
        <w:rPr>
          <w:i/>
        </w:rPr>
        <w:t xml:space="preserve">. </w:t>
      </w:r>
      <w:r w:rsidRPr="00D1018F">
        <w:rPr>
          <w:b/>
          <w:i/>
        </w:rPr>
        <w:t>Los sujetos obligados deberán documentar todo acto que derive del ejercicio de sus facultades, competencias o funciones</w:t>
      </w:r>
      <w:r w:rsidRPr="00D1018F">
        <w:rPr>
          <w:i/>
        </w:rPr>
        <w:t>, la ley determinará los supuestos específicos bajo los cuales procederá la declaración de inexistencia de la información.”</w:t>
      </w:r>
    </w:p>
    <w:p w14:paraId="5799120D" w14:textId="77777777" w:rsidR="00FD6BCA" w:rsidRPr="00D1018F" w:rsidRDefault="00FD6BCA" w:rsidP="00D1018F">
      <w:pPr>
        <w:rPr>
          <w:b/>
          <w:i/>
        </w:rPr>
      </w:pPr>
    </w:p>
    <w:p w14:paraId="26565092" w14:textId="77777777" w:rsidR="00FD6BCA" w:rsidRPr="00D1018F" w:rsidRDefault="00C05457" w:rsidP="00D1018F">
      <w:pPr>
        <w:rPr>
          <w:i/>
        </w:rPr>
      </w:pPr>
      <w:r w:rsidRPr="00D1018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1018F">
        <w:rPr>
          <w:i/>
        </w:rPr>
        <w:t>por los principios de simplicidad, rapidez, gratuidad del procedimiento, auxilio y orientación a los particulares.</w:t>
      </w:r>
    </w:p>
    <w:p w14:paraId="585DAE54" w14:textId="77777777" w:rsidR="00FD6BCA" w:rsidRPr="00D1018F" w:rsidRDefault="00FD6BCA" w:rsidP="00D1018F">
      <w:pPr>
        <w:rPr>
          <w:i/>
        </w:rPr>
      </w:pPr>
    </w:p>
    <w:p w14:paraId="1CF5BCB0" w14:textId="77777777" w:rsidR="00FD6BCA" w:rsidRPr="00D1018F" w:rsidRDefault="00C05457" w:rsidP="00D1018F">
      <w:pPr>
        <w:rPr>
          <w:i/>
        </w:rPr>
      </w:pPr>
      <w:r w:rsidRPr="00D1018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D1018F" w:rsidRDefault="00FD6BCA" w:rsidP="00D1018F"/>
    <w:p w14:paraId="31619CBE" w14:textId="77777777" w:rsidR="00FD6BCA" w:rsidRPr="00D1018F" w:rsidRDefault="00C05457" w:rsidP="00D1018F">
      <w:r w:rsidRPr="00D1018F">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D1018F" w:rsidRDefault="00FD6BCA" w:rsidP="00D1018F"/>
    <w:p w14:paraId="52EA6FF3" w14:textId="77777777" w:rsidR="00FD6BCA" w:rsidRPr="00D1018F" w:rsidRDefault="00C05457" w:rsidP="00D1018F">
      <w:r w:rsidRPr="00D1018F">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D1018F" w:rsidRDefault="00FD6BCA" w:rsidP="00D1018F"/>
    <w:p w14:paraId="4E68E529" w14:textId="77777777" w:rsidR="00FD6BCA" w:rsidRPr="00D1018F" w:rsidRDefault="00C05457" w:rsidP="00D1018F">
      <w:r w:rsidRPr="00D1018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D1018F" w:rsidRDefault="00FD6BCA" w:rsidP="00D1018F"/>
    <w:p w14:paraId="1FABAB69" w14:textId="77777777" w:rsidR="00FD6BCA" w:rsidRPr="00D1018F" w:rsidRDefault="00C05457" w:rsidP="00D1018F">
      <w:pPr>
        <w:pStyle w:val="Ttulo3"/>
      </w:pPr>
      <w:bookmarkStart w:id="33" w:name="_49x2ik5" w:colFirst="0" w:colLast="0"/>
      <w:bookmarkStart w:id="34" w:name="_Toc202418155"/>
      <w:bookmarkEnd w:id="33"/>
      <w:r w:rsidRPr="00D1018F">
        <w:t>b) Controversia a resolver</w:t>
      </w:r>
      <w:bookmarkEnd w:id="34"/>
    </w:p>
    <w:p w14:paraId="54AD022A" w14:textId="41CCA430" w:rsidR="009C4AB9" w:rsidRPr="00D1018F" w:rsidRDefault="00C05457" w:rsidP="00D1018F">
      <w:r w:rsidRPr="00D1018F">
        <w:t xml:space="preserve">Con el objeto de ilustrar la controversia planteada, resulta conveniente precisar que, una vez realizado el estudio de las constancias que integran el expediente en que se actúa, se desprende que </w:t>
      </w:r>
      <w:r w:rsidRPr="00D1018F">
        <w:rPr>
          <w:b/>
        </w:rPr>
        <w:t>LA PARTE RECURRENTE</w:t>
      </w:r>
      <w:r w:rsidRPr="00D1018F">
        <w:t xml:space="preserve"> solicitó </w:t>
      </w:r>
      <w:r w:rsidR="00815757" w:rsidRPr="00D1018F">
        <w:t xml:space="preserve">las </w:t>
      </w:r>
      <w:r w:rsidR="006E303D" w:rsidRPr="00D1018F">
        <w:t xml:space="preserve">renuncias de los vocales y coordinadores del secretariado al </w:t>
      </w:r>
      <w:r w:rsidR="00815757" w:rsidRPr="00D1018F">
        <w:t>veintisiete de marzo de dos mil veinticinco</w:t>
      </w:r>
      <w:r w:rsidR="006E303D" w:rsidRPr="00D1018F">
        <w:t>.</w:t>
      </w:r>
    </w:p>
    <w:p w14:paraId="382FE94B" w14:textId="77777777" w:rsidR="006E303D" w:rsidRPr="00D1018F" w:rsidRDefault="006E303D" w:rsidP="00D1018F">
      <w:pPr>
        <w:tabs>
          <w:tab w:val="left" w:pos="4962"/>
        </w:tabs>
      </w:pPr>
    </w:p>
    <w:p w14:paraId="6114B83F" w14:textId="0509545B" w:rsidR="00FD6BCA" w:rsidRPr="00D1018F" w:rsidRDefault="00C05457" w:rsidP="00D1018F">
      <w:pPr>
        <w:tabs>
          <w:tab w:val="left" w:pos="4962"/>
        </w:tabs>
      </w:pPr>
      <w:r w:rsidRPr="00D1018F">
        <w:t xml:space="preserve">Ahora bien, en la interposición del presente recurso </w:t>
      </w:r>
      <w:r w:rsidRPr="00D1018F">
        <w:rPr>
          <w:b/>
        </w:rPr>
        <w:t>LA PARTE RECURRENTE</w:t>
      </w:r>
      <w:r w:rsidRPr="00D1018F">
        <w:t xml:space="preserve"> se inconformó manifestando </w:t>
      </w:r>
      <w:r w:rsidR="004C1F29" w:rsidRPr="00D1018F">
        <w:t xml:space="preserve">que </w:t>
      </w:r>
      <w:r w:rsidR="00815757" w:rsidRPr="00D1018F">
        <w:rPr>
          <w:b/>
        </w:rPr>
        <w:t>EL</w:t>
      </w:r>
      <w:r w:rsidR="00815757" w:rsidRPr="00D1018F">
        <w:t xml:space="preserve"> </w:t>
      </w:r>
      <w:r w:rsidR="00774E22" w:rsidRPr="00D1018F">
        <w:rPr>
          <w:b/>
        </w:rPr>
        <w:t xml:space="preserve">SUJETO OBLIGADO </w:t>
      </w:r>
      <w:r w:rsidR="00774E22" w:rsidRPr="00D1018F">
        <w:t xml:space="preserve">en la respuesta </w:t>
      </w:r>
      <w:r w:rsidR="006E303D" w:rsidRPr="00D1018F">
        <w:t>clasificó la información correspondiente a los motivos de la renuncia.</w:t>
      </w:r>
    </w:p>
    <w:p w14:paraId="72ED2785" w14:textId="77777777" w:rsidR="00FD6BCA" w:rsidRPr="00D1018F" w:rsidRDefault="00FD6BCA" w:rsidP="00D1018F"/>
    <w:p w14:paraId="0F1202F8" w14:textId="4FC1527A" w:rsidR="00FD6BCA" w:rsidRPr="00D1018F" w:rsidRDefault="00C05457" w:rsidP="00D1018F">
      <w:r w:rsidRPr="00D1018F">
        <w:lastRenderedPageBreak/>
        <w:t xml:space="preserve">Abierta la etapa de instrucción, </w:t>
      </w:r>
      <w:r w:rsidRPr="00D1018F">
        <w:rPr>
          <w:b/>
        </w:rPr>
        <w:t>EL SUJETO OBLIGADO</w:t>
      </w:r>
      <w:r w:rsidR="009C4AB9" w:rsidRPr="00D1018F">
        <w:t xml:space="preserve"> </w:t>
      </w:r>
      <w:r w:rsidRPr="00D1018F">
        <w:t>rindió su Informe Justificado</w:t>
      </w:r>
      <w:r w:rsidR="00820120" w:rsidRPr="00D1018F">
        <w:t>, ratificando en términos generales la respuesta primigenia</w:t>
      </w:r>
      <w:r w:rsidR="006E303D" w:rsidRPr="00D1018F">
        <w:t xml:space="preserve">. </w:t>
      </w:r>
      <w:r w:rsidRPr="00D1018F">
        <w:rPr>
          <w:b/>
        </w:rPr>
        <w:t xml:space="preserve">LA PARTE RECURRENTE </w:t>
      </w:r>
      <w:r w:rsidRPr="00D1018F">
        <w:t>omitió realizar las manifestaciones que a su derecho conviniera.</w:t>
      </w:r>
    </w:p>
    <w:p w14:paraId="41089C11" w14:textId="77777777" w:rsidR="00FD6BCA" w:rsidRPr="00D1018F" w:rsidRDefault="00FD6BCA" w:rsidP="00D1018F"/>
    <w:p w14:paraId="025805F5" w14:textId="1B0C185F" w:rsidR="00FD6BCA" w:rsidRPr="00D1018F" w:rsidRDefault="00C05457" w:rsidP="00D1018F">
      <w:pPr>
        <w:tabs>
          <w:tab w:val="left" w:pos="709"/>
        </w:tabs>
      </w:pPr>
      <w:r w:rsidRPr="00D1018F">
        <w:t xml:space="preserve">Bajo las premisas anteriores, se concluye que la controversia a dilucidar en el presente medio de impugnación será verificar si la información proporcionada en respuesta </w:t>
      </w:r>
      <w:r w:rsidR="00F44D50" w:rsidRPr="00D1018F">
        <w:t xml:space="preserve">y en informe justificado </w:t>
      </w:r>
      <w:r w:rsidRPr="00D1018F">
        <w:t xml:space="preserve">por </w:t>
      </w:r>
      <w:r w:rsidRPr="00D1018F">
        <w:rPr>
          <w:b/>
        </w:rPr>
        <w:t xml:space="preserve">EL SUJETO OBLIGADO </w:t>
      </w:r>
      <w:r w:rsidRPr="00D1018F">
        <w:t xml:space="preserve">es adecuada y suficiente para tener por satisfecho el derecho de acceso a la información pública de </w:t>
      </w:r>
      <w:r w:rsidRPr="00D1018F">
        <w:rPr>
          <w:b/>
        </w:rPr>
        <w:t>LA PARTE RECURRENTE</w:t>
      </w:r>
      <w:r w:rsidRPr="00D1018F">
        <w:t xml:space="preserve">, o en su caso, ordenar la entrega de la información que corresponda. </w:t>
      </w:r>
    </w:p>
    <w:p w14:paraId="05E929F3" w14:textId="77777777" w:rsidR="00FD6BCA" w:rsidRPr="00D1018F" w:rsidRDefault="00FD6BCA" w:rsidP="00D1018F"/>
    <w:p w14:paraId="5CFB0D9E" w14:textId="77777777" w:rsidR="00FD6BCA" w:rsidRPr="00D1018F" w:rsidRDefault="00C05457" w:rsidP="00D1018F">
      <w:pPr>
        <w:pStyle w:val="Ttulo3"/>
      </w:pPr>
      <w:bookmarkStart w:id="35" w:name="_2p2csry" w:colFirst="0" w:colLast="0"/>
      <w:bookmarkStart w:id="36" w:name="_Toc202418156"/>
      <w:bookmarkEnd w:id="35"/>
      <w:r w:rsidRPr="00D1018F">
        <w:t>c) Estudio de la controversia</w:t>
      </w:r>
      <w:bookmarkEnd w:id="36"/>
    </w:p>
    <w:p w14:paraId="5540068B" w14:textId="77777777" w:rsidR="009354D7" w:rsidRPr="00D1018F" w:rsidRDefault="009354D7" w:rsidP="00D1018F">
      <w:pPr>
        <w:tabs>
          <w:tab w:val="left" w:pos="709"/>
        </w:tabs>
      </w:pPr>
      <w:r w:rsidRPr="00D1018F">
        <w:t>Ahora</w:t>
      </w:r>
      <w:r w:rsidRPr="00D1018F">
        <w:rPr>
          <w:rFonts w:eastAsia="Calibri" w:cs="Arial"/>
        </w:rPr>
        <w:t xml:space="preserve"> bien, una vez precisado y señalado lo anterior, este Órgano Garante </w:t>
      </w:r>
      <w:r w:rsidRPr="00D1018F">
        <w:t xml:space="preserve">obvia el análisis de la competencia por parte del </w:t>
      </w:r>
      <w:r w:rsidRPr="00D1018F">
        <w:rPr>
          <w:b/>
        </w:rPr>
        <w:t>SUJETO OBLIGADO</w:t>
      </w:r>
      <w:r w:rsidRPr="00D1018F">
        <w:t xml:space="preserve">, para generar, administrar o poseer la información solicitada, dado que éste ha asumido la misma, en razón de que en su respuesta le hizo entrega al </w:t>
      </w:r>
      <w:r w:rsidRPr="00D1018F">
        <w:rPr>
          <w:b/>
        </w:rPr>
        <w:t xml:space="preserve">RECURRENTE </w:t>
      </w:r>
      <w:r w:rsidRPr="00D1018F">
        <w:t xml:space="preserve">de la información solicitada. </w:t>
      </w:r>
    </w:p>
    <w:p w14:paraId="1C6CEA53" w14:textId="77777777" w:rsidR="00815757" w:rsidRPr="00D1018F" w:rsidRDefault="00815757" w:rsidP="00D1018F">
      <w:pPr>
        <w:tabs>
          <w:tab w:val="left" w:pos="709"/>
        </w:tabs>
      </w:pPr>
    </w:p>
    <w:p w14:paraId="1447D30C" w14:textId="77777777" w:rsidR="009354D7" w:rsidRPr="00D1018F" w:rsidRDefault="009354D7" w:rsidP="00D1018F">
      <w:pPr>
        <w:spacing w:before="240" w:after="240"/>
      </w:pPr>
      <w:r w:rsidRPr="00D1018F">
        <w:t xml:space="preserve">En efecto, el hecho de que </w:t>
      </w:r>
      <w:r w:rsidRPr="00D1018F">
        <w:rPr>
          <w:b/>
        </w:rPr>
        <w:t>EL SUJETO OBLIGADO</w:t>
      </w:r>
      <w:r w:rsidRPr="00D1018F">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227830F4" w14:textId="77777777" w:rsidR="009354D7" w:rsidRPr="00D1018F" w:rsidRDefault="009354D7" w:rsidP="00D1018F">
      <w:pPr>
        <w:pStyle w:val="Puesto"/>
        <w:ind w:firstLine="0"/>
        <w:rPr>
          <w:color w:val="auto"/>
        </w:rPr>
      </w:pPr>
      <w:r w:rsidRPr="00D1018F">
        <w:rPr>
          <w:color w:val="auto"/>
        </w:rPr>
        <w:t>“</w:t>
      </w:r>
      <w:r w:rsidRPr="00D1018F">
        <w:rPr>
          <w:b/>
          <w:color w:val="auto"/>
        </w:rPr>
        <w:t>Artículo 12.</w:t>
      </w:r>
      <w:r w:rsidRPr="00D1018F">
        <w:rPr>
          <w:color w:val="auto"/>
        </w:rPr>
        <w:t xml:space="preserve"> Quienes generen, recopilen, administren, manejen, procesen, archiven o conserven información pública serán responsables de la misma en los términos de las disposiciones jurídicas aplicables. </w:t>
      </w:r>
    </w:p>
    <w:p w14:paraId="77FABFF4" w14:textId="77777777" w:rsidR="009354D7" w:rsidRPr="00D1018F" w:rsidRDefault="009354D7" w:rsidP="00D1018F">
      <w:pPr>
        <w:pStyle w:val="Puesto"/>
        <w:ind w:firstLine="0"/>
        <w:rPr>
          <w:color w:val="auto"/>
        </w:rPr>
      </w:pPr>
      <w:r w:rsidRPr="00D1018F">
        <w:rPr>
          <w:color w:val="auto"/>
        </w:rPr>
        <w:t xml:space="preserve">Los sujetos obligados sólo proporcionarán la información pública que se les requiera y que obre en sus archivos y en el estado en que ésta se encuentre. La obligación de proporcionar </w:t>
      </w:r>
      <w:r w:rsidRPr="00D1018F">
        <w:rPr>
          <w:color w:val="auto"/>
        </w:rPr>
        <w:lastRenderedPageBreak/>
        <w:t xml:space="preserve">información no comprende el procesamiento de la misma, ni el presentarla conforme al interés del solicitante; no estarán obligados a generarla, resumirla, efectuar cálculos o practicar investigaciones.” </w:t>
      </w:r>
    </w:p>
    <w:p w14:paraId="77500E43" w14:textId="77777777" w:rsidR="009354D7" w:rsidRPr="00D1018F" w:rsidRDefault="009354D7" w:rsidP="00D1018F">
      <w:pPr>
        <w:autoSpaceDE w:val="0"/>
        <w:autoSpaceDN w:val="0"/>
        <w:adjustRightInd w:val="0"/>
        <w:contextualSpacing/>
        <w:rPr>
          <w:rFonts w:eastAsia="Times New Roman" w:cs="Tahoma"/>
          <w:bCs/>
          <w:iCs/>
          <w:lang w:eastAsia="es-ES"/>
        </w:rPr>
      </w:pPr>
    </w:p>
    <w:p w14:paraId="52341BF5" w14:textId="0A624725" w:rsidR="00AD2D1A" w:rsidRPr="00D1018F" w:rsidRDefault="00AD2D1A" w:rsidP="00D1018F">
      <w:pPr>
        <w:autoSpaceDE w:val="0"/>
        <w:autoSpaceDN w:val="0"/>
        <w:adjustRightInd w:val="0"/>
        <w:contextualSpacing/>
        <w:rPr>
          <w:rFonts w:eastAsia="Times New Roman" w:cs="Tahoma"/>
          <w:bCs/>
          <w:iCs/>
          <w:lang w:eastAsia="es-ES"/>
        </w:rPr>
      </w:pPr>
      <w:r w:rsidRPr="00D1018F">
        <w:rPr>
          <w:rFonts w:eastAsia="Times New Roman" w:cs="Tahoma"/>
          <w:bCs/>
          <w:iCs/>
          <w:lang w:eastAsia="es-ES"/>
        </w:rPr>
        <w:t xml:space="preserve">Expuesto lo anterior, se procede analizar el agravio hecho valer por </w:t>
      </w:r>
      <w:r w:rsidRPr="00D1018F">
        <w:rPr>
          <w:rFonts w:eastAsia="Times New Roman" w:cs="Tahoma"/>
          <w:b/>
          <w:bCs/>
          <w:iCs/>
          <w:lang w:eastAsia="es-ES"/>
        </w:rPr>
        <w:t>LA PARTE RECURRENTE</w:t>
      </w:r>
      <w:r w:rsidRPr="00D1018F">
        <w:rPr>
          <w:rFonts w:eastAsia="Times New Roman" w:cs="Tahoma"/>
          <w:bCs/>
          <w:iCs/>
          <w:lang w:eastAsia="es-ES"/>
        </w:rPr>
        <w:t xml:space="preserve">, referente a que se </w:t>
      </w:r>
      <w:r w:rsidR="001727E0" w:rsidRPr="00D1018F">
        <w:rPr>
          <w:rFonts w:eastAsia="Times New Roman" w:cs="Tahoma"/>
          <w:bCs/>
          <w:iCs/>
          <w:lang w:eastAsia="es-ES"/>
        </w:rPr>
        <w:t>clasificó la información concerniente a los motivos que manifestaron los servidores públicos para presentar la renuncia.</w:t>
      </w:r>
    </w:p>
    <w:p w14:paraId="4566EAA3" w14:textId="77777777" w:rsidR="000543C4" w:rsidRPr="00D1018F" w:rsidRDefault="000543C4" w:rsidP="00D1018F">
      <w:pPr>
        <w:autoSpaceDE w:val="0"/>
        <w:autoSpaceDN w:val="0"/>
        <w:adjustRightInd w:val="0"/>
        <w:contextualSpacing/>
        <w:rPr>
          <w:rFonts w:eastAsia="Times New Roman" w:cs="Tahoma"/>
          <w:bCs/>
          <w:iCs/>
          <w:lang w:eastAsia="es-ES"/>
        </w:rPr>
      </w:pPr>
    </w:p>
    <w:p w14:paraId="10543D02" w14:textId="243CED68" w:rsidR="000543C4" w:rsidRPr="00D1018F" w:rsidRDefault="000543C4" w:rsidP="00D1018F">
      <w:pPr>
        <w:autoSpaceDE w:val="0"/>
        <w:autoSpaceDN w:val="0"/>
        <w:adjustRightInd w:val="0"/>
        <w:contextualSpacing/>
        <w:rPr>
          <w:rFonts w:eastAsia="Times New Roman" w:cs="Tahoma"/>
          <w:bCs/>
          <w:iCs/>
          <w:lang w:eastAsia="es-ES"/>
        </w:rPr>
      </w:pPr>
      <w:r w:rsidRPr="00D1018F">
        <w:rPr>
          <w:rFonts w:eastAsia="Times New Roman" w:cs="Tahoma"/>
          <w:bCs/>
          <w:iCs/>
          <w:lang w:eastAsia="es-ES"/>
        </w:rPr>
        <w:t>Por principio, se tiene que la renuncia es un acto unilateral y voluntario del servidor público que tiene por objeto expresar su deseo de terminar la relación laboral existente entre ella y la parte patronal</w:t>
      </w:r>
    </w:p>
    <w:p w14:paraId="6A10837D" w14:textId="77777777" w:rsidR="000543C4" w:rsidRPr="00D1018F" w:rsidRDefault="000543C4" w:rsidP="00D1018F">
      <w:pPr>
        <w:autoSpaceDE w:val="0"/>
        <w:autoSpaceDN w:val="0"/>
        <w:adjustRightInd w:val="0"/>
        <w:contextualSpacing/>
        <w:rPr>
          <w:rFonts w:eastAsia="Times New Roman" w:cs="Tahoma"/>
          <w:lang w:eastAsia="es-ES"/>
        </w:rPr>
      </w:pPr>
    </w:p>
    <w:p w14:paraId="71031D16" w14:textId="506C694D" w:rsidR="008D72BD" w:rsidRPr="00D1018F" w:rsidRDefault="008D72BD" w:rsidP="00D1018F">
      <w:pPr>
        <w:autoSpaceDE w:val="0"/>
        <w:autoSpaceDN w:val="0"/>
        <w:adjustRightInd w:val="0"/>
        <w:contextualSpacing/>
        <w:rPr>
          <w:rFonts w:cs="Tahoma"/>
          <w:bCs/>
          <w:sz w:val="24"/>
        </w:rPr>
      </w:pPr>
      <w:r w:rsidRPr="00D1018F">
        <w:rPr>
          <w:rFonts w:eastAsia="Times New Roman" w:cs="Tahoma"/>
          <w:lang w:eastAsia="es-ES"/>
        </w:rPr>
        <w:t xml:space="preserve">En ese orden de ideas, </w:t>
      </w:r>
      <w:r w:rsidRPr="00D1018F">
        <w:rPr>
          <w:rFonts w:cs="Tahoma"/>
          <w:bCs/>
          <w:sz w:val="24"/>
        </w:rPr>
        <w:t>conviene citar la siguiente normatividad:</w:t>
      </w:r>
    </w:p>
    <w:p w14:paraId="1F7FB9FF" w14:textId="77777777" w:rsidR="008D72BD" w:rsidRPr="00D1018F" w:rsidRDefault="008D72BD" w:rsidP="00D1018F">
      <w:pPr>
        <w:pStyle w:val="Puesto"/>
        <w:ind w:firstLine="0"/>
        <w:rPr>
          <w:color w:val="auto"/>
        </w:rPr>
      </w:pPr>
    </w:p>
    <w:p w14:paraId="020F3FC9" w14:textId="77777777" w:rsidR="008D72BD" w:rsidRPr="00D1018F" w:rsidRDefault="008D72BD" w:rsidP="00D1018F">
      <w:pPr>
        <w:pStyle w:val="Puesto"/>
        <w:ind w:firstLine="0"/>
        <w:rPr>
          <w:rFonts w:cs="Arial"/>
          <w:color w:val="auto"/>
        </w:rPr>
      </w:pPr>
      <w:r w:rsidRPr="00D1018F">
        <w:rPr>
          <w:b/>
          <w:color w:val="auto"/>
        </w:rPr>
        <w:t xml:space="preserve">“LA LEY DEL TRABAJO DE LOS SERVIDORES PÚBLICOS DEL ESTADO Y MUNICIPIOS. </w:t>
      </w:r>
    </w:p>
    <w:p w14:paraId="1E0EB4D3" w14:textId="77777777" w:rsidR="008D72BD" w:rsidRPr="00D1018F" w:rsidRDefault="008D72BD" w:rsidP="00D1018F">
      <w:pPr>
        <w:pStyle w:val="Puesto"/>
        <w:ind w:firstLine="0"/>
        <w:rPr>
          <w:rFonts w:cs="Arial"/>
          <w:color w:val="auto"/>
        </w:rPr>
      </w:pPr>
    </w:p>
    <w:p w14:paraId="353BBBFA" w14:textId="77777777" w:rsidR="008D72BD" w:rsidRPr="00D1018F" w:rsidRDefault="008D72BD" w:rsidP="00D1018F">
      <w:pPr>
        <w:pStyle w:val="Puesto"/>
        <w:ind w:firstLine="0"/>
        <w:rPr>
          <w:rFonts w:cs="Arial"/>
          <w:color w:val="auto"/>
        </w:rPr>
      </w:pPr>
      <w:r w:rsidRPr="00D1018F">
        <w:rPr>
          <w:b/>
          <w:color w:val="auto"/>
        </w:rPr>
        <w:t>ARTÍCULO 89.</w:t>
      </w:r>
      <w:r w:rsidRPr="00D1018F">
        <w:rPr>
          <w:color w:val="auto"/>
        </w:rPr>
        <w:t xml:space="preserve"> Son causas de terminación de la relación laboral sin responsabilidad para las instituciones públicas:</w:t>
      </w:r>
    </w:p>
    <w:p w14:paraId="4FA72E93" w14:textId="77777777" w:rsidR="008D72BD" w:rsidRPr="00D1018F" w:rsidRDefault="008D72BD" w:rsidP="00D1018F">
      <w:pPr>
        <w:pStyle w:val="Puesto"/>
        <w:ind w:firstLine="0"/>
        <w:rPr>
          <w:rFonts w:cs="Arial"/>
          <w:color w:val="auto"/>
        </w:rPr>
      </w:pPr>
      <w:r w:rsidRPr="00D1018F">
        <w:rPr>
          <w:b/>
          <w:color w:val="auto"/>
          <w:u w:val="single"/>
        </w:rPr>
        <w:t>I. La renuncia del servidor público;</w:t>
      </w:r>
    </w:p>
    <w:p w14:paraId="5BB2A58D" w14:textId="77777777" w:rsidR="008D72BD" w:rsidRPr="00D1018F" w:rsidRDefault="008D72BD" w:rsidP="00D1018F">
      <w:pPr>
        <w:pStyle w:val="Puesto"/>
        <w:ind w:firstLine="0"/>
        <w:rPr>
          <w:rFonts w:cs="Arial"/>
          <w:color w:val="auto"/>
        </w:rPr>
      </w:pPr>
      <w:r w:rsidRPr="00D1018F">
        <w:rPr>
          <w:color w:val="auto"/>
        </w:rPr>
        <w:t>II. El mutuo consentimiento de las partes;</w:t>
      </w:r>
    </w:p>
    <w:p w14:paraId="6F85FE7E" w14:textId="77777777" w:rsidR="008D72BD" w:rsidRPr="00D1018F" w:rsidRDefault="008D72BD" w:rsidP="00D1018F">
      <w:pPr>
        <w:pStyle w:val="Puesto"/>
        <w:ind w:firstLine="0"/>
        <w:rPr>
          <w:rFonts w:cs="Arial"/>
          <w:color w:val="auto"/>
        </w:rPr>
      </w:pPr>
      <w:r w:rsidRPr="00D1018F">
        <w:rPr>
          <w:color w:val="auto"/>
        </w:rPr>
        <w:t>III. El vencimiento del término o conclusión de la obra determinantes de la contratación;</w:t>
      </w:r>
    </w:p>
    <w:p w14:paraId="028113AD" w14:textId="77777777" w:rsidR="008D72BD" w:rsidRPr="00D1018F" w:rsidRDefault="008D72BD" w:rsidP="00D1018F">
      <w:pPr>
        <w:pStyle w:val="Puesto"/>
        <w:ind w:firstLine="0"/>
        <w:rPr>
          <w:rFonts w:cs="Arial"/>
          <w:color w:val="auto"/>
        </w:rPr>
      </w:pPr>
      <w:r w:rsidRPr="00D1018F">
        <w:rPr>
          <w:color w:val="auto"/>
        </w:rPr>
        <w:t>IV. El término o conclusión de la administración en la cual fue contratado el servidor público a que se refiere el artículo 8 de ésta Ley;</w:t>
      </w:r>
    </w:p>
    <w:p w14:paraId="2CDC768A" w14:textId="77777777" w:rsidR="008D72BD" w:rsidRPr="00D1018F" w:rsidRDefault="008D72BD" w:rsidP="00D1018F">
      <w:pPr>
        <w:pStyle w:val="Puesto"/>
        <w:ind w:firstLine="0"/>
        <w:rPr>
          <w:rFonts w:cs="Arial"/>
          <w:color w:val="auto"/>
        </w:rPr>
      </w:pPr>
      <w:r w:rsidRPr="00D1018F">
        <w:rPr>
          <w:color w:val="auto"/>
        </w:rPr>
        <w:t>V. La muerte del servidor público; y</w:t>
      </w:r>
    </w:p>
    <w:p w14:paraId="20BC69CC" w14:textId="77777777" w:rsidR="008D72BD" w:rsidRPr="00D1018F" w:rsidRDefault="008D72BD" w:rsidP="00D1018F">
      <w:pPr>
        <w:pStyle w:val="Puesto"/>
        <w:ind w:firstLine="0"/>
        <w:rPr>
          <w:rFonts w:cs="Arial"/>
          <w:color w:val="auto"/>
        </w:rPr>
      </w:pPr>
      <w:r w:rsidRPr="00D1018F">
        <w:rPr>
          <w:color w:val="auto"/>
        </w:rPr>
        <w:t>VI. La incapacidad permanente del servidor público que le impida el desempeño de sus labores.”</w:t>
      </w:r>
    </w:p>
    <w:p w14:paraId="7E3A03EA" w14:textId="77338388" w:rsidR="001727E0" w:rsidRPr="00D1018F" w:rsidRDefault="001727E0" w:rsidP="00D1018F">
      <w:pPr>
        <w:autoSpaceDE w:val="0"/>
        <w:autoSpaceDN w:val="0"/>
        <w:adjustRightInd w:val="0"/>
        <w:contextualSpacing/>
        <w:rPr>
          <w:rFonts w:eastAsia="Times New Roman" w:cs="Tahoma"/>
          <w:lang w:eastAsia="es-ES"/>
        </w:rPr>
      </w:pPr>
    </w:p>
    <w:p w14:paraId="31802B32" w14:textId="27649148" w:rsidR="008D72BD" w:rsidRPr="00D1018F" w:rsidRDefault="008D72BD" w:rsidP="00D1018F">
      <w:pPr>
        <w:contextualSpacing/>
        <w:rPr>
          <w:rFonts w:cs="Tahoma"/>
          <w:bCs/>
          <w:sz w:val="24"/>
          <w:szCs w:val="24"/>
          <w:lang w:eastAsia="en-US"/>
        </w:rPr>
      </w:pPr>
      <w:r w:rsidRPr="00D1018F">
        <w:rPr>
          <w:rFonts w:cs="Tahoma"/>
          <w:bCs/>
          <w:sz w:val="24"/>
          <w:lang w:eastAsia="en-US"/>
        </w:rPr>
        <w:t xml:space="preserve">De la normatividad antes transcrita se desprende una de las causas para dar por </w:t>
      </w:r>
      <w:r w:rsidRPr="00D1018F">
        <w:rPr>
          <w:rFonts w:cs="Tahoma"/>
          <w:bCs/>
          <w:sz w:val="24"/>
          <w:szCs w:val="24"/>
          <w:lang w:eastAsia="en-US"/>
        </w:rPr>
        <w:t xml:space="preserve">terminada la relación laboral es la renuncia, </w:t>
      </w:r>
      <w:r w:rsidR="00DC7B4C" w:rsidRPr="00D1018F">
        <w:rPr>
          <w:rFonts w:cs="Tahoma"/>
          <w:bCs/>
          <w:sz w:val="24"/>
          <w:szCs w:val="24"/>
          <w:lang w:eastAsia="en-US"/>
        </w:rPr>
        <w:t>presentar los servidores públicos</w:t>
      </w:r>
      <w:r w:rsidRPr="00D1018F">
        <w:rPr>
          <w:rFonts w:cs="Tahoma"/>
          <w:bCs/>
          <w:sz w:val="24"/>
          <w:szCs w:val="24"/>
          <w:lang w:eastAsia="en-US"/>
        </w:rPr>
        <w:t xml:space="preserve"> que decidan terminar la relación laboral con su empleador.</w:t>
      </w:r>
    </w:p>
    <w:p w14:paraId="4D15C550" w14:textId="77777777" w:rsidR="00DC7B4C" w:rsidRPr="00D1018F" w:rsidRDefault="00DC7B4C" w:rsidP="00D1018F">
      <w:pPr>
        <w:contextualSpacing/>
        <w:rPr>
          <w:rFonts w:cs="Tahoma"/>
          <w:bCs/>
          <w:sz w:val="24"/>
          <w:szCs w:val="24"/>
          <w:lang w:eastAsia="en-US"/>
        </w:rPr>
      </w:pPr>
    </w:p>
    <w:p w14:paraId="3378EF1B" w14:textId="4CCB7ACE" w:rsidR="00AD2D1A" w:rsidRPr="00D1018F" w:rsidRDefault="00AD2D1A" w:rsidP="00D1018F">
      <w:pPr>
        <w:ind w:right="-28"/>
      </w:pPr>
      <w:r w:rsidRPr="00D1018F">
        <w:t xml:space="preserve">De lo anterior, resulta procedente analizar si dichos datos son públicos o privados; para lo cual,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4179B6D9" w14:textId="77777777" w:rsidR="00AD2D1A" w:rsidRPr="00D1018F" w:rsidRDefault="00AD2D1A" w:rsidP="00D1018F">
      <w:pPr>
        <w:ind w:right="-28"/>
      </w:pPr>
    </w:p>
    <w:p w14:paraId="75688D14" w14:textId="0B2D8C32" w:rsidR="00AD2D1A" w:rsidRPr="00D1018F" w:rsidRDefault="00AD2D1A" w:rsidP="00D1018F">
      <w:r w:rsidRPr="00D1018F">
        <w:t xml:space="preserve">Acorde con lo anterior, la </w:t>
      </w:r>
      <w:r w:rsidR="00EA60B2" w:rsidRPr="00D1018F">
        <w:t xml:space="preserve">entonces </w:t>
      </w:r>
      <w:r w:rsidRPr="00D1018F">
        <w:t>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6F927D5" w14:textId="77777777" w:rsidR="00AD2D1A" w:rsidRPr="00D1018F" w:rsidRDefault="00AD2D1A" w:rsidP="00D1018F"/>
    <w:p w14:paraId="5F7A020D" w14:textId="77777777" w:rsidR="00AD2D1A" w:rsidRPr="00D1018F" w:rsidRDefault="00AD2D1A" w:rsidP="00D1018F">
      <w:r w:rsidRPr="00D1018F">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6AD873C" w14:textId="77777777" w:rsidR="00AD2D1A" w:rsidRPr="00D1018F" w:rsidRDefault="00AD2D1A" w:rsidP="00D1018F"/>
    <w:p w14:paraId="2A29F2D2" w14:textId="77777777" w:rsidR="00AD2D1A" w:rsidRPr="00D1018F" w:rsidRDefault="00AD2D1A" w:rsidP="00D1018F">
      <w:r w:rsidRPr="00D1018F">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26553CF4" w14:textId="77777777" w:rsidR="00AD2D1A" w:rsidRPr="00D1018F" w:rsidRDefault="00AD2D1A" w:rsidP="00D1018F"/>
    <w:p w14:paraId="2F102E3D" w14:textId="77777777" w:rsidR="00AD2D1A" w:rsidRPr="00D1018F" w:rsidRDefault="00AD2D1A" w:rsidP="00D1018F">
      <w:r w:rsidRPr="00D1018F">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ACAAC95" w14:textId="77777777" w:rsidR="00AD2D1A" w:rsidRPr="00D1018F" w:rsidRDefault="00AD2D1A" w:rsidP="00D1018F"/>
    <w:p w14:paraId="6C4BA279" w14:textId="77777777" w:rsidR="00AD2D1A" w:rsidRPr="00D1018F" w:rsidRDefault="00AD2D1A" w:rsidP="00D1018F">
      <w:r w:rsidRPr="00D1018F">
        <w:t>En términos de lo expuesto, la documentación y aquellos datos que se consideren confidenciales, serán una limitante del derecho de acceso a la información, siempre y cuando:</w:t>
      </w:r>
    </w:p>
    <w:p w14:paraId="2CA4EDB3" w14:textId="77777777" w:rsidR="00AD2D1A" w:rsidRPr="00D1018F" w:rsidRDefault="00AD2D1A" w:rsidP="00D1018F"/>
    <w:p w14:paraId="4E3FBBAD" w14:textId="77777777" w:rsidR="00AD2D1A" w:rsidRPr="00D1018F" w:rsidRDefault="00AD2D1A" w:rsidP="00D1018F">
      <w:pPr>
        <w:numPr>
          <w:ilvl w:val="0"/>
          <w:numId w:val="36"/>
        </w:numPr>
      </w:pPr>
      <w:r w:rsidRPr="00D1018F">
        <w:t xml:space="preserve">Se trate de datos personales o información privada; esto es, información concerniente a una persona física o jurídico colectiva y que esta sea identificada o identificable. </w:t>
      </w:r>
    </w:p>
    <w:p w14:paraId="7E0FB8E8" w14:textId="77777777" w:rsidR="00AD2D1A" w:rsidRPr="00D1018F" w:rsidRDefault="00AD2D1A" w:rsidP="00D1018F">
      <w:pPr>
        <w:numPr>
          <w:ilvl w:val="0"/>
          <w:numId w:val="36"/>
        </w:numPr>
      </w:pPr>
      <w:r w:rsidRPr="00D1018F">
        <w:t xml:space="preserve">Para la difusión de los datos, se requiera el consentimiento del titular. </w:t>
      </w:r>
    </w:p>
    <w:p w14:paraId="3C358D0D" w14:textId="77777777" w:rsidR="00AD2D1A" w:rsidRPr="00D1018F" w:rsidRDefault="00AD2D1A" w:rsidP="00D1018F"/>
    <w:p w14:paraId="3D166974" w14:textId="77777777" w:rsidR="00021914" w:rsidRPr="00D1018F" w:rsidRDefault="00AD2D1A" w:rsidP="00D1018F">
      <w:r w:rsidRPr="00D1018F">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w:t>
      </w:r>
      <w:r w:rsidRPr="00D1018F">
        <w:lastRenderedPageBreak/>
        <w:t>cualquier documento informativo físico o electrónico), establecida en cualquier formato o modalidad</w:t>
      </w:r>
      <w:r w:rsidR="00021914" w:rsidRPr="00D1018F">
        <w:t>, como se advierte de su contenido:</w:t>
      </w:r>
    </w:p>
    <w:p w14:paraId="4C801E2C" w14:textId="77777777" w:rsidR="00021914" w:rsidRPr="00D1018F" w:rsidRDefault="00021914" w:rsidP="00D1018F"/>
    <w:p w14:paraId="029C44B0" w14:textId="77777777" w:rsidR="00021914" w:rsidRPr="00D1018F" w:rsidRDefault="00021914" w:rsidP="00D1018F">
      <w:pPr>
        <w:pStyle w:val="Puesto"/>
        <w:ind w:firstLine="0"/>
        <w:rPr>
          <w:color w:val="auto"/>
        </w:rPr>
      </w:pPr>
      <w:r w:rsidRPr="00D1018F">
        <w:rPr>
          <w:b/>
          <w:bCs/>
          <w:color w:val="auto"/>
        </w:rPr>
        <w:t xml:space="preserve">Artículo 4. </w:t>
      </w:r>
      <w:r w:rsidRPr="00D1018F">
        <w:rPr>
          <w:color w:val="auto"/>
        </w:rPr>
        <w:t>Para los efectos de esta Ley se entenderá por:</w:t>
      </w:r>
    </w:p>
    <w:p w14:paraId="4003BA14" w14:textId="77777777" w:rsidR="00021914" w:rsidRPr="00D1018F" w:rsidRDefault="00021914" w:rsidP="00D1018F">
      <w:pPr>
        <w:pStyle w:val="Puesto"/>
        <w:ind w:firstLine="0"/>
        <w:rPr>
          <w:color w:val="auto"/>
        </w:rPr>
      </w:pPr>
      <w:r w:rsidRPr="00D1018F">
        <w:rPr>
          <w:color w:val="auto"/>
        </w:rPr>
        <w:t>(…)</w:t>
      </w:r>
    </w:p>
    <w:p w14:paraId="6A065633" w14:textId="77777777" w:rsidR="00021914" w:rsidRPr="00D1018F" w:rsidRDefault="00021914" w:rsidP="00D1018F">
      <w:pPr>
        <w:pStyle w:val="Puesto"/>
        <w:ind w:firstLine="0"/>
        <w:rPr>
          <w:color w:val="auto"/>
        </w:rPr>
      </w:pPr>
      <w:r w:rsidRPr="00D1018F">
        <w:rPr>
          <w:b/>
          <w:bCs/>
          <w:color w:val="auto"/>
        </w:rPr>
        <w:t xml:space="preserve">XI. Datos personales: </w:t>
      </w:r>
      <w:r w:rsidRPr="00D1018F">
        <w:rPr>
          <w:color w:val="auto"/>
        </w:rPr>
        <w:t xml:space="preserve">a la </w:t>
      </w:r>
      <w:r w:rsidRPr="00D1018F">
        <w:rPr>
          <w:b/>
          <w:color w:val="auto"/>
          <w:u w:val="single"/>
        </w:rPr>
        <w:t>información concerniente a una persona física</w:t>
      </w:r>
      <w:r w:rsidRPr="00D1018F">
        <w:rPr>
          <w:color w:val="auto"/>
        </w:rPr>
        <w:t xml:space="preserve"> o </w:t>
      </w:r>
      <w:r w:rsidRPr="00D1018F">
        <w:rPr>
          <w:b/>
          <w:color w:val="auto"/>
          <w:u w:val="single"/>
        </w:rPr>
        <w:t>jurídica colectiva identificada o identificable, establecida en cualquier formato o modalidad, y que esté almacenada en los sistemas y bases de datos, se considera que una persona es identificable cuando su identidad pueda determinarse directa o indirectamente a través de cualquier documento informativo físico o electrónico</w:t>
      </w:r>
      <w:r w:rsidRPr="00D1018F">
        <w:rPr>
          <w:color w:val="auto"/>
        </w:rPr>
        <w:t>.</w:t>
      </w:r>
    </w:p>
    <w:p w14:paraId="210FF6CD" w14:textId="77777777" w:rsidR="00021914" w:rsidRPr="00D1018F" w:rsidRDefault="00021914" w:rsidP="00D1018F">
      <w:pPr>
        <w:pStyle w:val="Puesto"/>
        <w:ind w:firstLine="0"/>
        <w:rPr>
          <w:color w:val="auto"/>
        </w:rPr>
      </w:pPr>
    </w:p>
    <w:p w14:paraId="12512189" w14:textId="52D3D7B1" w:rsidR="00021914" w:rsidRPr="00D1018F" w:rsidRDefault="00021914" w:rsidP="00D1018F">
      <w:pPr>
        <w:pStyle w:val="Puesto"/>
        <w:ind w:firstLine="0"/>
        <w:rPr>
          <w:iCs/>
          <w:color w:val="auto"/>
        </w:rPr>
      </w:pPr>
      <w:r w:rsidRPr="00D1018F">
        <w:rPr>
          <w:iCs/>
          <w:color w:val="auto"/>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382181B7" w14:textId="77777777" w:rsidR="00815757" w:rsidRPr="00D1018F" w:rsidRDefault="00815757" w:rsidP="00D1018F"/>
    <w:p w14:paraId="4886DE06" w14:textId="77777777" w:rsidR="00021914" w:rsidRPr="00D1018F" w:rsidRDefault="00AD2D1A" w:rsidP="00D1018F">
      <w:r w:rsidRPr="00D1018F">
        <w:t xml:space="preserve"> </w:t>
      </w:r>
      <w:r w:rsidR="00021914" w:rsidRPr="00D1018F">
        <w:t>De igual forma, el artículo 6 de la Ley referida anteriormente, establece lo siguiente:</w:t>
      </w:r>
    </w:p>
    <w:p w14:paraId="79006857" w14:textId="77777777" w:rsidR="00021914" w:rsidRPr="00D1018F" w:rsidRDefault="00021914" w:rsidP="00D1018F">
      <w:pPr>
        <w:pStyle w:val="Sinespaciado"/>
        <w:spacing w:line="360" w:lineRule="auto"/>
        <w:ind w:right="49"/>
        <w:jc w:val="both"/>
        <w:rPr>
          <w:rFonts w:ascii="Palatino Linotype" w:hAnsi="Palatino Linotype"/>
        </w:rPr>
      </w:pPr>
    </w:p>
    <w:p w14:paraId="1FAFC6F2" w14:textId="77777777" w:rsidR="00021914" w:rsidRPr="00D1018F" w:rsidRDefault="00021914" w:rsidP="00D1018F">
      <w:pPr>
        <w:pStyle w:val="Puesto"/>
        <w:ind w:firstLine="0"/>
        <w:rPr>
          <w:b/>
          <w:color w:val="auto"/>
        </w:rPr>
      </w:pPr>
      <w:r w:rsidRPr="00D1018F">
        <w:rPr>
          <w:b/>
          <w:color w:val="auto"/>
        </w:rPr>
        <w:t>Artículo 6. El Estado garantizará la privacidad de los individuos y velará porque no se incurra en conductas que puedan afectarla arbitrariamente.</w:t>
      </w:r>
    </w:p>
    <w:p w14:paraId="356FF6C6" w14:textId="77777777" w:rsidR="00021914" w:rsidRPr="00D1018F" w:rsidRDefault="00021914" w:rsidP="00D1018F">
      <w:pPr>
        <w:pStyle w:val="Puesto"/>
        <w:ind w:firstLine="0"/>
        <w:rPr>
          <w:color w:val="auto"/>
        </w:rPr>
      </w:pPr>
    </w:p>
    <w:p w14:paraId="235AE100" w14:textId="77777777" w:rsidR="00021914" w:rsidRPr="00D1018F" w:rsidRDefault="00021914" w:rsidP="00D1018F">
      <w:pPr>
        <w:pStyle w:val="Puesto"/>
        <w:ind w:firstLine="0"/>
        <w:rPr>
          <w:color w:val="auto"/>
        </w:rPr>
      </w:pPr>
      <w:r w:rsidRPr="00D1018F">
        <w:rPr>
          <w:color w:val="auto"/>
        </w:rPr>
        <w:t>Los responsables aplicarán las medidas establecidas en esta Ley para la protección de las personas y su dignidad, respecto al tratamiento de sus datos personales.</w:t>
      </w:r>
    </w:p>
    <w:p w14:paraId="70767305" w14:textId="77777777" w:rsidR="00021914" w:rsidRPr="00D1018F" w:rsidRDefault="00021914" w:rsidP="00D1018F">
      <w:pPr>
        <w:pStyle w:val="Puesto"/>
        <w:ind w:firstLine="0"/>
        <w:rPr>
          <w:color w:val="auto"/>
        </w:rPr>
      </w:pPr>
    </w:p>
    <w:p w14:paraId="0B278599" w14:textId="77777777" w:rsidR="00021914" w:rsidRPr="00D1018F" w:rsidRDefault="00021914" w:rsidP="00D1018F">
      <w:pPr>
        <w:pStyle w:val="Puesto"/>
        <w:ind w:firstLine="0"/>
        <w:rPr>
          <w:b/>
          <w:color w:val="auto"/>
        </w:rPr>
      </w:pPr>
      <w:r w:rsidRPr="00D1018F">
        <w:rPr>
          <w:b/>
          <w:color w:val="auto"/>
        </w:rPr>
        <w:t>El derecho a la protección de los datos personales solamente se limitará por razones de seguridad pública en términos de la Ley en la materia, disposiciones de orden público, salud pública o proteger los derechos de terceros.</w:t>
      </w:r>
    </w:p>
    <w:p w14:paraId="063CFEF3" w14:textId="77777777" w:rsidR="00021914" w:rsidRPr="00D1018F" w:rsidRDefault="00021914" w:rsidP="00D1018F">
      <w:pPr>
        <w:pStyle w:val="Sinespaciado"/>
        <w:spacing w:line="360" w:lineRule="auto"/>
        <w:ind w:right="49"/>
        <w:jc w:val="both"/>
        <w:rPr>
          <w:rFonts w:ascii="Palatino Linotype" w:hAnsi="Palatino Linotype"/>
        </w:rPr>
      </w:pPr>
    </w:p>
    <w:p w14:paraId="6D0D64E0" w14:textId="77777777" w:rsidR="00021914" w:rsidRPr="00D1018F" w:rsidRDefault="00021914" w:rsidP="00D1018F">
      <w:r w:rsidRPr="00D1018F">
        <w:t xml:space="preserve">Inclusive, la Ley de Transparencia estatal considera que la información privada y los datos personales y sensibles concernientes a una persona física o jurídico colectiva identificada o </w:t>
      </w:r>
      <w:r w:rsidRPr="00D1018F">
        <w:lastRenderedPageBreak/>
        <w:t>identificable se considera información confidencial, según lo dispone el artículo 143 fracción I, como se observa a continuación:</w:t>
      </w:r>
    </w:p>
    <w:p w14:paraId="35E3D2D9" w14:textId="77777777" w:rsidR="00021914" w:rsidRPr="00D1018F" w:rsidRDefault="00021914" w:rsidP="00D1018F">
      <w:pPr>
        <w:pStyle w:val="Sinespaciado"/>
        <w:spacing w:line="360" w:lineRule="auto"/>
        <w:ind w:right="49"/>
        <w:jc w:val="both"/>
        <w:rPr>
          <w:rFonts w:ascii="Palatino Linotype" w:hAnsi="Palatino Linotype"/>
        </w:rPr>
      </w:pPr>
    </w:p>
    <w:p w14:paraId="001C90D9" w14:textId="77777777" w:rsidR="00021914" w:rsidRPr="00D1018F" w:rsidRDefault="00021914" w:rsidP="00D1018F">
      <w:pPr>
        <w:pStyle w:val="Puesto"/>
        <w:ind w:firstLine="0"/>
        <w:rPr>
          <w:color w:val="auto"/>
        </w:rPr>
      </w:pPr>
      <w:r w:rsidRPr="00D1018F">
        <w:rPr>
          <w:b/>
          <w:color w:val="auto"/>
        </w:rPr>
        <w:t>Artículo 143</w:t>
      </w:r>
      <w:r w:rsidRPr="00D1018F">
        <w:rPr>
          <w:color w:val="auto"/>
        </w:rPr>
        <w:t>. Para los efectos de esta Ley se considera información confidencial, la clasificada como tal, de manera permanente, por su naturaleza, cuando:</w:t>
      </w:r>
    </w:p>
    <w:p w14:paraId="62ED8948" w14:textId="77777777" w:rsidR="00021914" w:rsidRPr="00D1018F" w:rsidRDefault="00021914" w:rsidP="00D1018F">
      <w:pPr>
        <w:pStyle w:val="Sinespaciado"/>
        <w:spacing w:line="360" w:lineRule="auto"/>
        <w:ind w:left="567" w:right="616"/>
        <w:jc w:val="both"/>
        <w:rPr>
          <w:rFonts w:ascii="Palatino Linotype" w:hAnsi="Palatino Linotype"/>
          <w:i/>
        </w:rPr>
      </w:pPr>
    </w:p>
    <w:p w14:paraId="4DB86EB1" w14:textId="31033256" w:rsidR="00021914" w:rsidRPr="00D1018F" w:rsidRDefault="00815757" w:rsidP="00D1018F">
      <w:pPr>
        <w:pStyle w:val="Puesto"/>
        <w:ind w:firstLine="0"/>
        <w:rPr>
          <w:color w:val="auto"/>
        </w:rPr>
      </w:pPr>
      <w:r w:rsidRPr="00D1018F">
        <w:rPr>
          <w:color w:val="auto"/>
        </w:rPr>
        <w:t xml:space="preserve">I. </w:t>
      </w:r>
      <w:r w:rsidR="00021914" w:rsidRPr="00D1018F">
        <w:rPr>
          <w:color w:val="auto"/>
        </w:rPr>
        <w:t xml:space="preserve">Se refiera a la información privada y los datos personales concernientes a una persona física o </w:t>
      </w:r>
      <w:proofErr w:type="gramStart"/>
      <w:r w:rsidR="00021914" w:rsidRPr="00D1018F">
        <w:rPr>
          <w:color w:val="auto"/>
        </w:rPr>
        <w:t>jurídico</w:t>
      </w:r>
      <w:proofErr w:type="gramEnd"/>
      <w:r w:rsidR="00021914" w:rsidRPr="00D1018F">
        <w:rPr>
          <w:color w:val="auto"/>
        </w:rPr>
        <w:t xml:space="preserve"> colectiva identificada o identificable;</w:t>
      </w:r>
    </w:p>
    <w:p w14:paraId="598FD2E0" w14:textId="56F3ED21" w:rsidR="00815757" w:rsidRPr="00D1018F" w:rsidRDefault="00815757" w:rsidP="00D1018F">
      <w:pPr>
        <w:pStyle w:val="Puesto"/>
        <w:ind w:firstLine="0"/>
        <w:rPr>
          <w:color w:val="auto"/>
        </w:rPr>
      </w:pPr>
      <w:r w:rsidRPr="00D1018F">
        <w:rPr>
          <w:color w:val="auto"/>
        </w:rPr>
        <w:t>…</w:t>
      </w:r>
    </w:p>
    <w:p w14:paraId="117396F4" w14:textId="77777777" w:rsidR="00021914" w:rsidRPr="00D1018F" w:rsidRDefault="00021914" w:rsidP="00D1018F">
      <w:pPr>
        <w:pStyle w:val="Puesto"/>
        <w:ind w:firstLine="0"/>
        <w:rPr>
          <w:color w:val="auto"/>
        </w:rPr>
      </w:pPr>
    </w:p>
    <w:p w14:paraId="1A72BB00" w14:textId="77777777" w:rsidR="00021914" w:rsidRPr="00D1018F" w:rsidRDefault="00021914" w:rsidP="00D1018F">
      <w:pPr>
        <w:pStyle w:val="Puesto"/>
        <w:ind w:firstLine="0"/>
        <w:rPr>
          <w:color w:val="auto"/>
        </w:rPr>
      </w:pPr>
      <w:r w:rsidRPr="00D1018F">
        <w:rPr>
          <w:color w:val="auto"/>
        </w:rPr>
        <w:t>La información confidencial no estará sujeta a temporalidad alguna y sólo podrán tener acceso a ella los titulares de las mismas, sus representantes y los servidores públicos facultados para ellos.</w:t>
      </w:r>
    </w:p>
    <w:p w14:paraId="3E7CB6DB" w14:textId="77777777" w:rsidR="00021914" w:rsidRPr="00D1018F" w:rsidRDefault="00021914" w:rsidP="00D1018F">
      <w:pPr>
        <w:pStyle w:val="Puesto"/>
        <w:ind w:firstLine="0"/>
        <w:rPr>
          <w:color w:val="auto"/>
        </w:rPr>
      </w:pPr>
    </w:p>
    <w:p w14:paraId="517FD0D1" w14:textId="77777777" w:rsidR="00021914" w:rsidRPr="00D1018F" w:rsidRDefault="00021914" w:rsidP="00D1018F">
      <w:pPr>
        <w:pStyle w:val="Puesto"/>
        <w:ind w:firstLine="0"/>
        <w:rPr>
          <w:color w:val="auto"/>
        </w:rPr>
      </w:pPr>
      <w:r w:rsidRPr="00D1018F">
        <w:rPr>
          <w:color w:val="auto"/>
        </w:rPr>
        <w:t>No se considerará confidencial la información que se encuentre en los registros públicos o en fuentes de acceso público, ni tampoco la que sea considerada por la presente ley como información pública.</w:t>
      </w:r>
    </w:p>
    <w:p w14:paraId="2F7AB2ED" w14:textId="77777777" w:rsidR="00021914" w:rsidRPr="00D1018F" w:rsidRDefault="00021914" w:rsidP="00D1018F">
      <w:pPr>
        <w:pStyle w:val="Sinespaciado"/>
        <w:spacing w:line="360" w:lineRule="auto"/>
        <w:ind w:right="49"/>
        <w:jc w:val="both"/>
        <w:rPr>
          <w:rFonts w:ascii="Palatino Linotype" w:hAnsi="Palatino Linotype"/>
        </w:rPr>
      </w:pPr>
    </w:p>
    <w:p w14:paraId="112EEF23" w14:textId="1B4EA50F" w:rsidR="00021914" w:rsidRPr="00D1018F" w:rsidRDefault="00021914" w:rsidP="00D1018F">
      <w:r w:rsidRPr="00D1018F">
        <w:t>Derivado de lo anterior, y en estricto apego a los artículos que sustentan la facultad de este Instituto para interpretar los ordenamientos aplicables, así como crear criterios en la materia, se llega a la conclusión de que debe prevalecer el derecho a la protección de los datos personales, en específico, de los motivos expresados en las renuncias de los servidores públicos. Lo anterior con base a las consideraciones ya establecidas; para mayor abundamiento, se puede citar la tesis aislada 1ª. VII/2012 (10ª.), con número de registro 2000233 de la Décima Época, publicada en el Semanario Judicial de la Federación y su Gaceta, Libro V, febrero de 2012, Tomo 1, página 655 en materia Constitucional, que establece lo siguiente:</w:t>
      </w:r>
    </w:p>
    <w:p w14:paraId="5098DEAA" w14:textId="77777777" w:rsidR="00021914" w:rsidRPr="00D1018F" w:rsidRDefault="00021914" w:rsidP="00D1018F">
      <w:pPr>
        <w:rPr>
          <w:rFonts w:cs="Arial"/>
        </w:rPr>
      </w:pPr>
    </w:p>
    <w:p w14:paraId="13A30E81" w14:textId="77777777" w:rsidR="00021914" w:rsidRPr="00D1018F" w:rsidRDefault="00021914" w:rsidP="00D1018F">
      <w:pPr>
        <w:pStyle w:val="Puesto"/>
        <w:ind w:firstLine="0"/>
        <w:rPr>
          <w:b/>
          <w:color w:val="auto"/>
        </w:rPr>
      </w:pPr>
      <w:r w:rsidRPr="00D1018F">
        <w:rPr>
          <w:b/>
          <w:color w:val="auto"/>
        </w:rPr>
        <w:t>INFORMACIÓN CONFIDENCIAL. LÍMITE AL DERECHO DE ACCESO A LA INFORMACIÓN (LEY FEDERAL DE TRANSPARENCIA Y ACCESO A LA INFORMACIÓN PÚBLICA GUBERNAMENTAL).</w:t>
      </w:r>
    </w:p>
    <w:p w14:paraId="7170302B" w14:textId="77777777" w:rsidR="00021914" w:rsidRPr="00D1018F" w:rsidRDefault="00021914" w:rsidP="00D1018F">
      <w:pPr>
        <w:pStyle w:val="Puesto"/>
        <w:ind w:firstLine="0"/>
        <w:rPr>
          <w:color w:val="auto"/>
        </w:rPr>
      </w:pPr>
    </w:p>
    <w:p w14:paraId="77F4E27F" w14:textId="77777777" w:rsidR="00021914" w:rsidRPr="00D1018F" w:rsidRDefault="00021914" w:rsidP="00D1018F">
      <w:pPr>
        <w:pStyle w:val="Puesto"/>
        <w:ind w:firstLine="0"/>
        <w:rPr>
          <w:color w:val="auto"/>
        </w:rPr>
      </w:pPr>
      <w:r w:rsidRPr="00D1018F">
        <w:rPr>
          <w:color w:val="auto"/>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w:t>
      </w:r>
      <w:r w:rsidRPr="00D1018F">
        <w:rPr>
          <w:b/>
          <w:color w:val="auto"/>
        </w:rPr>
        <w:t>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w:t>
      </w:r>
      <w:r w:rsidRPr="00D1018F">
        <w:rPr>
          <w:color w:val="auto"/>
        </w:rPr>
        <w:t xml:space="preserve"> salvo los casos excepcionales que se prevean en la legislación secundaria; así como en la fracción V, del apartado C, del artículo 20 constitucional, que protege la identidad y datos personales de las víctimas y ofendidos que sean parte en procedimientos penales. </w:t>
      </w:r>
      <w:r w:rsidRPr="00D1018F">
        <w:rPr>
          <w:b/>
          <w:color w:val="auto"/>
        </w:rPr>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w:t>
      </w:r>
      <w:r w:rsidRPr="00D1018F">
        <w:rPr>
          <w:color w:val="auto"/>
        </w:rPr>
        <w:t xml:space="preserve">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08A20C2A" w14:textId="77777777" w:rsidR="00021914" w:rsidRPr="00D1018F" w:rsidRDefault="00021914" w:rsidP="00D1018F">
      <w:pPr>
        <w:pStyle w:val="Sinespaciado"/>
        <w:spacing w:line="360" w:lineRule="auto"/>
        <w:ind w:left="709" w:hanging="709"/>
        <w:jc w:val="both"/>
        <w:rPr>
          <w:rFonts w:ascii="Palatino Linotype" w:hAnsi="Palatino Linotype"/>
        </w:rPr>
      </w:pPr>
    </w:p>
    <w:p w14:paraId="23D47FA7" w14:textId="77777777" w:rsidR="00021914" w:rsidRPr="00D1018F" w:rsidRDefault="00AD2D1A" w:rsidP="00D1018F">
      <w:r w:rsidRPr="00D1018F">
        <w:lastRenderedPageBreak/>
        <w:t>Bajo ese contexto, se</w:t>
      </w:r>
      <w:r w:rsidR="00EA60B2" w:rsidRPr="00D1018F">
        <w:t xml:space="preserve"> advierte que </w:t>
      </w:r>
      <w:r w:rsidR="000543C4" w:rsidRPr="00D1018F">
        <w:t xml:space="preserve">la renuncia es un acto unilateral y voluntario de la persona trabajadora que tiene como finalidad expresar su deseo de terminar la relación laboral existente entre ella y la parte patronal, en el que se </w:t>
      </w:r>
      <w:r w:rsidR="00021914" w:rsidRPr="00D1018F">
        <w:t>exponen</w:t>
      </w:r>
      <w:r w:rsidR="000543C4" w:rsidRPr="00D1018F">
        <w:t xml:space="preserve"> l</w:t>
      </w:r>
      <w:r w:rsidR="00EA60B2" w:rsidRPr="00D1018F">
        <w:t>os motivos que los servidores públicos manifiestan para dar por terminada una relación laboral</w:t>
      </w:r>
      <w:r w:rsidR="000543C4" w:rsidRPr="00D1018F">
        <w:t>, siendo éstos</w:t>
      </w:r>
      <w:r w:rsidR="00EA60B2" w:rsidRPr="00D1018F">
        <w:t xml:space="preserve"> únicos y corresponden a la esfera íntima de los mismos</w:t>
      </w:r>
      <w:r w:rsidR="00021914" w:rsidRPr="00D1018F">
        <w:t>.</w:t>
      </w:r>
    </w:p>
    <w:p w14:paraId="5A505452" w14:textId="77777777" w:rsidR="00021914" w:rsidRPr="00D1018F" w:rsidRDefault="00021914" w:rsidP="00D1018F"/>
    <w:p w14:paraId="11BF02C6" w14:textId="283B58A3" w:rsidR="00EA60B2" w:rsidRPr="00D1018F" w:rsidRDefault="00021914" w:rsidP="00D1018F">
      <w:r w:rsidRPr="00D1018F">
        <w:t xml:space="preserve">En ese sentido, este Instituto considera que </w:t>
      </w:r>
      <w:r w:rsidR="00EA60B2" w:rsidRPr="00D1018F">
        <w:t xml:space="preserve">es información privada que no guarda relación con la transparencia y rendición de cuentas respecto de las atribuciones, funciones y competencias de los servidores públicos adscritos a los sujetos obligados, sino que, </w:t>
      </w:r>
      <w:r w:rsidR="009D22BF" w:rsidRPr="00D1018F">
        <w:t>pues constituye una decisión personal.</w:t>
      </w:r>
    </w:p>
    <w:p w14:paraId="10F74A0E" w14:textId="77777777" w:rsidR="009D22BF" w:rsidRPr="00D1018F" w:rsidRDefault="009D22BF" w:rsidP="00D1018F"/>
    <w:p w14:paraId="6B31ABF1" w14:textId="1142A15E" w:rsidR="009D22BF" w:rsidRPr="00D1018F" w:rsidRDefault="00021914" w:rsidP="00D1018F">
      <w:pPr>
        <w:rPr>
          <w:rFonts w:cs="Arial"/>
        </w:rPr>
      </w:pPr>
      <w:r w:rsidRPr="00D1018F">
        <w:rPr>
          <w:rFonts w:cs="Arial"/>
        </w:rPr>
        <w:t>Por otro lado</w:t>
      </w:r>
      <w:r w:rsidR="009D22BF" w:rsidRPr="00D1018F">
        <w:rPr>
          <w:rFonts w:cs="Arial"/>
        </w:rPr>
        <w:t xml:space="preserve">, es necesario precisar que el artículo 137 de la Ley de Transparencia y Acceso a la Información Pública del Estado de México y Municipios, establece que cuando los documentos contengan información considera reservada o confidencial, la Unidad de Transparencia para efectos de atender una solicitud de información, deberá elaborar una versión pública en las que se suprima aquella información </w:t>
      </w:r>
      <w:r w:rsidR="009D22BF" w:rsidRPr="00D1018F">
        <w:rPr>
          <w:rFonts w:cs="Arial"/>
          <w:lang w:val="es-ES_tradnl"/>
        </w:rPr>
        <w:t xml:space="preserve">susceptible de clasificarse, </w:t>
      </w:r>
      <w:r w:rsidR="009D22BF" w:rsidRPr="00D1018F">
        <w:rPr>
          <w:rFonts w:cs="Arial"/>
        </w:rPr>
        <w:t xml:space="preserve">la cual debe estar sustentada con el </w:t>
      </w:r>
      <w:r w:rsidR="009D22BF" w:rsidRPr="00D1018F">
        <w:t xml:space="preserve">Acuerdo de Clasificación de la información el cual debe cumplir con las formalidades previstas en los artículos </w:t>
      </w:r>
      <w:r w:rsidR="009D22BF" w:rsidRPr="00D1018F">
        <w:rPr>
          <w:rFonts w:cs="Arial"/>
        </w:rPr>
        <w:t>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B9E2C0B" w14:textId="77777777" w:rsidR="009D22BF" w:rsidRPr="00D1018F" w:rsidRDefault="009D22BF" w:rsidP="00D1018F">
      <w:pPr>
        <w:rPr>
          <w:rFonts w:cs="Arial"/>
        </w:rPr>
      </w:pPr>
    </w:p>
    <w:p w14:paraId="7EF7B88A" w14:textId="77777777" w:rsidR="00815757" w:rsidRPr="00D1018F" w:rsidRDefault="00815757" w:rsidP="00D1018F">
      <w:pPr>
        <w:jc w:val="center"/>
        <w:rPr>
          <w:rFonts w:eastAsia="Times New Roman" w:cs="Times New Roman"/>
          <w:b/>
          <w:i/>
          <w:lang w:eastAsia="es-ES"/>
        </w:rPr>
      </w:pPr>
      <w:r w:rsidRPr="00D1018F">
        <w:rPr>
          <w:rFonts w:eastAsia="Times New Roman" w:cs="Times New Roman"/>
          <w:b/>
          <w:i/>
          <w:lang w:val="es-ES_tradnl" w:eastAsia="es-ES"/>
        </w:rPr>
        <w:t>Ley de Transparencia y Acceso a la Información Pública del Estado de México y Municipios</w:t>
      </w:r>
    </w:p>
    <w:p w14:paraId="006F87C3" w14:textId="77777777" w:rsidR="00815757" w:rsidRPr="00D1018F" w:rsidRDefault="00815757" w:rsidP="00D1018F">
      <w:pPr>
        <w:rPr>
          <w:rFonts w:eastAsia="Times New Roman" w:cs="Times New Roman"/>
          <w:szCs w:val="20"/>
          <w:lang w:eastAsia="es-ES"/>
        </w:rPr>
      </w:pPr>
    </w:p>
    <w:p w14:paraId="51B8009B"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 xml:space="preserve">“Artículo 49. </w:t>
      </w:r>
      <w:r w:rsidRPr="00D1018F">
        <w:rPr>
          <w:rFonts w:eastAsia="Times New Roman" w:cs="Times New Roman"/>
          <w:i/>
          <w:kern w:val="28"/>
          <w:szCs w:val="56"/>
          <w:lang w:eastAsia="es-ES"/>
        </w:rPr>
        <w:t>Los Comités de Transparencia tendrán las siguientes atribuciones:</w:t>
      </w:r>
    </w:p>
    <w:p w14:paraId="1AFC2011"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lastRenderedPageBreak/>
        <w:t>VIII.</w:t>
      </w:r>
      <w:r w:rsidRPr="00D1018F">
        <w:rPr>
          <w:rFonts w:eastAsia="Times New Roman" w:cs="Times New Roman"/>
          <w:i/>
          <w:kern w:val="28"/>
          <w:szCs w:val="56"/>
          <w:lang w:eastAsia="es-ES"/>
        </w:rPr>
        <w:t xml:space="preserve"> Aprobar, modificar o revocar la clasificación de la información;</w:t>
      </w:r>
    </w:p>
    <w:p w14:paraId="5566DE60" w14:textId="77777777" w:rsidR="00815757" w:rsidRPr="00D1018F" w:rsidRDefault="00815757" w:rsidP="00D1018F">
      <w:pPr>
        <w:rPr>
          <w:rFonts w:eastAsia="Times New Roman" w:cs="Times New Roman"/>
          <w:szCs w:val="20"/>
          <w:lang w:eastAsia="es-ES"/>
        </w:rPr>
      </w:pPr>
    </w:p>
    <w:p w14:paraId="666DFD89"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Artículo 132.</w:t>
      </w:r>
      <w:r w:rsidRPr="00D1018F">
        <w:rPr>
          <w:rFonts w:eastAsia="Times New Roman" w:cs="Times New Roman"/>
          <w:i/>
          <w:kern w:val="28"/>
          <w:szCs w:val="56"/>
          <w:lang w:eastAsia="es-ES"/>
        </w:rPr>
        <w:t xml:space="preserve"> La clasificación de la información se llevará a cabo en el momento en que:</w:t>
      </w:r>
    </w:p>
    <w:p w14:paraId="24A469DB"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I.</w:t>
      </w:r>
      <w:r w:rsidRPr="00D1018F">
        <w:rPr>
          <w:rFonts w:eastAsia="Times New Roman" w:cs="Times New Roman"/>
          <w:i/>
          <w:kern w:val="28"/>
          <w:szCs w:val="56"/>
          <w:lang w:eastAsia="es-ES"/>
        </w:rPr>
        <w:t xml:space="preserve"> Se reciba una solicitud de acceso a la información;</w:t>
      </w:r>
    </w:p>
    <w:p w14:paraId="527DBE6A"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II.</w:t>
      </w:r>
      <w:r w:rsidRPr="00D1018F">
        <w:rPr>
          <w:rFonts w:eastAsia="Times New Roman" w:cs="Times New Roman"/>
          <w:i/>
          <w:kern w:val="28"/>
          <w:szCs w:val="56"/>
          <w:lang w:eastAsia="es-ES"/>
        </w:rPr>
        <w:t xml:space="preserve"> Se determine mediante resolución de autoridad competente; o</w:t>
      </w:r>
    </w:p>
    <w:p w14:paraId="3CFEC9C4" w14:textId="77777777" w:rsidR="00815757" w:rsidRPr="00D1018F" w:rsidRDefault="00815757" w:rsidP="00D1018F">
      <w:pPr>
        <w:spacing w:line="240" w:lineRule="auto"/>
        <w:ind w:left="567" w:right="567"/>
        <w:contextualSpacing/>
        <w:rPr>
          <w:rFonts w:eastAsia="Times New Roman" w:cs="Times New Roman"/>
          <w:b/>
          <w:i/>
          <w:kern w:val="28"/>
          <w:szCs w:val="56"/>
          <w:lang w:eastAsia="es-ES"/>
        </w:rPr>
      </w:pPr>
      <w:r w:rsidRPr="00D1018F">
        <w:rPr>
          <w:rFonts w:eastAsia="Times New Roman" w:cs="Times New Roman"/>
          <w:b/>
          <w:bCs/>
          <w:i/>
          <w:kern w:val="28"/>
          <w:szCs w:val="56"/>
          <w:lang w:eastAsia="es-ES"/>
        </w:rPr>
        <w:t>III.</w:t>
      </w:r>
      <w:r w:rsidRPr="00D1018F">
        <w:rPr>
          <w:rFonts w:eastAsia="Times New Roman" w:cs="Times New Roman"/>
          <w:i/>
          <w:kern w:val="28"/>
          <w:szCs w:val="56"/>
          <w:lang w:eastAsia="es-ES"/>
        </w:rPr>
        <w:t xml:space="preserve"> Se generen versiones públicas para dar cumplimiento a las obligaciones de transparencia previstas en esta Ley.</w:t>
      </w:r>
      <w:r w:rsidRPr="00D1018F">
        <w:rPr>
          <w:rFonts w:eastAsia="Times New Roman" w:cs="Times New Roman"/>
          <w:b/>
          <w:i/>
          <w:kern w:val="28"/>
          <w:szCs w:val="56"/>
          <w:lang w:eastAsia="es-ES"/>
        </w:rPr>
        <w:t>”</w:t>
      </w:r>
    </w:p>
    <w:p w14:paraId="158F3534" w14:textId="77777777" w:rsidR="00815757" w:rsidRPr="00D1018F" w:rsidRDefault="00815757" w:rsidP="00D1018F">
      <w:pPr>
        <w:rPr>
          <w:rFonts w:eastAsia="Times New Roman" w:cs="Times New Roman"/>
          <w:szCs w:val="20"/>
          <w:lang w:eastAsia="es-ES"/>
        </w:rPr>
      </w:pPr>
    </w:p>
    <w:p w14:paraId="31F8CCEE"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“Segundo. -</w:t>
      </w:r>
      <w:r w:rsidRPr="00D1018F">
        <w:rPr>
          <w:rFonts w:eastAsia="Times New Roman" w:cs="Times New Roman"/>
          <w:i/>
          <w:kern w:val="28"/>
          <w:szCs w:val="56"/>
          <w:lang w:eastAsia="es-ES"/>
        </w:rPr>
        <w:t xml:space="preserve"> Para efectos de los presentes Lineamientos Generales, se entenderá por:</w:t>
      </w:r>
    </w:p>
    <w:p w14:paraId="30DA936A"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XVIII.</w:t>
      </w:r>
      <w:r w:rsidRPr="00D1018F">
        <w:rPr>
          <w:rFonts w:eastAsia="Times New Roman" w:cs="Times New Roman"/>
          <w:i/>
          <w:kern w:val="28"/>
          <w:szCs w:val="56"/>
          <w:lang w:eastAsia="es-ES"/>
        </w:rPr>
        <w:t xml:space="preserve">  </w:t>
      </w:r>
      <w:r w:rsidRPr="00D1018F">
        <w:rPr>
          <w:rFonts w:eastAsia="Times New Roman" w:cs="Times New Roman"/>
          <w:b/>
          <w:i/>
          <w:kern w:val="28"/>
          <w:szCs w:val="56"/>
          <w:lang w:eastAsia="es-ES"/>
        </w:rPr>
        <w:t>Versión pública:</w:t>
      </w:r>
      <w:r w:rsidRPr="00D1018F">
        <w:rPr>
          <w:rFonts w:eastAsia="Times New Roman" w:cs="Times New Roman"/>
          <w:i/>
          <w:kern w:val="28"/>
          <w:szCs w:val="56"/>
          <w:lang w:eastAsia="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C5611E3"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p>
    <w:p w14:paraId="1CF91D24" w14:textId="77777777" w:rsidR="00815757" w:rsidRPr="00D1018F" w:rsidRDefault="00815757" w:rsidP="00D1018F">
      <w:pPr>
        <w:spacing w:line="240" w:lineRule="auto"/>
        <w:ind w:left="567" w:right="567"/>
        <w:contextualSpacing/>
        <w:rPr>
          <w:rFonts w:eastAsia="Times New Roman" w:cs="Times New Roman"/>
          <w:b/>
          <w:i/>
          <w:kern w:val="28"/>
          <w:szCs w:val="56"/>
          <w:lang w:val="es-ES_tradnl"/>
        </w:rPr>
      </w:pPr>
      <w:r w:rsidRPr="00D1018F">
        <w:rPr>
          <w:rFonts w:eastAsia="Times New Roman" w:cs="Times New Roman"/>
          <w:b/>
          <w:i/>
          <w:kern w:val="28"/>
          <w:szCs w:val="56"/>
          <w:lang w:val="es-ES_tradnl"/>
        </w:rPr>
        <w:t xml:space="preserve">Lineamientos Generales en materia de Clasificación y Desclasificación de la </w:t>
      </w:r>
      <w:r w:rsidRPr="00D1018F">
        <w:rPr>
          <w:rFonts w:eastAsia="Times New Roman" w:cs="Times New Roman"/>
          <w:b/>
          <w:i/>
          <w:kern w:val="28"/>
          <w:szCs w:val="56"/>
          <w:lang w:val="es-ES_tradnl" w:eastAsia="es-ES"/>
        </w:rPr>
        <w:t>Información</w:t>
      </w:r>
    </w:p>
    <w:p w14:paraId="1BDFA23B"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p>
    <w:p w14:paraId="6D5F7517"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Cuarto.</w:t>
      </w:r>
      <w:r w:rsidRPr="00D1018F">
        <w:rPr>
          <w:rFonts w:eastAsia="Times New Roman" w:cs="Times New Roman"/>
          <w:i/>
          <w:kern w:val="28"/>
          <w:szCs w:val="56"/>
          <w:lang w:eastAsia="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21BF463"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i/>
          <w:kern w:val="28"/>
          <w:szCs w:val="56"/>
          <w:lang w:eastAsia="es-ES"/>
        </w:rPr>
        <w:t>Los sujetos obligados deberán aplicar, de manera estricta, las excepciones al derecho de acceso a la información y sólo podrán invocarlas cuando acrediten su procedencia.</w:t>
      </w:r>
    </w:p>
    <w:p w14:paraId="057B255A" w14:textId="77777777" w:rsidR="00815757" w:rsidRPr="00D1018F" w:rsidRDefault="00815757" w:rsidP="00D1018F">
      <w:pPr>
        <w:rPr>
          <w:rFonts w:eastAsia="Times New Roman" w:cs="Times New Roman"/>
          <w:szCs w:val="20"/>
          <w:lang w:eastAsia="es-ES"/>
        </w:rPr>
      </w:pPr>
    </w:p>
    <w:p w14:paraId="6054A7B1"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Quinto.</w:t>
      </w:r>
      <w:r w:rsidRPr="00D1018F">
        <w:rPr>
          <w:rFonts w:eastAsia="Times New Roman" w:cs="Times New Roman"/>
          <w:i/>
          <w:kern w:val="28"/>
          <w:szCs w:val="56"/>
          <w:lang w:eastAsia="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B21266" w14:textId="77777777" w:rsidR="00815757" w:rsidRPr="00D1018F" w:rsidRDefault="00815757" w:rsidP="00D1018F">
      <w:pPr>
        <w:rPr>
          <w:rFonts w:eastAsia="Times New Roman" w:cs="Times New Roman"/>
          <w:szCs w:val="20"/>
          <w:lang w:eastAsia="es-ES"/>
        </w:rPr>
      </w:pPr>
    </w:p>
    <w:p w14:paraId="0C78AD32"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Sexto.</w:t>
      </w:r>
      <w:r w:rsidRPr="00D1018F">
        <w:rPr>
          <w:rFonts w:eastAsia="Times New Roman" w:cs="Times New Roman"/>
          <w:i/>
          <w:kern w:val="28"/>
          <w:szCs w:val="56"/>
          <w:lang w:eastAsia="es-ES"/>
        </w:rPr>
        <w:t xml:space="preserve"> Se deroga.</w:t>
      </w:r>
    </w:p>
    <w:p w14:paraId="0C991E59" w14:textId="77777777" w:rsidR="00815757" w:rsidRPr="00D1018F" w:rsidRDefault="00815757" w:rsidP="00D1018F">
      <w:pPr>
        <w:rPr>
          <w:rFonts w:eastAsia="Times New Roman" w:cs="Times New Roman"/>
          <w:szCs w:val="20"/>
          <w:lang w:eastAsia="es-ES"/>
        </w:rPr>
      </w:pPr>
    </w:p>
    <w:p w14:paraId="692E053C"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lastRenderedPageBreak/>
        <w:t>Séptimo.</w:t>
      </w:r>
      <w:r w:rsidRPr="00D1018F">
        <w:rPr>
          <w:rFonts w:eastAsia="Times New Roman" w:cs="Times New Roman"/>
          <w:i/>
          <w:kern w:val="28"/>
          <w:szCs w:val="56"/>
          <w:lang w:eastAsia="es-ES"/>
        </w:rPr>
        <w:t xml:space="preserve"> La clasificación de la información se llevará a cabo en el momento en que:</w:t>
      </w:r>
    </w:p>
    <w:p w14:paraId="258BC4E3"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I.</w:t>
      </w:r>
      <w:r w:rsidRPr="00D1018F">
        <w:rPr>
          <w:rFonts w:eastAsia="Times New Roman" w:cs="Times New Roman"/>
          <w:i/>
          <w:kern w:val="28"/>
          <w:szCs w:val="56"/>
          <w:lang w:eastAsia="es-ES"/>
        </w:rPr>
        <w:t xml:space="preserve">        Se reciba una solicitud de acceso a la información;</w:t>
      </w:r>
    </w:p>
    <w:p w14:paraId="7E0CF621"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II.</w:t>
      </w:r>
      <w:r w:rsidRPr="00D1018F">
        <w:rPr>
          <w:rFonts w:eastAsia="Times New Roman" w:cs="Times New Roman"/>
          <w:i/>
          <w:kern w:val="28"/>
          <w:szCs w:val="56"/>
          <w:lang w:eastAsia="es-ES"/>
        </w:rPr>
        <w:t xml:space="preserve">       Se determine mediante resolución del Comité de Transparencia, el órgano garante competente, o en cumplimiento a una sentencia del Poder Judicial; o</w:t>
      </w:r>
    </w:p>
    <w:p w14:paraId="524B3CA2"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III.</w:t>
      </w:r>
      <w:r w:rsidRPr="00D1018F">
        <w:rPr>
          <w:rFonts w:eastAsia="Times New Roman" w:cs="Times New Roman"/>
          <w:i/>
          <w:kern w:val="28"/>
          <w:szCs w:val="56"/>
          <w:lang w:eastAsia="es-ES"/>
        </w:rPr>
        <w:t xml:space="preserve">      Se generen versiones públicas para dar cumplimiento a las obligaciones de transparencia previstas en la Ley General, la Ley Federal y las correspondientes de las entidades federativas.</w:t>
      </w:r>
    </w:p>
    <w:p w14:paraId="2B61FB61"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i/>
          <w:kern w:val="28"/>
          <w:szCs w:val="56"/>
          <w:lang w:eastAsia="es-ES"/>
        </w:rPr>
        <w:t xml:space="preserve">Los titulares de las áreas deberán revisar la información requerida al momento de la recepción de una solicitud de acceso, para verificar, conforme a su naturaleza, si encuadra en una causal de reserva o de confidencialidad. </w:t>
      </w:r>
    </w:p>
    <w:p w14:paraId="68F57A9F" w14:textId="77777777" w:rsidR="00815757" w:rsidRPr="00D1018F" w:rsidRDefault="00815757" w:rsidP="00D1018F">
      <w:pPr>
        <w:rPr>
          <w:rFonts w:eastAsia="Times New Roman" w:cs="Times New Roman"/>
          <w:szCs w:val="20"/>
          <w:lang w:eastAsia="es-ES"/>
        </w:rPr>
      </w:pPr>
    </w:p>
    <w:p w14:paraId="2C6E236B"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Octavo.</w:t>
      </w:r>
      <w:r w:rsidRPr="00D1018F">
        <w:rPr>
          <w:rFonts w:eastAsia="Times New Roman" w:cs="Times New Roman"/>
          <w:i/>
          <w:kern w:val="28"/>
          <w:szCs w:val="56"/>
          <w:lang w:eastAsia="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518ACD"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i/>
          <w:kern w:val="28"/>
          <w:szCs w:val="56"/>
          <w:lang w:eastAsia="es-ES"/>
        </w:rPr>
        <w:t>Para motivar la clasificación se deberán señalar las razones o circunstancias especiales que lo llevaron a concluir que el caso particular se ajusta al supuesto previsto por la norma legal invocada como fundamento.</w:t>
      </w:r>
    </w:p>
    <w:p w14:paraId="0B46A687"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i/>
          <w:kern w:val="28"/>
          <w:szCs w:val="56"/>
          <w:lang w:eastAsia="es-ES"/>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06F4A88" w14:textId="77777777" w:rsidR="00815757" w:rsidRPr="00D1018F" w:rsidRDefault="00815757" w:rsidP="00D1018F">
      <w:pPr>
        <w:rPr>
          <w:rFonts w:eastAsia="Times New Roman" w:cs="Times New Roman"/>
          <w:szCs w:val="20"/>
          <w:lang w:eastAsia="es-ES"/>
        </w:rPr>
      </w:pPr>
    </w:p>
    <w:p w14:paraId="388B13CE"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Noveno.</w:t>
      </w:r>
      <w:r w:rsidRPr="00D1018F">
        <w:rPr>
          <w:rFonts w:eastAsia="Times New Roman" w:cs="Times New Roman"/>
          <w:i/>
          <w:kern w:val="28"/>
          <w:szCs w:val="56"/>
          <w:lang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839BDA" w14:textId="77777777" w:rsidR="00815757" w:rsidRPr="00D1018F" w:rsidRDefault="00815757" w:rsidP="00D1018F">
      <w:pPr>
        <w:rPr>
          <w:rFonts w:eastAsia="Times New Roman" w:cs="Times New Roman"/>
          <w:szCs w:val="20"/>
          <w:lang w:eastAsia="es-ES"/>
        </w:rPr>
      </w:pPr>
    </w:p>
    <w:p w14:paraId="35FEE81E"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b/>
          <w:i/>
          <w:kern w:val="28"/>
          <w:szCs w:val="56"/>
          <w:lang w:eastAsia="es-ES"/>
        </w:rPr>
        <w:t>Décimo.</w:t>
      </w:r>
      <w:r w:rsidRPr="00D1018F">
        <w:rPr>
          <w:rFonts w:eastAsia="Times New Roman" w:cs="Times New Roman"/>
          <w:i/>
          <w:kern w:val="28"/>
          <w:szCs w:val="56"/>
          <w:lang w:eastAsia="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F1B8C49" w14:textId="77777777" w:rsidR="00815757" w:rsidRPr="00D1018F" w:rsidRDefault="00815757" w:rsidP="00D1018F">
      <w:pPr>
        <w:spacing w:line="240" w:lineRule="auto"/>
        <w:ind w:left="567" w:right="567"/>
        <w:contextualSpacing/>
        <w:rPr>
          <w:rFonts w:eastAsia="Times New Roman" w:cs="Times New Roman"/>
          <w:i/>
          <w:kern w:val="28"/>
          <w:szCs w:val="56"/>
          <w:lang w:eastAsia="es-ES"/>
        </w:rPr>
      </w:pPr>
      <w:r w:rsidRPr="00D1018F">
        <w:rPr>
          <w:rFonts w:eastAsia="Times New Roman" w:cs="Times New Roman"/>
          <w:i/>
          <w:kern w:val="28"/>
          <w:szCs w:val="56"/>
          <w:lang w:eastAsia="es-ES"/>
        </w:rPr>
        <w:t>En ausencia de los titulares de las áreas, la información será clasificada o desclasificada por la persona que lo supla, en términos de la normativa que rija la actuación del sujeto obligado.</w:t>
      </w:r>
    </w:p>
    <w:p w14:paraId="2EE187A4" w14:textId="77777777" w:rsidR="00815757" w:rsidRPr="00D1018F" w:rsidRDefault="00815757" w:rsidP="00D1018F">
      <w:pPr>
        <w:spacing w:line="240" w:lineRule="auto"/>
        <w:ind w:left="567" w:right="567"/>
        <w:contextualSpacing/>
        <w:rPr>
          <w:rFonts w:eastAsia="Times New Roman" w:cs="Times New Roman"/>
          <w:b/>
          <w:i/>
          <w:kern w:val="28"/>
          <w:szCs w:val="56"/>
          <w:lang w:eastAsia="es-ES"/>
        </w:rPr>
      </w:pPr>
      <w:r w:rsidRPr="00D1018F">
        <w:rPr>
          <w:rFonts w:eastAsia="Times New Roman" w:cs="Times New Roman"/>
          <w:b/>
          <w:i/>
          <w:kern w:val="28"/>
          <w:szCs w:val="56"/>
          <w:lang w:eastAsia="es-ES"/>
        </w:rPr>
        <w:lastRenderedPageBreak/>
        <w:t>Décimo primero.</w:t>
      </w:r>
      <w:r w:rsidRPr="00D1018F">
        <w:rPr>
          <w:rFonts w:eastAsia="Times New Roman" w:cs="Times New Roman"/>
          <w:i/>
          <w:kern w:val="28"/>
          <w:szCs w:val="56"/>
          <w:lang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1018F">
        <w:rPr>
          <w:rFonts w:eastAsia="Times New Roman" w:cs="Times New Roman"/>
          <w:b/>
          <w:i/>
          <w:kern w:val="28"/>
          <w:szCs w:val="56"/>
          <w:lang w:eastAsia="es-ES"/>
        </w:rPr>
        <w:t>”</w:t>
      </w:r>
    </w:p>
    <w:p w14:paraId="1D1D5E1F" w14:textId="77777777" w:rsidR="00815757" w:rsidRPr="00D1018F" w:rsidRDefault="00815757" w:rsidP="00D1018F">
      <w:pPr>
        <w:rPr>
          <w:rFonts w:eastAsia="Times New Roman" w:cs="Times New Roman"/>
          <w:szCs w:val="20"/>
          <w:lang w:eastAsia="es-ES"/>
        </w:rPr>
      </w:pPr>
    </w:p>
    <w:p w14:paraId="3EAC186C" w14:textId="7C0B79C2" w:rsidR="009D22BF" w:rsidRPr="00D1018F" w:rsidRDefault="009D22BF" w:rsidP="00D1018F">
      <w:pPr>
        <w:rPr>
          <w:rFonts w:cs="Arial"/>
        </w:rPr>
      </w:pPr>
      <w:r w:rsidRPr="00D1018F">
        <w:rPr>
          <w:rFonts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tal y como aconteció en el asunto que nos ocupa, es decir, </w:t>
      </w:r>
      <w:r w:rsidRPr="00D1018F">
        <w:rPr>
          <w:rFonts w:cs="Arial"/>
          <w:b/>
          <w:bCs/>
        </w:rPr>
        <w:t xml:space="preserve">EL SUJETO OBLIGADO </w:t>
      </w:r>
      <w:r w:rsidRPr="00D1018F">
        <w:rPr>
          <w:rFonts w:cs="Arial"/>
        </w:rPr>
        <w:t xml:space="preserve">salvaguardo por un lado el derecho de acceso a la información del particular, y por el otro protegió </w:t>
      </w:r>
      <w:r w:rsidR="0051217D" w:rsidRPr="00D1018F">
        <w:rPr>
          <w:rFonts w:cs="Arial"/>
        </w:rPr>
        <w:t>los datos personales, consistentes en los motivos que manifestaron para dar por terminada su relación laboral.</w:t>
      </w:r>
    </w:p>
    <w:p w14:paraId="7486A527" w14:textId="77777777" w:rsidR="00021914" w:rsidRPr="00D1018F" w:rsidRDefault="00021914" w:rsidP="00D1018F">
      <w:pPr>
        <w:rPr>
          <w:rFonts w:cs="Arial"/>
        </w:rPr>
      </w:pPr>
    </w:p>
    <w:p w14:paraId="3B784B42" w14:textId="50BD97DF" w:rsidR="00021914" w:rsidRPr="00D1018F" w:rsidRDefault="00021914" w:rsidP="00D1018F">
      <w:pPr>
        <w:pStyle w:val="Sinespaciado"/>
        <w:spacing w:line="360" w:lineRule="auto"/>
        <w:jc w:val="both"/>
        <w:rPr>
          <w:rFonts w:cs="Arial"/>
        </w:rPr>
      </w:pPr>
      <w:r w:rsidRPr="00D1018F">
        <w:rPr>
          <w:rFonts w:ascii="Palatino Linotype" w:hAnsi="Palatino Linotype"/>
        </w:rPr>
        <w:t xml:space="preserve">Luego entonces, este Instituto considera que la información solicitada por </w:t>
      </w:r>
      <w:r w:rsidRPr="00D1018F">
        <w:rPr>
          <w:rFonts w:ascii="Palatino Linotype" w:hAnsi="Palatino Linotype"/>
          <w:b/>
          <w:bCs/>
        </w:rPr>
        <w:t>LA PARTE RECURRENTE</w:t>
      </w:r>
      <w:r w:rsidRPr="00D1018F">
        <w:rPr>
          <w:rFonts w:ascii="Palatino Linotype" w:hAnsi="Palatino Linotype"/>
        </w:rPr>
        <w:t xml:space="preserve"> y clasificada por el ente recurrido, es información</w:t>
      </w:r>
      <w:r w:rsidR="006C0698" w:rsidRPr="00D1018F">
        <w:rPr>
          <w:rFonts w:ascii="Palatino Linotype" w:hAnsi="Palatino Linotype"/>
        </w:rPr>
        <w:t xml:space="preserve"> de</w:t>
      </w:r>
      <w:r w:rsidRPr="00D1018F">
        <w:rPr>
          <w:rFonts w:ascii="Palatino Linotype" w:hAnsi="Palatino Linotype"/>
        </w:rPr>
        <w:t xml:space="preserve"> </w:t>
      </w:r>
      <w:r w:rsidR="006C0698" w:rsidRPr="00D1018F">
        <w:rPr>
          <w:rFonts w:ascii="Palatino Linotype" w:hAnsi="Palatino Linotype"/>
        </w:rPr>
        <w:t>carácter confidencial, en términos del artículo 143, fracción I, de la Ley de Transparencia y Acceso a la Información Pública del Estado de México y Municipios.</w:t>
      </w:r>
    </w:p>
    <w:p w14:paraId="45FB5A80" w14:textId="77777777" w:rsidR="009D22BF" w:rsidRPr="00D1018F" w:rsidRDefault="009D22BF" w:rsidP="00D1018F"/>
    <w:p w14:paraId="50A91EC0" w14:textId="3867E507" w:rsidR="002B4088" w:rsidRPr="00D1018F" w:rsidRDefault="002B4088" w:rsidP="00D1018F">
      <w:pPr>
        <w:ind w:right="-93"/>
      </w:pPr>
      <w:r w:rsidRPr="00D1018F">
        <w:t xml:space="preserve">En consecuencia, con base en el análisis realizado, y toda vez que la información remitida en respuesta por </w:t>
      </w:r>
      <w:r w:rsidRPr="00D1018F">
        <w:rPr>
          <w:b/>
        </w:rPr>
        <w:t>EL SUJETO OBLIGADO</w:t>
      </w:r>
      <w:r w:rsidRPr="00D1018F">
        <w:t xml:space="preserve"> es información de </w:t>
      </w:r>
      <w:r w:rsidR="000766D6" w:rsidRPr="00D1018F">
        <w:t>naturaleza confidencial</w:t>
      </w:r>
      <w:r w:rsidR="00555C52" w:rsidRPr="00D1018F">
        <w:t>, respecto de los motivos</w:t>
      </w:r>
      <w:r w:rsidR="00021914" w:rsidRPr="00D1018F">
        <w:t xml:space="preserve"> expuestos en las renuncias,</w:t>
      </w:r>
      <w:r w:rsidRPr="00D1018F">
        <w:t xml:space="preserve"> es que se determina que el motivo de inconformidad planteado por </w:t>
      </w:r>
      <w:r w:rsidRPr="00D1018F">
        <w:rPr>
          <w:b/>
        </w:rPr>
        <w:t xml:space="preserve">LA PARTE RECURRENTE </w:t>
      </w:r>
      <w:r w:rsidRPr="00D1018F">
        <w:t>es infundado.</w:t>
      </w:r>
    </w:p>
    <w:p w14:paraId="030D93D4" w14:textId="77777777" w:rsidR="002B4088" w:rsidRPr="00D1018F" w:rsidRDefault="002B4088" w:rsidP="00D1018F">
      <w:pPr>
        <w:ind w:right="-93"/>
      </w:pPr>
    </w:p>
    <w:p w14:paraId="3AECEAF5" w14:textId="77777777" w:rsidR="002B4088" w:rsidRPr="00D1018F" w:rsidRDefault="002B4088" w:rsidP="00D1018F">
      <w:pPr>
        <w:pStyle w:val="Ttulo3"/>
      </w:pPr>
      <w:bookmarkStart w:id="37" w:name="_Toc202418157"/>
      <w:r w:rsidRPr="00D1018F">
        <w:lastRenderedPageBreak/>
        <w:t>d) Conclusión</w:t>
      </w:r>
      <w:bookmarkEnd w:id="37"/>
    </w:p>
    <w:p w14:paraId="2DFE82AA" w14:textId="77777777" w:rsidR="002B4088" w:rsidRPr="00D1018F" w:rsidRDefault="002B4088" w:rsidP="00D1018F">
      <w:pPr>
        <w:ind w:right="113"/>
      </w:pPr>
      <w:r w:rsidRPr="00D1018F">
        <w:t xml:space="preserve">Por lo anteriormente expuesto, este Instituto estima que las razones o motivos de inconformidad hechos valer por </w:t>
      </w:r>
      <w:r w:rsidRPr="00D1018F">
        <w:rPr>
          <w:b/>
        </w:rPr>
        <w:t>LA PARTE RECURRENTE</w:t>
      </w:r>
      <w:r w:rsidRPr="00D1018F">
        <w:t xml:space="preserve"> devienen </w:t>
      </w:r>
      <w:r w:rsidRPr="00D1018F">
        <w:rPr>
          <w:b/>
        </w:rPr>
        <w:t>infundadas</w:t>
      </w:r>
      <w:r w:rsidRPr="00D1018F">
        <w:t xml:space="preserve"> y suficientes para </w:t>
      </w:r>
      <w:r w:rsidRPr="00D1018F">
        <w:rPr>
          <w:b/>
        </w:rPr>
        <w:t>CONFIRMAR</w:t>
      </w:r>
      <w:r w:rsidRPr="00D1018F">
        <w:t xml:space="preserve"> la respuesta del </w:t>
      </w:r>
      <w:r w:rsidRPr="00D1018F">
        <w:rPr>
          <w:b/>
        </w:rPr>
        <w:t>SUJETO OBLIGADO</w:t>
      </w:r>
      <w:r w:rsidRPr="00D1018F">
        <w:t>.</w:t>
      </w:r>
    </w:p>
    <w:p w14:paraId="17E76D15" w14:textId="77777777" w:rsidR="002B4088" w:rsidRPr="00D1018F" w:rsidRDefault="002B4088" w:rsidP="00D1018F"/>
    <w:p w14:paraId="24507062" w14:textId="77777777" w:rsidR="002B4088" w:rsidRPr="00D1018F" w:rsidRDefault="002B4088" w:rsidP="00D1018F">
      <w:pPr>
        <w:ind w:right="-93"/>
      </w:pPr>
      <w:bookmarkStart w:id="38" w:name="_32hioqz" w:colFirst="0" w:colLast="0"/>
      <w:bookmarkEnd w:id="38"/>
      <w:r w:rsidRPr="00D1018F">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CF42A75" w14:textId="77777777" w:rsidR="002B4088" w:rsidRPr="00D1018F" w:rsidRDefault="002B4088" w:rsidP="00D1018F"/>
    <w:p w14:paraId="7E0D8F96" w14:textId="77777777" w:rsidR="002B4088" w:rsidRPr="00D1018F" w:rsidRDefault="002B4088" w:rsidP="00D1018F">
      <w:pPr>
        <w:pStyle w:val="Ttulo1"/>
      </w:pPr>
      <w:bookmarkStart w:id="39" w:name="_1hmsyys" w:colFirst="0" w:colLast="0"/>
      <w:bookmarkStart w:id="40" w:name="_Toc196397415"/>
      <w:bookmarkStart w:id="41" w:name="_Toc202418158"/>
      <w:bookmarkEnd w:id="39"/>
      <w:r w:rsidRPr="00D1018F">
        <w:t>RESUELVE</w:t>
      </w:r>
      <w:bookmarkEnd w:id="40"/>
      <w:bookmarkEnd w:id="41"/>
    </w:p>
    <w:p w14:paraId="694A5976" w14:textId="5E7CDAA4" w:rsidR="002B4088" w:rsidRPr="00D1018F" w:rsidRDefault="002B4088" w:rsidP="00D1018F">
      <w:pPr>
        <w:widowControl w:val="0"/>
      </w:pPr>
      <w:r w:rsidRPr="00D1018F">
        <w:rPr>
          <w:b/>
        </w:rPr>
        <w:t>PRIMERO.</w:t>
      </w:r>
      <w:r w:rsidRPr="00D1018F">
        <w:t xml:space="preserve"> Se</w:t>
      </w:r>
      <w:r w:rsidRPr="00D1018F">
        <w:rPr>
          <w:b/>
        </w:rPr>
        <w:t xml:space="preserve"> CONFIRMA</w:t>
      </w:r>
      <w:r w:rsidRPr="00D1018F">
        <w:t xml:space="preserve"> la respuesta entregada por el </w:t>
      </w:r>
      <w:r w:rsidRPr="00D1018F">
        <w:rPr>
          <w:b/>
        </w:rPr>
        <w:t>SUJETO OBLIGADO</w:t>
      </w:r>
      <w:r w:rsidRPr="00D1018F">
        <w:t xml:space="preserve"> en la solicitud de información </w:t>
      </w:r>
      <w:r w:rsidR="00FE180F" w:rsidRPr="00D1018F">
        <w:rPr>
          <w:b/>
        </w:rPr>
        <w:t>00337/IEEM/IP/2025</w:t>
      </w:r>
      <w:r w:rsidRPr="00D1018F">
        <w:t xml:space="preserve">, por resultar </w:t>
      </w:r>
      <w:r w:rsidRPr="00D1018F">
        <w:rPr>
          <w:b/>
        </w:rPr>
        <w:t>INFUNDADAS</w:t>
      </w:r>
      <w:r w:rsidRPr="00D1018F">
        <w:t xml:space="preserve"> las razones o motivos de inconformidad hechos valer por </w:t>
      </w:r>
      <w:r w:rsidRPr="00D1018F">
        <w:rPr>
          <w:b/>
        </w:rPr>
        <w:t>LA PARTE RECURRENTE</w:t>
      </w:r>
      <w:r w:rsidRPr="00D1018F">
        <w:t xml:space="preserve"> en el Recurso de Revisión </w:t>
      </w:r>
      <w:r w:rsidR="00FE180F" w:rsidRPr="00D1018F">
        <w:rPr>
          <w:b/>
        </w:rPr>
        <w:t>05197/INFOEM/IP/RR/2025</w:t>
      </w:r>
      <w:r w:rsidRPr="00D1018F">
        <w:t>,</w:t>
      </w:r>
      <w:r w:rsidRPr="00D1018F">
        <w:rPr>
          <w:b/>
        </w:rPr>
        <w:t xml:space="preserve"> </w:t>
      </w:r>
      <w:r w:rsidRPr="00D1018F">
        <w:t xml:space="preserve">en términos del considerando </w:t>
      </w:r>
      <w:r w:rsidRPr="00D1018F">
        <w:rPr>
          <w:b/>
        </w:rPr>
        <w:t>SEGUNDO</w:t>
      </w:r>
      <w:r w:rsidRPr="00D1018F">
        <w:t xml:space="preserve"> de la presente Resolución.</w:t>
      </w:r>
    </w:p>
    <w:p w14:paraId="6456FA54" w14:textId="77777777" w:rsidR="002B4088" w:rsidRPr="00D1018F" w:rsidRDefault="002B4088" w:rsidP="00D1018F">
      <w:pPr>
        <w:widowControl w:val="0"/>
      </w:pPr>
    </w:p>
    <w:p w14:paraId="77CE4905" w14:textId="77777777" w:rsidR="002B4088" w:rsidRPr="00D1018F" w:rsidRDefault="002B4088" w:rsidP="00D1018F">
      <w:pPr>
        <w:ind w:right="-93"/>
      </w:pPr>
      <w:r w:rsidRPr="00D1018F">
        <w:rPr>
          <w:b/>
        </w:rPr>
        <w:t>SEGUNDO.</w:t>
      </w:r>
      <w:r w:rsidRPr="00D1018F">
        <w:t xml:space="preserve"> </w:t>
      </w:r>
      <w:r w:rsidRPr="00D1018F">
        <w:rPr>
          <w:b/>
        </w:rPr>
        <w:t>Notifíquese</w:t>
      </w:r>
      <w:r w:rsidRPr="00D1018F">
        <w:t xml:space="preserve"> la presente resolución mediante Sistema de Acceso a la Información Mexiquense </w:t>
      </w:r>
      <w:r w:rsidRPr="00D1018F">
        <w:rPr>
          <w:b/>
        </w:rPr>
        <w:t>(SAIMEX)</w:t>
      </w:r>
      <w:r w:rsidRPr="00D1018F">
        <w:t xml:space="preserve"> al Titular de la Unidad de Transparencia del </w:t>
      </w:r>
      <w:r w:rsidRPr="00D1018F">
        <w:rPr>
          <w:b/>
        </w:rPr>
        <w:t>SUJETO OBLIGADO</w:t>
      </w:r>
      <w:r w:rsidRPr="00D1018F">
        <w:t>, para su conocimiento.</w:t>
      </w:r>
    </w:p>
    <w:p w14:paraId="3FD44339" w14:textId="77777777" w:rsidR="002B4088" w:rsidRPr="00D1018F" w:rsidRDefault="002B4088" w:rsidP="00D1018F">
      <w:pPr>
        <w:ind w:right="-93"/>
      </w:pPr>
    </w:p>
    <w:p w14:paraId="4D23A5AB" w14:textId="77777777" w:rsidR="002B4088" w:rsidRPr="00D1018F" w:rsidRDefault="002B4088" w:rsidP="00D1018F">
      <w:r w:rsidRPr="00D1018F">
        <w:rPr>
          <w:b/>
        </w:rPr>
        <w:t>TERCERO.</w:t>
      </w:r>
      <w:r w:rsidRPr="00D1018F">
        <w:t xml:space="preserve"> Notifíquese a </w:t>
      </w:r>
      <w:r w:rsidRPr="00D1018F">
        <w:rPr>
          <w:b/>
        </w:rPr>
        <w:t>LA PARTE RECURRENTE</w:t>
      </w:r>
      <w:r w:rsidRPr="00D1018F">
        <w:t xml:space="preserve"> la presente resolución vía Sistema de Acceso a la Información Mexiquense (</w:t>
      </w:r>
      <w:r w:rsidRPr="00D1018F">
        <w:rPr>
          <w:b/>
        </w:rPr>
        <w:t>SAIMEX</w:t>
      </w:r>
      <w:r w:rsidRPr="00D1018F">
        <w:t>).</w:t>
      </w:r>
    </w:p>
    <w:p w14:paraId="6B97614B" w14:textId="77777777" w:rsidR="002B4088" w:rsidRPr="00D1018F" w:rsidRDefault="002B4088" w:rsidP="00D1018F"/>
    <w:p w14:paraId="297C61B9" w14:textId="77777777" w:rsidR="002B4088" w:rsidRPr="00D1018F" w:rsidRDefault="002B4088" w:rsidP="00D1018F">
      <w:r w:rsidRPr="00D1018F">
        <w:rPr>
          <w:b/>
        </w:rPr>
        <w:lastRenderedPageBreak/>
        <w:t>CUARTO</w:t>
      </w:r>
      <w:r w:rsidRPr="00D1018F">
        <w:t xml:space="preserve">. Hágase del conocimiento a </w:t>
      </w:r>
      <w:r w:rsidRPr="00D1018F">
        <w:rPr>
          <w:b/>
        </w:rPr>
        <w:t>LA PARTE RECURRENTE</w:t>
      </w:r>
      <w:r w:rsidRPr="00D1018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77B12E0" w14:textId="77777777" w:rsidR="00CD616E" w:rsidRPr="00D1018F" w:rsidRDefault="00CD616E" w:rsidP="00D1018F"/>
    <w:p w14:paraId="7584C79A" w14:textId="6BCFC2FD" w:rsidR="00FD6BCA" w:rsidRPr="00D1018F" w:rsidRDefault="00D1018F" w:rsidP="00D1018F">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C05457" w:rsidRPr="00D1018F">
        <w:t>.</w:t>
      </w:r>
    </w:p>
    <w:p w14:paraId="01EA63CC" w14:textId="77777777" w:rsidR="00FD6BCA" w:rsidRPr="00D1018F" w:rsidRDefault="00C05457" w:rsidP="00D1018F">
      <w:pPr>
        <w:ind w:right="-93"/>
      </w:pPr>
      <w:r w:rsidRPr="00D1018F">
        <w:t>SCMM/AGZ/DEMF/PAG</w:t>
      </w:r>
    </w:p>
    <w:p w14:paraId="18033E89" w14:textId="77777777" w:rsidR="00FD6BCA" w:rsidRPr="00D1018F" w:rsidRDefault="00FD6BCA" w:rsidP="00D1018F">
      <w:pPr>
        <w:ind w:right="-93"/>
      </w:pPr>
    </w:p>
    <w:p w14:paraId="4F82D4CE" w14:textId="77777777" w:rsidR="00FD6BCA" w:rsidRPr="00D1018F" w:rsidRDefault="00FD6BCA" w:rsidP="00D1018F">
      <w:pPr>
        <w:ind w:right="-93"/>
      </w:pPr>
    </w:p>
    <w:p w14:paraId="692AB4CE" w14:textId="77777777" w:rsidR="00FD6BCA" w:rsidRPr="00D1018F" w:rsidRDefault="00FD6BCA" w:rsidP="00D1018F">
      <w:pPr>
        <w:ind w:right="-93"/>
      </w:pPr>
    </w:p>
    <w:p w14:paraId="2667381A" w14:textId="77777777" w:rsidR="00FD6BCA" w:rsidRPr="00D1018F" w:rsidRDefault="00FD6BCA" w:rsidP="00D1018F">
      <w:pPr>
        <w:ind w:right="-93"/>
      </w:pPr>
    </w:p>
    <w:p w14:paraId="60DFFB2F" w14:textId="77777777" w:rsidR="00FD6BCA" w:rsidRPr="00D1018F" w:rsidRDefault="00FD6BCA" w:rsidP="00D1018F">
      <w:pPr>
        <w:ind w:right="-93"/>
      </w:pPr>
    </w:p>
    <w:p w14:paraId="0BB42DB1" w14:textId="77777777" w:rsidR="00FD6BCA" w:rsidRPr="00D1018F" w:rsidRDefault="00FD6BCA" w:rsidP="00D1018F">
      <w:pPr>
        <w:ind w:right="-93"/>
      </w:pPr>
    </w:p>
    <w:p w14:paraId="1A499D32" w14:textId="77777777" w:rsidR="00FD6BCA" w:rsidRPr="00D1018F" w:rsidRDefault="00FD6BCA" w:rsidP="00D1018F">
      <w:pPr>
        <w:ind w:right="-93"/>
      </w:pPr>
    </w:p>
    <w:p w14:paraId="15203BFE" w14:textId="77777777" w:rsidR="00FD6BCA" w:rsidRPr="00D1018F" w:rsidRDefault="00FD6BCA" w:rsidP="00D1018F">
      <w:pPr>
        <w:ind w:right="-93"/>
      </w:pPr>
    </w:p>
    <w:p w14:paraId="10AA34ED" w14:textId="77777777" w:rsidR="00FD6BCA" w:rsidRPr="00D1018F" w:rsidRDefault="00FD6BCA" w:rsidP="00D1018F">
      <w:pPr>
        <w:tabs>
          <w:tab w:val="center" w:pos="4568"/>
        </w:tabs>
        <w:ind w:right="-93"/>
      </w:pPr>
    </w:p>
    <w:p w14:paraId="6CBD1DAB" w14:textId="77777777" w:rsidR="00FD6BCA" w:rsidRPr="00D1018F" w:rsidRDefault="00FD6BCA" w:rsidP="00D1018F">
      <w:pPr>
        <w:tabs>
          <w:tab w:val="center" w:pos="4568"/>
        </w:tabs>
        <w:ind w:right="-93"/>
      </w:pPr>
    </w:p>
    <w:p w14:paraId="2E282474" w14:textId="77777777" w:rsidR="00FD6BCA" w:rsidRPr="00D1018F" w:rsidRDefault="00FD6BCA" w:rsidP="00D1018F">
      <w:pPr>
        <w:tabs>
          <w:tab w:val="center" w:pos="4568"/>
        </w:tabs>
        <w:ind w:right="-93"/>
      </w:pPr>
    </w:p>
    <w:p w14:paraId="550B4F61" w14:textId="77777777" w:rsidR="00FD6BCA" w:rsidRPr="00D1018F" w:rsidRDefault="00FD6BCA" w:rsidP="00D1018F">
      <w:pPr>
        <w:tabs>
          <w:tab w:val="center" w:pos="4568"/>
        </w:tabs>
        <w:ind w:right="-93"/>
      </w:pPr>
    </w:p>
    <w:p w14:paraId="2DF122E4" w14:textId="77777777" w:rsidR="00FD6BCA" w:rsidRPr="00D1018F" w:rsidRDefault="00FD6BCA" w:rsidP="00D1018F">
      <w:pPr>
        <w:tabs>
          <w:tab w:val="center" w:pos="4568"/>
        </w:tabs>
        <w:ind w:right="-93"/>
      </w:pPr>
    </w:p>
    <w:p w14:paraId="16D458D3" w14:textId="77777777" w:rsidR="00FD6BCA" w:rsidRPr="00D1018F" w:rsidRDefault="00FD6BCA" w:rsidP="00D1018F">
      <w:pPr>
        <w:tabs>
          <w:tab w:val="center" w:pos="4568"/>
        </w:tabs>
        <w:ind w:right="-93"/>
      </w:pPr>
    </w:p>
    <w:p w14:paraId="6B6061E1" w14:textId="77777777" w:rsidR="00FD6BCA" w:rsidRPr="00D1018F" w:rsidRDefault="00FD6BCA" w:rsidP="00D1018F">
      <w:pPr>
        <w:tabs>
          <w:tab w:val="center" w:pos="4568"/>
        </w:tabs>
        <w:ind w:right="-93"/>
      </w:pPr>
    </w:p>
    <w:p w14:paraId="6B97DCA9" w14:textId="77777777" w:rsidR="00FD6BCA" w:rsidRPr="00D1018F" w:rsidRDefault="00FD6BCA" w:rsidP="00D1018F">
      <w:pPr>
        <w:tabs>
          <w:tab w:val="center" w:pos="4568"/>
        </w:tabs>
        <w:ind w:right="-93"/>
      </w:pPr>
    </w:p>
    <w:p w14:paraId="3BF93D33" w14:textId="77777777" w:rsidR="00FD6BCA" w:rsidRPr="00D1018F" w:rsidRDefault="00FD6BCA" w:rsidP="00D1018F">
      <w:pPr>
        <w:tabs>
          <w:tab w:val="center" w:pos="4568"/>
        </w:tabs>
        <w:ind w:right="-93"/>
      </w:pPr>
    </w:p>
    <w:p w14:paraId="63ADA677" w14:textId="77777777" w:rsidR="00FD6BCA" w:rsidRPr="00D1018F" w:rsidRDefault="00FD6BCA" w:rsidP="00D1018F">
      <w:pPr>
        <w:tabs>
          <w:tab w:val="center" w:pos="4568"/>
        </w:tabs>
        <w:ind w:right="-93"/>
      </w:pPr>
    </w:p>
    <w:p w14:paraId="17D81460" w14:textId="77777777" w:rsidR="00FD6BCA" w:rsidRPr="00D1018F" w:rsidRDefault="00FD6BCA" w:rsidP="00D1018F">
      <w:pPr>
        <w:tabs>
          <w:tab w:val="center" w:pos="4568"/>
        </w:tabs>
        <w:ind w:right="-93"/>
      </w:pPr>
    </w:p>
    <w:p w14:paraId="579264FD" w14:textId="77777777" w:rsidR="00FD6BCA" w:rsidRPr="00D1018F" w:rsidRDefault="00FD6BCA" w:rsidP="00D1018F">
      <w:pPr>
        <w:tabs>
          <w:tab w:val="center" w:pos="4568"/>
        </w:tabs>
        <w:ind w:right="-93"/>
      </w:pPr>
    </w:p>
    <w:p w14:paraId="26392E01" w14:textId="77777777" w:rsidR="00FD6BCA" w:rsidRPr="00D1018F" w:rsidRDefault="00FD6BCA" w:rsidP="00D1018F">
      <w:pPr>
        <w:tabs>
          <w:tab w:val="center" w:pos="4568"/>
        </w:tabs>
        <w:ind w:right="-93"/>
      </w:pPr>
    </w:p>
    <w:p w14:paraId="7AA6AC02" w14:textId="77777777" w:rsidR="00FD6BCA" w:rsidRPr="00D1018F" w:rsidRDefault="00FD6BCA" w:rsidP="00D1018F"/>
    <w:sectPr w:rsidR="00FD6BCA" w:rsidRPr="00D1018F">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2C4E2" w14:textId="77777777" w:rsidR="007F2CB9" w:rsidRDefault="007F2CB9">
      <w:pPr>
        <w:spacing w:line="240" w:lineRule="auto"/>
      </w:pPr>
      <w:r>
        <w:separator/>
      </w:r>
    </w:p>
  </w:endnote>
  <w:endnote w:type="continuationSeparator" w:id="0">
    <w:p w14:paraId="2F06851D" w14:textId="77777777" w:rsidR="007F2CB9" w:rsidRDefault="007F2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AB37CD" w:rsidRDefault="00AB37CD">
    <w:pPr>
      <w:tabs>
        <w:tab w:val="center" w:pos="4550"/>
        <w:tab w:val="left" w:pos="5818"/>
      </w:tabs>
      <w:ind w:right="260"/>
      <w:jc w:val="right"/>
      <w:rPr>
        <w:color w:val="071320"/>
        <w:sz w:val="24"/>
        <w:szCs w:val="24"/>
      </w:rPr>
    </w:pPr>
  </w:p>
  <w:p w14:paraId="2EA5F9BE" w14:textId="77777777" w:rsidR="00AB37CD" w:rsidRDefault="00AB37C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20E80F3" w:rsidR="00AB37CD" w:rsidRDefault="00AB37C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D3543">
      <w:rPr>
        <w:noProof/>
        <w:color w:val="0A1D30"/>
        <w:sz w:val="24"/>
        <w:szCs w:val="24"/>
      </w:rPr>
      <w:t>26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D3543">
      <w:rPr>
        <w:noProof/>
        <w:color w:val="0A1D30"/>
        <w:sz w:val="24"/>
        <w:szCs w:val="24"/>
      </w:rPr>
      <w:t>28</w:t>
    </w:r>
    <w:r>
      <w:rPr>
        <w:color w:val="0A1D30"/>
        <w:sz w:val="24"/>
        <w:szCs w:val="24"/>
      </w:rPr>
      <w:fldChar w:fldCharType="end"/>
    </w:r>
  </w:p>
  <w:p w14:paraId="06DB7526" w14:textId="77777777" w:rsidR="00AB37CD" w:rsidRDefault="00AB37C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C6A61" w14:textId="77777777" w:rsidR="007F2CB9" w:rsidRDefault="007F2CB9">
      <w:pPr>
        <w:spacing w:line="240" w:lineRule="auto"/>
      </w:pPr>
      <w:r>
        <w:separator/>
      </w:r>
    </w:p>
  </w:footnote>
  <w:footnote w:type="continuationSeparator" w:id="0">
    <w:p w14:paraId="72C637D9" w14:textId="77777777" w:rsidR="007F2CB9" w:rsidRDefault="007F2C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AB37CD" w:rsidRDefault="00AB37CD">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B37CD" w14:paraId="0CD0A5B8" w14:textId="77777777">
      <w:trPr>
        <w:trHeight w:val="144"/>
        <w:jc w:val="right"/>
      </w:trPr>
      <w:tc>
        <w:tcPr>
          <w:tcW w:w="2727" w:type="dxa"/>
        </w:tcPr>
        <w:p w14:paraId="259BF4DF" w14:textId="77777777" w:rsidR="00AB37CD" w:rsidRDefault="00AB37CD">
          <w:pPr>
            <w:tabs>
              <w:tab w:val="right" w:pos="8838"/>
            </w:tabs>
            <w:ind w:left="-74" w:right="-105"/>
            <w:rPr>
              <w:b/>
            </w:rPr>
          </w:pPr>
          <w:r>
            <w:rPr>
              <w:b/>
            </w:rPr>
            <w:t>Recurso de Revisión:</w:t>
          </w:r>
        </w:p>
      </w:tc>
      <w:tc>
        <w:tcPr>
          <w:tcW w:w="3402" w:type="dxa"/>
        </w:tcPr>
        <w:p w14:paraId="6B0DD5D1" w14:textId="5479F534" w:rsidR="00AB37CD" w:rsidRDefault="00FE180F">
          <w:pPr>
            <w:tabs>
              <w:tab w:val="right" w:pos="8838"/>
            </w:tabs>
            <w:ind w:left="-74" w:right="-105"/>
          </w:pPr>
          <w:r w:rsidRPr="00FE180F">
            <w:t>05197/INFOEM/IP/RR/2025</w:t>
          </w:r>
        </w:p>
      </w:tc>
    </w:tr>
    <w:tr w:rsidR="00AB37CD" w14:paraId="04096EF4" w14:textId="77777777">
      <w:trPr>
        <w:trHeight w:val="283"/>
        <w:jc w:val="right"/>
      </w:trPr>
      <w:tc>
        <w:tcPr>
          <w:tcW w:w="2727" w:type="dxa"/>
        </w:tcPr>
        <w:p w14:paraId="3B7241CF" w14:textId="77777777" w:rsidR="00AB37CD" w:rsidRDefault="00AB37CD">
          <w:pPr>
            <w:tabs>
              <w:tab w:val="right" w:pos="8838"/>
            </w:tabs>
            <w:ind w:left="-74" w:right="-105"/>
            <w:rPr>
              <w:b/>
            </w:rPr>
          </w:pPr>
          <w:r>
            <w:rPr>
              <w:b/>
            </w:rPr>
            <w:t>Sujeto Obligado:</w:t>
          </w:r>
        </w:p>
      </w:tc>
      <w:tc>
        <w:tcPr>
          <w:tcW w:w="3402" w:type="dxa"/>
        </w:tcPr>
        <w:p w14:paraId="2953845B" w14:textId="7DEFDB09" w:rsidR="00AB37CD" w:rsidRDefault="00AB37CD">
          <w:pPr>
            <w:tabs>
              <w:tab w:val="left" w:pos="2834"/>
              <w:tab w:val="right" w:pos="8838"/>
            </w:tabs>
            <w:ind w:left="-108" w:right="-105"/>
          </w:pPr>
          <w:r w:rsidRPr="00A04C49">
            <w:t>Instituto Electoral del Estado de México</w:t>
          </w:r>
        </w:p>
      </w:tc>
    </w:tr>
    <w:tr w:rsidR="00AB37CD" w14:paraId="4A61FAE5" w14:textId="77777777">
      <w:trPr>
        <w:trHeight w:val="283"/>
        <w:jc w:val="right"/>
      </w:trPr>
      <w:tc>
        <w:tcPr>
          <w:tcW w:w="2727" w:type="dxa"/>
        </w:tcPr>
        <w:p w14:paraId="78F23C96" w14:textId="77777777" w:rsidR="00AB37CD" w:rsidRDefault="00AB37CD">
          <w:pPr>
            <w:tabs>
              <w:tab w:val="right" w:pos="8838"/>
            </w:tabs>
            <w:ind w:left="-74" w:right="-105"/>
            <w:rPr>
              <w:b/>
            </w:rPr>
          </w:pPr>
          <w:r>
            <w:rPr>
              <w:b/>
            </w:rPr>
            <w:t>Comisionada Ponente:</w:t>
          </w:r>
        </w:p>
      </w:tc>
      <w:tc>
        <w:tcPr>
          <w:tcW w:w="3402" w:type="dxa"/>
        </w:tcPr>
        <w:p w14:paraId="000B3E4F" w14:textId="77777777" w:rsidR="00AB37CD" w:rsidRDefault="00AB37CD">
          <w:pPr>
            <w:tabs>
              <w:tab w:val="right" w:pos="8838"/>
            </w:tabs>
            <w:ind w:left="-108" w:right="-105"/>
          </w:pPr>
          <w:r>
            <w:t>Sharon Cristina Morales Martínez</w:t>
          </w:r>
        </w:p>
      </w:tc>
    </w:tr>
  </w:tbl>
  <w:p w14:paraId="2BE304C0" w14:textId="77777777" w:rsidR="00AB37CD" w:rsidRDefault="00AB37CD">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AB37CD" w:rsidRDefault="00AB37CD">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AB37CD" w14:paraId="66AD708E" w14:textId="77777777">
      <w:trPr>
        <w:trHeight w:val="1435"/>
      </w:trPr>
      <w:tc>
        <w:tcPr>
          <w:tcW w:w="283" w:type="dxa"/>
          <w:shd w:val="clear" w:color="auto" w:fill="auto"/>
        </w:tcPr>
        <w:p w14:paraId="35C91EE9" w14:textId="77777777" w:rsidR="00AB37CD" w:rsidRDefault="00AB37CD">
          <w:pPr>
            <w:tabs>
              <w:tab w:val="right" w:pos="4273"/>
            </w:tabs>
            <w:rPr>
              <w:rFonts w:ascii="Garamond" w:eastAsia="Garamond" w:hAnsi="Garamond" w:cs="Garamond"/>
            </w:rPr>
          </w:pPr>
        </w:p>
      </w:tc>
      <w:tc>
        <w:tcPr>
          <w:tcW w:w="6379" w:type="dxa"/>
          <w:shd w:val="clear" w:color="auto" w:fill="auto"/>
        </w:tcPr>
        <w:p w14:paraId="7FB39640" w14:textId="77777777" w:rsidR="00AB37CD" w:rsidRDefault="00AB37CD">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AB37CD" w14:paraId="5B773C4D" w14:textId="77777777">
            <w:trPr>
              <w:trHeight w:val="144"/>
            </w:trPr>
            <w:tc>
              <w:tcPr>
                <w:tcW w:w="2581" w:type="dxa"/>
              </w:tcPr>
              <w:p w14:paraId="27980BA3" w14:textId="77777777" w:rsidR="00AB37CD" w:rsidRDefault="00AB37CD">
                <w:pPr>
                  <w:tabs>
                    <w:tab w:val="right" w:pos="8838"/>
                  </w:tabs>
                  <w:ind w:left="-74" w:right="-108"/>
                  <w:rPr>
                    <w:b/>
                  </w:rPr>
                </w:pPr>
                <w:bookmarkStart w:id="0" w:name="_41mghml" w:colFirst="0" w:colLast="0"/>
                <w:bookmarkEnd w:id="0"/>
                <w:r>
                  <w:rPr>
                    <w:b/>
                  </w:rPr>
                  <w:t>Recurso de Revisión:</w:t>
                </w:r>
              </w:p>
            </w:tc>
            <w:tc>
              <w:tcPr>
                <w:tcW w:w="3548" w:type="dxa"/>
              </w:tcPr>
              <w:p w14:paraId="0F0345C2" w14:textId="41436AD8" w:rsidR="00AB37CD" w:rsidRDefault="00FE180F">
                <w:pPr>
                  <w:tabs>
                    <w:tab w:val="left" w:pos="3122"/>
                    <w:tab w:val="right" w:pos="8838"/>
                  </w:tabs>
                  <w:ind w:left="-105" w:right="-108"/>
                </w:pPr>
                <w:r w:rsidRPr="00FE180F">
                  <w:t>05197/INFOEM/IP/RR/2025</w:t>
                </w:r>
              </w:p>
            </w:tc>
            <w:tc>
              <w:tcPr>
                <w:tcW w:w="3402" w:type="dxa"/>
              </w:tcPr>
              <w:p w14:paraId="0B97D947" w14:textId="77777777" w:rsidR="00AB37CD" w:rsidRDefault="00AB37CD">
                <w:pPr>
                  <w:tabs>
                    <w:tab w:val="right" w:pos="8838"/>
                  </w:tabs>
                  <w:ind w:left="-74" w:right="-108"/>
                </w:pPr>
              </w:p>
            </w:tc>
          </w:tr>
          <w:tr w:rsidR="00AB37CD" w14:paraId="6D033EFE" w14:textId="77777777">
            <w:trPr>
              <w:trHeight w:val="144"/>
            </w:trPr>
            <w:tc>
              <w:tcPr>
                <w:tcW w:w="2581" w:type="dxa"/>
              </w:tcPr>
              <w:p w14:paraId="08514911" w14:textId="77777777" w:rsidR="00AB37CD" w:rsidRDefault="00AB37CD">
                <w:pPr>
                  <w:tabs>
                    <w:tab w:val="right" w:pos="8838"/>
                  </w:tabs>
                  <w:ind w:left="-74" w:right="-108"/>
                  <w:rPr>
                    <w:b/>
                  </w:rPr>
                </w:pPr>
                <w:bookmarkStart w:id="1" w:name="_2grqrue" w:colFirst="0" w:colLast="0"/>
                <w:bookmarkEnd w:id="1"/>
                <w:r>
                  <w:rPr>
                    <w:b/>
                  </w:rPr>
                  <w:t>Recurrente:</w:t>
                </w:r>
              </w:p>
            </w:tc>
            <w:tc>
              <w:tcPr>
                <w:tcW w:w="3548" w:type="dxa"/>
              </w:tcPr>
              <w:p w14:paraId="316CC4A7" w14:textId="1F93F308" w:rsidR="00AB37CD" w:rsidRDefault="000D3543">
                <w:pPr>
                  <w:tabs>
                    <w:tab w:val="left" w:pos="3122"/>
                    <w:tab w:val="right" w:pos="8838"/>
                  </w:tabs>
                  <w:ind w:left="-105" w:right="-108"/>
                </w:pPr>
                <w:r>
                  <w:t>XXX XXXXXXX</w:t>
                </w:r>
              </w:p>
            </w:tc>
            <w:tc>
              <w:tcPr>
                <w:tcW w:w="3402" w:type="dxa"/>
              </w:tcPr>
              <w:p w14:paraId="34C10C57" w14:textId="77777777" w:rsidR="00AB37CD" w:rsidRDefault="00AB37CD">
                <w:pPr>
                  <w:tabs>
                    <w:tab w:val="left" w:pos="3122"/>
                    <w:tab w:val="right" w:pos="8838"/>
                  </w:tabs>
                  <w:ind w:left="-105" w:right="-108"/>
                </w:pPr>
              </w:p>
            </w:tc>
          </w:tr>
          <w:tr w:rsidR="00AB37CD" w14:paraId="1DFCEC8E" w14:textId="77777777">
            <w:trPr>
              <w:trHeight w:val="283"/>
            </w:trPr>
            <w:tc>
              <w:tcPr>
                <w:tcW w:w="2581" w:type="dxa"/>
              </w:tcPr>
              <w:p w14:paraId="30948ADD" w14:textId="77777777" w:rsidR="00AB37CD" w:rsidRDefault="00AB37CD">
                <w:pPr>
                  <w:tabs>
                    <w:tab w:val="right" w:pos="8838"/>
                  </w:tabs>
                  <w:ind w:left="-74" w:right="-108"/>
                  <w:rPr>
                    <w:b/>
                  </w:rPr>
                </w:pPr>
                <w:r>
                  <w:rPr>
                    <w:b/>
                  </w:rPr>
                  <w:t>Sujeto Obligado:</w:t>
                </w:r>
              </w:p>
            </w:tc>
            <w:tc>
              <w:tcPr>
                <w:tcW w:w="3548" w:type="dxa"/>
              </w:tcPr>
              <w:p w14:paraId="4DA00C0A" w14:textId="6FC14D13" w:rsidR="00AB37CD" w:rsidRDefault="00AB37CD">
                <w:pPr>
                  <w:tabs>
                    <w:tab w:val="left" w:pos="2834"/>
                    <w:tab w:val="right" w:pos="8838"/>
                  </w:tabs>
                  <w:ind w:left="-108" w:right="-108"/>
                </w:pPr>
                <w:r w:rsidRPr="00A04C49">
                  <w:t>Instituto Electoral del Estado de México</w:t>
                </w:r>
              </w:p>
            </w:tc>
            <w:tc>
              <w:tcPr>
                <w:tcW w:w="3402" w:type="dxa"/>
              </w:tcPr>
              <w:p w14:paraId="0FFAA79D" w14:textId="77777777" w:rsidR="00AB37CD" w:rsidRDefault="00AB37CD">
                <w:pPr>
                  <w:tabs>
                    <w:tab w:val="left" w:pos="2834"/>
                    <w:tab w:val="right" w:pos="8838"/>
                  </w:tabs>
                  <w:ind w:left="-108" w:right="-108"/>
                </w:pPr>
              </w:p>
            </w:tc>
          </w:tr>
          <w:tr w:rsidR="00AB37CD" w14:paraId="05127856" w14:textId="77777777">
            <w:trPr>
              <w:trHeight w:val="283"/>
            </w:trPr>
            <w:tc>
              <w:tcPr>
                <w:tcW w:w="2581" w:type="dxa"/>
              </w:tcPr>
              <w:p w14:paraId="0B0BD81C" w14:textId="77777777" w:rsidR="00AB37CD" w:rsidRDefault="00AB37CD">
                <w:pPr>
                  <w:tabs>
                    <w:tab w:val="right" w:pos="8838"/>
                  </w:tabs>
                  <w:ind w:left="-74" w:right="-108"/>
                  <w:rPr>
                    <w:b/>
                  </w:rPr>
                </w:pPr>
                <w:r>
                  <w:rPr>
                    <w:b/>
                  </w:rPr>
                  <w:t>Comisionada Ponente:</w:t>
                </w:r>
              </w:p>
            </w:tc>
            <w:tc>
              <w:tcPr>
                <w:tcW w:w="3548" w:type="dxa"/>
              </w:tcPr>
              <w:p w14:paraId="606E5973" w14:textId="77777777" w:rsidR="00AB37CD" w:rsidRDefault="00AB37CD">
                <w:pPr>
                  <w:tabs>
                    <w:tab w:val="right" w:pos="8838"/>
                  </w:tabs>
                  <w:ind w:left="-108" w:right="-108"/>
                </w:pPr>
                <w:r>
                  <w:t>Sharon Cristina Morales Martínez</w:t>
                </w:r>
              </w:p>
            </w:tc>
            <w:tc>
              <w:tcPr>
                <w:tcW w:w="3402" w:type="dxa"/>
              </w:tcPr>
              <w:p w14:paraId="046A8239" w14:textId="77777777" w:rsidR="00AB37CD" w:rsidRDefault="00AB37CD">
                <w:pPr>
                  <w:tabs>
                    <w:tab w:val="right" w:pos="8838"/>
                  </w:tabs>
                  <w:ind w:left="-108" w:right="-108"/>
                </w:pPr>
              </w:p>
            </w:tc>
          </w:tr>
        </w:tbl>
        <w:p w14:paraId="309F347D" w14:textId="77777777" w:rsidR="00AB37CD" w:rsidRDefault="00AB37CD">
          <w:pPr>
            <w:tabs>
              <w:tab w:val="right" w:pos="8838"/>
            </w:tabs>
            <w:ind w:left="-28"/>
            <w:rPr>
              <w:rFonts w:ascii="Arial" w:eastAsia="Arial" w:hAnsi="Arial" w:cs="Arial"/>
              <w:b/>
            </w:rPr>
          </w:pPr>
        </w:p>
      </w:tc>
    </w:tr>
  </w:tbl>
  <w:p w14:paraId="26C3ECED" w14:textId="77777777" w:rsidR="00AB37CD" w:rsidRDefault="007F2CB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E5AE7"/>
    <w:multiLevelType w:val="hybridMultilevel"/>
    <w:tmpl w:val="52EC8A58"/>
    <w:lvl w:ilvl="0" w:tplc="3DBCB3B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4C779F"/>
    <w:multiLevelType w:val="hybridMultilevel"/>
    <w:tmpl w:val="B436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61270"/>
    <w:multiLevelType w:val="hybridMultilevel"/>
    <w:tmpl w:val="F8C4158E"/>
    <w:lvl w:ilvl="0" w:tplc="F0F2F2C8">
      <w:start w:val="1"/>
      <w:numFmt w:val="decimal"/>
      <w:lvlText w:val="%1."/>
      <w:lvlJc w:val="left"/>
      <w:pPr>
        <w:ind w:left="36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7E0186"/>
    <w:multiLevelType w:val="hybridMultilevel"/>
    <w:tmpl w:val="56C65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EC5F9E"/>
    <w:multiLevelType w:val="hybridMultilevel"/>
    <w:tmpl w:val="144C17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1543CB"/>
    <w:multiLevelType w:val="hybridMultilevel"/>
    <w:tmpl w:val="2D0EC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A63A04"/>
    <w:multiLevelType w:val="hybridMultilevel"/>
    <w:tmpl w:val="D45083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F37B9A"/>
    <w:multiLevelType w:val="hybridMultilevel"/>
    <w:tmpl w:val="A17EDC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41B0547"/>
    <w:multiLevelType w:val="hybridMultilevel"/>
    <w:tmpl w:val="CB10C6E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122E5A"/>
    <w:multiLevelType w:val="hybridMultilevel"/>
    <w:tmpl w:val="144C17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7333E8"/>
    <w:multiLevelType w:val="hybridMultilevel"/>
    <w:tmpl w:val="1C822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B5240F"/>
    <w:multiLevelType w:val="hybridMultilevel"/>
    <w:tmpl w:val="42E80AA0"/>
    <w:lvl w:ilvl="0" w:tplc="3DBCB3B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B44D21"/>
    <w:multiLevelType w:val="hybridMultilevel"/>
    <w:tmpl w:val="B8B8DC74"/>
    <w:lvl w:ilvl="0" w:tplc="183E75E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3D0F05"/>
    <w:multiLevelType w:val="hybridMultilevel"/>
    <w:tmpl w:val="B386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AD0393"/>
    <w:multiLevelType w:val="hybridMultilevel"/>
    <w:tmpl w:val="A9663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DC1224"/>
    <w:multiLevelType w:val="hybridMultilevel"/>
    <w:tmpl w:val="FFCCE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8C33608"/>
    <w:multiLevelType w:val="multilevel"/>
    <w:tmpl w:val="0BECB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6"/>
  </w:num>
  <w:num w:numId="2">
    <w:abstractNumId w:val="9"/>
  </w:num>
  <w:num w:numId="3">
    <w:abstractNumId w:val="21"/>
  </w:num>
  <w:num w:numId="4">
    <w:abstractNumId w:val="10"/>
  </w:num>
  <w:num w:numId="5">
    <w:abstractNumId w:val="12"/>
  </w:num>
  <w:num w:numId="6">
    <w:abstractNumId w:val="4"/>
  </w:num>
  <w:num w:numId="7">
    <w:abstractNumId w:val="7"/>
  </w:num>
  <w:num w:numId="8">
    <w:abstractNumId w:val="5"/>
  </w:num>
  <w:num w:numId="9">
    <w:abstractNumId w:val="15"/>
  </w:num>
  <w:num w:numId="10">
    <w:abstractNumId w:val="14"/>
  </w:num>
  <w:num w:numId="11">
    <w:abstractNumId w:val="16"/>
  </w:num>
  <w:num w:numId="12">
    <w:abstractNumId w:val="19"/>
  </w:num>
  <w:num w:numId="13">
    <w:abstractNumId w:val="33"/>
  </w:num>
  <w:num w:numId="14">
    <w:abstractNumId w:val="35"/>
  </w:num>
  <w:num w:numId="15">
    <w:abstractNumId w:val="13"/>
  </w:num>
  <w:num w:numId="16">
    <w:abstractNumId w:val="25"/>
  </w:num>
  <w:num w:numId="17">
    <w:abstractNumId w:val="34"/>
  </w:num>
  <w:num w:numId="18">
    <w:abstractNumId w:val="38"/>
  </w:num>
  <w:num w:numId="19">
    <w:abstractNumId w:val="37"/>
  </w:num>
  <w:num w:numId="20">
    <w:abstractNumId w:val="18"/>
  </w:num>
  <w:num w:numId="21">
    <w:abstractNumId w:val="3"/>
  </w:num>
  <w:num w:numId="22">
    <w:abstractNumId w:val="2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4"/>
  </w:num>
  <w:num w:numId="26">
    <w:abstractNumId w:val="11"/>
  </w:num>
  <w:num w:numId="27">
    <w:abstractNumId w:val="31"/>
  </w:num>
  <w:num w:numId="28">
    <w:abstractNumId w:val="6"/>
  </w:num>
  <w:num w:numId="29">
    <w:abstractNumId w:val="26"/>
  </w:num>
  <w:num w:numId="30">
    <w:abstractNumId w:val="30"/>
  </w:num>
  <w:num w:numId="31">
    <w:abstractNumId w:val="29"/>
  </w:num>
  <w:num w:numId="32">
    <w:abstractNumId w:val="28"/>
  </w:num>
  <w:num w:numId="33">
    <w:abstractNumId w:val="0"/>
  </w:num>
  <w:num w:numId="34">
    <w:abstractNumId w:val="20"/>
  </w:num>
  <w:num w:numId="35">
    <w:abstractNumId w:val="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7"/>
  </w:num>
  <w:num w:numId="39">
    <w:abstractNumId w:val="8"/>
  </w:num>
  <w:num w:numId="40">
    <w:abstractNumId w:val="3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06618"/>
    <w:rsid w:val="00010987"/>
    <w:rsid w:val="000128FE"/>
    <w:rsid w:val="00014F69"/>
    <w:rsid w:val="000173FF"/>
    <w:rsid w:val="00021914"/>
    <w:rsid w:val="00023503"/>
    <w:rsid w:val="00023B97"/>
    <w:rsid w:val="0004003D"/>
    <w:rsid w:val="000543C4"/>
    <w:rsid w:val="00056D49"/>
    <w:rsid w:val="000648D4"/>
    <w:rsid w:val="000654B2"/>
    <w:rsid w:val="000766D6"/>
    <w:rsid w:val="00090927"/>
    <w:rsid w:val="00091C56"/>
    <w:rsid w:val="0009648A"/>
    <w:rsid w:val="000A3DAC"/>
    <w:rsid w:val="000A4F7F"/>
    <w:rsid w:val="000A5E48"/>
    <w:rsid w:val="000B45E9"/>
    <w:rsid w:val="000B5159"/>
    <w:rsid w:val="000D3543"/>
    <w:rsid w:val="000D64BC"/>
    <w:rsid w:val="000D7D53"/>
    <w:rsid w:val="000E3729"/>
    <w:rsid w:val="000E43A1"/>
    <w:rsid w:val="000F3D05"/>
    <w:rsid w:val="0012069C"/>
    <w:rsid w:val="00121648"/>
    <w:rsid w:val="00123003"/>
    <w:rsid w:val="00130DF5"/>
    <w:rsid w:val="0014189A"/>
    <w:rsid w:val="001539C6"/>
    <w:rsid w:val="0015776A"/>
    <w:rsid w:val="00157E63"/>
    <w:rsid w:val="00161FFD"/>
    <w:rsid w:val="00170F1B"/>
    <w:rsid w:val="001727E0"/>
    <w:rsid w:val="0018731B"/>
    <w:rsid w:val="00193BFB"/>
    <w:rsid w:val="001B2F45"/>
    <w:rsid w:val="001B78DA"/>
    <w:rsid w:val="001D533E"/>
    <w:rsid w:val="001E5C00"/>
    <w:rsid w:val="001F2CB2"/>
    <w:rsid w:val="001F6A5F"/>
    <w:rsid w:val="001F7A19"/>
    <w:rsid w:val="00207C16"/>
    <w:rsid w:val="00224186"/>
    <w:rsid w:val="002275BE"/>
    <w:rsid w:val="00255841"/>
    <w:rsid w:val="00257020"/>
    <w:rsid w:val="0026106E"/>
    <w:rsid w:val="002646A2"/>
    <w:rsid w:val="00274889"/>
    <w:rsid w:val="0027638A"/>
    <w:rsid w:val="002A19E5"/>
    <w:rsid w:val="002A5042"/>
    <w:rsid w:val="002B4088"/>
    <w:rsid w:val="002D4193"/>
    <w:rsid w:val="002D598A"/>
    <w:rsid w:val="002D613C"/>
    <w:rsid w:val="002E4E9B"/>
    <w:rsid w:val="003157E2"/>
    <w:rsid w:val="00327B4D"/>
    <w:rsid w:val="00336DCE"/>
    <w:rsid w:val="00344EAA"/>
    <w:rsid w:val="00346711"/>
    <w:rsid w:val="00347A2D"/>
    <w:rsid w:val="00366096"/>
    <w:rsid w:val="00370FBA"/>
    <w:rsid w:val="003751E6"/>
    <w:rsid w:val="003A50F3"/>
    <w:rsid w:val="003B00B7"/>
    <w:rsid w:val="003B4A65"/>
    <w:rsid w:val="003B6540"/>
    <w:rsid w:val="003B796F"/>
    <w:rsid w:val="003C40EF"/>
    <w:rsid w:val="003C6845"/>
    <w:rsid w:val="003D2129"/>
    <w:rsid w:val="003D258B"/>
    <w:rsid w:val="003D77F5"/>
    <w:rsid w:val="003F31E6"/>
    <w:rsid w:val="003F6C58"/>
    <w:rsid w:val="00411D82"/>
    <w:rsid w:val="0041249F"/>
    <w:rsid w:val="00412F14"/>
    <w:rsid w:val="004268EA"/>
    <w:rsid w:val="00427653"/>
    <w:rsid w:val="004314B4"/>
    <w:rsid w:val="004400FE"/>
    <w:rsid w:val="0044281A"/>
    <w:rsid w:val="004652FE"/>
    <w:rsid w:val="0047606E"/>
    <w:rsid w:val="00476B6C"/>
    <w:rsid w:val="00484ACD"/>
    <w:rsid w:val="004904C6"/>
    <w:rsid w:val="004A413E"/>
    <w:rsid w:val="004A5124"/>
    <w:rsid w:val="004B3084"/>
    <w:rsid w:val="004B5D10"/>
    <w:rsid w:val="004C1F29"/>
    <w:rsid w:val="004D2CFB"/>
    <w:rsid w:val="004D4C3E"/>
    <w:rsid w:val="004D4D29"/>
    <w:rsid w:val="0051217D"/>
    <w:rsid w:val="0051336C"/>
    <w:rsid w:val="00522451"/>
    <w:rsid w:val="00555C52"/>
    <w:rsid w:val="00583A74"/>
    <w:rsid w:val="0058475B"/>
    <w:rsid w:val="00584AAE"/>
    <w:rsid w:val="005A43DD"/>
    <w:rsid w:val="005A45D1"/>
    <w:rsid w:val="005A4DB8"/>
    <w:rsid w:val="005D1DFD"/>
    <w:rsid w:val="005E683D"/>
    <w:rsid w:val="005F7DC7"/>
    <w:rsid w:val="006003D1"/>
    <w:rsid w:val="00604133"/>
    <w:rsid w:val="00607F51"/>
    <w:rsid w:val="00611D91"/>
    <w:rsid w:val="006241EE"/>
    <w:rsid w:val="00624576"/>
    <w:rsid w:val="0062752E"/>
    <w:rsid w:val="00627AA2"/>
    <w:rsid w:val="006352A4"/>
    <w:rsid w:val="00636D82"/>
    <w:rsid w:val="00643FE2"/>
    <w:rsid w:val="00655353"/>
    <w:rsid w:val="00671034"/>
    <w:rsid w:val="0069434B"/>
    <w:rsid w:val="006943D8"/>
    <w:rsid w:val="006A3A47"/>
    <w:rsid w:val="006A795A"/>
    <w:rsid w:val="006C0698"/>
    <w:rsid w:val="006E303D"/>
    <w:rsid w:val="006E4CCD"/>
    <w:rsid w:val="006E6533"/>
    <w:rsid w:val="006F18AA"/>
    <w:rsid w:val="006F3EC0"/>
    <w:rsid w:val="006F69FA"/>
    <w:rsid w:val="00703CFE"/>
    <w:rsid w:val="007059C8"/>
    <w:rsid w:val="00715D31"/>
    <w:rsid w:val="007252A1"/>
    <w:rsid w:val="00741A5F"/>
    <w:rsid w:val="00773840"/>
    <w:rsid w:val="00774E22"/>
    <w:rsid w:val="00781E2D"/>
    <w:rsid w:val="007900A2"/>
    <w:rsid w:val="0079567C"/>
    <w:rsid w:val="007959E7"/>
    <w:rsid w:val="007A2300"/>
    <w:rsid w:val="007B434A"/>
    <w:rsid w:val="007D0A93"/>
    <w:rsid w:val="007E38D2"/>
    <w:rsid w:val="007F2CB9"/>
    <w:rsid w:val="007F63A3"/>
    <w:rsid w:val="00800140"/>
    <w:rsid w:val="0080551D"/>
    <w:rsid w:val="00815757"/>
    <w:rsid w:val="00820120"/>
    <w:rsid w:val="00821EF8"/>
    <w:rsid w:val="00842415"/>
    <w:rsid w:val="0084306D"/>
    <w:rsid w:val="00855282"/>
    <w:rsid w:val="00861321"/>
    <w:rsid w:val="008624C7"/>
    <w:rsid w:val="00882E80"/>
    <w:rsid w:val="00896D82"/>
    <w:rsid w:val="008A2B56"/>
    <w:rsid w:val="008C0761"/>
    <w:rsid w:val="008D72BD"/>
    <w:rsid w:val="008E597A"/>
    <w:rsid w:val="008F2F87"/>
    <w:rsid w:val="009066D1"/>
    <w:rsid w:val="00913C32"/>
    <w:rsid w:val="009165C4"/>
    <w:rsid w:val="00930D61"/>
    <w:rsid w:val="009354D7"/>
    <w:rsid w:val="009403C0"/>
    <w:rsid w:val="009403C7"/>
    <w:rsid w:val="00947A60"/>
    <w:rsid w:val="00953C37"/>
    <w:rsid w:val="00963500"/>
    <w:rsid w:val="009643C0"/>
    <w:rsid w:val="00964A04"/>
    <w:rsid w:val="0097508E"/>
    <w:rsid w:val="00992DEE"/>
    <w:rsid w:val="009A2018"/>
    <w:rsid w:val="009A6F6A"/>
    <w:rsid w:val="009B38B1"/>
    <w:rsid w:val="009B3BA1"/>
    <w:rsid w:val="009C1C5D"/>
    <w:rsid w:val="009C2D10"/>
    <w:rsid w:val="009C4AB9"/>
    <w:rsid w:val="009C6B10"/>
    <w:rsid w:val="009D22BF"/>
    <w:rsid w:val="009D5DF4"/>
    <w:rsid w:val="009D7429"/>
    <w:rsid w:val="009E036A"/>
    <w:rsid w:val="009E390F"/>
    <w:rsid w:val="009F0290"/>
    <w:rsid w:val="00A04C49"/>
    <w:rsid w:val="00A147F7"/>
    <w:rsid w:val="00A17A00"/>
    <w:rsid w:val="00A22201"/>
    <w:rsid w:val="00A273EC"/>
    <w:rsid w:val="00A4292C"/>
    <w:rsid w:val="00A57311"/>
    <w:rsid w:val="00A61BEC"/>
    <w:rsid w:val="00A62309"/>
    <w:rsid w:val="00A712E9"/>
    <w:rsid w:val="00A8085F"/>
    <w:rsid w:val="00A80BEC"/>
    <w:rsid w:val="00A841A3"/>
    <w:rsid w:val="00A960BB"/>
    <w:rsid w:val="00AA0409"/>
    <w:rsid w:val="00AA15B2"/>
    <w:rsid w:val="00AA3213"/>
    <w:rsid w:val="00AB37CD"/>
    <w:rsid w:val="00AB76FE"/>
    <w:rsid w:val="00AD0B2B"/>
    <w:rsid w:val="00AD2D1A"/>
    <w:rsid w:val="00B00B22"/>
    <w:rsid w:val="00B2589F"/>
    <w:rsid w:val="00B441C1"/>
    <w:rsid w:val="00B52CC6"/>
    <w:rsid w:val="00B6095F"/>
    <w:rsid w:val="00B60A1A"/>
    <w:rsid w:val="00B64508"/>
    <w:rsid w:val="00B653C7"/>
    <w:rsid w:val="00B70030"/>
    <w:rsid w:val="00B7701F"/>
    <w:rsid w:val="00B82CD7"/>
    <w:rsid w:val="00B837D0"/>
    <w:rsid w:val="00B83BFB"/>
    <w:rsid w:val="00B87C78"/>
    <w:rsid w:val="00B92CF7"/>
    <w:rsid w:val="00BA62C5"/>
    <w:rsid w:val="00BB3804"/>
    <w:rsid w:val="00BD1F04"/>
    <w:rsid w:val="00BD5695"/>
    <w:rsid w:val="00BF5D87"/>
    <w:rsid w:val="00BF6722"/>
    <w:rsid w:val="00C04109"/>
    <w:rsid w:val="00C04631"/>
    <w:rsid w:val="00C05457"/>
    <w:rsid w:val="00C0767E"/>
    <w:rsid w:val="00C21DFB"/>
    <w:rsid w:val="00C2564B"/>
    <w:rsid w:val="00C41406"/>
    <w:rsid w:val="00C4767D"/>
    <w:rsid w:val="00C52D89"/>
    <w:rsid w:val="00C60EAD"/>
    <w:rsid w:val="00C613DC"/>
    <w:rsid w:val="00C87BE8"/>
    <w:rsid w:val="00C9153E"/>
    <w:rsid w:val="00C96C05"/>
    <w:rsid w:val="00CA271B"/>
    <w:rsid w:val="00CA30C2"/>
    <w:rsid w:val="00CA3DEC"/>
    <w:rsid w:val="00CB03A5"/>
    <w:rsid w:val="00CB0E19"/>
    <w:rsid w:val="00CB3E85"/>
    <w:rsid w:val="00CC0D41"/>
    <w:rsid w:val="00CC6385"/>
    <w:rsid w:val="00CD16AD"/>
    <w:rsid w:val="00CD33C2"/>
    <w:rsid w:val="00CD3AFD"/>
    <w:rsid w:val="00CD616E"/>
    <w:rsid w:val="00CE07A7"/>
    <w:rsid w:val="00CE40EB"/>
    <w:rsid w:val="00CE734C"/>
    <w:rsid w:val="00D1018F"/>
    <w:rsid w:val="00D1140C"/>
    <w:rsid w:val="00D170E7"/>
    <w:rsid w:val="00D21823"/>
    <w:rsid w:val="00D2400C"/>
    <w:rsid w:val="00D350D0"/>
    <w:rsid w:val="00D52925"/>
    <w:rsid w:val="00D57358"/>
    <w:rsid w:val="00D62CBE"/>
    <w:rsid w:val="00D64B5B"/>
    <w:rsid w:val="00D81054"/>
    <w:rsid w:val="00D86ECA"/>
    <w:rsid w:val="00DA030B"/>
    <w:rsid w:val="00DA1A22"/>
    <w:rsid w:val="00DA1F9A"/>
    <w:rsid w:val="00DA43E6"/>
    <w:rsid w:val="00DB4A86"/>
    <w:rsid w:val="00DB4B97"/>
    <w:rsid w:val="00DC7B4C"/>
    <w:rsid w:val="00DD0AB1"/>
    <w:rsid w:val="00DD11CA"/>
    <w:rsid w:val="00DD23EC"/>
    <w:rsid w:val="00DD7474"/>
    <w:rsid w:val="00DE0C99"/>
    <w:rsid w:val="00DE134A"/>
    <w:rsid w:val="00DE3CA5"/>
    <w:rsid w:val="00E01803"/>
    <w:rsid w:val="00E03C5C"/>
    <w:rsid w:val="00E13AA7"/>
    <w:rsid w:val="00E41956"/>
    <w:rsid w:val="00E50D2D"/>
    <w:rsid w:val="00E5102E"/>
    <w:rsid w:val="00E5178E"/>
    <w:rsid w:val="00E6496A"/>
    <w:rsid w:val="00E832AD"/>
    <w:rsid w:val="00EA36D1"/>
    <w:rsid w:val="00EA49F1"/>
    <w:rsid w:val="00EA60B2"/>
    <w:rsid w:val="00EC0668"/>
    <w:rsid w:val="00EC28AD"/>
    <w:rsid w:val="00ED0694"/>
    <w:rsid w:val="00ED54A9"/>
    <w:rsid w:val="00EE0FDD"/>
    <w:rsid w:val="00EE7BE0"/>
    <w:rsid w:val="00F01D81"/>
    <w:rsid w:val="00F04907"/>
    <w:rsid w:val="00F11367"/>
    <w:rsid w:val="00F12F22"/>
    <w:rsid w:val="00F14430"/>
    <w:rsid w:val="00F154AB"/>
    <w:rsid w:val="00F20F44"/>
    <w:rsid w:val="00F21236"/>
    <w:rsid w:val="00F31379"/>
    <w:rsid w:val="00F36E02"/>
    <w:rsid w:val="00F371EE"/>
    <w:rsid w:val="00F37DE2"/>
    <w:rsid w:val="00F44D50"/>
    <w:rsid w:val="00F47A95"/>
    <w:rsid w:val="00F5467A"/>
    <w:rsid w:val="00F6665C"/>
    <w:rsid w:val="00F82049"/>
    <w:rsid w:val="00F96856"/>
    <w:rsid w:val="00F97018"/>
    <w:rsid w:val="00F9730F"/>
    <w:rsid w:val="00F979FB"/>
    <w:rsid w:val="00FA17CE"/>
    <w:rsid w:val="00FC02ED"/>
    <w:rsid w:val="00FC6A23"/>
    <w:rsid w:val="00FD20C4"/>
    <w:rsid w:val="00FD6BCA"/>
    <w:rsid w:val="00FE180F"/>
    <w:rsid w:val="00FE42EB"/>
    <w:rsid w:val="00FF0C9D"/>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customStyle="1" w:styleId="Mencinsinresolver2">
    <w:name w:val="Mención sin resolver2"/>
    <w:basedOn w:val="Fuentedeprrafopredeter"/>
    <w:uiPriority w:val="99"/>
    <w:semiHidden/>
    <w:unhideWhenUsed/>
    <w:rsid w:val="00C41406"/>
    <w:rPr>
      <w:color w:val="605E5C"/>
      <w:shd w:val="clear" w:color="auto" w:fill="E1DFDD"/>
    </w:rPr>
  </w:style>
  <w:style w:type="table" w:styleId="Tablaconcuadrcula">
    <w:name w:val="Table Grid"/>
    <w:basedOn w:val="Tablanormal"/>
    <w:uiPriority w:val="39"/>
    <w:rsid w:val="009066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FE180F"/>
    <w:rPr>
      <w:color w:val="605E5C"/>
      <w:shd w:val="clear" w:color="auto" w:fill="E1DFDD"/>
    </w:rPr>
  </w:style>
  <w:style w:type="paragraph" w:styleId="Sinespaciado">
    <w:name w:val="No Spacing"/>
    <w:aliases w:val="Francesa,INAI"/>
    <w:link w:val="SinespaciadoCar"/>
    <w:uiPriority w:val="1"/>
    <w:qFormat/>
    <w:rsid w:val="00021914"/>
    <w:pPr>
      <w:spacing w:line="240" w:lineRule="auto"/>
      <w:jc w:val="left"/>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2191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3431">
      <w:bodyDiv w:val="1"/>
      <w:marLeft w:val="0"/>
      <w:marRight w:val="0"/>
      <w:marTop w:val="0"/>
      <w:marBottom w:val="0"/>
      <w:divBdr>
        <w:top w:val="none" w:sz="0" w:space="0" w:color="auto"/>
        <w:left w:val="none" w:sz="0" w:space="0" w:color="auto"/>
        <w:bottom w:val="none" w:sz="0" w:space="0" w:color="auto"/>
        <w:right w:val="none" w:sz="0" w:space="0" w:color="auto"/>
      </w:divBdr>
    </w:div>
    <w:div w:id="29763953">
      <w:bodyDiv w:val="1"/>
      <w:marLeft w:val="0"/>
      <w:marRight w:val="0"/>
      <w:marTop w:val="0"/>
      <w:marBottom w:val="0"/>
      <w:divBdr>
        <w:top w:val="none" w:sz="0" w:space="0" w:color="auto"/>
        <w:left w:val="none" w:sz="0" w:space="0" w:color="auto"/>
        <w:bottom w:val="none" w:sz="0" w:space="0" w:color="auto"/>
        <w:right w:val="none" w:sz="0" w:space="0" w:color="auto"/>
      </w:divBdr>
    </w:div>
    <w:div w:id="52629418">
      <w:bodyDiv w:val="1"/>
      <w:marLeft w:val="0"/>
      <w:marRight w:val="0"/>
      <w:marTop w:val="0"/>
      <w:marBottom w:val="0"/>
      <w:divBdr>
        <w:top w:val="none" w:sz="0" w:space="0" w:color="auto"/>
        <w:left w:val="none" w:sz="0" w:space="0" w:color="auto"/>
        <w:bottom w:val="none" w:sz="0" w:space="0" w:color="auto"/>
        <w:right w:val="none" w:sz="0" w:space="0" w:color="auto"/>
      </w:divBdr>
    </w:div>
    <w:div w:id="75326447">
      <w:bodyDiv w:val="1"/>
      <w:marLeft w:val="0"/>
      <w:marRight w:val="0"/>
      <w:marTop w:val="0"/>
      <w:marBottom w:val="0"/>
      <w:divBdr>
        <w:top w:val="none" w:sz="0" w:space="0" w:color="auto"/>
        <w:left w:val="none" w:sz="0" w:space="0" w:color="auto"/>
        <w:bottom w:val="none" w:sz="0" w:space="0" w:color="auto"/>
        <w:right w:val="none" w:sz="0" w:space="0" w:color="auto"/>
      </w:divBdr>
    </w:div>
    <w:div w:id="131561374">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137965720">
      <w:bodyDiv w:val="1"/>
      <w:marLeft w:val="0"/>
      <w:marRight w:val="0"/>
      <w:marTop w:val="0"/>
      <w:marBottom w:val="0"/>
      <w:divBdr>
        <w:top w:val="none" w:sz="0" w:space="0" w:color="auto"/>
        <w:left w:val="none" w:sz="0" w:space="0" w:color="auto"/>
        <w:bottom w:val="none" w:sz="0" w:space="0" w:color="auto"/>
        <w:right w:val="none" w:sz="0" w:space="0" w:color="auto"/>
      </w:divBdr>
    </w:div>
    <w:div w:id="193155877">
      <w:bodyDiv w:val="1"/>
      <w:marLeft w:val="0"/>
      <w:marRight w:val="0"/>
      <w:marTop w:val="0"/>
      <w:marBottom w:val="0"/>
      <w:divBdr>
        <w:top w:val="none" w:sz="0" w:space="0" w:color="auto"/>
        <w:left w:val="none" w:sz="0" w:space="0" w:color="auto"/>
        <w:bottom w:val="none" w:sz="0" w:space="0" w:color="auto"/>
        <w:right w:val="none" w:sz="0" w:space="0" w:color="auto"/>
      </w:divBdr>
    </w:div>
    <w:div w:id="196893413">
      <w:bodyDiv w:val="1"/>
      <w:marLeft w:val="0"/>
      <w:marRight w:val="0"/>
      <w:marTop w:val="0"/>
      <w:marBottom w:val="0"/>
      <w:divBdr>
        <w:top w:val="none" w:sz="0" w:space="0" w:color="auto"/>
        <w:left w:val="none" w:sz="0" w:space="0" w:color="auto"/>
        <w:bottom w:val="none" w:sz="0" w:space="0" w:color="auto"/>
        <w:right w:val="none" w:sz="0" w:space="0" w:color="auto"/>
      </w:divBdr>
    </w:div>
    <w:div w:id="245695829">
      <w:bodyDiv w:val="1"/>
      <w:marLeft w:val="0"/>
      <w:marRight w:val="0"/>
      <w:marTop w:val="0"/>
      <w:marBottom w:val="0"/>
      <w:divBdr>
        <w:top w:val="none" w:sz="0" w:space="0" w:color="auto"/>
        <w:left w:val="none" w:sz="0" w:space="0" w:color="auto"/>
        <w:bottom w:val="none" w:sz="0" w:space="0" w:color="auto"/>
        <w:right w:val="none" w:sz="0" w:space="0" w:color="auto"/>
      </w:divBdr>
    </w:div>
    <w:div w:id="280453992">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493646909">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05577212">
      <w:bodyDiv w:val="1"/>
      <w:marLeft w:val="0"/>
      <w:marRight w:val="0"/>
      <w:marTop w:val="0"/>
      <w:marBottom w:val="0"/>
      <w:divBdr>
        <w:top w:val="none" w:sz="0" w:space="0" w:color="auto"/>
        <w:left w:val="none" w:sz="0" w:space="0" w:color="auto"/>
        <w:bottom w:val="none" w:sz="0" w:space="0" w:color="auto"/>
        <w:right w:val="none" w:sz="0" w:space="0" w:color="auto"/>
      </w:divBdr>
    </w:div>
    <w:div w:id="616910182">
      <w:bodyDiv w:val="1"/>
      <w:marLeft w:val="0"/>
      <w:marRight w:val="0"/>
      <w:marTop w:val="0"/>
      <w:marBottom w:val="0"/>
      <w:divBdr>
        <w:top w:val="none" w:sz="0" w:space="0" w:color="auto"/>
        <w:left w:val="none" w:sz="0" w:space="0" w:color="auto"/>
        <w:bottom w:val="none" w:sz="0" w:space="0" w:color="auto"/>
        <w:right w:val="none" w:sz="0" w:space="0" w:color="auto"/>
      </w:divBdr>
      <w:divsChild>
        <w:div w:id="1743521543">
          <w:marLeft w:val="0"/>
          <w:marRight w:val="0"/>
          <w:marTop w:val="0"/>
          <w:marBottom w:val="0"/>
          <w:divBdr>
            <w:top w:val="none" w:sz="0" w:space="0" w:color="auto"/>
            <w:left w:val="none" w:sz="0" w:space="0" w:color="auto"/>
            <w:bottom w:val="none" w:sz="0" w:space="0" w:color="auto"/>
            <w:right w:val="none" w:sz="0" w:space="0" w:color="auto"/>
          </w:divBdr>
        </w:div>
      </w:divsChild>
    </w:div>
    <w:div w:id="640812313">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86448825">
      <w:bodyDiv w:val="1"/>
      <w:marLeft w:val="0"/>
      <w:marRight w:val="0"/>
      <w:marTop w:val="0"/>
      <w:marBottom w:val="0"/>
      <w:divBdr>
        <w:top w:val="none" w:sz="0" w:space="0" w:color="auto"/>
        <w:left w:val="none" w:sz="0" w:space="0" w:color="auto"/>
        <w:bottom w:val="none" w:sz="0" w:space="0" w:color="auto"/>
        <w:right w:val="none" w:sz="0" w:space="0" w:color="auto"/>
      </w:divBdr>
    </w:div>
    <w:div w:id="690644578">
      <w:bodyDiv w:val="1"/>
      <w:marLeft w:val="0"/>
      <w:marRight w:val="0"/>
      <w:marTop w:val="0"/>
      <w:marBottom w:val="0"/>
      <w:divBdr>
        <w:top w:val="none" w:sz="0" w:space="0" w:color="auto"/>
        <w:left w:val="none" w:sz="0" w:space="0" w:color="auto"/>
        <w:bottom w:val="none" w:sz="0" w:space="0" w:color="auto"/>
        <w:right w:val="none" w:sz="0" w:space="0" w:color="auto"/>
      </w:divBdr>
    </w:div>
    <w:div w:id="693262489">
      <w:bodyDiv w:val="1"/>
      <w:marLeft w:val="0"/>
      <w:marRight w:val="0"/>
      <w:marTop w:val="0"/>
      <w:marBottom w:val="0"/>
      <w:divBdr>
        <w:top w:val="none" w:sz="0" w:space="0" w:color="auto"/>
        <w:left w:val="none" w:sz="0" w:space="0" w:color="auto"/>
        <w:bottom w:val="none" w:sz="0" w:space="0" w:color="auto"/>
        <w:right w:val="none" w:sz="0" w:space="0" w:color="auto"/>
      </w:divBdr>
    </w:div>
    <w:div w:id="697582170">
      <w:bodyDiv w:val="1"/>
      <w:marLeft w:val="0"/>
      <w:marRight w:val="0"/>
      <w:marTop w:val="0"/>
      <w:marBottom w:val="0"/>
      <w:divBdr>
        <w:top w:val="none" w:sz="0" w:space="0" w:color="auto"/>
        <w:left w:val="none" w:sz="0" w:space="0" w:color="auto"/>
        <w:bottom w:val="none" w:sz="0" w:space="0" w:color="auto"/>
        <w:right w:val="none" w:sz="0" w:space="0" w:color="auto"/>
      </w:divBdr>
    </w:div>
    <w:div w:id="711157226">
      <w:bodyDiv w:val="1"/>
      <w:marLeft w:val="0"/>
      <w:marRight w:val="0"/>
      <w:marTop w:val="0"/>
      <w:marBottom w:val="0"/>
      <w:divBdr>
        <w:top w:val="none" w:sz="0" w:space="0" w:color="auto"/>
        <w:left w:val="none" w:sz="0" w:space="0" w:color="auto"/>
        <w:bottom w:val="none" w:sz="0" w:space="0" w:color="auto"/>
        <w:right w:val="none" w:sz="0" w:space="0" w:color="auto"/>
      </w:divBdr>
    </w:div>
    <w:div w:id="722680408">
      <w:bodyDiv w:val="1"/>
      <w:marLeft w:val="0"/>
      <w:marRight w:val="0"/>
      <w:marTop w:val="0"/>
      <w:marBottom w:val="0"/>
      <w:divBdr>
        <w:top w:val="none" w:sz="0" w:space="0" w:color="auto"/>
        <w:left w:val="none" w:sz="0" w:space="0" w:color="auto"/>
        <w:bottom w:val="none" w:sz="0" w:space="0" w:color="auto"/>
        <w:right w:val="none" w:sz="0" w:space="0" w:color="auto"/>
      </w:divBdr>
    </w:div>
    <w:div w:id="737752379">
      <w:bodyDiv w:val="1"/>
      <w:marLeft w:val="0"/>
      <w:marRight w:val="0"/>
      <w:marTop w:val="0"/>
      <w:marBottom w:val="0"/>
      <w:divBdr>
        <w:top w:val="none" w:sz="0" w:space="0" w:color="auto"/>
        <w:left w:val="none" w:sz="0" w:space="0" w:color="auto"/>
        <w:bottom w:val="none" w:sz="0" w:space="0" w:color="auto"/>
        <w:right w:val="none" w:sz="0" w:space="0" w:color="auto"/>
      </w:divBdr>
    </w:div>
    <w:div w:id="751240859">
      <w:bodyDiv w:val="1"/>
      <w:marLeft w:val="0"/>
      <w:marRight w:val="0"/>
      <w:marTop w:val="0"/>
      <w:marBottom w:val="0"/>
      <w:divBdr>
        <w:top w:val="none" w:sz="0" w:space="0" w:color="auto"/>
        <w:left w:val="none" w:sz="0" w:space="0" w:color="auto"/>
        <w:bottom w:val="none" w:sz="0" w:space="0" w:color="auto"/>
        <w:right w:val="none" w:sz="0" w:space="0" w:color="auto"/>
      </w:divBdr>
    </w:div>
    <w:div w:id="760220206">
      <w:bodyDiv w:val="1"/>
      <w:marLeft w:val="0"/>
      <w:marRight w:val="0"/>
      <w:marTop w:val="0"/>
      <w:marBottom w:val="0"/>
      <w:divBdr>
        <w:top w:val="none" w:sz="0" w:space="0" w:color="auto"/>
        <w:left w:val="none" w:sz="0" w:space="0" w:color="auto"/>
        <w:bottom w:val="none" w:sz="0" w:space="0" w:color="auto"/>
        <w:right w:val="none" w:sz="0" w:space="0" w:color="auto"/>
      </w:divBdr>
    </w:div>
    <w:div w:id="810437196">
      <w:bodyDiv w:val="1"/>
      <w:marLeft w:val="0"/>
      <w:marRight w:val="0"/>
      <w:marTop w:val="0"/>
      <w:marBottom w:val="0"/>
      <w:divBdr>
        <w:top w:val="none" w:sz="0" w:space="0" w:color="auto"/>
        <w:left w:val="none" w:sz="0" w:space="0" w:color="auto"/>
        <w:bottom w:val="none" w:sz="0" w:space="0" w:color="auto"/>
        <w:right w:val="none" w:sz="0" w:space="0" w:color="auto"/>
      </w:divBdr>
    </w:div>
    <w:div w:id="827865427">
      <w:bodyDiv w:val="1"/>
      <w:marLeft w:val="0"/>
      <w:marRight w:val="0"/>
      <w:marTop w:val="0"/>
      <w:marBottom w:val="0"/>
      <w:divBdr>
        <w:top w:val="none" w:sz="0" w:space="0" w:color="auto"/>
        <w:left w:val="none" w:sz="0" w:space="0" w:color="auto"/>
        <w:bottom w:val="none" w:sz="0" w:space="0" w:color="auto"/>
        <w:right w:val="none" w:sz="0" w:space="0" w:color="auto"/>
      </w:divBdr>
    </w:div>
    <w:div w:id="867987603">
      <w:bodyDiv w:val="1"/>
      <w:marLeft w:val="0"/>
      <w:marRight w:val="0"/>
      <w:marTop w:val="0"/>
      <w:marBottom w:val="0"/>
      <w:divBdr>
        <w:top w:val="none" w:sz="0" w:space="0" w:color="auto"/>
        <w:left w:val="none" w:sz="0" w:space="0" w:color="auto"/>
        <w:bottom w:val="none" w:sz="0" w:space="0" w:color="auto"/>
        <w:right w:val="none" w:sz="0" w:space="0" w:color="auto"/>
      </w:divBdr>
    </w:div>
    <w:div w:id="960768630">
      <w:bodyDiv w:val="1"/>
      <w:marLeft w:val="0"/>
      <w:marRight w:val="0"/>
      <w:marTop w:val="0"/>
      <w:marBottom w:val="0"/>
      <w:divBdr>
        <w:top w:val="none" w:sz="0" w:space="0" w:color="auto"/>
        <w:left w:val="none" w:sz="0" w:space="0" w:color="auto"/>
        <w:bottom w:val="none" w:sz="0" w:space="0" w:color="auto"/>
        <w:right w:val="none" w:sz="0" w:space="0" w:color="auto"/>
      </w:divBdr>
    </w:div>
    <w:div w:id="1025252637">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097139402">
      <w:bodyDiv w:val="1"/>
      <w:marLeft w:val="0"/>
      <w:marRight w:val="0"/>
      <w:marTop w:val="0"/>
      <w:marBottom w:val="0"/>
      <w:divBdr>
        <w:top w:val="none" w:sz="0" w:space="0" w:color="auto"/>
        <w:left w:val="none" w:sz="0" w:space="0" w:color="auto"/>
        <w:bottom w:val="none" w:sz="0" w:space="0" w:color="auto"/>
        <w:right w:val="none" w:sz="0" w:space="0" w:color="auto"/>
      </w:divBdr>
    </w:div>
    <w:div w:id="1229420770">
      <w:bodyDiv w:val="1"/>
      <w:marLeft w:val="0"/>
      <w:marRight w:val="0"/>
      <w:marTop w:val="0"/>
      <w:marBottom w:val="0"/>
      <w:divBdr>
        <w:top w:val="none" w:sz="0" w:space="0" w:color="auto"/>
        <w:left w:val="none" w:sz="0" w:space="0" w:color="auto"/>
        <w:bottom w:val="none" w:sz="0" w:space="0" w:color="auto"/>
        <w:right w:val="none" w:sz="0" w:space="0" w:color="auto"/>
      </w:divBdr>
    </w:div>
    <w:div w:id="1250507548">
      <w:bodyDiv w:val="1"/>
      <w:marLeft w:val="0"/>
      <w:marRight w:val="0"/>
      <w:marTop w:val="0"/>
      <w:marBottom w:val="0"/>
      <w:divBdr>
        <w:top w:val="none" w:sz="0" w:space="0" w:color="auto"/>
        <w:left w:val="none" w:sz="0" w:space="0" w:color="auto"/>
        <w:bottom w:val="none" w:sz="0" w:space="0" w:color="auto"/>
        <w:right w:val="none" w:sz="0" w:space="0" w:color="auto"/>
      </w:divBdr>
    </w:div>
    <w:div w:id="1324236834">
      <w:bodyDiv w:val="1"/>
      <w:marLeft w:val="0"/>
      <w:marRight w:val="0"/>
      <w:marTop w:val="0"/>
      <w:marBottom w:val="0"/>
      <w:divBdr>
        <w:top w:val="none" w:sz="0" w:space="0" w:color="auto"/>
        <w:left w:val="none" w:sz="0" w:space="0" w:color="auto"/>
        <w:bottom w:val="none" w:sz="0" w:space="0" w:color="auto"/>
        <w:right w:val="none" w:sz="0" w:space="0" w:color="auto"/>
      </w:divBdr>
    </w:div>
    <w:div w:id="1373073418">
      <w:bodyDiv w:val="1"/>
      <w:marLeft w:val="0"/>
      <w:marRight w:val="0"/>
      <w:marTop w:val="0"/>
      <w:marBottom w:val="0"/>
      <w:divBdr>
        <w:top w:val="none" w:sz="0" w:space="0" w:color="auto"/>
        <w:left w:val="none" w:sz="0" w:space="0" w:color="auto"/>
        <w:bottom w:val="none" w:sz="0" w:space="0" w:color="auto"/>
        <w:right w:val="none" w:sz="0" w:space="0" w:color="auto"/>
      </w:divBdr>
    </w:div>
    <w:div w:id="1440838136">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523008034">
      <w:bodyDiv w:val="1"/>
      <w:marLeft w:val="0"/>
      <w:marRight w:val="0"/>
      <w:marTop w:val="0"/>
      <w:marBottom w:val="0"/>
      <w:divBdr>
        <w:top w:val="none" w:sz="0" w:space="0" w:color="auto"/>
        <w:left w:val="none" w:sz="0" w:space="0" w:color="auto"/>
        <w:bottom w:val="none" w:sz="0" w:space="0" w:color="auto"/>
        <w:right w:val="none" w:sz="0" w:space="0" w:color="auto"/>
      </w:divBdr>
    </w:div>
    <w:div w:id="1573814152">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66994013">
      <w:bodyDiv w:val="1"/>
      <w:marLeft w:val="0"/>
      <w:marRight w:val="0"/>
      <w:marTop w:val="0"/>
      <w:marBottom w:val="0"/>
      <w:divBdr>
        <w:top w:val="none" w:sz="0" w:space="0" w:color="auto"/>
        <w:left w:val="none" w:sz="0" w:space="0" w:color="auto"/>
        <w:bottom w:val="none" w:sz="0" w:space="0" w:color="auto"/>
        <w:right w:val="none" w:sz="0" w:space="0" w:color="auto"/>
      </w:divBdr>
    </w:div>
    <w:div w:id="1791975470">
      <w:bodyDiv w:val="1"/>
      <w:marLeft w:val="0"/>
      <w:marRight w:val="0"/>
      <w:marTop w:val="0"/>
      <w:marBottom w:val="0"/>
      <w:divBdr>
        <w:top w:val="none" w:sz="0" w:space="0" w:color="auto"/>
        <w:left w:val="none" w:sz="0" w:space="0" w:color="auto"/>
        <w:bottom w:val="none" w:sz="0" w:space="0" w:color="auto"/>
        <w:right w:val="none" w:sz="0" w:space="0" w:color="auto"/>
      </w:divBdr>
    </w:div>
    <w:div w:id="1792046770">
      <w:bodyDiv w:val="1"/>
      <w:marLeft w:val="0"/>
      <w:marRight w:val="0"/>
      <w:marTop w:val="0"/>
      <w:marBottom w:val="0"/>
      <w:divBdr>
        <w:top w:val="none" w:sz="0" w:space="0" w:color="auto"/>
        <w:left w:val="none" w:sz="0" w:space="0" w:color="auto"/>
        <w:bottom w:val="none" w:sz="0" w:space="0" w:color="auto"/>
        <w:right w:val="none" w:sz="0" w:space="0" w:color="auto"/>
      </w:divBdr>
      <w:divsChild>
        <w:div w:id="1530140290">
          <w:marLeft w:val="0"/>
          <w:marRight w:val="0"/>
          <w:marTop w:val="0"/>
          <w:marBottom w:val="0"/>
          <w:divBdr>
            <w:top w:val="none" w:sz="0" w:space="0" w:color="auto"/>
            <w:left w:val="none" w:sz="0" w:space="0" w:color="auto"/>
            <w:bottom w:val="none" w:sz="0" w:space="0" w:color="auto"/>
            <w:right w:val="none" w:sz="0" w:space="0" w:color="auto"/>
          </w:divBdr>
        </w:div>
      </w:divsChild>
    </w:div>
    <w:div w:id="1792243842">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94540690">
      <w:bodyDiv w:val="1"/>
      <w:marLeft w:val="0"/>
      <w:marRight w:val="0"/>
      <w:marTop w:val="0"/>
      <w:marBottom w:val="0"/>
      <w:divBdr>
        <w:top w:val="none" w:sz="0" w:space="0" w:color="auto"/>
        <w:left w:val="none" w:sz="0" w:space="0" w:color="auto"/>
        <w:bottom w:val="none" w:sz="0" w:space="0" w:color="auto"/>
        <w:right w:val="none" w:sz="0" w:space="0" w:color="auto"/>
      </w:divBdr>
    </w:div>
    <w:div w:id="1942376508">
      <w:bodyDiv w:val="1"/>
      <w:marLeft w:val="0"/>
      <w:marRight w:val="0"/>
      <w:marTop w:val="0"/>
      <w:marBottom w:val="0"/>
      <w:divBdr>
        <w:top w:val="none" w:sz="0" w:space="0" w:color="auto"/>
        <w:left w:val="none" w:sz="0" w:space="0" w:color="auto"/>
        <w:bottom w:val="none" w:sz="0" w:space="0" w:color="auto"/>
        <w:right w:val="none" w:sz="0" w:space="0" w:color="auto"/>
      </w:divBdr>
    </w:div>
    <w:div w:id="1961719793">
      <w:bodyDiv w:val="1"/>
      <w:marLeft w:val="0"/>
      <w:marRight w:val="0"/>
      <w:marTop w:val="0"/>
      <w:marBottom w:val="0"/>
      <w:divBdr>
        <w:top w:val="none" w:sz="0" w:space="0" w:color="auto"/>
        <w:left w:val="none" w:sz="0" w:space="0" w:color="auto"/>
        <w:bottom w:val="none" w:sz="0" w:space="0" w:color="auto"/>
        <w:right w:val="none" w:sz="0" w:space="0" w:color="auto"/>
      </w:divBdr>
    </w:div>
    <w:div w:id="1978100107">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 w:id="1985696240">
      <w:bodyDiv w:val="1"/>
      <w:marLeft w:val="0"/>
      <w:marRight w:val="0"/>
      <w:marTop w:val="0"/>
      <w:marBottom w:val="0"/>
      <w:divBdr>
        <w:top w:val="none" w:sz="0" w:space="0" w:color="auto"/>
        <w:left w:val="none" w:sz="0" w:space="0" w:color="auto"/>
        <w:bottom w:val="none" w:sz="0" w:space="0" w:color="auto"/>
        <w:right w:val="none" w:sz="0" w:space="0" w:color="auto"/>
      </w:divBdr>
    </w:div>
    <w:div w:id="2005670115">
      <w:bodyDiv w:val="1"/>
      <w:marLeft w:val="0"/>
      <w:marRight w:val="0"/>
      <w:marTop w:val="0"/>
      <w:marBottom w:val="0"/>
      <w:divBdr>
        <w:top w:val="none" w:sz="0" w:space="0" w:color="auto"/>
        <w:left w:val="none" w:sz="0" w:space="0" w:color="auto"/>
        <w:bottom w:val="none" w:sz="0" w:space="0" w:color="auto"/>
        <w:right w:val="none" w:sz="0" w:space="0" w:color="auto"/>
      </w:divBdr>
    </w:div>
    <w:div w:id="2090272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15AB-3232-45C2-A5B5-23361A78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7198</Words>
  <Characters>39591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INFOEM381</cp:lastModifiedBy>
  <cp:revision>6</cp:revision>
  <cp:lastPrinted>2025-07-04T17:29:00Z</cp:lastPrinted>
  <dcterms:created xsi:type="dcterms:W3CDTF">2025-06-26T17:52:00Z</dcterms:created>
  <dcterms:modified xsi:type="dcterms:W3CDTF">2025-08-19T00:11:00Z</dcterms:modified>
</cp:coreProperties>
</file>