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89EB0" w14:textId="77777777" w:rsidR="00E7597F" w:rsidRDefault="00E7597F">
      <w:pPr>
        <w:widowControl w:val="0"/>
        <w:pBdr>
          <w:top w:val="nil"/>
          <w:left w:val="nil"/>
          <w:bottom w:val="nil"/>
          <w:right w:val="nil"/>
          <w:between w:val="nil"/>
        </w:pBdr>
        <w:spacing w:line="276" w:lineRule="auto"/>
      </w:pPr>
    </w:p>
    <w:p w14:paraId="005C7512" w14:textId="77777777" w:rsidR="00E7597F" w:rsidRDefault="00E7597F">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603F0AD" w14:textId="77777777" w:rsidR="00E7597F" w:rsidRDefault="0011497E">
      <w:pPr>
        <w:keepNext/>
        <w:keepLines/>
        <w:pBdr>
          <w:top w:val="nil"/>
          <w:left w:val="nil"/>
          <w:bottom w:val="nil"/>
          <w:right w:val="nil"/>
          <w:between w:val="nil"/>
        </w:pBdr>
        <w:spacing w:line="360" w:lineRule="auto"/>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RESOLUCIÓN DEL RECURSO DE REVISIÓN 11286/INFOEM/IP/RR/2025</w:t>
      </w:r>
    </w:p>
    <w:p w14:paraId="10352572" w14:textId="77777777" w:rsidR="00914BCB" w:rsidRDefault="00914BCB">
      <w:pPr>
        <w:spacing w:line="360" w:lineRule="auto"/>
        <w:jc w:val="both"/>
      </w:pPr>
    </w:p>
    <w:sdt>
      <w:sdtPr>
        <w:rPr>
          <w:lang w:val="es-ES"/>
        </w:rPr>
        <w:id w:val="-1246339410"/>
        <w:docPartObj>
          <w:docPartGallery w:val="Table of Contents"/>
          <w:docPartUnique/>
        </w:docPartObj>
      </w:sdtPr>
      <w:sdtEndPr>
        <w:rPr>
          <w:b/>
          <w:bCs/>
        </w:rPr>
      </w:sdtEndPr>
      <w:sdtContent>
        <w:p w14:paraId="61EA4D5F" w14:textId="77777777" w:rsidR="00914BCB" w:rsidRPr="00914BCB" w:rsidRDefault="00914BCB">
          <w:pPr>
            <w:pStyle w:val="TtulodeTDC"/>
            <w:rPr>
              <w:rFonts w:ascii="Palatino Linotype" w:hAnsi="Palatino Linotype"/>
              <w:sz w:val="22"/>
            </w:rPr>
          </w:pPr>
        </w:p>
        <w:p w14:paraId="74A70FDF" w14:textId="68E2F247" w:rsidR="00914BCB" w:rsidRPr="00914BCB" w:rsidRDefault="00914BCB">
          <w:pPr>
            <w:pStyle w:val="TDC1"/>
            <w:rPr>
              <w:rFonts w:ascii="Palatino Linotype" w:eastAsiaTheme="minorEastAsia" w:hAnsi="Palatino Linotype" w:cstheme="minorBidi"/>
              <w:noProof/>
              <w:sz w:val="24"/>
              <w:szCs w:val="22"/>
            </w:rPr>
          </w:pPr>
          <w:r w:rsidRPr="00914BCB">
            <w:rPr>
              <w:rFonts w:ascii="Palatino Linotype" w:hAnsi="Palatino Linotype"/>
              <w:b/>
              <w:bCs/>
              <w:sz w:val="22"/>
              <w:lang w:val="es-ES"/>
            </w:rPr>
            <w:fldChar w:fldCharType="begin"/>
          </w:r>
          <w:r w:rsidRPr="00914BCB">
            <w:rPr>
              <w:rFonts w:ascii="Palatino Linotype" w:hAnsi="Palatino Linotype"/>
              <w:b/>
              <w:bCs/>
              <w:sz w:val="22"/>
              <w:lang w:val="es-ES"/>
            </w:rPr>
            <w:instrText xml:space="preserve"> TOC \o "1-3" \h \z \u </w:instrText>
          </w:r>
          <w:r w:rsidRPr="00914BCB">
            <w:rPr>
              <w:rFonts w:ascii="Palatino Linotype" w:hAnsi="Palatino Linotype"/>
              <w:b/>
              <w:bCs/>
              <w:sz w:val="22"/>
              <w:lang w:val="es-ES"/>
            </w:rPr>
            <w:fldChar w:fldCharType="separate"/>
          </w:r>
          <w:hyperlink w:anchor="_Toc213943997" w:history="1">
            <w:r w:rsidRPr="00914BCB">
              <w:rPr>
                <w:rStyle w:val="Hipervnculo"/>
                <w:rFonts w:ascii="Palatino Linotype" w:hAnsi="Palatino Linotype"/>
                <w:noProof/>
                <w:sz w:val="22"/>
              </w:rPr>
              <w:t>A N T E C E D E N T E S</w:t>
            </w:r>
            <w:r w:rsidRPr="00914BCB">
              <w:rPr>
                <w:rFonts w:ascii="Palatino Linotype" w:hAnsi="Palatino Linotype"/>
                <w:noProof/>
                <w:webHidden/>
                <w:sz w:val="22"/>
              </w:rPr>
              <w:tab/>
            </w:r>
            <w:r w:rsidRPr="00914BCB">
              <w:rPr>
                <w:rFonts w:ascii="Palatino Linotype" w:hAnsi="Palatino Linotype"/>
                <w:noProof/>
                <w:webHidden/>
                <w:sz w:val="22"/>
              </w:rPr>
              <w:fldChar w:fldCharType="begin"/>
            </w:r>
            <w:r w:rsidRPr="00914BCB">
              <w:rPr>
                <w:rFonts w:ascii="Palatino Linotype" w:hAnsi="Palatino Linotype"/>
                <w:noProof/>
                <w:webHidden/>
                <w:sz w:val="22"/>
              </w:rPr>
              <w:instrText xml:space="preserve"> PAGEREF _Toc213943997 \h </w:instrText>
            </w:r>
            <w:r w:rsidRPr="00914BCB">
              <w:rPr>
                <w:rFonts w:ascii="Palatino Linotype" w:hAnsi="Palatino Linotype"/>
                <w:noProof/>
                <w:webHidden/>
                <w:sz w:val="22"/>
              </w:rPr>
            </w:r>
            <w:r w:rsidRPr="00914BCB">
              <w:rPr>
                <w:rFonts w:ascii="Palatino Linotype" w:hAnsi="Palatino Linotype"/>
                <w:noProof/>
                <w:webHidden/>
                <w:sz w:val="22"/>
              </w:rPr>
              <w:fldChar w:fldCharType="separate"/>
            </w:r>
            <w:r w:rsidR="00CB57AF">
              <w:rPr>
                <w:rFonts w:ascii="Palatino Linotype" w:hAnsi="Palatino Linotype"/>
                <w:noProof/>
                <w:webHidden/>
                <w:sz w:val="22"/>
              </w:rPr>
              <w:t>2</w:t>
            </w:r>
            <w:r w:rsidRPr="00914BCB">
              <w:rPr>
                <w:rFonts w:ascii="Palatino Linotype" w:hAnsi="Palatino Linotype"/>
                <w:noProof/>
                <w:webHidden/>
                <w:sz w:val="22"/>
              </w:rPr>
              <w:fldChar w:fldCharType="end"/>
            </w:r>
          </w:hyperlink>
        </w:p>
        <w:p w14:paraId="4818E076" w14:textId="59E5BA77"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3998" w:history="1">
            <w:r w:rsidR="00914BCB" w:rsidRPr="00914BCB">
              <w:rPr>
                <w:rStyle w:val="Hipervnculo"/>
                <w:rFonts w:ascii="Palatino Linotype" w:hAnsi="Palatino Linotype"/>
                <w:noProof/>
                <w:sz w:val="22"/>
              </w:rPr>
              <w:t>I. Presentación de la solicitud de información</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_Toc213943998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2</w:t>
            </w:r>
            <w:r w:rsidR="00914BCB" w:rsidRPr="00914BCB">
              <w:rPr>
                <w:rFonts w:ascii="Palatino Linotype" w:hAnsi="Palatino Linotype"/>
                <w:noProof/>
                <w:webHidden/>
                <w:sz w:val="22"/>
              </w:rPr>
              <w:fldChar w:fldCharType="end"/>
            </w:r>
          </w:hyperlink>
        </w:p>
        <w:p w14:paraId="7D67F1D8" w14:textId="7C77F7D3"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3999" w:history="1">
            <w:r w:rsidR="00914BCB" w:rsidRPr="00914BCB">
              <w:rPr>
                <w:rStyle w:val="Hipervnculo"/>
                <w:rFonts w:ascii="Palatino Linotype" w:hAnsi="Palatino Linotype"/>
                <w:noProof/>
                <w:sz w:val="22"/>
              </w:rPr>
              <w:t>II. Respuesta del Sujeto Obligado</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_Toc213943999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3</w:t>
            </w:r>
            <w:r w:rsidR="00914BCB" w:rsidRPr="00914BCB">
              <w:rPr>
                <w:rFonts w:ascii="Palatino Linotype" w:hAnsi="Palatino Linotype"/>
                <w:noProof/>
                <w:webHidden/>
                <w:sz w:val="22"/>
              </w:rPr>
              <w:fldChar w:fldCharType="end"/>
            </w:r>
          </w:hyperlink>
        </w:p>
        <w:p w14:paraId="17B5E9A7" w14:textId="2C29D1EA"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0" w:history="1">
            <w:r w:rsidR="00914BCB" w:rsidRPr="00914BCB">
              <w:rPr>
                <w:rStyle w:val="Hipervnculo"/>
                <w:rFonts w:ascii="Palatino Linotype" w:hAnsi="Palatino Linotype"/>
                <w:noProof/>
                <w:sz w:val="22"/>
              </w:rPr>
              <w:t>III. Interposición del Recurso de Revisión</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_Toc213944000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3</w:t>
            </w:r>
            <w:r w:rsidR="00914BCB" w:rsidRPr="00914BCB">
              <w:rPr>
                <w:rFonts w:ascii="Palatino Linotype" w:hAnsi="Palatino Linotype"/>
                <w:noProof/>
                <w:webHidden/>
                <w:sz w:val="22"/>
              </w:rPr>
              <w:fldChar w:fldCharType="end"/>
            </w:r>
          </w:hyperlink>
        </w:p>
        <w:p w14:paraId="38D15AA6" w14:textId="103A76A0"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1" w:history="1">
            <w:r w:rsidR="00914BCB" w:rsidRPr="00914BCB">
              <w:rPr>
                <w:rStyle w:val="Hipervnculo"/>
                <w:rFonts w:ascii="Palatino Linotype" w:hAnsi="Palatino Linotype"/>
                <w:noProof/>
                <w:sz w:val="22"/>
              </w:rPr>
              <w:t>IV. Trámite del Recurso de Revisión ante el Instituto</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_Toc213944001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5</w:t>
            </w:r>
            <w:r w:rsidR="00914BCB" w:rsidRPr="00914BCB">
              <w:rPr>
                <w:rFonts w:ascii="Palatino Linotype" w:hAnsi="Palatino Linotype"/>
                <w:noProof/>
                <w:webHidden/>
                <w:sz w:val="22"/>
              </w:rPr>
              <w:fldChar w:fldCharType="end"/>
            </w:r>
          </w:hyperlink>
        </w:p>
        <w:p w14:paraId="528F67DF" w14:textId="591E10A5" w:rsidR="00914BCB" w:rsidRPr="00914BCB" w:rsidRDefault="00FF18C5">
          <w:pPr>
            <w:pStyle w:val="TDC1"/>
            <w:rPr>
              <w:rFonts w:ascii="Palatino Linotype" w:eastAsiaTheme="minorEastAsia" w:hAnsi="Palatino Linotype" w:cstheme="minorBidi"/>
              <w:noProof/>
              <w:sz w:val="24"/>
              <w:szCs w:val="22"/>
            </w:rPr>
          </w:pPr>
          <w:hyperlink w:anchor="_Toc213944002" w:history="1">
            <w:r w:rsidR="00914BCB" w:rsidRPr="00914BCB">
              <w:rPr>
                <w:rStyle w:val="Hipervnculo"/>
                <w:rFonts w:ascii="Palatino Linotype" w:hAnsi="Palatino Linotype"/>
                <w:noProof/>
                <w:sz w:val="22"/>
              </w:rPr>
              <w:t>C O N S I D E R A N D O S</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_Toc213944002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6</w:t>
            </w:r>
            <w:r w:rsidR="00914BCB" w:rsidRPr="00914BCB">
              <w:rPr>
                <w:rFonts w:ascii="Palatino Linotype" w:hAnsi="Palatino Linotype"/>
                <w:noProof/>
                <w:webHidden/>
                <w:sz w:val="22"/>
              </w:rPr>
              <w:fldChar w:fldCharType="end"/>
            </w:r>
          </w:hyperlink>
        </w:p>
        <w:p w14:paraId="6290C07C" w14:textId="25EE22C1"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3" w:history="1">
            <w:r w:rsidR="00914BCB" w:rsidRPr="00914BCB">
              <w:rPr>
                <w:rStyle w:val="Hipervnculo"/>
                <w:rFonts w:ascii="Palatino Linotype" w:hAnsi="Palatino Linotype"/>
                <w:noProof/>
                <w:sz w:val="22"/>
              </w:rPr>
              <w:t>PRIMERO. Competencia</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_Toc213944003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7</w:t>
            </w:r>
            <w:r w:rsidR="00914BCB" w:rsidRPr="00914BCB">
              <w:rPr>
                <w:rFonts w:ascii="Palatino Linotype" w:hAnsi="Palatino Linotype"/>
                <w:noProof/>
                <w:webHidden/>
                <w:sz w:val="22"/>
              </w:rPr>
              <w:fldChar w:fldCharType="end"/>
            </w:r>
          </w:hyperlink>
        </w:p>
        <w:p w14:paraId="66353328" w14:textId="1CEBDC26"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4" w:history="1">
            <w:r w:rsidR="00914BCB" w:rsidRPr="00914BCB">
              <w:rPr>
                <w:rStyle w:val="Hipervnculo"/>
                <w:rFonts w:ascii="Palatino Linotype" w:hAnsi="Palatino Linotype"/>
                <w:noProof/>
                <w:sz w:val="22"/>
              </w:rPr>
              <w:t>SEGUNDO. Causales de improcedencia y Sobreseimiento</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_Toc213944004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7</w:t>
            </w:r>
            <w:r w:rsidR="00914BCB" w:rsidRPr="00914BCB">
              <w:rPr>
                <w:rFonts w:ascii="Palatino Linotype" w:hAnsi="Palatino Linotype"/>
                <w:noProof/>
                <w:webHidden/>
                <w:sz w:val="22"/>
              </w:rPr>
              <w:fldChar w:fldCharType="end"/>
            </w:r>
          </w:hyperlink>
        </w:p>
        <w:p w14:paraId="21F864C4" w14:textId="2973A565"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5" w:history="1">
            <w:r w:rsidR="00914BCB" w:rsidRPr="00914BCB">
              <w:rPr>
                <w:rStyle w:val="Hipervnculo"/>
                <w:rFonts w:ascii="Palatino Linotype" w:hAnsi="Palatino Linotype"/>
                <w:noProof/>
                <w:sz w:val="22"/>
              </w:rPr>
              <w:t>TERCERO. Determinación de la Controversia</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_Toc213944005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9</w:t>
            </w:r>
            <w:r w:rsidR="00914BCB" w:rsidRPr="00914BCB">
              <w:rPr>
                <w:rFonts w:ascii="Palatino Linotype" w:hAnsi="Palatino Linotype"/>
                <w:noProof/>
                <w:webHidden/>
                <w:sz w:val="22"/>
              </w:rPr>
              <w:fldChar w:fldCharType="end"/>
            </w:r>
          </w:hyperlink>
        </w:p>
        <w:p w14:paraId="513E87DF" w14:textId="20C1E991"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6" w:history="1">
            <w:r w:rsidR="00914BCB" w:rsidRPr="00914BCB">
              <w:rPr>
                <w:rStyle w:val="Hipervnculo"/>
                <w:rFonts w:ascii="Palatino Linotype" w:hAnsi="Palatino Linotype"/>
                <w:noProof/>
                <w:sz w:val="22"/>
              </w:rPr>
              <w:t>CUARTO. Marco normativo aplicable en materia de transparencia y acceso a la información pública</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_Toc213944006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10</w:t>
            </w:r>
            <w:r w:rsidR="00914BCB" w:rsidRPr="00914BCB">
              <w:rPr>
                <w:rFonts w:ascii="Palatino Linotype" w:hAnsi="Palatino Linotype"/>
                <w:noProof/>
                <w:webHidden/>
                <w:sz w:val="22"/>
              </w:rPr>
              <w:fldChar w:fldCharType="end"/>
            </w:r>
          </w:hyperlink>
        </w:p>
        <w:p w14:paraId="66EF5997" w14:textId="4DF0B106"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7" w:history="1">
            <w:r w:rsidR="00914BCB" w:rsidRPr="00914BCB">
              <w:rPr>
                <w:rStyle w:val="Hipervnculo"/>
                <w:rFonts w:ascii="Palatino Linotype" w:hAnsi="Palatino Linotype"/>
                <w:noProof/>
                <w:sz w:val="22"/>
              </w:rPr>
              <w:t>QUINTO. Estudio de Fondo</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_Toc213944007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11</w:t>
            </w:r>
            <w:r w:rsidR="00914BCB" w:rsidRPr="00914BCB">
              <w:rPr>
                <w:rFonts w:ascii="Palatino Linotype" w:hAnsi="Palatino Linotype"/>
                <w:noProof/>
                <w:webHidden/>
                <w:sz w:val="22"/>
              </w:rPr>
              <w:fldChar w:fldCharType="end"/>
            </w:r>
          </w:hyperlink>
        </w:p>
        <w:p w14:paraId="074CDF0F" w14:textId="7070253D"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8" w:history="1">
            <w:r w:rsidR="00914BCB" w:rsidRPr="00914BCB">
              <w:rPr>
                <w:rStyle w:val="Hipervnculo"/>
                <w:rFonts w:ascii="Palatino Linotype" w:hAnsi="Palatino Linotype"/>
                <w:noProof/>
                <w:sz w:val="22"/>
              </w:rPr>
              <w:t>SEXTO. Decisión</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_Toc213944008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19</w:t>
            </w:r>
            <w:r w:rsidR="00914BCB" w:rsidRPr="00914BCB">
              <w:rPr>
                <w:rFonts w:ascii="Palatino Linotype" w:hAnsi="Palatino Linotype"/>
                <w:noProof/>
                <w:webHidden/>
                <w:sz w:val="22"/>
              </w:rPr>
              <w:fldChar w:fldCharType="end"/>
            </w:r>
          </w:hyperlink>
        </w:p>
        <w:p w14:paraId="2B15F6D3" w14:textId="6A269F2B" w:rsidR="00914BCB" w:rsidRPr="00914BCB" w:rsidRDefault="00FF18C5">
          <w:pPr>
            <w:pStyle w:val="TDC2"/>
            <w:tabs>
              <w:tab w:val="right" w:leader="dot" w:pos="9034"/>
            </w:tabs>
            <w:rPr>
              <w:rFonts w:ascii="Palatino Linotype" w:eastAsiaTheme="minorEastAsia" w:hAnsi="Palatino Linotype" w:cstheme="minorBidi"/>
              <w:noProof/>
              <w:sz w:val="24"/>
              <w:szCs w:val="22"/>
            </w:rPr>
          </w:pPr>
          <w:hyperlink w:anchor="_Toc213944009" w:history="1">
            <w:r w:rsidR="00914BCB" w:rsidRPr="00914BCB">
              <w:rPr>
                <w:rStyle w:val="Hipervnculo"/>
                <w:rFonts w:ascii="Palatino Linotype" w:hAnsi="Palatino Linotype"/>
                <w:noProof/>
                <w:sz w:val="22"/>
              </w:rPr>
              <w:t>SÉPTIMO. Vista a la Secretaría Técnica del Pleno</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_Toc213944009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19</w:t>
            </w:r>
            <w:r w:rsidR="00914BCB" w:rsidRPr="00914BCB">
              <w:rPr>
                <w:rFonts w:ascii="Palatino Linotype" w:hAnsi="Palatino Linotype"/>
                <w:noProof/>
                <w:webHidden/>
                <w:sz w:val="22"/>
              </w:rPr>
              <w:fldChar w:fldCharType="end"/>
            </w:r>
          </w:hyperlink>
        </w:p>
        <w:p w14:paraId="04AAD539" w14:textId="4D235D94" w:rsidR="00914BCB" w:rsidRPr="00914BCB" w:rsidRDefault="00FF18C5">
          <w:pPr>
            <w:pStyle w:val="TDC1"/>
            <w:rPr>
              <w:rFonts w:ascii="Palatino Linotype" w:eastAsiaTheme="minorEastAsia" w:hAnsi="Palatino Linotype" w:cstheme="minorBidi"/>
              <w:noProof/>
              <w:sz w:val="24"/>
              <w:szCs w:val="22"/>
            </w:rPr>
          </w:pPr>
          <w:hyperlink w:anchor="_Toc213944010" w:history="1">
            <w:r w:rsidR="00914BCB" w:rsidRPr="00914BCB">
              <w:rPr>
                <w:rStyle w:val="Hipervnculo"/>
                <w:rFonts w:ascii="Palatino Linotype" w:hAnsi="Palatino Linotype"/>
                <w:noProof/>
                <w:sz w:val="22"/>
              </w:rPr>
              <w:t>R E S U E L V E</w:t>
            </w:r>
            <w:r w:rsidR="00914BCB" w:rsidRPr="00914BCB">
              <w:rPr>
                <w:rFonts w:ascii="Palatino Linotype" w:hAnsi="Palatino Linotype"/>
                <w:noProof/>
                <w:webHidden/>
                <w:sz w:val="22"/>
              </w:rPr>
              <w:tab/>
            </w:r>
            <w:r w:rsidR="00914BCB" w:rsidRPr="00914BCB">
              <w:rPr>
                <w:rFonts w:ascii="Palatino Linotype" w:hAnsi="Palatino Linotype"/>
                <w:noProof/>
                <w:webHidden/>
                <w:sz w:val="22"/>
              </w:rPr>
              <w:fldChar w:fldCharType="begin"/>
            </w:r>
            <w:r w:rsidR="00914BCB" w:rsidRPr="00914BCB">
              <w:rPr>
                <w:rFonts w:ascii="Palatino Linotype" w:hAnsi="Palatino Linotype"/>
                <w:noProof/>
                <w:webHidden/>
                <w:sz w:val="22"/>
              </w:rPr>
              <w:instrText xml:space="preserve"> PAGEREF _Toc213944010 \h </w:instrText>
            </w:r>
            <w:r w:rsidR="00914BCB" w:rsidRPr="00914BCB">
              <w:rPr>
                <w:rFonts w:ascii="Palatino Linotype" w:hAnsi="Palatino Linotype"/>
                <w:noProof/>
                <w:webHidden/>
                <w:sz w:val="22"/>
              </w:rPr>
            </w:r>
            <w:r w:rsidR="00914BCB" w:rsidRPr="00914BCB">
              <w:rPr>
                <w:rFonts w:ascii="Palatino Linotype" w:hAnsi="Palatino Linotype"/>
                <w:noProof/>
                <w:webHidden/>
                <w:sz w:val="22"/>
              </w:rPr>
              <w:fldChar w:fldCharType="separate"/>
            </w:r>
            <w:r w:rsidR="00CB57AF">
              <w:rPr>
                <w:rFonts w:ascii="Palatino Linotype" w:hAnsi="Palatino Linotype"/>
                <w:noProof/>
                <w:webHidden/>
                <w:sz w:val="22"/>
              </w:rPr>
              <w:t>21</w:t>
            </w:r>
            <w:r w:rsidR="00914BCB" w:rsidRPr="00914BCB">
              <w:rPr>
                <w:rFonts w:ascii="Palatino Linotype" w:hAnsi="Palatino Linotype"/>
                <w:noProof/>
                <w:webHidden/>
                <w:sz w:val="22"/>
              </w:rPr>
              <w:fldChar w:fldCharType="end"/>
            </w:r>
          </w:hyperlink>
        </w:p>
        <w:p w14:paraId="28C293A5" w14:textId="77777777" w:rsidR="00914BCB" w:rsidRDefault="00914BCB">
          <w:r w:rsidRPr="00914BCB">
            <w:rPr>
              <w:rFonts w:ascii="Palatino Linotype" w:hAnsi="Palatino Linotype"/>
              <w:b/>
              <w:bCs/>
              <w:sz w:val="22"/>
              <w:lang w:val="es-ES"/>
            </w:rPr>
            <w:fldChar w:fldCharType="end"/>
          </w:r>
        </w:p>
      </w:sdtContent>
    </w:sdt>
    <w:p w14:paraId="4BA6F3A9" w14:textId="77777777" w:rsidR="00E7597F" w:rsidRDefault="00E7597F">
      <w:pPr>
        <w:spacing w:line="360" w:lineRule="auto"/>
        <w:jc w:val="both"/>
      </w:pPr>
    </w:p>
    <w:p w14:paraId="5EDE889D" w14:textId="77777777" w:rsidR="00914BCB" w:rsidRDefault="00914BCB">
      <w:pPr>
        <w:spacing w:line="360" w:lineRule="auto"/>
        <w:jc w:val="both"/>
      </w:pPr>
    </w:p>
    <w:p w14:paraId="1A2BD04B" w14:textId="77777777" w:rsidR="00914BCB" w:rsidRDefault="00914BCB">
      <w:pPr>
        <w:spacing w:line="360" w:lineRule="auto"/>
        <w:jc w:val="both"/>
      </w:pPr>
    </w:p>
    <w:p w14:paraId="1DE29E3F" w14:textId="77777777" w:rsidR="00914BCB" w:rsidRDefault="00914BCB">
      <w:pPr>
        <w:spacing w:line="360" w:lineRule="auto"/>
        <w:jc w:val="both"/>
      </w:pPr>
    </w:p>
    <w:p w14:paraId="19DD97ED" w14:textId="77777777" w:rsidR="00914BCB" w:rsidRDefault="00914BCB">
      <w:pPr>
        <w:spacing w:line="360" w:lineRule="auto"/>
        <w:jc w:val="both"/>
      </w:pPr>
    </w:p>
    <w:p w14:paraId="651A2C0C" w14:textId="77777777" w:rsidR="00914BCB" w:rsidRDefault="00914BCB">
      <w:pPr>
        <w:spacing w:line="360" w:lineRule="auto"/>
        <w:jc w:val="both"/>
      </w:pPr>
    </w:p>
    <w:p w14:paraId="3818B71B" w14:textId="77777777" w:rsidR="00914BCB" w:rsidRDefault="00914BCB">
      <w:pPr>
        <w:spacing w:line="360" w:lineRule="auto"/>
        <w:jc w:val="both"/>
      </w:pPr>
    </w:p>
    <w:p w14:paraId="27354C1E" w14:textId="77777777" w:rsidR="00914BCB" w:rsidRDefault="00914BCB">
      <w:pPr>
        <w:spacing w:line="360" w:lineRule="auto"/>
        <w:jc w:val="both"/>
      </w:pPr>
    </w:p>
    <w:p w14:paraId="42B5F569" w14:textId="77777777" w:rsidR="00914BCB" w:rsidRDefault="00914BCB">
      <w:pPr>
        <w:spacing w:line="360" w:lineRule="auto"/>
        <w:jc w:val="both"/>
        <w:rPr>
          <w:rFonts w:ascii="Palatino Linotype" w:eastAsia="Palatino Linotype" w:hAnsi="Palatino Linotype" w:cs="Palatino Linotype"/>
          <w:color w:val="000000"/>
          <w:sz w:val="22"/>
          <w:szCs w:val="22"/>
        </w:rPr>
      </w:pPr>
    </w:p>
    <w:p w14:paraId="5994A72B" w14:textId="7ECE88E1"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doce de noviembre de dos mil veinticinco. </w:t>
      </w:r>
    </w:p>
    <w:p w14:paraId="36DDF749"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4CE7FF73" w14:textId="2DEDF51C" w:rsidR="00D47BB6" w:rsidRPr="00D47BB6" w:rsidRDefault="0011497E">
      <w:pPr>
        <w:spacing w:line="360" w:lineRule="auto"/>
        <w:jc w:val="both"/>
        <w:rPr>
          <w:rFonts w:ascii="Palatino Linotype" w:eastAsia="Palatino Linotype" w:hAnsi="Palatino Linotype" w:cs="Palatino Linotype"/>
          <w:sz w:val="22"/>
          <w:szCs w:val="22"/>
          <w:highlight w:val="black"/>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197F57">
        <w:rPr>
          <w:rFonts w:ascii="Palatino Linotype" w:eastAsia="Palatino Linotype" w:hAnsi="Palatino Linotype" w:cs="Palatino Linotype"/>
          <w:b/>
          <w:bCs/>
          <w:color w:val="000000"/>
          <w:sz w:val="22"/>
          <w:szCs w:val="22"/>
        </w:rPr>
        <w:t>11286/INFOEM/IP/RR/2025</w:t>
      </w:r>
      <w:r>
        <w:rPr>
          <w:rFonts w:ascii="Palatino Linotype" w:eastAsia="Palatino Linotype" w:hAnsi="Palatino Linotype" w:cs="Palatino Linotype"/>
          <w:color w:val="000000"/>
          <w:sz w:val="22"/>
          <w:szCs w:val="22"/>
        </w:rPr>
        <w:t xml:space="preserve">, interpuesto por </w:t>
      </w:r>
      <w:r w:rsidR="00D47BB6" w:rsidRPr="00D47BB6">
        <w:rPr>
          <w:rFonts w:ascii="Palatino Linotype" w:eastAsia="Palatino Linotype" w:hAnsi="Palatino Linotype" w:cs="Palatino Linotype"/>
          <w:sz w:val="22"/>
          <w:szCs w:val="22"/>
          <w:highlight w:val="black"/>
        </w:rPr>
        <w:t>XXXXXXXXXXXXXXXXXXXXXXXXXXXX</w:t>
      </w:r>
      <w:r w:rsidR="00D47BB6">
        <w:rPr>
          <w:rFonts w:ascii="Palatino Linotype" w:eastAsia="Palatino Linotype" w:hAnsi="Palatino Linotype" w:cs="Palatino Linotype"/>
          <w:sz w:val="22"/>
          <w:szCs w:val="22"/>
          <w:highlight w:val="black"/>
        </w:rPr>
        <w:t>XXXX</w:t>
      </w:r>
    </w:p>
    <w:p w14:paraId="7C647D1D" w14:textId="7FF212F7" w:rsidR="00E7597F" w:rsidRPr="00D47BB6" w:rsidRDefault="00D47BB6">
      <w:pPr>
        <w:spacing w:line="360" w:lineRule="auto"/>
        <w:jc w:val="both"/>
        <w:rPr>
          <w:rFonts w:ascii="Palatino Linotype" w:eastAsia="Palatino Linotype" w:hAnsi="Palatino Linotype" w:cs="Palatino Linotype"/>
          <w:sz w:val="22"/>
          <w:szCs w:val="22"/>
        </w:rPr>
      </w:pPr>
      <w:r w:rsidRPr="00D47BB6">
        <w:rPr>
          <w:rFonts w:ascii="Palatino Linotype" w:eastAsia="Palatino Linotype" w:hAnsi="Palatino Linotype" w:cs="Palatino Linotype"/>
          <w:sz w:val="22"/>
          <w:szCs w:val="22"/>
          <w:highlight w:val="black"/>
        </w:rPr>
        <w:t>XXXXXXX</w:t>
      </w:r>
      <w:r w:rsidR="0011497E" w:rsidRPr="00D47BB6">
        <w:rPr>
          <w:rFonts w:ascii="Palatino Linotype" w:eastAsia="Palatino Linotype" w:hAnsi="Palatino Linotype" w:cs="Palatino Linotype"/>
          <w:color w:val="000000"/>
          <w:sz w:val="22"/>
          <w:szCs w:val="22"/>
          <w:highlight w:val="black"/>
        </w:rPr>
        <w:t>,</w:t>
      </w:r>
      <w:r w:rsidR="0011497E">
        <w:rPr>
          <w:rFonts w:ascii="Palatino Linotype" w:eastAsia="Palatino Linotype" w:hAnsi="Palatino Linotype" w:cs="Palatino Linotype"/>
          <w:color w:val="000000"/>
          <w:sz w:val="22"/>
          <w:szCs w:val="22"/>
        </w:rPr>
        <w:t xml:space="preserve"> en contra de la falta de respuesta del Sujeto Obligado, </w:t>
      </w:r>
      <w:r w:rsidR="0011497E" w:rsidRPr="00197F57">
        <w:rPr>
          <w:rFonts w:ascii="Palatino Linotype" w:eastAsia="Palatino Linotype" w:hAnsi="Palatino Linotype" w:cs="Palatino Linotype"/>
          <w:b/>
          <w:bCs/>
          <w:sz w:val="22"/>
          <w:szCs w:val="22"/>
        </w:rPr>
        <w:t>Sistema Municipal Para el Desarrollo Integral de la Familia de Ixtapaluca</w:t>
      </w:r>
      <w:r w:rsidR="0011497E" w:rsidRPr="00197F57">
        <w:rPr>
          <w:rFonts w:ascii="Palatino Linotype" w:eastAsia="Palatino Linotype" w:hAnsi="Palatino Linotype" w:cs="Palatino Linotype"/>
          <w:b/>
          <w:bCs/>
          <w:color w:val="000000"/>
          <w:sz w:val="22"/>
          <w:szCs w:val="22"/>
        </w:rPr>
        <w:t xml:space="preserve">, </w:t>
      </w:r>
      <w:r w:rsidR="0011497E">
        <w:rPr>
          <w:rFonts w:ascii="Palatino Linotype" w:eastAsia="Palatino Linotype" w:hAnsi="Palatino Linotype" w:cs="Palatino Linotype"/>
          <w:color w:val="000000"/>
          <w:sz w:val="22"/>
          <w:szCs w:val="22"/>
        </w:rPr>
        <w:t>a la solicitud de acceso a la información pública 00143/DIFIXTAPAL/IP/2025, se emite la presente Resolución, con base en los Antecedentes y Considerandos que a continuación se exponen:</w:t>
      </w:r>
      <w:bookmarkStart w:id="0" w:name="_GoBack"/>
      <w:bookmarkEnd w:id="0"/>
    </w:p>
    <w:p w14:paraId="3620BA52" w14:textId="77777777" w:rsidR="00E7597F" w:rsidRDefault="00E7597F">
      <w:pPr>
        <w:pStyle w:val="Subttulo"/>
        <w:spacing w:after="0" w:line="360" w:lineRule="auto"/>
      </w:pPr>
    </w:p>
    <w:p w14:paraId="2098AE23" w14:textId="77777777" w:rsidR="00E7597F" w:rsidRDefault="0011497E">
      <w:pPr>
        <w:pStyle w:val="Ttulo1"/>
      </w:pPr>
      <w:bookmarkStart w:id="1" w:name="_heading=h.rbypsb4eweiz" w:colFirst="0" w:colLast="0"/>
      <w:bookmarkStart w:id="2" w:name="_Toc213943997"/>
      <w:bookmarkEnd w:id="1"/>
      <w:r>
        <w:t>A N T E C E D E N T E S</w:t>
      </w:r>
      <w:bookmarkEnd w:id="2"/>
    </w:p>
    <w:p w14:paraId="1C5D4018" w14:textId="77777777" w:rsidR="00E7597F" w:rsidRDefault="00E7597F">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4070A838" w14:textId="77777777" w:rsidR="00E7597F" w:rsidRDefault="0011497E">
      <w:pPr>
        <w:pStyle w:val="Ttulo2"/>
      </w:pPr>
      <w:bookmarkStart w:id="3" w:name="_heading=h.gup45hpyibvh" w:colFirst="0" w:colLast="0"/>
      <w:bookmarkStart w:id="4" w:name="_Toc213943998"/>
      <w:bookmarkEnd w:id="3"/>
      <w:r>
        <w:t>I. Presentación de la solicitud de información</w:t>
      </w:r>
      <w:bookmarkEnd w:id="4"/>
    </w:p>
    <w:p w14:paraId="3CF23B78" w14:textId="77777777" w:rsidR="00E7597F" w:rsidRDefault="00E7597F">
      <w:pPr>
        <w:tabs>
          <w:tab w:val="left" w:pos="567"/>
        </w:tabs>
        <w:spacing w:line="360" w:lineRule="auto"/>
        <w:jc w:val="both"/>
        <w:rPr>
          <w:rFonts w:ascii="Palatino Linotype" w:eastAsia="Palatino Linotype" w:hAnsi="Palatino Linotype" w:cs="Palatino Linotype"/>
          <w:sz w:val="22"/>
          <w:szCs w:val="22"/>
        </w:rPr>
      </w:pPr>
    </w:p>
    <w:p w14:paraId="33E03D3E"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ocho de septiembre de dos mil veinticinco, </w:t>
      </w:r>
      <w:r>
        <w:rPr>
          <w:rFonts w:ascii="Palatino Linotype" w:eastAsia="Palatino Linotype" w:hAnsi="Palatino Linotype" w:cs="Palatino Linotype"/>
          <w:sz w:val="22"/>
          <w:szCs w:val="22"/>
        </w:rPr>
        <w:t>el Particular presentó solicitud de acceso a la información pública, a través del Sistema de Acceso a la Información Mexiquense (SAIMEX), ante el Sistema Municipal Para el Desarrollo Integral de la Familia de Ixtapaluca, en los siguientes términos:</w:t>
      </w:r>
    </w:p>
    <w:p w14:paraId="3C9A3469" w14:textId="77777777" w:rsidR="00E7597F" w:rsidRDefault="00E7597F">
      <w:pPr>
        <w:spacing w:line="360" w:lineRule="auto"/>
        <w:jc w:val="both"/>
        <w:rPr>
          <w:rFonts w:ascii="Palatino Linotype" w:eastAsia="Palatino Linotype" w:hAnsi="Palatino Linotype" w:cs="Palatino Linotype"/>
          <w:sz w:val="22"/>
          <w:szCs w:val="22"/>
        </w:rPr>
      </w:pPr>
    </w:p>
    <w:p w14:paraId="02D98587" w14:textId="77777777" w:rsidR="00E7597F" w:rsidRDefault="0011497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6DE4364D" w14:textId="77777777" w:rsidR="00E7597F" w:rsidRDefault="0011497E">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Requiero copia de las órdenes de servicio emitidas para mantenimiento del CERIX en los años 2022, 2023, 2024 y 2025...</w:t>
      </w:r>
      <w:r>
        <w:rPr>
          <w:rFonts w:ascii="Palatino Linotype" w:eastAsia="Palatino Linotype" w:hAnsi="Palatino Linotype" w:cs="Palatino Linotype"/>
          <w:i/>
          <w:iCs/>
        </w:rPr>
        <w:t>.” (Sic.)</w:t>
      </w:r>
    </w:p>
    <w:p w14:paraId="670412E5" w14:textId="77777777" w:rsidR="00E7597F" w:rsidRDefault="00E7597F">
      <w:pPr>
        <w:tabs>
          <w:tab w:val="left" w:pos="4667"/>
        </w:tabs>
        <w:spacing w:line="360" w:lineRule="auto"/>
        <w:ind w:left="567" w:right="567"/>
        <w:jc w:val="both"/>
        <w:rPr>
          <w:rFonts w:ascii="Palatino Linotype" w:eastAsia="Palatino Linotype" w:hAnsi="Palatino Linotype" w:cs="Palatino Linotype"/>
          <w:i/>
          <w:iCs/>
        </w:rPr>
      </w:pPr>
    </w:p>
    <w:p w14:paraId="2255D3C1" w14:textId="77777777" w:rsidR="00E7597F" w:rsidRDefault="0011497E">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51A9508E" w14:textId="77777777" w:rsidR="00E7597F" w:rsidRDefault="0011497E">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67842F53" w14:textId="77777777" w:rsidR="00E7597F" w:rsidRDefault="00E7597F">
      <w:pPr>
        <w:spacing w:line="360" w:lineRule="auto"/>
        <w:ind w:right="567"/>
        <w:jc w:val="both"/>
        <w:rPr>
          <w:rFonts w:ascii="Palatino Linotype" w:eastAsia="Palatino Linotype" w:hAnsi="Palatino Linotype" w:cs="Palatino Linotype"/>
          <w:i/>
          <w:iCs/>
        </w:rPr>
      </w:pPr>
    </w:p>
    <w:p w14:paraId="551877E4" w14:textId="77777777" w:rsidR="00E7597F" w:rsidRDefault="0011497E">
      <w:pPr>
        <w:pStyle w:val="Ttulo2"/>
      </w:pPr>
      <w:bookmarkStart w:id="5" w:name="_heading=h.317bn73x8s1x" w:colFirst="0" w:colLast="0"/>
      <w:bookmarkStart w:id="6" w:name="_Toc213943999"/>
      <w:bookmarkEnd w:id="5"/>
      <w:r>
        <w:t>II. Respuesta del Sujeto Obligado</w:t>
      </w:r>
      <w:bookmarkEnd w:id="6"/>
    </w:p>
    <w:p w14:paraId="26BC3F85"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1EDD950E"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35ABF55B"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Sistema Municipal Para el Desarrollo Integral de la Familia de Ixtapaluca</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20F07189"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43406791" w14:textId="77777777" w:rsidR="00E7597F" w:rsidRDefault="0011497E">
      <w:pPr>
        <w:pStyle w:val="Ttulo2"/>
      </w:pPr>
      <w:bookmarkStart w:id="7" w:name="_heading=h.69wxi08t7fcw" w:colFirst="0" w:colLast="0"/>
      <w:bookmarkStart w:id="8" w:name="_Toc213944000"/>
      <w:bookmarkEnd w:id="7"/>
      <w:r>
        <w:t>III. Interposición del Recurso de Revisión</w:t>
      </w:r>
      <w:bookmarkEnd w:id="8"/>
    </w:p>
    <w:p w14:paraId="18D1F481" w14:textId="77777777" w:rsidR="00E7597F" w:rsidRDefault="00E7597F">
      <w:pPr>
        <w:spacing w:line="360" w:lineRule="auto"/>
        <w:jc w:val="both"/>
        <w:rPr>
          <w:rFonts w:ascii="Palatino Linotype" w:eastAsia="Palatino Linotype" w:hAnsi="Palatino Linotype" w:cs="Palatino Linotype"/>
          <w:b/>
          <w:bCs/>
          <w:color w:val="000000"/>
          <w:sz w:val="22"/>
          <w:szCs w:val="22"/>
        </w:rPr>
      </w:pPr>
    </w:p>
    <w:p w14:paraId="499DAFA3"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dos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4167D196"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46E04B5F" w14:textId="77777777" w:rsidR="00E7597F" w:rsidRDefault="0011497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25B85A39" w14:textId="77777777" w:rsidR="00E7597F" w:rsidRDefault="0011497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 fundamento en el artículo 163 de la Ley de Transparencia y Acceso a la Información Pública del Estado de México y Municipios, en mi carácter de solicitante, interpongo RECURSO DE REVISIÓN en contra del Sistema Municipal para el Desarrollo Integral de la Familia de Ixtapaluca (DIF Ixtapaluca), a través de su Unidad de Transparencia, por las siguientes razones: I. ANTECEDENTES El día 08 de septiembre de 2025, presenté diversas solicitudes de acceso a la </w:t>
      </w:r>
      <w:r>
        <w:rPr>
          <w:rFonts w:ascii="Palatino Linotype" w:eastAsia="Palatino Linotype" w:hAnsi="Palatino Linotype" w:cs="Palatino Linotype"/>
          <w:i/>
          <w:iCs/>
          <w:color w:val="000000"/>
        </w:rPr>
        <w:lastRenderedPageBreak/>
        <w:t>información pública a través del Sistema de Acceso a la Información Mexiquense (SAIMEX), dirigidas al DIF Ixtapaluca. A la fecha de la interposición del presente recurso, ninguna de las solicitudes ha recibido respuesta, incumpliendo con el plazo legal previsto en la Ley de Transparencia. La omisión descrita constituye una violación directa a mi derecho de acceso a la información pública. II. AGRAVIOS a) El incumplimiento vulnera lo dispuesto en el artículo 163 de la Ley de Transparencia, que obliga a los sujetos obligados a responder dentro de los plazos establecidos. b) Tal conducta encuadra en las hipótesis de responsabilidad administrativa previstas en el artículo 122, fracciones I y II, al no dar respuesta y actuar con negligencia en el cumplimiento de sus funciones. c) La falta de respuesta refleja una omisión sistemática de la Unidad de Transparencia del DIF Ixtapaluca, poniendo en entredicho la utilidad de los recursos públicos que se destinan a su operación. III. PETITORIOS Por lo expuesto, solicito a este Instituto: Admita y tramite el presente recurso de revisión. Declare fundado el recurso y ordene al DIF Ixtapaluca responder de manera puntual y completa todas las solicitudes de información presentadas. Se determine, en su caso, la responsabilidad administrativa de la persona titular de la Unidad de Transparencia del DIF Ixtapaluca, conforme al artículo 122 de la Ley de Transparencia. Se adopten medidas de apremio y seguimiento necesarias para evitar que estas omisiones se repitan. IV. PRUEBAS a) Copia de las solicitudes presentadas vía SAIMEX con fecha 08 de septiembre de 2025. b) Constancias de la falta de respuesta en el término legal. Sin otro particular, solicito se atienda el presente recurso. “(Sic.)</w:t>
      </w:r>
    </w:p>
    <w:p w14:paraId="2C6A06F6" w14:textId="77777777" w:rsidR="00E7597F" w:rsidRDefault="00E7597F">
      <w:pPr>
        <w:spacing w:line="360" w:lineRule="auto"/>
        <w:ind w:left="567" w:right="567"/>
        <w:jc w:val="both"/>
        <w:rPr>
          <w:rFonts w:ascii="Palatino Linotype" w:eastAsia="Palatino Linotype" w:hAnsi="Palatino Linotype" w:cs="Palatino Linotype"/>
          <w:i/>
          <w:iCs/>
          <w:color w:val="000000"/>
        </w:rPr>
      </w:pPr>
    </w:p>
    <w:p w14:paraId="7A99E56E" w14:textId="77777777" w:rsidR="00E7597F" w:rsidRDefault="0011497E">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7D039389" w14:textId="77777777" w:rsidR="00E7597F" w:rsidRDefault="0011497E">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Con fundamento en el artículo 163 de la Ley de Transparencia y Acceso a la Información Pública del Estado de México y Municipios, en mi carácter de solicitante, interpongo RECURSO DE REVISIÓN en contra del Sistema Municipal para el Desarrollo Integral de la Familia de Ixtapaluca (DIF Ixtapaluca), a través de su Unidad de Transparencia, por las siguientes razones: I. ANTECEDENTES El día 08 de septiembre de 2025, presenté diversas solicitudes de acceso a la información pública a través del Sistema de Acceso a la Información Mexiquense (SAIMEX), dirigidas al DIF Ixtapaluca. A la fecha de la interposición del presente recurso, ninguna de las </w:t>
      </w:r>
      <w:r>
        <w:rPr>
          <w:rFonts w:ascii="Palatino Linotype" w:eastAsia="Palatino Linotype" w:hAnsi="Palatino Linotype" w:cs="Palatino Linotype"/>
          <w:i/>
          <w:iCs/>
          <w:color w:val="000000"/>
        </w:rPr>
        <w:lastRenderedPageBreak/>
        <w:t>solicitudes ha recibido respuesta, incumpliendo con el plazo legal previsto en la Ley de Transparencia. La omisión descrita constituye una violación directa a mi derecho de acceso a la información pública. II. AGRAVIOS a) El incumplimiento vulnera lo dispuesto en el artículo 163 de la Ley de Transparencia, que obliga a los sujetos obligados a responder dentro de los plazos establecidos. b) Tal conducta encuadra en las hipótesis de responsabilidad administrativa previstas en el artículo 122, fracciones I y II, al no dar respuesta y actuar con negligencia en el cumplimiento de sus funciones. c) La falta de respuesta refleja una omisión sistemática de la Unidad de Transparencia del DIF Ixtapaluca, poniendo en entredicho la utilidad de los recursos públicos que se destinan a su operación. III. PETITORIOS Por lo expuesto, solicito a este Instituto: Admita y tramite el presente recurso de revisión. Declare fundado el recurso y ordene al DIF Ixtapaluca responder de manera puntual y completa todas las solicitudes de información presentadas. Se determine, en su caso, la responsabilidad administrativa de la persona titular de la Unidad de Transparencia del DIF Ixtapaluca, conforme al artículo 122 de la Ley de Transparencia. Se adopten medidas de apremio y seguimiento necesarias para evitar que estas omisiones se repitan. IV. PRUEBAS a) Copia de las solicitudes presentadas vía SAIMEX con fecha 08 de septiembre de 2025. b) Constancias de la falta de respuesta en el término legal. Sin otro particular, solicito se atienda el presente recurso.” (Sic.)</w:t>
      </w:r>
    </w:p>
    <w:p w14:paraId="0D3FE23D"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66D6EE30" w14:textId="77777777" w:rsidR="00E7597F" w:rsidRDefault="0011497E">
      <w:pPr>
        <w:pStyle w:val="Ttulo2"/>
      </w:pPr>
      <w:bookmarkStart w:id="9" w:name="_heading=h.6oxbjb941rzz" w:colFirst="0" w:colLast="0"/>
      <w:bookmarkStart w:id="10" w:name="_Toc213944001"/>
      <w:bookmarkEnd w:id="9"/>
      <w:r>
        <w:t>IV. Trámite del Recurso de Revisión ante el Instituto</w:t>
      </w:r>
      <w:bookmarkEnd w:id="10"/>
    </w:p>
    <w:p w14:paraId="5E7C91D6" w14:textId="77777777" w:rsidR="00E7597F" w:rsidRDefault="00E7597F">
      <w:pPr>
        <w:spacing w:line="360" w:lineRule="auto"/>
        <w:jc w:val="both"/>
        <w:rPr>
          <w:rFonts w:ascii="Palatino Linotype" w:eastAsia="Palatino Linotype" w:hAnsi="Palatino Linotype" w:cs="Palatino Linotype"/>
          <w:b/>
          <w:bCs/>
          <w:color w:val="000000"/>
          <w:sz w:val="22"/>
          <w:szCs w:val="22"/>
        </w:rPr>
      </w:pPr>
    </w:p>
    <w:p w14:paraId="6BF395E2"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dos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11286/INFOEM/IP/RR/2025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AC9E274" w14:textId="77777777" w:rsidR="00E7597F" w:rsidRDefault="00E7597F">
      <w:pPr>
        <w:spacing w:line="360" w:lineRule="auto"/>
        <w:jc w:val="both"/>
        <w:rPr>
          <w:rFonts w:ascii="Palatino Linotype" w:eastAsia="Palatino Linotype" w:hAnsi="Palatino Linotype" w:cs="Palatino Linotype"/>
          <w:b/>
          <w:bCs/>
          <w:color w:val="000000"/>
          <w:sz w:val="22"/>
          <w:szCs w:val="22"/>
        </w:rPr>
      </w:pPr>
    </w:p>
    <w:p w14:paraId="2E0176F3"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lastRenderedPageBreak/>
        <w:t xml:space="preserve">b) Admisión del Recurso de Revisión. </w:t>
      </w:r>
      <w:r>
        <w:rPr>
          <w:rFonts w:ascii="Palatino Linotype" w:eastAsia="Palatino Linotype" w:hAnsi="Palatino Linotype" w:cs="Palatino Linotype"/>
          <w:color w:val="000000"/>
          <w:sz w:val="22"/>
          <w:szCs w:val="22"/>
        </w:rPr>
        <w:t>El siete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93D1708"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07A93DB7"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w:t>
      </w:r>
      <w:r>
        <w:rPr>
          <w:rFonts w:ascii="Palatino Linotype" w:eastAsia="Palatino Linotype" w:hAnsi="Palatino Linotype" w:cs="Palatino Linotype"/>
          <w:sz w:val="22"/>
          <w:szCs w:val="22"/>
        </w:rPr>
        <w:t>El Sujeto Obligado fue omiso en realizar manifestación alguna.</w:t>
      </w:r>
    </w:p>
    <w:p w14:paraId="02B1449D" w14:textId="77777777" w:rsidR="00E7597F" w:rsidRDefault="00E7597F">
      <w:pPr>
        <w:spacing w:line="360" w:lineRule="auto"/>
        <w:jc w:val="both"/>
        <w:rPr>
          <w:rFonts w:ascii="Palatino Linotype" w:eastAsia="Palatino Linotype" w:hAnsi="Palatino Linotype" w:cs="Palatino Linotype"/>
          <w:sz w:val="22"/>
          <w:szCs w:val="22"/>
        </w:rPr>
      </w:pPr>
    </w:p>
    <w:p w14:paraId="65A1F82D" w14:textId="77777777" w:rsidR="00E7597F" w:rsidRDefault="0011497E">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sz w:val="22"/>
          <w:szCs w:val="22"/>
        </w:rPr>
        <w:t xml:space="preserve">d) Manifestaciones del Recurrente: </w:t>
      </w:r>
      <w:r>
        <w:rPr>
          <w:rFonts w:ascii="Palatino Linotype" w:eastAsia="Palatino Linotype" w:hAnsi="Palatino Linotype" w:cs="Palatino Linotype"/>
          <w:sz w:val="22"/>
          <w:szCs w:val="22"/>
        </w:rPr>
        <w:t>EL Particular fue omiso en realizar manifestación alguna.</w:t>
      </w:r>
    </w:p>
    <w:p w14:paraId="11BAB896" w14:textId="77777777" w:rsidR="00E7597F" w:rsidRDefault="00E7597F">
      <w:pPr>
        <w:spacing w:line="360" w:lineRule="auto"/>
        <w:jc w:val="both"/>
        <w:rPr>
          <w:rFonts w:ascii="Palatino Linotype" w:eastAsia="Palatino Linotype" w:hAnsi="Palatino Linotype" w:cs="Palatino Linotype"/>
          <w:b/>
          <w:bCs/>
          <w:sz w:val="18"/>
          <w:szCs w:val="18"/>
        </w:rPr>
      </w:pPr>
    </w:p>
    <w:p w14:paraId="4347FBA1" w14:textId="77777777" w:rsidR="00E7597F" w:rsidRDefault="0011497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e) Cierre de instrucción. </w:t>
      </w:r>
      <w:r>
        <w:rPr>
          <w:rFonts w:ascii="Palatino Linotype" w:eastAsia="Palatino Linotype" w:hAnsi="Palatino Linotype" w:cs="Palatino Linotype"/>
          <w:sz w:val="22"/>
          <w:szCs w:val="22"/>
        </w:rPr>
        <w:t xml:space="preserve">El veinte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B8D1E9D" w14:textId="77777777" w:rsidR="00E7597F" w:rsidRDefault="00E7597F">
      <w:pPr>
        <w:spacing w:line="360" w:lineRule="auto"/>
        <w:jc w:val="both"/>
        <w:rPr>
          <w:rFonts w:ascii="Palatino Linotype" w:eastAsia="Palatino Linotype" w:hAnsi="Palatino Linotype" w:cs="Palatino Linotype"/>
          <w:b/>
          <w:bCs/>
          <w:sz w:val="18"/>
          <w:szCs w:val="18"/>
        </w:rPr>
      </w:pPr>
    </w:p>
    <w:p w14:paraId="2FDC3FAF"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2F83DD77"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0D3DD3E" w14:textId="77777777" w:rsidR="00E7597F" w:rsidRDefault="0011497E">
      <w:pPr>
        <w:pStyle w:val="Ttulo1"/>
      </w:pPr>
      <w:bookmarkStart w:id="11" w:name="_heading=h.gxtn3agp56cv" w:colFirst="0" w:colLast="0"/>
      <w:bookmarkStart w:id="12" w:name="_Toc213944002"/>
      <w:bookmarkEnd w:id="11"/>
      <w:r>
        <w:t>C O N S I D E R A N D O S</w:t>
      </w:r>
      <w:bookmarkEnd w:id="12"/>
    </w:p>
    <w:p w14:paraId="0ADB8A83" w14:textId="77777777" w:rsidR="00E7597F" w:rsidRDefault="00E7597F">
      <w:pPr>
        <w:spacing w:line="360" w:lineRule="auto"/>
        <w:jc w:val="both"/>
        <w:rPr>
          <w:rFonts w:ascii="Palatino Linotype" w:eastAsia="Palatino Linotype" w:hAnsi="Palatino Linotype" w:cs="Palatino Linotype"/>
          <w:b/>
          <w:bCs/>
          <w:sz w:val="22"/>
          <w:szCs w:val="22"/>
        </w:rPr>
      </w:pPr>
    </w:p>
    <w:p w14:paraId="235D8827" w14:textId="77777777" w:rsidR="00E7597F" w:rsidRDefault="0011497E">
      <w:pPr>
        <w:pStyle w:val="Ttulo2"/>
      </w:pPr>
      <w:bookmarkStart w:id="13" w:name="_heading=h.re2h21tg50um" w:colFirst="0" w:colLast="0"/>
      <w:bookmarkStart w:id="14" w:name="_Toc213944003"/>
      <w:bookmarkEnd w:id="13"/>
      <w:r>
        <w:lastRenderedPageBreak/>
        <w:t>PRIMERO. Competencia</w:t>
      </w:r>
      <w:bookmarkEnd w:id="14"/>
    </w:p>
    <w:p w14:paraId="563CFB5C" w14:textId="77777777" w:rsidR="00E7597F" w:rsidRDefault="00E7597F">
      <w:pPr>
        <w:spacing w:line="360" w:lineRule="auto"/>
        <w:jc w:val="both"/>
        <w:rPr>
          <w:rFonts w:ascii="Palatino Linotype" w:eastAsia="Palatino Linotype" w:hAnsi="Palatino Linotype" w:cs="Palatino Linotype"/>
          <w:b/>
          <w:bCs/>
          <w:sz w:val="22"/>
          <w:szCs w:val="22"/>
        </w:rPr>
      </w:pPr>
    </w:p>
    <w:p w14:paraId="7C83E54A" w14:textId="77777777" w:rsidR="00E7597F" w:rsidRDefault="0011497E">
      <w:pPr>
        <w:spacing w:line="360" w:lineRule="auto"/>
        <w:jc w:val="both"/>
        <w:rPr>
          <w:rFonts w:ascii="Palatino Linotype" w:eastAsia="Palatino Linotype" w:hAnsi="Palatino Linotype" w:cs="Palatino Linotype"/>
          <w:sz w:val="22"/>
          <w:szCs w:val="22"/>
        </w:rPr>
      </w:pPr>
      <w:bookmarkStart w:id="15" w:name="_heading=h.ngi8ouymlv7w" w:colFirst="0" w:colLast="0"/>
      <w:bookmarkEnd w:id="15"/>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B004529" w14:textId="77777777" w:rsidR="00E7597F" w:rsidRDefault="00E7597F">
      <w:pPr>
        <w:spacing w:line="360" w:lineRule="auto"/>
        <w:jc w:val="both"/>
        <w:rPr>
          <w:rFonts w:ascii="Palatino Linotype" w:eastAsia="Palatino Linotype" w:hAnsi="Palatino Linotype" w:cs="Palatino Linotype"/>
          <w:sz w:val="22"/>
          <w:szCs w:val="22"/>
        </w:rPr>
      </w:pPr>
      <w:bookmarkStart w:id="16" w:name="_heading=h.2wlgnkyh7gup" w:colFirst="0" w:colLast="0"/>
      <w:bookmarkEnd w:id="16"/>
    </w:p>
    <w:p w14:paraId="046A2AB6"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7F5427C" w14:textId="77777777" w:rsidR="00E7597F" w:rsidRDefault="0011497E">
      <w:pPr>
        <w:pStyle w:val="Ttulo2"/>
      </w:pPr>
      <w:bookmarkStart w:id="17" w:name="_heading=h.cbcv08huhicd" w:colFirst="0" w:colLast="0"/>
      <w:bookmarkStart w:id="18" w:name="_Toc213944004"/>
      <w:bookmarkEnd w:id="17"/>
      <w:r>
        <w:t>SEGUNDO. Causales de improcedencia y Sobreseimiento</w:t>
      </w:r>
      <w:bookmarkEnd w:id="18"/>
    </w:p>
    <w:p w14:paraId="17047BFF" w14:textId="77777777" w:rsidR="00E7597F" w:rsidRDefault="00E7597F">
      <w:pPr>
        <w:spacing w:line="360" w:lineRule="auto"/>
        <w:jc w:val="both"/>
        <w:rPr>
          <w:rFonts w:ascii="Palatino Linotype" w:eastAsia="Palatino Linotype" w:hAnsi="Palatino Linotype" w:cs="Palatino Linotype"/>
          <w:sz w:val="22"/>
          <w:szCs w:val="22"/>
        </w:rPr>
      </w:pPr>
    </w:p>
    <w:p w14:paraId="22159D50"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240B7F7" w14:textId="77777777" w:rsidR="00E7597F" w:rsidRDefault="00E7597F">
      <w:pPr>
        <w:spacing w:line="360" w:lineRule="auto"/>
        <w:jc w:val="both"/>
        <w:rPr>
          <w:rFonts w:ascii="Palatino Linotype" w:eastAsia="Palatino Linotype" w:hAnsi="Palatino Linotype" w:cs="Palatino Linotype"/>
          <w:sz w:val="22"/>
          <w:szCs w:val="22"/>
        </w:rPr>
      </w:pPr>
    </w:p>
    <w:p w14:paraId="77DE5784" w14:textId="77777777" w:rsidR="00E7597F" w:rsidRDefault="0011497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27D06C86" w14:textId="77777777" w:rsidR="00E7597F" w:rsidRDefault="00E7597F">
      <w:pPr>
        <w:spacing w:line="360" w:lineRule="auto"/>
        <w:jc w:val="both"/>
        <w:rPr>
          <w:rFonts w:ascii="Palatino Linotype" w:eastAsia="Palatino Linotype" w:hAnsi="Palatino Linotype" w:cs="Palatino Linotype"/>
          <w:sz w:val="22"/>
          <w:szCs w:val="22"/>
        </w:rPr>
      </w:pPr>
    </w:p>
    <w:p w14:paraId="01E0170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w:t>
      </w:r>
      <w:r>
        <w:rPr>
          <w:rFonts w:ascii="Palatino Linotype" w:eastAsia="Palatino Linotype" w:hAnsi="Palatino Linotype" w:cs="Palatino Linotype"/>
          <w:sz w:val="22"/>
          <w:szCs w:val="22"/>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E0A39E" w14:textId="77777777" w:rsidR="00E7597F" w:rsidRDefault="00E7597F">
      <w:pPr>
        <w:spacing w:line="360" w:lineRule="auto"/>
        <w:jc w:val="both"/>
        <w:rPr>
          <w:rFonts w:ascii="Palatino Linotype" w:eastAsia="Palatino Linotype" w:hAnsi="Palatino Linotype" w:cs="Palatino Linotype"/>
          <w:sz w:val="22"/>
          <w:szCs w:val="22"/>
        </w:rPr>
      </w:pPr>
    </w:p>
    <w:p w14:paraId="20F194B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EE39A78" w14:textId="77777777" w:rsidR="00E7597F" w:rsidRDefault="00E7597F">
      <w:pPr>
        <w:spacing w:line="360" w:lineRule="auto"/>
        <w:jc w:val="both"/>
        <w:rPr>
          <w:rFonts w:ascii="Palatino Linotype" w:eastAsia="Palatino Linotype" w:hAnsi="Palatino Linotype" w:cs="Palatino Linotype"/>
          <w:sz w:val="22"/>
          <w:szCs w:val="22"/>
        </w:rPr>
      </w:pPr>
    </w:p>
    <w:p w14:paraId="2CA9E8AA"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0D4F95C1" w14:textId="77777777" w:rsidR="00E7597F" w:rsidRDefault="00E7597F">
      <w:pPr>
        <w:spacing w:line="360" w:lineRule="auto"/>
        <w:jc w:val="both"/>
        <w:rPr>
          <w:rFonts w:ascii="Palatino Linotype" w:eastAsia="Palatino Linotype" w:hAnsi="Palatino Linotype" w:cs="Palatino Linotype"/>
          <w:sz w:val="22"/>
          <w:szCs w:val="22"/>
        </w:rPr>
      </w:pPr>
    </w:p>
    <w:p w14:paraId="4130D857"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09E86989" w14:textId="77777777" w:rsidR="00E7597F" w:rsidRDefault="00E7597F">
      <w:pPr>
        <w:spacing w:line="360" w:lineRule="auto"/>
        <w:jc w:val="both"/>
        <w:rPr>
          <w:rFonts w:ascii="Palatino Linotype" w:eastAsia="Palatino Linotype" w:hAnsi="Palatino Linotype" w:cs="Palatino Linotype"/>
          <w:sz w:val="22"/>
          <w:szCs w:val="22"/>
        </w:rPr>
      </w:pPr>
    </w:p>
    <w:p w14:paraId="34255DC6" w14:textId="77777777" w:rsidR="00E7597F" w:rsidRDefault="0011497E">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188B46D4" w14:textId="77777777" w:rsidR="00E7597F" w:rsidRDefault="00E7597F">
      <w:pPr>
        <w:spacing w:line="360" w:lineRule="auto"/>
        <w:jc w:val="both"/>
        <w:rPr>
          <w:rFonts w:ascii="Palatino Linotype" w:eastAsia="Palatino Linotype" w:hAnsi="Palatino Linotype" w:cs="Palatino Linotype"/>
          <w:color w:val="0D0D0D"/>
          <w:sz w:val="22"/>
          <w:szCs w:val="22"/>
        </w:rPr>
      </w:pPr>
    </w:p>
    <w:p w14:paraId="3228FAF3" w14:textId="77777777" w:rsidR="00E7597F" w:rsidRDefault="0011497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692FFE23" w14:textId="77777777" w:rsidR="00E7597F" w:rsidRDefault="00E7597F">
      <w:pPr>
        <w:spacing w:line="360" w:lineRule="auto"/>
        <w:jc w:val="both"/>
        <w:rPr>
          <w:rFonts w:ascii="Palatino Linotype" w:eastAsia="Palatino Linotype" w:hAnsi="Palatino Linotype" w:cs="Palatino Linotype"/>
          <w:color w:val="0D0D0D"/>
          <w:sz w:val="22"/>
          <w:szCs w:val="22"/>
        </w:rPr>
      </w:pPr>
    </w:p>
    <w:p w14:paraId="713577F4"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B47B36B" w14:textId="77777777" w:rsidR="00E7597F" w:rsidRDefault="00E7597F">
      <w:pPr>
        <w:spacing w:line="360" w:lineRule="auto"/>
        <w:jc w:val="both"/>
        <w:rPr>
          <w:rFonts w:ascii="Palatino Linotype" w:eastAsia="Palatino Linotype" w:hAnsi="Palatino Linotype" w:cs="Palatino Linotype"/>
          <w:sz w:val="22"/>
          <w:szCs w:val="22"/>
        </w:rPr>
      </w:pPr>
    </w:p>
    <w:p w14:paraId="78BAD95F" w14:textId="77777777" w:rsidR="00E7597F" w:rsidRDefault="0011497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333218FC" w14:textId="77777777" w:rsidR="00E7597F" w:rsidRDefault="00E7597F">
      <w:pPr>
        <w:spacing w:line="360" w:lineRule="auto"/>
        <w:jc w:val="both"/>
        <w:rPr>
          <w:rFonts w:ascii="Palatino Linotype" w:eastAsia="Palatino Linotype" w:hAnsi="Palatino Linotype" w:cs="Palatino Linotype"/>
          <w:color w:val="0D0D0D"/>
          <w:sz w:val="22"/>
          <w:szCs w:val="22"/>
        </w:rPr>
      </w:pPr>
    </w:p>
    <w:p w14:paraId="23F53E9C" w14:textId="77777777" w:rsidR="00E7597F" w:rsidRDefault="0011497E">
      <w:pPr>
        <w:pStyle w:val="Ttulo2"/>
      </w:pPr>
      <w:bookmarkStart w:id="19" w:name="_heading=h.xwsmlyyfkp09" w:colFirst="0" w:colLast="0"/>
      <w:bookmarkStart w:id="20" w:name="_Toc213944005"/>
      <w:bookmarkEnd w:id="19"/>
      <w:r>
        <w:t>TERCERO. Determinación de la Controversia</w:t>
      </w:r>
      <w:bookmarkEnd w:id="20"/>
    </w:p>
    <w:p w14:paraId="126FAFF4"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61BDEFD7" w14:textId="77777777" w:rsidR="00E7597F" w:rsidRDefault="0011497E">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del </w:t>
      </w:r>
      <w:r>
        <w:rPr>
          <w:rFonts w:ascii="Palatino Linotype" w:eastAsia="Palatino Linotype" w:hAnsi="Palatino Linotype" w:cs="Palatino Linotype"/>
          <w:sz w:val="22"/>
          <w:szCs w:val="22"/>
        </w:rPr>
        <w:t>Sistema Municipal Para el Desarrollo Integral de la Familia de Ixtapaluca</w:t>
      </w:r>
      <w:r>
        <w:rPr>
          <w:rFonts w:ascii="Palatino Linotype" w:eastAsia="Palatino Linotype" w:hAnsi="Palatino Linotype" w:cs="Palatino Linotype"/>
          <w:color w:val="000000"/>
          <w:sz w:val="22"/>
          <w:szCs w:val="22"/>
        </w:rPr>
        <w:t xml:space="preserve"> de la actual administración.</w:t>
      </w:r>
    </w:p>
    <w:p w14:paraId="4EA700E4" w14:textId="77777777" w:rsidR="00E7597F" w:rsidRDefault="00E7597F">
      <w:pPr>
        <w:tabs>
          <w:tab w:val="left" w:pos="4962"/>
        </w:tabs>
        <w:spacing w:line="360" w:lineRule="auto"/>
        <w:jc w:val="both"/>
        <w:rPr>
          <w:rFonts w:ascii="Palatino Linotype" w:eastAsia="Palatino Linotype" w:hAnsi="Palatino Linotype" w:cs="Palatino Linotype"/>
          <w:color w:val="000000"/>
          <w:sz w:val="22"/>
          <w:szCs w:val="22"/>
        </w:rPr>
      </w:pPr>
    </w:p>
    <w:p w14:paraId="77DA1958" w14:textId="77777777" w:rsidR="00E7597F" w:rsidRDefault="0011497E">
      <w:pPr>
        <w:numPr>
          <w:ilvl w:val="0"/>
          <w:numId w:val="3"/>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ordenes de servicios emitidos para mantenimiento del CERIX en los años 2022, 2023, 2024 y 2025.</w:t>
      </w:r>
    </w:p>
    <w:p w14:paraId="050B421A" w14:textId="77777777" w:rsidR="00E7597F" w:rsidRDefault="00E7597F">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1BF3A01C" w14:textId="77777777" w:rsidR="00E7597F" w:rsidRDefault="0011497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6C5222A4" w14:textId="77777777" w:rsidR="00E7597F" w:rsidRDefault="00E7597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2607F0EE" w14:textId="77777777" w:rsidR="00E7597F" w:rsidRDefault="0011497E">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19B29DF9" w14:textId="77777777" w:rsidR="00E7597F" w:rsidRDefault="00E7597F">
      <w:pPr>
        <w:tabs>
          <w:tab w:val="left" w:pos="4962"/>
        </w:tabs>
        <w:spacing w:line="360" w:lineRule="auto"/>
        <w:jc w:val="both"/>
        <w:rPr>
          <w:rFonts w:ascii="Palatino Linotype" w:eastAsia="Palatino Linotype" w:hAnsi="Palatino Linotype" w:cs="Palatino Linotype"/>
          <w:sz w:val="22"/>
          <w:szCs w:val="22"/>
        </w:rPr>
      </w:pPr>
    </w:p>
    <w:p w14:paraId="7463262E" w14:textId="77777777" w:rsidR="00E7597F" w:rsidRDefault="0011497E">
      <w:pPr>
        <w:pStyle w:val="Ttulo2"/>
        <w:jc w:val="both"/>
      </w:pPr>
      <w:bookmarkStart w:id="21" w:name="_heading=h.acw1o6p8k7ds" w:colFirst="0" w:colLast="0"/>
      <w:bookmarkStart w:id="22" w:name="_Toc213944006"/>
      <w:bookmarkEnd w:id="21"/>
      <w:r>
        <w:t>CUARTO. Marco normativo aplicable en materia de transparencia y acceso a la información pública</w:t>
      </w:r>
      <w:bookmarkEnd w:id="22"/>
    </w:p>
    <w:p w14:paraId="1ABCB2EA" w14:textId="77777777" w:rsidR="00E7597F" w:rsidRDefault="00E7597F">
      <w:pPr>
        <w:spacing w:line="360" w:lineRule="auto"/>
        <w:jc w:val="both"/>
        <w:rPr>
          <w:rFonts w:ascii="Palatino Linotype" w:eastAsia="Palatino Linotype" w:hAnsi="Palatino Linotype" w:cs="Palatino Linotype"/>
          <w:sz w:val="22"/>
          <w:szCs w:val="22"/>
        </w:rPr>
      </w:pPr>
    </w:p>
    <w:p w14:paraId="54288CC1"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2ACA879" w14:textId="77777777" w:rsidR="00E7597F" w:rsidRDefault="00E7597F">
      <w:pPr>
        <w:spacing w:line="360" w:lineRule="auto"/>
        <w:jc w:val="both"/>
        <w:rPr>
          <w:rFonts w:ascii="Palatino Linotype" w:eastAsia="Palatino Linotype" w:hAnsi="Palatino Linotype" w:cs="Palatino Linotype"/>
          <w:sz w:val="22"/>
          <w:szCs w:val="22"/>
        </w:rPr>
      </w:pPr>
    </w:p>
    <w:p w14:paraId="24C7F410"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5EAD5F1" w14:textId="77777777" w:rsidR="00E7597F" w:rsidRDefault="00E7597F">
      <w:pPr>
        <w:spacing w:line="360" w:lineRule="auto"/>
        <w:jc w:val="both"/>
        <w:rPr>
          <w:rFonts w:ascii="Palatino Linotype" w:eastAsia="Palatino Linotype" w:hAnsi="Palatino Linotype" w:cs="Palatino Linotype"/>
          <w:sz w:val="22"/>
          <w:szCs w:val="22"/>
        </w:rPr>
      </w:pPr>
    </w:p>
    <w:p w14:paraId="3D1E4702"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4D96E401" w14:textId="77777777" w:rsidR="00E7597F" w:rsidRDefault="00E7597F">
      <w:pPr>
        <w:spacing w:line="360" w:lineRule="auto"/>
        <w:jc w:val="both"/>
        <w:rPr>
          <w:rFonts w:ascii="Palatino Linotype" w:eastAsia="Palatino Linotype" w:hAnsi="Palatino Linotype" w:cs="Palatino Linotype"/>
          <w:sz w:val="22"/>
          <w:szCs w:val="22"/>
        </w:rPr>
      </w:pPr>
    </w:p>
    <w:p w14:paraId="30B5D0C2"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4A166683" w14:textId="77777777" w:rsidR="00E7597F" w:rsidRDefault="00E7597F">
      <w:pPr>
        <w:spacing w:line="360" w:lineRule="auto"/>
        <w:jc w:val="both"/>
        <w:rPr>
          <w:rFonts w:ascii="Palatino Linotype" w:eastAsia="Palatino Linotype" w:hAnsi="Palatino Linotype" w:cs="Palatino Linotype"/>
          <w:sz w:val="22"/>
          <w:szCs w:val="22"/>
        </w:rPr>
      </w:pPr>
    </w:p>
    <w:p w14:paraId="586786B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6A8974B" w14:textId="77777777" w:rsidR="00E7597F" w:rsidRDefault="00E7597F">
      <w:pPr>
        <w:spacing w:line="360" w:lineRule="auto"/>
        <w:jc w:val="both"/>
        <w:rPr>
          <w:rFonts w:ascii="Palatino Linotype" w:eastAsia="Palatino Linotype" w:hAnsi="Palatino Linotype" w:cs="Palatino Linotype"/>
          <w:sz w:val="22"/>
          <w:szCs w:val="22"/>
        </w:rPr>
      </w:pPr>
    </w:p>
    <w:p w14:paraId="5CC0C62D"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A7F9372" w14:textId="77777777" w:rsidR="00E7597F" w:rsidRDefault="00E7597F">
      <w:pPr>
        <w:spacing w:line="360" w:lineRule="auto"/>
        <w:jc w:val="both"/>
        <w:rPr>
          <w:rFonts w:ascii="Palatino Linotype" w:eastAsia="Palatino Linotype" w:hAnsi="Palatino Linotype" w:cs="Palatino Linotype"/>
          <w:sz w:val="22"/>
          <w:szCs w:val="22"/>
        </w:rPr>
      </w:pPr>
    </w:p>
    <w:p w14:paraId="3B487A38" w14:textId="77777777" w:rsidR="00E7597F" w:rsidRDefault="0011497E">
      <w:pPr>
        <w:pStyle w:val="Ttulo2"/>
      </w:pPr>
      <w:bookmarkStart w:id="23" w:name="_heading=h.b0q3qgp2flvu" w:colFirst="0" w:colLast="0"/>
      <w:bookmarkStart w:id="24" w:name="_Toc213944007"/>
      <w:bookmarkEnd w:id="23"/>
      <w:r>
        <w:t>QUINTO. Estudio de Fondo</w:t>
      </w:r>
      <w:bookmarkEnd w:id="24"/>
    </w:p>
    <w:p w14:paraId="66858F35" w14:textId="77777777" w:rsidR="00E7597F" w:rsidRDefault="00E7597F">
      <w:pPr>
        <w:spacing w:line="360" w:lineRule="auto"/>
        <w:jc w:val="both"/>
        <w:rPr>
          <w:rFonts w:ascii="Palatino Linotype" w:eastAsia="Palatino Linotype" w:hAnsi="Palatino Linotype" w:cs="Palatino Linotype"/>
          <w:sz w:val="22"/>
          <w:szCs w:val="22"/>
        </w:rPr>
      </w:pPr>
    </w:p>
    <w:p w14:paraId="2CD3CE6E"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Sistema Municipal Para el Desarrollo Integral de la Familia de Ixtapaluca, a la solicitud de información.</w:t>
      </w:r>
    </w:p>
    <w:p w14:paraId="54A31432" w14:textId="77777777" w:rsidR="00E7597F" w:rsidRDefault="00E7597F">
      <w:pPr>
        <w:spacing w:line="360" w:lineRule="auto"/>
        <w:jc w:val="both"/>
        <w:rPr>
          <w:rFonts w:ascii="Palatino Linotype" w:eastAsia="Palatino Linotype" w:hAnsi="Palatino Linotype" w:cs="Palatino Linotype"/>
          <w:sz w:val="22"/>
          <w:szCs w:val="22"/>
        </w:rPr>
      </w:pPr>
    </w:p>
    <w:p w14:paraId="0F4AB1E3"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de suma importancia señalar los objetivos de la Ley de Transparencia y Acceso a la Información Pública del Estado de México y Municipios, en relación con la obligación de </w:t>
      </w:r>
      <w:r>
        <w:rPr>
          <w:rFonts w:ascii="Palatino Linotype" w:eastAsia="Palatino Linotype" w:hAnsi="Palatino Linotype" w:cs="Palatino Linotype"/>
          <w:sz w:val="22"/>
          <w:szCs w:val="22"/>
        </w:rPr>
        <w:lastRenderedPageBreak/>
        <w:t>acceso por parte de los Sujetos Obligados, lo cuales se encuentran establecidos en el artículo 2° de dicho ordenamiento jurídico y son los siguientes:</w:t>
      </w:r>
    </w:p>
    <w:p w14:paraId="3F96FE46" w14:textId="77777777" w:rsidR="00E7597F" w:rsidRDefault="00E7597F">
      <w:pPr>
        <w:spacing w:line="360" w:lineRule="auto"/>
        <w:jc w:val="both"/>
        <w:rPr>
          <w:rFonts w:ascii="Palatino Linotype" w:eastAsia="Palatino Linotype" w:hAnsi="Palatino Linotype" w:cs="Palatino Linotype"/>
          <w:sz w:val="22"/>
          <w:szCs w:val="22"/>
        </w:rPr>
      </w:pPr>
    </w:p>
    <w:p w14:paraId="1EA58EBC" w14:textId="77777777" w:rsidR="00E7597F" w:rsidRDefault="0011497E">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50618AD4" w14:textId="77777777" w:rsidR="00E7597F" w:rsidRDefault="00E7597F">
      <w:pPr>
        <w:spacing w:line="360" w:lineRule="auto"/>
        <w:ind w:left="720"/>
        <w:jc w:val="both"/>
        <w:rPr>
          <w:rFonts w:ascii="Palatino Linotype" w:eastAsia="Palatino Linotype" w:hAnsi="Palatino Linotype" w:cs="Palatino Linotype"/>
          <w:sz w:val="22"/>
          <w:szCs w:val="22"/>
        </w:rPr>
      </w:pPr>
    </w:p>
    <w:p w14:paraId="4917BA43" w14:textId="77777777" w:rsidR="00E7597F" w:rsidRDefault="0011497E">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2E516E9D" w14:textId="77777777" w:rsidR="00E7597F" w:rsidRDefault="00E7597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50D4173" w14:textId="77777777" w:rsidR="00E7597F" w:rsidRDefault="0011497E">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68948608" w14:textId="77777777" w:rsidR="00E7597F" w:rsidRDefault="00E7597F">
      <w:pPr>
        <w:spacing w:line="360" w:lineRule="auto"/>
        <w:jc w:val="both"/>
        <w:rPr>
          <w:rFonts w:ascii="Palatino Linotype" w:eastAsia="Palatino Linotype" w:hAnsi="Palatino Linotype" w:cs="Palatino Linotype"/>
          <w:sz w:val="22"/>
          <w:szCs w:val="22"/>
        </w:rPr>
      </w:pPr>
    </w:p>
    <w:p w14:paraId="24E6D605"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46AD53FC" w14:textId="77777777" w:rsidR="00E7597F" w:rsidRDefault="00E7597F">
      <w:pPr>
        <w:spacing w:line="360" w:lineRule="auto"/>
        <w:jc w:val="both"/>
        <w:rPr>
          <w:rFonts w:ascii="Palatino Linotype" w:eastAsia="Palatino Linotype" w:hAnsi="Palatino Linotype" w:cs="Palatino Linotype"/>
          <w:sz w:val="22"/>
          <w:szCs w:val="22"/>
        </w:rPr>
      </w:pPr>
    </w:p>
    <w:p w14:paraId="027BC00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w:t>
      </w:r>
      <w:r>
        <w:rPr>
          <w:rFonts w:ascii="Palatino Linotype" w:eastAsia="Palatino Linotype" w:hAnsi="Palatino Linotype" w:cs="Palatino Linotype"/>
          <w:sz w:val="22"/>
          <w:szCs w:val="22"/>
        </w:rPr>
        <w:lastRenderedPageBreak/>
        <w:t>claro régimen de excepciones que deberán estar definidas y ser legítimas y estrictamente necesarias en una sociedad democrática.</w:t>
      </w:r>
    </w:p>
    <w:p w14:paraId="60832323" w14:textId="77777777" w:rsidR="00E7597F" w:rsidRDefault="00E7597F">
      <w:pPr>
        <w:spacing w:line="360" w:lineRule="auto"/>
        <w:jc w:val="both"/>
        <w:rPr>
          <w:rFonts w:ascii="Palatino Linotype" w:eastAsia="Palatino Linotype" w:hAnsi="Palatino Linotype" w:cs="Palatino Linotype"/>
          <w:sz w:val="22"/>
          <w:szCs w:val="22"/>
        </w:rPr>
      </w:pPr>
    </w:p>
    <w:p w14:paraId="21E7D7F3"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65454C6" w14:textId="77777777" w:rsidR="00E7597F" w:rsidRDefault="00E7597F">
      <w:pPr>
        <w:spacing w:line="360" w:lineRule="auto"/>
        <w:jc w:val="both"/>
        <w:rPr>
          <w:rFonts w:ascii="Palatino Linotype" w:eastAsia="Palatino Linotype" w:hAnsi="Palatino Linotype" w:cs="Palatino Linotype"/>
          <w:sz w:val="22"/>
          <w:szCs w:val="22"/>
        </w:rPr>
      </w:pPr>
    </w:p>
    <w:p w14:paraId="7C45256A"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3B94C85" w14:textId="77777777" w:rsidR="00E7597F" w:rsidRDefault="00E7597F">
      <w:pPr>
        <w:spacing w:line="360" w:lineRule="auto"/>
        <w:ind w:left="720"/>
        <w:jc w:val="both"/>
        <w:rPr>
          <w:rFonts w:ascii="Palatino Linotype" w:eastAsia="Palatino Linotype" w:hAnsi="Palatino Linotype" w:cs="Palatino Linotype"/>
          <w:sz w:val="22"/>
          <w:szCs w:val="22"/>
        </w:rPr>
      </w:pPr>
    </w:p>
    <w:p w14:paraId="76B94B47"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D89CF24" w14:textId="77777777" w:rsidR="00E7597F" w:rsidRDefault="00E7597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ADC64BA"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w:t>
      </w:r>
      <w:r>
        <w:rPr>
          <w:rFonts w:ascii="Palatino Linotype" w:eastAsia="Palatino Linotype" w:hAnsi="Palatino Linotype" w:cs="Palatino Linotype"/>
          <w:sz w:val="22"/>
          <w:szCs w:val="22"/>
        </w:rPr>
        <w:lastRenderedPageBreak/>
        <w:t>ampliarse por siete días hábiles más, cuando existan razones fundadas y motivadas, a través del Comité de Transparencia;</w:t>
      </w:r>
    </w:p>
    <w:p w14:paraId="24112CCE" w14:textId="77777777" w:rsidR="00E7597F" w:rsidRDefault="00E7597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41F0B0C7"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9BAA93F" w14:textId="77777777" w:rsidR="00E7597F" w:rsidRDefault="00E7597F">
      <w:pPr>
        <w:spacing w:line="360" w:lineRule="auto"/>
        <w:rPr>
          <w:rFonts w:ascii="Palatino Linotype" w:eastAsia="Palatino Linotype" w:hAnsi="Palatino Linotype" w:cs="Palatino Linotype"/>
        </w:rPr>
      </w:pPr>
    </w:p>
    <w:p w14:paraId="18FB9F65"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81EA070" w14:textId="77777777" w:rsidR="00E7597F" w:rsidRDefault="00E7597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9FDABC0" w14:textId="77777777" w:rsidR="00E7597F" w:rsidRDefault="0011497E">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3B2AE08" w14:textId="77777777" w:rsidR="00E7597F" w:rsidRDefault="00E7597F">
      <w:pPr>
        <w:spacing w:line="360" w:lineRule="auto"/>
        <w:jc w:val="both"/>
        <w:rPr>
          <w:rFonts w:ascii="Palatino Linotype" w:eastAsia="Palatino Linotype" w:hAnsi="Palatino Linotype" w:cs="Palatino Linotype"/>
          <w:sz w:val="22"/>
          <w:szCs w:val="22"/>
        </w:rPr>
      </w:pPr>
    </w:p>
    <w:p w14:paraId="68CB351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Sistema Municipal Para el Desarrollo </w:t>
      </w:r>
      <w:r>
        <w:rPr>
          <w:rFonts w:ascii="Palatino Linotype" w:eastAsia="Palatino Linotype" w:hAnsi="Palatino Linotype" w:cs="Palatino Linotype"/>
          <w:sz w:val="22"/>
          <w:szCs w:val="22"/>
        </w:rPr>
        <w:lastRenderedPageBreak/>
        <w:t>Integral de la Familia de Ixtapaluca, no había registrado respuesta al requerimiento de acceso a la información, el cual se presentó, el ocho de septiembre de dos mil veinticinco.</w:t>
      </w:r>
    </w:p>
    <w:p w14:paraId="56C14298" w14:textId="77777777" w:rsidR="00E7597F" w:rsidRDefault="00E7597F">
      <w:pPr>
        <w:spacing w:line="360" w:lineRule="auto"/>
        <w:jc w:val="both"/>
        <w:rPr>
          <w:rFonts w:ascii="Palatino Linotype" w:eastAsia="Palatino Linotype" w:hAnsi="Palatino Linotype" w:cs="Palatino Linotype"/>
          <w:sz w:val="22"/>
          <w:szCs w:val="22"/>
        </w:rPr>
      </w:pPr>
    </w:p>
    <w:p w14:paraId="4F24AFBD" w14:textId="77777777" w:rsidR="00E7597F" w:rsidRDefault="0011497E">
      <w:pPr>
        <w:spacing w:line="360" w:lineRule="auto"/>
        <w:jc w:val="both"/>
        <w:rPr>
          <w:rFonts w:ascii="Palatino Linotype" w:eastAsia="Palatino Linotype" w:hAnsi="Palatino Linotype" w:cs="Palatino Linotype"/>
          <w:sz w:val="22"/>
          <w:szCs w:val="22"/>
        </w:rPr>
      </w:pPr>
      <w:bookmarkStart w:id="25" w:name="_heading=h.a1wy756y1q1d" w:colFirst="0" w:colLast="0"/>
      <w:bookmarkEnd w:id="25"/>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nueve y feneció el treinta de septiembre de dos mil veinticinco; lo anterior, sin contar los días, trece, catorce, veinte, veintiuno, veintisiete y veintiocho de septiembre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4D76BC6D" w14:textId="77777777" w:rsidR="00E7597F" w:rsidRDefault="00E7597F">
      <w:pPr>
        <w:spacing w:line="360" w:lineRule="auto"/>
        <w:jc w:val="both"/>
        <w:rPr>
          <w:rFonts w:ascii="Palatino Linotype" w:eastAsia="Palatino Linotype" w:hAnsi="Palatino Linotype" w:cs="Palatino Linotype"/>
          <w:sz w:val="22"/>
          <w:szCs w:val="22"/>
        </w:rPr>
      </w:pPr>
    </w:p>
    <w:p w14:paraId="5F278879"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0AAB72DC" w14:textId="77777777" w:rsidR="00E7597F" w:rsidRDefault="00E7597F">
      <w:pPr>
        <w:spacing w:line="360" w:lineRule="auto"/>
        <w:jc w:val="both"/>
        <w:rPr>
          <w:rFonts w:ascii="Palatino Linotype" w:eastAsia="Palatino Linotype" w:hAnsi="Palatino Linotype" w:cs="Palatino Linotype"/>
          <w:sz w:val="22"/>
          <w:szCs w:val="22"/>
        </w:rPr>
      </w:pPr>
    </w:p>
    <w:p w14:paraId="6E6220C9" w14:textId="77777777" w:rsidR="00E7597F" w:rsidRDefault="0011497E">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3119CE33" wp14:editId="4608574A">
            <wp:extent cx="2972215" cy="133368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72215" cy="1333686"/>
                    </a:xfrm>
                    <a:prstGeom prst="rect">
                      <a:avLst/>
                    </a:prstGeom>
                    <a:ln/>
                  </pic:spPr>
                </pic:pic>
              </a:graphicData>
            </a:graphic>
          </wp:inline>
        </w:drawing>
      </w:r>
    </w:p>
    <w:p w14:paraId="4590A812" w14:textId="77777777" w:rsidR="00E7597F" w:rsidRDefault="00E7597F">
      <w:pPr>
        <w:spacing w:line="360" w:lineRule="auto"/>
        <w:jc w:val="both"/>
        <w:rPr>
          <w:rFonts w:ascii="Palatino Linotype" w:eastAsia="Palatino Linotype" w:hAnsi="Palatino Linotype" w:cs="Palatino Linotype"/>
          <w:sz w:val="22"/>
          <w:szCs w:val="22"/>
        </w:rPr>
      </w:pPr>
    </w:p>
    <w:p w14:paraId="598C877D"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Sistema Municipal Para el Desarrollo Integral de la Familia de Ixtapaluca, no emitió respuesta para dar contestación a la solicitud de acceso a la información pública, dentro de los plazos </w:t>
      </w:r>
      <w:r>
        <w:rPr>
          <w:rFonts w:ascii="Palatino Linotype" w:eastAsia="Palatino Linotype" w:hAnsi="Palatino Linotype" w:cs="Palatino Linotype"/>
          <w:sz w:val="22"/>
          <w:szCs w:val="22"/>
        </w:rPr>
        <w:lastRenderedPageBreak/>
        <w:t xml:space="preserve">establecidos en el artículo 163, de la Ley de Transparencia y Acceso a la Información Pública del Estado de México y Municipios, pues tenía hasta el treinta de septiembre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14:paraId="7F36B527" w14:textId="77777777" w:rsidR="00E7597F" w:rsidRDefault="00E7597F">
      <w:pPr>
        <w:spacing w:line="360" w:lineRule="auto"/>
        <w:jc w:val="both"/>
        <w:rPr>
          <w:rFonts w:ascii="Palatino Linotype" w:eastAsia="Palatino Linotype" w:hAnsi="Palatino Linotype" w:cs="Palatino Linotype"/>
          <w:sz w:val="22"/>
          <w:szCs w:val="22"/>
        </w:rPr>
      </w:pPr>
    </w:p>
    <w:p w14:paraId="70D084D6"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aunado a que la Ley de Justicia Cívica del Estado de México y sus Municipios, establece en su artículo 17 las atribuciones de la o el Juez Cívico dentro de las que se encuentra la fracción VII expedir recibo oficial a la persona infractora para que esta realice el pago de la multa impuesta ante la tesorería municipal. </w:t>
      </w:r>
    </w:p>
    <w:p w14:paraId="0A8506B3" w14:textId="77777777" w:rsidR="00E7597F" w:rsidRDefault="00E7597F">
      <w:pPr>
        <w:spacing w:line="360" w:lineRule="auto"/>
        <w:jc w:val="both"/>
        <w:rPr>
          <w:rFonts w:ascii="Palatino Linotype" w:eastAsia="Palatino Linotype" w:hAnsi="Palatino Linotype" w:cs="Palatino Linotype"/>
          <w:sz w:val="22"/>
          <w:szCs w:val="22"/>
        </w:rPr>
      </w:pPr>
    </w:p>
    <w:p w14:paraId="2C5EA55E"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Aunado a lo anterior, el Reglamento Interior para el Sistema Municipal Para el Desarrollo Integral de la Familia de Ixtapaluca, vigente en su artículo 76 señala que  la coordinación de atención a adultos mayores promoverá en coordinación con Organizaciones Públicas, Sociales y Privadas, la instrumentación de acciones orientadas a la integración social y asistencia a los</w:t>
      </w:r>
    </w:p>
    <w:p w14:paraId="45FAE4A9"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Adultos Mayores, además de ofrecer diferentes servicios y apoyos a la población Adulta Mayor del Municipio, a través de la entrega de ayudas funcionales y apoyos en especie, a fin de favorecer su integración social y familiar así como su calidad de vida.</w:t>
      </w:r>
    </w:p>
    <w:p w14:paraId="4522F53F" w14:textId="77777777" w:rsidR="00E7597F" w:rsidRDefault="00E7597F">
      <w:pPr>
        <w:spacing w:line="360" w:lineRule="auto"/>
        <w:jc w:val="both"/>
        <w:rPr>
          <w:rFonts w:ascii="Palatino Linotype" w:eastAsia="Palatino Linotype" w:hAnsi="Palatino Linotype" w:cs="Palatino Linotype"/>
          <w:sz w:val="22"/>
          <w:szCs w:val="22"/>
        </w:rPr>
      </w:pPr>
    </w:p>
    <w:p w14:paraId="69274129"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 que en la misma normativa en comento en su artículo 27 refiere que por parte de la Presidencia se supervisara la administración, registro, control, uso, mantenimiento y conservación adecuados de los bienes del organismo;</w:t>
      </w:r>
    </w:p>
    <w:p w14:paraId="21FBA27B" w14:textId="77777777" w:rsidR="00E7597F" w:rsidRDefault="00E7597F">
      <w:pPr>
        <w:spacing w:line="360" w:lineRule="auto"/>
        <w:jc w:val="both"/>
        <w:rPr>
          <w:rFonts w:ascii="Palatino Linotype" w:eastAsia="Palatino Linotype" w:hAnsi="Palatino Linotype" w:cs="Palatino Linotype"/>
          <w:color w:val="0D0D0D"/>
          <w:sz w:val="22"/>
          <w:szCs w:val="22"/>
        </w:rPr>
      </w:pPr>
    </w:p>
    <w:p w14:paraId="4D950154" w14:textId="77777777" w:rsidR="00E7597F" w:rsidRDefault="0011497E">
      <w:pPr>
        <w:spacing w:line="360" w:lineRule="auto"/>
        <w:jc w:val="both"/>
        <w:rPr>
          <w:color w:val="0000FF"/>
          <w:u w:val="single"/>
        </w:rPr>
      </w:pPr>
      <w:r>
        <w:rPr>
          <w:rFonts w:ascii="Palatino Linotype" w:eastAsia="Palatino Linotype" w:hAnsi="Palatino Linotype" w:cs="Palatino Linotype"/>
          <w:color w:val="000000"/>
          <w:sz w:val="22"/>
          <w:szCs w:val="22"/>
        </w:rPr>
        <w:t>Conforme a lo anterior, este Instituto localizo en notas periodísticas las actividades que refieren la atención al CERIX y sus mejoras dentro de las instalaciones</w:t>
      </w:r>
      <w:r>
        <w:rPr>
          <w:rFonts w:ascii="Palatino Linotype" w:eastAsia="Palatino Linotype" w:hAnsi="Palatino Linotype" w:cs="Palatino Linotype"/>
          <w:sz w:val="22"/>
          <w:szCs w:val="22"/>
        </w:rPr>
        <w:t xml:space="preserve">, con motivo de </w:t>
      </w:r>
      <w:r>
        <w:rPr>
          <w:rFonts w:ascii="Palatino Linotype" w:eastAsia="Palatino Linotype" w:hAnsi="Palatino Linotype" w:cs="Palatino Linotype"/>
          <w:sz w:val="22"/>
          <w:szCs w:val="22"/>
        </w:rPr>
        <w:lastRenderedPageBreak/>
        <w:t xml:space="preserve">promover el bienestar de la comunidad, (consultadas en las ligas electrónica  </w:t>
      </w:r>
      <w:r>
        <w:rPr>
          <w:rFonts w:ascii="Palatino Linotype" w:eastAsia="Palatino Linotype" w:hAnsi="Palatino Linotype" w:cs="Palatino Linotype"/>
          <w:color w:val="0563C1"/>
          <w:sz w:val="22"/>
          <w:szCs w:val="22"/>
          <w:u w:val="single"/>
        </w:rPr>
        <w:t xml:space="preserve">https://smdifixtapaluca.com.mx/2023/12/15/en-el-cerix-del-dif-todas-las-abuelitas-y-abuelitos-de-ixtapaluca-reciben-la-atencion-que-se-merecen/ </w:t>
      </w:r>
      <w:r>
        <w:rPr>
          <w:rFonts w:ascii="Palatino Linotype" w:eastAsia="Palatino Linotype" w:hAnsi="Palatino Linotype" w:cs="Palatino Linotype"/>
          <w:color w:val="0000FF"/>
          <w:sz w:val="22"/>
          <w:szCs w:val="22"/>
          <w:u w:val="single"/>
        </w:rPr>
        <w:t xml:space="preserve"> </w:t>
      </w:r>
      <w:r>
        <w:rPr>
          <w:rFonts w:ascii="Palatino Linotype" w:eastAsia="Palatino Linotype" w:hAnsi="Palatino Linotype" w:cs="Palatino Linotype"/>
          <w:sz w:val="22"/>
          <w:szCs w:val="22"/>
        </w:rPr>
        <w:t>tal como se muestra a continuación:</w:t>
      </w:r>
    </w:p>
    <w:p w14:paraId="6860D9A4" w14:textId="77777777" w:rsidR="00E7597F" w:rsidRDefault="00E7597F">
      <w:pPr>
        <w:spacing w:line="360" w:lineRule="auto"/>
        <w:jc w:val="both"/>
        <w:rPr>
          <w:rFonts w:ascii="Palatino Linotype" w:eastAsia="Palatino Linotype" w:hAnsi="Palatino Linotype" w:cs="Palatino Linotype"/>
          <w:sz w:val="22"/>
          <w:szCs w:val="22"/>
        </w:rPr>
      </w:pPr>
    </w:p>
    <w:p w14:paraId="668A5885" w14:textId="77777777" w:rsidR="00E7597F" w:rsidRDefault="0011497E">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490986C7" wp14:editId="0D84526B">
            <wp:extent cx="5165089" cy="385782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165089" cy="3857826"/>
                    </a:xfrm>
                    <a:prstGeom prst="rect">
                      <a:avLst/>
                    </a:prstGeom>
                    <a:ln/>
                  </pic:spPr>
                </pic:pic>
              </a:graphicData>
            </a:graphic>
          </wp:inline>
        </w:drawing>
      </w:r>
    </w:p>
    <w:p w14:paraId="6472CE64" w14:textId="77777777" w:rsidR="00E7597F" w:rsidRDefault="00E7597F">
      <w:pPr>
        <w:spacing w:line="360" w:lineRule="auto"/>
        <w:rPr>
          <w:rFonts w:ascii="Palatino Linotype" w:eastAsia="Palatino Linotype" w:hAnsi="Palatino Linotype" w:cs="Palatino Linotype"/>
          <w:sz w:val="22"/>
          <w:szCs w:val="22"/>
        </w:rPr>
      </w:pPr>
    </w:p>
    <w:p w14:paraId="2364B7A2" w14:textId="77777777" w:rsidR="00E7597F" w:rsidRDefault="0011497E">
      <w:pPr>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bCs/>
          <w:i/>
          <w:iCs/>
          <w:sz w:val="22"/>
          <w:szCs w:val="22"/>
        </w:rPr>
        <w:t xml:space="preserve">NOTAS PERIODISTICAS, EL CONOCIMIENTO QUE DE ELLAS SE </w:t>
      </w:r>
      <w:r>
        <w:rPr>
          <w:rFonts w:ascii="Palatino Linotype" w:eastAsia="Palatino Linotype" w:hAnsi="Palatino Linotype" w:cs="Palatino Linotype"/>
          <w:b/>
          <w:bCs/>
          <w:i/>
          <w:iCs/>
          <w:sz w:val="22"/>
          <w:szCs w:val="22"/>
        </w:rPr>
        <w:lastRenderedPageBreak/>
        <w:t>OBTIENE NO CONSTITUYE ‘UN HECHO PUBLICO Y NOTORIO’</w:t>
      </w:r>
      <w:r>
        <w:rPr>
          <w:rFonts w:ascii="Palatino Linotype" w:eastAsia="Palatino Linotype" w:hAnsi="Palatino Linotype" w:cs="Palatino Linotype"/>
          <w:i/>
          <w:i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 </w:t>
      </w:r>
    </w:p>
    <w:p w14:paraId="69E58B81" w14:textId="77777777" w:rsidR="00E7597F" w:rsidRDefault="00E7597F">
      <w:pPr>
        <w:spacing w:line="360" w:lineRule="auto"/>
        <w:jc w:val="both"/>
        <w:rPr>
          <w:rFonts w:ascii="Palatino Linotype" w:eastAsia="Palatino Linotype" w:hAnsi="Palatino Linotype" w:cs="Palatino Linotype"/>
          <w:sz w:val="22"/>
          <w:szCs w:val="22"/>
        </w:rPr>
      </w:pPr>
    </w:p>
    <w:p w14:paraId="2625C2E9"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si bien de la nota periodística señalada, contiene información que guarda relación con lo solicitado, a saber, del mantenimiento de los CERIX en el Municipio, lo cierto es que no constituyen prueba plena, al ser una opinión privada realizada por parte de un particular; sin embargo, en el presente caso, sirven de indicio para robustecer lo encontrado en las redes sociales del Sujeto Obligado.</w:t>
      </w:r>
    </w:p>
    <w:p w14:paraId="11B31F77" w14:textId="77777777" w:rsidR="00E7597F" w:rsidRDefault="00E7597F">
      <w:pPr>
        <w:tabs>
          <w:tab w:val="left" w:pos="4962"/>
        </w:tabs>
        <w:spacing w:line="360" w:lineRule="auto"/>
        <w:jc w:val="both"/>
        <w:rPr>
          <w:rFonts w:ascii="Palatino Linotype" w:eastAsia="Palatino Linotype" w:hAnsi="Palatino Linotype" w:cs="Palatino Linotype"/>
          <w:sz w:val="22"/>
          <w:szCs w:val="22"/>
        </w:rPr>
      </w:pPr>
    </w:p>
    <w:p w14:paraId="1FCAE243"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556E980" w14:textId="77777777" w:rsidR="00E7597F" w:rsidRDefault="00E7597F">
      <w:pPr>
        <w:spacing w:line="360" w:lineRule="auto"/>
        <w:jc w:val="both"/>
        <w:rPr>
          <w:rFonts w:ascii="Palatino Linotype" w:eastAsia="Palatino Linotype" w:hAnsi="Palatino Linotype" w:cs="Palatino Linotype"/>
          <w:sz w:val="22"/>
          <w:szCs w:val="22"/>
        </w:rPr>
      </w:pPr>
    </w:p>
    <w:p w14:paraId="3248A014"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tal situación, el Sujeto Obligado deberá seguir el procedimiento establecido en el artículo 168 de dicho ordenamiento jurídico; esto es, que el área competente deberá elaborar la versión </w:t>
      </w:r>
      <w:r>
        <w:rPr>
          <w:rFonts w:ascii="Palatino Linotype" w:eastAsia="Palatino Linotype" w:hAnsi="Palatino Linotype" w:cs="Palatino Linotype"/>
          <w:sz w:val="22"/>
          <w:szCs w:val="22"/>
        </w:rPr>
        <w:lastRenderedPageBreak/>
        <w:t>pública, así como emitir el Acuerdo, por parte del Comité de Transparencia, donde confirme la clasificación de los datos o documentos, fundando y motivando la clasificación.</w:t>
      </w:r>
    </w:p>
    <w:p w14:paraId="2731EB2B" w14:textId="77777777" w:rsidR="00E7597F" w:rsidRDefault="00E7597F">
      <w:pPr>
        <w:spacing w:line="360" w:lineRule="auto"/>
        <w:jc w:val="both"/>
        <w:rPr>
          <w:rFonts w:ascii="Palatino Linotype" w:eastAsia="Palatino Linotype" w:hAnsi="Palatino Linotype" w:cs="Palatino Linotype"/>
          <w:sz w:val="22"/>
          <w:szCs w:val="22"/>
        </w:rPr>
      </w:pPr>
    </w:p>
    <w:p w14:paraId="4117AA89" w14:textId="77777777" w:rsidR="00E7597F" w:rsidRDefault="0011497E">
      <w:pPr>
        <w:pStyle w:val="Ttulo2"/>
      </w:pPr>
      <w:bookmarkStart w:id="26" w:name="_heading=h.2ulqkk2q66oi" w:colFirst="0" w:colLast="0"/>
      <w:bookmarkStart w:id="27" w:name="_Toc213944008"/>
      <w:bookmarkEnd w:id="26"/>
      <w:r>
        <w:t>SEXTO. Decisión</w:t>
      </w:r>
      <w:bookmarkEnd w:id="27"/>
    </w:p>
    <w:p w14:paraId="43F62269" w14:textId="77777777" w:rsidR="00E7597F" w:rsidRDefault="00E7597F">
      <w:pPr>
        <w:spacing w:line="360" w:lineRule="auto"/>
        <w:jc w:val="both"/>
        <w:rPr>
          <w:rFonts w:ascii="Palatino Linotype" w:eastAsia="Palatino Linotype" w:hAnsi="Palatino Linotype" w:cs="Palatino Linotype"/>
          <w:sz w:val="22"/>
          <w:szCs w:val="22"/>
        </w:rPr>
      </w:pPr>
    </w:p>
    <w:p w14:paraId="5492EB69" w14:textId="77777777" w:rsidR="00E7597F" w:rsidRDefault="0011497E">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00143/DIFIXTAPAL/IP/2025.</w:t>
      </w:r>
    </w:p>
    <w:p w14:paraId="235E101C" w14:textId="77777777" w:rsidR="00E7597F" w:rsidRDefault="00E7597F">
      <w:pPr>
        <w:spacing w:line="360" w:lineRule="auto"/>
        <w:jc w:val="both"/>
        <w:rPr>
          <w:rFonts w:ascii="Palatino Linotype" w:eastAsia="Palatino Linotype" w:hAnsi="Palatino Linotype" w:cs="Palatino Linotype"/>
          <w:sz w:val="22"/>
          <w:szCs w:val="22"/>
        </w:rPr>
      </w:pPr>
    </w:p>
    <w:p w14:paraId="6A9CCA67" w14:textId="77777777" w:rsidR="00E7597F" w:rsidRDefault="0011497E">
      <w:pPr>
        <w:pStyle w:val="Ttulo2"/>
      </w:pPr>
      <w:bookmarkStart w:id="28" w:name="_heading=h.4snxcs4zijj2" w:colFirst="0" w:colLast="0"/>
      <w:bookmarkStart w:id="29" w:name="_Toc213944009"/>
      <w:bookmarkEnd w:id="28"/>
      <w:r>
        <w:t>SÉPTIMO. Vista a la Secretaría Técnica del Pleno</w:t>
      </w:r>
      <w:bookmarkEnd w:id="29"/>
    </w:p>
    <w:p w14:paraId="1C0DAF28" w14:textId="77777777" w:rsidR="00E7597F" w:rsidRDefault="00E7597F">
      <w:pPr>
        <w:spacing w:line="360" w:lineRule="auto"/>
        <w:jc w:val="both"/>
        <w:rPr>
          <w:rFonts w:ascii="Palatino Linotype" w:eastAsia="Palatino Linotype" w:hAnsi="Palatino Linotype" w:cs="Palatino Linotype"/>
          <w:sz w:val="22"/>
          <w:szCs w:val="22"/>
        </w:rPr>
      </w:pPr>
    </w:p>
    <w:p w14:paraId="54054DEC" w14:textId="77777777" w:rsidR="00E7597F" w:rsidRDefault="0011497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6A8B4002" w14:textId="77777777" w:rsidR="00E7597F" w:rsidRDefault="00E7597F">
      <w:pPr>
        <w:spacing w:line="360" w:lineRule="auto"/>
        <w:ind w:right="-93"/>
        <w:jc w:val="both"/>
        <w:rPr>
          <w:rFonts w:ascii="Palatino Linotype" w:eastAsia="Palatino Linotype" w:hAnsi="Palatino Linotype" w:cs="Palatino Linotype"/>
          <w:sz w:val="22"/>
          <w:szCs w:val="22"/>
        </w:rPr>
      </w:pPr>
    </w:p>
    <w:p w14:paraId="7B236E6E" w14:textId="77777777" w:rsidR="00E7597F" w:rsidRDefault="0011497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19506CC5" w14:textId="77777777" w:rsidR="00E7597F" w:rsidRDefault="00E7597F">
      <w:pPr>
        <w:spacing w:line="360" w:lineRule="auto"/>
        <w:ind w:right="-93"/>
        <w:jc w:val="both"/>
        <w:rPr>
          <w:rFonts w:ascii="Palatino Linotype" w:eastAsia="Palatino Linotype" w:hAnsi="Palatino Linotype" w:cs="Palatino Linotype"/>
          <w:sz w:val="22"/>
          <w:szCs w:val="22"/>
        </w:rPr>
      </w:pPr>
    </w:p>
    <w:p w14:paraId="3D699051" w14:textId="77777777" w:rsidR="00E7597F" w:rsidRDefault="0011497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15D24999" w14:textId="77777777" w:rsidR="00E7597F" w:rsidRDefault="00E7597F">
      <w:pPr>
        <w:spacing w:line="360" w:lineRule="auto"/>
        <w:ind w:right="-93"/>
        <w:jc w:val="both"/>
        <w:rPr>
          <w:rFonts w:ascii="Palatino Linotype" w:eastAsia="Palatino Linotype" w:hAnsi="Palatino Linotype" w:cs="Palatino Linotype"/>
          <w:sz w:val="22"/>
          <w:szCs w:val="22"/>
        </w:rPr>
      </w:pPr>
    </w:p>
    <w:p w14:paraId="3F5E21B6" w14:textId="77777777" w:rsidR="00E7597F" w:rsidRDefault="0011497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94026A0" w14:textId="77777777" w:rsidR="00E7597F" w:rsidRDefault="00E7597F">
      <w:pPr>
        <w:spacing w:line="360" w:lineRule="auto"/>
        <w:ind w:right="-93"/>
        <w:jc w:val="both"/>
        <w:rPr>
          <w:rFonts w:ascii="Palatino Linotype" w:eastAsia="Palatino Linotype" w:hAnsi="Palatino Linotype" w:cs="Palatino Linotype"/>
          <w:sz w:val="22"/>
          <w:szCs w:val="22"/>
        </w:rPr>
      </w:pPr>
    </w:p>
    <w:p w14:paraId="4D1683FE" w14:textId="77777777" w:rsidR="00E7597F" w:rsidRDefault="0011497E">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73D28621" w14:textId="77777777" w:rsidR="00E7597F" w:rsidRDefault="00E7597F">
      <w:pPr>
        <w:spacing w:line="360" w:lineRule="auto"/>
        <w:jc w:val="both"/>
        <w:rPr>
          <w:rFonts w:ascii="Palatino Linotype" w:eastAsia="Palatino Linotype" w:hAnsi="Palatino Linotype" w:cs="Palatino Linotype"/>
          <w:sz w:val="22"/>
          <w:szCs w:val="22"/>
        </w:rPr>
      </w:pPr>
    </w:p>
    <w:p w14:paraId="6E709E8A" w14:textId="77777777" w:rsidR="00E7597F" w:rsidRDefault="0011497E">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717F0C64" w14:textId="77777777" w:rsidR="00E7597F" w:rsidRDefault="00E7597F">
      <w:pPr>
        <w:spacing w:line="360" w:lineRule="auto"/>
        <w:jc w:val="both"/>
        <w:rPr>
          <w:rFonts w:ascii="Palatino Linotype" w:eastAsia="Palatino Linotype" w:hAnsi="Palatino Linotype" w:cs="Palatino Linotype"/>
          <w:b/>
          <w:bCs/>
          <w:sz w:val="22"/>
          <w:szCs w:val="22"/>
        </w:rPr>
      </w:pPr>
    </w:p>
    <w:p w14:paraId="320B46B3"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14:paraId="75A409EE" w14:textId="77777777" w:rsidR="00E7597F" w:rsidRDefault="00E7597F">
      <w:pPr>
        <w:spacing w:line="360" w:lineRule="auto"/>
        <w:jc w:val="both"/>
        <w:rPr>
          <w:rFonts w:ascii="Palatino Linotype" w:eastAsia="Palatino Linotype" w:hAnsi="Palatino Linotype" w:cs="Palatino Linotype"/>
          <w:sz w:val="22"/>
          <w:szCs w:val="22"/>
        </w:rPr>
      </w:pPr>
    </w:p>
    <w:p w14:paraId="311DE58D"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w:t>
      </w:r>
      <w:r>
        <w:rPr>
          <w:rFonts w:ascii="Palatino Linotype" w:eastAsia="Palatino Linotype" w:hAnsi="Palatino Linotype" w:cs="Palatino Linotype"/>
          <w:sz w:val="22"/>
          <w:szCs w:val="22"/>
        </w:rPr>
        <w:lastRenderedPageBreak/>
        <w:t xml:space="preserve">y Municipios, tiene derecho a interponer nuevamente Recurso de Revisión ante este Instituto, por la respuesta que dé el Sujeto Obligado, en cumplimiento a esta Resolución. </w:t>
      </w:r>
    </w:p>
    <w:p w14:paraId="62FC0FE3" w14:textId="77777777" w:rsidR="00E7597F" w:rsidRDefault="00E7597F">
      <w:pPr>
        <w:spacing w:line="360" w:lineRule="auto"/>
        <w:jc w:val="both"/>
        <w:rPr>
          <w:rFonts w:ascii="Palatino Linotype" w:eastAsia="Palatino Linotype" w:hAnsi="Palatino Linotype" w:cs="Palatino Linotype"/>
          <w:sz w:val="22"/>
          <w:szCs w:val="22"/>
        </w:rPr>
      </w:pPr>
    </w:p>
    <w:p w14:paraId="7AFA641C" w14:textId="77777777" w:rsidR="00E7597F" w:rsidRDefault="0011497E">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72DF6E8B"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00A0CBC0"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33B544F7" w14:textId="77777777" w:rsidR="00E7597F" w:rsidRDefault="00E7597F">
      <w:pPr>
        <w:spacing w:line="360" w:lineRule="auto"/>
        <w:jc w:val="both"/>
        <w:rPr>
          <w:rFonts w:ascii="Palatino Linotype" w:eastAsia="Palatino Linotype" w:hAnsi="Palatino Linotype" w:cs="Palatino Linotype"/>
          <w:sz w:val="22"/>
          <w:szCs w:val="22"/>
        </w:rPr>
      </w:pPr>
    </w:p>
    <w:p w14:paraId="4C2384C2" w14:textId="77777777" w:rsidR="00E7597F" w:rsidRDefault="0011497E">
      <w:pPr>
        <w:pStyle w:val="Ttulo1"/>
      </w:pPr>
      <w:bookmarkStart w:id="30" w:name="_heading=h.xh4d56bdkfnb" w:colFirst="0" w:colLast="0"/>
      <w:bookmarkStart w:id="31" w:name="_Toc213944010"/>
      <w:bookmarkEnd w:id="30"/>
      <w:r>
        <w:t>R E S U E L V E</w:t>
      </w:r>
      <w:bookmarkEnd w:id="31"/>
    </w:p>
    <w:p w14:paraId="09A8E155" w14:textId="77777777" w:rsidR="00E7597F" w:rsidRDefault="00E7597F">
      <w:pPr>
        <w:spacing w:line="360" w:lineRule="auto"/>
        <w:jc w:val="both"/>
        <w:rPr>
          <w:rFonts w:ascii="Palatino Linotype" w:eastAsia="Palatino Linotype" w:hAnsi="Palatino Linotype" w:cs="Palatino Linotype"/>
          <w:b/>
          <w:bCs/>
          <w:sz w:val="22"/>
          <w:szCs w:val="22"/>
        </w:rPr>
      </w:pPr>
    </w:p>
    <w:p w14:paraId="2ED92364"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11286/INFOEM/IP/RR/2025,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5B2F7EEE" w14:textId="77777777" w:rsidR="00E7597F" w:rsidRDefault="00E7597F">
      <w:pPr>
        <w:spacing w:line="360" w:lineRule="auto"/>
        <w:jc w:val="both"/>
        <w:rPr>
          <w:rFonts w:ascii="Palatino Linotype" w:eastAsia="Palatino Linotype" w:hAnsi="Palatino Linotype" w:cs="Palatino Linotype"/>
          <w:sz w:val="22"/>
          <w:szCs w:val="22"/>
        </w:rPr>
      </w:pPr>
    </w:p>
    <w:p w14:paraId="482554DD" w14:textId="77777777" w:rsidR="00E7597F" w:rsidRDefault="0011497E">
      <w:pPr>
        <w:spacing w:line="360" w:lineRule="auto"/>
        <w:jc w:val="both"/>
        <w:rPr>
          <w:b/>
          <w:bCs/>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00143/DIFIXTAPAL/IP/2025, </w:t>
      </w:r>
      <w:r>
        <w:rPr>
          <w:rFonts w:ascii="Palatino Linotype" w:eastAsia="Palatino Linotype" w:hAnsi="Palatino Linotype" w:cs="Palatino Linotype"/>
          <w:sz w:val="22"/>
          <w:szCs w:val="22"/>
        </w:rPr>
        <w:t>y a través del SAIMEX, dé la respuesta que conforme a derecho corresponda</w:t>
      </w:r>
      <w:r>
        <w:rPr>
          <w:b/>
          <w:bCs/>
        </w:rPr>
        <w:t>.</w:t>
      </w:r>
    </w:p>
    <w:p w14:paraId="5B358B69" w14:textId="77777777" w:rsidR="00E7597F" w:rsidRDefault="00E7597F">
      <w:pPr>
        <w:spacing w:line="360" w:lineRule="auto"/>
        <w:jc w:val="both"/>
        <w:rPr>
          <w:rFonts w:ascii="Palatino Linotype" w:eastAsia="Palatino Linotype" w:hAnsi="Palatino Linotype" w:cs="Palatino Linotype"/>
          <w:sz w:val="22"/>
          <w:szCs w:val="22"/>
        </w:rPr>
      </w:pPr>
    </w:p>
    <w:p w14:paraId="30320EEA"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0B7303B3" w14:textId="77777777" w:rsidR="00E7597F" w:rsidRDefault="00E7597F">
      <w:pPr>
        <w:spacing w:line="360" w:lineRule="auto"/>
        <w:jc w:val="both"/>
        <w:rPr>
          <w:rFonts w:ascii="Palatino Linotype" w:eastAsia="Palatino Linotype" w:hAnsi="Palatino Linotype" w:cs="Palatino Linotype"/>
          <w:sz w:val="22"/>
          <w:szCs w:val="22"/>
        </w:rPr>
      </w:pPr>
    </w:p>
    <w:p w14:paraId="56619197"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81B2418" w14:textId="77777777" w:rsidR="00E7597F" w:rsidRDefault="00E7597F">
      <w:pPr>
        <w:spacing w:line="360" w:lineRule="auto"/>
        <w:jc w:val="both"/>
        <w:rPr>
          <w:rFonts w:ascii="Palatino Linotype" w:eastAsia="Palatino Linotype" w:hAnsi="Palatino Linotype" w:cs="Palatino Linotype"/>
          <w:sz w:val="22"/>
          <w:szCs w:val="22"/>
        </w:rPr>
      </w:pPr>
    </w:p>
    <w:p w14:paraId="4444AF8B"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A0F4708" w14:textId="77777777" w:rsidR="00E7597F" w:rsidRDefault="00E7597F">
      <w:pPr>
        <w:spacing w:line="360" w:lineRule="auto"/>
        <w:jc w:val="both"/>
        <w:rPr>
          <w:rFonts w:ascii="Palatino Linotype" w:eastAsia="Palatino Linotype" w:hAnsi="Palatino Linotype" w:cs="Palatino Linotype"/>
          <w:sz w:val="22"/>
          <w:szCs w:val="22"/>
        </w:rPr>
      </w:pPr>
    </w:p>
    <w:p w14:paraId="5724C816"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391CC717" w14:textId="77777777" w:rsidR="00E7597F" w:rsidRDefault="00E7597F">
      <w:pPr>
        <w:spacing w:line="360" w:lineRule="auto"/>
        <w:jc w:val="both"/>
        <w:rPr>
          <w:rFonts w:ascii="Palatino Linotype" w:eastAsia="Palatino Linotype" w:hAnsi="Palatino Linotype" w:cs="Palatino Linotype"/>
          <w:b/>
          <w:bCs/>
          <w:sz w:val="22"/>
          <w:szCs w:val="22"/>
        </w:rPr>
      </w:pPr>
    </w:p>
    <w:p w14:paraId="200E81B1" w14:textId="77777777" w:rsidR="00E7597F" w:rsidRDefault="0011497E">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w:t>
      </w:r>
      <w:r>
        <w:rPr>
          <w:rFonts w:ascii="Palatino Linotype" w:eastAsia="Palatino Linotype" w:hAnsi="Palatino Linotype" w:cs="Palatino Linotype"/>
          <w:sz w:val="22"/>
          <w:szCs w:val="22"/>
        </w:rPr>
        <w:lastRenderedPageBreak/>
        <w:t>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67922FF3" w14:textId="77777777" w:rsidR="00E7597F" w:rsidRDefault="00E7597F">
      <w:pPr>
        <w:spacing w:line="360" w:lineRule="auto"/>
      </w:pPr>
    </w:p>
    <w:p w14:paraId="6E467682" w14:textId="77777777" w:rsidR="00E7597F" w:rsidRDefault="00E7597F">
      <w:pPr>
        <w:spacing w:line="360" w:lineRule="auto"/>
      </w:pPr>
    </w:p>
    <w:p w14:paraId="203D5563"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6C0169B0"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0D408405"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F1569B0"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38475C7"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BA7426A" w14:textId="77777777" w:rsidR="00E7597F" w:rsidRDefault="00E7597F">
      <w:pPr>
        <w:spacing w:line="360" w:lineRule="auto"/>
        <w:jc w:val="both"/>
        <w:rPr>
          <w:rFonts w:ascii="Palatino Linotype" w:eastAsia="Palatino Linotype" w:hAnsi="Palatino Linotype" w:cs="Palatino Linotype"/>
          <w:color w:val="000000"/>
          <w:sz w:val="22"/>
          <w:szCs w:val="22"/>
        </w:rPr>
      </w:pPr>
      <w:bookmarkStart w:id="32" w:name="_heading=h.yh8jtbkzjsiz" w:colFirst="0" w:colLast="0"/>
      <w:bookmarkEnd w:id="32"/>
    </w:p>
    <w:p w14:paraId="1AAB9E5F"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44E76F63"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DA910BD"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59F41274"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0374C649"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1E77F57"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190CF583"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21337251"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4DB54B17"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F0E9E00"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2ED04E60"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085B93B1"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C3DA679"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24283A23"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64B23D0"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7BA9A6E5" w14:textId="77777777" w:rsidR="00E7597F" w:rsidRDefault="00E7597F">
      <w:pPr>
        <w:spacing w:line="360" w:lineRule="auto"/>
        <w:jc w:val="both"/>
        <w:rPr>
          <w:rFonts w:ascii="Palatino Linotype" w:eastAsia="Palatino Linotype" w:hAnsi="Palatino Linotype" w:cs="Palatino Linotype"/>
          <w:color w:val="000000"/>
          <w:sz w:val="22"/>
          <w:szCs w:val="22"/>
        </w:rPr>
      </w:pPr>
    </w:p>
    <w:p w14:paraId="36749235" w14:textId="77777777" w:rsidR="00E7597F" w:rsidRDefault="00E7597F">
      <w:pPr>
        <w:spacing w:line="360" w:lineRule="auto"/>
        <w:jc w:val="both"/>
        <w:rPr>
          <w:rFonts w:ascii="Palatino Linotype" w:eastAsia="Palatino Linotype" w:hAnsi="Palatino Linotype" w:cs="Palatino Linotype"/>
          <w:color w:val="000000"/>
          <w:sz w:val="22"/>
          <w:szCs w:val="22"/>
        </w:rPr>
      </w:pPr>
    </w:p>
    <w:sectPr w:rsidR="00E7597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466AB" w14:textId="77777777" w:rsidR="00FF18C5" w:rsidRDefault="00FF18C5">
      <w:r>
        <w:separator/>
      </w:r>
    </w:p>
  </w:endnote>
  <w:endnote w:type="continuationSeparator" w:id="0">
    <w:p w14:paraId="4F3A1B84" w14:textId="77777777" w:rsidR="00FF18C5" w:rsidRDefault="00FF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B33D48F-A8A8-4404-A372-67CA4B08A5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82E3051-AFA1-40E4-9E86-2AA418A45389}"/>
    <w:embedBold r:id="rId3" w:fontKey="{78CA0084-D3D9-41C8-87D4-F8B860F38528}"/>
    <w:embedItalic r:id="rId4" w:fontKey="{52DAEBC3-ABB3-4170-ABF2-E20865956AE1}"/>
    <w:embedBoldItalic r:id="rId5" w:fontKey="{1736AF1C-D124-4468-8115-6A486B418170}"/>
  </w:font>
  <w:font w:name="Calibri">
    <w:panose1 w:val="020F0502020204030204"/>
    <w:charset w:val="00"/>
    <w:family w:val="swiss"/>
    <w:pitch w:val="variable"/>
    <w:sig w:usb0="E4002EFF" w:usb1="C200247B" w:usb2="00000009" w:usb3="00000000" w:csb0="000001FF" w:csb1="00000000"/>
    <w:embedRegular r:id="rId6" w:fontKey="{2992F105-C19F-4AE6-8D7E-7C1E95C9FB79}"/>
    <w:embedBold r:id="rId7" w:fontKey="{28B74531-77EB-4F16-B656-29583E1B270A}"/>
  </w:font>
  <w:font w:name="Century Gothic">
    <w:panose1 w:val="020B0502020202020204"/>
    <w:charset w:val="00"/>
    <w:family w:val="swiss"/>
    <w:pitch w:val="variable"/>
    <w:sig w:usb0="00000287" w:usb1="00000000" w:usb2="00000000" w:usb3="00000000" w:csb0="0000009F" w:csb1="00000000"/>
    <w:embedRegular r:id="rId8" w:fontKey="{05F6B8F6-C454-40E5-82E4-098742AC0EBF}"/>
  </w:font>
  <w:font w:name="Segoe UI">
    <w:panose1 w:val="020B0502040204020203"/>
    <w:charset w:val="00"/>
    <w:family w:val="swiss"/>
    <w:pitch w:val="variable"/>
    <w:sig w:usb0="E4002EFF" w:usb1="C000E47F" w:usb2="00000009" w:usb3="00000000" w:csb0="000001FF" w:csb1="00000000"/>
    <w:embedRegular r:id="rId9" w:fontKey="{DEF55153-5013-4D19-9642-65B821D7CC8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5DDB236E-C3E4-4C37-87A4-FB32F1BF351C}"/>
  </w:font>
  <w:font w:name="Tahoma">
    <w:panose1 w:val="020B0604030504040204"/>
    <w:charset w:val="00"/>
    <w:family w:val="swiss"/>
    <w:pitch w:val="variable"/>
    <w:sig w:usb0="E1002EFF" w:usb1="C000605B" w:usb2="00000029" w:usb3="00000000" w:csb0="000101FF" w:csb1="00000000"/>
    <w:embedBold r:id="rId11" w:fontKey="{00F12CBC-B2A5-4F10-A51F-F99A18DA5A1E}"/>
  </w:font>
  <w:font w:name="Garamond">
    <w:panose1 w:val="02020404030301010803"/>
    <w:charset w:val="00"/>
    <w:family w:val="roman"/>
    <w:pitch w:val="variable"/>
    <w:sig w:usb0="00000287" w:usb1="00000000" w:usb2="00000000" w:usb3="00000000" w:csb0="0000009F" w:csb1="00000000"/>
    <w:embedRegular r:id="rId12" w:fontKey="{19913B2F-8BDA-40D2-A046-F1F22BECA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531FF" w14:textId="77777777" w:rsidR="00E7597F" w:rsidRDefault="00E7597F">
    <w:pPr>
      <w:pBdr>
        <w:top w:val="nil"/>
        <w:left w:val="nil"/>
        <w:bottom w:val="nil"/>
        <w:right w:val="nil"/>
        <w:between w:val="nil"/>
      </w:pBdr>
      <w:tabs>
        <w:tab w:val="center" w:pos="4419"/>
        <w:tab w:val="right" w:pos="8838"/>
      </w:tabs>
      <w:jc w:val="right"/>
      <w:rPr>
        <w:color w:val="000000"/>
        <w:sz w:val="26"/>
        <w:szCs w:val="26"/>
      </w:rPr>
    </w:pPr>
  </w:p>
  <w:p w14:paraId="315BB863" w14:textId="77777777" w:rsidR="00E7597F" w:rsidRDefault="0011497E">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47BB6">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47BB6">
      <w:rPr>
        <w:b/>
        <w:bCs/>
        <w:noProof/>
        <w:color w:val="000000"/>
        <w:sz w:val="24"/>
        <w:szCs w:val="24"/>
      </w:rPr>
      <w:t>24</w:t>
    </w:r>
    <w:r>
      <w:rPr>
        <w:b/>
        <w:bCs/>
        <w:color w:val="000000"/>
        <w:sz w:val="24"/>
        <w:szCs w:val="24"/>
      </w:rPr>
      <w:fldChar w:fldCharType="end"/>
    </w:r>
  </w:p>
  <w:p w14:paraId="26BD8303" w14:textId="77777777" w:rsidR="00E7597F" w:rsidRDefault="00E7597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1BA94" w14:textId="77777777" w:rsidR="00E7597F" w:rsidRDefault="00E7597F">
    <w:pPr>
      <w:pBdr>
        <w:top w:val="nil"/>
        <w:left w:val="nil"/>
        <w:bottom w:val="nil"/>
        <w:right w:val="nil"/>
        <w:between w:val="nil"/>
      </w:pBdr>
      <w:tabs>
        <w:tab w:val="center" w:pos="4419"/>
        <w:tab w:val="right" w:pos="8838"/>
      </w:tabs>
      <w:jc w:val="right"/>
      <w:rPr>
        <w:color w:val="000000"/>
      </w:rPr>
    </w:pPr>
  </w:p>
  <w:p w14:paraId="361F96AF" w14:textId="77777777" w:rsidR="00E7597F" w:rsidRDefault="0011497E">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47BB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47BB6">
      <w:rPr>
        <w:b/>
        <w:bCs/>
        <w:noProof/>
        <w:color w:val="000000"/>
        <w:sz w:val="24"/>
        <w:szCs w:val="24"/>
      </w:rPr>
      <w:t>24</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CD622" w14:textId="77777777" w:rsidR="00FF18C5" w:rsidRDefault="00FF18C5">
      <w:r>
        <w:separator/>
      </w:r>
    </w:p>
  </w:footnote>
  <w:footnote w:type="continuationSeparator" w:id="0">
    <w:p w14:paraId="635C9712" w14:textId="77777777" w:rsidR="00FF18C5" w:rsidRDefault="00FF1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8230B" w14:textId="77777777" w:rsidR="00E7597F" w:rsidRDefault="00E7597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E7597F" w14:paraId="50A93360" w14:textId="77777777">
      <w:trPr>
        <w:trHeight w:val="1412"/>
      </w:trPr>
      <w:tc>
        <w:tcPr>
          <w:tcW w:w="8222" w:type="dxa"/>
        </w:tcPr>
        <w:p w14:paraId="5E7518DD" w14:textId="77777777" w:rsidR="00E7597F" w:rsidRDefault="00E7597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E7597F" w14:paraId="54732CAC" w14:textId="77777777">
            <w:trPr>
              <w:trHeight w:val="144"/>
            </w:trPr>
            <w:tc>
              <w:tcPr>
                <w:tcW w:w="2552" w:type="dxa"/>
              </w:tcPr>
              <w:p w14:paraId="4D47B525"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2FD24A2"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11286/INFOEM/IP/RR/2025</w:t>
                </w:r>
              </w:p>
            </w:tc>
          </w:tr>
          <w:tr w:rsidR="00E7597F" w14:paraId="5695055C" w14:textId="77777777">
            <w:trPr>
              <w:trHeight w:val="144"/>
            </w:trPr>
            <w:tc>
              <w:tcPr>
                <w:tcW w:w="2552" w:type="dxa"/>
              </w:tcPr>
              <w:p w14:paraId="6185A9CF"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5FD0568B"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E7597F" w14:paraId="002BAD02" w14:textId="77777777">
            <w:trPr>
              <w:trHeight w:val="138"/>
            </w:trPr>
            <w:tc>
              <w:tcPr>
                <w:tcW w:w="2552" w:type="dxa"/>
              </w:tcPr>
              <w:p w14:paraId="2DFB85B8"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2545C1E1"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698D828" w14:textId="77777777" w:rsidR="00E7597F" w:rsidRDefault="00E7597F">
          <w:pPr>
            <w:tabs>
              <w:tab w:val="right" w:pos="8838"/>
            </w:tabs>
            <w:ind w:left="-28"/>
            <w:jc w:val="both"/>
            <w:rPr>
              <w:rFonts w:ascii="Arial" w:eastAsia="Arial" w:hAnsi="Arial" w:cs="Arial"/>
              <w:b/>
              <w:bCs/>
              <w:sz w:val="22"/>
              <w:szCs w:val="22"/>
            </w:rPr>
          </w:pPr>
        </w:p>
      </w:tc>
    </w:tr>
  </w:tbl>
  <w:p w14:paraId="0624BE9F" w14:textId="77777777" w:rsidR="00E7597F" w:rsidRDefault="00FF18C5">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72ED1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ECA9C" w14:textId="77777777" w:rsidR="00E7597F" w:rsidRDefault="00FF18C5">
    <w:r>
      <w:rPr>
        <w:rFonts w:ascii="Palatino Linotype" w:eastAsia="Palatino Linotype" w:hAnsi="Palatino Linotype" w:cs="Palatino Linotype"/>
        <w:b/>
        <w:bCs/>
        <w:sz w:val="22"/>
        <w:szCs w:val="22"/>
      </w:rPr>
      <w:pict w14:anchorId="0D530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107pt;margin-top:-148.1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103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02"/>
      <w:gridCol w:w="2405"/>
      <w:gridCol w:w="4541"/>
    </w:tblGrid>
    <w:tr w:rsidR="00E7597F" w14:paraId="63858159" w14:textId="77777777">
      <w:trPr>
        <w:trHeight w:val="466"/>
      </w:trPr>
      <w:tc>
        <w:tcPr>
          <w:tcW w:w="3402" w:type="dxa"/>
          <w:vAlign w:val="bottom"/>
        </w:tcPr>
        <w:p w14:paraId="6DAFC5A5" w14:textId="77777777" w:rsidR="00E7597F" w:rsidRDefault="00E7597F">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0B3E3844" w14:textId="77777777" w:rsidR="00E7597F" w:rsidRDefault="0011497E">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41" w:type="dxa"/>
          <w:vAlign w:val="bottom"/>
        </w:tcPr>
        <w:p w14:paraId="6D013CC7" w14:textId="77777777" w:rsidR="00E7597F" w:rsidRDefault="0011497E">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11286/INFOEM/IP/RR/2025</w:t>
          </w:r>
        </w:p>
      </w:tc>
    </w:tr>
    <w:tr w:rsidR="00E7597F" w14:paraId="23A4F8B7" w14:textId="77777777">
      <w:trPr>
        <w:trHeight w:val="119"/>
      </w:trPr>
      <w:tc>
        <w:tcPr>
          <w:tcW w:w="3402" w:type="dxa"/>
        </w:tcPr>
        <w:p w14:paraId="13C01245" w14:textId="77777777" w:rsidR="00E7597F" w:rsidRDefault="00E7597F">
          <w:pPr>
            <w:tabs>
              <w:tab w:val="right" w:pos="8838"/>
            </w:tabs>
            <w:ind w:right="-105"/>
            <w:rPr>
              <w:rFonts w:ascii="Palatino Linotype" w:eastAsia="Palatino Linotype" w:hAnsi="Palatino Linotype" w:cs="Palatino Linotype"/>
              <w:b/>
              <w:bCs/>
              <w:sz w:val="22"/>
              <w:szCs w:val="22"/>
            </w:rPr>
          </w:pPr>
        </w:p>
      </w:tc>
      <w:tc>
        <w:tcPr>
          <w:tcW w:w="2405" w:type="dxa"/>
        </w:tcPr>
        <w:p w14:paraId="4A8999DD" w14:textId="77777777" w:rsidR="00E7597F" w:rsidRDefault="0011497E">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541" w:type="dxa"/>
        </w:tcPr>
        <w:p w14:paraId="74A4546B" w14:textId="77777777" w:rsidR="00E7597F" w:rsidRPr="00D47BB6" w:rsidRDefault="00D47BB6">
          <w:pPr>
            <w:tabs>
              <w:tab w:val="right" w:pos="8838"/>
            </w:tabs>
            <w:spacing w:line="276" w:lineRule="auto"/>
            <w:ind w:right="-246"/>
            <w:jc w:val="both"/>
            <w:rPr>
              <w:rFonts w:ascii="Palatino Linotype" w:eastAsia="Palatino Linotype" w:hAnsi="Palatino Linotype" w:cs="Palatino Linotype"/>
              <w:sz w:val="22"/>
              <w:szCs w:val="22"/>
              <w:highlight w:val="black"/>
            </w:rPr>
          </w:pPr>
          <w:r w:rsidRPr="00D47BB6">
            <w:rPr>
              <w:rFonts w:ascii="Palatino Linotype" w:eastAsia="Palatino Linotype" w:hAnsi="Palatino Linotype" w:cs="Palatino Linotype"/>
              <w:sz w:val="22"/>
              <w:szCs w:val="22"/>
              <w:highlight w:val="black"/>
            </w:rPr>
            <w:t>XXXXXXXXXXXXXXXXXXXXXXXXXX</w:t>
          </w:r>
        </w:p>
        <w:p w14:paraId="0EC12B40" w14:textId="23A76E77" w:rsidR="00D47BB6" w:rsidRDefault="00D47BB6">
          <w:pPr>
            <w:tabs>
              <w:tab w:val="right" w:pos="8838"/>
            </w:tabs>
            <w:spacing w:line="276" w:lineRule="auto"/>
            <w:ind w:right="-246"/>
            <w:jc w:val="both"/>
            <w:rPr>
              <w:rFonts w:ascii="Palatino Linotype" w:eastAsia="Palatino Linotype" w:hAnsi="Palatino Linotype" w:cs="Palatino Linotype"/>
              <w:sz w:val="22"/>
              <w:szCs w:val="22"/>
            </w:rPr>
          </w:pPr>
          <w:r w:rsidRPr="00D47BB6">
            <w:rPr>
              <w:rFonts w:ascii="Palatino Linotype" w:eastAsia="Palatino Linotype" w:hAnsi="Palatino Linotype" w:cs="Palatino Linotype"/>
              <w:sz w:val="22"/>
              <w:szCs w:val="22"/>
              <w:highlight w:val="black"/>
            </w:rPr>
            <w:t>XXXXXXXXXXXXXXXXXX</w:t>
          </w:r>
        </w:p>
      </w:tc>
    </w:tr>
    <w:tr w:rsidR="00E7597F" w14:paraId="45E93759" w14:textId="77777777">
      <w:trPr>
        <w:trHeight w:val="234"/>
      </w:trPr>
      <w:tc>
        <w:tcPr>
          <w:tcW w:w="3402" w:type="dxa"/>
        </w:tcPr>
        <w:p w14:paraId="0AE63C61" w14:textId="77777777" w:rsidR="00E7597F" w:rsidRDefault="00E7597F">
          <w:pPr>
            <w:tabs>
              <w:tab w:val="right" w:pos="8838"/>
            </w:tabs>
            <w:ind w:right="-105"/>
            <w:rPr>
              <w:rFonts w:ascii="Palatino Linotype" w:eastAsia="Palatino Linotype" w:hAnsi="Palatino Linotype" w:cs="Palatino Linotype"/>
              <w:b/>
              <w:bCs/>
              <w:sz w:val="22"/>
              <w:szCs w:val="22"/>
            </w:rPr>
          </w:pPr>
        </w:p>
      </w:tc>
      <w:tc>
        <w:tcPr>
          <w:tcW w:w="2405" w:type="dxa"/>
        </w:tcPr>
        <w:p w14:paraId="3DA71C0C" w14:textId="77777777" w:rsidR="00E7597F" w:rsidRDefault="0011497E">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41" w:type="dxa"/>
        </w:tcPr>
        <w:p w14:paraId="4EEBC4C9" w14:textId="77777777" w:rsidR="00E7597F" w:rsidRDefault="0011497E">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E7597F" w14:paraId="4E3439F7" w14:textId="77777777">
      <w:trPr>
        <w:trHeight w:val="234"/>
      </w:trPr>
      <w:tc>
        <w:tcPr>
          <w:tcW w:w="3402" w:type="dxa"/>
        </w:tcPr>
        <w:p w14:paraId="1EFD337E" w14:textId="77777777" w:rsidR="00E7597F" w:rsidRDefault="00E7597F">
          <w:pPr>
            <w:tabs>
              <w:tab w:val="right" w:pos="8838"/>
            </w:tabs>
            <w:ind w:right="-105"/>
            <w:rPr>
              <w:rFonts w:ascii="Palatino Linotype" w:eastAsia="Palatino Linotype" w:hAnsi="Palatino Linotype" w:cs="Palatino Linotype"/>
              <w:b/>
              <w:bCs/>
              <w:sz w:val="22"/>
              <w:szCs w:val="22"/>
            </w:rPr>
          </w:pPr>
        </w:p>
      </w:tc>
      <w:tc>
        <w:tcPr>
          <w:tcW w:w="2405" w:type="dxa"/>
        </w:tcPr>
        <w:p w14:paraId="72AD1A4C" w14:textId="77777777" w:rsidR="00E7597F" w:rsidRDefault="0011497E">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541" w:type="dxa"/>
        </w:tcPr>
        <w:p w14:paraId="75D6D848" w14:textId="77777777" w:rsidR="00E7597F" w:rsidRDefault="0011497E">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44A0A3A7" w14:textId="77777777" w:rsidR="00E7597F" w:rsidRDefault="00E7597F">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50486"/>
    <w:multiLevelType w:val="multilevel"/>
    <w:tmpl w:val="4D38C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F76EB3"/>
    <w:multiLevelType w:val="multilevel"/>
    <w:tmpl w:val="2750AAF2"/>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A46FC3"/>
    <w:multiLevelType w:val="multilevel"/>
    <w:tmpl w:val="A7201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97F"/>
    <w:rsid w:val="0011497E"/>
    <w:rsid w:val="00197F57"/>
    <w:rsid w:val="00300A26"/>
    <w:rsid w:val="00500670"/>
    <w:rsid w:val="005933D4"/>
    <w:rsid w:val="00914BCB"/>
    <w:rsid w:val="00BF17B5"/>
    <w:rsid w:val="00CB57AF"/>
    <w:rsid w:val="00D47BB6"/>
    <w:rsid w:val="00E7597F"/>
    <w:rsid w:val="00FF18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7F69C87"/>
  <w15:docId w15:val="{F9EDC2B4-0898-4121-A784-F95EBF9D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CNKdYoCVjES37Mn9buu8pAHlwA==">CgMxLjAyDmgucmJ5cHNiNGV3ZWl6Mg5oLmd1cDQ1aHB5aWJ2aDIOaC4zMTdibjczeDhzMXgyDmguNjl3eGkwOHQ3ZmN3Mg5oLjZveGJqYjk0MXJ6ejIOaC5neHRuM2FncDU2Y3YyDmgucmUyaDIxdGc1MHVtMg5oLm5naThvdXltbHY3dzIOaC4yd2xnbmt5aDdndXAyDmguY2JjdjA4aHVoaWNkMg5oLnh3c21seXlma3AwOTIOaC5hY3cxbzZwOGs3ZHMyDmguYjBxM3FncDJmbHZ1Mg5oLmExd3k3NTZ5MXExZDIOaC4ydWxxa2sycTY2b2kyDmguNHNueGNzNHppamoyMg5oLnhoNGQ1NmJka2ZuYjIOaC55aDhqdGJrempzaXo4AHIhMXpTNmtGM0swR3ZEMUdrSW4yVE1zTDlRQjFndUhUb3B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F553B6-C521-4A98-94D2-CC7CE9DF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5382</Words>
  <Characters>29603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cp:lastModifiedBy>
  <cp:revision>4</cp:revision>
  <cp:lastPrinted>2025-11-14T06:44:00Z</cp:lastPrinted>
  <dcterms:created xsi:type="dcterms:W3CDTF">2025-11-14T06:44:00Z</dcterms:created>
  <dcterms:modified xsi:type="dcterms:W3CDTF">2025-12-15T16:36:00Z</dcterms:modified>
</cp:coreProperties>
</file>