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349" w:rsidRDefault="009E7349">
      <w:pPr>
        <w:widowControl w:val="0"/>
        <w:pBdr>
          <w:top w:val="nil"/>
          <w:left w:val="nil"/>
          <w:bottom w:val="nil"/>
          <w:right w:val="nil"/>
          <w:between w:val="nil"/>
        </w:pBdr>
        <w:spacing w:line="276" w:lineRule="auto"/>
      </w:pPr>
    </w:p>
    <w:p w:rsidR="009E7349" w:rsidRDefault="009E7349">
      <w:pPr>
        <w:widowControl w:val="0"/>
        <w:pBdr>
          <w:top w:val="nil"/>
          <w:left w:val="nil"/>
          <w:bottom w:val="nil"/>
          <w:right w:val="nil"/>
          <w:between w:val="nil"/>
        </w:pBdr>
        <w:spacing w:line="276" w:lineRule="auto"/>
        <w:rPr>
          <w:sz w:val="22"/>
          <w:szCs w:val="22"/>
        </w:rPr>
      </w:pPr>
    </w:p>
    <w:p w:rsidR="009E7349" w:rsidRPr="007867B6" w:rsidRDefault="003C34B0">
      <w:pPr>
        <w:spacing w:line="360" w:lineRule="auto"/>
        <w:jc w:val="both"/>
        <w:rPr>
          <w:rFonts w:ascii="Palatino Linotype" w:eastAsia="Palatino Linotype" w:hAnsi="Palatino Linotype" w:cs="Palatino Linotype"/>
          <w:sz w:val="22"/>
          <w:szCs w:val="22"/>
        </w:rPr>
      </w:pPr>
      <w:r w:rsidRPr="007867B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del </w:t>
      </w:r>
      <w:r w:rsidRPr="007867B6">
        <w:rPr>
          <w:rFonts w:ascii="Palatino Linotype" w:eastAsia="Palatino Linotype" w:hAnsi="Palatino Linotype" w:cs="Palatino Linotype"/>
          <w:b/>
          <w:sz w:val="22"/>
          <w:szCs w:val="22"/>
        </w:rPr>
        <w:t>dos de abril de dos</w:t>
      </w:r>
      <w:bookmarkStart w:id="0" w:name="_GoBack"/>
      <w:bookmarkEnd w:id="0"/>
      <w:r w:rsidRPr="007867B6">
        <w:rPr>
          <w:rFonts w:ascii="Palatino Linotype" w:eastAsia="Palatino Linotype" w:hAnsi="Palatino Linotype" w:cs="Palatino Linotype"/>
          <w:b/>
          <w:sz w:val="22"/>
          <w:szCs w:val="22"/>
        </w:rPr>
        <w:t xml:space="preserve"> mil veinticinco.</w:t>
      </w:r>
      <w:r w:rsidRPr="007867B6">
        <w:rPr>
          <w:rFonts w:ascii="Palatino Linotype" w:eastAsia="Palatino Linotype" w:hAnsi="Palatino Linotype" w:cs="Palatino Linotype"/>
          <w:sz w:val="22"/>
          <w:szCs w:val="22"/>
        </w:rPr>
        <w:t xml:space="preserve"> </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spacing w:line="360" w:lineRule="auto"/>
        <w:jc w:val="both"/>
        <w:rPr>
          <w:rFonts w:ascii="Palatino Linotype" w:eastAsia="Palatino Linotype" w:hAnsi="Palatino Linotype" w:cs="Palatino Linotype"/>
          <w:sz w:val="22"/>
          <w:szCs w:val="22"/>
        </w:rPr>
      </w:pPr>
      <w:r w:rsidRPr="007867B6">
        <w:rPr>
          <w:rFonts w:ascii="Palatino Linotype" w:eastAsia="Palatino Linotype" w:hAnsi="Palatino Linotype" w:cs="Palatino Linotype"/>
          <w:b/>
          <w:sz w:val="22"/>
          <w:szCs w:val="22"/>
        </w:rPr>
        <w:t>VISTO</w:t>
      </w:r>
      <w:r w:rsidRPr="007867B6">
        <w:rPr>
          <w:rFonts w:ascii="Palatino Linotype" w:eastAsia="Palatino Linotype" w:hAnsi="Palatino Linotype" w:cs="Palatino Linotype"/>
          <w:sz w:val="22"/>
          <w:szCs w:val="22"/>
        </w:rPr>
        <w:t xml:space="preserve"> el expediente electrónico formado con motivo del recurso de revisión </w:t>
      </w:r>
      <w:r w:rsidRPr="007867B6">
        <w:rPr>
          <w:rFonts w:ascii="Palatino Linotype" w:eastAsia="Palatino Linotype" w:hAnsi="Palatino Linotype" w:cs="Palatino Linotype"/>
          <w:b/>
          <w:sz w:val="22"/>
          <w:szCs w:val="22"/>
        </w:rPr>
        <w:t xml:space="preserve">01818/INFOEM/IP/RR/2025, </w:t>
      </w:r>
      <w:r w:rsidRPr="007867B6">
        <w:rPr>
          <w:rFonts w:ascii="Palatino Linotype" w:eastAsia="Palatino Linotype" w:hAnsi="Palatino Linotype" w:cs="Palatino Linotype"/>
          <w:sz w:val="22"/>
          <w:szCs w:val="22"/>
        </w:rPr>
        <w:t xml:space="preserve">promovido por </w:t>
      </w:r>
      <w:r w:rsidR="00F80FE3">
        <w:rPr>
          <w:rFonts w:ascii="Palatino Linotype" w:eastAsia="Palatino Linotype" w:hAnsi="Palatino Linotype" w:cs="Palatino Linotype"/>
          <w:b/>
          <w:sz w:val="22"/>
          <w:szCs w:val="22"/>
        </w:rPr>
        <w:t>XXXX</w:t>
      </w:r>
      <w:r w:rsidRPr="007867B6">
        <w:rPr>
          <w:rFonts w:ascii="Palatino Linotype" w:eastAsia="Palatino Linotype" w:hAnsi="Palatino Linotype" w:cs="Palatino Linotype"/>
          <w:b/>
          <w:sz w:val="22"/>
          <w:szCs w:val="22"/>
        </w:rPr>
        <w:t>,</w:t>
      </w:r>
      <w:r w:rsidRPr="007867B6">
        <w:rPr>
          <w:rFonts w:ascii="Palatino Linotype" w:eastAsia="Palatino Linotype" w:hAnsi="Palatino Linotype" w:cs="Palatino Linotype"/>
          <w:sz w:val="22"/>
          <w:szCs w:val="22"/>
        </w:rPr>
        <w:t xml:space="preserve"> a quien en lo sucesivo se identificará como </w:t>
      </w:r>
      <w:r w:rsidRPr="007867B6">
        <w:rPr>
          <w:rFonts w:ascii="Palatino Linotype" w:eastAsia="Palatino Linotype" w:hAnsi="Palatino Linotype" w:cs="Palatino Linotype"/>
          <w:b/>
          <w:sz w:val="22"/>
          <w:szCs w:val="22"/>
        </w:rPr>
        <w:t>EL RECURRENTE</w:t>
      </w:r>
      <w:r w:rsidR="0020622E" w:rsidRPr="007867B6">
        <w:rPr>
          <w:rFonts w:ascii="Palatino Linotype" w:eastAsia="Palatino Linotype" w:hAnsi="Palatino Linotype" w:cs="Palatino Linotype"/>
          <w:sz w:val="22"/>
          <w:szCs w:val="22"/>
        </w:rPr>
        <w:t>, en contra de la respuesta del</w:t>
      </w:r>
      <w:r w:rsidRPr="007867B6">
        <w:rPr>
          <w:rFonts w:ascii="Palatino Linotype" w:eastAsia="Palatino Linotype" w:hAnsi="Palatino Linotype" w:cs="Palatino Linotype"/>
          <w:sz w:val="22"/>
          <w:szCs w:val="22"/>
        </w:rPr>
        <w:t xml:space="preserve"> </w:t>
      </w:r>
      <w:r w:rsidRPr="007867B6">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del Municipio de Tlalnepantla de Baz, </w:t>
      </w:r>
      <w:r w:rsidRPr="007867B6">
        <w:rPr>
          <w:rFonts w:ascii="Palatino Linotype" w:eastAsia="Palatino Linotype" w:hAnsi="Palatino Linotype" w:cs="Palatino Linotype"/>
          <w:sz w:val="22"/>
          <w:szCs w:val="22"/>
        </w:rPr>
        <w:t>en adelante el</w:t>
      </w:r>
      <w:r w:rsidRPr="007867B6">
        <w:rPr>
          <w:rFonts w:ascii="Palatino Linotype" w:eastAsia="Palatino Linotype" w:hAnsi="Palatino Linotype" w:cs="Palatino Linotype"/>
          <w:b/>
          <w:sz w:val="22"/>
          <w:szCs w:val="22"/>
        </w:rPr>
        <w:t xml:space="preserve"> SUJETO OBLIGADO</w:t>
      </w:r>
      <w:r w:rsidRPr="007867B6">
        <w:rPr>
          <w:rFonts w:ascii="Palatino Linotype" w:eastAsia="Palatino Linotype" w:hAnsi="Palatino Linotype" w:cs="Palatino Linotype"/>
          <w:sz w:val="22"/>
          <w:szCs w:val="22"/>
        </w:rPr>
        <w:t>, por lo que se procede a dictar la presente resolución, con base en los siguientes:</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keepNext/>
        <w:keepLines/>
        <w:spacing w:line="360" w:lineRule="auto"/>
        <w:jc w:val="center"/>
        <w:rPr>
          <w:rFonts w:ascii="Palatino Linotype" w:eastAsia="Palatino Linotype" w:hAnsi="Palatino Linotype" w:cs="Palatino Linotype"/>
          <w:b/>
          <w:sz w:val="22"/>
          <w:szCs w:val="22"/>
        </w:rPr>
      </w:pPr>
      <w:bookmarkStart w:id="1" w:name="_heading=h.gjdgxs" w:colFirst="0" w:colLast="0"/>
      <w:bookmarkEnd w:id="1"/>
      <w:r w:rsidRPr="007867B6">
        <w:rPr>
          <w:rFonts w:ascii="Palatino Linotype" w:eastAsia="Palatino Linotype" w:hAnsi="Palatino Linotype" w:cs="Palatino Linotype"/>
          <w:b/>
          <w:sz w:val="22"/>
          <w:szCs w:val="22"/>
        </w:rPr>
        <w:t>A N T E C E D E N T E S</w:t>
      </w:r>
    </w:p>
    <w:p w:rsidR="009E7349" w:rsidRPr="007867B6" w:rsidRDefault="009E7349">
      <w:pPr>
        <w:spacing w:line="360" w:lineRule="auto"/>
        <w:rPr>
          <w:rFonts w:ascii="Palatino Linotype" w:eastAsia="Palatino Linotype" w:hAnsi="Palatino Linotype" w:cs="Palatino Linotype"/>
          <w:sz w:val="22"/>
          <w:szCs w:val="22"/>
        </w:rPr>
      </w:pP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 xml:space="preserve">El veintiuno de enero de dos mil veinticinco, </w:t>
      </w:r>
      <w:r w:rsidRPr="007867B6">
        <w:rPr>
          <w:rFonts w:ascii="Palatino Linotype" w:eastAsia="Palatino Linotype" w:hAnsi="Palatino Linotype" w:cs="Palatino Linotype"/>
          <w:b/>
          <w:sz w:val="22"/>
          <w:szCs w:val="22"/>
        </w:rPr>
        <w:t>EL RECURRENTE,</w:t>
      </w:r>
      <w:r w:rsidRPr="007867B6">
        <w:rPr>
          <w:rFonts w:ascii="Palatino Linotype" w:eastAsia="Palatino Linotype" w:hAnsi="Palatino Linotype" w:cs="Palatino Linotype"/>
          <w:sz w:val="22"/>
          <w:szCs w:val="22"/>
        </w:rPr>
        <w:t xml:space="preserve"> ante el </w:t>
      </w:r>
      <w:r w:rsidRPr="007867B6">
        <w:rPr>
          <w:rFonts w:ascii="Palatino Linotype" w:eastAsia="Palatino Linotype" w:hAnsi="Palatino Linotype" w:cs="Palatino Linotype"/>
          <w:b/>
          <w:sz w:val="22"/>
          <w:szCs w:val="22"/>
        </w:rPr>
        <w:t>SUJETO OBLIGADO</w:t>
      </w:r>
      <w:r w:rsidRPr="007867B6">
        <w:rPr>
          <w:rFonts w:ascii="Palatino Linotype" w:eastAsia="Palatino Linotype" w:hAnsi="Palatino Linotype" w:cs="Palatino Linotype"/>
          <w:sz w:val="22"/>
          <w:szCs w:val="22"/>
        </w:rPr>
        <w:t xml:space="preserve"> vía Sistema de Acceso a la Información Mexiquense (</w:t>
      </w:r>
      <w:r w:rsidRPr="007867B6">
        <w:rPr>
          <w:rFonts w:ascii="Palatino Linotype" w:eastAsia="Palatino Linotype" w:hAnsi="Palatino Linotype" w:cs="Palatino Linotype"/>
          <w:b/>
          <w:sz w:val="22"/>
          <w:szCs w:val="22"/>
        </w:rPr>
        <w:t>SAIMEX)</w:t>
      </w:r>
      <w:r w:rsidRPr="007867B6">
        <w:rPr>
          <w:rFonts w:ascii="Palatino Linotype" w:eastAsia="Palatino Linotype" w:hAnsi="Palatino Linotype" w:cs="Palatino Linotype"/>
          <w:sz w:val="22"/>
          <w:szCs w:val="22"/>
        </w:rPr>
        <w:t xml:space="preserve">, realizó la solicitud registrada con el número </w:t>
      </w:r>
      <w:r w:rsidRPr="007867B6">
        <w:rPr>
          <w:rFonts w:ascii="Palatino Linotype" w:eastAsia="Palatino Linotype" w:hAnsi="Palatino Linotype" w:cs="Palatino Linotype"/>
          <w:b/>
          <w:sz w:val="22"/>
          <w:szCs w:val="22"/>
        </w:rPr>
        <w:t xml:space="preserve">00034/OASTLALNE/IP/2025, </w:t>
      </w:r>
      <w:r w:rsidRPr="007867B6">
        <w:rPr>
          <w:rFonts w:ascii="Palatino Linotype" w:eastAsia="Palatino Linotype" w:hAnsi="Palatino Linotype" w:cs="Palatino Linotype"/>
          <w:sz w:val="22"/>
          <w:szCs w:val="22"/>
        </w:rPr>
        <w:t>en la que se solicitó lo siguiente:</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tabs>
          <w:tab w:val="left" w:pos="8222"/>
        </w:tabs>
        <w:spacing w:line="360" w:lineRule="auto"/>
        <w:ind w:left="851" w:right="822"/>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 xml:space="preserve">“solicito en versión publica, las currículos del director, secretario técnico, secretario particular, coordinadores directores, subdirectores y jefes departamento y todos los altos mandos que ingresaron al Organismo Público Descentralizado para la </w:t>
      </w:r>
      <w:r w:rsidRPr="007867B6">
        <w:rPr>
          <w:rFonts w:ascii="Palatino Linotype" w:eastAsia="Palatino Linotype" w:hAnsi="Palatino Linotype" w:cs="Palatino Linotype"/>
          <w:i/>
          <w:color w:val="000000"/>
          <w:sz w:val="22"/>
          <w:szCs w:val="22"/>
        </w:rPr>
        <w:lastRenderedPageBreak/>
        <w:t>Prestación de los Servicios de Agua Potable, Alcantarillado y Saneamiento del Municipio de Tlalnepantla enero de 2025.” (Sic)</w:t>
      </w:r>
    </w:p>
    <w:p w:rsidR="009E7349" w:rsidRPr="007867B6" w:rsidRDefault="009E7349">
      <w:pPr>
        <w:tabs>
          <w:tab w:val="left" w:pos="8222"/>
        </w:tabs>
        <w:spacing w:line="360" w:lineRule="auto"/>
        <w:ind w:left="851" w:right="822"/>
        <w:jc w:val="both"/>
        <w:rPr>
          <w:rFonts w:ascii="Palatino Linotype" w:eastAsia="Palatino Linotype" w:hAnsi="Palatino Linotype" w:cs="Palatino Linotype"/>
          <w:i/>
          <w:sz w:val="22"/>
          <w:szCs w:val="22"/>
        </w:rPr>
      </w:pP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Se eligió como modalidad de entrega a través de la plataforma digital Sistema de Acceso a la Información Mexiquense (SAIMEX).</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 xml:space="preserve">El seis de febrero de dos mil veinticinco, el Sujeto Obligado realizó un requerimiento de información al servidor público habilitado. </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 xml:space="preserve">El once de febrero de dos mil veinticinco, el </w:t>
      </w:r>
      <w:r w:rsidRPr="007867B6">
        <w:rPr>
          <w:rFonts w:ascii="Palatino Linotype" w:eastAsia="Palatino Linotype" w:hAnsi="Palatino Linotype" w:cs="Palatino Linotype"/>
          <w:b/>
          <w:sz w:val="22"/>
          <w:szCs w:val="22"/>
        </w:rPr>
        <w:t>SUJETO OBLIGADO</w:t>
      </w:r>
      <w:r w:rsidRPr="007867B6">
        <w:rPr>
          <w:rFonts w:ascii="Palatino Linotype" w:eastAsia="Palatino Linotype" w:hAnsi="Palatino Linotype" w:cs="Palatino Linotype"/>
          <w:b/>
          <w:i/>
          <w:sz w:val="22"/>
          <w:szCs w:val="22"/>
        </w:rPr>
        <w:t xml:space="preserve"> </w:t>
      </w:r>
      <w:r w:rsidRPr="007867B6">
        <w:rPr>
          <w:rFonts w:ascii="Palatino Linotype" w:eastAsia="Palatino Linotype" w:hAnsi="Palatino Linotype" w:cs="Palatino Linotype"/>
          <w:sz w:val="22"/>
          <w:szCs w:val="22"/>
        </w:rPr>
        <w:t>dio respuesta a la solicitud de información en los siguientes términos:</w:t>
      </w:r>
    </w:p>
    <w:p w:rsidR="009E7349" w:rsidRPr="007867B6" w:rsidRDefault="009E7349">
      <w:pPr>
        <w:spacing w:line="360" w:lineRule="auto"/>
        <w:jc w:val="both"/>
        <w:rPr>
          <w:rFonts w:ascii="Palatino Linotype" w:eastAsia="Palatino Linotype" w:hAnsi="Palatino Linotype" w:cs="Palatino Linotype"/>
          <w:sz w:val="22"/>
          <w:szCs w:val="22"/>
        </w:rPr>
      </w:pPr>
    </w:p>
    <w:tbl>
      <w:tblPr>
        <w:tblStyle w:val="a"/>
        <w:tblW w:w="7912" w:type="dxa"/>
        <w:jc w:val="center"/>
        <w:tblInd w:w="0" w:type="dxa"/>
        <w:tblLayout w:type="fixed"/>
        <w:tblLook w:val="0400" w:firstRow="0" w:lastRow="0" w:firstColumn="0" w:lastColumn="0" w:noHBand="0" w:noVBand="1"/>
      </w:tblPr>
      <w:tblGrid>
        <w:gridCol w:w="7912"/>
      </w:tblGrid>
      <w:tr w:rsidR="009E7349" w:rsidRPr="007867B6">
        <w:trPr>
          <w:trHeight w:val="327"/>
          <w:jc w:val="center"/>
        </w:trPr>
        <w:tc>
          <w:tcPr>
            <w:tcW w:w="7912" w:type="dxa"/>
            <w:vAlign w:val="center"/>
          </w:tcPr>
          <w:p w:rsidR="009E7349" w:rsidRPr="007867B6" w:rsidRDefault="003C34B0">
            <w:pPr>
              <w:jc w:val="right"/>
              <w:rPr>
                <w:rFonts w:ascii="Palatino Linotype" w:eastAsia="Palatino Linotype" w:hAnsi="Palatino Linotype" w:cs="Palatino Linotype"/>
                <w:i/>
                <w:sz w:val="22"/>
                <w:szCs w:val="22"/>
              </w:rPr>
            </w:pPr>
            <w:r w:rsidRPr="007867B6">
              <w:rPr>
                <w:rFonts w:ascii="Palatino Linotype" w:eastAsia="Palatino Linotype" w:hAnsi="Palatino Linotype" w:cs="Palatino Linotype"/>
                <w:i/>
                <w:sz w:val="22"/>
                <w:szCs w:val="22"/>
              </w:rPr>
              <w:t>“o Descentralizado para la Prestación de Los Servicios de Agua Potable Alcantarillado y Saneamiento del Municipio de Tlalnepantla de Baz, México a 11 de Febrero de 2025</w:t>
            </w:r>
          </w:p>
        </w:tc>
      </w:tr>
      <w:tr w:rsidR="009E7349" w:rsidRPr="007867B6">
        <w:trPr>
          <w:trHeight w:val="327"/>
          <w:jc w:val="center"/>
        </w:trPr>
        <w:tc>
          <w:tcPr>
            <w:tcW w:w="7912" w:type="dxa"/>
            <w:vAlign w:val="center"/>
          </w:tcPr>
          <w:p w:rsidR="009E7349" w:rsidRPr="007867B6" w:rsidRDefault="003C34B0">
            <w:pPr>
              <w:jc w:val="right"/>
              <w:rPr>
                <w:rFonts w:ascii="Palatino Linotype" w:eastAsia="Palatino Linotype" w:hAnsi="Palatino Linotype" w:cs="Palatino Linotype"/>
                <w:i/>
                <w:sz w:val="22"/>
                <w:szCs w:val="22"/>
              </w:rPr>
            </w:pPr>
            <w:r w:rsidRPr="007867B6">
              <w:rPr>
                <w:rFonts w:ascii="Palatino Linotype" w:eastAsia="Palatino Linotype" w:hAnsi="Palatino Linotype" w:cs="Palatino Linotype"/>
                <w:i/>
                <w:sz w:val="22"/>
                <w:szCs w:val="22"/>
              </w:rPr>
              <w:t>Nombre del solicitante: C. Solicitante</w:t>
            </w:r>
          </w:p>
        </w:tc>
      </w:tr>
      <w:tr w:rsidR="009E7349" w:rsidRPr="007867B6">
        <w:trPr>
          <w:trHeight w:val="327"/>
          <w:jc w:val="center"/>
        </w:trPr>
        <w:tc>
          <w:tcPr>
            <w:tcW w:w="7912" w:type="dxa"/>
            <w:vAlign w:val="center"/>
          </w:tcPr>
          <w:p w:rsidR="009E7349" w:rsidRPr="007867B6" w:rsidRDefault="003C34B0">
            <w:pPr>
              <w:jc w:val="right"/>
              <w:rPr>
                <w:rFonts w:ascii="Palatino Linotype" w:eastAsia="Palatino Linotype" w:hAnsi="Palatino Linotype" w:cs="Palatino Linotype"/>
                <w:i/>
                <w:sz w:val="22"/>
                <w:szCs w:val="22"/>
              </w:rPr>
            </w:pPr>
            <w:r w:rsidRPr="007867B6">
              <w:rPr>
                <w:rFonts w:ascii="Palatino Linotype" w:eastAsia="Palatino Linotype" w:hAnsi="Palatino Linotype" w:cs="Palatino Linotype"/>
                <w:i/>
                <w:sz w:val="22"/>
                <w:szCs w:val="22"/>
              </w:rPr>
              <w:t>Folio de la solicitud: 00034/OASTLALNE/IP/2025</w:t>
            </w:r>
          </w:p>
        </w:tc>
      </w:tr>
      <w:tr w:rsidR="009E7349" w:rsidRPr="007867B6">
        <w:trPr>
          <w:trHeight w:val="491"/>
          <w:jc w:val="center"/>
        </w:trPr>
        <w:tc>
          <w:tcPr>
            <w:tcW w:w="7912" w:type="dxa"/>
            <w:vAlign w:val="center"/>
          </w:tcPr>
          <w:p w:rsidR="009E7349" w:rsidRPr="007867B6" w:rsidRDefault="009E7349">
            <w:pPr>
              <w:jc w:val="right"/>
              <w:rPr>
                <w:rFonts w:ascii="Palatino Linotype" w:eastAsia="Palatino Linotype" w:hAnsi="Palatino Linotype" w:cs="Palatino Linotype"/>
                <w:i/>
                <w:sz w:val="22"/>
                <w:szCs w:val="22"/>
              </w:rPr>
            </w:pPr>
          </w:p>
        </w:tc>
      </w:tr>
      <w:tr w:rsidR="009E7349" w:rsidRPr="007867B6">
        <w:trPr>
          <w:trHeight w:val="163"/>
          <w:jc w:val="center"/>
        </w:trPr>
        <w:tc>
          <w:tcPr>
            <w:tcW w:w="7912" w:type="dxa"/>
            <w:vAlign w:val="center"/>
          </w:tcPr>
          <w:p w:rsidR="009E7349" w:rsidRPr="007867B6" w:rsidRDefault="003C34B0">
            <w:pPr>
              <w:rPr>
                <w:rFonts w:ascii="Palatino Linotype" w:eastAsia="Palatino Linotype" w:hAnsi="Palatino Linotype" w:cs="Palatino Linotype"/>
                <w:i/>
                <w:sz w:val="22"/>
                <w:szCs w:val="22"/>
              </w:rPr>
            </w:pPr>
            <w:r w:rsidRPr="007867B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E7349" w:rsidRPr="007867B6">
        <w:trPr>
          <w:trHeight w:val="409"/>
          <w:jc w:val="center"/>
        </w:trPr>
        <w:tc>
          <w:tcPr>
            <w:tcW w:w="7912" w:type="dxa"/>
            <w:vAlign w:val="center"/>
          </w:tcPr>
          <w:p w:rsidR="009E7349" w:rsidRPr="007867B6" w:rsidRDefault="009E7349">
            <w:pPr>
              <w:rPr>
                <w:rFonts w:ascii="Palatino Linotype" w:eastAsia="Palatino Linotype" w:hAnsi="Palatino Linotype" w:cs="Palatino Linotype"/>
                <w:i/>
                <w:sz w:val="22"/>
                <w:szCs w:val="22"/>
              </w:rPr>
            </w:pPr>
          </w:p>
        </w:tc>
      </w:tr>
      <w:tr w:rsidR="009E7349" w:rsidRPr="007867B6">
        <w:trPr>
          <w:trHeight w:val="163"/>
          <w:jc w:val="center"/>
        </w:trPr>
        <w:tc>
          <w:tcPr>
            <w:tcW w:w="7912" w:type="dxa"/>
            <w:vAlign w:val="center"/>
          </w:tcPr>
          <w:p w:rsidR="009E7349" w:rsidRPr="007867B6" w:rsidRDefault="003C34B0">
            <w:pPr>
              <w:rPr>
                <w:rFonts w:ascii="Palatino Linotype" w:eastAsia="Palatino Linotype" w:hAnsi="Palatino Linotype" w:cs="Palatino Linotype"/>
                <w:i/>
                <w:sz w:val="22"/>
                <w:szCs w:val="22"/>
              </w:rPr>
            </w:pPr>
            <w:r w:rsidRPr="007867B6">
              <w:rPr>
                <w:rFonts w:ascii="Palatino Linotype" w:eastAsia="Palatino Linotype" w:hAnsi="Palatino Linotype" w:cs="Palatino Linotype"/>
                <w:i/>
                <w:sz w:val="22"/>
                <w:szCs w:val="22"/>
              </w:rPr>
              <w:t>Le envío archivos electrónicos con respuesta a su solicitud de información con número de folio SAIMEX 00034/OASTLALNE/IP/2025.</w:t>
            </w:r>
          </w:p>
        </w:tc>
      </w:tr>
      <w:tr w:rsidR="009E7349" w:rsidRPr="007867B6">
        <w:trPr>
          <w:trHeight w:val="409"/>
          <w:jc w:val="center"/>
        </w:trPr>
        <w:tc>
          <w:tcPr>
            <w:tcW w:w="7912" w:type="dxa"/>
            <w:vAlign w:val="center"/>
          </w:tcPr>
          <w:p w:rsidR="009E7349" w:rsidRPr="007867B6" w:rsidRDefault="009E7349">
            <w:pPr>
              <w:rPr>
                <w:rFonts w:ascii="Palatino Linotype" w:eastAsia="Palatino Linotype" w:hAnsi="Palatino Linotype" w:cs="Palatino Linotype"/>
                <w:i/>
                <w:sz w:val="22"/>
                <w:szCs w:val="22"/>
              </w:rPr>
            </w:pPr>
          </w:p>
        </w:tc>
      </w:tr>
      <w:tr w:rsidR="009E7349" w:rsidRPr="007867B6">
        <w:trPr>
          <w:trHeight w:val="163"/>
          <w:jc w:val="center"/>
        </w:trPr>
        <w:tc>
          <w:tcPr>
            <w:tcW w:w="7912" w:type="dxa"/>
            <w:vAlign w:val="center"/>
          </w:tcPr>
          <w:p w:rsidR="009E7349" w:rsidRPr="007867B6" w:rsidRDefault="009E7349">
            <w:pPr>
              <w:jc w:val="center"/>
              <w:rPr>
                <w:rFonts w:ascii="Palatino Linotype" w:eastAsia="Palatino Linotype" w:hAnsi="Palatino Linotype" w:cs="Palatino Linotype"/>
                <w:i/>
                <w:sz w:val="22"/>
                <w:szCs w:val="22"/>
              </w:rPr>
            </w:pPr>
          </w:p>
        </w:tc>
      </w:tr>
      <w:tr w:rsidR="009E7349" w:rsidRPr="007867B6">
        <w:trPr>
          <w:trHeight w:val="163"/>
          <w:jc w:val="center"/>
        </w:trPr>
        <w:tc>
          <w:tcPr>
            <w:tcW w:w="7912" w:type="dxa"/>
            <w:vAlign w:val="center"/>
          </w:tcPr>
          <w:p w:rsidR="009E7349" w:rsidRPr="007867B6" w:rsidRDefault="009E7349">
            <w:pPr>
              <w:rPr>
                <w:rFonts w:ascii="Palatino Linotype" w:eastAsia="Palatino Linotype" w:hAnsi="Palatino Linotype" w:cs="Palatino Linotype"/>
                <w:i/>
                <w:sz w:val="22"/>
                <w:szCs w:val="22"/>
              </w:rPr>
            </w:pPr>
          </w:p>
        </w:tc>
      </w:tr>
      <w:tr w:rsidR="009E7349" w:rsidRPr="007867B6">
        <w:trPr>
          <w:trHeight w:val="163"/>
          <w:jc w:val="center"/>
        </w:trPr>
        <w:tc>
          <w:tcPr>
            <w:tcW w:w="7912" w:type="dxa"/>
            <w:vAlign w:val="center"/>
          </w:tcPr>
          <w:p w:rsidR="009E7349" w:rsidRPr="007867B6" w:rsidRDefault="003C34B0">
            <w:pPr>
              <w:rPr>
                <w:rFonts w:ascii="Palatino Linotype" w:eastAsia="Palatino Linotype" w:hAnsi="Palatino Linotype" w:cs="Palatino Linotype"/>
                <w:i/>
                <w:sz w:val="22"/>
                <w:szCs w:val="22"/>
              </w:rPr>
            </w:pPr>
            <w:r w:rsidRPr="007867B6">
              <w:rPr>
                <w:rFonts w:ascii="Palatino Linotype" w:eastAsia="Palatino Linotype" w:hAnsi="Palatino Linotype" w:cs="Palatino Linotype"/>
                <w:i/>
                <w:sz w:val="22"/>
                <w:szCs w:val="22"/>
              </w:rPr>
              <w:t>ATENTAMENTE</w:t>
            </w:r>
          </w:p>
        </w:tc>
      </w:tr>
      <w:tr w:rsidR="009E7349" w:rsidRPr="007867B6">
        <w:trPr>
          <w:trHeight w:val="245"/>
          <w:jc w:val="center"/>
        </w:trPr>
        <w:tc>
          <w:tcPr>
            <w:tcW w:w="7912" w:type="dxa"/>
            <w:vAlign w:val="center"/>
          </w:tcPr>
          <w:p w:rsidR="009E7349" w:rsidRPr="007867B6" w:rsidRDefault="009E7349">
            <w:pPr>
              <w:rPr>
                <w:rFonts w:ascii="Palatino Linotype" w:eastAsia="Palatino Linotype" w:hAnsi="Palatino Linotype" w:cs="Palatino Linotype"/>
                <w:i/>
                <w:sz w:val="22"/>
                <w:szCs w:val="22"/>
              </w:rPr>
            </w:pPr>
          </w:p>
        </w:tc>
      </w:tr>
      <w:tr w:rsidR="009E7349" w:rsidRPr="007867B6">
        <w:trPr>
          <w:trHeight w:val="163"/>
          <w:jc w:val="center"/>
        </w:trPr>
        <w:tc>
          <w:tcPr>
            <w:tcW w:w="7912" w:type="dxa"/>
            <w:vAlign w:val="center"/>
          </w:tcPr>
          <w:p w:rsidR="009E7349" w:rsidRPr="007867B6" w:rsidRDefault="003C34B0">
            <w:pPr>
              <w:rPr>
                <w:rFonts w:ascii="Palatino Linotype" w:eastAsia="Palatino Linotype" w:hAnsi="Palatino Linotype" w:cs="Palatino Linotype"/>
                <w:i/>
                <w:sz w:val="22"/>
                <w:szCs w:val="22"/>
              </w:rPr>
            </w:pPr>
            <w:r w:rsidRPr="007867B6">
              <w:rPr>
                <w:rFonts w:ascii="Palatino Linotype" w:eastAsia="Palatino Linotype" w:hAnsi="Palatino Linotype" w:cs="Palatino Linotype"/>
                <w:i/>
                <w:sz w:val="22"/>
                <w:szCs w:val="22"/>
              </w:rPr>
              <w:lastRenderedPageBreak/>
              <w:t>Mtra. Viridiana González Vigueras”</w:t>
            </w:r>
          </w:p>
        </w:tc>
      </w:tr>
    </w:tbl>
    <w:p w:rsidR="009E7349" w:rsidRPr="007867B6" w:rsidRDefault="009E7349">
      <w:pPr>
        <w:spacing w:line="360" w:lineRule="auto"/>
        <w:jc w:val="both"/>
        <w:rPr>
          <w:rFonts w:ascii="Palatino Linotype" w:eastAsia="Palatino Linotype" w:hAnsi="Palatino Linotype" w:cs="Palatino Linotype"/>
          <w:i/>
          <w:sz w:val="22"/>
          <w:szCs w:val="22"/>
        </w:rPr>
      </w:pPr>
    </w:p>
    <w:p w:rsidR="009E7349" w:rsidRPr="007867B6" w:rsidRDefault="003C34B0">
      <w:pPr>
        <w:spacing w:line="360" w:lineRule="auto"/>
        <w:jc w:val="both"/>
        <w:rPr>
          <w:rFonts w:ascii="Palatino Linotype" w:eastAsia="Palatino Linotype" w:hAnsi="Palatino Linotype" w:cs="Palatino Linotype"/>
          <w:sz w:val="22"/>
          <w:szCs w:val="22"/>
        </w:rPr>
      </w:pPr>
      <w:r w:rsidRPr="007867B6">
        <w:rPr>
          <w:rFonts w:ascii="Palatino Linotype" w:eastAsia="Palatino Linotype" w:hAnsi="Palatino Linotype" w:cs="Palatino Linotype"/>
          <w:sz w:val="22"/>
          <w:szCs w:val="22"/>
        </w:rPr>
        <w:t xml:space="preserve">A la respuesta se adjuntan los archivos que se describen enseguida: </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CE7602">
      <w:pPr>
        <w:numPr>
          <w:ilvl w:val="0"/>
          <w:numId w:val="2"/>
        </w:numPr>
        <w:pBdr>
          <w:top w:val="nil"/>
          <w:left w:val="nil"/>
          <w:bottom w:val="nil"/>
          <w:right w:val="nil"/>
          <w:between w:val="nil"/>
        </w:pBdr>
        <w:spacing w:line="360" w:lineRule="auto"/>
        <w:ind w:left="851" w:firstLine="0"/>
        <w:rPr>
          <w:rFonts w:ascii="Palatino Linotype" w:eastAsia="Palatino Linotype" w:hAnsi="Palatino Linotype" w:cs="Palatino Linotype"/>
          <w:b/>
          <w:color w:val="000000"/>
          <w:sz w:val="22"/>
          <w:szCs w:val="22"/>
          <w:u w:val="single"/>
        </w:rPr>
      </w:pPr>
      <w:hyperlink r:id="rId8">
        <w:r w:rsidR="003C34B0" w:rsidRPr="007867B6">
          <w:rPr>
            <w:rFonts w:ascii="Palatino Linotype" w:eastAsia="Palatino Linotype" w:hAnsi="Palatino Linotype" w:cs="Palatino Linotype"/>
            <w:b/>
            <w:color w:val="000000"/>
            <w:sz w:val="22"/>
            <w:szCs w:val="22"/>
            <w:u w:val="single"/>
          </w:rPr>
          <w:t>SAIMEX 00034 CURRICULAR.pdf</w:t>
        </w:r>
      </w:hyperlink>
      <w:r w:rsidR="003C34B0" w:rsidRPr="007867B6">
        <w:rPr>
          <w:rFonts w:ascii="Palatino Linotype" w:eastAsia="Palatino Linotype" w:hAnsi="Palatino Linotype" w:cs="Palatino Linotype"/>
          <w:color w:val="000000"/>
          <w:sz w:val="22"/>
          <w:szCs w:val="22"/>
        </w:rPr>
        <w:t xml:space="preserve">: documento que consta de 53 fojas con las fichas curriculares de diversos servidores públicos. </w:t>
      </w:r>
    </w:p>
    <w:p w:rsidR="009E7349" w:rsidRPr="007867B6" w:rsidRDefault="009E7349">
      <w:pPr>
        <w:pBdr>
          <w:top w:val="nil"/>
          <w:left w:val="nil"/>
          <w:bottom w:val="nil"/>
          <w:right w:val="nil"/>
          <w:between w:val="nil"/>
        </w:pBdr>
        <w:spacing w:line="360" w:lineRule="auto"/>
        <w:ind w:left="851"/>
        <w:rPr>
          <w:rFonts w:ascii="Palatino Linotype" w:eastAsia="Palatino Linotype" w:hAnsi="Palatino Linotype" w:cs="Palatino Linotype"/>
          <w:b/>
          <w:color w:val="000000"/>
          <w:sz w:val="22"/>
          <w:szCs w:val="22"/>
          <w:u w:val="single"/>
        </w:rPr>
      </w:pPr>
    </w:p>
    <w:p w:rsidR="009E7349" w:rsidRPr="007867B6" w:rsidRDefault="00CE7602">
      <w:pPr>
        <w:numPr>
          <w:ilvl w:val="0"/>
          <w:numId w:val="2"/>
        </w:numPr>
        <w:pBdr>
          <w:top w:val="nil"/>
          <w:left w:val="nil"/>
          <w:bottom w:val="nil"/>
          <w:right w:val="nil"/>
          <w:between w:val="nil"/>
        </w:pBdr>
        <w:spacing w:line="360" w:lineRule="auto"/>
        <w:ind w:left="851" w:firstLine="0"/>
        <w:rPr>
          <w:rFonts w:ascii="Palatino Linotype" w:eastAsia="Palatino Linotype" w:hAnsi="Palatino Linotype" w:cs="Palatino Linotype"/>
          <w:color w:val="000000"/>
          <w:sz w:val="22"/>
          <w:szCs w:val="22"/>
        </w:rPr>
      </w:pPr>
      <w:hyperlink r:id="rId9">
        <w:r w:rsidR="003C34B0" w:rsidRPr="007867B6">
          <w:rPr>
            <w:rFonts w:ascii="Palatino Linotype" w:eastAsia="Palatino Linotype" w:hAnsi="Palatino Linotype" w:cs="Palatino Linotype"/>
            <w:b/>
            <w:color w:val="000000"/>
            <w:sz w:val="22"/>
            <w:szCs w:val="22"/>
            <w:u w:val="single"/>
          </w:rPr>
          <w:t>CONTESTACION SAIMEX 34.pdf</w:t>
        </w:r>
      </w:hyperlink>
      <w:r w:rsidR="003C34B0" w:rsidRPr="007867B6">
        <w:rPr>
          <w:rFonts w:ascii="Palatino Linotype" w:eastAsia="Palatino Linotype" w:hAnsi="Palatino Linotype" w:cs="Palatino Linotype"/>
          <w:color w:val="000000"/>
          <w:sz w:val="22"/>
          <w:szCs w:val="22"/>
        </w:rPr>
        <w:t xml:space="preserve">: oficio número OPDM/OM-088/2025 de fecha seis de febrero de dos mil veinticinco, suscrito por el Titular de la Oficialía Mayor, en el que refirió que adjunta un archivos en PDF con los currículos de los servidores públicos que solicitó y que obran en sus archivos. </w:t>
      </w:r>
    </w:p>
    <w:p w:rsidR="009E7349" w:rsidRPr="007867B6" w:rsidRDefault="009E7349">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9E7349" w:rsidRPr="007867B6" w:rsidRDefault="003C34B0">
      <w:pPr>
        <w:numPr>
          <w:ilvl w:val="0"/>
          <w:numId w:val="5"/>
        </w:numPr>
        <w:spacing w:line="360" w:lineRule="auto"/>
        <w:ind w:left="0" w:firstLine="0"/>
        <w:jc w:val="both"/>
        <w:rPr>
          <w:sz w:val="22"/>
          <w:szCs w:val="22"/>
        </w:rPr>
      </w:pPr>
      <w:bookmarkStart w:id="2" w:name="_heading=h.30j0zll" w:colFirst="0" w:colLast="0"/>
      <w:bookmarkEnd w:id="2"/>
      <w:r w:rsidRPr="007867B6">
        <w:rPr>
          <w:rFonts w:ascii="Palatino Linotype" w:eastAsia="Palatino Linotype" w:hAnsi="Palatino Linotype" w:cs="Palatino Linotype"/>
          <w:sz w:val="22"/>
          <w:szCs w:val="22"/>
        </w:rPr>
        <w:t xml:space="preserve">El veintiuno de febrero de dos mil veinticinco, </w:t>
      </w:r>
      <w:r w:rsidRPr="007867B6">
        <w:rPr>
          <w:rFonts w:ascii="Palatino Linotype" w:eastAsia="Palatino Linotype" w:hAnsi="Palatino Linotype" w:cs="Palatino Linotype"/>
          <w:b/>
          <w:sz w:val="22"/>
          <w:szCs w:val="22"/>
        </w:rPr>
        <w:t>EL RECURRENTE</w:t>
      </w:r>
      <w:r w:rsidRPr="007867B6">
        <w:rPr>
          <w:rFonts w:ascii="Palatino Linotype" w:eastAsia="Palatino Linotype" w:hAnsi="Palatino Linotype" w:cs="Palatino Linotype"/>
          <w:sz w:val="22"/>
          <w:szCs w:val="22"/>
        </w:rPr>
        <w:t xml:space="preserve"> interpuso el recurso de revisión, en contra de la respuesta, señalando como:</w:t>
      </w:r>
    </w:p>
    <w:p w:rsidR="009E7349" w:rsidRPr="007867B6" w:rsidRDefault="009E7349">
      <w:pPr>
        <w:spacing w:line="360" w:lineRule="auto"/>
        <w:jc w:val="both"/>
        <w:rPr>
          <w:sz w:val="22"/>
          <w:szCs w:val="22"/>
        </w:rPr>
      </w:pPr>
    </w:p>
    <w:p w:rsidR="009E7349" w:rsidRPr="007867B6" w:rsidRDefault="003C34B0">
      <w:pPr>
        <w:numPr>
          <w:ilvl w:val="0"/>
          <w:numId w:val="1"/>
        </w:numPr>
        <w:spacing w:line="360" w:lineRule="auto"/>
        <w:ind w:right="822"/>
        <w:jc w:val="both"/>
        <w:rPr>
          <w:rFonts w:ascii="Palatino Linotype" w:eastAsia="Palatino Linotype" w:hAnsi="Palatino Linotype" w:cs="Palatino Linotype"/>
          <w:sz w:val="22"/>
          <w:szCs w:val="22"/>
        </w:rPr>
      </w:pPr>
      <w:r w:rsidRPr="007867B6">
        <w:rPr>
          <w:rFonts w:ascii="Palatino Linotype" w:eastAsia="Palatino Linotype" w:hAnsi="Palatino Linotype" w:cs="Palatino Linotype"/>
          <w:b/>
          <w:sz w:val="22"/>
          <w:szCs w:val="22"/>
        </w:rPr>
        <w:t>Acto impugnado</w:t>
      </w:r>
      <w:r w:rsidRPr="007867B6">
        <w:rPr>
          <w:rFonts w:ascii="Palatino Linotype" w:eastAsia="Palatino Linotype" w:hAnsi="Palatino Linotype" w:cs="Palatino Linotype"/>
          <w:b/>
          <w:i/>
          <w:sz w:val="22"/>
          <w:szCs w:val="22"/>
        </w:rPr>
        <w:t>:</w:t>
      </w:r>
      <w:r w:rsidRPr="007867B6">
        <w:rPr>
          <w:rFonts w:ascii="Palatino Linotype" w:eastAsia="Palatino Linotype" w:hAnsi="Palatino Linotype" w:cs="Palatino Linotype"/>
          <w:i/>
          <w:color w:val="000000"/>
          <w:sz w:val="22"/>
          <w:szCs w:val="22"/>
        </w:rPr>
        <w:t xml:space="preserve"> “niega la información completa” (Sic)</w:t>
      </w:r>
    </w:p>
    <w:p w:rsidR="009E7349" w:rsidRPr="007867B6" w:rsidRDefault="009E7349">
      <w:pPr>
        <w:spacing w:line="360" w:lineRule="auto"/>
        <w:ind w:left="567" w:right="822"/>
        <w:jc w:val="both"/>
        <w:rPr>
          <w:rFonts w:ascii="Palatino Linotype" w:eastAsia="Palatino Linotype" w:hAnsi="Palatino Linotype" w:cs="Palatino Linotype"/>
          <w:sz w:val="22"/>
          <w:szCs w:val="22"/>
        </w:rPr>
      </w:pPr>
    </w:p>
    <w:p w:rsidR="009E7349" w:rsidRPr="007867B6" w:rsidRDefault="003C34B0">
      <w:pPr>
        <w:numPr>
          <w:ilvl w:val="0"/>
          <w:numId w:val="4"/>
        </w:numPr>
        <w:spacing w:line="360" w:lineRule="auto"/>
        <w:ind w:right="822"/>
        <w:jc w:val="both"/>
        <w:rPr>
          <w:rFonts w:ascii="Palatino Linotype" w:eastAsia="Palatino Linotype" w:hAnsi="Palatino Linotype" w:cs="Palatino Linotype"/>
          <w:sz w:val="22"/>
          <w:szCs w:val="22"/>
        </w:rPr>
      </w:pPr>
      <w:r w:rsidRPr="007867B6">
        <w:rPr>
          <w:rFonts w:ascii="Palatino Linotype" w:eastAsia="Palatino Linotype" w:hAnsi="Palatino Linotype" w:cs="Palatino Linotype"/>
          <w:b/>
          <w:sz w:val="22"/>
          <w:szCs w:val="22"/>
        </w:rPr>
        <w:t>Razones o Motivos de inconformidad:</w:t>
      </w:r>
      <w:r w:rsidRPr="007867B6">
        <w:rPr>
          <w:rFonts w:ascii="Palatino Linotype" w:eastAsia="Palatino Linotype" w:hAnsi="Palatino Linotype" w:cs="Palatino Linotype"/>
          <w:b/>
          <w:color w:val="2E75B5"/>
          <w:sz w:val="22"/>
          <w:szCs w:val="22"/>
        </w:rPr>
        <w:t xml:space="preserve"> </w:t>
      </w:r>
      <w:r w:rsidRPr="007867B6">
        <w:rPr>
          <w:rFonts w:ascii="Palatino Linotype" w:eastAsia="Palatino Linotype" w:hAnsi="Palatino Linotype" w:cs="Palatino Linotype"/>
          <w:i/>
          <w:sz w:val="22"/>
          <w:szCs w:val="22"/>
        </w:rPr>
        <w:t>“</w:t>
      </w:r>
      <w:r w:rsidRPr="007867B6">
        <w:rPr>
          <w:rFonts w:ascii="Palatino Linotype" w:eastAsia="Palatino Linotype" w:hAnsi="Palatino Linotype" w:cs="Palatino Linotype"/>
          <w:i/>
          <w:color w:val="000000"/>
          <w:sz w:val="22"/>
          <w:szCs w:val="22"/>
        </w:rPr>
        <w:t>la información que presenta es realizada en formato de computadora sin que pueda tener ninguna certeza de sea la currículo que presentaron los servidores públicos que mencionan.” (Sic).</w:t>
      </w:r>
    </w:p>
    <w:p w:rsidR="009E7349" w:rsidRPr="007867B6" w:rsidRDefault="003C34B0">
      <w:pPr>
        <w:tabs>
          <w:tab w:val="left" w:pos="6197"/>
        </w:tabs>
        <w:spacing w:line="360" w:lineRule="auto"/>
        <w:jc w:val="both"/>
        <w:rPr>
          <w:rFonts w:ascii="Palatino Linotype" w:eastAsia="Palatino Linotype" w:hAnsi="Palatino Linotype" w:cs="Palatino Linotype"/>
          <w:sz w:val="22"/>
          <w:szCs w:val="22"/>
        </w:rPr>
      </w:pPr>
      <w:r w:rsidRPr="007867B6">
        <w:rPr>
          <w:rFonts w:ascii="Palatino Linotype" w:eastAsia="Palatino Linotype" w:hAnsi="Palatino Linotype" w:cs="Palatino Linotype"/>
          <w:sz w:val="22"/>
          <w:szCs w:val="22"/>
        </w:rPr>
        <w:tab/>
      </w: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 xml:space="preserve">Se registró el recurso de revisión bajo el número de expediente al rubro indicado, asimismo con fundamento en lo dispuesto por el artículo 185 fracción I de la </w:t>
      </w:r>
      <w:r w:rsidRPr="007867B6">
        <w:rPr>
          <w:rFonts w:ascii="Palatino Linotype" w:eastAsia="Palatino Linotype" w:hAnsi="Palatino Linotype" w:cs="Palatino Linotype"/>
          <w:b/>
          <w:sz w:val="22"/>
          <w:szCs w:val="22"/>
        </w:rPr>
        <w:t xml:space="preserve">Ley de Transparencia y Acceso a la Información Pública del Estado de México y Municipios </w:t>
      </w:r>
      <w:r w:rsidRPr="007867B6">
        <w:rPr>
          <w:rFonts w:ascii="Palatino Linotype" w:eastAsia="Palatino Linotype" w:hAnsi="Palatino Linotype" w:cs="Palatino Linotype"/>
          <w:sz w:val="22"/>
          <w:szCs w:val="22"/>
        </w:rPr>
        <w:t xml:space="preserve">se turna a la </w:t>
      </w:r>
      <w:r w:rsidRPr="007867B6">
        <w:rPr>
          <w:rFonts w:ascii="Palatino Linotype" w:eastAsia="Palatino Linotype" w:hAnsi="Palatino Linotype" w:cs="Palatino Linotype"/>
          <w:b/>
          <w:sz w:val="22"/>
          <w:szCs w:val="22"/>
        </w:rPr>
        <w:t xml:space="preserve">Comisionada María del Rosario Mejía Ayala, </w:t>
      </w:r>
      <w:r w:rsidRPr="007867B6">
        <w:rPr>
          <w:rFonts w:ascii="Palatino Linotype" w:eastAsia="Palatino Linotype" w:hAnsi="Palatino Linotype" w:cs="Palatino Linotype"/>
          <w:sz w:val="22"/>
          <w:szCs w:val="22"/>
        </w:rPr>
        <w:t xml:space="preserve">para su análisis. </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numPr>
          <w:ilvl w:val="0"/>
          <w:numId w:val="5"/>
        </w:numPr>
        <w:spacing w:line="360" w:lineRule="auto"/>
        <w:ind w:left="0" w:firstLine="0"/>
        <w:jc w:val="both"/>
        <w:rPr>
          <w:color w:val="000000"/>
          <w:sz w:val="22"/>
          <w:szCs w:val="22"/>
        </w:rPr>
      </w:pPr>
      <w:r w:rsidRPr="007867B6">
        <w:rPr>
          <w:rFonts w:ascii="Palatino Linotype" w:eastAsia="Palatino Linotype" w:hAnsi="Palatino Linotype" w:cs="Palatino Linotype"/>
          <w:sz w:val="22"/>
          <w:szCs w:val="22"/>
        </w:rPr>
        <w:t xml:space="preserve">El Comisionado Ponente con fundamento en lo dispuesto por el artículo 185 fracción II de la ley de la materia, a través del acuerdo de admisión del veinticuatro de febrero de dos mil veinticinco, puso a disposición de las partes el expediente electrónico vía </w:t>
      </w:r>
      <w:r w:rsidRPr="007867B6">
        <w:rPr>
          <w:rFonts w:ascii="Palatino Linotype" w:eastAsia="Palatino Linotype" w:hAnsi="Palatino Linotype" w:cs="Palatino Linotype"/>
          <w:b/>
          <w:sz w:val="22"/>
          <w:szCs w:val="22"/>
        </w:rPr>
        <w:t xml:space="preserve">SAIMEX </w:t>
      </w:r>
      <w:r w:rsidRPr="007867B6">
        <w:rPr>
          <w:rFonts w:ascii="Palatino Linotype" w:eastAsia="Palatino Linotype" w:hAnsi="Palatino Linotype" w:cs="Palatino Linotype"/>
          <w:sz w:val="22"/>
          <w:szCs w:val="22"/>
        </w:rPr>
        <w:t xml:space="preserve">a efecto de que en un plazo máximo de siete días manifestara lo que a derecho conviniera, ofreciera pruebas y alegatos según corresponda al caso concreto, de esta forma para que el </w:t>
      </w:r>
      <w:r w:rsidRPr="007867B6">
        <w:rPr>
          <w:rFonts w:ascii="Palatino Linotype" w:eastAsia="Palatino Linotype" w:hAnsi="Palatino Linotype" w:cs="Palatino Linotype"/>
          <w:b/>
          <w:sz w:val="22"/>
          <w:szCs w:val="22"/>
        </w:rPr>
        <w:t>SUJETO OBLIGADO</w:t>
      </w:r>
      <w:r w:rsidRPr="007867B6">
        <w:rPr>
          <w:rFonts w:ascii="Palatino Linotype" w:eastAsia="Palatino Linotype" w:hAnsi="Palatino Linotype" w:cs="Palatino Linotype"/>
          <w:sz w:val="22"/>
          <w:szCs w:val="22"/>
        </w:rPr>
        <w:t xml:space="preserve"> presentará el informe justificado procedente. </w:t>
      </w:r>
    </w:p>
    <w:p w:rsidR="009E7349" w:rsidRPr="007867B6" w:rsidRDefault="009E7349">
      <w:pPr>
        <w:spacing w:line="360" w:lineRule="auto"/>
        <w:jc w:val="both"/>
        <w:rPr>
          <w:rFonts w:ascii="Palatino Linotype" w:eastAsia="Palatino Linotype" w:hAnsi="Palatino Linotype" w:cs="Palatino Linotype"/>
          <w:i/>
          <w:color w:val="000000"/>
          <w:sz w:val="22"/>
          <w:szCs w:val="22"/>
        </w:rPr>
      </w:pPr>
    </w:p>
    <w:p w:rsidR="009E7349" w:rsidRPr="007867B6" w:rsidRDefault="003C34B0">
      <w:pPr>
        <w:numPr>
          <w:ilvl w:val="0"/>
          <w:numId w:val="5"/>
        </w:numPr>
        <w:spacing w:line="360" w:lineRule="auto"/>
        <w:ind w:left="0" w:firstLine="0"/>
        <w:jc w:val="both"/>
        <w:rPr>
          <w:rFonts w:ascii="Palatino Linotype" w:eastAsia="Palatino Linotype" w:hAnsi="Palatino Linotype" w:cs="Palatino Linotype"/>
          <w:b/>
          <w:sz w:val="22"/>
          <w:szCs w:val="22"/>
        </w:rPr>
      </w:pPr>
      <w:r w:rsidRPr="007867B6">
        <w:rPr>
          <w:rFonts w:ascii="Palatino Linotype" w:eastAsia="Palatino Linotype" w:hAnsi="Palatino Linotype" w:cs="Palatino Linotype"/>
          <w:sz w:val="22"/>
          <w:szCs w:val="22"/>
        </w:rPr>
        <w:t xml:space="preserve">De las constancias en el expediente electrónico SAIMEX, se advierte que el particular no realizó manifestaciones, no ofreció pruebas o alegatos que a su derecho conviniera; por su parte, el Sujeto Obligado entregó informe justificado en fecha veintisiete de febrero de dos mil veinticinco, a través del archivo que se describe enseguida, mismo que se puso a la vista del particular el veinticinco de marzo de dos mil veinticinco y que consta del archivo que se describe enseguida: </w:t>
      </w:r>
    </w:p>
    <w:p w:rsidR="009E7349" w:rsidRPr="007867B6" w:rsidRDefault="009E7349">
      <w:pPr>
        <w:spacing w:line="360" w:lineRule="auto"/>
        <w:jc w:val="both"/>
        <w:rPr>
          <w:rFonts w:ascii="Palatino Linotype" w:eastAsia="Palatino Linotype" w:hAnsi="Palatino Linotype" w:cs="Palatino Linotype"/>
          <w:b/>
          <w:sz w:val="22"/>
          <w:szCs w:val="22"/>
        </w:rPr>
      </w:pPr>
    </w:p>
    <w:p w:rsidR="009E7349" w:rsidRPr="007867B6" w:rsidRDefault="00CE7602">
      <w:pPr>
        <w:numPr>
          <w:ilvl w:val="0"/>
          <w:numId w:val="3"/>
        </w:num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sz w:val="22"/>
          <w:szCs w:val="22"/>
          <w:u w:val="single"/>
        </w:rPr>
      </w:pPr>
      <w:hyperlink r:id="rId10">
        <w:r w:rsidR="003C34B0" w:rsidRPr="007867B6">
          <w:rPr>
            <w:rFonts w:ascii="Palatino Linotype" w:eastAsia="Palatino Linotype" w:hAnsi="Palatino Linotype" w:cs="Palatino Linotype"/>
            <w:b/>
            <w:color w:val="000000"/>
            <w:sz w:val="22"/>
            <w:szCs w:val="22"/>
            <w:u w:val="single"/>
          </w:rPr>
          <w:t>CONTESTACION RR 1818 SAIMEX 34.pdf</w:t>
        </w:r>
      </w:hyperlink>
      <w:r w:rsidR="003C34B0" w:rsidRPr="007867B6">
        <w:rPr>
          <w:rFonts w:ascii="Palatino Linotype" w:eastAsia="Palatino Linotype" w:hAnsi="Palatino Linotype" w:cs="Palatino Linotype"/>
          <w:color w:val="000000"/>
          <w:sz w:val="22"/>
          <w:szCs w:val="22"/>
        </w:rPr>
        <w:t xml:space="preserve">: oficio número OPDM/OM-0174/2025 de fecha veintiséis de febrero de dos mil veinticinco, suscrito por el Titular de la Oficialía Mayor en el que ratificó su respuesta, aunado a que señaló que la respuesta fue entregada por el Área de Recursos humanos por lo que no se puede poner en tela de juicio ni dudar de la veracidad. </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El treinta y uno de marzo de dos mil veinticinco, se notificó el acuerdo a través </w:t>
      </w:r>
      <w:r w:rsidRPr="007867B6">
        <w:rPr>
          <w:rFonts w:ascii="Palatino Linotype" w:eastAsia="Palatino Linotype" w:hAnsi="Palatino Linotype" w:cs="Palatino Linotype"/>
          <w:sz w:val="22"/>
          <w:szCs w:val="22"/>
        </w:rPr>
        <w:t>del cual</w:t>
      </w:r>
      <w:r w:rsidRPr="007867B6">
        <w:rPr>
          <w:rFonts w:ascii="Palatino Linotype" w:eastAsia="Palatino Linotype" w:hAnsi="Palatino Linotype" w:cs="Palatino Linotype"/>
          <w:color w:val="000000"/>
          <w:sz w:val="22"/>
          <w:szCs w:val="22"/>
        </w:rPr>
        <w:t xml:space="preserve"> se decretó el cierre de instrucción. </w:t>
      </w:r>
    </w:p>
    <w:p w:rsidR="009E7349" w:rsidRPr="007867B6" w:rsidRDefault="009E7349">
      <w:pPr>
        <w:spacing w:line="360" w:lineRule="auto"/>
        <w:jc w:val="both"/>
        <w:rPr>
          <w:rFonts w:ascii="Palatino Linotype" w:eastAsia="Palatino Linotype" w:hAnsi="Palatino Linotype" w:cs="Palatino Linotype"/>
          <w:b/>
          <w:sz w:val="22"/>
          <w:szCs w:val="22"/>
          <w:u w:val="single"/>
        </w:rPr>
      </w:pPr>
    </w:p>
    <w:p w:rsidR="009E7349" w:rsidRPr="007867B6" w:rsidRDefault="003C34B0">
      <w:pPr>
        <w:keepNext/>
        <w:keepLines/>
        <w:spacing w:line="360" w:lineRule="auto"/>
        <w:jc w:val="center"/>
        <w:rPr>
          <w:rFonts w:ascii="Palatino Linotype" w:eastAsia="Palatino Linotype" w:hAnsi="Palatino Linotype" w:cs="Palatino Linotype"/>
          <w:sz w:val="22"/>
          <w:szCs w:val="22"/>
        </w:rPr>
      </w:pPr>
      <w:bookmarkStart w:id="3" w:name="_heading=h.1fob9te" w:colFirst="0" w:colLast="0"/>
      <w:bookmarkEnd w:id="3"/>
      <w:r w:rsidRPr="007867B6">
        <w:rPr>
          <w:rFonts w:ascii="Palatino Linotype" w:eastAsia="Palatino Linotype" w:hAnsi="Palatino Linotype" w:cs="Palatino Linotype"/>
          <w:b/>
          <w:sz w:val="22"/>
          <w:szCs w:val="22"/>
        </w:rPr>
        <w:lastRenderedPageBreak/>
        <w:t xml:space="preserve">C O N S I D E R A N D O </w:t>
      </w:r>
    </w:p>
    <w:p w:rsidR="009E7349" w:rsidRPr="007867B6" w:rsidRDefault="009E7349">
      <w:pPr>
        <w:spacing w:line="360" w:lineRule="auto"/>
        <w:rPr>
          <w:rFonts w:ascii="Palatino Linotype" w:eastAsia="Palatino Linotype" w:hAnsi="Palatino Linotype" w:cs="Palatino Linotype"/>
          <w:sz w:val="22"/>
          <w:szCs w:val="22"/>
        </w:rPr>
      </w:pPr>
    </w:p>
    <w:p w:rsidR="009E7349" w:rsidRPr="007867B6" w:rsidRDefault="003C34B0">
      <w:pPr>
        <w:keepNext/>
        <w:keepLines/>
        <w:spacing w:line="360" w:lineRule="auto"/>
        <w:rPr>
          <w:rFonts w:ascii="Palatino Linotype" w:eastAsia="Palatino Linotype" w:hAnsi="Palatino Linotype" w:cs="Palatino Linotype"/>
          <w:b/>
          <w:sz w:val="22"/>
          <w:szCs w:val="22"/>
        </w:rPr>
      </w:pPr>
      <w:bookmarkStart w:id="4" w:name="_heading=h.3znysh7" w:colFirst="0" w:colLast="0"/>
      <w:bookmarkEnd w:id="4"/>
      <w:r w:rsidRPr="007867B6">
        <w:rPr>
          <w:rFonts w:ascii="Palatino Linotype" w:eastAsia="Palatino Linotype" w:hAnsi="Palatino Linotype" w:cs="Palatino Linotype"/>
          <w:b/>
          <w:sz w:val="22"/>
          <w:szCs w:val="22"/>
        </w:rPr>
        <w:t>PRIMERO. De la competencia</w:t>
      </w: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keepNext/>
        <w:keepLines/>
        <w:spacing w:line="360" w:lineRule="auto"/>
        <w:rPr>
          <w:rFonts w:ascii="Palatino Linotype" w:eastAsia="Palatino Linotype" w:hAnsi="Palatino Linotype" w:cs="Palatino Linotype"/>
          <w:b/>
          <w:sz w:val="22"/>
          <w:szCs w:val="22"/>
        </w:rPr>
      </w:pPr>
      <w:bookmarkStart w:id="5" w:name="_heading=h.2et92p0" w:colFirst="0" w:colLast="0"/>
      <w:bookmarkEnd w:id="5"/>
      <w:r w:rsidRPr="007867B6">
        <w:rPr>
          <w:rFonts w:ascii="Palatino Linotype" w:eastAsia="Palatino Linotype" w:hAnsi="Palatino Linotype" w:cs="Palatino Linotype"/>
          <w:b/>
          <w:sz w:val="22"/>
          <w:szCs w:val="22"/>
        </w:rPr>
        <w:t>SEGUNDO. De la oportunidad y procedencia.</w:t>
      </w: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 xml:space="preserve">El medio de impugnación fue presentado a través del </w:t>
      </w:r>
      <w:r w:rsidRPr="007867B6">
        <w:rPr>
          <w:rFonts w:ascii="Palatino Linotype" w:eastAsia="Palatino Linotype" w:hAnsi="Palatino Linotype" w:cs="Palatino Linotype"/>
          <w:b/>
          <w:sz w:val="22"/>
          <w:szCs w:val="22"/>
        </w:rPr>
        <w:t>SAIMEX,</w:t>
      </w:r>
      <w:r w:rsidRPr="007867B6">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7867B6">
        <w:rPr>
          <w:rFonts w:ascii="Palatino Linotype" w:eastAsia="Palatino Linotype" w:hAnsi="Palatino Linotype" w:cs="Palatino Linotype"/>
          <w:b/>
          <w:sz w:val="22"/>
          <w:szCs w:val="22"/>
        </w:rPr>
        <w:t>SUJETO OBLIGADO</w:t>
      </w:r>
      <w:r w:rsidRPr="007867B6">
        <w:rPr>
          <w:rFonts w:ascii="Palatino Linotype" w:eastAsia="Palatino Linotype" w:hAnsi="Palatino Linotype" w:cs="Palatino Linotype"/>
          <w:sz w:val="22"/>
          <w:szCs w:val="22"/>
        </w:rPr>
        <w:t xml:space="preserve"> entregó respuesta a la solicitud el día </w:t>
      </w:r>
      <w:r w:rsidRPr="007867B6">
        <w:rPr>
          <w:rFonts w:ascii="Palatino Linotype" w:eastAsia="Palatino Linotype" w:hAnsi="Palatino Linotype" w:cs="Palatino Linotype"/>
          <w:b/>
          <w:sz w:val="22"/>
          <w:szCs w:val="22"/>
        </w:rPr>
        <w:t>once de febrero de dos mil veinticinco</w:t>
      </w:r>
      <w:r w:rsidRPr="007867B6">
        <w:rPr>
          <w:rFonts w:ascii="Palatino Linotype" w:eastAsia="Palatino Linotype" w:hAnsi="Palatino Linotype" w:cs="Palatino Linotype"/>
          <w:sz w:val="22"/>
          <w:szCs w:val="22"/>
        </w:rPr>
        <w:t xml:space="preserve">, de tal forma que el plazo para interponer el recurso de revisión transcurrió del </w:t>
      </w:r>
      <w:r w:rsidRPr="007867B6">
        <w:rPr>
          <w:rFonts w:ascii="Palatino Linotype" w:eastAsia="Palatino Linotype" w:hAnsi="Palatino Linotype" w:cs="Palatino Linotype"/>
          <w:b/>
          <w:sz w:val="22"/>
          <w:szCs w:val="22"/>
        </w:rPr>
        <w:t>doce de febrero al cinco de marzo de dos mil veinticinco</w:t>
      </w:r>
      <w:r w:rsidRPr="007867B6">
        <w:rPr>
          <w:rFonts w:ascii="Palatino Linotype" w:eastAsia="Palatino Linotype" w:hAnsi="Palatino Linotype" w:cs="Palatino Linotype"/>
          <w:sz w:val="22"/>
          <w:szCs w:val="22"/>
        </w:rPr>
        <w:t>; en consecuencia, presentó su inconformidad el día</w:t>
      </w:r>
      <w:r w:rsidRPr="007867B6">
        <w:rPr>
          <w:rFonts w:ascii="Palatino Linotype" w:eastAsia="Palatino Linotype" w:hAnsi="Palatino Linotype" w:cs="Palatino Linotype"/>
          <w:b/>
          <w:sz w:val="22"/>
          <w:szCs w:val="22"/>
        </w:rPr>
        <w:t xml:space="preserve"> veintiuno de febrero de dos mil veinticinco</w:t>
      </w:r>
      <w:r w:rsidRPr="007867B6">
        <w:rPr>
          <w:rFonts w:ascii="Palatino Linotype" w:eastAsia="Palatino Linotype" w:hAnsi="Palatino Linotype" w:cs="Palatino Linotype"/>
          <w:sz w:val="22"/>
          <w:szCs w:val="22"/>
        </w:rPr>
        <w:t xml:space="preserve">, por lo que se encuentra dentro de los márgenes temporales previstos en el artículo 178 de la </w:t>
      </w:r>
      <w:r w:rsidRPr="007867B6">
        <w:rPr>
          <w:rFonts w:ascii="Palatino Linotype" w:eastAsia="Palatino Linotype" w:hAnsi="Palatino Linotype" w:cs="Palatino Linotype"/>
          <w:b/>
          <w:sz w:val="22"/>
          <w:szCs w:val="22"/>
        </w:rPr>
        <w:t xml:space="preserve">Ley de Transparencia y Acceso a la Información Pública del Estado de México y Municipios </w:t>
      </w:r>
      <w:r w:rsidRPr="007867B6">
        <w:rPr>
          <w:rFonts w:ascii="Palatino Linotype" w:eastAsia="Palatino Linotype" w:hAnsi="Palatino Linotype" w:cs="Palatino Linotype"/>
          <w:sz w:val="22"/>
          <w:szCs w:val="22"/>
        </w:rPr>
        <w:t>vigente.</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numPr>
          <w:ilvl w:val="0"/>
          <w:numId w:val="5"/>
        </w:numPr>
        <w:spacing w:line="360" w:lineRule="auto"/>
        <w:ind w:left="0" w:firstLine="0"/>
        <w:jc w:val="both"/>
        <w:rPr>
          <w:sz w:val="22"/>
          <w:szCs w:val="22"/>
        </w:rPr>
      </w:pPr>
      <w:bookmarkStart w:id="6" w:name="_heading=h.tyjcwt" w:colFirst="0" w:colLast="0"/>
      <w:bookmarkEnd w:id="6"/>
      <w:r w:rsidRPr="007867B6">
        <w:rPr>
          <w:rFonts w:ascii="Palatino Linotype" w:eastAsia="Palatino Linotype" w:hAnsi="Palatino Linotype" w:cs="Palatino Linotype"/>
          <w:sz w:val="22"/>
          <w:szCs w:val="22"/>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E7349" w:rsidRPr="007867B6" w:rsidRDefault="009E7349">
      <w:pPr>
        <w:pBdr>
          <w:top w:val="nil"/>
          <w:left w:val="nil"/>
          <w:bottom w:val="nil"/>
          <w:right w:val="nil"/>
          <w:between w:val="nil"/>
        </w:pBdr>
        <w:ind w:left="720"/>
        <w:rPr>
          <w:rFonts w:ascii="Palatino Linotype" w:eastAsia="Palatino Linotype" w:hAnsi="Palatino Linotype" w:cs="Palatino Linotype"/>
          <w:color w:val="000000"/>
          <w:sz w:val="22"/>
          <w:szCs w:val="22"/>
        </w:rPr>
      </w:pPr>
    </w:p>
    <w:p w:rsidR="009E7349" w:rsidRPr="007867B6" w:rsidRDefault="003C34B0">
      <w:pPr>
        <w:keepNext/>
        <w:keepLines/>
        <w:spacing w:before="240" w:line="360" w:lineRule="auto"/>
        <w:rPr>
          <w:rFonts w:ascii="Palatino Linotype" w:eastAsia="Palatino Linotype" w:hAnsi="Palatino Linotype" w:cs="Palatino Linotype"/>
          <w:b/>
          <w:sz w:val="22"/>
          <w:szCs w:val="22"/>
        </w:rPr>
      </w:pPr>
      <w:bookmarkStart w:id="7" w:name="_heading=h.3dy6vkm" w:colFirst="0" w:colLast="0"/>
      <w:bookmarkEnd w:id="7"/>
      <w:r w:rsidRPr="007867B6">
        <w:rPr>
          <w:rFonts w:ascii="Palatino Linotype" w:eastAsia="Palatino Linotype" w:hAnsi="Palatino Linotype" w:cs="Palatino Linotype"/>
          <w:b/>
          <w:sz w:val="22"/>
          <w:szCs w:val="22"/>
        </w:rPr>
        <w:t>TERCERO. De las causales del sobreseimiento.</w:t>
      </w:r>
    </w:p>
    <w:p w:rsidR="009E7349" w:rsidRPr="007867B6" w:rsidRDefault="003C34B0">
      <w:pPr>
        <w:numPr>
          <w:ilvl w:val="0"/>
          <w:numId w:val="5"/>
        </w:numPr>
        <w:pBdr>
          <w:top w:val="nil"/>
          <w:left w:val="nil"/>
          <w:bottom w:val="nil"/>
          <w:right w:val="nil"/>
          <w:between w:val="nil"/>
        </w:pBdr>
        <w:tabs>
          <w:tab w:val="left" w:pos="284"/>
          <w:tab w:val="left" w:pos="426"/>
        </w:tabs>
        <w:spacing w:before="240"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7867B6">
        <w:rPr>
          <w:rFonts w:ascii="Palatino Linotype" w:eastAsia="Palatino Linotype" w:hAnsi="Palatino Linotype" w:cs="Palatino Linotype"/>
          <w:b/>
          <w:color w:val="000000"/>
          <w:sz w:val="22"/>
          <w:szCs w:val="22"/>
          <w:u w:val="single"/>
        </w:rPr>
        <w:t>sobreseimiento</w:t>
      </w:r>
      <w:r w:rsidRPr="007867B6">
        <w:rPr>
          <w:rFonts w:ascii="Palatino Linotype" w:eastAsia="Palatino Linotype" w:hAnsi="Palatino Linotype" w:cs="Palatino Linotype"/>
          <w:color w:val="000000"/>
          <w:sz w:val="22"/>
          <w:szCs w:val="22"/>
        </w:rPr>
        <w:t xml:space="preserve">; y, en su caso, ordenar la entrega de la información respecto a la falta de respuesta por parte del </w:t>
      </w:r>
      <w:r w:rsidRPr="007867B6">
        <w:rPr>
          <w:rFonts w:ascii="Palatino Linotype" w:eastAsia="Palatino Linotype" w:hAnsi="Palatino Linotype" w:cs="Palatino Linotype"/>
          <w:b/>
          <w:color w:val="000000"/>
          <w:sz w:val="22"/>
          <w:szCs w:val="22"/>
        </w:rPr>
        <w:t>SUJETO</w:t>
      </w:r>
      <w:r w:rsidRPr="007867B6">
        <w:rPr>
          <w:rFonts w:ascii="Palatino Linotype" w:eastAsia="Palatino Linotype" w:hAnsi="Palatino Linotype" w:cs="Palatino Linotype"/>
          <w:color w:val="000000"/>
          <w:sz w:val="22"/>
          <w:szCs w:val="22"/>
        </w:rPr>
        <w:t xml:space="preserve"> </w:t>
      </w:r>
      <w:r w:rsidRPr="007867B6">
        <w:rPr>
          <w:rFonts w:ascii="Palatino Linotype" w:eastAsia="Palatino Linotype" w:hAnsi="Palatino Linotype" w:cs="Palatino Linotype"/>
          <w:b/>
          <w:color w:val="000000"/>
          <w:sz w:val="22"/>
          <w:szCs w:val="22"/>
        </w:rPr>
        <w:t>OBLIGADO</w:t>
      </w:r>
      <w:r w:rsidRPr="007867B6">
        <w:rPr>
          <w:rFonts w:ascii="Palatino Linotype" w:eastAsia="Palatino Linotype" w:hAnsi="Palatino Linotype" w:cs="Palatino Linotype"/>
          <w:color w:val="000000"/>
          <w:sz w:val="22"/>
          <w:szCs w:val="22"/>
        </w:rPr>
        <w:t>.</w:t>
      </w:r>
    </w:p>
    <w:p w:rsidR="009E7349" w:rsidRPr="007867B6" w:rsidRDefault="009E7349">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sz w:val="22"/>
          <w:szCs w:val="22"/>
        </w:rPr>
      </w:pPr>
      <w:r w:rsidRPr="007867B6">
        <w:rPr>
          <w:rFonts w:ascii="Palatino Linotype" w:eastAsia="Palatino Linotype" w:hAnsi="Palatino Linotype" w:cs="Palatino Linotype"/>
          <w:color w:val="000000"/>
          <w:sz w:val="22"/>
          <w:szCs w:val="22"/>
        </w:rPr>
        <w:t xml:space="preserve">En primer término es necesario recordar que el particular solicitó los currículos del Directores, Secretario Técnico, Secretario Particular, Coordinadores, Subdirectores, Jefes de Departamento y altos mandos del Sujeto Obligado. </w:t>
      </w:r>
    </w:p>
    <w:p w:rsidR="009E7349" w:rsidRPr="007867B6" w:rsidRDefault="009E7349">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sz w:val="22"/>
          <w:szCs w:val="22"/>
        </w:rPr>
      </w:pPr>
      <w:r w:rsidRPr="007867B6">
        <w:rPr>
          <w:rFonts w:ascii="Palatino Linotype" w:eastAsia="Palatino Linotype" w:hAnsi="Palatino Linotype" w:cs="Palatino Linotype"/>
          <w:color w:val="000000"/>
          <w:sz w:val="22"/>
          <w:szCs w:val="22"/>
        </w:rPr>
        <w:t xml:space="preserve">En respuesta, el Sujeto Obligado adjuntó diversos currículos de los servidores públicos, ante tal respuesta, </w:t>
      </w:r>
      <w:r w:rsidRPr="007867B6">
        <w:rPr>
          <w:rFonts w:ascii="Palatino Linotype" w:eastAsia="Palatino Linotype" w:hAnsi="Palatino Linotype" w:cs="Palatino Linotype"/>
          <w:b/>
          <w:color w:val="000000"/>
          <w:sz w:val="22"/>
          <w:szCs w:val="22"/>
        </w:rPr>
        <w:t xml:space="preserve">el Recurrente </w:t>
      </w:r>
      <w:r w:rsidRPr="007867B6">
        <w:rPr>
          <w:rFonts w:ascii="Palatino Linotype" w:eastAsia="Palatino Linotype" w:hAnsi="Palatino Linotype" w:cs="Palatino Linotype"/>
          <w:color w:val="000000"/>
          <w:sz w:val="22"/>
          <w:szCs w:val="22"/>
        </w:rPr>
        <w:t xml:space="preserve">interpuso el presente Recurso de Revisión materia del presente estudio, el en que manifestó como razones y motivos de inconformidad: </w:t>
      </w:r>
    </w:p>
    <w:p w:rsidR="009E7349" w:rsidRPr="007867B6" w:rsidRDefault="009E7349">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9E7349" w:rsidRPr="007867B6" w:rsidRDefault="003C34B0">
      <w:pPr>
        <w:pBdr>
          <w:top w:val="nil"/>
          <w:left w:val="nil"/>
          <w:bottom w:val="nil"/>
          <w:right w:val="nil"/>
          <w:between w:val="nil"/>
        </w:pBdr>
        <w:spacing w:line="360" w:lineRule="auto"/>
        <w:ind w:left="644" w:right="822"/>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“la información que presenta es realizada en formato de computadora sin que pueda tener ninguna certeza de sea la currículo que presentaron los servidores públicos que mencionan.” (</w:t>
      </w:r>
      <w:proofErr w:type="gramStart"/>
      <w:r w:rsidRPr="007867B6">
        <w:rPr>
          <w:rFonts w:ascii="Palatino Linotype" w:eastAsia="Palatino Linotype" w:hAnsi="Palatino Linotype" w:cs="Palatino Linotype"/>
          <w:i/>
          <w:color w:val="000000"/>
          <w:sz w:val="22"/>
          <w:szCs w:val="22"/>
        </w:rPr>
        <w:t>sic</w:t>
      </w:r>
      <w:proofErr w:type="gramEnd"/>
      <w:r w:rsidRPr="007867B6">
        <w:rPr>
          <w:rFonts w:ascii="Palatino Linotype" w:eastAsia="Palatino Linotype" w:hAnsi="Palatino Linotype" w:cs="Palatino Linotype"/>
          <w:i/>
          <w:color w:val="000000"/>
          <w:sz w:val="22"/>
          <w:szCs w:val="22"/>
        </w:rPr>
        <w:t xml:space="preserve">) </w:t>
      </w:r>
    </w:p>
    <w:p w:rsidR="009E7349" w:rsidRPr="007867B6" w:rsidRDefault="009E7349">
      <w:pPr>
        <w:pBdr>
          <w:top w:val="nil"/>
          <w:left w:val="nil"/>
          <w:bottom w:val="nil"/>
          <w:right w:val="nil"/>
          <w:between w:val="nil"/>
        </w:pBdr>
        <w:ind w:left="644"/>
        <w:jc w:val="both"/>
        <w:rPr>
          <w:rFonts w:ascii="Palatino Linotype" w:eastAsia="Palatino Linotype" w:hAnsi="Palatino Linotype" w:cs="Palatino Linotype"/>
          <w:i/>
          <w:color w:val="000000"/>
          <w:sz w:val="22"/>
          <w:szCs w:val="22"/>
        </w:rPr>
      </w:pPr>
    </w:p>
    <w:p w:rsidR="009E7349" w:rsidRPr="007867B6" w:rsidRDefault="009E7349">
      <w:pPr>
        <w:pBdr>
          <w:top w:val="nil"/>
          <w:left w:val="nil"/>
          <w:bottom w:val="nil"/>
          <w:right w:val="nil"/>
          <w:between w:val="nil"/>
        </w:pBdr>
        <w:ind w:left="644"/>
        <w:jc w:val="both"/>
        <w:rPr>
          <w:rFonts w:ascii="Palatino Linotype" w:eastAsia="Palatino Linotype" w:hAnsi="Palatino Linotype" w:cs="Palatino Linotype"/>
          <w:i/>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Por otro lado,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Lo anterior es así, en atención a que como se ha expuesto, las manifestaciones de las que se duele el </w:t>
      </w:r>
      <w:r w:rsidRPr="007867B6">
        <w:rPr>
          <w:rFonts w:ascii="Palatino Linotype" w:eastAsia="Palatino Linotype" w:hAnsi="Palatino Linotype" w:cs="Palatino Linotype"/>
          <w:b/>
          <w:color w:val="000000"/>
          <w:sz w:val="22"/>
          <w:szCs w:val="22"/>
        </w:rPr>
        <w:t>RECURRENTE</w:t>
      </w:r>
      <w:r w:rsidRPr="007867B6">
        <w:rPr>
          <w:rFonts w:ascii="Palatino Linotype" w:eastAsia="Palatino Linotype" w:hAnsi="Palatino Linotype" w:cs="Palatino Linotype"/>
          <w:color w:val="000000"/>
          <w:sz w:val="22"/>
          <w:szCs w:val="22"/>
        </w:rPr>
        <w:t xml:space="preserve"> deben llevar un perjuicio o motivo de inconformidad, que es lo que constituye la lesión, menoscabo o afectación que una persona sufre en sus derechos en virtud de la emisión de un acto de autoridad. </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Por lo que, del análisis realizado a las manifestaciones vertidas por el particular como razones o motivos de inconformidad, este Órgano Garante advierte que impugna la veracidad de la información proporcionada; situación que actualiza la causal de improcedencia establecida en el artículo 191 fracción V, de la Ley de Transparencia y Acceso a la Información Pública del Estado de México y Municipios; que a la letra dice:</w:t>
      </w:r>
    </w:p>
    <w:p w:rsidR="009E7349" w:rsidRPr="007867B6" w:rsidRDefault="009E7349">
      <w:pPr>
        <w:pBdr>
          <w:top w:val="nil"/>
          <w:left w:val="nil"/>
          <w:bottom w:val="nil"/>
          <w:right w:val="nil"/>
          <w:between w:val="nil"/>
        </w:pBdr>
        <w:ind w:left="720"/>
        <w:rPr>
          <w:rFonts w:ascii="Century Gothic" w:eastAsia="Century Gothic" w:hAnsi="Century Gothic" w:cs="Century Gothic"/>
          <w:color w:val="000000"/>
          <w:sz w:val="22"/>
          <w:szCs w:val="22"/>
        </w:rPr>
      </w:pPr>
    </w:p>
    <w:p w:rsidR="009E7349" w:rsidRPr="007867B6" w:rsidRDefault="009E7349">
      <w:pPr>
        <w:pBdr>
          <w:top w:val="nil"/>
          <w:left w:val="nil"/>
          <w:bottom w:val="nil"/>
          <w:right w:val="nil"/>
          <w:between w:val="nil"/>
        </w:pBdr>
        <w:spacing w:line="360" w:lineRule="auto"/>
        <w:jc w:val="both"/>
        <w:rPr>
          <w:color w:val="000000"/>
          <w:sz w:val="22"/>
          <w:szCs w:val="22"/>
        </w:rPr>
      </w:pPr>
    </w:p>
    <w:p w:rsidR="009E7349" w:rsidRPr="007867B6" w:rsidRDefault="003C34B0">
      <w:pPr>
        <w:pBdr>
          <w:top w:val="nil"/>
          <w:left w:val="nil"/>
          <w:bottom w:val="nil"/>
          <w:right w:val="nil"/>
          <w:between w:val="nil"/>
        </w:pBdr>
        <w:spacing w:line="360" w:lineRule="auto"/>
        <w:ind w:left="644"/>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w:t>
      </w:r>
      <w:r w:rsidRPr="007867B6">
        <w:rPr>
          <w:rFonts w:ascii="Palatino Linotype" w:eastAsia="Palatino Linotype" w:hAnsi="Palatino Linotype" w:cs="Palatino Linotype"/>
          <w:b/>
          <w:i/>
          <w:color w:val="000000"/>
          <w:sz w:val="22"/>
          <w:szCs w:val="22"/>
        </w:rPr>
        <w:t xml:space="preserve">Artículo 191. </w:t>
      </w:r>
      <w:r w:rsidRPr="007867B6">
        <w:rPr>
          <w:rFonts w:ascii="Palatino Linotype" w:eastAsia="Palatino Linotype" w:hAnsi="Palatino Linotype" w:cs="Palatino Linotype"/>
          <w:i/>
          <w:color w:val="000000"/>
          <w:sz w:val="22"/>
          <w:szCs w:val="22"/>
        </w:rPr>
        <w:t>El recurso será desechado por improcedente cuando:</w:t>
      </w:r>
    </w:p>
    <w:p w:rsidR="009E7349" w:rsidRPr="007867B6" w:rsidRDefault="003C34B0">
      <w:pPr>
        <w:pBdr>
          <w:top w:val="nil"/>
          <w:left w:val="nil"/>
          <w:bottom w:val="nil"/>
          <w:right w:val="nil"/>
          <w:between w:val="nil"/>
        </w:pBdr>
        <w:spacing w:line="360" w:lineRule="auto"/>
        <w:ind w:left="644"/>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w:t>
      </w:r>
    </w:p>
    <w:p w:rsidR="009E7349" w:rsidRPr="007867B6" w:rsidRDefault="003C34B0">
      <w:pPr>
        <w:pBdr>
          <w:top w:val="nil"/>
          <w:left w:val="nil"/>
          <w:bottom w:val="nil"/>
          <w:right w:val="nil"/>
          <w:between w:val="nil"/>
        </w:pBdr>
        <w:spacing w:line="360" w:lineRule="auto"/>
        <w:ind w:left="644"/>
        <w:jc w:val="both"/>
        <w:rPr>
          <w:rFonts w:ascii="Palatino Linotype" w:eastAsia="Palatino Linotype" w:hAnsi="Palatino Linotype" w:cs="Palatino Linotype"/>
          <w:b/>
          <w:i/>
          <w:color w:val="000000"/>
          <w:sz w:val="22"/>
          <w:szCs w:val="22"/>
        </w:rPr>
      </w:pPr>
      <w:r w:rsidRPr="007867B6">
        <w:rPr>
          <w:rFonts w:ascii="Palatino Linotype" w:eastAsia="Palatino Linotype" w:hAnsi="Palatino Linotype" w:cs="Palatino Linotype"/>
          <w:b/>
          <w:i/>
          <w:color w:val="000000"/>
          <w:sz w:val="22"/>
          <w:szCs w:val="22"/>
        </w:rPr>
        <w:t>V. Se impugne la veracidad de la información proporcionada;</w:t>
      </w:r>
    </w:p>
    <w:p w:rsidR="009E7349" w:rsidRPr="007867B6" w:rsidRDefault="003C34B0">
      <w:pPr>
        <w:pBdr>
          <w:top w:val="nil"/>
          <w:left w:val="nil"/>
          <w:bottom w:val="nil"/>
          <w:right w:val="nil"/>
          <w:between w:val="nil"/>
        </w:pBdr>
        <w:spacing w:line="360" w:lineRule="auto"/>
        <w:ind w:left="644"/>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w:t>
      </w:r>
    </w:p>
    <w:p w:rsidR="009E7349" w:rsidRPr="007867B6" w:rsidRDefault="009E7349">
      <w:pPr>
        <w:pBdr>
          <w:top w:val="nil"/>
          <w:left w:val="nil"/>
          <w:bottom w:val="nil"/>
          <w:right w:val="nil"/>
          <w:between w:val="nil"/>
        </w:pBdr>
        <w:spacing w:line="360" w:lineRule="auto"/>
        <w:ind w:left="644"/>
        <w:jc w:val="both"/>
        <w:rPr>
          <w:rFonts w:ascii="Palatino Linotype" w:eastAsia="Palatino Linotype" w:hAnsi="Palatino Linotype" w:cs="Palatino Linotype"/>
          <w:i/>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lastRenderedPageBreak/>
        <w:t>Ahora bien, es importante precisar que en atención a lo previsto en el artículo 179 de la Ley de Transparencia y Acceso a la Información Pública del Estado de México y Municipios, el Instituto de Transparencia, Acceso a la Información Pública y Protección de Datos Personales del Estado de México y Municipios, funge 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rsidR="009E7349" w:rsidRPr="007867B6" w:rsidRDefault="009E7349">
      <w:pPr>
        <w:pBdr>
          <w:top w:val="nil"/>
          <w:left w:val="nil"/>
          <w:bottom w:val="nil"/>
          <w:right w:val="nil"/>
          <w:between w:val="nil"/>
        </w:pBdr>
        <w:spacing w:line="360" w:lineRule="auto"/>
        <w:jc w:val="both"/>
        <w:rPr>
          <w:color w:val="000000"/>
          <w:sz w:val="22"/>
          <w:szCs w:val="22"/>
        </w:rPr>
      </w:pPr>
    </w:p>
    <w:p w:rsidR="009E7349" w:rsidRPr="007867B6" w:rsidRDefault="003C34B0">
      <w:pPr>
        <w:pBdr>
          <w:top w:val="nil"/>
          <w:left w:val="nil"/>
          <w:bottom w:val="nil"/>
          <w:right w:val="nil"/>
          <w:between w:val="nil"/>
        </w:pBdr>
        <w:tabs>
          <w:tab w:val="left" w:pos="8222"/>
        </w:tabs>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w:t>
      </w:r>
      <w:r w:rsidRPr="007867B6">
        <w:rPr>
          <w:rFonts w:ascii="Palatino Linotype" w:eastAsia="Palatino Linotype" w:hAnsi="Palatino Linotype" w:cs="Palatino Linotype"/>
          <w:b/>
          <w:i/>
          <w:color w:val="000000"/>
          <w:sz w:val="22"/>
          <w:szCs w:val="22"/>
        </w:rPr>
        <w:t>Artículo 179</w:t>
      </w:r>
      <w:r w:rsidRPr="007867B6">
        <w:rPr>
          <w:rFonts w:ascii="Palatino Linotype" w:eastAsia="Palatino Linotype" w:hAnsi="Palatino Linotype" w:cs="Palatino Linotype"/>
          <w:i/>
          <w:color w:val="000000"/>
          <w:sz w:val="22"/>
          <w:szCs w:val="22"/>
        </w:rPr>
        <w:t>. El Recurso de Revisión es un medio de protección que la Ley otorga a los particulares, para hacer valer su derecho de acceso a la Información Pública, y procederá en contra de las siguientes causas:</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I. La negativa a la información solicitada;</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II. La clasificación de la información;</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III. La declaración de inexistencia de la información;</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IV. La declaración de incompetencia por el sujeto obligado;</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V. La entrega de información incompleta;</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VI. La entrega de información que no corresponda con lo solicitado;</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VII. La falta de respuesta a una solicitud de acceso a la información;</w:t>
      </w:r>
    </w:p>
    <w:p w:rsidR="009E7349" w:rsidRPr="007867B6" w:rsidRDefault="003C34B0">
      <w:pPr>
        <w:pBdr>
          <w:top w:val="nil"/>
          <w:left w:val="nil"/>
          <w:bottom w:val="nil"/>
          <w:right w:val="nil"/>
          <w:between w:val="nil"/>
        </w:pBdr>
        <w:tabs>
          <w:tab w:val="left" w:pos="8222"/>
        </w:tabs>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VIII. La notificación, entrega o puesta a disposición de información en una modalidad o formato distinto al solicitado;</w:t>
      </w:r>
    </w:p>
    <w:p w:rsidR="009E7349" w:rsidRPr="007867B6" w:rsidRDefault="003C34B0">
      <w:pPr>
        <w:pBdr>
          <w:top w:val="nil"/>
          <w:left w:val="nil"/>
          <w:bottom w:val="nil"/>
          <w:right w:val="nil"/>
          <w:between w:val="nil"/>
        </w:pBdr>
        <w:tabs>
          <w:tab w:val="left" w:pos="8222"/>
        </w:tabs>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IX. La entrega o puesta a disposición de información en un formato incomprensible y/o no accesible para el solicitante;</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X. Los costos o tiempos de entrega de la información;</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XI. La falta de trámite a una solicitud;</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lastRenderedPageBreak/>
        <w:t>XII. La negativa a permitir la consulta directa de la información;</w:t>
      </w:r>
    </w:p>
    <w:p w:rsidR="009E7349" w:rsidRPr="007867B6" w:rsidRDefault="003C34B0">
      <w:pPr>
        <w:pBdr>
          <w:top w:val="nil"/>
          <w:left w:val="nil"/>
          <w:bottom w:val="nil"/>
          <w:right w:val="nil"/>
          <w:between w:val="nil"/>
        </w:pBdr>
        <w:tabs>
          <w:tab w:val="left" w:pos="8222"/>
        </w:tabs>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XIII. La falta, deficiencia o insuficiencia de la fundamentación y/o motivación en la respuesta; y</w:t>
      </w:r>
    </w:p>
    <w:p w:rsidR="009E7349" w:rsidRPr="007867B6" w:rsidRDefault="003C34B0">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XIV. La orientación a un trámite específico.</w:t>
      </w:r>
    </w:p>
    <w:p w:rsidR="009E7349" w:rsidRPr="007867B6" w:rsidRDefault="009E7349">
      <w:pPr>
        <w:pBdr>
          <w:top w:val="nil"/>
          <w:left w:val="nil"/>
          <w:bottom w:val="nil"/>
          <w:right w:val="nil"/>
          <w:between w:val="nil"/>
        </w:pBdr>
        <w:spacing w:line="360" w:lineRule="auto"/>
        <w:ind w:left="851"/>
        <w:jc w:val="both"/>
        <w:rPr>
          <w:rFonts w:ascii="Palatino Linotype" w:eastAsia="Palatino Linotype" w:hAnsi="Palatino Linotype" w:cs="Palatino Linotype"/>
          <w:i/>
          <w:color w:val="000000"/>
          <w:sz w:val="22"/>
          <w:szCs w:val="22"/>
        </w:rPr>
      </w:pPr>
    </w:p>
    <w:p w:rsidR="009E7349" w:rsidRPr="007867B6" w:rsidRDefault="003C34B0">
      <w:pPr>
        <w:pBdr>
          <w:top w:val="nil"/>
          <w:left w:val="nil"/>
          <w:bottom w:val="nil"/>
          <w:right w:val="nil"/>
          <w:between w:val="nil"/>
        </w:pBdr>
        <w:tabs>
          <w:tab w:val="left" w:pos="8222"/>
        </w:tabs>
        <w:spacing w:line="360"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i/>
          <w:color w:val="000000"/>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rsidR="009E7349" w:rsidRPr="007867B6" w:rsidRDefault="009E7349">
      <w:pPr>
        <w:pBdr>
          <w:top w:val="nil"/>
          <w:left w:val="nil"/>
          <w:bottom w:val="nil"/>
          <w:right w:val="nil"/>
          <w:between w:val="nil"/>
        </w:pBdr>
        <w:ind w:left="644"/>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Derivado del contenido del numeral citado en el párrafo que antecede, se advierte que no se encuentran dentro de citadas causales, alguna hipótesis que prevea la veracidad de la información. </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Derivado de lo anterior, es importante traer a contexto lo dispuesto en los artículos 186, 191 y 192 de la Ley de Transparencia y Acceso a la Información Pública del Estado de México y Municipios, los cuales disponen lo siguiente:</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“Artículo 186. </w:t>
      </w:r>
      <w:r w:rsidRPr="007867B6">
        <w:rPr>
          <w:rFonts w:ascii="Palatino Linotype" w:eastAsia="Palatino Linotype" w:hAnsi="Palatino Linotype" w:cs="Palatino Linotype"/>
          <w:i/>
          <w:color w:val="000000"/>
          <w:sz w:val="22"/>
          <w:szCs w:val="22"/>
        </w:rPr>
        <w:t>Las resoluciones del Instituto podrán:</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 </w:t>
      </w:r>
      <w:r w:rsidRPr="007867B6">
        <w:rPr>
          <w:rFonts w:ascii="Palatino Linotype" w:eastAsia="Palatino Linotype" w:hAnsi="Palatino Linotype" w:cs="Palatino Linotype"/>
          <w:i/>
          <w:color w:val="000000"/>
          <w:sz w:val="22"/>
          <w:szCs w:val="22"/>
        </w:rPr>
        <w:t>Desechar o sobreseer el recurso;</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II. </w:t>
      </w:r>
      <w:r w:rsidRPr="007867B6">
        <w:rPr>
          <w:rFonts w:ascii="Palatino Linotype" w:eastAsia="Palatino Linotype" w:hAnsi="Palatino Linotype" w:cs="Palatino Linotype"/>
          <w:i/>
          <w:color w:val="000000"/>
          <w:sz w:val="22"/>
          <w:szCs w:val="22"/>
        </w:rPr>
        <w:t>Confirmar la respuesta del sujeto obligado;</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III. </w:t>
      </w:r>
      <w:r w:rsidRPr="007867B6">
        <w:rPr>
          <w:rFonts w:ascii="Palatino Linotype" w:eastAsia="Palatino Linotype" w:hAnsi="Palatino Linotype" w:cs="Palatino Linotype"/>
          <w:i/>
          <w:color w:val="000000"/>
          <w:sz w:val="22"/>
          <w:szCs w:val="22"/>
        </w:rPr>
        <w:t>Revocar o modificar la respuesta del sujeto obligado; y</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IV. </w:t>
      </w:r>
      <w:r w:rsidRPr="007867B6">
        <w:rPr>
          <w:rFonts w:ascii="Palatino Linotype" w:eastAsia="Palatino Linotype" w:hAnsi="Palatino Linotype" w:cs="Palatino Linotype"/>
          <w:i/>
          <w:color w:val="000000"/>
          <w:sz w:val="22"/>
          <w:szCs w:val="22"/>
        </w:rPr>
        <w:t>Ordenar la entrega de la información</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w:t>
      </w:r>
    </w:p>
    <w:p w:rsidR="009E7349" w:rsidRPr="007867B6" w:rsidRDefault="009E7349">
      <w:pPr>
        <w:pBdr>
          <w:top w:val="nil"/>
          <w:left w:val="nil"/>
          <w:bottom w:val="nil"/>
          <w:right w:val="nil"/>
          <w:between w:val="nil"/>
        </w:pBdr>
        <w:spacing w:line="276" w:lineRule="auto"/>
        <w:ind w:left="851"/>
        <w:jc w:val="both"/>
        <w:rPr>
          <w:rFonts w:ascii="Palatino Linotype" w:eastAsia="Palatino Linotype" w:hAnsi="Palatino Linotype" w:cs="Palatino Linotype"/>
          <w:b/>
          <w:i/>
          <w:color w:val="000000"/>
          <w:sz w:val="22"/>
          <w:szCs w:val="22"/>
        </w:rPr>
      </w:pP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Artículo 191. </w:t>
      </w:r>
      <w:r w:rsidRPr="007867B6">
        <w:rPr>
          <w:rFonts w:ascii="Palatino Linotype" w:eastAsia="Palatino Linotype" w:hAnsi="Palatino Linotype" w:cs="Palatino Linotype"/>
          <w:i/>
          <w:color w:val="000000"/>
          <w:sz w:val="22"/>
          <w:szCs w:val="22"/>
        </w:rPr>
        <w:t>El recurso será desechado por improcedente cuando:</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 </w:t>
      </w:r>
      <w:r w:rsidRPr="007867B6">
        <w:rPr>
          <w:rFonts w:ascii="Palatino Linotype" w:eastAsia="Palatino Linotype" w:hAnsi="Palatino Linotype" w:cs="Palatino Linotype"/>
          <w:i/>
          <w:color w:val="000000"/>
          <w:sz w:val="22"/>
          <w:szCs w:val="22"/>
        </w:rPr>
        <w:t>Sea extemporáneo por haber transcurrido el plazo establecido en la presente Ley, a partir de la respuesta;</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lastRenderedPageBreak/>
        <w:t xml:space="preserve">II. </w:t>
      </w:r>
      <w:r w:rsidRPr="007867B6">
        <w:rPr>
          <w:rFonts w:ascii="Palatino Linotype" w:eastAsia="Palatino Linotype" w:hAnsi="Palatino Linotype" w:cs="Palatino Linotype"/>
          <w:i/>
          <w:color w:val="000000"/>
          <w:sz w:val="22"/>
          <w:szCs w:val="22"/>
        </w:rPr>
        <w:t>Se esté tramitando ante el Poder Judicial de la Federación algún recurso o medio de defensa interpuesto por el recurrente;</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III. </w:t>
      </w:r>
      <w:r w:rsidRPr="007867B6">
        <w:rPr>
          <w:rFonts w:ascii="Palatino Linotype" w:eastAsia="Palatino Linotype" w:hAnsi="Palatino Linotype" w:cs="Palatino Linotype"/>
          <w:i/>
          <w:color w:val="000000"/>
          <w:sz w:val="22"/>
          <w:szCs w:val="22"/>
        </w:rPr>
        <w:t>No actualice alguno de los supuestos previstos en la presente Ley;</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IV. </w:t>
      </w:r>
      <w:r w:rsidRPr="007867B6">
        <w:rPr>
          <w:rFonts w:ascii="Palatino Linotype" w:eastAsia="Palatino Linotype" w:hAnsi="Palatino Linotype" w:cs="Palatino Linotype"/>
          <w:i/>
          <w:color w:val="000000"/>
          <w:sz w:val="22"/>
          <w:szCs w:val="22"/>
        </w:rPr>
        <w:t>No se haya desahogado la prevención en los términos establecidos en la presente Ley;</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V. Se impugne la veracidad de la información proporcionada</w:t>
      </w:r>
      <w:r w:rsidRPr="007867B6">
        <w:rPr>
          <w:rFonts w:ascii="Palatino Linotype" w:eastAsia="Palatino Linotype" w:hAnsi="Palatino Linotype" w:cs="Palatino Linotype"/>
          <w:i/>
          <w:color w:val="000000"/>
          <w:sz w:val="22"/>
          <w:szCs w:val="22"/>
        </w:rPr>
        <w:t>;</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VI. </w:t>
      </w:r>
      <w:r w:rsidRPr="007867B6">
        <w:rPr>
          <w:rFonts w:ascii="Palatino Linotype" w:eastAsia="Palatino Linotype" w:hAnsi="Palatino Linotype" w:cs="Palatino Linotype"/>
          <w:i/>
          <w:color w:val="000000"/>
          <w:sz w:val="22"/>
          <w:szCs w:val="22"/>
        </w:rPr>
        <w:t>Se trate de una consulta, o trámite en específico; y</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VII. </w:t>
      </w:r>
      <w:r w:rsidRPr="007867B6">
        <w:rPr>
          <w:rFonts w:ascii="Palatino Linotype" w:eastAsia="Palatino Linotype" w:hAnsi="Palatino Linotype" w:cs="Palatino Linotype"/>
          <w:i/>
          <w:color w:val="000000"/>
          <w:sz w:val="22"/>
          <w:szCs w:val="22"/>
        </w:rPr>
        <w:t>El recurrente amplíe su solicitud en el Recurso de Revisión, únicamente respecto de los nuevos contenidos.</w:t>
      </w:r>
    </w:p>
    <w:p w:rsidR="009E7349" w:rsidRPr="007867B6" w:rsidRDefault="009E7349">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Artículo 192. </w:t>
      </w:r>
      <w:r w:rsidRPr="007867B6">
        <w:rPr>
          <w:rFonts w:ascii="Palatino Linotype" w:eastAsia="Palatino Linotype" w:hAnsi="Palatino Linotype" w:cs="Palatino Linotype"/>
          <w:i/>
          <w:color w:val="000000"/>
          <w:sz w:val="22"/>
          <w:szCs w:val="22"/>
        </w:rPr>
        <w:t>El recurso será sobreseído, en todo o en parte, cuando una vez admitido, se actualicen alguno de los siguientes supuestos:</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 </w:t>
      </w:r>
      <w:r w:rsidRPr="007867B6">
        <w:rPr>
          <w:rFonts w:ascii="Palatino Linotype" w:eastAsia="Palatino Linotype" w:hAnsi="Palatino Linotype" w:cs="Palatino Linotype"/>
          <w:i/>
          <w:color w:val="000000"/>
          <w:sz w:val="22"/>
          <w:szCs w:val="22"/>
        </w:rPr>
        <w:t>El recurrente se desista expresamente del recurso;</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II. </w:t>
      </w:r>
      <w:r w:rsidRPr="007867B6">
        <w:rPr>
          <w:rFonts w:ascii="Palatino Linotype" w:eastAsia="Palatino Linotype" w:hAnsi="Palatino Linotype" w:cs="Palatino Linotype"/>
          <w:i/>
          <w:color w:val="000000"/>
          <w:sz w:val="22"/>
          <w:szCs w:val="22"/>
        </w:rPr>
        <w:t>El recurrente fallezca o, tratándose de personas jurídicas colectivas, se disuelva;</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III. </w:t>
      </w:r>
      <w:r w:rsidRPr="007867B6">
        <w:rPr>
          <w:rFonts w:ascii="Palatino Linotype" w:eastAsia="Palatino Linotype" w:hAnsi="Palatino Linotype" w:cs="Palatino Linotype"/>
          <w:i/>
          <w:color w:val="000000"/>
          <w:sz w:val="22"/>
          <w:szCs w:val="22"/>
        </w:rPr>
        <w:t>El sujeto obligado responsable del acto lo modifique o revoque de tal manera que el Recurso de Revisión quede sin materia;</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b/>
          <w:i/>
          <w:color w:val="000000"/>
          <w:sz w:val="22"/>
          <w:szCs w:val="22"/>
        </w:rPr>
      </w:pPr>
      <w:r w:rsidRPr="007867B6">
        <w:rPr>
          <w:rFonts w:ascii="Palatino Linotype" w:eastAsia="Palatino Linotype" w:hAnsi="Palatino Linotype" w:cs="Palatino Linotype"/>
          <w:b/>
          <w:i/>
          <w:color w:val="000000"/>
          <w:sz w:val="22"/>
          <w:szCs w:val="22"/>
        </w:rPr>
        <w:t>IV. Admitido el Recurso de Revisión, aparezca alguna causal de improcedencia en los términos de la presente Ley; y</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color w:val="000000"/>
          <w:sz w:val="22"/>
          <w:szCs w:val="22"/>
        </w:rPr>
      </w:pPr>
      <w:r w:rsidRPr="007867B6">
        <w:rPr>
          <w:rFonts w:ascii="Palatino Linotype" w:eastAsia="Palatino Linotype" w:hAnsi="Palatino Linotype" w:cs="Palatino Linotype"/>
          <w:b/>
          <w:i/>
          <w:color w:val="000000"/>
          <w:sz w:val="22"/>
          <w:szCs w:val="22"/>
        </w:rPr>
        <w:t xml:space="preserve">V. </w:t>
      </w:r>
      <w:r w:rsidRPr="007867B6">
        <w:rPr>
          <w:rFonts w:ascii="Palatino Linotype" w:eastAsia="Palatino Linotype" w:hAnsi="Palatino Linotype" w:cs="Palatino Linotype"/>
          <w:i/>
          <w:color w:val="000000"/>
          <w:sz w:val="22"/>
          <w:szCs w:val="22"/>
        </w:rPr>
        <w:t>Cuando por cualquier motivo quede sin materia el recurso</w:t>
      </w:r>
      <w:r w:rsidRPr="007867B6">
        <w:rPr>
          <w:rFonts w:ascii="Palatino Linotype" w:eastAsia="Palatino Linotype" w:hAnsi="Palatino Linotype" w:cs="Palatino Linotype"/>
          <w:color w:val="000000"/>
          <w:sz w:val="22"/>
          <w:szCs w:val="22"/>
        </w:rPr>
        <w:t>.”</w:t>
      </w:r>
    </w:p>
    <w:p w:rsidR="009E7349" w:rsidRPr="007867B6" w:rsidRDefault="003C34B0">
      <w:pPr>
        <w:pBdr>
          <w:top w:val="nil"/>
          <w:left w:val="nil"/>
          <w:bottom w:val="nil"/>
          <w:right w:val="nil"/>
          <w:between w:val="nil"/>
        </w:pBdr>
        <w:spacing w:line="276" w:lineRule="auto"/>
        <w:ind w:left="851"/>
        <w:jc w:val="both"/>
        <w:rPr>
          <w:rFonts w:ascii="Palatino Linotype" w:eastAsia="Palatino Linotype" w:hAnsi="Palatino Linotype" w:cs="Palatino Linotype"/>
          <w:color w:val="000000"/>
          <w:sz w:val="22"/>
          <w:szCs w:val="22"/>
        </w:rPr>
      </w:pPr>
      <w:r w:rsidRPr="007867B6">
        <w:rPr>
          <w:rFonts w:ascii="Palatino Linotype" w:eastAsia="Palatino Linotype" w:hAnsi="Palatino Linotype" w:cs="Palatino Linotype"/>
          <w:i/>
          <w:color w:val="000000"/>
          <w:sz w:val="22"/>
          <w:szCs w:val="22"/>
        </w:rPr>
        <w:t>(Énfasis añadido)</w:t>
      </w:r>
    </w:p>
    <w:p w:rsidR="009E7349" w:rsidRPr="007867B6" w:rsidRDefault="009E7349">
      <w:pPr>
        <w:pBdr>
          <w:top w:val="nil"/>
          <w:left w:val="nil"/>
          <w:bottom w:val="nil"/>
          <w:right w:val="nil"/>
          <w:between w:val="nil"/>
        </w:pBdr>
        <w:ind w:left="644"/>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7867B6">
        <w:rPr>
          <w:rFonts w:ascii="Palatino Linotype" w:eastAsia="Palatino Linotype" w:hAnsi="Palatino Linotype" w:cs="Palatino Linotype"/>
          <w:color w:val="000000"/>
          <w:sz w:val="22"/>
          <w:szCs w:val="22"/>
        </w:rPr>
        <w:t>procedibilidad</w:t>
      </w:r>
      <w:proofErr w:type="spellEnd"/>
      <w:r w:rsidRPr="007867B6">
        <w:rPr>
          <w:rFonts w:ascii="Palatino Linotype" w:eastAsia="Palatino Linotype" w:hAnsi="Palatino Linotype" w:cs="Palatino Linotype"/>
          <w:color w:val="000000"/>
          <w:sz w:val="22"/>
          <w:szCs w:val="22"/>
        </w:rPr>
        <w:t xml:space="preserve"> previstos en el artículo 179 de la Ley en la Materia.</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Dentro de este orden de ideas, es evidente que no se puede invocar el precepto legal 191 de la Ley de Transparencia y Acceso a la Información Pública del Estado de México y </w:t>
      </w:r>
      <w:r w:rsidRPr="007867B6">
        <w:rPr>
          <w:rFonts w:ascii="Palatino Linotype" w:eastAsia="Palatino Linotype" w:hAnsi="Palatino Linotype" w:cs="Palatino Linotype"/>
          <w:color w:val="000000"/>
          <w:sz w:val="22"/>
          <w:szCs w:val="22"/>
        </w:rPr>
        <w:lastRenderedPageBreak/>
        <w:t>Municipios, posterior a que ha sido admitido, determinando la actualización de un desechamiento</w:t>
      </w:r>
      <w:r w:rsidRPr="007867B6">
        <w:rPr>
          <w:rFonts w:ascii="Palatino Linotype" w:eastAsia="Palatino Linotype" w:hAnsi="Palatino Linotype" w:cs="Palatino Linotype"/>
          <w:color w:val="000000"/>
          <w:sz w:val="22"/>
          <w:szCs w:val="22"/>
          <w:vertAlign w:val="superscript"/>
        </w:rPr>
        <w:footnoteReference w:id="1"/>
      </w:r>
      <w:r w:rsidRPr="007867B6">
        <w:rPr>
          <w:rFonts w:ascii="Palatino Linotype" w:eastAsia="Palatino Linotype" w:hAnsi="Palatino Linotype" w:cs="Palatino Linotype"/>
          <w:color w:val="000000"/>
          <w:sz w:val="22"/>
          <w:szCs w:val="22"/>
        </w:rPr>
        <w:t>, porque sería subsecuente a la etapa procedimental en la que debió desecharse.</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Cobrando aplicación lo previsto en el artículo 192 fracción IV de la Ley de Transparencia y Acceso a la Información Pública del Estado de México y Municipios, que señala las posibilidades en el que el Recurso de Revisión será sobreseído, actualizándose para el caso en concreto una causal de improcedencia en los términos de la presente ley. </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Del análisis de las constancias que obran en el expediente electrónico formado en el </w:t>
      </w:r>
      <w:r w:rsidRPr="007867B6">
        <w:rPr>
          <w:rFonts w:ascii="Palatino Linotype" w:eastAsia="Palatino Linotype" w:hAnsi="Palatino Linotype" w:cs="Palatino Linotype"/>
          <w:b/>
          <w:color w:val="000000"/>
          <w:sz w:val="22"/>
          <w:szCs w:val="22"/>
        </w:rPr>
        <w:t xml:space="preserve">SAIMEX </w:t>
      </w:r>
      <w:r w:rsidRPr="007867B6">
        <w:rPr>
          <w:rFonts w:ascii="Palatino Linotype" w:eastAsia="Palatino Linotype" w:hAnsi="Palatino Linotype" w:cs="Palatino Linotype"/>
          <w:color w:val="000000"/>
          <w:sz w:val="22"/>
          <w:szCs w:val="22"/>
        </w:rPr>
        <w:t xml:space="preserve">del Recurso de Revisión materia del presente estudio, se advierte que se actualiza la causal de </w:t>
      </w:r>
      <w:r w:rsidRPr="007867B6">
        <w:rPr>
          <w:rFonts w:ascii="Palatino Linotype" w:eastAsia="Palatino Linotype" w:hAnsi="Palatino Linotype" w:cs="Palatino Linotype"/>
          <w:b/>
          <w:color w:val="000000"/>
          <w:sz w:val="22"/>
          <w:szCs w:val="22"/>
        </w:rPr>
        <w:t xml:space="preserve">sobreseimiento </w:t>
      </w:r>
      <w:r w:rsidRPr="007867B6">
        <w:rPr>
          <w:rFonts w:ascii="Palatino Linotype" w:eastAsia="Palatino Linotype" w:hAnsi="Palatino Linotype" w:cs="Palatino Linotype"/>
          <w:color w:val="000000"/>
          <w:sz w:val="22"/>
          <w:szCs w:val="22"/>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Sirve como criterio orientador, lo establecido en la Jurisprudencia 1ª./J 3/99 de la Novena Época, emitida por la Primera Sala de la Suprema Corte de Justicia de la Nación, </w:t>
      </w:r>
      <w:r w:rsidRPr="007867B6">
        <w:rPr>
          <w:rFonts w:ascii="Palatino Linotype" w:eastAsia="Palatino Linotype" w:hAnsi="Palatino Linotype" w:cs="Palatino Linotype"/>
          <w:color w:val="000000"/>
          <w:sz w:val="22"/>
          <w:szCs w:val="22"/>
        </w:rPr>
        <w:lastRenderedPageBreak/>
        <w:t>publicada en el Semanario Judicial de la Federación y su Gaceta, que en lo conducente dispone:</w:t>
      </w:r>
    </w:p>
    <w:p w:rsidR="009E7349" w:rsidRPr="007867B6" w:rsidRDefault="003C34B0">
      <w:pPr>
        <w:pBdr>
          <w:top w:val="nil"/>
          <w:left w:val="nil"/>
          <w:bottom w:val="nil"/>
          <w:right w:val="nil"/>
          <w:between w:val="nil"/>
        </w:pBdr>
        <w:spacing w:line="360" w:lineRule="auto"/>
        <w:ind w:left="644"/>
        <w:jc w:val="both"/>
        <w:rPr>
          <w:rFonts w:ascii="Palatino Linotype" w:eastAsia="Palatino Linotype" w:hAnsi="Palatino Linotype" w:cs="Palatino Linotype"/>
          <w:i/>
          <w:color w:val="000000"/>
          <w:sz w:val="22"/>
          <w:szCs w:val="22"/>
        </w:rPr>
      </w:pPr>
      <w:r w:rsidRPr="007867B6">
        <w:rPr>
          <w:rFonts w:ascii="Palatino Linotype" w:eastAsia="Palatino Linotype" w:hAnsi="Palatino Linotype" w:cs="Palatino Linotype"/>
          <w:b/>
          <w:i/>
          <w:color w:val="000000"/>
          <w:sz w:val="22"/>
          <w:szCs w:val="22"/>
        </w:rPr>
        <w:t xml:space="preserve">“IMPROCEDENCIA. ESTUDIO PREFERENCIAL DE LAS CAUSALES PREVISTAS EN EL ARTÍCULO 73 DE LA LEY DE AMPARO. </w:t>
      </w:r>
      <w:r w:rsidRPr="007867B6">
        <w:rPr>
          <w:rFonts w:ascii="Palatino Linotype" w:eastAsia="Palatino Linotype" w:hAnsi="Palatino Linotype" w:cs="Palatino Linotype"/>
          <w:i/>
          <w:color w:val="000000"/>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rsidR="009E7349" w:rsidRPr="007867B6" w:rsidRDefault="009E7349">
      <w:pPr>
        <w:pBdr>
          <w:top w:val="nil"/>
          <w:left w:val="nil"/>
          <w:bottom w:val="nil"/>
          <w:right w:val="nil"/>
          <w:between w:val="nil"/>
        </w:pBdr>
        <w:ind w:left="644"/>
        <w:jc w:val="both"/>
        <w:rPr>
          <w:rFonts w:ascii="Palatino Linotype" w:eastAsia="Palatino Linotype" w:hAnsi="Palatino Linotype" w:cs="Palatino Linotype"/>
          <w:i/>
          <w:color w:val="000000"/>
          <w:sz w:val="22"/>
          <w:szCs w:val="22"/>
        </w:rPr>
      </w:pPr>
    </w:p>
    <w:p w:rsidR="009E7349" w:rsidRPr="007867B6" w:rsidRDefault="009E7349">
      <w:pPr>
        <w:pBdr>
          <w:top w:val="nil"/>
          <w:left w:val="nil"/>
          <w:bottom w:val="nil"/>
          <w:right w:val="nil"/>
          <w:between w:val="nil"/>
        </w:pBdr>
        <w:ind w:left="644"/>
        <w:jc w:val="both"/>
        <w:rPr>
          <w:rFonts w:ascii="Palatino Linotype" w:eastAsia="Palatino Linotype" w:hAnsi="Palatino Linotype" w:cs="Palatino Linotype"/>
          <w:i/>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Por ello, en términos del artículo 191, fracción I de la Ley de Transparencia y Acceso a la Información Pública del Estado de México y Municipios, este Órgano Garante considera procedente </w:t>
      </w:r>
      <w:r w:rsidRPr="007867B6">
        <w:rPr>
          <w:rFonts w:ascii="Palatino Linotype" w:eastAsia="Palatino Linotype" w:hAnsi="Palatino Linotype" w:cs="Palatino Linotype"/>
          <w:b/>
          <w:color w:val="000000"/>
          <w:sz w:val="22"/>
          <w:szCs w:val="22"/>
        </w:rPr>
        <w:t xml:space="preserve">SOBRESEER </w:t>
      </w:r>
      <w:r w:rsidRPr="007867B6">
        <w:rPr>
          <w:rFonts w:ascii="Palatino Linotype" w:eastAsia="Palatino Linotype" w:hAnsi="Palatino Linotype" w:cs="Palatino Linotype"/>
          <w:color w:val="000000"/>
          <w:sz w:val="22"/>
          <w:szCs w:val="22"/>
        </w:rPr>
        <w:t>el presente Recurso de Revisión, toda vez que se actualiza la fracción IV del artículo 192 del citado ordenamiento legal.</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000000"/>
          <w:sz w:val="22"/>
          <w:szCs w:val="22"/>
        </w:rPr>
        <w:t xml:space="preserve">Ahora bien, es importante referir que al haber existido un pronunciamiento por parte del </w:t>
      </w:r>
      <w:r w:rsidRPr="007867B6">
        <w:rPr>
          <w:rFonts w:ascii="Palatino Linotype" w:eastAsia="Palatino Linotype" w:hAnsi="Palatino Linotype" w:cs="Palatino Linotype"/>
          <w:b/>
          <w:color w:val="000000"/>
          <w:sz w:val="22"/>
          <w:szCs w:val="22"/>
        </w:rPr>
        <w:t>SUJETO OBLIGADO</w:t>
      </w:r>
      <w:r w:rsidRPr="007867B6">
        <w:rPr>
          <w:rFonts w:ascii="Palatino Linotype" w:eastAsia="Palatino Linotype" w:hAnsi="Palatino Linotype" w:cs="Palatino Linotype"/>
          <w:color w:val="000000"/>
          <w:sz w:val="22"/>
          <w:szCs w:val="22"/>
        </w:rPr>
        <w:t>, a fin de dar respuesta a la solicitud planteada, este Instituto no está facultado para manifestarse sobre la veracidad de la información proporcionada, pues este Órgano Garante conforme al artículo 36 de la de la Ley de Transparencia y Acceso a la Información Pública del Estado de México y Municipios, no se encuentra facultado para pronunciarse acerca de la veracidad de la información remitida por los Sujetos Obligados.</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 xml:space="preserve">Consecuentemente, por lo que hace a los motivos de inconformidad, los mismos devienen inatendibles por actualizarse la figura del sobreseimiento, misma que impide el </w:t>
      </w:r>
      <w:r w:rsidRPr="007867B6">
        <w:rPr>
          <w:rFonts w:ascii="Palatino Linotype" w:eastAsia="Palatino Linotype" w:hAnsi="Palatino Linotype" w:cs="Palatino Linotype"/>
          <w:sz w:val="22"/>
          <w:szCs w:val="22"/>
        </w:rPr>
        <w:lastRenderedPageBreak/>
        <w:t>estudio de los agravios planteados, máxime que se ha dado cumplimiento al derecho de acceso a la información.</w:t>
      </w:r>
    </w:p>
    <w:p w:rsidR="009E7349" w:rsidRPr="007867B6" w:rsidRDefault="009E7349">
      <w:pPr>
        <w:spacing w:line="360" w:lineRule="auto"/>
        <w:jc w:val="both"/>
        <w:rPr>
          <w:rFonts w:ascii="Palatino Linotype" w:eastAsia="Palatino Linotype" w:hAnsi="Palatino Linotype" w:cs="Palatino Linotype"/>
          <w:sz w:val="22"/>
          <w:szCs w:val="22"/>
        </w:rPr>
      </w:pPr>
    </w:p>
    <w:p w:rsidR="009E7349" w:rsidRPr="007867B6" w:rsidRDefault="003C34B0">
      <w:pPr>
        <w:numPr>
          <w:ilvl w:val="0"/>
          <w:numId w:val="5"/>
        </w:numPr>
        <w:spacing w:line="360" w:lineRule="auto"/>
        <w:ind w:left="0" w:firstLine="0"/>
        <w:jc w:val="both"/>
        <w:rPr>
          <w:sz w:val="22"/>
          <w:szCs w:val="22"/>
        </w:rPr>
      </w:pPr>
      <w:r w:rsidRPr="007867B6">
        <w:rPr>
          <w:rFonts w:ascii="Palatino Linotype" w:eastAsia="Palatino Linotype" w:hAnsi="Palatino Linotype" w:cs="Palatino Linotype"/>
          <w:sz w:val="22"/>
          <w:szCs w:val="22"/>
        </w:rPr>
        <w:t xml:space="preserve">Bajo ese tenor y en términos del artículo 186 fracción I este Pleno determina el </w:t>
      </w:r>
      <w:r w:rsidRPr="007867B6">
        <w:rPr>
          <w:rFonts w:ascii="Palatino Linotype" w:eastAsia="Palatino Linotype" w:hAnsi="Palatino Linotype" w:cs="Palatino Linotype"/>
          <w:b/>
          <w:sz w:val="22"/>
          <w:szCs w:val="22"/>
        </w:rPr>
        <w:t xml:space="preserve">SOBRESEIMIENTO </w:t>
      </w:r>
      <w:r w:rsidRPr="007867B6">
        <w:rPr>
          <w:rFonts w:ascii="Palatino Linotype" w:eastAsia="Palatino Linotype" w:hAnsi="Palatino Linotype" w:cs="Palatino Linotype"/>
          <w:sz w:val="22"/>
          <w:szCs w:val="22"/>
        </w:rPr>
        <w:t>del presente recurso de revisión, toda vez que la afectación al derecho de acceso a la información pública establecido constitucionalmente a favor del particular, ha sido resarcida.</w:t>
      </w:r>
    </w:p>
    <w:p w:rsidR="009E7349" w:rsidRPr="007867B6" w:rsidRDefault="009E7349">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9E7349" w:rsidRPr="007867B6" w:rsidRDefault="003C34B0">
      <w:pPr>
        <w:numPr>
          <w:ilvl w:val="0"/>
          <w:numId w:val="5"/>
        </w:numPr>
        <w:pBdr>
          <w:top w:val="nil"/>
          <w:left w:val="nil"/>
          <w:bottom w:val="nil"/>
          <w:right w:val="nil"/>
          <w:between w:val="nil"/>
        </w:pBdr>
        <w:spacing w:line="360" w:lineRule="auto"/>
        <w:ind w:left="0" w:firstLine="0"/>
        <w:jc w:val="both"/>
        <w:rPr>
          <w:color w:val="000000"/>
          <w:sz w:val="22"/>
          <w:szCs w:val="22"/>
        </w:rPr>
      </w:pPr>
      <w:r w:rsidRPr="007867B6">
        <w:rPr>
          <w:rFonts w:ascii="Palatino Linotype" w:eastAsia="Palatino Linotype" w:hAnsi="Palatino Linotype" w:cs="Palatino Linotype"/>
          <w:color w:val="222222"/>
          <w:sz w:val="22"/>
          <w:szCs w:val="22"/>
        </w:rPr>
        <w:t xml:space="preserve">Por lo anteriormente expuesto y fundado, este </w:t>
      </w:r>
      <w:r w:rsidRPr="007867B6">
        <w:rPr>
          <w:rFonts w:ascii="Palatino Linotype" w:eastAsia="Palatino Linotype" w:hAnsi="Palatino Linotype" w:cs="Palatino Linotype"/>
          <w:b/>
          <w:color w:val="222222"/>
          <w:sz w:val="22"/>
          <w:szCs w:val="22"/>
        </w:rPr>
        <w:t>ÓRGANO GARANTE</w:t>
      </w:r>
      <w:r w:rsidRPr="007867B6">
        <w:rPr>
          <w:rFonts w:ascii="Palatino Linotype" w:eastAsia="Palatino Linotype" w:hAnsi="Palatino Linotype" w:cs="Palatino Linotype"/>
          <w:color w:val="222222"/>
          <w:sz w:val="22"/>
          <w:szCs w:val="22"/>
        </w:rPr>
        <w:t xml:space="preserve"> emite los siguientes:</w:t>
      </w:r>
    </w:p>
    <w:p w:rsidR="009E7349" w:rsidRPr="007867B6" w:rsidRDefault="009E7349">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sz w:val="22"/>
          <w:szCs w:val="22"/>
        </w:rPr>
      </w:pPr>
    </w:p>
    <w:p w:rsidR="009E7349" w:rsidRPr="007867B6" w:rsidRDefault="003C34B0">
      <w:pPr>
        <w:pStyle w:val="Ttulo1"/>
        <w:spacing w:line="360" w:lineRule="auto"/>
        <w:jc w:val="center"/>
        <w:rPr>
          <w:rFonts w:ascii="Palatino Linotype" w:eastAsia="Palatino Linotype" w:hAnsi="Palatino Linotype" w:cs="Palatino Linotype"/>
          <w:b/>
          <w:color w:val="000000"/>
          <w:sz w:val="22"/>
          <w:szCs w:val="22"/>
        </w:rPr>
      </w:pPr>
      <w:bookmarkStart w:id="8" w:name="_heading=h.1t3h5sf" w:colFirst="0" w:colLast="0"/>
      <w:bookmarkEnd w:id="8"/>
      <w:r w:rsidRPr="007867B6">
        <w:rPr>
          <w:rFonts w:ascii="Palatino Linotype" w:eastAsia="Palatino Linotype" w:hAnsi="Palatino Linotype" w:cs="Palatino Linotype"/>
          <w:b/>
          <w:color w:val="000000"/>
          <w:sz w:val="22"/>
          <w:szCs w:val="22"/>
        </w:rPr>
        <w:t>R E S O L U T I V O S</w:t>
      </w:r>
    </w:p>
    <w:p w:rsidR="009E7349" w:rsidRPr="007867B6" w:rsidRDefault="009E7349">
      <w:pPr>
        <w:rPr>
          <w:sz w:val="22"/>
          <w:szCs w:val="22"/>
        </w:rPr>
      </w:pPr>
    </w:p>
    <w:p w:rsidR="009E7349" w:rsidRPr="007867B6" w:rsidRDefault="003C34B0">
      <w:pPr>
        <w:spacing w:after="240" w:line="360" w:lineRule="auto"/>
        <w:jc w:val="both"/>
        <w:rPr>
          <w:rFonts w:ascii="Palatino Linotype" w:eastAsia="Palatino Linotype" w:hAnsi="Palatino Linotype" w:cs="Palatino Linotype"/>
          <w:sz w:val="22"/>
          <w:szCs w:val="22"/>
        </w:rPr>
      </w:pPr>
      <w:bookmarkStart w:id="9" w:name="_heading=h.4d34og8" w:colFirst="0" w:colLast="0"/>
      <w:bookmarkEnd w:id="9"/>
      <w:r w:rsidRPr="007867B6">
        <w:rPr>
          <w:rFonts w:ascii="Palatino Linotype" w:eastAsia="Palatino Linotype" w:hAnsi="Palatino Linotype" w:cs="Palatino Linotype"/>
          <w:b/>
          <w:sz w:val="22"/>
          <w:szCs w:val="22"/>
        </w:rPr>
        <w:t>PRIMERO.</w:t>
      </w:r>
      <w:r w:rsidRPr="007867B6">
        <w:rPr>
          <w:rFonts w:ascii="Palatino Linotype" w:eastAsia="Palatino Linotype" w:hAnsi="Palatino Linotype" w:cs="Palatino Linotype"/>
          <w:sz w:val="22"/>
          <w:szCs w:val="22"/>
        </w:rPr>
        <w:t xml:space="preserve"> Se </w:t>
      </w:r>
      <w:r w:rsidRPr="007867B6">
        <w:rPr>
          <w:rFonts w:ascii="Palatino Linotype" w:eastAsia="Palatino Linotype" w:hAnsi="Palatino Linotype" w:cs="Palatino Linotype"/>
          <w:b/>
          <w:sz w:val="22"/>
          <w:szCs w:val="22"/>
        </w:rPr>
        <w:t xml:space="preserve">SOBRESEE el </w:t>
      </w:r>
      <w:r w:rsidRPr="007867B6">
        <w:rPr>
          <w:rFonts w:ascii="Palatino Linotype" w:eastAsia="Palatino Linotype" w:hAnsi="Palatino Linotype" w:cs="Palatino Linotype"/>
          <w:sz w:val="22"/>
          <w:szCs w:val="22"/>
        </w:rPr>
        <w:t xml:space="preserve">recurso de revisión número </w:t>
      </w:r>
      <w:r w:rsidRPr="007867B6">
        <w:rPr>
          <w:rFonts w:ascii="Palatino Linotype" w:eastAsia="Palatino Linotype" w:hAnsi="Palatino Linotype" w:cs="Palatino Linotype"/>
          <w:b/>
          <w:sz w:val="22"/>
          <w:szCs w:val="22"/>
        </w:rPr>
        <w:t>01818/INFOEM/IP/RR/2025</w:t>
      </w:r>
      <w:r w:rsidRPr="007867B6">
        <w:rPr>
          <w:rFonts w:ascii="Palatino Linotype" w:eastAsia="Palatino Linotype" w:hAnsi="Palatino Linotype" w:cs="Palatino Linotype"/>
          <w:sz w:val="22"/>
          <w:szCs w:val="22"/>
        </w:rPr>
        <w:t xml:space="preserve">, por improcedente, conforme al artículo </w:t>
      </w:r>
      <w:r w:rsidRPr="007867B6">
        <w:rPr>
          <w:rFonts w:ascii="Palatino Linotype" w:eastAsia="Palatino Linotype" w:hAnsi="Palatino Linotype" w:cs="Palatino Linotype"/>
          <w:b/>
          <w:sz w:val="22"/>
          <w:szCs w:val="22"/>
        </w:rPr>
        <w:t>192 fracción IV</w:t>
      </w:r>
      <w:r w:rsidRPr="007867B6">
        <w:rPr>
          <w:rFonts w:ascii="Palatino Linotype" w:eastAsia="Palatino Linotype" w:hAnsi="Palatino Linotype" w:cs="Palatino Linotype"/>
          <w:sz w:val="22"/>
          <w:szCs w:val="22"/>
        </w:rPr>
        <w:t xml:space="preserve">, en relación a la </w:t>
      </w:r>
      <w:r w:rsidRPr="007867B6">
        <w:rPr>
          <w:rFonts w:ascii="Palatino Linotype" w:eastAsia="Palatino Linotype" w:hAnsi="Palatino Linotype" w:cs="Palatino Linotype"/>
          <w:b/>
          <w:sz w:val="22"/>
          <w:szCs w:val="22"/>
        </w:rPr>
        <w:t>fracción V</w:t>
      </w:r>
      <w:r w:rsidR="0020622E" w:rsidRPr="007867B6">
        <w:rPr>
          <w:rFonts w:ascii="Palatino Linotype" w:eastAsia="Palatino Linotype" w:hAnsi="Palatino Linotype" w:cs="Palatino Linotype"/>
          <w:b/>
          <w:sz w:val="22"/>
          <w:szCs w:val="22"/>
        </w:rPr>
        <w:t>,</w:t>
      </w:r>
      <w:r w:rsidRPr="007867B6">
        <w:rPr>
          <w:rFonts w:ascii="Palatino Linotype" w:eastAsia="Palatino Linotype" w:hAnsi="Palatino Linotype" w:cs="Palatino Linotype"/>
          <w:sz w:val="22"/>
          <w:szCs w:val="22"/>
        </w:rPr>
        <w:t xml:space="preserve"> del artículo </w:t>
      </w:r>
      <w:r w:rsidRPr="007867B6">
        <w:rPr>
          <w:rFonts w:ascii="Palatino Linotype" w:eastAsia="Palatino Linotype" w:hAnsi="Palatino Linotype" w:cs="Palatino Linotype"/>
          <w:b/>
          <w:sz w:val="22"/>
          <w:szCs w:val="22"/>
        </w:rPr>
        <w:t>191</w:t>
      </w:r>
      <w:r w:rsidRPr="007867B6">
        <w:rPr>
          <w:rFonts w:ascii="Palatino Linotype" w:eastAsia="Palatino Linotype" w:hAnsi="Palatino Linotype" w:cs="Palatino Linotype"/>
          <w:sz w:val="22"/>
          <w:szCs w:val="22"/>
        </w:rPr>
        <w:t xml:space="preserve">, de la Ley de Transparencia y Acceso a la Información Pública del Estado de México y Municipios, en términos del </w:t>
      </w:r>
      <w:r w:rsidRPr="007867B6">
        <w:rPr>
          <w:rFonts w:ascii="Palatino Linotype" w:eastAsia="Palatino Linotype" w:hAnsi="Palatino Linotype" w:cs="Palatino Linotype"/>
          <w:b/>
          <w:sz w:val="22"/>
          <w:szCs w:val="22"/>
        </w:rPr>
        <w:t>Considerando TERCERO</w:t>
      </w:r>
      <w:r w:rsidRPr="007867B6">
        <w:rPr>
          <w:rFonts w:ascii="Palatino Linotype" w:eastAsia="Palatino Linotype" w:hAnsi="Palatino Linotype" w:cs="Palatino Linotype"/>
          <w:sz w:val="22"/>
          <w:szCs w:val="22"/>
        </w:rPr>
        <w:t xml:space="preserve"> de la presente resolución.</w:t>
      </w:r>
    </w:p>
    <w:p w:rsidR="009E7349" w:rsidRPr="007867B6" w:rsidRDefault="003C34B0">
      <w:pPr>
        <w:pBdr>
          <w:top w:val="nil"/>
          <w:left w:val="nil"/>
          <w:bottom w:val="nil"/>
          <w:right w:val="nil"/>
          <w:between w:val="nil"/>
        </w:pBdr>
        <w:spacing w:after="240" w:line="360" w:lineRule="auto"/>
        <w:jc w:val="both"/>
        <w:rPr>
          <w:rFonts w:ascii="Palatino Linotype" w:eastAsia="Palatino Linotype" w:hAnsi="Palatino Linotype" w:cs="Palatino Linotype"/>
          <w:b/>
          <w:color w:val="000000"/>
          <w:sz w:val="22"/>
          <w:szCs w:val="22"/>
        </w:rPr>
      </w:pPr>
      <w:r w:rsidRPr="007867B6">
        <w:rPr>
          <w:rFonts w:ascii="Palatino Linotype" w:eastAsia="Palatino Linotype" w:hAnsi="Palatino Linotype" w:cs="Palatino Linotype"/>
          <w:b/>
          <w:color w:val="000000"/>
          <w:sz w:val="22"/>
          <w:szCs w:val="22"/>
        </w:rPr>
        <w:t xml:space="preserve">SEGUNDO. </w:t>
      </w:r>
      <w:r w:rsidR="0020622E" w:rsidRPr="007867B6">
        <w:rPr>
          <w:rFonts w:ascii="Palatino Linotype" w:eastAsia="Palatino Linotype" w:hAnsi="Palatino Linotype" w:cs="Palatino Linotype"/>
          <w:b/>
          <w:color w:val="000000"/>
          <w:sz w:val="22"/>
          <w:szCs w:val="22"/>
        </w:rPr>
        <w:t>Notifíquese</w:t>
      </w:r>
      <w:r w:rsidRPr="007867B6">
        <w:rPr>
          <w:rFonts w:ascii="Palatino Linotype" w:eastAsia="Palatino Linotype" w:hAnsi="Palatino Linotype" w:cs="Palatino Linotype"/>
          <w:b/>
          <w:color w:val="000000"/>
          <w:sz w:val="22"/>
          <w:szCs w:val="22"/>
        </w:rPr>
        <w:t xml:space="preserve"> </w:t>
      </w:r>
      <w:r w:rsidRPr="007867B6">
        <w:rPr>
          <w:rFonts w:ascii="Palatino Linotype" w:eastAsia="Palatino Linotype" w:hAnsi="Palatino Linotype" w:cs="Palatino Linotype"/>
          <w:color w:val="000000"/>
          <w:sz w:val="22"/>
          <w:szCs w:val="22"/>
        </w:rPr>
        <w:t xml:space="preserve">a través del Sistema de Acceso a la Información Mexiquense </w:t>
      </w:r>
      <w:r w:rsidRPr="007867B6">
        <w:rPr>
          <w:rFonts w:ascii="Palatino Linotype" w:eastAsia="Palatino Linotype" w:hAnsi="Palatino Linotype" w:cs="Palatino Linotype"/>
          <w:b/>
          <w:color w:val="000000"/>
          <w:sz w:val="22"/>
          <w:szCs w:val="22"/>
        </w:rPr>
        <w:t xml:space="preserve">(SAIMEX) </w:t>
      </w:r>
      <w:r w:rsidRPr="007867B6">
        <w:rPr>
          <w:rFonts w:ascii="Palatino Linotype" w:eastAsia="Palatino Linotype" w:hAnsi="Palatino Linotype" w:cs="Palatino Linotype"/>
          <w:color w:val="000000"/>
          <w:sz w:val="22"/>
          <w:szCs w:val="22"/>
        </w:rPr>
        <w:t>la presente resolución al Titular de la Unidad de Transparencia del</w:t>
      </w:r>
      <w:r w:rsidRPr="007867B6">
        <w:rPr>
          <w:rFonts w:ascii="Palatino Linotype" w:eastAsia="Palatino Linotype" w:hAnsi="Palatino Linotype" w:cs="Palatino Linotype"/>
          <w:b/>
          <w:color w:val="000000"/>
          <w:sz w:val="22"/>
          <w:szCs w:val="22"/>
        </w:rPr>
        <w:t xml:space="preserve"> SUJETO OBLIGADO. </w:t>
      </w:r>
    </w:p>
    <w:p w:rsidR="009E7349" w:rsidRPr="007867B6" w:rsidRDefault="003C34B0">
      <w:pPr>
        <w:pBdr>
          <w:top w:val="nil"/>
          <w:left w:val="nil"/>
          <w:bottom w:val="nil"/>
          <w:right w:val="nil"/>
          <w:between w:val="nil"/>
        </w:pBdr>
        <w:spacing w:after="240" w:line="360" w:lineRule="auto"/>
        <w:jc w:val="both"/>
        <w:rPr>
          <w:rFonts w:ascii="Palatino Linotype" w:eastAsia="Palatino Linotype" w:hAnsi="Palatino Linotype" w:cs="Palatino Linotype"/>
          <w:color w:val="222222"/>
          <w:sz w:val="22"/>
          <w:szCs w:val="22"/>
        </w:rPr>
      </w:pPr>
      <w:r w:rsidRPr="007867B6">
        <w:rPr>
          <w:rFonts w:ascii="Palatino Linotype" w:eastAsia="Palatino Linotype" w:hAnsi="Palatino Linotype" w:cs="Palatino Linotype"/>
          <w:b/>
          <w:color w:val="000000"/>
          <w:sz w:val="22"/>
          <w:szCs w:val="22"/>
        </w:rPr>
        <w:t xml:space="preserve">TERCERO. Notifíquese al RECURRENTE </w:t>
      </w:r>
      <w:r w:rsidRPr="007867B6">
        <w:rPr>
          <w:rFonts w:ascii="Palatino Linotype" w:eastAsia="Palatino Linotype" w:hAnsi="Palatino Linotype" w:cs="Palatino Linotype"/>
          <w:color w:val="222222"/>
          <w:sz w:val="22"/>
          <w:szCs w:val="22"/>
        </w:rPr>
        <w:t>la presente resolución vía SAIMEX.</w:t>
      </w:r>
    </w:p>
    <w:p w:rsidR="009E7349" w:rsidRPr="007867B6" w:rsidRDefault="003C34B0">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sidRPr="007867B6">
        <w:rPr>
          <w:rFonts w:ascii="Palatino Linotype" w:eastAsia="Palatino Linotype" w:hAnsi="Palatino Linotype" w:cs="Palatino Linotype"/>
          <w:b/>
          <w:color w:val="000000"/>
          <w:sz w:val="22"/>
          <w:szCs w:val="22"/>
        </w:rPr>
        <w:lastRenderedPageBreak/>
        <w:t>CUARTO.</w:t>
      </w:r>
      <w:r w:rsidRPr="007867B6">
        <w:rPr>
          <w:rFonts w:ascii="Palatino Linotype" w:eastAsia="Palatino Linotype" w:hAnsi="Palatino Linotype" w:cs="Palatino Linotype"/>
          <w:color w:val="000000"/>
          <w:sz w:val="22"/>
          <w:szCs w:val="22"/>
        </w:rPr>
        <w:t xml:space="preserve"> Se hace del conocimiento del </w:t>
      </w:r>
      <w:r w:rsidRPr="007867B6">
        <w:rPr>
          <w:rFonts w:ascii="Palatino Linotype" w:eastAsia="Palatino Linotype" w:hAnsi="Palatino Linotype" w:cs="Palatino Linotype"/>
          <w:b/>
          <w:color w:val="000000"/>
          <w:sz w:val="22"/>
          <w:szCs w:val="22"/>
        </w:rPr>
        <w:t xml:space="preserve">RECURRENTE </w:t>
      </w:r>
      <w:r w:rsidRPr="007867B6">
        <w:rPr>
          <w:rFonts w:ascii="Palatino Linotype" w:eastAsia="Palatino Linotype" w:hAnsi="Palatino Linotype" w:cs="Palatino Linotype"/>
          <w:color w:val="000000"/>
          <w:sz w:val="22"/>
          <w:szCs w:val="22"/>
        </w:rPr>
        <w:t xml:space="preserve">que, de conformidad con lo establecido en el artículo 196 de la Ley de Transparencia y Acceso a la Información Pública del Estado de México y Municipios, en caso de que considere que la resolución le cause algún perjuicio podrá </w:t>
      </w:r>
      <w:r w:rsidRPr="007867B6">
        <w:rPr>
          <w:rFonts w:ascii="Palatino Linotype" w:eastAsia="Palatino Linotype" w:hAnsi="Palatino Linotype" w:cs="Palatino Linotype"/>
          <w:sz w:val="22"/>
          <w:szCs w:val="22"/>
        </w:rPr>
        <w:t>impugnar vía</w:t>
      </w:r>
      <w:r w:rsidRPr="007867B6">
        <w:rPr>
          <w:rFonts w:ascii="Palatino Linotype" w:eastAsia="Palatino Linotype" w:hAnsi="Palatino Linotype" w:cs="Palatino Linotype"/>
          <w:color w:val="000000"/>
          <w:sz w:val="22"/>
          <w:szCs w:val="22"/>
        </w:rPr>
        <w:t xml:space="preserve"> juicio de amparo en los términos de las leyes aplicables.</w:t>
      </w:r>
    </w:p>
    <w:p w:rsidR="0020622E" w:rsidRPr="007867B6" w:rsidRDefault="0020622E">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p>
    <w:p w:rsidR="0020622E" w:rsidRDefault="0020622E" w:rsidP="0020622E">
      <w:pPr>
        <w:spacing w:before="240" w:after="240" w:line="360" w:lineRule="auto"/>
        <w:ind w:firstLine="1"/>
        <w:jc w:val="both"/>
        <w:rPr>
          <w:rFonts w:ascii="Palatino Linotype" w:hAnsi="Palatino Linotype"/>
        </w:rPr>
      </w:pPr>
      <w:r w:rsidRPr="007867B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9E7349" w:rsidRDefault="009E7349">
      <w:pPr>
        <w:spacing w:line="360" w:lineRule="auto"/>
        <w:jc w:val="both"/>
        <w:rPr>
          <w:rFonts w:ascii="Palatino Linotype" w:eastAsia="Palatino Linotype" w:hAnsi="Palatino Linotype" w:cs="Palatino Linotype"/>
          <w:sz w:val="22"/>
          <w:szCs w:val="22"/>
        </w:rPr>
      </w:pPr>
    </w:p>
    <w:p w:rsidR="009E7349" w:rsidRDefault="009E7349">
      <w:pPr>
        <w:spacing w:line="360" w:lineRule="auto"/>
        <w:jc w:val="both"/>
        <w:rPr>
          <w:rFonts w:ascii="Palatino Linotype" w:eastAsia="Palatino Linotype" w:hAnsi="Palatino Linotype" w:cs="Palatino Linotype"/>
          <w:sz w:val="22"/>
          <w:szCs w:val="22"/>
        </w:rPr>
      </w:pPr>
    </w:p>
    <w:p w:rsidR="009E7349" w:rsidRDefault="009E7349">
      <w:pPr>
        <w:spacing w:line="360" w:lineRule="auto"/>
        <w:jc w:val="both"/>
        <w:rPr>
          <w:rFonts w:ascii="Palatino Linotype" w:eastAsia="Palatino Linotype" w:hAnsi="Palatino Linotype" w:cs="Palatino Linotype"/>
          <w:sz w:val="22"/>
          <w:szCs w:val="22"/>
        </w:rPr>
      </w:pPr>
    </w:p>
    <w:p w:rsidR="009E7349" w:rsidRDefault="009E7349">
      <w:pPr>
        <w:spacing w:line="360" w:lineRule="auto"/>
        <w:jc w:val="both"/>
        <w:rPr>
          <w:rFonts w:ascii="Palatino Linotype" w:eastAsia="Palatino Linotype" w:hAnsi="Palatino Linotype" w:cs="Palatino Linotype"/>
          <w:sz w:val="22"/>
          <w:szCs w:val="22"/>
        </w:rPr>
      </w:pPr>
    </w:p>
    <w:p w:rsidR="009E7349" w:rsidRDefault="009E7349">
      <w:pPr>
        <w:spacing w:line="360" w:lineRule="auto"/>
        <w:jc w:val="both"/>
        <w:rPr>
          <w:rFonts w:ascii="Palatino Linotype" w:eastAsia="Palatino Linotype" w:hAnsi="Palatino Linotype" w:cs="Palatino Linotype"/>
          <w:sz w:val="22"/>
          <w:szCs w:val="22"/>
        </w:rPr>
      </w:pPr>
    </w:p>
    <w:p w:rsidR="009E7349" w:rsidRDefault="009E7349">
      <w:pPr>
        <w:spacing w:line="360" w:lineRule="auto"/>
        <w:jc w:val="both"/>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spacing w:line="360" w:lineRule="auto"/>
        <w:rPr>
          <w:rFonts w:ascii="Palatino Linotype" w:eastAsia="Palatino Linotype" w:hAnsi="Palatino Linotype" w:cs="Palatino Linotype"/>
          <w:sz w:val="22"/>
          <w:szCs w:val="22"/>
        </w:rPr>
      </w:pPr>
    </w:p>
    <w:p w:rsidR="009E7349" w:rsidRDefault="009E7349">
      <w:pPr>
        <w:rPr>
          <w:sz w:val="22"/>
          <w:szCs w:val="22"/>
        </w:rPr>
      </w:pPr>
    </w:p>
    <w:p w:rsidR="009E7349" w:rsidRDefault="009E7349">
      <w:pPr>
        <w:rPr>
          <w:sz w:val="22"/>
          <w:szCs w:val="22"/>
        </w:rPr>
      </w:pPr>
    </w:p>
    <w:p w:rsidR="009E7349" w:rsidRDefault="009E7349">
      <w:pPr>
        <w:rPr>
          <w:sz w:val="22"/>
          <w:szCs w:val="22"/>
        </w:rPr>
      </w:pPr>
    </w:p>
    <w:p w:rsidR="009E7349" w:rsidRDefault="009E7349">
      <w:pPr>
        <w:rPr>
          <w:sz w:val="22"/>
          <w:szCs w:val="22"/>
        </w:rPr>
      </w:pPr>
    </w:p>
    <w:p w:rsidR="009E7349" w:rsidRDefault="009E7349">
      <w:pPr>
        <w:rPr>
          <w:sz w:val="22"/>
          <w:szCs w:val="22"/>
        </w:rPr>
      </w:pPr>
    </w:p>
    <w:p w:rsidR="009E7349" w:rsidRDefault="009E7349">
      <w:pPr>
        <w:rPr>
          <w:sz w:val="22"/>
          <w:szCs w:val="22"/>
        </w:rPr>
      </w:pPr>
    </w:p>
    <w:p w:rsidR="009E7349" w:rsidRDefault="009E7349">
      <w:pPr>
        <w:rPr>
          <w:sz w:val="22"/>
          <w:szCs w:val="22"/>
        </w:rPr>
      </w:pPr>
    </w:p>
    <w:p w:rsidR="009E7349" w:rsidRDefault="009E7349">
      <w:pPr>
        <w:rPr>
          <w:sz w:val="22"/>
          <w:szCs w:val="22"/>
        </w:rPr>
      </w:pPr>
    </w:p>
    <w:sectPr w:rsidR="009E7349">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602" w:rsidRDefault="00CE7602">
      <w:r>
        <w:separator/>
      </w:r>
    </w:p>
  </w:endnote>
  <w:endnote w:type="continuationSeparator" w:id="0">
    <w:p w:rsidR="00CE7602" w:rsidRDefault="00CE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49" w:rsidRDefault="003C34B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80FE3">
      <w:rPr>
        <w:b/>
        <w:noProof/>
        <w:color w:val="000000"/>
      </w:rPr>
      <w:t>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80FE3">
      <w:rPr>
        <w:b/>
        <w:noProof/>
        <w:color w:val="000000"/>
      </w:rPr>
      <w:t>15</w:t>
    </w:r>
    <w:r>
      <w:rPr>
        <w:b/>
        <w:color w:val="000000"/>
      </w:rPr>
      <w:fldChar w:fldCharType="end"/>
    </w:r>
  </w:p>
  <w:p w:rsidR="009E7349" w:rsidRDefault="009E734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49" w:rsidRDefault="003C34B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80FE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80FE3">
      <w:rPr>
        <w:b/>
        <w:noProof/>
        <w:color w:val="000000"/>
      </w:rPr>
      <w:t>15</w:t>
    </w:r>
    <w:r>
      <w:rPr>
        <w:b/>
        <w:color w:val="000000"/>
      </w:rPr>
      <w:fldChar w:fldCharType="end"/>
    </w:r>
  </w:p>
  <w:p w:rsidR="009E7349" w:rsidRDefault="009E734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602" w:rsidRDefault="00CE7602">
      <w:r>
        <w:separator/>
      </w:r>
    </w:p>
  </w:footnote>
  <w:footnote w:type="continuationSeparator" w:id="0">
    <w:p w:rsidR="00CE7602" w:rsidRDefault="00CE7602">
      <w:r>
        <w:continuationSeparator/>
      </w:r>
    </w:p>
  </w:footnote>
  <w:footnote w:id="1">
    <w:p w:rsidR="009E7349" w:rsidRDefault="003C34B0">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w:t>
      </w:r>
      <w:r>
        <w:rPr>
          <w:rFonts w:ascii="Palatino Linotype" w:eastAsia="Palatino Linotype" w:hAnsi="Palatino Linotype" w:cs="Palatino Linotype"/>
          <w:i/>
          <w:sz w:val="16"/>
          <w:szCs w:val="16"/>
        </w:rPr>
        <w:t>carece</w:t>
      </w:r>
      <w:r>
        <w:rPr>
          <w:rFonts w:ascii="Palatino Linotype" w:eastAsia="Palatino Linotype" w:hAnsi="Palatino Linotype" w:cs="Palatino Linotype"/>
          <w:i/>
          <w:color w:val="000000"/>
          <w:sz w:val="16"/>
          <w:szCs w:val="16"/>
        </w:rPr>
        <w:t xml:space="preserve"> de jurisdicción sobre el asunto al no haberse colmado uno de los presupuestos procesales de dicho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49" w:rsidRDefault="00CE760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49" w:rsidRDefault="009E7349">
    <w:pPr>
      <w:widowControl w:val="0"/>
      <w:pBdr>
        <w:top w:val="nil"/>
        <w:left w:val="nil"/>
        <w:bottom w:val="nil"/>
        <w:right w:val="nil"/>
        <w:between w:val="nil"/>
      </w:pBdr>
      <w:spacing w:line="276" w:lineRule="auto"/>
      <w:rPr>
        <w:rFonts w:ascii="Palatino Linotype" w:eastAsia="Palatino Linotype" w:hAnsi="Palatino Linotype" w:cs="Palatino Linotype"/>
        <w:i/>
        <w:color w:val="000000"/>
        <w:sz w:val="16"/>
        <w:szCs w:val="16"/>
      </w:rPr>
    </w:pPr>
  </w:p>
  <w:tbl>
    <w:tblPr>
      <w:tblStyle w:val="a0"/>
      <w:tblW w:w="9214" w:type="dxa"/>
      <w:tblInd w:w="0" w:type="dxa"/>
      <w:tblLayout w:type="fixed"/>
      <w:tblLook w:val="0400" w:firstRow="0" w:lastRow="0" w:firstColumn="0" w:lastColumn="0" w:noHBand="0" w:noVBand="1"/>
    </w:tblPr>
    <w:tblGrid>
      <w:gridCol w:w="2268"/>
      <w:gridCol w:w="6946"/>
    </w:tblGrid>
    <w:tr w:rsidR="009E7349">
      <w:trPr>
        <w:trHeight w:val="1435"/>
      </w:trPr>
      <w:tc>
        <w:tcPr>
          <w:tcW w:w="2268" w:type="dxa"/>
          <w:shd w:val="clear" w:color="auto" w:fill="auto"/>
        </w:tcPr>
        <w:p w:rsidR="009E7349" w:rsidRDefault="009E7349">
          <w:pPr>
            <w:tabs>
              <w:tab w:val="right" w:pos="4273"/>
            </w:tabs>
            <w:rPr>
              <w:rFonts w:ascii="Garamond" w:eastAsia="Garamond" w:hAnsi="Garamond" w:cs="Garamond"/>
              <w:sz w:val="16"/>
              <w:szCs w:val="16"/>
            </w:rPr>
          </w:pPr>
        </w:p>
      </w:tc>
      <w:tc>
        <w:tcPr>
          <w:tcW w:w="6946" w:type="dxa"/>
          <w:shd w:val="clear" w:color="auto" w:fill="auto"/>
        </w:tcPr>
        <w:p w:rsidR="009E7349" w:rsidRDefault="009E7349"/>
        <w:tbl>
          <w:tblPr>
            <w:tblStyle w:val="a1"/>
            <w:tblW w:w="6662" w:type="dxa"/>
            <w:tblInd w:w="40" w:type="dxa"/>
            <w:tblLayout w:type="fixed"/>
            <w:tblLook w:val="0400" w:firstRow="0" w:lastRow="0" w:firstColumn="0" w:lastColumn="0" w:noHBand="0" w:noVBand="1"/>
          </w:tblPr>
          <w:tblGrid>
            <w:gridCol w:w="2551"/>
            <w:gridCol w:w="4111"/>
          </w:tblGrid>
          <w:tr w:rsidR="009E7349">
            <w:trPr>
              <w:trHeight w:val="150"/>
            </w:trPr>
            <w:tc>
              <w:tcPr>
                <w:tcW w:w="2551" w:type="dxa"/>
                <w:shd w:val="clear" w:color="auto" w:fill="auto"/>
              </w:tcPr>
              <w:p w:rsidR="009E7349" w:rsidRDefault="003C34B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tcPr>
              <w:p w:rsidR="009E7349" w:rsidRDefault="003C34B0">
                <w:pPr>
                  <w:tabs>
                    <w:tab w:val="right" w:pos="8838"/>
                  </w:tabs>
                  <w:ind w:left="-108" w:right="-10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01818/INFOEM/IP/RR/2025</w:t>
                </w:r>
              </w:p>
            </w:tc>
          </w:tr>
          <w:tr w:rsidR="009E7349">
            <w:trPr>
              <w:trHeight w:val="295"/>
            </w:trPr>
            <w:tc>
              <w:tcPr>
                <w:tcW w:w="2551" w:type="dxa"/>
                <w:shd w:val="clear" w:color="auto" w:fill="auto"/>
              </w:tcPr>
              <w:p w:rsidR="009E7349" w:rsidRDefault="003C34B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tcPr>
              <w:p w:rsidR="009E7349" w:rsidRDefault="003C34B0">
                <w:pPr>
                  <w:tabs>
                    <w:tab w:val="left" w:pos="2834"/>
                    <w:tab w:val="right" w:pos="8838"/>
                  </w:tabs>
                  <w:ind w:left="-108" w:right="-10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Organismo Público Descentralizado para la Prestación de Los Servicios de Agua Potable Alcantarillado y Saneamiento del Municipio de Tlalnepantla de Baz</w:t>
                </w:r>
              </w:p>
            </w:tc>
          </w:tr>
          <w:tr w:rsidR="009E7349">
            <w:trPr>
              <w:trHeight w:val="295"/>
            </w:trPr>
            <w:tc>
              <w:tcPr>
                <w:tcW w:w="2551" w:type="dxa"/>
                <w:shd w:val="clear" w:color="auto" w:fill="auto"/>
              </w:tcPr>
              <w:p w:rsidR="009E7349" w:rsidRDefault="003C34B0">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tcPr>
              <w:p w:rsidR="009E7349" w:rsidRDefault="003C34B0">
                <w:pPr>
                  <w:tabs>
                    <w:tab w:val="right" w:pos="8838"/>
                  </w:tabs>
                  <w:ind w:left="-108" w:right="171"/>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9E7349" w:rsidRDefault="009E7349">
                <w:pPr>
                  <w:tabs>
                    <w:tab w:val="right" w:pos="8838"/>
                  </w:tabs>
                  <w:ind w:left="-108" w:right="171"/>
                  <w:rPr>
                    <w:rFonts w:ascii="Palatino Linotype" w:eastAsia="Palatino Linotype" w:hAnsi="Palatino Linotype" w:cs="Palatino Linotype"/>
                    <w:b/>
                    <w:sz w:val="22"/>
                    <w:szCs w:val="22"/>
                  </w:rPr>
                </w:pPr>
              </w:p>
            </w:tc>
          </w:tr>
        </w:tbl>
        <w:p w:rsidR="009E7349" w:rsidRDefault="009E7349">
          <w:pPr>
            <w:tabs>
              <w:tab w:val="right" w:pos="8838"/>
            </w:tabs>
            <w:ind w:left="-28"/>
            <w:jc w:val="both"/>
            <w:rPr>
              <w:rFonts w:ascii="Arial" w:eastAsia="Arial" w:hAnsi="Arial" w:cs="Arial"/>
              <w:b/>
              <w:sz w:val="22"/>
              <w:szCs w:val="22"/>
            </w:rPr>
          </w:pPr>
        </w:p>
      </w:tc>
    </w:tr>
  </w:tbl>
  <w:p w:rsidR="009E7349" w:rsidRDefault="00CE760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349" w:rsidRDefault="009E7349">
    <w:pPr>
      <w:widowControl w:val="0"/>
      <w:pBdr>
        <w:top w:val="nil"/>
        <w:left w:val="nil"/>
        <w:bottom w:val="nil"/>
        <w:right w:val="nil"/>
        <w:between w:val="nil"/>
      </w:pBdr>
      <w:spacing w:line="276" w:lineRule="auto"/>
      <w:rPr>
        <w:color w:val="000000"/>
      </w:rPr>
    </w:pPr>
  </w:p>
  <w:tbl>
    <w:tblPr>
      <w:tblStyle w:val="a2"/>
      <w:tblW w:w="9072" w:type="dxa"/>
      <w:tblInd w:w="0" w:type="dxa"/>
      <w:tblLayout w:type="fixed"/>
      <w:tblLook w:val="0400" w:firstRow="0" w:lastRow="0" w:firstColumn="0" w:lastColumn="0" w:noHBand="0" w:noVBand="1"/>
    </w:tblPr>
    <w:tblGrid>
      <w:gridCol w:w="2268"/>
      <w:gridCol w:w="6804"/>
    </w:tblGrid>
    <w:tr w:rsidR="009E7349">
      <w:trPr>
        <w:trHeight w:val="1435"/>
      </w:trPr>
      <w:tc>
        <w:tcPr>
          <w:tcW w:w="2268" w:type="dxa"/>
          <w:shd w:val="clear" w:color="auto" w:fill="auto"/>
        </w:tcPr>
        <w:p w:rsidR="009E7349" w:rsidRDefault="009E7349">
          <w:pPr>
            <w:tabs>
              <w:tab w:val="right" w:pos="4273"/>
            </w:tabs>
            <w:rPr>
              <w:rFonts w:ascii="Garamond" w:eastAsia="Garamond" w:hAnsi="Garamond" w:cs="Garamond"/>
              <w:sz w:val="22"/>
              <w:szCs w:val="22"/>
            </w:rPr>
          </w:pPr>
        </w:p>
      </w:tc>
      <w:tc>
        <w:tcPr>
          <w:tcW w:w="6804" w:type="dxa"/>
          <w:shd w:val="clear" w:color="auto" w:fill="auto"/>
        </w:tcPr>
        <w:p w:rsidR="009E7349" w:rsidRDefault="009E7349">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6660" w:type="dxa"/>
            <w:tblInd w:w="40" w:type="dxa"/>
            <w:tblLayout w:type="fixed"/>
            <w:tblLook w:val="0400" w:firstRow="0" w:lastRow="0" w:firstColumn="0" w:lastColumn="0" w:noHBand="0" w:noVBand="1"/>
          </w:tblPr>
          <w:tblGrid>
            <w:gridCol w:w="2460"/>
            <w:gridCol w:w="4200"/>
          </w:tblGrid>
          <w:tr w:rsidR="009E7349">
            <w:trPr>
              <w:trHeight w:val="144"/>
            </w:trPr>
            <w:tc>
              <w:tcPr>
                <w:tcW w:w="2460" w:type="dxa"/>
                <w:shd w:val="clear" w:color="auto" w:fill="auto"/>
              </w:tcPr>
              <w:p w:rsidR="009E7349" w:rsidRDefault="003C34B0">
                <w:pPr>
                  <w:tabs>
                    <w:tab w:val="right" w:pos="8838"/>
                  </w:tabs>
                  <w:ind w:left="-264" w:right="-105" w:firstLine="19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00" w:type="dxa"/>
                <w:shd w:val="clear" w:color="auto" w:fill="auto"/>
              </w:tcPr>
              <w:p w:rsidR="009E7349" w:rsidRDefault="003C34B0">
                <w:pPr>
                  <w:tabs>
                    <w:tab w:val="right" w:pos="8838"/>
                  </w:tabs>
                  <w:ind w:left="-74" w:right="-1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01818/INFOEM/IP/RR/2025</w:t>
                </w:r>
                <w:r>
                  <w:rPr>
                    <w:rFonts w:ascii="Palatino Linotype" w:eastAsia="Palatino Linotype" w:hAnsi="Palatino Linotype" w:cs="Palatino Linotype"/>
                    <w:b/>
                    <w:sz w:val="22"/>
                    <w:szCs w:val="22"/>
                  </w:rPr>
                  <w:t xml:space="preserve"> </w:t>
                </w:r>
              </w:p>
            </w:tc>
          </w:tr>
          <w:tr w:rsidR="009E7349">
            <w:trPr>
              <w:trHeight w:val="144"/>
            </w:trPr>
            <w:tc>
              <w:tcPr>
                <w:tcW w:w="2460" w:type="dxa"/>
                <w:shd w:val="clear" w:color="auto" w:fill="auto"/>
              </w:tcPr>
              <w:p w:rsidR="009E7349" w:rsidRDefault="003C34B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00" w:type="dxa"/>
                <w:shd w:val="clear" w:color="auto" w:fill="auto"/>
              </w:tcPr>
              <w:p w:rsidR="009E7349" w:rsidRDefault="003C34B0" w:rsidP="00F80FE3">
                <w:pPr>
                  <w:tabs>
                    <w:tab w:val="left" w:pos="3122"/>
                    <w:tab w:val="right" w:pos="8838"/>
                  </w:tabs>
                  <w:ind w:left="-74" w:right="-1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w:t>
                </w:r>
                <w:r w:rsidR="00F80FE3">
                  <w:rPr>
                    <w:rFonts w:ascii="Palatino Linotype" w:eastAsia="Palatino Linotype" w:hAnsi="Palatino Linotype" w:cs="Palatino Linotype"/>
                    <w:sz w:val="22"/>
                    <w:szCs w:val="22"/>
                  </w:rPr>
                  <w:t>XXXX</w:t>
                </w:r>
              </w:p>
            </w:tc>
          </w:tr>
          <w:tr w:rsidR="009E7349">
            <w:trPr>
              <w:trHeight w:val="283"/>
            </w:trPr>
            <w:tc>
              <w:tcPr>
                <w:tcW w:w="2460" w:type="dxa"/>
                <w:shd w:val="clear" w:color="auto" w:fill="auto"/>
              </w:tcPr>
              <w:p w:rsidR="009E7349" w:rsidRDefault="003C34B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00" w:type="dxa"/>
                <w:shd w:val="clear" w:color="auto" w:fill="auto"/>
              </w:tcPr>
              <w:p w:rsidR="009E7349" w:rsidRDefault="003C34B0">
                <w:pPr>
                  <w:tabs>
                    <w:tab w:val="left" w:pos="2834"/>
                    <w:tab w:val="right" w:pos="8838"/>
                  </w:tabs>
                  <w:ind w:left="-74" w:right="-1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Organismo Público Descentralizado para la Prestación de Los Servicios de Agua Potable Alcantarillado y Saneamiento del Municipio de Tlalnepantla de Baz</w:t>
                </w:r>
              </w:p>
            </w:tc>
          </w:tr>
          <w:tr w:rsidR="009E7349">
            <w:trPr>
              <w:trHeight w:val="283"/>
            </w:trPr>
            <w:tc>
              <w:tcPr>
                <w:tcW w:w="2460" w:type="dxa"/>
                <w:shd w:val="clear" w:color="auto" w:fill="auto"/>
              </w:tcPr>
              <w:p w:rsidR="009E7349" w:rsidRDefault="003C34B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00" w:type="dxa"/>
                <w:shd w:val="clear" w:color="auto" w:fill="auto"/>
              </w:tcPr>
              <w:p w:rsidR="009E7349" w:rsidRDefault="003C34B0">
                <w:pPr>
                  <w:tabs>
                    <w:tab w:val="right" w:pos="8838"/>
                  </w:tabs>
                  <w:ind w:left="-74" w:right="-1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9E7349" w:rsidRDefault="009E7349">
                <w:pPr>
                  <w:tabs>
                    <w:tab w:val="right" w:pos="8838"/>
                  </w:tabs>
                  <w:ind w:left="-74" w:right="-105"/>
                  <w:rPr>
                    <w:rFonts w:ascii="Palatino Linotype" w:eastAsia="Palatino Linotype" w:hAnsi="Palatino Linotype" w:cs="Palatino Linotype"/>
                    <w:b/>
                    <w:sz w:val="22"/>
                    <w:szCs w:val="22"/>
                  </w:rPr>
                </w:pPr>
              </w:p>
            </w:tc>
          </w:tr>
        </w:tbl>
        <w:p w:rsidR="009E7349" w:rsidRDefault="009E7349">
          <w:pPr>
            <w:tabs>
              <w:tab w:val="right" w:pos="8838"/>
            </w:tabs>
            <w:ind w:left="-28"/>
            <w:jc w:val="both"/>
            <w:rPr>
              <w:rFonts w:ascii="Arial" w:eastAsia="Arial" w:hAnsi="Arial" w:cs="Arial"/>
              <w:b/>
              <w:sz w:val="22"/>
              <w:szCs w:val="22"/>
            </w:rPr>
          </w:pPr>
        </w:p>
      </w:tc>
    </w:tr>
  </w:tbl>
  <w:p w:rsidR="009E7349" w:rsidRDefault="00CE760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31E"/>
    <w:multiLevelType w:val="multilevel"/>
    <w:tmpl w:val="DE9C892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5A33A7D"/>
    <w:multiLevelType w:val="multilevel"/>
    <w:tmpl w:val="1FCE6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6C34F6"/>
    <w:multiLevelType w:val="multilevel"/>
    <w:tmpl w:val="FBBCF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D25DC5"/>
    <w:multiLevelType w:val="multilevel"/>
    <w:tmpl w:val="11D80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C813E3"/>
    <w:multiLevelType w:val="multilevel"/>
    <w:tmpl w:val="51081784"/>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9"/>
    <w:rsid w:val="0020622E"/>
    <w:rsid w:val="003C34B0"/>
    <w:rsid w:val="00523CEA"/>
    <w:rsid w:val="007867B6"/>
    <w:rsid w:val="009E7349"/>
    <w:rsid w:val="00CE7602"/>
    <w:rsid w:val="00F80F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2E8BC0-E52B-4922-95C7-3F268056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55F"/>
  </w:style>
  <w:style w:type="paragraph" w:styleId="Ttulo1">
    <w:name w:val="heading 1"/>
    <w:basedOn w:val="Normal"/>
    <w:next w:val="Normal"/>
    <w:link w:val="Ttulo1Car"/>
    <w:uiPriority w:val="9"/>
    <w:qFormat/>
    <w:rsid w:val="00EF75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EF755F"/>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755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F755F"/>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EF755F"/>
    <w:pPr>
      <w:tabs>
        <w:tab w:val="center" w:pos="4419"/>
        <w:tab w:val="right" w:pos="8838"/>
      </w:tabs>
    </w:pPr>
  </w:style>
  <w:style w:type="character" w:customStyle="1" w:styleId="PiedepginaCar">
    <w:name w:val="Pie de página Car"/>
    <w:basedOn w:val="Fuentedeprrafopredeter"/>
    <w:link w:val="Piedepgina"/>
    <w:uiPriority w:val="99"/>
    <w:rsid w:val="00EF755F"/>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7466E"/>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813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2366643.page" TargetMode="External"/><Relationship Id="rId4" Type="http://schemas.openxmlformats.org/officeDocument/2006/relationships/settings" Target="settings.xml"/><Relationship Id="rId9" Type="http://schemas.openxmlformats.org/officeDocument/2006/relationships/hyperlink" Target="https://saimex.org.mx/saimex/solicitud/downloadAttach/2348131.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kDtjp5UqDwFMXXyXsxBoK67ZQ==">CgMxLjAyCGguZ2pkZ3hzMgloLjMwajB6bGwyCWguMWZvYjl0ZTIJaC4zem55c2g3MgloLjJldDkycDAyCGgudHlqY3d0MgloLjNkeTZ2a20yCWguMXQzaDVzZjIJaC40ZDM0b2c4OAByITFrZ2dybzZYaG1HeVZVSndHcFJrMWlyZWlwU0FBTUhodQ==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2976</Words>
  <Characters>16373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4</cp:revision>
  <cp:lastPrinted>2025-04-03T18:19:00Z</cp:lastPrinted>
  <dcterms:created xsi:type="dcterms:W3CDTF">2025-03-26T00:06:00Z</dcterms:created>
  <dcterms:modified xsi:type="dcterms:W3CDTF">2025-04-03T20:52:00Z</dcterms:modified>
</cp:coreProperties>
</file>